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方正粗黑宋简体" w:hAnsi="方正粗黑宋简体" w:eastAsia="方正粗黑宋简体" w:cs="方正粗黑宋简体"/>
          <w:b/>
          <w:bCs/>
          <w:sz w:val="48"/>
          <w:szCs w:val="48"/>
          <w:lang w:eastAsia="zh-CN"/>
        </w:rPr>
      </w:pPr>
    </w:p>
    <w:p>
      <w:pPr>
        <w:jc w:val="center"/>
        <w:rPr>
          <w:rFonts w:hint="eastAsia" w:ascii="方正粗黑宋简体" w:hAnsi="方正粗黑宋简体" w:eastAsia="方正粗黑宋简体" w:cs="方正粗黑宋简体"/>
          <w:b/>
          <w:bCs/>
          <w:sz w:val="48"/>
          <w:szCs w:val="48"/>
          <w:lang w:eastAsia="zh-CN"/>
        </w:rPr>
      </w:pPr>
      <w:r>
        <w:rPr>
          <w:rFonts w:hint="eastAsia" w:ascii="方正粗黑宋简体" w:hAnsi="方正粗黑宋简体" w:eastAsia="方正粗黑宋简体" w:cs="方正粗黑宋简体"/>
          <w:b/>
          <w:bCs/>
          <w:sz w:val="48"/>
          <w:szCs w:val="48"/>
          <w:lang w:eastAsia="zh-CN"/>
        </w:rPr>
        <w:t>《进口葡萄酒（散装酒）分级规范》</w:t>
      </w:r>
    </w:p>
    <w:p>
      <w:pPr>
        <w:jc w:val="center"/>
        <w:rPr>
          <w:rFonts w:hint="eastAsia" w:ascii="方正粗黑宋简体" w:hAnsi="方正粗黑宋简体" w:eastAsia="方正粗黑宋简体" w:cs="方正粗黑宋简体"/>
          <w:b/>
          <w:bCs/>
          <w:sz w:val="48"/>
          <w:szCs w:val="48"/>
          <w:lang w:eastAsia="zh-CN"/>
        </w:rPr>
      </w:pPr>
      <w:r>
        <w:rPr>
          <w:rFonts w:hint="eastAsia" w:ascii="方正粗黑宋简体" w:hAnsi="方正粗黑宋简体" w:eastAsia="方正粗黑宋简体" w:cs="方正粗黑宋简体"/>
          <w:b/>
          <w:bCs/>
          <w:sz w:val="48"/>
          <w:szCs w:val="48"/>
          <w:lang w:eastAsia="zh-CN"/>
        </w:rPr>
        <w:t>团体标准编制说明</w:t>
      </w:r>
    </w:p>
    <w:p>
      <w:pPr>
        <w:bidi w:val="0"/>
        <w:rPr>
          <w:rFonts w:hint="eastAsia" w:ascii="方正粗黑宋简体" w:hAnsi="方正粗黑宋简体" w:eastAsia="方正粗黑宋简体" w:cs="方正粗黑宋简体"/>
          <w:b/>
          <w:bCs/>
          <w:kern w:val="2"/>
          <w:sz w:val="48"/>
          <w:szCs w:val="48"/>
          <w:lang w:val="en-US" w:eastAsia="zh-CN" w:bidi="ar-SA"/>
        </w:rPr>
      </w:pPr>
    </w:p>
    <w:p>
      <w:pPr>
        <w:bidi w:val="0"/>
        <w:rPr>
          <w:rFonts w:hint="eastAsia" w:ascii="方正粗黑宋简体" w:hAnsi="方正粗黑宋简体" w:eastAsia="方正粗黑宋简体" w:cs="方正粗黑宋简体"/>
          <w:b/>
          <w:bCs/>
          <w:sz w:val="48"/>
          <w:szCs w:val="48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蓬莱区葡萄与葡萄酒产业发展服务中心</w:t>
      </w:r>
    </w:p>
    <w:p>
      <w:pPr>
        <w:bidi w:val="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2020年10月8日</w:t>
      </w:r>
    </w:p>
    <w:p>
      <w:pPr>
        <w:bidi w:val="0"/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《进口葡萄酒（散装酒）分级规范》团体标准编制说明</w:t>
      </w:r>
    </w:p>
    <w:p>
      <w:pPr>
        <w:bidi w:val="0"/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任务来源及起草单位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任务来源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规范蓬莱进口葡萄酒（散装酒）市场秩序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确保进口葡萄酒（散装酒）品质，在理化指标合格的同时用感官评定的方式对进口葡萄酒（散装酒）进行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分级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，制定分级评定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标准，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促进蓬莱葡萄酒行业健康有序发展。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蓬莱区葡萄与葡萄酒产业发展服务中心会同蓬莱葡萄酒行业协会，葡萄与葡萄酒产业发展服务中心作为牵头单位起草编制《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进口葡萄酒（散装酒）分级规范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》的团体标准。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adjustRightInd/>
        <w:snapToGrid/>
        <w:spacing w:line="240" w:lineRule="atLeast"/>
        <w:ind w:left="0" w:lef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起草单位及起草人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bidi w:val="0"/>
        <w:adjustRightInd/>
        <w:snapToGrid/>
        <w:spacing w:line="240" w:lineRule="atLeast"/>
        <w:ind w:leftChars="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起草单位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蓬莱区葡萄与葡萄酒产业发展服务中心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烟台高升酒业有限公司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蓬莱国宾葡萄酒庄有限公司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蓬莱万德福葡萄酒有限公司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中粮长城葡萄酒（蓬莱）有限公司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君顶酒庄有限公司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bidi w:val="0"/>
        <w:adjustRightInd/>
        <w:snapToGrid/>
        <w:spacing w:line="240" w:lineRule="atLeast"/>
        <w:ind w:left="0" w:lef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主要起草人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240" w:lineRule="atLeast"/>
        <w:ind w:leftChars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</w:rPr>
        <w:t>沈国全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</w:rPr>
        <w:t>杜宜龙、程宝森、宋英珲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</w:rPr>
        <w:t>郝志刚、张兴军、张正文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bidi w:val="0"/>
        <w:adjustRightInd/>
        <w:snapToGrid/>
        <w:spacing w:line="240" w:lineRule="atLeast"/>
        <w:ind w:left="0" w:lef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起草分工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240" w:lineRule="atLeast"/>
        <w:ind w:left="279" w:leftChars="133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区葡萄与葡萄酒产业发展服务中心负责标准工作的组织、协调、资料收集整理，为标准主要起草单位。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240" w:lineRule="atLeast"/>
        <w:ind w:leftChars="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区葡萄与葡萄酒产业发展服务中心负责《编制说明》的起草说明、撰写、修订工作。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蓬莱国宾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葡萄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酒庄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有限公司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蓬莱万德福葡萄酒有限公司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君顶酒庄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有限公司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、中粮长城葡萄酒（蓬莱）有限公司负责团体标准中评分标准、评分细则、评分表的制定与完善。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line="240" w:lineRule="atLeast"/>
        <w:ind w:left="0" w:lef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标准制定的目的和意义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240" w:lineRule="atLeast"/>
        <w:ind w:leftChars="0" w:firstLine="834" w:firstLineChars="298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eastAsia="zh-CN"/>
        </w:rPr>
        <w:t>蓬莱按照“优质产区、特色葡园、精品酒庄、标准引领”的发展思路，突出特色化、集群化、国际化，全力推动葡萄与葡萄酒产业发展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现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已成为国内产业聚集程度最高的区域之一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优质标准化基地8万亩，葡萄酒生产企业达到60家，年生产能力14万千升。但是，葡萄基地建设始终不能满足葡萄酒企业生产能力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需求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，从国外进口原酒（散装酒）进行加工生产已是常态，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为此，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需要制定标准对进入蓬莱葡萄酒行业的进口原酒加以规范，使企业有序生产，产区健康发展。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制定“进口葡萄酒（散装酒）分级规范”团体标准意义在于，规范蓬莱进口葡萄酒市场秩序，提升灌装型企业产品品质，统一规范评定标准，净化蓬莱产区葡萄酒市场环境。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line="240" w:lineRule="atLeast"/>
        <w:ind w:left="0" w:lef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编制过程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240" w:lineRule="atLeast"/>
        <w:ind w:leftChars="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2019年11月，提出起草标准意见。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240" w:lineRule="atLeast"/>
        <w:ind w:leftChars="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2020年2月，组建标准起草小组。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240" w:lineRule="atLeast"/>
        <w:ind w:leftChars="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2020年4月-5月，起草小组完成分级规范的调研、意见征询、资料收集等工作。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240" w:lineRule="atLeast"/>
        <w:ind w:leftChars="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2020年6月，起草小组完成标准草案稿以及编制说明撰写。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240" w:lineRule="atLeast"/>
        <w:ind w:leftChars="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2020年7月，起草小组在蓬莱酿酒师半年会上召开标准讨论会议，就标准征求、讨论、修改，并形成标准征求意见稿。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240" w:lineRule="atLeast"/>
        <w:ind w:leftChars="0" w:firstLine="280" w:firstLineChars="1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2020年8月，在全国团体标准信息平台立项。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240" w:lineRule="atLeast"/>
        <w:ind w:firstLine="280" w:firstLineChars="1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2020年8-11月，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与专家反复讨论，修改，形成标准送审稿。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四、标准制订的基本原则和依据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tLeas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标准依据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240" w:lineRule="atLeast"/>
        <w:ind w:firstLine="280" w:firstLineChars="1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标准的编制按照GB/T 1.1-2009《标准化工作导则第1部分：标准的结构和编写规则》的要求，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具体技术要求参照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GBT/15037-2006(葡萄酒）并结合蓬莱产区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进口葡萄酒（散装酒）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行业实际情况。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五、主要章、条确定的原则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一）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  <w:t>范围</w:t>
      </w:r>
    </w:p>
    <w:p>
      <w:pPr>
        <w:pStyle w:val="10"/>
        <w:keepNext w:val="0"/>
        <w:keepLines w:val="0"/>
        <w:pageBreakBefore w:val="0"/>
        <w:tabs>
          <w:tab w:val="center" w:pos="4201"/>
          <w:tab w:val="right" w:leader="dot" w:pos="9298"/>
        </w:tabs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本标准规定了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进口葡萄酒（散装酒）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分级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评定（感官评定）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的标准和术语、定义、参评要求、组织认定、品评标准等。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本标准适用于</w:t>
      </w:r>
      <w:r>
        <w:rPr>
          <w:rFonts w:hint="eastAsia"/>
          <w:sz w:val="28"/>
          <w:szCs w:val="28"/>
        </w:rPr>
        <w:t>国内外合法企业经中华人民共和国海关进入蓬莱</w:t>
      </w:r>
      <w:r>
        <w:rPr>
          <w:rFonts w:hint="eastAsia"/>
          <w:sz w:val="28"/>
          <w:szCs w:val="28"/>
          <w:lang w:eastAsia="zh-CN"/>
        </w:rPr>
        <w:t>区</w:t>
      </w:r>
      <w:r>
        <w:rPr>
          <w:rFonts w:hint="eastAsia"/>
          <w:sz w:val="28"/>
          <w:szCs w:val="28"/>
        </w:rPr>
        <w:t>域内的进口葡萄酒（散装酒）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firstLine="42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二）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规范性引用文件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本章给出了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标准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件引用的规范性文件。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GB 2758 食品安全国家标准 发酵酒及其配制酒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GB 5009.225 食品安全国家标准 酒中乙醇浓度的测定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GB/T 15037 葡萄酒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GB/T 15038 葡萄酒、果酒通用分析方法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bidi w:val="0"/>
        <w:adjustRightInd/>
        <w:snapToGrid/>
        <w:spacing w:before="312" w:beforeLines="100" w:after="312" w:afterLines="100" w:line="360" w:lineRule="auto"/>
        <w:ind w:leftChars="0"/>
        <w:textAlignment w:val="auto"/>
        <w:outlineLvl w:val="1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术语和定义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before="312" w:beforeLines="100" w:after="312" w:afterLines="100" w:line="360" w:lineRule="auto"/>
        <w:ind w:firstLine="280" w:firstLineChars="100"/>
        <w:textAlignment w:val="auto"/>
        <w:outlineLvl w:val="1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GB/T 15037《葡萄酒》界定的术语和定义适用于本文件</w:t>
      </w:r>
    </w:p>
    <w:p>
      <w:pPr>
        <w:pStyle w:val="10"/>
        <w:keepNext w:val="0"/>
        <w:keepLines w:val="0"/>
        <w:pageBreakBefore w:val="0"/>
        <w:numPr>
          <w:ilvl w:val="0"/>
          <w:numId w:val="3"/>
        </w:numPr>
        <w:tabs>
          <w:tab w:val="center" w:pos="4201"/>
          <w:tab w:val="right" w:leader="dot" w:pos="9298"/>
        </w:tabs>
        <w:kinsoku/>
        <w:wordWrap/>
        <w:overflowPunct/>
        <w:topLinePunct w:val="0"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分级评定规则</w:t>
      </w:r>
    </w:p>
    <w:p>
      <w:pPr>
        <w:pStyle w:val="10"/>
        <w:keepNext w:val="0"/>
        <w:keepLines w:val="0"/>
        <w:pageBreakBefore w:val="0"/>
        <w:tabs>
          <w:tab w:val="center" w:pos="4201"/>
          <w:tab w:val="right" w:leader="dot" w:pos="9298"/>
        </w:tabs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本章给出了分级等级以及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分级评定的形式。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共分为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级，由低到高分为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级、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级、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级、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级、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级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6级、7级、8级、9级，9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级为最高等级。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采取盲品形式，外聘专家与当地技术人员相结合，评审小组组成人员不低于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7人。</w:t>
      </w:r>
    </w:p>
    <w:p>
      <w:pPr>
        <w:pStyle w:val="10"/>
        <w:keepNext w:val="0"/>
        <w:keepLines w:val="0"/>
        <w:pageBreakBefore w:val="0"/>
        <w:numPr>
          <w:ilvl w:val="0"/>
          <w:numId w:val="3"/>
        </w:numPr>
        <w:tabs>
          <w:tab w:val="center" w:pos="4201"/>
          <w:tab w:val="right" w:leader="dot" w:pos="9298"/>
        </w:tabs>
        <w:kinsoku/>
        <w:wordWrap/>
        <w:overflowPunct/>
        <w:topLinePunct w:val="0"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分级参评要求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tabs>
          <w:tab w:val="center" w:pos="4201"/>
          <w:tab w:val="right" w:leader="dot" w:pos="9298"/>
        </w:tabs>
        <w:kinsoku/>
        <w:wordWrap/>
        <w:overflowPunct/>
        <w:topLinePunct w:val="0"/>
        <w:bidi w:val="0"/>
        <w:adjustRightInd/>
        <w:snapToGrid/>
        <w:spacing w:line="240" w:lineRule="atLeast"/>
        <w:ind w:leftChars="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本章给出了参评范围，参评要求以及参评酒样的申报留存规范。</w:t>
      </w:r>
    </w:p>
    <w:p>
      <w:pPr>
        <w:pStyle w:val="10"/>
        <w:keepNext w:val="0"/>
        <w:keepLines w:val="0"/>
        <w:pageBreakBefore w:val="0"/>
        <w:numPr>
          <w:ilvl w:val="0"/>
          <w:numId w:val="3"/>
        </w:numPr>
        <w:tabs>
          <w:tab w:val="center" w:pos="4201"/>
          <w:tab w:val="right" w:leader="dot" w:pos="9298"/>
        </w:tabs>
        <w:kinsoku/>
        <w:wordWrap/>
        <w:overflowPunct/>
        <w:topLinePunct w:val="0"/>
        <w:bidi w:val="0"/>
        <w:adjustRightInd/>
        <w:snapToGrid/>
        <w:spacing w:line="240" w:lineRule="atLeast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分级评定流程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tabs>
          <w:tab w:val="center" w:pos="4201"/>
          <w:tab w:val="right" w:leader="dot" w:pos="9298"/>
        </w:tabs>
        <w:kinsoku/>
        <w:wordWrap/>
        <w:overflowPunct/>
        <w:topLinePunct w:val="0"/>
        <w:bidi w:val="0"/>
        <w:adjustRightInd/>
        <w:snapToGrid/>
        <w:spacing w:line="240" w:lineRule="atLeast"/>
        <w:ind w:leftChars="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本章给出了分级级别确认、评定级别最大分数值、评审人员资质以及分级评定结果的发布。</w:t>
      </w:r>
    </w:p>
    <w:p>
      <w:pPr>
        <w:pStyle w:val="12"/>
        <w:keepNext w:val="0"/>
        <w:keepLines w:val="0"/>
        <w:pageBreakBefore w:val="0"/>
        <w:numPr>
          <w:ilvl w:val="3"/>
          <w:numId w:val="0"/>
        </w:numPr>
        <w:kinsoku/>
        <w:wordWrap/>
        <w:overflowPunct/>
        <w:topLinePunct w:val="0"/>
        <w:bidi w:val="0"/>
        <w:adjustRightInd/>
        <w:snapToGrid/>
        <w:spacing w:before="0" w:after="0" w:line="240" w:lineRule="atLeast"/>
        <w:ind w:leftChars="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七）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产品分类</w:t>
      </w:r>
    </w:p>
    <w:p>
      <w:pPr>
        <w:pStyle w:val="12"/>
        <w:keepNext w:val="0"/>
        <w:keepLines w:val="0"/>
        <w:pageBreakBefore w:val="0"/>
        <w:numPr>
          <w:ilvl w:val="3"/>
          <w:numId w:val="0"/>
        </w:numPr>
        <w:kinsoku/>
        <w:wordWrap/>
        <w:overflowPunct/>
        <w:topLinePunct w:val="0"/>
        <w:bidi w:val="0"/>
        <w:adjustRightInd/>
        <w:snapToGrid/>
        <w:spacing w:before="0" w:after="0" w:line="240" w:lineRule="atLeast"/>
        <w:ind w:leftChars="0" w:firstLine="280" w:firstLineChars="1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本章给出了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GB/T 15037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，按照此标准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执行。</w:t>
      </w:r>
    </w:p>
    <w:p>
      <w:pPr>
        <w:pStyle w:val="10"/>
        <w:keepNext w:val="0"/>
        <w:keepLines w:val="0"/>
        <w:pageBreakBefore w:val="0"/>
        <w:tabs>
          <w:tab w:val="center" w:pos="4201"/>
          <w:tab w:val="right" w:leader="dot" w:pos="9298"/>
        </w:tabs>
        <w:kinsoku/>
        <w:wordWrap/>
        <w:overflowPunct/>
        <w:topLinePunct w:val="0"/>
        <w:bidi w:val="0"/>
        <w:adjustRightInd/>
        <w:snapToGrid/>
        <w:spacing w:line="240" w:lineRule="atLeast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八）附录</w:t>
      </w:r>
    </w:p>
    <w:p>
      <w:pPr>
        <w:pStyle w:val="10"/>
        <w:keepNext w:val="0"/>
        <w:keepLines w:val="0"/>
        <w:pageBreakBefore w:val="0"/>
        <w:tabs>
          <w:tab w:val="center" w:pos="4201"/>
          <w:tab w:val="right" w:leader="dot" w:pos="9298"/>
        </w:tabs>
        <w:kinsoku/>
        <w:wordWrap/>
        <w:overflowPunct/>
        <w:topLinePunct w:val="0"/>
        <w:bidi w:val="0"/>
        <w:adjustRightInd/>
        <w:snapToGrid/>
        <w:spacing w:line="240" w:lineRule="atLeast"/>
        <w:ind w:left="0" w:leftChars="0" w:firstLine="0" w:firstLineChars="0"/>
        <w:textAlignment w:val="auto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附录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A （规范性附录） 进口葡萄酒（散装酒）分级等级及参考依据</w:t>
      </w:r>
    </w:p>
    <w:p>
      <w:pPr>
        <w:pStyle w:val="10"/>
        <w:keepNext w:val="0"/>
        <w:keepLines w:val="0"/>
        <w:pageBreakBefore w:val="0"/>
        <w:tabs>
          <w:tab w:val="center" w:pos="4201"/>
          <w:tab w:val="right" w:leader="dot" w:pos="9298"/>
        </w:tabs>
        <w:kinsoku/>
        <w:wordWrap/>
        <w:overflowPunct/>
        <w:topLinePunct w:val="0"/>
        <w:bidi w:val="0"/>
        <w:adjustRightInd/>
        <w:snapToGrid/>
        <w:spacing w:line="240" w:lineRule="atLeast"/>
        <w:ind w:left="0" w:leftChars="0" w:firstLine="0" w:firstLineChars="0"/>
        <w:textAlignment w:val="auto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附录B  (规范性附录） 进口葡萄酒（散装酒）分级评分标准</w:t>
      </w:r>
    </w:p>
    <w:p>
      <w:pPr>
        <w:pStyle w:val="10"/>
        <w:keepNext w:val="0"/>
        <w:keepLines w:val="0"/>
        <w:pageBreakBefore w:val="0"/>
        <w:tabs>
          <w:tab w:val="center" w:pos="4201"/>
          <w:tab w:val="right" w:leader="dot" w:pos="9298"/>
        </w:tabs>
        <w:kinsoku/>
        <w:wordWrap/>
        <w:overflowPunct/>
        <w:topLinePunct w:val="0"/>
        <w:bidi w:val="0"/>
        <w:adjustRightInd/>
        <w:snapToGrid/>
        <w:spacing w:line="240" w:lineRule="atLeast"/>
        <w:ind w:left="0" w:leftChars="0" w:firstLine="0" w:firstLineChars="0"/>
        <w:textAlignment w:val="auto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附录C （规范性附录） 进口葡萄酒（散装酒）分级评定申请表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  <w:t>六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、标准实施建议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tLeas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在本标准通过审核、批准发布之后，由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蓬莱葡萄酒行业协会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组织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产区内企业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对本标准进行宣贯，在行业内进行推广。建议本标准自发布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个月之后开始实施。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tLeast"/>
        <w:ind w:firstLine="281" w:firstLineChars="100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CN"/>
        </w:rPr>
        <w:t>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、其他需要说明的问题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  <w:t xml:space="preserve">                                       标准起草小组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  <w:t xml:space="preserve">                                         2020年9月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360" w:lineRule="auto"/>
        <w:ind w:firstLine="280" w:firstLineChars="1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8D4C9D"/>
    <w:multiLevelType w:val="singleLevel"/>
    <w:tmpl w:val="9D8D4C9D"/>
    <w:lvl w:ilvl="0" w:tentative="0">
      <w:start w:val="1"/>
      <w:numFmt w:val="chineseCounting"/>
      <w:suff w:val="nothing"/>
      <w:lvlText w:val="%1）"/>
      <w:lvlJc w:val="left"/>
      <w:rPr>
        <w:rFonts w:hint="eastAsia"/>
      </w:rPr>
    </w:lvl>
  </w:abstractNum>
  <w:abstractNum w:abstractNumId="1">
    <w:nsid w:val="B34821F9"/>
    <w:multiLevelType w:val="singleLevel"/>
    <w:tmpl w:val="B34821F9"/>
    <w:lvl w:ilvl="0" w:tentative="0">
      <w:start w:val="3"/>
      <w:numFmt w:val="chineseCounting"/>
      <w:suff w:val="space"/>
      <w:lvlText w:val="%1)"/>
      <w:lvlJc w:val="left"/>
      <w:rPr>
        <w:rFonts w:hint="eastAsia"/>
      </w:rPr>
    </w:lvl>
  </w:abstractNum>
  <w:abstractNum w:abstractNumId="2">
    <w:nsid w:val="F7941E0F"/>
    <w:multiLevelType w:val="singleLevel"/>
    <w:tmpl w:val="F7941E0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8343976"/>
    <w:multiLevelType w:val="singleLevel"/>
    <w:tmpl w:val="48343976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6CEA2025"/>
    <w:multiLevelType w:val="multilevel"/>
    <w:tmpl w:val="6CEA2025"/>
    <w:lvl w:ilvl="0" w:tentative="0">
      <w:start w:val="1"/>
      <w:numFmt w:val="none"/>
      <w:suff w:val="nothing"/>
      <w:lvlText w:val="%1"/>
      <w:lvlJc w:val="left"/>
      <w:rPr>
        <w:rFonts w:hint="default" w:ascii="Times New Roman" w:hAnsi="Times New Roman" w:cs="Times New Roman"/>
        <w:b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2" w:tentative="0">
      <w:start w:val="1"/>
      <w:numFmt w:val="decimal"/>
      <w:pStyle w:val="9"/>
      <w:suff w:val="nothing"/>
      <w:lvlText w:val="%1%2.%3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pStyle w:val="8"/>
      <w:suff w:val="nothing"/>
      <w:lvlText w:val="%1%2.%3.%4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75004"/>
    <w:rsid w:val="079F5922"/>
    <w:rsid w:val="0CA92FEC"/>
    <w:rsid w:val="0DA8776E"/>
    <w:rsid w:val="16682A0D"/>
    <w:rsid w:val="1A426017"/>
    <w:rsid w:val="243F0D7F"/>
    <w:rsid w:val="30BD0B6D"/>
    <w:rsid w:val="321D4D6B"/>
    <w:rsid w:val="345E2126"/>
    <w:rsid w:val="37C75004"/>
    <w:rsid w:val="3E1C7E9B"/>
    <w:rsid w:val="51313F40"/>
    <w:rsid w:val="53AD2932"/>
    <w:rsid w:val="5F87164C"/>
    <w:rsid w:val="67876352"/>
    <w:rsid w:val="6BC4767F"/>
    <w:rsid w:val="6C65326B"/>
    <w:rsid w:val="76A5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华文中宋" w:hAnsi="华文中宋" w:eastAsia="华文中宋"/>
      <w:b/>
      <w:bCs/>
      <w:sz w:val="44"/>
    </w:rPr>
  </w:style>
  <w:style w:type="paragraph" w:styleId="3">
    <w:name w:val="toc 1"/>
    <w:basedOn w:val="1"/>
    <w:next w:val="1"/>
    <w:qFormat/>
    <w:uiPriority w:val="39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4">
    <w:name w:val="Normal (Web)"/>
    <w:basedOn w:val="1"/>
    <w:qFormat/>
    <w:uiPriority w:val="0"/>
    <w:pPr>
      <w:widowControl/>
      <w:spacing w:after="210"/>
      <w:jc w:val="left"/>
    </w:pPr>
    <w:rPr>
      <w:rFonts w:ascii="宋体" w:hAnsi="宋体"/>
      <w:kern w:val="0"/>
      <w:sz w:val="24"/>
    </w:rPr>
  </w:style>
  <w:style w:type="table" w:styleId="6">
    <w:name w:val="Table Grid"/>
    <w:basedOn w:val="5"/>
    <w:qFormat/>
    <w:uiPriority w:val="0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8">
    <w:name w:val="二级条标题"/>
    <w:basedOn w:val="9"/>
    <w:next w:val="10"/>
    <w:qFormat/>
    <w:uiPriority w:val="0"/>
    <w:pPr>
      <w:numPr>
        <w:ilvl w:val="3"/>
        <w:numId w:val="1"/>
      </w:numPr>
      <w:outlineLvl w:val="3"/>
    </w:pPr>
  </w:style>
  <w:style w:type="paragraph" w:customStyle="1" w:styleId="9">
    <w:name w:val="一级条标题"/>
    <w:next w:val="10"/>
    <w:qFormat/>
    <w:uiPriority w:val="0"/>
    <w:pPr>
      <w:numPr>
        <w:ilvl w:val="2"/>
        <w:numId w:val="1"/>
      </w:numPr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0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">
    <w:name w:val="一级无"/>
    <w:basedOn w:val="9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2">
    <w:name w:val="二级无"/>
    <w:basedOn w:val="8"/>
    <w:qFormat/>
    <w:uiPriority w:val="0"/>
    <w:pPr>
      <w:spacing w:beforeLines="0" w:afterLines="0"/>
    </w:pPr>
    <w:rPr>
      <w:rFonts w:ascii="宋体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2020-10-04T02:28:00Z</dcterms:created>
  <dc:creator>海中妖</dc:creator>
  <cp:lastModifiedBy>海中妖</cp:lastModifiedBy>
  <dcterms:modified xsi:type="dcterms:W3CDTF">2020-10-07T07:53:43Z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