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52"/>
          <w:szCs w:val="52"/>
        </w:rPr>
      </w:pPr>
    </w:p>
    <w:p>
      <w:pPr>
        <w:spacing w:line="360" w:lineRule="auto"/>
        <w:jc w:val="center"/>
        <w:rPr>
          <w:rFonts w:ascii="Times New Roman" w:hAnsi="Times New Roman" w:eastAsia="宋体" w:cs="Times New Roman"/>
          <w:szCs w:val="24"/>
        </w:rPr>
      </w:pPr>
      <w:r>
        <w:rPr>
          <w:rFonts w:ascii="Times New Roman" w:hAnsi="Times New Roman" w:eastAsia="宋体" w:cs="Times New Roman"/>
          <w:b/>
          <w:bCs/>
          <w:sz w:val="52"/>
          <w:szCs w:val="52"/>
        </w:rPr>
        <w:t>《</w:t>
      </w:r>
      <w:r>
        <w:rPr>
          <w:rFonts w:hint="eastAsia" w:ascii="Times New Roman" w:hAnsi="Times New Roman" w:eastAsia="宋体" w:cs="Times New Roman"/>
          <w:b/>
          <w:bCs/>
          <w:sz w:val="52"/>
          <w:szCs w:val="52"/>
        </w:rPr>
        <w:t>柑橘白兰地加工技术规程</w:t>
      </w:r>
      <w:r>
        <w:rPr>
          <w:rFonts w:ascii="Times New Roman" w:hAnsi="Times New Roman" w:eastAsia="宋体" w:cs="Times New Roman"/>
          <w:b/>
          <w:bCs/>
          <w:sz w:val="52"/>
          <w:szCs w:val="52"/>
        </w:rPr>
        <w:t>》</w:t>
      </w:r>
    </w:p>
    <w:p>
      <w:pPr>
        <w:ind w:firstLine="3264" w:firstLineChars="739"/>
        <w:jc w:val="center"/>
        <w:rPr>
          <w:rFonts w:ascii="Times New Roman" w:hAnsi="Times New Roman" w:eastAsia="宋体" w:cs="Times New Roman"/>
          <w:b/>
          <w:bCs/>
          <w:sz w:val="44"/>
          <w:szCs w:val="44"/>
        </w:rPr>
      </w:pPr>
    </w:p>
    <w:p>
      <w:pPr>
        <w:ind w:firstLine="3264" w:firstLineChars="739"/>
        <w:jc w:val="center"/>
        <w:rPr>
          <w:rFonts w:ascii="Times New Roman" w:hAnsi="Times New Roman" w:eastAsia="宋体" w:cs="Times New Roman"/>
          <w:b/>
          <w:bCs/>
          <w:sz w:val="44"/>
          <w:szCs w:val="44"/>
        </w:rPr>
      </w:pPr>
    </w:p>
    <w:p>
      <w:pPr>
        <w:jc w:val="center"/>
        <w:rPr>
          <w:rFonts w:ascii="Times New Roman" w:hAnsi="Times New Roman" w:eastAsia="宋体" w:cs="Times New Roman"/>
          <w:b/>
          <w:bCs/>
          <w:sz w:val="84"/>
          <w:szCs w:val="84"/>
        </w:rPr>
      </w:pPr>
      <w:r>
        <w:rPr>
          <w:rFonts w:hint="eastAsia" w:ascii="Times New Roman" w:hAnsi="Times New Roman" w:eastAsia="宋体" w:cs="Times New Roman"/>
          <w:b/>
          <w:bCs/>
          <w:sz w:val="84"/>
          <w:szCs w:val="84"/>
        </w:rPr>
        <w:t>地方</w:t>
      </w:r>
      <w:r>
        <w:rPr>
          <w:rFonts w:ascii="Times New Roman" w:hAnsi="Times New Roman" w:eastAsia="宋体" w:cs="Times New Roman"/>
          <w:b/>
          <w:bCs/>
          <w:sz w:val="84"/>
          <w:szCs w:val="84"/>
        </w:rPr>
        <w:t>标准</w:t>
      </w:r>
    </w:p>
    <w:p>
      <w:pPr>
        <w:jc w:val="center"/>
        <w:rPr>
          <w:rFonts w:ascii="Times New Roman" w:hAnsi="Times New Roman" w:eastAsia="宋体" w:cs="Times New Roman"/>
          <w:b/>
          <w:bCs/>
          <w:sz w:val="84"/>
          <w:szCs w:val="84"/>
        </w:rPr>
      </w:pPr>
    </w:p>
    <w:p>
      <w:pPr>
        <w:jc w:val="center"/>
        <w:rPr>
          <w:rFonts w:ascii="Times New Roman" w:hAnsi="Times New Roman" w:eastAsia="宋体" w:cs="Times New Roman"/>
          <w:b/>
          <w:bCs/>
          <w:sz w:val="72"/>
          <w:szCs w:val="72"/>
        </w:rPr>
      </w:pPr>
      <w:r>
        <w:rPr>
          <w:rFonts w:ascii="Times New Roman" w:hAnsi="Times New Roman" w:eastAsia="宋体" w:cs="Times New Roman"/>
          <w:b/>
          <w:bCs/>
          <w:sz w:val="72"/>
          <w:szCs w:val="72"/>
        </w:rPr>
        <w:t>编制说明</w:t>
      </w:r>
    </w:p>
    <w:p>
      <w:pPr>
        <w:ind w:firstLine="843" w:firstLineChars="300"/>
        <w:jc w:val="center"/>
        <w:rPr>
          <w:rFonts w:ascii="Times New Roman" w:hAnsi="Times New Roman" w:eastAsia="宋体" w:cs="Times New Roman"/>
          <w:b/>
          <w:bCs/>
          <w:sz w:val="28"/>
          <w:szCs w:val="28"/>
        </w:rPr>
      </w:pPr>
    </w:p>
    <w:p>
      <w:pPr>
        <w:ind w:firstLine="2530" w:firstLineChars="300"/>
        <w:jc w:val="center"/>
        <w:rPr>
          <w:rFonts w:ascii="Times New Roman" w:hAnsi="Times New Roman" w:eastAsia="宋体" w:cs="Times New Roman"/>
          <w:b/>
          <w:bCs/>
          <w:sz w:val="84"/>
          <w:szCs w:val="84"/>
        </w:rPr>
      </w:pPr>
    </w:p>
    <w:p>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（送审稿）</w:t>
      </w:r>
    </w:p>
    <w:p>
      <w:pPr>
        <w:ind w:firstLine="2530" w:firstLineChars="300"/>
        <w:jc w:val="center"/>
        <w:rPr>
          <w:rFonts w:ascii="Times New Roman" w:hAnsi="Times New Roman" w:eastAsia="宋体" w:cs="Times New Roman"/>
          <w:b/>
          <w:bCs/>
          <w:sz w:val="84"/>
          <w:szCs w:val="84"/>
        </w:rPr>
      </w:pPr>
    </w:p>
    <w:p>
      <w:pPr>
        <w:jc w:val="center"/>
        <w:rPr>
          <w:rFonts w:ascii="Times New Roman" w:hAnsi="Times New Roman" w:eastAsia="宋体" w:cs="Times New Roman"/>
          <w:b/>
          <w:bCs/>
          <w:sz w:val="30"/>
          <w:szCs w:val="30"/>
        </w:rPr>
      </w:pPr>
    </w:p>
    <w:p>
      <w:pPr>
        <w:jc w:val="center"/>
        <w:rPr>
          <w:rFonts w:ascii="Times New Roman" w:hAnsi="Times New Roman" w:eastAsia="宋体" w:cs="Times New Roman"/>
          <w:b/>
          <w:bCs/>
          <w:sz w:val="30"/>
          <w:szCs w:val="30"/>
        </w:rPr>
      </w:pPr>
    </w:p>
    <w:p>
      <w:pPr>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2022年10月</w:t>
      </w:r>
      <w:r>
        <w:rPr>
          <w:rFonts w:hint="eastAsia" w:ascii="Times New Roman" w:hAnsi="Times New Roman" w:eastAsia="宋体" w:cs="Times New Roman"/>
          <w:b/>
          <w:bCs/>
          <w:sz w:val="30"/>
          <w:szCs w:val="30"/>
        </w:rPr>
        <w:t>15</w:t>
      </w:r>
      <w:r>
        <w:rPr>
          <w:rFonts w:ascii="Times New Roman" w:hAnsi="Times New Roman" w:eastAsia="宋体" w:cs="Times New Roman"/>
          <w:b/>
          <w:bCs/>
          <w:sz w:val="30"/>
          <w:szCs w:val="30"/>
        </w:rPr>
        <w:t>日</w:t>
      </w:r>
    </w:p>
    <w:p>
      <w:pPr>
        <w:jc w:val="center"/>
        <w:rPr>
          <w:rFonts w:ascii="Times New Roman" w:hAnsi="Times New Roman" w:eastAsia="宋体" w:cs="Times New Roman"/>
          <w:b/>
          <w:bCs/>
          <w:sz w:val="30"/>
          <w:szCs w:val="30"/>
        </w:rPr>
      </w:pPr>
    </w:p>
    <w:p>
      <w:pPr>
        <w:jc w:val="center"/>
        <w:rPr>
          <w:rFonts w:ascii="Times New Roman" w:hAnsi="Times New Roman" w:eastAsia="宋体" w:cs="Times New Roman"/>
          <w:b/>
          <w:bCs/>
          <w:sz w:val="30"/>
          <w:szCs w:val="30"/>
        </w:rPr>
      </w:pPr>
    </w:p>
    <w:p>
      <w:pPr>
        <w:jc w:val="center"/>
        <w:rPr>
          <w:rFonts w:ascii="Times New Roman" w:hAnsi="Times New Roman" w:eastAsia="宋体" w:cs="Times New Roman"/>
          <w:b/>
          <w:bCs/>
          <w:sz w:val="30"/>
          <w:szCs w:val="30"/>
        </w:rPr>
      </w:pPr>
    </w:p>
    <w:p>
      <w:pPr>
        <w:rPr>
          <w:rFonts w:ascii="Times New Roman" w:hAnsi="Times New Roman" w:eastAsia="黑体" w:cs="Times New Roman"/>
          <w:b/>
          <w:sz w:val="24"/>
          <w:szCs w:val="24"/>
        </w:rPr>
      </w:pPr>
      <w:bookmarkStart w:id="0" w:name="_Toc273177611"/>
      <w:r>
        <w:rPr>
          <w:rFonts w:hint="eastAsia" w:ascii="Times New Roman" w:hAnsi="Times New Roman" w:eastAsia="黑体" w:cs="Times New Roman"/>
          <w:b/>
          <w:sz w:val="24"/>
          <w:szCs w:val="24"/>
        </w:rPr>
        <w:t>一、</w:t>
      </w:r>
      <w:r>
        <w:rPr>
          <w:rFonts w:ascii="Times New Roman" w:hAnsi="Times New Roman" w:eastAsia="黑体" w:cs="Times New Roman"/>
          <w:b/>
          <w:sz w:val="24"/>
          <w:szCs w:val="24"/>
        </w:rPr>
        <w:t>工作简况</w:t>
      </w:r>
      <w:bookmarkEnd w:id="0"/>
      <w:bookmarkStart w:id="1" w:name="_Toc273177612"/>
      <w:bookmarkStart w:id="2" w:name="_Toc183883215"/>
    </w:p>
    <w:p>
      <w:pPr>
        <w:ind w:firstLine="422" w:firstLineChars="200"/>
        <w:rPr>
          <w:rFonts w:ascii="Times New Roman" w:hAnsi="Times New Roman" w:eastAsia="黑体" w:cs="Times New Roman"/>
          <w:b/>
          <w:sz w:val="24"/>
          <w:szCs w:val="24"/>
        </w:rPr>
      </w:pPr>
      <w:r>
        <w:rPr>
          <w:rFonts w:ascii="Times New Roman" w:hAnsi="Times New Roman" w:eastAsia="宋体" w:cs="Times New Roman"/>
          <w:b/>
          <w:szCs w:val="21"/>
        </w:rPr>
        <w:t>1</w:t>
      </w:r>
      <w:r>
        <w:rPr>
          <w:rFonts w:hint="eastAsia" w:ascii="Times New Roman" w:hAnsi="Times New Roman" w:eastAsia="宋体" w:cs="Times New Roman"/>
          <w:b/>
          <w:szCs w:val="21"/>
        </w:rPr>
        <w:t>、</w:t>
      </w:r>
      <w:r>
        <w:rPr>
          <w:rFonts w:ascii="Times New Roman" w:hAnsi="宋体" w:eastAsia="宋体" w:cs="Times New Roman"/>
          <w:b/>
          <w:szCs w:val="21"/>
        </w:rPr>
        <w:t>目的意义</w:t>
      </w:r>
      <w:bookmarkEnd w:id="1"/>
      <w:bookmarkEnd w:id="2"/>
    </w:p>
    <w:p>
      <w:pPr>
        <w:widowControl/>
        <w:spacing w:line="360" w:lineRule="auto"/>
        <w:ind w:firstLine="480"/>
        <w:rPr>
          <w:rFonts w:ascii="Times New Roman" w:hAnsi="宋体" w:eastAsia="宋体" w:cs="Times New Roman"/>
          <w:snapToGrid w:val="0"/>
          <w:szCs w:val="21"/>
        </w:rPr>
      </w:pPr>
      <w:bookmarkStart w:id="3" w:name="_Toc183883216"/>
      <w:bookmarkStart w:id="4" w:name="_Toc273177613"/>
      <w:r>
        <w:rPr>
          <w:rFonts w:hint="eastAsia" w:ascii="Times New Roman" w:hAnsi="宋体" w:eastAsia="宋体" w:cs="Times New Roman"/>
          <w:snapToGrid w:val="0"/>
          <w:szCs w:val="21"/>
        </w:rPr>
        <w:t>柑橘是我省的大宗水果，</w:t>
      </w:r>
      <w:r>
        <w:rPr>
          <w:rFonts w:ascii="Times New Roman" w:hAnsi="宋体" w:eastAsia="宋体" w:cs="Times New Roman"/>
          <w:snapToGrid w:val="0"/>
          <w:szCs w:val="21"/>
        </w:rPr>
        <w:t>2019年我省柑橘面积570万亩，产量528.6万吨，均居全国前列，柑橘生产加工已成为解决“三农”问题与精准扶贫的重要产业。我省柑橘产业以宽皮柑桔为主栽品种，鲜食为主、销售压力大、附加值低，柑橘加工比例仅为5%-10%，发展柑橘深加工是解决农户柑橘出路、提高柑橘附加值、为农户增收的有效途径。</w:t>
      </w:r>
    </w:p>
    <w:p>
      <w:pPr>
        <w:widowControl/>
        <w:spacing w:line="360" w:lineRule="auto"/>
        <w:ind w:firstLine="480"/>
        <w:rPr>
          <w:rFonts w:ascii="Times New Roman" w:hAnsi="宋体" w:eastAsia="宋体" w:cs="Times New Roman"/>
          <w:snapToGrid w:val="0"/>
          <w:szCs w:val="21"/>
        </w:rPr>
      </w:pPr>
      <w:r>
        <w:rPr>
          <w:rFonts w:hint="eastAsia" w:ascii="Times New Roman" w:hAnsi="宋体" w:eastAsia="宋体" w:cs="Times New Roman"/>
          <w:snapToGrid w:val="0"/>
          <w:szCs w:val="21"/>
        </w:rPr>
        <w:t>白兰地（</w:t>
      </w:r>
      <w:r>
        <w:rPr>
          <w:rFonts w:ascii="Times New Roman" w:hAnsi="宋体" w:eastAsia="宋体" w:cs="Times New Roman"/>
          <w:snapToGrid w:val="0"/>
          <w:szCs w:val="21"/>
        </w:rPr>
        <w:t>Brandy）是一种由水果发酵、蒸馏而成的水果酒，常用葡萄、苹果、樱桃等水果酿制，为保有其风味、芳香与特性，一般蒸馏酒精度低于95%。世界各国都出产白兰地,其中以法国南部干邑的最为出名，称为 “白兰地之王”。白兰地是一种高雅、庄重的美酒，影响葡萄白兰地质量的因素主要有葡萄品种和质量、蒸馏设备和方法、储藏条件和时间等。在诸多影响因素中，白兰地在橡木桶中的贮藏时间是其分级的重要依据。一般来说，白兰地在橡木桶中贮存时间越长，质量就越好。在国际上，白兰地的分级一般是根据酒龄划分的，具体的等级界定方法，不同的</w:t>
      </w:r>
      <w:r>
        <w:rPr>
          <w:rFonts w:hint="eastAsia" w:ascii="Times New Roman" w:hAnsi="宋体" w:eastAsia="宋体" w:cs="Times New Roman"/>
          <w:snapToGrid w:val="0"/>
          <w:szCs w:val="21"/>
        </w:rPr>
        <w:t>国家有不同的规定。湖南省农产品加工研究所早在</w:t>
      </w:r>
      <w:r>
        <w:rPr>
          <w:rFonts w:ascii="Times New Roman" w:hAnsi="宋体" w:eastAsia="宋体" w:cs="Times New Roman"/>
          <w:snapToGrid w:val="0"/>
          <w:szCs w:val="21"/>
        </w:rPr>
        <w:t>2000年即以柑橘为原料，采用优良菌株接种控温发酵及两段式夏朗德壶式蒸馏技术，开发了风味独特、优雅柑橘品种香和浓郁橡木香、醇香持久、营养丰富的柑橘白兰地系列产品。此技术和产品先后获得国家科技进步二等奖、省科技进步三等奖，应用于石门夹山酒业开发有限公司、湘西苗凤凰农业科技发展有限公司、湖南施韵酒业有限公司等企业。</w:t>
      </w:r>
    </w:p>
    <w:p>
      <w:pPr>
        <w:widowControl/>
        <w:spacing w:line="360" w:lineRule="auto"/>
        <w:ind w:firstLine="480"/>
        <w:rPr>
          <w:rFonts w:ascii="Times New Roman" w:hAnsi="宋体" w:eastAsia="宋体" w:cs="Times New Roman"/>
          <w:snapToGrid w:val="0"/>
          <w:szCs w:val="21"/>
        </w:rPr>
      </w:pPr>
      <w:r>
        <w:rPr>
          <w:rFonts w:hint="eastAsia" w:ascii="Times New Roman" w:hAnsi="宋体" w:eastAsia="宋体" w:cs="Times New Roman"/>
          <w:snapToGrid w:val="0"/>
          <w:szCs w:val="21"/>
        </w:rPr>
        <w:t>柑橘在贮藏过程中易受到青霉菌、链格孢霉菌等病原微生物污染，产生并积累展青霉素、橘青霉素、</w:t>
      </w:r>
      <w:r>
        <w:rPr>
          <w:rFonts w:ascii="Times New Roman" w:hAnsi="宋体" w:eastAsia="宋体" w:cs="Times New Roman"/>
          <w:snapToGrid w:val="0"/>
          <w:szCs w:val="21"/>
        </w:rPr>
        <w:t>链格孢霉毒素</w:t>
      </w:r>
      <w:r>
        <w:rPr>
          <w:rFonts w:hint="eastAsia" w:ascii="Times New Roman" w:hAnsi="宋体" w:eastAsia="宋体" w:cs="Times New Roman"/>
          <w:snapToGrid w:val="0"/>
          <w:szCs w:val="21"/>
        </w:rPr>
        <w:t>等真菌毒素；同时柑橘汁中果胶含量高，发酵原酒和蒸馏酒中存在甲醇含量超标与氨基甲酸乙酯含量高的风险。现有的白兰地和蒸馏酒标准仅对品质和安全指标进行了限定，没有相关技术规范来指导柑橘白兰地的生产，缺乏统一的技术规程导致产品的品质难以保证。因此，迫切需要制定《柑橘白兰地加工技术规程》来规范柑桔白兰地的加工生产，提高产品安全与质量。技术规程实施后将指导我省柑橘白兰地加工，有效提升我省柑橘加工能力，促进柑橘产业的健康发展。</w:t>
      </w:r>
    </w:p>
    <w:p>
      <w:pPr>
        <w:widowControl/>
        <w:spacing w:line="360" w:lineRule="auto"/>
        <w:ind w:firstLine="422" w:firstLineChars="200"/>
        <w:rPr>
          <w:rFonts w:ascii="Times New Roman" w:hAnsi="宋体" w:eastAsia="宋体" w:cs="Times New Roman"/>
          <w:b/>
          <w:snapToGrid w:val="0"/>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w:t>
      </w:r>
      <w:r>
        <w:rPr>
          <w:rFonts w:ascii="Times New Roman" w:hAnsi="宋体" w:eastAsia="宋体" w:cs="Times New Roman"/>
          <w:b/>
          <w:szCs w:val="21"/>
        </w:rPr>
        <w:t>任务来源、承担单位</w:t>
      </w:r>
      <w:bookmarkEnd w:id="3"/>
      <w:bookmarkEnd w:id="4"/>
    </w:p>
    <w:p>
      <w:pPr>
        <w:spacing w:line="360" w:lineRule="auto"/>
        <w:ind w:firstLine="420" w:firstLineChars="200"/>
        <w:jc w:val="left"/>
        <w:rPr>
          <w:rFonts w:ascii="Times New Roman" w:hAnsi="宋体" w:eastAsia="宋体" w:cs="Times New Roman"/>
          <w:szCs w:val="21"/>
        </w:rPr>
      </w:pPr>
      <w:r>
        <w:rPr>
          <w:rFonts w:hint="eastAsia" w:ascii="Times New Roman" w:hAnsi="宋体" w:eastAsia="宋体" w:cs="Times New Roman"/>
          <w:szCs w:val="21"/>
        </w:rPr>
        <w:t>根据湘市监标函〔2022〕4 号“湖南省市场监督管理局关于下达2022 年第一批地方标准制修订项目计划的通知</w:t>
      </w:r>
      <w:r>
        <w:rPr>
          <w:rFonts w:hint="eastAsia" w:ascii="Times New Roman" w:hAnsi="宋体" w:eastAsia="宋体" w:cs="Times New Roman"/>
          <w:szCs w:val="21"/>
          <w:lang w:eastAsia="zh-CN"/>
        </w:rPr>
        <w:t>，</w:t>
      </w:r>
      <w:r>
        <w:rPr>
          <w:rFonts w:hint="eastAsia" w:ascii="Times New Roman" w:hAnsi="宋体" w:eastAsia="宋体" w:cs="Times New Roman"/>
          <w:szCs w:val="21"/>
        </w:rPr>
        <w:t>下达了“柑橘白兰地加工技术规程”制定任务</w:t>
      </w:r>
      <w:bookmarkStart w:id="7" w:name="_GoBack"/>
      <w:bookmarkEnd w:id="7"/>
      <w:r>
        <w:rPr>
          <w:rFonts w:ascii="Times New Roman" w:hAnsi="宋体" w:eastAsia="宋体" w:cs="Times New Roman"/>
          <w:szCs w:val="21"/>
        </w:rPr>
        <w:t>。该标准制定由项目承担单位湖南省</w:t>
      </w:r>
      <w:r>
        <w:rPr>
          <w:rFonts w:hint="eastAsia" w:ascii="Times New Roman" w:hAnsi="宋体" w:eastAsia="宋体" w:cs="Times New Roman"/>
          <w:szCs w:val="21"/>
        </w:rPr>
        <w:t>农产品加工研究所</w:t>
      </w:r>
      <w:r>
        <w:rPr>
          <w:rFonts w:ascii="Times New Roman" w:hAnsi="宋体" w:eastAsia="宋体" w:cs="Times New Roman"/>
          <w:szCs w:val="21"/>
        </w:rPr>
        <w:t>牵头，</w:t>
      </w:r>
      <w:r>
        <w:rPr>
          <w:rFonts w:hint="eastAsia" w:ascii="Times New Roman" w:hAnsi="宋体" w:eastAsia="宋体" w:cs="Times New Roman"/>
          <w:szCs w:val="21"/>
        </w:rPr>
        <w:t>新宁县润杰农业开发有限公司</w:t>
      </w:r>
      <w:r>
        <w:rPr>
          <w:rFonts w:ascii="Times New Roman" w:hAnsi="宋体" w:eastAsia="宋体" w:cs="Times New Roman"/>
          <w:szCs w:val="21"/>
        </w:rPr>
        <w:t>参与起草，由湖南农业标准化技术委员会归口。</w:t>
      </w:r>
      <w:r>
        <w:rPr>
          <w:rFonts w:hint="eastAsia" w:ascii="Times New Roman" w:hAnsi="宋体" w:eastAsia="宋体" w:cs="Times New Roman"/>
          <w:szCs w:val="21"/>
        </w:rPr>
        <w:t>起草组自20</w:t>
      </w:r>
      <w:r>
        <w:rPr>
          <w:rFonts w:ascii="Times New Roman" w:hAnsi="宋体" w:eastAsia="宋体" w:cs="Times New Roman"/>
          <w:szCs w:val="21"/>
        </w:rPr>
        <w:t>22</w:t>
      </w:r>
      <w:r>
        <w:rPr>
          <w:rFonts w:hint="eastAsia" w:ascii="Times New Roman" w:hAnsi="宋体" w:eastAsia="宋体" w:cs="Times New Roman"/>
          <w:szCs w:val="21"/>
        </w:rPr>
        <w:t>年</w:t>
      </w:r>
      <w:r>
        <w:rPr>
          <w:rFonts w:ascii="Times New Roman" w:hAnsi="宋体" w:eastAsia="宋体" w:cs="Times New Roman"/>
          <w:szCs w:val="21"/>
        </w:rPr>
        <w:t>1</w:t>
      </w:r>
      <w:r>
        <w:rPr>
          <w:rFonts w:hint="eastAsia" w:ascii="Times New Roman" w:hAnsi="宋体" w:eastAsia="宋体" w:cs="Times New Roman"/>
          <w:szCs w:val="21"/>
        </w:rPr>
        <w:t>月以来多次召开会议，先后讨论了标准的起草原则、框架、基本内容等，在起草时遵照《食品安全法》及其实施条例等国家相关法律法规的要求进行工作。</w:t>
      </w:r>
      <w:bookmarkStart w:id="5" w:name="_Toc273177616"/>
    </w:p>
    <w:bookmarkEnd w:id="5"/>
    <w:p>
      <w:pPr>
        <w:spacing w:line="360" w:lineRule="auto"/>
        <w:rPr>
          <w:rFonts w:ascii="Times New Roman" w:hAnsi="Times New Roman" w:eastAsia="黑体" w:cs="Times New Roman"/>
          <w:b/>
          <w:sz w:val="24"/>
          <w:szCs w:val="24"/>
        </w:rPr>
      </w:pPr>
      <w:bookmarkStart w:id="6" w:name="_Toc273177617"/>
      <w:r>
        <w:rPr>
          <w:rFonts w:hint="eastAsia" w:ascii="Times New Roman" w:hAnsi="Times New Roman" w:eastAsia="黑体" w:cs="Times New Roman"/>
          <w:b/>
          <w:sz w:val="24"/>
          <w:szCs w:val="24"/>
        </w:rPr>
        <w:t>二、编制原则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在编制本标准的过程中，标准的起草规则遵循</w:t>
      </w:r>
      <w:r>
        <w:rPr>
          <w:rFonts w:ascii="Times New Roman" w:hAnsi="Times New Roman" w:eastAsia="宋体" w:cs="Times New Roman"/>
          <w:szCs w:val="21"/>
        </w:rPr>
        <w:t>GB1.1《标准化工作导则 第1部分：标准文件结构和编写》的有关要求。本标准制定遵循以下原则：</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1、科学性原则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制定本标准之前，标准的起草单位已经进行了多年的实验研究，标准所涉及的技术要求、工艺参数和品质参数的制定都有详实可靠的研究数据来支持，所以本标准是相关研究成果的集中体现。同时，本标准中技术要求依据相关国家标准及企业生产实际工艺技术要求。</w:t>
      </w:r>
      <w:r>
        <w:rPr>
          <w:rFonts w:ascii="Times New Roman" w:hAnsi="Times New Roman" w:eastAsia="宋体" w:cs="Times New Roman"/>
          <w:szCs w:val="21"/>
        </w:rPr>
        <w:t xml:space="preserve">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2、指导性原则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本标准的制定必须适应湖南省柑橘产业的发展要求，标准的加工方法是针对湖南目前企业生产设备和技术基础条件研究出来的，对保证柑桔白兰地的品质具有指导作用。</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3、可操作性原则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本标准确定的技术方法、工艺参数是通过柑橘白兰地加工的实践研究出来的，加工方法简单，劳动强度轻，设备容易操作，初中以上文化程度的员工都能掌握。</w:t>
      </w: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三、标准编制过程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自2021年10月开始项目研究到现在，本标准研究编制工作分为四个阶段，分别为：前期调研阶段、收集资料、起草技术规程、征求意见及送审阶段。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1、调研柑橘</w:t>
      </w:r>
      <w:r>
        <w:rPr>
          <w:rFonts w:hint="eastAsia" w:ascii="Times New Roman" w:hAnsi="Times New Roman" w:eastAsia="宋体" w:cs="Times New Roman"/>
          <w:szCs w:val="21"/>
        </w:rPr>
        <w:t>白兰地</w:t>
      </w:r>
      <w:r>
        <w:rPr>
          <w:rFonts w:ascii="Times New Roman" w:hAnsi="Times New Roman" w:eastAsia="宋体" w:cs="Times New Roman"/>
          <w:szCs w:val="21"/>
        </w:rPr>
        <w:t>加工生产情况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2021年10～12月主要调研了</w:t>
      </w:r>
      <w:r>
        <w:rPr>
          <w:rFonts w:hint="eastAsia" w:ascii="Times New Roman" w:hAnsi="Times New Roman" w:eastAsia="宋体" w:cs="Times New Roman"/>
          <w:szCs w:val="21"/>
        </w:rPr>
        <w:t>新宁县润杰农业开发有限公司等企业</w:t>
      </w:r>
      <w:r>
        <w:rPr>
          <w:rFonts w:ascii="Times New Roman" w:hAnsi="Times New Roman" w:eastAsia="宋体" w:cs="Times New Roman"/>
          <w:szCs w:val="21"/>
        </w:rPr>
        <w:t>柑橘</w:t>
      </w:r>
      <w:r>
        <w:rPr>
          <w:rFonts w:hint="eastAsia" w:ascii="Times New Roman" w:hAnsi="Times New Roman" w:eastAsia="宋体" w:cs="Times New Roman"/>
          <w:szCs w:val="21"/>
        </w:rPr>
        <w:t>白兰地</w:t>
      </w:r>
      <w:r>
        <w:rPr>
          <w:rFonts w:ascii="Times New Roman" w:hAnsi="Times New Roman" w:eastAsia="宋体" w:cs="Times New Roman"/>
          <w:szCs w:val="21"/>
        </w:rPr>
        <w:t>的生产情况。调研涉及的内容为柑橘</w:t>
      </w:r>
      <w:r>
        <w:rPr>
          <w:rFonts w:hint="eastAsia" w:ascii="Times New Roman" w:hAnsi="Times New Roman" w:eastAsia="宋体" w:cs="Times New Roman"/>
          <w:szCs w:val="21"/>
        </w:rPr>
        <w:t>白兰地</w:t>
      </w:r>
      <w:r>
        <w:rPr>
          <w:rFonts w:ascii="Times New Roman" w:hAnsi="Times New Roman" w:eastAsia="宋体" w:cs="Times New Roman"/>
          <w:szCs w:val="21"/>
        </w:rPr>
        <w:t>生产的</w:t>
      </w:r>
      <w:r>
        <w:rPr>
          <w:rFonts w:hint="eastAsia" w:ascii="Times New Roman" w:hAnsi="Times New Roman" w:eastAsia="宋体" w:cs="Times New Roman"/>
          <w:szCs w:val="21"/>
        </w:rPr>
        <w:t>原辅材料要求、设施、环境、卫生、工艺流程、生产技术要求、标志、标签、包装、贮存和运输。</w:t>
      </w:r>
      <w:r>
        <w:rPr>
          <w:rFonts w:ascii="Times New Roman" w:hAnsi="Times New Roman" w:eastAsia="宋体" w:cs="Times New Roman"/>
          <w:szCs w:val="21"/>
        </w:rPr>
        <w:t>与企业负责人在就生产过程中如何加强卫生管理和产品质量监管进行了深入交流。通过调研，较全面掌握了柑橘</w:t>
      </w:r>
      <w:r>
        <w:rPr>
          <w:rFonts w:hint="eastAsia" w:ascii="Times New Roman" w:hAnsi="Times New Roman" w:eastAsia="宋体" w:cs="Times New Roman"/>
          <w:szCs w:val="21"/>
        </w:rPr>
        <w:t>白兰地</w:t>
      </w:r>
      <w:r>
        <w:rPr>
          <w:rFonts w:ascii="Times New Roman" w:hAnsi="Times New Roman" w:eastAsia="宋体" w:cs="Times New Roman"/>
          <w:szCs w:val="21"/>
        </w:rPr>
        <w:t>的生产加工情况，为技术规程的制定打下了坚实的基础。</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2、收集资料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为使制定的标准符合国家法律法规和国家标准与行业标准的要求，结合柑橘白兰地加工生产实际，编制组收集了</w:t>
      </w:r>
      <w:r>
        <w:rPr>
          <w:rFonts w:ascii="Times New Roman" w:hAnsi="Times New Roman" w:eastAsia="宋体" w:cs="Times New Roman"/>
          <w:szCs w:val="21"/>
        </w:rPr>
        <w:t>GB/T 12947《鲜柑橘橙》、GBT11856</w:t>
      </w:r>
      <w:r>
        <w:rPr>
          <w:rFonts w:hint="eastAsia" w:ascii="Times New Roman" w:hAnsi="Times New Roman" w:eastAsia="宋体" w:cs="Times New Roman"/>
          <w:szCs w:val="21"/>
        </w:rPr>
        <w:t>《</w:t>
      </w:r>
      <w:r>
        <w:rPr>
          <w:rFonts w:ascii="Times New Roman" w:hAnsi="Times New Roman" w:eastAsia="宋体" w:cs="Times New Roman"/>
          <w:szCs w:val="21"/>
        </w:rPr>
        <w:t>白兰地</w:t>
      </w:r>
      <w:r>
        <w:rPr>
          <w:rFonts w:hint="eastAsia" w:ascii="Times New Roman" w:hAnsi="Times New Roman" w:eastAsia="宋体" w:cs="Times New Roman"/>
          <w:szCs w:val="21"/>
        </w:rPr>
        <w:t>》、</w:t>
      </w:r>
      <w:r>
        <w:rPr>
          <w:rFonts w:ascii="Times New Roman" w:hAnsi="Times New Roman" w:eastAsia="宋体" w:cs="Times New Roman"/>
          <w:szCs w:val="21"/>
        </w:rPr>
        <w:t>GB 8951《食品安全国家标准 蒸馏酒及其配制酒生产卫生规范》、GB 2757-2012</w:t>
      </w:r>
      <w:r>
        <w:rPr>
          <w:rFonts w:hint="eastAsia" w:ascii="Times New Roman" w:hAnsi="Times New Roman" w:eastAsia="宋体" w:cs="Times New Roman"/>
          <w:szCs w:val="21"/>
        </w:rPr>
        <w:t>《</w:t>
      </w:r>
      <w:r>
        <w:rPr>
          <w:rFonts w:ascii="Times New Roman" w:hAnsi="Times New Roman" w:eastAsia="宋体" w:cs="Times New Roman"/>
          <w:szCs w:val="21"/>
        </w:rPr>
        <w:t>食品安全国家标准 蒸馏酒及其配制酒</w:t>
      </w:r>
      <w:r>
        <w:rPr>
          <w:rFonts w:hint="eastAsia" w:ascii="Times New Roman" w:hAnsi="Times New Roman" w:eastAsia="宋体" w:cs="Times New Roman"/>
          <w:szCs w:val="21"/>
        </w:rPr>
        <w:t>》</w:t>
      </w:r>
      <w:r>
        <w:rPr>
          <w:rFonts w:ascii="Times New Roman" w:hAnsi="Times New Roman" w:eastAsia="宋体" w:cs="Times New Roman"/>
          <w:szCs w:val="21"/>
        </w:rPr>
        <w:t>等20多项国家标准和行业标准，经过综合整理和认真筛选，本标准中采纳了14项国家标准、1项行业标准，为标准制定提供了政策与技术依据。采纳情况如下：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191    包装储运图示标志</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317    白砂糖</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2760    食品安全国家标准  食品添加剂使用标准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2762    食品安全国家标准  食品中污染物限量</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2763    食品安全国家标准  食品中农药最大残留限量</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5749     生活饮用水卫生标准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7718    食品安全国家标准 预包装食品标签通则</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8951    食品安全国家标准 蒸馏酒及其配制酒生产卫生规范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11856  白兰地</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GB/T 12947  鲜柑橘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14881   食品安全国家标准  食品生产通用卫生规范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19298   食品安全国家标准  包装饮用水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31621   食品安全国家标准  食品经营过程卫生规范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GB 31639   食品安全国家标准  食品加工用酵母</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T/CBJ 4102  橡木桶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JJF 1070    定量包装商品净含量计量检验规则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国家质量监督检验检疫总局</w:t>
      </w:r>
      <w:r>
        <w:rPr>
          <w:rFonts w:ascii="Times New Roman" w:hAnsi="Times New Roman" w:eastAsia="宋体" w:cs="Times New Roman"/>
          <w:szCs w:val="21"/>
        </w:rPr>
        <w:t>[2005]第75 号令《定量包装商品计量监督管理办法》</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3、起草技术规程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在查阅大量的文献资料、加工生产调研等工作基础上，根据标准规定的内容和格式编写完成《柑橘白兰地加工技术规程》标准草案，现形成征求意见稿。</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4、征求意见及送审阶段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以湖南省农产品加工研究所为牵头单位，</w:t>
      </w:r>
      <w:r>
        <w:rPr>
          <w:rFonts w:hint="eastAsia" w:ascii="Times New Roman" w:hAnsi="Times New Roman" w:eastAsia="宋体" w:cs="Times New Roman"/>
          <w:szCs w:val="21"/>
        </w:rPr>
        <w:t>新宁县润杰农业开发有限公司</w:t>
      </w:r>
      <w:r>
        <w:rPr>
          <w:rFonts w:ascii="Times New Roman" w:hAnsi="Times New Roman" w:eastAsia="宋体" w:cs="Times New Roman"/>
          <w:szCs w:val="21"/>
        </w:rPr>
        <w:t>为参与单位，共同制定本标准。双方通过内部讨论，结合多年来柑橘</w:t>
      </w:r>
      <w:r>
        <w:rPr>
          <w:rFonts w:hint="eastAsia" w:ascii="Times New Roman" w:hAnsi="Times New Roman" w:eastAsia="宋体" w:cs="Times New Roman"/>
          <w:szCs w:val="21"/>
        </w:rPr>
        <w:t>白兰地</w:t>
      </w:r>
      <w:r>
        <w:rPr>
          <w:rFonts w:ascii="Times New Roman" w:hAnsi="Times New Roman" w:eastAsia="宋体" w:cs="Times New Roman"/>
          <w:szCs w:val="21"/>
        </w:rPr>
        <w:t>加工技术的研究成果，咨询专家意见，在GB/T 1.1《标准化工作导则 第1部分：标准的结构和编写》的指导下，形成了《柑橘</w:t>
      </w:r>
      <w:r>
        <w:rPr>
          <w:rFonts w:hint="eastAsia" w:ascii="Times New Roman" w:hAnsi="Times New Roman" w:eastAsia="宋体" w:cs="Times New Roman"/>
          <w:szCs w:val="21"/>
        </w:rPr>
        <w:t>白兰地</w:t>
      </w:r>
      <w:r>
        <w:rPr>
          <w:rFonts w:ascii="Times New Roman" w:hAnsi="Times New Roman" w:eastAsia="宋体" w:cs="Times New Roman"/>
          <w:szCs w:val="21"/>
        </w:rPr>
        <w:t>加工技术规程》地方标准的征求意见稿。</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根据征求意见进一步完善征求意见稿，召开标准专家审查会，再根据专家意见形成标准报批稿，送湖南省市场监管局报批。</w:t>
      </w:r>
    </w:p>
    <w:bookmarkEnd w:id="6"/>
    <w:p>
      <w:pPr>
        <w:spacing w:line="360" w:lineRule="auto"/>
        <w:rPr>
          <w:rFonts w:ascii="Times New Roman" w:hAnsi="Times New Roman" w:eastAsia="宋体" w:cs="Times New Roman"/>
          <w:szCs w:val="21"/>
        </w:rPr>
      </w:pPr>
      <w:r>
        <w:rPr>
          <w:rFonts w:hint="eastAsia" w:ascii="Times New Roman" w:hAnsi="Times New Roman" w:eastAsia="黑体" w:cs="Times New Roman"/>
          <w:b/>
          <w:sz w:val="24"/>
          <w:szCs w:val="24"/>
        </w:rPr>
        <w:t>四、</w:t>
      </w:r>
      <w:r>
        <w:rPr>
          <w:rFonts w:ascii="Times New Roman" w:hAnsi="Times New Roman" w:eastAsia="黑体" w:cs="Times New Roman"/>
          <w:b/>
          <w:sz w:val="24"/>
          <w:szCs w:val="24"/>
        </w:rPr>
        <w:t>标准主要技术内容的确定依据</w:t>
      </w:r>
    </w:p>
    <w:p>
      <w:pPr>
        <w:widowControl/>
        <w:tabs>
          <w:tab w:val="center" w:pos="4201"/>
          <w:tab w:val="right" w:leader="dot" w:pos="9298"/>
        </w:tabs>
        <w:autoSpaceDE w:val="0"/>
        <w:autoSpaceDN w:val="0"/>
        <w:ind w:firstLine="422" w:firstLineChars="200"/>
        <w:rPr>
          <w:rFonts w:ascii="宋体" w:hAnsi="宋体" w:eastAsia="宋体" w:cs="Times New Roman"/>
          <w:b/>
          <w:color w:val="000000"/>
          <w:kern w:val="0"/>
          <w:szCs w:val="21"/>
        </w:rPr>
      </w:pPr>
      <w:r>
        <w:rPr>
          <w:rFonts w:hint="eastAsia" w:ascii="宋体" w:hAnsi="宋体" w:eastAsia="宋体" w:cs="Times New Roman"/>
          <w:b/>
          <w:color w:val="000000"/>
          <w:kern w:val="0"/>
          <w:szCs w:val="21"/>
        </w:rPr>
        <w:t>1、术语和定义</w:t>
      </w:r>
    </w:p>
    <w:p>
      <w:pPr>
        <w:widowControl/>
        <w:tabs>
          <w:tab w:val="center" w:pos="4201"/>
          <w:tab w:val="right" w:leader="dot" w:pos="9298"/>
        </w:tabs>
        <w:autoSpaceDE w:val="0"/>
        <w:autoSpaceDN w:val="0"/>
        <w:spacing w:line="360" w:lineRule="auto"/>
        <w:ind w:firstLine="420" w:firstLineChars="200"/>
        <w:rPr>
          <w:rFonts w:ascii="Times New Roman" w:hAnsi="宋体" w:eastAsia="宋体" w:cs="Times New Roman"/>
          <w:snapToGrid w:val="0"/>
          <w:szCs w:val="21"/>
        </w:rPr>
      </w:pPr>
      <w:r>
        <w:rPr>
          <w:rFonts w:hint="eastAsia" w:ascii="Times New Roman" w:hAnsi="宋体" w:eastAsia="宋体" w:cs="Times New Roman"/>
          <w:snapToGrid w:val="0"/>
          <w:szCs w:val="21"/>
        </w:rPr>
        <w:t>规定了下列术语和定义适用于本标准。</w:t>
      </w:r>
    </w:p>
    <w:p>
      <w:pPr>
        <w:widowControl/>
        <w:tabs>
          <w:tab w:val="center" w:pos="4201"/>
          <w:tab w:val="right" w:leader="dot" w:pos="9298"/>
        </w:tabs>
        <w:autoSpaceDE w:val="0"/>
        <w:autoSpaceDN w:val="0"/>
        <w:spacing w:line="360" w:lineRule="auto"/>
        <w:ind w:firstLine="420" w:firstLineChars="200"/>
        <w:rPr>
          <w:rFonts w:ascii="Times New Roman" w:hAnsi="宋体" w:eastAsia="宋体" w:cs="Times New Roman"/>
          <w:snapToGrid w:val="0"/>
          <w:szCs w:val="21"/>
        </w:rPr>
      </w:pPr>
      <w:r>
        <w:rPr>
          <w:rFonts w:hint="eastAsia" w:ascii="Times New Roman" w:hAnsi="宋体" w:eastAsia="宋体" w:cs="Times New Roman"/>
          <w:snapToGrid w:val="0"/>
          <w:szCs w:val="21"/>
        </w:rPr>
        <w:t>参考</w:t>
      </w:r>
      <w:r>
        <w:rPr>
          <w:rFonts w:ascii="Times New Roman" w:hAnsi="宋体" w:eastAsia="宋体" w:cs="Times New Roman"/>
          <w:snapToGrid w:val="0"/>
          <w:szCs w:val="21"/>
        </w:rPr>
        <w:t>GB/T 11856</w:t>
      </w:r>
      <w:r>
        <w:rPr>
          <w:rFonts w:hint="eastAsia" w:ascii="Times New Roman" w:hAnsi="宋体" w:eastAsia="宋体" w:cs="Times New Roman"/>
          <w:snapToGrid w:val="0"/>
          <w:szCs w:val="21"/>
        </w:rPr>
        <w:t>《</w:t>
      </w:r>
      <w:r>
        <w:rPr>
          <w:rFonts w:ascii="Times New Roman" w:hAnsi="宋体" w:eastAsia="宋体" w:cs="Times New Roman"/>
          <w:snapToGrid w:val="0"/>
          <w:szCs w:val="21"/>
        </w:rPr>
        <w:t>白兰地</w:t>
      </w:r>
      <w:r>
        <w:rPr>
          <w:rFonts w:hint="eastAsia" w:ascii="Times New Roman" w:hAnsi="宋体" w:eastAsia="宋体" w:cs="Times New Roman"/>
          <w:snapToGrid w:val="0"/>
          <w:szCs w:val="21"/>
        </w:rPr>
        <w:t>》中白兰地的定义，规定以以柑橘为原料，经清洗、榨汁、发酵、蒸馏、橡木桶陈酿及调配而成的柑橘蒸馏酒。</w:t>
      </w:r>
      <w:r>
        <w:rPr>
          <w:rFonts w:ascii="Times New Roman" w:hAnsi="宋体" w:eastAsia="宋体" w:cs="Times New Roman"/>
          <w:snapToGrid w:val="0"/>
          <w:szCs w:val="21"/>
        </w:rPr>
        <w:t xml:space="preserve"> </w:t>
      </w:r>
    </w:p>
    <w:p>
      <w:pPr>
        <w:spacing w:line="360" w:lineRule="auto"/>
        <w:ind w:firstLine="422" w:firstLineChars="200"/>
        <w:rPr>
          <w:rFonts w:ascii="Times New Roman" w:hAnsi="Times New Roman" w:eastAsia="宋体" w:cs="Times New Roman"/>
          <w:b/>
          <w:color w:val="000000"/>
          <w:szCs w:val="21"/>
        </w:rPr>
      </w:pPr>
      <w:r>
        <w:rPr>
          <w:rFonts w:hint="eastAsia" w:ascii="Times New Roman" w:hAnsi="宋体" w:eastAsia="宋体" w:cs="Times New Roman"/>
          <w:b/>
          <w:color w:val="000000"/>
          <w:szCs w:val="21"/>
        </w:rPr>
        <w:t>2、</w:t>
      </w:r>
      <w:r>
        <w:rPr>
          <w:rFonts w:ascii="Times New Roman" w:hAnsi="宋体" w:eastAsia="宋体" w:cs="Times New Roman"/>
          <w:b/>
          <w:color w:val="000000"/>
          <w:szCs w:val="21"/>
        </w:rPr>
        <w:t>原</w:t>
      </w:r>
      <w:r>
        <w:rPr>
          <w:rFonts w:hint="eastAsia" w:ascii="Times New Roman" w:hAnsi="宋体" w:eastAsia="宋体" w:cs="Times New Roman"/>
          <w:b/>
          <w:color w:val="000000"/>
          <w:szCs w:val="21"/>
        </w:rPr>
        <w:t>辅</w:t>
      </w:r>
      <w:r>
        <w:rPr>
          <w:rFonts w:ascii="Times New Roman" w:hAnsi="宋体" w:eastAsia="宋体" w:cs="Times New Roman"/>
          <w:b/>
          <w:color w:val="000000"/>
          <w:szCs w:val="21"/>
        </w:rPr>
        <w:t>料要求</w:t>
      </w:r>
    </w:p>
    <w:p>
      <w:pPr>
        <w:widowControl/>
        <w:tabs>
          <w:tab w:val="center" w:pos="4201"/>
          <w:tab w:val="right" w:leader="dot" w:pos="9298"/>
        </w:tabs>
        <w:autoSpaceDE w:val="0"/>
        <w:autoSpaceDN w:val="0"/>
        <w:spacing w:line="360" w:lineRule="auto"/>
        <w:ind w:firstLine="420" w:firstLineChars="200"/>
        <w:rPr>
          <w:rFonts w:ascii="Times New Roman" w:hAnsi="宋体" w:eastAsia="宋体" w:cs="Times New Roman"/>
          <w:snapToGrid w:val="0"/>
          <w:szCs w:val="21"/>
        </w:rPr>
      </w:pPr>
      <w:r>
        <w:rPr>
          <w:rFonts w:hint="eastAsia" w:ascii="Times New Roman" w:hAnsi="宋体" w:eastAsia="宋体" w:cs="Times New Roman"/>
          <w:snapToGrid w:val="0"/>
          <w:szCs w:val="21"/>
        </w:rPr>
        <w:t>柑橘：柑橘应新鲜、成熟适度、风味正常、无病虫害、无霉变，产品质量、污染物限量、农药最大残留限量应符合《</w:t>
      </w:r>
      <w:r>
        <w:rPr>
          <w:rFonts w:ascii="Times New Roman" w:hAnsi="宋体" w:eastAsia="宋体" w:cs="Times New Roman"/>
          <w:snapToGrid w:val="0"/>
          <w:szCs w:val="21"/>
        </w:rPr>
        <w:t>GB/T 12947  鲜柑橘</w:t>
      </w:r>
      <w:r>
        <w:rPr>
          <w:rFonts w:hint="eastAsia" w:ascii="Times New Roman" w:hAnsi="宋体" w:eastAsia="宋体" w:cs="Times New Roman"/>
          <w:snapToGrid w:val="0"/>
          <w:szCs w:val="21"/>
        </w:rPr>
        <w:t>》、《GB 2762</w:t>
      </w:r>
      <w:r>
        <w:rPr>
          <w:rFonts w:ascii="Times New Roman" w:hAnsi="宋体" w:eastAsia="宋体" w:cs="Times New Roman"/>
          <w:snapToGrid w:val="0"/>
          <w:szCs w:val="21"/>
        </w:rPr>
        <w:t xml:space="preserve"> </w:t>
      </w:r>
      <w:r>
        <w:rPr>
          <w:rFonts w:hint="eastAsia" w:ascii="Times New Roman" w:hAnsi="宋体" w:eastAsia="宋体" w:cs="Times New Roman"/>
          <w:snapToGrid w:val="0"/>
          <w:szCs w:val="21"/>
        </w:rPr>
        <w:t>食品安全国家标准</w:t>
      </w:r>
      <w:r>
        <w:rPr>
          <w:rFonts w:ascii="Times New Roman" w:hAnsi="宋体" w:eastAsia="宋体" w:cs="Times New Roman"/>
          <w:snapToGrid w:val="0"/>
          <w:szCs w:val="21"/>
        </w:rPr>
        <w:t xml:space="preserve"> </w:t>
      </w:r>
      <w:r>
        <w:rPr>
          <w:rFonts w:hint="eastAsia" w:ascii="Times New Roman" w:hAnsi="宋体" w:eastAsia="宋体" w:cs="Times New Roman"/>
          <w:snapToGrid w:val="0"/>
          <w:szCs w:val="21"/>
        </w:rPr>
        <w:t>食品中污染物限量》、《</w:t>
      </w:r>
      <w:r>
        <w:rPr>
          <w:rFonts w:ascii="Times New Roman" w:hAnsi="宋体" w:eastAsia="宋体" w:cs="Times New Roman"/>
          <w:snapToGrid w:val="0"/>
          <w:szCs w:val="21"/>
        </w:rPr>
        <w:t>GB 2763 食品安全国家标准 食品中农药最大残留限量</w:t>
      </w:r>
      <w:r>
        <w:rPr>
          <w:rFonts w:hint="eastAsia" w:ascii="Times New Roman" w:hAnsi="宋体" w:eastAsia="宋体" w:cs="Times New Roman"/>
          <w:snapToGrid w:val="0"/>
          <w:szCs w:val="21"/>
        </w:rPr>
        <w:t>》</w:t>
      </w:r>
      <w:r>
        <w:rPr>
          <w:rFonts w:ascii="Times New Roman" w:hAnsi="宋体" w:eastAsia="宋体" w:cs="Times New Roman"/>
          <w:snapToGrid w:val="0"/>
          <w:szCs w:val="21"/>
        </w:rPr>
        <w:t>的有关规定。</w:t>
      </w:r>
      <w:r>
        <w:rPr>
          <w:rFonts w:hint="eastAsia" w:ascii="Times New Roman" w:hAnsi="宋体" w:eastAsia="宋体" w:cs="Times New Roman"/>
          <w:snapToGrid w:val="0"/>
          <w:szCs w:val="21"/>
        </w:rPr>
        <w:t>经过前期行业调研和实验室研究结果表明，湖南主产区的柑橘品种均可加工，如石门、洞口、安化、永州的蜜橘，湘西和怀化的椪柑，新宁和郴州的脐橙，麻阳和永兴的冰糖橙。</w:t>
      </w:r>
    </w:p>
    <w:p>
      <w:pPr>
        <w:widowControl/>
        <w:tabs>
          <w:tab w:val="center" w:pos="4201"/>
          <w:tab w:val="right" w:leader="dot" w:pos="9298"/>
        </w:tabs>
        <w:autoSpaceDE w:val="0"/>
        <w:autoSpaceDN w:val="0"/>
        <w:spacing w:line="360" w:lineRule="auto"/>
        <w:ind w:firstLine="420" w:firstLineChars="200"/>
        <w:rPr>
          <w:rFonts w:ascii="Times New Roman" w:hAnsi="宋体" w:eastAsia="宋体" w:cs="Times New Roman"/>
          <w:snapToGrid w:val="0"/>
          <w:szCs w:val="21"/>
        </w:rPr>
      </w:pPr>
      <w:r>
        <w:rPr>
          <w:rFonts w:hint="eastAsia" w:ascii="Times New Roman" w:hAnsi="宋体" w:eastAsia="宋体" w:cs="Times New Roman"/>
          <w:snapToGrid w:val="0"/>
          <w:szCs w:val="21"/>
        </w:rPr>
        <w:t>辅料：白砂糖应符合《GB/T 317-2018白砂糖》的规定，其他食品原辅料应符合相应的食品安全标准和有关规定。</w:t>
      </w:r>
    </w:p>
    <w:p>
      <w:pPr>
        <w:widowControl/>
        <w:tabs>
          <w:tab w:val="center" w:pos="4201"/>
          <w:tab w:val="right" w:leader="dot" w:pos="9298"/>
        </w:tabs>
        <w:autoSpaceDE w:val="0"/>
        <w:autoSpaceDN w:val="0"/>
        <w:spacing w:line="360" w:lineRule="auto"/>
        <w:ind w:firstLine="420" w:firstLineChars="200"/>
        <w:rPr>
          <w:rFonts w:ascii="Times New Roman" w:hAnsi="宋体" w:eastAsia="宋体" w:cs="Times New Roman"/>
          <w:snapToGrid w:val="0"/>
          <w:szCs w:val="21"/>
        </w:rPr>
      </w:pPr>
      <w:r>
        <w:rPr>
          <w:rFonts w:hint="eastAsia" w:ascii="Times New Roman" w:hAnsi="宋体" w:eastAsia="宋体" w:cs="Times New Roman"/>
          <w:snapToGrid w:val="0"/>
          <w:szCs w:val="21"/>
        </w:rPr>
        <w:t>食品添加剂：生产过程中使用的食品添加剂质量应符合相关食品安全标准规定，食品添加剂的使用应符合《GB 2760 -2014食品安全国家标准 食品添加剂使用标准》的相关规定。</w:t>
      </w:r>
    </w:p>
    <w:p>
      <w:pPr>
        <w:spacing w:line="360" w:lineRule="auto"/>
        <w:ind w:firstLine="420" w:firstLineChars="200"/>
        <w:rPr>
          <w:rFonts w:ascii="Times New Roman" w:hAnsi="Times New Roman" w:eastAsia="宋体" w:cs="Times New Roman"/>
          <w:szCs w:val="21"/>
        </w:rPr>
      </w:pPr>
      <w:r>
        <w:rPr>
          <w:rFonts w:hint="eastAsia" w:ascii="Times New Roman" w:hAnsi="宋体" w:eastAsia="宋体" w:cs="Times New Roman"/>
          <w:snapToGrid w:val="0"/>
          <w:szCs w:val="21"/>
        </w:rPr>
        <w:t>加工用水：应符合《GB 5749-2006生活饮用水卫生标准》的规定，调配降度用水应符合《</w:t>
      </w:r>
      <w:r>
        <w:rPr>
          <w:rFonts w:ascii="Times New Roman" w:hAnsi="Times New Roman" w:eastAsia="宋体" w:cs="Times New Roman"/>
          <w:szCs w:val="21"/>
        </w:rPr>
        <w:t>GB 19298 食品安全国家标准 包装饮用水</w:t>
      </w:r>
      <w:r>
        <w:rPr>
          <w:rFonts w:hint="eastAsia" w:ascii="Times New Roman" w:hAnsi="宋体" w:eastAsia="宋体" w:cs="Times New Roman"/>
          <w:snapToGrid w:val="0"/>
          <w:szCs w:val="21"/>
        </w:rPr>
        <w:t>》</w:t>
      </w:r>
      <w:r>
        <w:rPr>
          <w:rFonts w:ascii="Times New Roman" w:hAnsi="宋体" w:eastAsia="宋体" w:cs="Times New Roman"/>
          <w:snapToGrid w:val="0"/>
          <w:szCs w:val="21"/>
        </w:rPr>
        <w:t>的规定</w:t>
      </w:r>
      <w:r>
        <w:rPr>
          <w:rFonts w:hint="eastAsia" w:ascii="Times New Roman" w:hAnsi="宋体" w:eastAsia="宋体" w:cs="Times New Roman"/>
          <w:snapToGrid w:val="0"/>
          <w:szCs w:val="21"/>
        </w:rPr>
        <w:t>。</w:t>
      </w:r>
    </w:p>
    <w:p>
      <w:pPr>
        <w:spacing w:line="360" w:lineRule="auto"/>
        <w:ind w:firstLine="422" w:firstLineChars="200"/>
        <w:rPr>
          <w:rFonts w:ascii="Times New Roman" w:hAnsi="Times New Roman" w:eastAsia="宋体" w:cs="Times New Roman"/>
          <w:szCs w:val="24"/>
        </w:rPr>
      </w:pPr>
      <w:r>
        <w:rPr>
          <w:rFonts w:hint="eastAsia" w:ascii="Times New Roman" w:hAnsi="宋体" w:eastAsia="宋体" w:cs="Times New Roman"/>
          <w:b/>
          <w:color w:val="000000"/>
          <w:szCs w:val="21"/>
        </w:rPr>
        <w:t>3、</w:t>
      </w:r>
      <w:r>
        <w:rPr>
          <w:rFonts w:ascii="Times New Roman" w:hAnsi="宋体" w:eastAsia="宋体" w:cs="Times New Roman"/>
          <w:b/>
          <w:color w:val="000000"/>
          <w:szCs w:val="21"/>
        </w:rPr>
        <w:t>加工环境和要求</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加工人员、环境、车间、设施、生产设备及卫生控制应符合《GB 14881-2013食品安全国家标准 食品生产通用卫生规范》和《</w:t>
      </w:r>
      <w:r>
        <w:rPr>
          <w:rFonts w:ascii="宋体" w:hAnsi="宋体" w:eastAsia="宋体" w:cs="Times New Roman"/>
          <w:szCs w:val="24"/>
        </w:rPr>
        <w:t>GB 8951 食品安全国家标准 蒸馏酒及其配制酒生产卫生规范</w:t>
      </w:r>
      <w:r>
        <w:rPr>
          <w:rFonts w:hint="eastAsia" w:ascii="宋体" w:hAnsi="宋体" w:eastAsia="宋体" w:cs="Times New Roman"/>
          <w:szCs w:val="24"/>
        </w:rPr>
        <w:t>》的规定。</w:t>
      </w:r>
    </w:p>
    <w:p>
      <w:pPr>
        <w:spacing w:line="360" w:lineRule="auto"/>
        <w:ind w:firstLine="422" w:firstLineChars="200"/>
        <w:rPr>
          <w:rFonts w:ascii="宋体" w:hAnsi="宋体" w:eastAsia="宋体" w:cs="Times New Roman"/>
          <w:color w:val="000000"/>
          <w:szCs w:val="21"/>
        </w:rPr>
      </w:pPr>
      <w:r>
        <w:rPr>
          <w:rFonts w:hint="eastAsia" w:ascii="宋体" w:hAnsi="宋体" w:eastAsia="宋体" w:cs="Times New Roman"/>
          <w:b/>
          <w:color w:val="000000"/>
          <w:szCs w:val="21"/>
        </w:rPr>
        <w:t>4、柑橘白兰地</w:t>
      </w:r>
      <w:r>
        <w:rPr>
          <w:rFonts w:ascii="宋体" w:hAnsi="宋体" w:eastAsia="宋体" w:cs="Times New Roman"/>
          <w:b/>
          <w:color w:val="000000"/>
          <w:szCs w:val="21"/>
        </w:rPr>
        <w:t>加工技术要求</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（1）原料要求</w:t>
      </w:r>
    </w:p>
    <w:p>
      <w:pPr>
        <w:spacing w:line="360" w:lineRule="auto"/>
        <w:ind w:firstLine="420" w:firstLineChars="200"/>
        <w:rPr>
          <w:rFonts w:ascii="宋体" w:hAnsi="宋体" w:eastAsia="宋体" w:cs="Times New Roman"/>
          <w:szCs w:val="21"/>
          <w:lang w:val="zh-CN"/>
        </w:rPr>
      </w:pPr>
      <w:r>
        <w:rPr>
          <w:rFonts w:hint="eastAsia" w:ascii="宋体" w:hAnsi="宋体" w:eastAsia="宋体" w:cs="Times New Roman"/>
          <w:szCs w:val="21"/>
          <w:lang w:val="zh-CN"/>
        </w:rPr>
        <w:t>根据调研，企业对于柑橘白兰地加工原料的品种及成熟度未做具体要求，均可进行加工。但是在柑橘贮藏过程中易受</w:t>
      </w:r>
      <w:r>
        <w:rPr>
          <w:rFonts w:hint="eastAsia" w:ascii="Times New Roman" w:hAnsi="宋体" w:eastAsia="宋体" w:cs="Times New Roman"/>
          <w:snapToGrid w:val="0"/>
          <w:szCs w:val="21"/>
        </w:rPr>
        <w:t>青霉菌、链格孢霉菌等病原微生物污染，引起展青霉素、橘青霉素、</w:t>
      </w:r>
      <w:r>
        <w:rPr>
          <w:rFonts w:ascii="Times New Roman" w:hAnsi="宋体" w:eastAsia="宋体" w:cs="Times New Roman"/>
          <w:snapToGrid w:val="0"/>
          <w:szCs w:val="21"/>
        </w:rPr>
        <w:t>链格孢霉毒素</w:t>
      </w:r>
      <w:r>
        <w:rPr>
          <w:rFonts w:hint="eastAsia" w:ascii="Times New Roman" w:hAnsi="宋体" w:eastAsia="宋体" w:cs="Times New Roman"/>
          <w:snapToGrid w:val="0"/>
          <w:szCs w:val="21"/>
        </w:rPr>
        <w:t>等真菌毒素超标，因此要</w:t>
      </w:r>
      <w:r>
        <w:rPr>
          <w:rFonts w:hint="eastAsia" w:ascii="宋体" w:hAnsi="宋体" w:eastAsia="宋体" w:cs="Times New Roman"/>
          <w:szCs w:val="21"/>
          <w:lang w:val="zh-CN"/>
        </w:rPr>
        <w:t>剔除腐烂果、病虫果、生果及畸形果，同时剔除外来杂物等。</w:t>
      </w:r>
    </w:p>
    <w:p>
      <w:pPr>
        <w:keepNext/>
        <w:keepLines/>
        <w:spacing w:line="360" w:lineRule="auto"/>
        <w:ind w:firstLine="422" w:firstLineChars="200"/>
        <w:outlineLvl w:val="1"/>
        <w:rPr>
          <w:rFonts w:ascii="Times New Roman" w:hAnsi="Times New Roman" w:eastAsia="宋体" w:cs="Times New Roman"/>
          <w:b/>
          <w:bCs/>
          <w:szCs w:val="21"/>
        </w:rPr>
      </w:pPr>
      <w:r>
        <w:rPr>
          <w:rFonts w:ascii="Times New Roman" w:hAnsi="Times New Roman" w:eastAsia="宋体" w:cs="Times New Roman"/>
          <w:b/>
          <w:bCs/>
          <w:szCs w:val="21"/>
        </w:rPr>
        <w:t>（2）磨油</w:t>
      </w:r>
    </w:p>
    <w:p>
      <w:pPr>
        <w:keepNext/>
        <w:keepLines/>
        <w:spacing w:line="360" w:lineRule="auto"/>
        <w:ind w:firstLine="420" w:firstLineChars="200"/>
        <w:outlineLvl w:val="1"/>
        <w:rPr>
          <w:rFonts w:ascii="Times New Roman" w:hAnsi="Times New Roman" w:eastAsia="宋体" w:cs="Times New Roman"/>
          <w:szCs w:val="21"/>
          <w:lang w:val="zh-CN"/>
        </w:rPr>
      </w:pPr>
      <w:r>
        <w:rPr>
          <w:rFonts w:ascii="Times New Roman" w:hAnsi="Times New Roman" w:eastAsia="宋体" w:cs="Times New Roman"/>
          <w:szCs w:val="21"/>
          <w:lang w:val="zh-CN"/>
        </w:rPr>
        <w:t>根据前期研究表明，柑橘精油具有抑菌作用，会抑制和延迟酵母酒精发酵的启动，导致杂菌的污染概率提高。因此需采用转鼓式磨油机进行磨油处理，磨油的同时开放喷淋水，将磨出的油冲洗下来，流入接料斗内。喷淋水的用量应与果实加料量和分离量相适应，与出油量有关。一般每吨柑橘果实用水50千克。喷淋水要循环使用，当喷淋水中因含有较多果胶或沉淀物而变浑浊和黏稠后，应放掉一部分，补充新水，并调节pH 值在7.5～8。</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（3）榨汁</w:t>
      </w:r>
    </w:p>
    <w:p>
      <w:pPr>
        <w:keepNext/>
        <w:keepLines/>
        <w:spacing w:line="360" w:lineRule="auto"/>
        <w:ind w:firstLine="420" w:firstLineChars="200"/>
        <w:outlineLvl w:val="1"/>
        <w:rPr>
          <w:rFonts w:ascii="宋体" w:hAnsi="宋体" w:eastAsia="宋体" w:cs="Times New Roman"/>
          <w:szCs w:val="21"/>
          <w:lang w:val="zh-CN"/>
        </w:rPr>
      </w:pPr>
      <w:r>
        <w:rPr>
          <w:rFonts w:ascii="Times New Roman" w:hAnsi="Times New Roman" w:eastAsia="宋体" w:cs="Times New Roman"/>
          <w:szCs w:val="21"/>
          <w:lang w:val="zh-CN"/>
        </w:rPr>
        <w:t>根据前期研究</w:t>
      </w:r>
      <w:r>
        <w:rPr>
          <w:rFonts w:hint="eastAsia" w:ascii="Times New Roman" w:hAnsi="Times New Roman" w:eastAsia="宋体" w:cs="Times New Roman"/>
          <w:szCs w:val="21"/>
          <w:lang w:val="zh-CN"/>
        </w:rPr>
        <w:t>和企业调研，柑橘榨汁宜</w:t>
      </w:r>
      <w:r>
        <w:rPr>
          <w:rFonts w:hint="eastAsia" w:ascii="宋体" w:hAnsi="宋体" w:eastAsia="宋体" w:cs="Times New Roman"/>
          <w:szCs w:val="21"/>
          <w:lang w:val="zh-CN"/>
        </w:rPr>
        <w:t>采用杯式或切半榨汁机压榨机。杯式榨汁机可以将果实瞬时分成了果汁、皮精油、果皮和果肉渣</w:t>
      </w:r>
      <w:r>
        <w:rPr>
          <w:rFonts w:ascii="宋体" w:hAnsi="宋体" w:eastAsia="宋体" w:cs="Times New Roman"/>
          <w:szCs w:val="21"/>
          <w:lang w:val="zh-CN"/>
        </w:rPr>
        <w:t>4 部分，分离比较彻底，出汁率高，果汁品质好。</w:t>
      </w:r>
      <w:r>
        <w:rPr>
          <w:rFonts w:hint="eastAsia" w:ascii="宋体" w:hAnsi="宋体" w:eastAsia="宋体" w:cs="Times New Roman"/>
          <w:szCs w:val="21"/>
          <w:lang w:val="zh-CN"/>
        </w:rPr>
        <w:t>杯式榨汁机</w:t>
      </w:r>
      <w:r>
        <w:rPr>
          <w:rFonts w:ascii="宋体" w:hAnsi="宋体" w:eastAsia="宋体" w:cs="Times New Roman"/>
          <w:szCs w:val="21"/>
          <w:lang w:val="zh-CN"/>
        </w:rPr>
        <w:t>可以压榨所有种类的柑橘果实，对较软的甜橙</w:t>
      </w:r>
      <w:r>
        <w:rPr>
          <w:rFonts w:hint="eastAsia" w:ascii="宋体" w:hAnsi="宋体" w:eastAsia="宋体" w:cs="Times New Roman"/>
          <w:szCs w:val="21"/>
          <w:lang w:val="zh-CN"/>
        </w:rPr>
        <w:t>和宽皮柑橘也可以压榨。切半榨汁机可以减少果皮精油、果肉及果渣的带入，但是不宜压榨偏平和较软的果实，如宽皮柑橘和贮藏果。</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（4）发酵</w:t>
      </w:r>
    </w:p>
    <w:p>
      <w:pPr>
        <w:keepNext/>
        <w:keepLines/>
        <w:spacing w:line="360" w:lineRule="auto"/>
        <w:ind w:firstLine="420" w:firstLineChars="200"/>
        <w:outlineLvl w:val="1"/>
        <w:rPr>
          <w:rFonts w:ascii="Times New Roman" w:hAnsi="Times New Roman" w:eastAsia="宋体" w:cs="Times New Roman"/>
          <w:szCs w:val="21"/>
          <w:lang w:val="zh-CN"/>
        </w:rPr>
      </w:pPr>
      <w:r>
        <w:rPr>
          <w:rFonts w:hint="eastAsia" w:ascii="Times New Roman" w:hAnsi="Times New Roman" w:eastAsia="宋体" w:cs="Times New Roman"/>
          <w:szCs w:val="21"/>
          <w:lang w:val="zh-CN"/>
        </w:rPr>
        <w:t>根据前期研究表明，柑橘果实中可溶性固形物含量一般在</w:t>
      </w:r>
      <w:r>
        <w:rPr>
          <w:rFonts w:ascii="Times New Roman" w:hAnsi="Times New Roman" w:eastAsia="宋体" w:cs="Times New Roman"/>
          <w:szCs w:val="21"/>
          <w:lang w:val="zh-CN"/>
        </w:rPr>
        <w:t>100 g/L～150 g/L，</w:t>
      </w:r>
      <w:r>
        <w:rPr>
          <w:rFonts w:hint="eastAsia" w:ascii="Times New Roman" w:hAnsi="Times New Roman" w:eastAsia="宋体" w:cs="Times New Roman"/>
          <w:szCs w:val="21"/>
          <w:lang w:val="zh-CN"/>
        </w:rPr>
        <w:t>从成本角度考虑不能满足发酵酒度</w:t>
      </w:r>
      <w:r>
        <w:rPr>
          <w:rFonts w:ascii="Times New Roman" w:hAnsi="Times New Roman" w:eastAsia="宋体" w:cs="Times New Roman"/>
          <w:szCs w:val="21"/>
          <w:lang w:val="zh-CN"/>
        </w:rPr>
        <w:t>的要求，</w:t>
      </w:r>
      <w:r>
        <w:rPr>
          <w:rFonts w:hint="eastAsia" w:ascii="Times New Roman" w:hAnsi="Times New Roman" w:eastAsia="宋体" w:cs="Times New Roman"/>
          <w:szCs w:val="21"/>
          <w:lang w:val="zh-CN"/>
        </w:rPr>
        <w:t>因此需要</w:t>
      </w:r>
      <w:r>
        <w:rPr>
          <w:rFonts w:ascii="Times New Roman" w:hAnsi="Times New Roman" w:eastAsia="宋体" w:cs="Times New Roman"/>
          <w:szCs w:val="21"/>
          <w:lang w:val="zh-CN"/>
        </w:rPr>
        <w:t>根据果实含糖量及酒度要求加入相应的</w:t>
      </w:r>
      <w:r>
        <w:rPr>
          <w:rFonts w:hint="eastAsia" w:ascii="Times New Roman" w:hAnsi="Times New Roman" w:eastAsia="宋体" w:cs="Times New Roman"/>
          <w:szCs w:val="21"/>
          <w:lang w:val="zh-CN"/>
        </w:rPr>
        <w:t>白砂糖</w:t>
      </w:r>
      <w:r>
        <w:rPr>
          <w:rFonts w:ascii="Times New Roman" w:hAnsi="Times New Roman" w:eastAsia="宋体" w:cs="Times New Roman"/>
          <w:szCs w:val="21"/>
          <w:lang w:val="zh-CN"/>
        </w:rPr>
        <w:t>。以1.7 g/L糖生成1度酒精计算，加入白砂糖充分发酵后</w:t>
      </w:r>
      <w:r>
        <w:rPr>
          <w:rFonts w:hint="eastAsia" w:ascii="Times New Roman" w:hAnsi="Times New Roman" w:eastAsia="宋体" w:cs="Times New Roman"/>
          <w:szCs w:val="21"/>
          <w:lang w:val="zh-CN"/>
        </w:rPr>
        <w:t>柑橘</w:t>
      </w:r>
      <w:r>
        <w:rPr>
          <w:rFonts w:ascii="Times New Roman" w:hAnsi="Times New Roman" w:eastAsia="宋体" w:cs="Times New Roman"/>
          <w:szCs w:val="21"/>
          <w:lang w:val="zh-CN"/>
        </w:rPr>
        <w:t>酒的酒精度为10% ～ 12%。考虑生产中的成本，发酵基料糖度为190 g/L～230 g/L</w:t>
      </w:r>
      <w:r>
        <w:rPr>
          <w:rFonts w:hint="eastAsia" w:ascii="Times New Roman" w:hAnsi="Times New Roman" w:eastAsia="宋体" w:cs="Times New Roman"/>
          <w:szCs w:val="21"/>
          <w:lang w:val="zh-CN"/>
        </w:rPr>
        <w:t>，添加量不超过</w:t>
      </w:r>
      <w:r>
        <w:rPr>
          <w:rFonts w:ascii="Times New Roman" w:hAnsi="Times New Roman" w:eastAsia="宋体" w:cs="Times New Roman"/>
          <w:szCs w:val="21"/>
          <w:lang w:val="zh-CN"/>
        </w:rPr>
        <w:t>10%。</w:t>
      </w:r>
    </w:p>
    <w:p>
      <w:pPr>
        <w:keepNext/>
        <w:keepLines/>
        <w:spacing w:line="360" w:lineRule="auto"/>
        <w:ind w:firstLine="420" w:firstLineChars="200"/>
        <w:outlineLvl w:val="1"/>
        <w:rPr>
          <w:rFonts w:ascii="Times New Roman" w:hAnsi="Times New Roman" w:eastAsia="宋体" w:cs="Times New Roman"/>
          <w:szCs w:val="21"/>
          <w:lang w:val="zh-CN"/>
        </w:rPr>
      </w:pPr>
      <w:r>
        <w:rPr>
          <w:rFonts w:ascii="Times New Roman" w:hAnsi="Times New Roman" w:eastAsia="宋体" w:cs="Times New Roman"/>
          <w:szCs w:val="21"/>
          <w:lang w:val="zh-CN"/>
        </w:rPr>
        <w:t>接种活性干酵母0.2 g～0.4 g/Kg，加入少量纯净水在35℃下活化30 min，加入发酵罐中进行发酵。</w:t>
      </w:r>
      <w:r>
        <w:rPr>
          <w:rFonts w:hint="eastAsia" w:ascii="Times New Roman" w:hAnsi="Times New Roman" w:eastAsia="宋体" w:cs="Times New Roman"/>
          <w:szCs w:val="21"/>
          <w:lang w:val="zh-CN"/>
        </w:rPr>
        <w:t>由表</w:t>
      </w:r>
      <w:r>
        <w:rPr>
          <w:rFonts w:ascii="Times New Roman" w:hAnsi="Times New Roman" w:eastAsia="宋体" w:cs="Times New Roman"/>
          <w:szCs w:val="21"/>
          <w:lang w:val="zh-CN"/>
        </w:rPr>
        <w:t>1可以看出，21 ℃发酵的脐橙酒“后苦味”物质含量相对较低，花香、果香和草本香味更浓郁，品质最佳。结合实践经验和试验结果，发酵温度20℃ ～ 25℃较为适宜。每天测定含糖量和酒精体积分数，直至酒精发酵结束得到柑橘原酒。</w:t>
      </w:r>
    </w:p>
    <w:p>
      <w:pPr>
        <w:keepNext/>
        <w:keepLines/>
        <w:spacing w:line="360" w:lineRule="auto"/>
        <w:ind w:firstLine="400" w:firstLineChars="200"/>
        <w:jc w:val="center"/>
        <w:outlineLvl w:val="1"/>
        <w:rPr>
          <w:rFonts w:ascii="Times New Roman" w:hAnsi="Times New Roman" w:eastAsia="宋体" w:cs="Times New Roman"/>
          <w:sz w:val="20"/>
          <w:szCs w:val="21"/>
          <w:lang w:val="zh-CN"/>
        </w:rPr>
      </w:pPr>
      <w:r>
        <w:rPr>
          <w:rFonts w:hint="eastAsia" w:ascii="Times New Roman" w:hAnsi="Times New Roman" w:eastAsia="宋体" w:cs="Times New Roman"/>
          <w:sz w:val="20"/>
          <w:szCs w:val="21"/>
          <w:lang w:val="zh-CN"/>
        </w:rPr>
        <w:t>表1</w:t>
      </w:r>
      <w:r>
        <w:rPr>
          <w:rFonts w:ascii="Times New Roman" w:hAnsi="Times New Roman" w:eastAsia="宋体" w:cs="Times New Roman"/>
          <w:sz w:val="20"/>
          <w:szCs w:val="21"/>
          <w:lang w:val="zh-CN"/>
        </w:rPr>
        <w:t xml:space="preserve"> </w:t>
      </w:r>
      <w:r>
        <w:rPr>
          <w:rFonts w:hint="eastAsia" w:ascii="Times New Roman" w:hAnsi="Times New Roman" w:eastAsia="宋体" w:cs="Times New Roman"/>
          <w:sz w:val="20"/>
          <w:szCs w:val="21"/>
          <w:lang w:val="zh-CN"/>
        </w:rPr>
        <w:t>不同发酵温度对脐橙酒的品质的影响</w:t>
      </w:r>
    </w:p>
    <w:tbl>
      <w:tblPr>
        <w:tblStyle w:val="4"/>
        <w:tblW w:w="946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1559"/>
        <w:gridCol w:w="1559"/>
        <w:gridCol w:w="1560"/>
        <w:gridCol w:w="155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vMerge w:val="restart"/>
            <w:shd w:val="clear" w:color="auto" w:fill="auto"/>
            <w:vAlign w:val="center"/>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指标</w:t>
            </w:r>
          </w:p>
        </w:tc>
        <w:tc>
          <w:tcPr>
            <w:tcW w:w="7796" w:type="dxa"/>
            <w:gridSpan w:val="5"/>
            <w:tcBorders>
              <w:bottom w:val="single" w:color="auto" w:sz="6"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发酵温度/℃</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vMerge w:val="continue"/>
            <w:tcBorders>
              <w:bottom w:val="single" w:color="auto" w:sz="4" w:space="0"/>
            </w:tcBorders>
            <w:shd w:val="clear" w:color="auto" w:fill="auto"/>
          </w:tcPr>
          <w:p>
            <w:pPr>
              <w:widowControl/>
              <w:jc w:val="center"/>
              <w:rPr>
                <w:rFonts w:ascii="Times New Roman" w:hAnsi="Times New Roman" w:eastAsia="宋体" w:cs="Times New Roman"/>
                <w:kern w:val="0"/>
                <w:sz w:val="20"/>
                <w:szCs w:val="21"/>
              </w:rPr>
            </w:pPr>
          </w:p>
        </w:tc>
        <w:tc>
          <w:tcPr>
            <w:tcW w:w="1559" w:type="dxa"/>
            <w:tcBorders>
              <w:top w:val="single" w:color="auto" w:sz="6" w:space="0"/>
              <w:bottom w:val="single" w:color="auto" w:sz="4"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15 ℃</w:t>
            </w:r>
          </w:p>
        </w:tc>
        <w:tc>
          <w:tcPr>
            <w:tcW w:w="1559" w:type="dxa"/>
            <w:tcBorders>
              <w:top w:val="single" w:color="auto" w:sz="6" w:space="0"/>
              <w:bottom w:val="single" w:color="auto" w:sz="4"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18 ℃</w:t>
            </w:r>
          </w:p>
        </w:tc>
        <w:tc>
          <w:tcPr>
            <w:tcW w:w="1559" w:type="dxa"/>
            <w:tcBorders>
              <w:top w:val="single" w:color="auto" w:sz="6" w:space="0"/>
              <w:bottom w:val="single" w:color="auto" w:sz="4"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21 ℃</w:t>
            </w:r>
          </w:p>
        </w:tc>
        <w:tc>
          <w:tcPr>
            <w:tcW w:w="1560" w:type="dxa"/>
            <w:tcBorders>
              <w:top w:val="single" w:color="auto" w:sz="6" w:space="0"/>
              <w:bottom w:val="single" w:color="auto" w:sz="4"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 xml:space="preserve">24 ℃ </w:t>
            </w:r>
          </w:p>
        </w:tc>
        <w:tc>
          <w:tcPr>
            <w:tcW w:w="1559" w:type="dxa"/>
            <w:tcBorders>
              <w:top w:val="single" w:color="auto" w:sz="6" w:space="0"/>
              <w:bottom w:val="single" w:color="auto" w:sz="4" w:space="0"/>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27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bottom w:val="nil"/>
            </w:tcBorders>
            <w:shd w:val="clear" w:color="auto" w:fill="auto"/>
          </w:tcPr>
          <w:p>
            <w:pPr>
              <w:widowControl/>
              <w:rPr>
                <w:rFonts w:ascii="Times New Roman" w:hAnsi="Times New Roman" w:eastAsia="宋体" w:cs="Times New Roman"/>
                <w:kern w:val="0"/>
                <w:sz w:val="20"/>
                <w:szCs w:val="21"/>
              </w:rPr>
            </w:pPr>
            <w:r>
              <w:rPr>
                <w:rFonts w:ascii="Times New Roman" w:hAnsi="Times New Roman" w:eastAsia="宋体" w:cs="Times New Roman"/>
                <w:kern w:val="0"/>
                <w:sz w:val="20"/>
                <w:szCs w:val="21"/>
              </w:rPr>
              <w:t>发酵时间（d）</w:t>
            </w:r>
          </w:p>
        </w:tc>
        <w:tc>
          <w:tcPr>
            <w:tcW w:w="1559" w:type="dxa"/>
            <w:tcBorders>
              <w:top w:val="single" w:color="auto" w:sz="4" w:space="0"/>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12</w:t>
            </w:r>
          </w:p>
        </w:tc>
        <w:tc>
          <w:tcPr>
            <w:tcW w:w="1559" w:type="dxa"/>
            <w:tcBorders>
              <w:top w:val="single" w:color="auto" w:sz="4" w:space="0"/>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10</w:t>
            </w:r>
          </w:p>
        </w:tc>
        <w:tc>
          <w:tcPr>
            <w:tcW w:w="1559" w:type="dxa"/>
            <w:tcBorders>
              <w:top w:val="single" w:color="auto" w:sz="4" w:space="0"/>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w:t>
            </w:r>
          </w:p>
        </w:tc>
        <w:tc>
          <w:tcPr>
            <w:tcW w:w="1560" w:type="dxa"/>
            <w:tcBorders>
              <w:top w:val="single" w:color="auto" w:sz="4" w:space="0"/>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8</w:t>
            </w:r>
          </w:p>
        </w:tc>
        <w:tc>
          <w:tcPr>
            <w:tcW w:w="1559" w:type="dxa"/>
            <w:tcBorders>
              <w:top w:val="single" w:color="auto" w:sz="4" w:space="0"/>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nil"/>
              <w:bottom w:val="nil"/>
            </w:tcBorders>
            <w:shd w:val="clear" w:color="auto" w:fill="auto"/>
          </w:tcPr>
          <w:p>
            <w:pPr>
              <w:widowControl/>
              <w:rPr>
                <w:rFonts w:ascii="Times New Roman" w:hAnsi="Times New Roman" w:eastAsia="宋体" w:cs="Times New Roman"/>
                <w:kern w:val="0"/>
                <w:sz w:val="20"/>
                <w:szCs w:val="21"/>
              </w:rPr>
            </w:pPr>
            <w:r>
              <w:rPr>
                <w:rFonts w:ascii="Times New Roman" w:hAnsi="Times New Roman" w:eastAsia="宋体" w:cs="Times New Roman"/>
                <w:kern w:val="0"/>
                <w:sz w:val="20"/>
                <w:szCs w:val="21"/>
              </w:rPr>
              <w:t>酒精度（%vol）</w:t>
            </w:r>
          </w:p>
        </w:tc>
        <w:tc>
          <w:tcPr>
            <w:tcW w:w="1559" w:type="dxa"/>
            <w:tcBorders>
              <w:top w:val="nil"/>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10.90±0.16</w:t>
            </w:r>
            <w:r>
              <w:rPr>
                <w:rFonts w:ascii="Times New Roman" w:hAnsi="Times New Roman" w:eastAsia="宋体" w:cs="Times New Roman"/>
                <w:kern w:val="0"/>
                <w:sz w:val="20"/>
                <w:szCs w:val="21"/>
                <w:vertAlign w:val="superscript"/>
              </w:rPr>
              <w:t>d</w:t>
            </w:r>
          </w:p>
        </w:tc>
        <w:tc>
          <w:tcPr>
            <w:tcW w:w="1559" w:type="dxa"/>
            <w:tcBorders>
              <w:top w:val="nil"/>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10.96±0.19</w:t>
            </w:r>
            <w:r>
              <w:rPr>
                <w:rFonts w:ascii="Times New Roman" w:hAnsi="Times New Roman" w:eastAsia="宋体" w:cs="Times New Roman"/>
                <w:kern w:val="0"/>
                <w:sz w:val="20"/>
                <w:szCs w:val="21"/>
                <w:vertAlign w:val="superscript"/>
              </w:rPr>
              <w:t>c</w:t>
            </w:r>
          </w:p>
        </w:tc>
        <w:tc>
          <w:tcPr>
            <w:tcW w:w="1559" w:type="dxa"/>
            <w:tcBorders>
              <w:top w:val="nil"/>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11.24±0.16</w:t>
            </w:r>
            <w:r>
              <w:rPr>
                <w:rFonts w:ascii="Times New Roman" w:hAnsi="Times New Roman" w:eastAsia="宋体" w:cs="Times New Roman"/>
                <w:kern w:val="0"/>
                <w:sz w:val="20"/>
                <w:szCs w:val="21"/>
                <w:vertAlign w:val="superscript"/>
              </w:rPr>
              <w:t>b</w:t>
            </w:r>
          </w:p>
        </w:tc>
        <w:tc>
          <w:tcPr>
            <w:tcW w:w="1560" w:type="dxa"/>
            <w:tcBorders>
              <w:top w:val="nil"/>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11.30±0.10</w:t>
            </w:r>
            <w:r>
              <w:rPr>
                <w:rFonts w:ascii="Times New Roman" w:hAnsi="Times New Roman" w:eastAsia="宋体" w:cs="Times New Roman"/>
                <w:kern w:val="0"/>
                <w:sz w:val="20"/>
                <w:szCs w:val="21"/>
                <w:vertAlign w:val="superscript"/>
              </w:rPr>
              <w:t>a</w:t>
            </w:r>
          </w:p>
        </w:tc>
        <w:tc>
          <w:tcPr>
            <w:tcW w:w="1559" w:type="dxa"/>
            <w:tcBorders>
              <w:top w:val="nil"/>
              <w:bottom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11.32±0.14</w:t>
            </w:r>
            <w:r>
              <w:rPr>
                <w:rFonts w:ascii="Times New Roman" w:hAnsi="Times New Roman" w:eastAsia="宋体" w:cs="Times New Roman"/>
                <w:kern w:val="0"/>
                <w:sz w:val="20"/>
                <w:szCs w:val="21"/>
                <w:vertAlign w:val="superscript"/>
              </w:rPr>
              <w:t>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总糖（g/L）</w:t>
            </w:r>
          </w:p>
        </w:tc>
        <w:tc>
          <w:tcPr>
            <w:tcW w:w="1559"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5.20±0.10</w:t>
            </w:r>
            <w:r>
              <w:rPr>
                <w:rFonts w:ascii="Times New Roman" w:hAnsi="Times New Roman" w:eastAsia="宋体" w:cs="Times New Roman"/>
                <w:kern w:val="0"/>
                <w:sz w:val="20"/>
                <w:szCs w:val="21"/>
                <w:vertAlign w:val="superscript"/>
              </w:rPr>
              <w:t>a</w:t>
            </w:r>
          </w:p>
        </w:tc>
        <w:tc>
          <w:tcPr>
            <w:tcW w:w="1559"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5.11±0.03</w:t>
            </w:r>
            <w:r>
              <w:rPr>
                <w:rFonts w:ascii="Times New Roman" w:hAnsi="Times New Roman" w:eastAsia="宋体" w:cs="Times New Roman"/>
                <w:kern w:val="0"/>
                <w:sz w:val="20"/>
                <w:szCs w:val="21"/>
                <w:vertAlign w:val="superscript"/>
              </w:rPr>
              <w:t>b</w:t>
            </w:r>
          </w:p>
        </w:tc>
        <w:tc>
          <w:tcPr>
            <w:tcW w:w="1559"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5.03±0.05</w:t>
            </w:r>
            <w:r>
              <w:rPr>
                <w:rFonts w:ascii="Times New Roman" w:hAnsi="Times New Roman" w:eastAsia="宋体" w:cs="Times New Roman"/>
                <w:kern w:val="0"/>
                <w:sz w:val="20"/>
                <w:szCs w:val="21"/>
                <w:vertAlign w:val="superscript"/>
              </w:rPr>
              <w:t>c</w:t>
            </w:r>
          </w:p>
        </w:tc>
        <w:tc>
          <w:tcPr>
            <w:tcW w:w="1560"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4.91±0.08</w:t>
            </w:r>
            <w:r>
              <w:rPr>
                <w:rFonts w:ascii="Times New Roman" w:hAnsi="Times New Roman" w:eastAsia="宋体" w:cs="Times New Roman"/>
                <w:kern w:val="0"/>
                <w:sz w:val="20"/>
                <w:szCs w:val="21"/>
                <w:vertAlign w:val="superscript"/>
              </w:rPr>
              <w:t>d</w:t>
            </w:r>
          </w:p>
        </w:tc>
        <w:tc>
          <w:tcPr>
            <w:tcW w:w="1559" w:type="dxa"/>
            <w:tcBorders>
              <w:top w:val="nil"/>
            </w:tcBorders>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4.84±0.09</w:t>
            </w:r>
            <w:r>
              <w:rPr>
                <w:rFonts w:ascii="Times New Roman" w:hAnsi="Times New Roman" w:eastAsia="宋体" w:cs="Times New Roman"/>
                <w:kern w:val="0"/>
                <w:sz w:val="20"/>
                <w:szCs w:val="21"/>
                <w:vertAlign w:val="superscript"/>
              </w:rPr>
              <w:t>e</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总酸（g/L）</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8.68±0.01</w:t>
            </w:r>
            <w:r>
              <w:rPr>
                <w:rFonts w:ascii="Times New Roman" w:hAnsi="Times New Roman" w:eastAsia="宋体" w:cs="Times New Roman"/>
                <w:kern w:val="0"/>
                <w:sz w:val="20"/>
                <w:szCs w:val="21"/>
                <w:vertAlign w:val="superscript"/>
              </w:rPr>
              <w:t>d</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9.07±0.07</w:t>
            </w:r>
            <w:r>
              <w:rPr>
                <w:rFonts w:ascii="Times New Roman" w:hAnsi="Times New Roman" w:eastAsia="宋体" w:cs="Times New Roman"/>
                <w:kern w:val="0"/>
                <w:sz w:val="20"/>
                <w:szCs w:val="21"/>
                <w:vertAlign w:val="superscript"/>
              </w:rPr>
              <w:t>c</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9.36±0.09</w:t>
            </w:r>
            <w:r>
              <w:rPr>
                <w:rFonts w:ascii="Times New Roman" w:hAnsi="Times New Roman" w:eastAsia="宋体" w:cs="Times New Roman"/>
                <w:kern w:val="0"/>
                <w:sz w:val="20"/>
                <w:szCs w:val="21"/>
                <w:vertAlign w:val="superscript"/>
              </w:rPr>
              <w:t>a</w:t>
            </w:r>
          </w:p>
        </w:tc>
        <w:tc>
          <w:tcPr>
            <w:tcW w:w="1560"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9.23±0.03</w:t>
            </w:r>
            <w:r>
              <w:rPr>
                <w:rFonts w:ascii="Times New Roman" w:hAnsi="Times New Roman" w:eastAsia="宋体" w:cs="Times New Roman"/>
                <w:kern w:val="0"/>
                <w:sz w:val="20"/>
                <w:szCs w:val="21"/>
                <w:vertAlign w:val="superscript"/>
              </w:rPr>
              <w:t>b</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9.41±0.25</w:t>
            </w:r>
            <w:r>
              <w:rPr>
                <w:rFonts w:ascii="Times New Roman" w:hAnsi="Times New Roman" w:eastAsia="宋体" w:cs="Times New Roman"/>
                <w:kern w:val="0"/>
                <w:sz w:val="20"/>
                <w:szCs w:val="21"/>
                <w:vertAlign w:val="superscript"/>
              </w:rPr>
              <w:t>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总酚（mg/L）</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327.33±0.58</w:t>
            </w:r>
            <w:r>
              <w:rPr>
                <w:rFonts w:ascii="Times New Roman" w:hAnsi="Times New Roman" w:eastAsia="宋体" w:cs="Times New Roman"/>
                <w:kern w:val="0"/>
                <w:sz w:val="20"/>
                <w:szCs w:val="21"/>
                <w:vertAlign w:val="superscript"/>
              </w:rPr>
              <w:t>a</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329.1±1.89</w:t>
            </w:r>
            <w:r>
              <w:rPr>
                <w:rFonts w:ascii="Times New Roman" w:hAnsi="Times New Roman" w:eastAsia="宋体" w:cs="Times New Roman"/>
                <w:kern w:val="0"/>
                <w:sz w:val="20"/>
                <w:szCs w:val="21"/>
                <w:vertAlign w:val="superscript"/>
              </w:rPr>
              <w:t>a</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337.02±8.11</w:t>
            </w:r>
            <w:r>
              <w:rPr>
                <w:rFonts w:ascii="Times New Roman" w:hAnsi="Times New Roman" w:eastAsia="宋体" w:cs="Times New Roman"/>
                <w:kern w:val="0"/>
                <w:sz w:val="20"/>
                <w:szCs w:val="21"/>
                <w:vertAlign w:val="superscript"/>
              </w:rPr>
              <w:t>a</w:t>
            </w:r>
          </w:p>
        </w:tc>
        <w:tc>
          <w:tcPr>
            <w:tcW w:w="1560"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339.41±7.04</w:t>
            </w:r>
            <w:r>
              <w:rPr>
                <w:rFonts w:ascii="Times New Roman" w:hAnsi="Times New Roman" w:eastAsia="宋体" w:cs="Times New Roman"/>
                <w:kern w:val="0"/>
                <w:sz w:val="20"/>
                <w:szCs w:val="21"/>
                <w:vertAlign w:val="superscript"/>
              </w:rPr>
              <w:t>a</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340.67±9.11</w:t>
            </w:r>
            <w:r>
              <w:rPr>
                <w:rFonts w:ascii="Times New Roman" w:hAnsi="Times New Roman" w:eastAsia="宋体" w:cs="Times New Roman"/>
                <w:kern w:val="0"/>
                <w:sz w:val="20"/>
                <w:szCs w:val="21"/>
                <w:vertAlign w:val="superscript"/>
              </w:rPr>
              <w:t>a</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shd w:val="clear" w:color="auto" w:fill="auto"/>
          </w:tcPr>
          <w:p>
            <w:pPr>
              <w:widowControl/>
              <w:rPr>
                <w:rFonts w:ascii="Times New Roman" w:hAnsi="Times New Roman" w:eastAsia="宋体" w:cs="Times New Roman"/>
                <w:kern w:val="0"/>
                <w:sz w:val="20"/>
                <w:szCs w:val="21"/>
              </w:rPr>
            </w:pPr>
            <w:r>
              <w:rPr>
                <w:rFonts w:ascii="Times New Roman" w:hAnsi="Times New Roman" w:eastAsia="宋体" w:cs="Times New Roman"/>
                <w:kern w:val="0"/>
                <w:sz w:val="20"/>
                <w:szCs w:val="21"/>
              </w:rPr>
              <w:t>总黄酮（mg/L）</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169.23±6.44</w:t>
            </w:r>
            <w:r>
              <w:rPr>
                <w:rFonts w:ascii="Times New Roman" w:hAnsi="Times New Roman" w:eastAsia="宋体" w:cs="Times New Roman"/>
                <w:kern w:val="0"/>
                <w:sz w:val="20"/>
                <w:szCs w:val="21"/>
                <w:vertAlign w:val="superscript"/>
              </w:rPr>
              <w:t>b</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174.55±6.56</w:t>
            </w:r>
            <w:r>
              <w:rPr>
                <w:rFonts w:ascii="Times New Roman" w:hAnsi="Times New Roman" w:eastAsia="宋体" w:cs="Times New Roman"/>
                <w:kern w:val="0"/>
                <w:sz w:val="20"/>
                <w:szCs w:val="21"/>
                <w:vertAlign w:val="superscript"/>
              </w:rPr>
              <w:t>b</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176.20±3.80</w:t>
            </w:r>
            <w:r>
              <w:rPr>
                <w:rFonts w:ascii="Times New Roman" w:hAnsi="Times New Roman" w:eastAsia="宋体" w:cs="Times New Roman"/>
                <w:kern w:val="0"/>
                <w:sz w:val="20"/>
                <w:szCs w:val="21"/>
                <w:vertAlign w:val="superscript"/>
              </w:rPr>
              <w:t>b</w:t>
            </w:r>
          </w:p>
        </w:tc>
        <w:tc>
          <w:tcPr>
            <w:tcW w:w="1560"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174.91±1.43</w:t>
            </w:r>
            <w:r>
              <w:rPr>
                <w:rFonts w:ascii="Times New Roman" w:hAnsi="Times New Roman" w:eastAsia="宋体" w:cs="Times New Roman"/>
                <w:kern w:val="0"/>
                <w:sz w:val="20"/>
                <w:szCs w:val="21"/>
                <w:vertAlign w:val="superscript"/>
              </w:rPr>
              <w:t>b</w:t>
            </w:r>
          </w:p>
        </w:tc>
        <w:tc>
          <w:tcPr>
            <w:tcW w:w="1559" w:type="dxa"/>
            <w:shd w:val="clear" w:color="auto" w:fill="auto"/>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189.32±5.30</w:t>
            </w:r>
            <w:r>
              <w:rPr>
                <w:rFonts w:ascii="Times New Roman" w:hAnsi="Times New Roman" w:eastAsia="宋体" w:cs="Times New Roman"/>
                <w:kern w:val="0"/>
                <w:sz w:val="20"/>
                <w:szCs w:val="21"/>
                <w:vertAlign w:val="superscript"/>
              </w:rPr>
              <w:t xml:space="preserve">a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shd w:val="clear" w:color="auto" w:fill="auto"/>
          </w:tcPr>
          <w:p>
            <w:pPr>
              <w:widowControl/>
              <w:rPr>
                <w:rFonts w:ascii="Times New Roman" w:hAnsi="Times New Roman" w:eastAsia="宋体" w:cs="Times New Roman"/>
                <w:kern w:val="0"/>
                <w:sz w:val="20"/>
                <w:szCs w:val="21"/>
              </w:rPr>
            </w:pPr>
            <w:r>
              <w:rPr>
                <w:rFonts w:ascii="Times New Roman" w:hAnsi="Times New Roman" w:eastAsia="宋体" w:cs="Times New Roman"/>
                <w:kern w:val="0"/>
                <w:sz w:val="20"/>
                <w:szCs w:val="21"/>
              </w:rPr>
              <w:t>香气成分（μg/L）</w:t>
            </w:r>
          </w:p>
        </w:tc>
        <w:tc>
          <w:tcPr>
            <w:tcW w:w="1559" w:type="dxa"/>
            <w:shd w:val="clear" w:color="auto" w:fill="auto"/>
          </w:tcPr>
          <w:p>
            <w:pPr>
              <w:widowControl/>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104156.71</w:t>
            </w:r>
          </w:p>
        </w:tc>
        <w:tc>
          <w:tcPr>
            <w:tcW w:w="1559" w:type="dxa"/>
            <w:shd w:val="clear" w:color="auto" w:fill="auto"/>
          </w:tcPr>
          <w:p>
            <w:pPr>
              <w:widowControl/>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150261.35</w:t>
            </w:r>
          </w:p>
        </w:tc>
        <w:tc>
          <w:tcPr>
            <w:tcW w:w="1559" w:type="dxa"/>
            <w:shd w:val="clear" w:color="auto" w:fill="auto"/>
          </w:tcPr>
          <w:p>
            <w:pPr>
              <w:widowControl/>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141346.53</w:t>
            </w:r>
          </w:p>
        </w:tc>
        <w:tc>
          <w:tcPr>
            <w:tcW w:w="1560" w:type="dxa"/>
            <w:shd w:val="clear" w:color="auto" w:fill="auto"/>
          </w:tcPr>
          <w:p>
            <w:pPr>
              <w:widowControl/>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12</w:t>
            </w:r>
            <w:r>
              <w:rPr>
                <w:rFonts w:ascii="Times New Roman" w:hAnsi="Times New Roman" w:eastAsia="宋体" w:cs="Times New Roman"/>
                <w:kern w:val="0"/>
                <w:sz w:val="20"/>
                <w:szCs w:val="21"/>
              </w:rPr>
              <w:t>8</w:t>
            </w:r>
            <w:r>
              <w:rPr>
                <w:rFonts w:hint="eastAsia" w:ascii="Times New Roman" w:hAnsi="Times New Roman" w:eastAsia="宋体" w:cs="Times New Roman"/>
                <w:kern w:val="0"/>
                <w:sz w:val="20"/>
                <w:szCs w:val="21"/>
              </w:rPr>
              <w:t>529.5</w:t>
            </w:r>
          </w:p>
        </w:tc>
        <w:tc>
          <w:tcPr>
            <w:tcW w:w="1559" w:type="dxa"/>
            <w:shd w:val="clear" w:color="auto" w:fill="auto"/>
          </w:tcPr>
          <w:p>
            <w:pPr>
              <w:widowControl/>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ascii="Times New Roman" w:hAnsi="Times New Roman" w:eastAsia="宋体" w:cs="Times New Roman"/>
                <w:kern w:val="0"/>
                <w:sz w:val="20"/>
                <w:szCs w:val="21"/>
              </w:rPr>
              <w:t>1</w:t>
            </w:r>
            <w:r>
              <w:rPr>
                <w:rFonts w:hint="eastAsia" w:ascii="Times New Roman" w:hAnsi="Times New Roman" w:eastAsia="宋体" w:cs="Times New Roman"/>
                <w:kern w:val="0"/>
                <w:sz w:val="20"/>
                <w:szCs w:val="21"/>
              </w:rPr>
              <w:t>3203.42</w:t>
            </w:r>
          </w:p>
        </w:tc>
      </w:tr>
    </w:tbl>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（5）澄清分离</w:t>
      </w:r>
    </w:p>
    <w:p>
      <w:pPr>
        <w:keepNext/>
        <w:keepLines/>
        <w:spacing w:line="360" w:lineRule="auto"/>
        <w:ind w:firstLine="420" w:firstLineChars="200"/>
        <w:outlineLvl w:val="1"/>
        <w:rPr>
          <w:rFonts w:ascii="Times New Roman" w:hAnsi="Times New Roman" w:eastAsia="宋体" w:cs="Times New Roman"/>
          <w:szCs w:val="21"/>
          <w:lang w:val="zh-CN"/>
        </w:rPr>
      </w:pPr>
      <w:r>
        <w:rPr>
          <w:rFonts w:hint="eastAsia" w:ascii="Times New Roman" w:hAnsi="Times New Roman" w:eastAsia="宋体" w:cs="Times New Roman"/>
          <w:szCs w:val="21"/>
          <w:lang w:val="zh-CN"/>
        </w:rPr>
        <w:t>根据前期研究和企业调研，柑橘原酒中含有色素、黄酮、蛋白质、果胶、果肉等多种物质，易发生浑浊沉淀，因此酒精发酵结束采用自然澄清结合澄清剂对原酒进行澄清，澄清剂可以使用膨润土、高龄土、明胶、壳聚糖等澄清剂。澄清后倒罐分离。</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（6）</w:t>
      </w:r>
      <w:r>
        <w:rPr>
          <w:rFonts w:ascii="宋体" w:hAnsi="宋体" w:eastAsia="宋体" w:cs="Times New Roman"/>
          <w:b/>
          <w:bCs/>
          <w:szCs w:val="21"/>
        </w:rPr>
        <w:t>蒸馏</w:t>
      </w:r>
    </w:p>
    <w:p>
      <w:pPr>
        <w:keepNext/>
        <w:keepLines/>
        <w:spacing w:line="360" w:lineRule="auto"/>
        <w:ind w:firstLine="420" w:firstLineChars="200"/>
        <w:outlineLvl w:val="1"/>
        <w:rPr>
          <w:rFonts w:ascii="Times New Roman" w:hAnsi="Times New Roman" w:eastAsia="宋体" w:cs="Times New Roman"/>
          <w:szCs w:val="21"/>
          <w:lang w:val="zh-CN"/>
        </w:rPr>
      </w:pPr>
      <w:r>
        <w:rPr>
          <w:rFonts w:hint="eastAsia" w:ascii="Times New Roman" w:hAnsi="Times New Roman" w:eastAsia="宋体" w:cs="Times New Roman"/>
          <w:szCs w:val="21"/>
          <w:lang w:val="zh-CN"/>
        </w:rPr>
        <w:t>采用壶式或塔式蒸馏器对澄清后的原酒进行液态法蒸馏，宜采用二次或多次蒸馏，获得高酒度蒸馏酒。根据前期研究和企业调研，各企业具体蒸馏工艺因各自蒸馏设备的差异而不同，具体包括蒸馏温度、蒸馏压力、馏酒速率、冷凝水流量及掐头去尾量。</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（7）</w:t>
      </w:r>
      <w:r>
        <w:rPr>
          <w:rFonts w:ascii="宋体" w:hAnsi="宋体" w:eastAsia="宋体" w:cs="Times New Roman"/>
          <w:b/>
          <w:bCs/>
          <w:szCs w:val="21"/>
        </w:rPr>
        <w:t>橡木桶陈酿</w:t>
      </w:r>
    </w:p>
    <w:p>
      <w:pPr>
        <w:keepNext/>
        <w:keepLines/>
        <w:spacing w:line="360" w:lineRule="auto"/>
        <w:ind w:firstLine="420" w:firstLineChars="200"/>
        <w:outlineLvl w:val="1"/>
        <w:rPr>
          <w:rFonts w:ascii="Times New Roman" w:hAnsi="Times New Roman" w:eastAsia="宋体" w:cs="Times New Roman"/>
          <w:szCs w:val="21"/>
          <w:lang w:val="zh-CN"/>
        </w:rPr>
      </w:pPr>
      <w:r>
        <w:rPr>
          <w:rFonts w:hint="eastAsia" w:ascii="Times New Roman" w:hAnsi="Times New Roman" w:eastAsia="宋体" w:cs="Times New Roman"/>
          <w:szCs w:val="21"/>
          <w:lang w:val="zh-CN"/>
        </w:rPr>
        <w:t>将蒸馏后的柑橘酒装在橡木桶中在地窖内静置存放，橡木桶应符合</w:t>
      </w:r>
      <w:r>
        <w:rPr>
          <w:rFonts w:ascii="Times New Roman" w:hAnsi="Times New Roman" w:eastAsia="宋体" w:cs="Times New Roman"/>
          <w:szCs w:val="21"/>
          <w:lang w:val="zh-CN"/>
        </w:rPr>
        <w:t>T/CBJ 4102 的规定，酒液贮藏参照GB/T 11856 执行，陈酿期间需关注酒体的变化</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基本陈酿时间为2年以上，</w:t>
      </w:r>
      <w:r>
        <w:rPr>
          <w:rFonts w:hint="eastAsia" w:ascii="Times New Roman" w:hAnsi="Times New Roman" w:eastAsia="宋体" w:cs="Times New Roman"/>
          <w:szCs w:val="21"/>
          <w:lang w:val="zh-CN"/>
        </w:rPr>
        <w:t>具体陈酿时间受陈酿条件和容器而异</w:t>
      </w:r>
      <w:r>
        <w:rPr>
          <w:rFonts w:ascii="Times New Roman" w:hAnsi="Times New Roman" w:eastAsia="宋体" w:cs="Times New Roman"/>
          <w:szCs w:val="21"/>
          <w:lang w:val="zh-CN"/>
        </w:rPr>
        <w:t>。待酒体老熟，澄清、透亮，醇厚绵柔即可灌装。</w:t>
      </w:r>
    </w:p>
    <w:p>
      <w:pPr>
        <w:keepNext/>
        <w:keepLines/>
        <w:spacing w:line="360" w:lineRule="auto"/>
        <w:ind w:firstLine="422" w:firstLineChars="200"/>
        <w:outlineLvl w:val="1"/>
        <w:rPr>
          <w:rFonts w:ascii="宋体" w:hAnsi="宋体" w:eastAsia="宋体" w:cs="Times New Roman"/>
          <w:b/>
          <w:bCs/>
          <w:szCs w:val="21"/>
        </w:rPr>
      </w:pPr>
      <w:r>
        <w:rPr>
          <w:rFonts w:hint="eastAsia" w:ascii="宋体" w:hAnsi="宋体" w:eastAsia="宋体" w:cs="Times New Roman"/>
          <w:b/>
          <w:bCs/>
          <w:szCs w:val="21"/>
        </w:rPr>
        <w:t>（8）</w:t>
      </w:r>
      <w:r>
        <w:rPr>
          <w:rFonts w:ascii="宋体" w:hAnsi="宋体" w:eastAsia="宋体" w:cs="Times New Roman"/>
          <w:b/>
          <w:bCs/>
          <w:szCs w:val="21"/>
        </w:rPr>
        <w:t>调配和灌装</w:t>
      </w:r>
    </w:p>
    <w:p>
      <w:pPr>
        <w:keepNext/>
        <w:keepLines/>
        <w:spacing w:line="360" w:lineRule="auto"/>
        <w:ind w:firstLine="420" w:firstLineChars="200"/>
        <w:outlineLvl w:val="1"/>
        <w:rPr>
          <w:rFonts w:ascii="Times New Roman" w:hAnsi="Times New Roman" w:eastAsia="宋体" w:cs="Times New Roman"/>
          <w:szCs w:val="21"/>
          <w:lang w:val="zh-CN"/>
        </w:rPr>
      </w:pPr>
      <w:r>
        <w:rPr>
          <w:rFonts w:hint="eastAsia" w:ascii="Times New Roman" w:hAnsi="Times New Roman" w:eastAsia="宋体" w:cs="Times New Roman"/>
          <w:szCs w:val="21"/>
          <w:lang w:val="zh-CN"/>
        </w:rPr>
        <w:t>根据产品标准对其酒精度、色泽等进行微调，经过滤后灌装。</w:t>
      </w:r>
    </w:p>
    <w:p>
      <w:pPr>
        <w:tabs>
          <w:tab w:val="left" w:pos="945"/>
        </w:tabs>
        <w:spacing w:line="360" w:lineRule="auto"/>
        <w:rPr>
          <w:rFonts w:ascii="宋体" w:hAnsi="宋体" w:eastAsia="宋体" w:cs="Courier New"/>
          <w:b/>
          <w:snapToGrid w:val="0"/>
          <w:szCs w:val="21"/>
        </w:rPr>
      </w:pPr>
      <w:r>
        <w:rPr>
          <w:rFonts w:hint="eastAsia" w:ascii="Times New Roman" w:hAnsi="Times New Roman" w:eastAsia="宋体" w:cs="Courier New"/>
          <w:b/>
          <w:snapToGrid w:val="0"/>
          <w:szCs w:val="21"/>
        </w:rPr>
        <w:t>五、技术</w:t>
      </w:r>
      <w:r>
        <w:rPr>
          <w:rFonts w:hint="eastAsia" w:ascii="宋体" w:hAnsi="宋体" w:eastAsia="宋体" w:cs="Courier New"/>
          <w:b/>
          <w:snapToGrid w:val="0"/>
          <w:szCs w:val="21"/>
        </w:rPr>
        <w:t>规程与有关现行法律、法规和强制性标准的关系</w:t>
      </w:r>
    </w:p>
    <w:p>
      <w:pPr>
        <w:spacing w:line="360" w:lineRule="auto"/>
        <w:ind w:firstLine="420" w:firstLineChars="200"/>
        <w:rPr>
          <w:rFonts w:ascii="Times New Roman" w:hAnsi="宋体" w:eastAsia="宋体" w:cs="Times New Roman"/>
          <w:color w:val="000000"/>
          <w:szCs w:val="21"/>
        </w:rPr>
      </w:pPr>
      <w:r>
        <w:rPr>
          <w:rFonts w:hint="eastAsia" w:ascii="宋体" w:hAnsi="宋体" w:eastAsia="宋体" w:cs="Times New Roman"/>
          <w:color w:val="000000"/>
          <w:szCs w:val="21"/>
        </w:rPr>
        <w:t>本技术规程编制所选择的标准都是我国目前已经颁布实施的，与</w:t>
      </w:r>
      <w:r>
        <w:rPr>
          <w:rFonts w:hint="eastAsia" w:ascii="Times New Roman" w:hAnsi="宋体" w:eastAsia="宋体" w:cs="Times New Roman"/>
          <w:color w:val="000000"/>
          <w:szCs w:val="21"/>
        </w:rPr>
        <w:t>有关的现行法律、法规和强制性标准没有冲突。</w:t>
      </w:r>
    </w:p>
    <w:p>
      <w:pPr>
        <w:tabs>
          <w:tab w:val="left" w:pos="945"/>
        </w:tabs>
        <w:spacing w:line="360" w:lineRule="auto"/>
        <w:rPr>
          <w:rFonts w:ascii="Times New Roman" w:hAnsi="Times New Roman" w:eastAsia="宋体" w:cs="Courier New"/>
          <w:b/>
          <w:snapToGrid w:val="0"/>
          <w:szCs w:val="21"/>
        </w:rPr>
      </w:pPr>
      <w:r>
        <w:rPr>
          <w:rFonts w:hint="eastAsia" w:ascii="Times New Roman" w:hAnsi="Times New Roman" w:eastAsia="宋体" w:cs="Courier New"/>
          <w:b/>
          <w:snapToGrid w:val="0"/>
          <w:szCs w:val="21"/>
        </w:rPr>
        <w:t>六、重大分歧意见的处理经过和依据</w:t>
      </w:r>
    </w:p>
    <w:p>
      <w:pPr>
        <w:tabs>
          <w:tab w:val="left" w:pos="945"/>
        </w:tabs>
        <w:spacing w:line="360" w:lineRule="auto"/>
        <w:ind w:firstLine="420" w:firstLineChars="200"/>
        <w:rPr>
          <w:rFonts w:ascii="Times New Roman" w:hAnsi="Times New Roman" w:eastAsia="宋体" w:cs="Courier New"/>
          <w:b/>
          <w:snapToGrid w:val="0"/>
          <w:szCs w:val="21"/>
        </w:rPr>
      </w:pPr>
      <w:r>
        <w:rPr>
          <w:rFonts w:ascii="宋体" w:hAnsi="宋体" w:eastAsia="宋体" w:cs="Courier New"/>
          <w:snapToGrid w:val="0"/>
          <w:szCs w:val="30"/>
        </w:rPr>
        <w:t>本</w:t>
      </w:r>
      <w:r>
        <w:rPr>
          <w:rFonts w:hint="eastAsia" w:ascii="宋体" w:hAnsi="宋体" w:eastAsia="宋体" w:cs="Courier New"/>
          <w:snapToGrid w:val="0"/>
          <w:szCs w:val="30"/>
        </w:rPr>
        <w:t>技术规程前期对湖南省柑橘白兰地行业进行了充分的调研，在加工技术要求方面开展了广泛的征询，取得了较为一致的意见。标准征求意见稿面向典型性企业及其他相关单位等广泛征求意见。本技术规程制定过程中无重大分歧意见。</w:t>
      </w:r>
    </w:p>
    <w:p>
      <w:pPr>
        <w:tabs>
          <w:tab w:val="left" w:pos="945"/>
        </w:tabs>
        <w:spacing w:line="360" w:lineRule="auto"/>
        <w:rPr>
          <w:rFonts w:ascii="Times New Roman" w:hAnsi="Times New Roman" w:eastAsia="宋体" w:cs="Courier New"/>
          <w:b/>
          <w:snapToGrid w:val="0"/>
          <w:szCs w:val="21"/>
        </w:rPr>
      </w:pPr>
      <w:r>
        <w:rPr>
          <w:rFonts w:hint="eastAsia" w:ascii="Times New Roman" w:hAnsi="Times New Roman" w:eastAsia="宋体" w:cs="Courier New"/>
          <w:b/>
          <w:snapToGrid w:val="0"/>
          <w:szCs w:val="21"/>
        </w:rPr>
        <w:t>七、贯彻标准的要求和措施建议</w:t>
      </w:r>
    </w:p>
    <w:p>
      <w:pPr>
        <w:autoSpaceDE w:val="0"/>
        <w:autoSpaceDN w:val="0"/>
        <w:adjustRightInd w:val="0"/>
        <w:spacing w:line="440" w:lineRule="exact"/>
        <w:ind w:firstLine="420" w:firstLineChars="200"/>
        <w:jc w:val="left"/>
        <w:rPr>
          <w:rFonts w:ascii="Times New Roman" w:hAnsi="宋体" w:eastAsia="宋体" w:cs="Times New Roman"/>
          <w:kern w:val="0"/>
          <w:szCs w:val="21"/>
        </w:rPr>
      </w:pPr>
      <w:r>
        <w:rPr>
          <w:rFonts w:ascii="Times New Roman" w:hAnsi="宋体" w:eastAsia="宋体" w:cs="Times New Roman"/>
          <w:kern w:val="0"/>
          <w:szCs w:val="21"/>
        </w:rPr>
        <w:t>编制的</w:t>
      </w:r>
      <w:r>
        <w:rPr>
          <w:rFonts w:hint="eastAsia" w:ascii="Times New Roman" w:hAnsi="宋体" w:eastAsia="宋体" w:cs="Times New Roman"/>
          <w:kern w:val="0"/>
          <w:szCs w:val="21"/>
        </w:rPr>
        <w:t>柑橘白兰地加工</w:t>
      </w:r>
      <w:r>
        <w:rPr>
          <w:rFonts w:ascii="Times New Roman" w:hAnsi="宋体" w:eastAsia="宋体" w:cs="Times New Roman"/>
          <w:kern w:val="0"/>
          <w:szCs w:val="21"/>
        </w:rPr>
        <w:t>技术规程，</w:t>
      </w:r>
      <w:r>
        <w:rPr>
          <w:rFonts w:hint="eastAsia" w:ascii="Times New Roman" w:hAnsi="宋体" w:eastAsia="宋体" w:cs="Times New Roman"/>
          <w:kern w:val="0"/>
          <w:szCs w:val="21"/>
        </w:rPr>
        <w:t>参考了国内外白兰地生产的技术要求，</w:t>
      </w:r>
      <w:r>
        <w:rPr>
          <w:rFonts w:ascii="Times New Roman" w:hAnsi="宋体" w:eastAsia="宋体" w:cs="Times New Roman"/>
          <w:kern w:val="0"/>
          <w:szCs w:val="21"/>
        </w:rPr>
        <w:t>结合</w:t>
      </w:r>
      <w:r>
        <w:rPr>
          <w:rFonts w:hint="eastAsia" w:ascii="Times New Roman" w:hAnsi="宋体" w:eastAsia="宋体" w:cs="Times New Roman"/>
          <w:kern w:val="0"/>
          <w:szCs w:val="21"/>
        </w:rPr>
        <w:t>了湖南省柑橘白兰地加工</w:t>
      </w:r>
      <w:r>
        <w:rPr>
          <w:rFonts w:ascii="Times New Roman" w:hAnsi="宋体" w:eastAsia="宋体" w:cs="Times New Roman"/>
          <w:kern w:val="0"/>
          <w:szCs w:val="21"/>
        </w:rPr>
        <w:t>企业生产实际，可操作性强，</w:t>
      </w:r>
      <w:r>
        <w:rPr>
          <w:rFonts w:hint="eastAsia" w:ascii="Times New Roman" w:hAnsi="宋体" w:eastAsia="宋体" w:cs="Times New Roman"/>
          <w:kern w:val="0"/>
          <w:szCs w:val="21"/>
        </w:rPr>
        <w:t>按照</w:t>
      </w:r>
      <w:r>
        <w:rPr>
          <w:rFonts w:ascii="Times New Roman" w:hAnsi="宋体" w:eastAsia="宋体" w:cs="Times New Roman"/>
          <w:kern w:val="0"/>
          <w:szCs w:val="21"/>
        </w:rPr>
        <w:t>规程</w:t>
      </w:r>
      <w:r>
        <w:rPr>
          <w:rFonts w:hint="eastAsia" w:ascii="Times New Roman" w:hAnsi="宋体" w:eastAsia="宋体" w:cs="Times New Roman"/>
          <w:kern w:val="0"/>
          <w:szCs w:val="21"/>
        </w:rPr>
        <w:t>规定的技术要求进行加工，可有效地规范湖南省内柑橘白兰地加工企业，提高产品质量水平。建议将技术规程尽快推广应用，加大本规程的宣贯，同时跟踪标准执行情况，规范和指导我省的柑橘白兰地加工，</w:t>
      </w:r>
      <w:r>
        <w:rPr>
          <w:rFonts w:ascii="Times New Roman" w:hAnsi="宋体" w:eastAsia="宋体" w:cs="Times New Roman"/>
          <w:kern w:val="0"/>
          <w:szCs w:val="21"/>
        </w:rPr>
        <w:t>有效提升柑橘加工能力，促进柑橘产业的健康发展。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2szA2MjKxNDQ3N7ZQ0lEKTi0uzszPAykwqgUABYONnSwAAAA="/>
    <w:docVar w:name="commondata" w:val="eyJoZGlkIjoiZDA5N2ZjMGI4ODczYjI3NzM4M2Q1N2EzYThmNjNmZjkifQ=="/>
  </w:docVars>
  <w:rsids>
    <w:rsidRoot w:val="005D3A46"/>
    <w:rsid w:val="000163B6"/>
    <w:rsid w:val="0001786F"/>
    <w:rsid w:val="0002159D"/>
    <w:rsid w:val="000F39B3"/>
    <w:rsid w:val="0012167C"/>
    <w:rsid w:val="00186B96"/>
    <w:rsid w:val="001B1AA8"/>
    <w:rsid w:val="001E1191"/>
    <w:rsid w:val="0021784E"/>
    <w:rsid w:val="00225589"/>
    <w:rsid w:val="002D5C09"/>
    <w:rsid w:val="002E0D70"/>
    <w:rsid w:val="002F4F62"/>
    <w:rsid w:val="00390382"/>
    <w:rsid w:val="003B6460"/>
    <w:rsid w:val="003E5196"/>
    <w:rsid w:val="00467941"/>
    <w:rsid w:val="00483964"/>
    <w:rsid w:val="005D3A46"/>
    <w:rsid w:val="006A3788"/>
    <w:rsid w:val="006B49D6"/>
    <w:rsid w:val="006B64A6"/>
    <w:rsid w:val="006E0C1A"/>
    <w:rsid w:val="007023CC"/>
    <w:rsid w:val="00737025"/>
    <w:rsid w:val="00740F61"/>
    <w:rsid w:val="007578B4"/>
    <w:rsid w:val="0079034C"/>
    <w:rsid w:val="00793CC4"/>
    <w:rsid w:val="007D2999"/>
    <w:rsid w:val="008204A5"/>
    <w:rsid w:val="00827D0E"/>
    <w:rsid w:val="008636CD"/>
    <w:rsid w:val="008642B1"/>
    <w:rsid w:val="008A124C"/>
    <w:rsid w:val="008D625F"/>
    <w:rsid w:val="00910C62"/>
    <w:rsid w:val="00985A86"/>
    <w:rsid w:val="00A82697"/>
    <w:rsid w:val="00AF28AB"/>
    <w:rsid w:val="00B169F1"/>
    <w:rsid w:val="00B56B85"/>
    <w:rsid w:val="00BB4CBF"/>
    <w:rsid w:val="00BE181D"/>
    <w:rsid w:val="00C72A84"/>
    <w:rsid w:val="00CF1244"/>
    <w:rsid w:val="00CF6A47"/>
    <w:rsid w:val="00D94BD7"/>
    <w:rsid w:val="00DA2429"/>
    <w:rsid w:val="00DD061D"/>
    <w:rsid w:val="00E36D21"/>
    <w:rsid w:val="3CB0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段"/>
    <w:link w:val="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8">
    <w:name w:val="段 Char"/>
    <w:link w:val="7"/>
    <w:qFormat/>
    <w:uiPriority w:val="0"/>
    <w:rPr>
      <w:rFonts w:ascii="宋体" w:hAnsi="Times New Roman" w:eastAsia="宋体" w:cs="Times New Roman"/>
      <w:kern w:val="0"/>
      <w:szCs w:val="20"/>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4619</Words>
  <Characters>5228</Characters>
  <Lines>39</Lines>
  <Paragraphs>11</Paragraphs>
  <TotalTime>0</TotalTime>
  <ScaleCrop>false</ScaleCrop>
  <LinksUpToDate>false</LinksUpToDate>
  <CharactersWithSpaces>5400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Administrator</dc:creator>
  <cp:lastModifiedBy>Administrator</cp:lastModifiedBy>
  <dcterms:modified xsi:type="dcterms:W3CDTF">2023-07-20T07:15:44Z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F3D2BCE5968942D0BA8948FE83A0B177_12</vt:lpwstr>
  </property>
</Properties>
</file>