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4E" w:rsidRPr="006A0ED9" w:rsidRDefault="00F84B4E" w:rsidP="00336661">
      <w:pPr>
        <w:jc w:val="left"/>
        <w:rPr>
          <w:rFonts w:ascii="黑体" w:eastAsia="黑体" w:hAnsi="宋体"/>
          <w:sz w:val="28"/>
          <w:szCs w:val="28"/>
        </w:rPr>
      </w:pPr>
      <w:r w:rsidRPr="006A0ED9">
        <w:rPr>
          <w:rFonts w:ascii="黑体" w:eastAsia="黑体" w:hAnsi="宋体" w:hint="eastAsia"/>
          <w:sz w:val="28"/>
          <w:szCs w:val="28"/>
        </w:rPr>
        <w:t>附件</w:t>
      </w:r>
      <w:r w:rsidRPr="006A0ED9">
        <w:rPr>
          <w:rFonts w:ascii="黑体" w:eastAsia="黑体" w:hAnsi="宋体"/>
          <w:sz w:val="28"/>
          <w:szCs w:val="28"/>
        </w:rPr>
        <w:t>2</w:t>
      </w:r>
    </w:p>
    <w:p w:rsidR="00F84B4E" w:rsidRDefault="00F84B4E" w:rsidP="00EF37B1">
      <w:pPr>
        <w:ind w:firstLineChars="177" w:firstLine="31680"/>
        <w:jc w:val="center"/>
        <w:rPr>
          <w:rFonts w:ascii="宋体"/>
          <w:b/>
          <w:sz w:val="44"/>
          <w:szCs w:val="44"/>
        </w:rPr>
      </w:pPr>
      <w:r w:rsidRPr="006A0ED9">
        <w:rPr>
          <w:rFonts w:ascii="宋体" w:hAnsi="宋体"/>
          <w:b/>
          <w:sz w:val="44"/>
          <w:szCs w:val="44"/>
        </w:rPr>
        <w:t>2014</w:t>
      </w:r>
      <w:r w:rsidRPr="006A0ED9">
        <w:rPr>
          <w:rFonts w:ascii="宋体" w:hAnsi="宋体" w:hint="eastAsia"/>
          <w:b/>
          <w:sz w:val="44"/>
          <w:szCs w:val="44"/>
        </w:rPr>
        <w:t>年食品安全国家标准项目计划</w:t>
      </w:r>
    </w:p>
    <w:p w:rsidR="00F84B4E" w:rsidRDefault="00F84B4E" w:rsidP="00EF37B1">
      <w:pPr>
        <w:ind w:firstLineChars="177" w:firstLine="31680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（征求意见稿）</w:t>
      </w:r>
    </w:p>
    <w:tbl>
      <w:tblPr>
        <w:tblW w:w="8928" w:type="dxa"/>
        <w:tblLayout w:type="fixed"/>
        <w:tblLook w:val="0000"/>
      </w:tblPr>
      <w:tblGrid>
        <w:gridCol w:w="528"/>
        <w:gridCol w:w="3780"/>
        <w:gridCol w:w="840"/>
        <w:gridCol w:w="3780"/>
      </w:tblGrid>
      <w:tr w:rsidR="00F84B4E" w:rsidTr="00EF37B1">
        <w:trPr>
          <w:trHeight w:val="510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标准项目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84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制定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建议项目承担单位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食品安全名词术语及食品分类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国家食品安全风险评估中心、中国食品工业协会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乳糖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国家乳业工程技术研究中心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复合调味料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广东省疾病预防控制中心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胶原蛋白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中国食品科学技术学会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食品添加剂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复合膨松剂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中海油天津化工研究设计院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食品添加剂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滑石粉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中海油天津化工研究设计院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食品添加剂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稳定态二氧化氯溶液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食品添加剂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紫甘薯色素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天津科技大学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食品添加剂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碳酸氢钾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jc w:val="left"/>
              <w:rPr>
                <w:rFonts w:ascii="宋体"/>
                <w:sz w:val="24"/>
              </w:rPr>
            </w:pP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食品中维生素</w:t>
            </w:r>
            <w:r>
              <w:rPr>
                <w:rFonts w:ascii="宋体" w:hAnsi="宋体"/>
                <w:sz w:val="24"/>
              </w:rPr>
              <w:t>B12</w:t>
            </w:r>
            <w:r>
              <w:rPr>
                <w:rFonts w:ascii="宋体" w:hAnsi="宋体" w:hint="eastAsia"/>
                <w:sz w:val="24"/>
              </w:rPr>
              <w:t>的测定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浙江疾控中心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食品中生物素的测定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国家乳制品质量监督检验中心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乳和乳制品杂质度的测定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北京疾控中心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双歧杆菌的鉴定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国家食品安全风险评估中心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食品用消毒剂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修订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天津市卫生监督所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食品容器、包装材料通用安全要求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国家食品安全风险评估中心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食品容器、包装材料用粘合剂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国家食品安全风险评估中心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食品容器、包装材料用竹木制品</w:t>
            </w:r>
          </w:p>
        </w:tc>
        <w:tc>
          <w:tcPr>
            <w:tcW w:w="84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营养强化剂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氯化锌</w:t>
            </w:r>
          </w:p>
        </w:tc>
        <w:tc>
          <w:tcPr>
            <w:tcW w:w="84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青岛大学医学院医学营养研究所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营养强化剂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乙酸锌</w:t>
            </w:r>
          </w:p>
        </w:tc>
        <w:tc>
          <w:tcPr>
            <w:tcW w:w="84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青岛大学医学院医学营养研究所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营养强化剂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柠檬酸铁</w:t>
            </w:r>
          </w:p>
        </w:tc>
        <w:tc>
          <w:tcPr>
            <w:tcW w:w="84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安徽医科大学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营养强化剂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琥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珀酸亚铁</w:t>
            </w:r>
          </w:p>
        </w:tc>
        <w:tc>
          <w:tcPr>
            <w:tcW w:w="84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安徽医科大学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营养强化剂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多聚果糖</w:t>
            </w:r>
          </w:p>
        </w:tc>
        <w:tc>
          <w:tcPr>
            <w:tcW w:w="84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Pr="001C471E" w:rsidRDefault="00F84B4E" w:rsidP="00983F3B">
            <w:pPr>
              <w:spacing w:line="520" w:lineRule="exact"/>
              <w:rPr>
                <w:rFonts w:ascii="宋体"/>
                <w:sz w:val="24"/>
              </w:rPr>
            </w:pPr>
            <w:r w:rsidRPr="00C211ED">
              <w:rPr>
                <w:rFonts w:ascii="宋体" w:hAnsi="宋体" w:hint="eastAsia"/>
                <w:sz w:val="24"/>
              </w:rPr>
              <w:t>上海市食品添加剂行业协会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营养强化剂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低聚果糖</w:t>
            </w:r>
          </w:p>
        </w:tc>
        <w:tc>
          <w:tcPr>
            <w:tcW w:w="84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Pr="001C471E" w:rsidRDefault="00F84B4E" w:rsidP="00983F3B">
            <w:pPr>
              <w:spacing w:line="520" w:lineRule="exact"/>
              <w:rPr>
                <w:rFonts w:ascii="宋体"/>
                <w:sz w:val="24"/>
              </w:rPr>
            </w:pPr>
            <w:r w:rsidRPr="00C211ED">
              <w:rPr>
                <w:rFonts w:ascii="宋体" w:hAnsi="宋体" w:hint="eastAsia"/>
                <w:sz w:val="24"/>
              </w:rPr>
              <w:t>上海市食品添加剂行业协会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营养强化剂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葡萄糖酸镁</w:t>
            </w:r>
          </w:p>
        </w:tc>
        <w:tc>
          <w:tcPr>
            <w:tcW w:w="84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江西省疾病预防控制中心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营养强化剂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葡萄糖酸钾</w:t>
            </w:r>
          </w:p>
        </w:tc>
        <w:tc>
          <w:tcPr>
            <w:tcW w:w="84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江苏省疾病预防控制中心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营养强化剂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维生素</w:t>
            </w:r>
            <w:r>
              <w:rPr>
                <w:rFonts w:ascii="宋体" w:hAnsi="宋体" w:cs="宋体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kern w:val="0"/>
                <w:sz w:val="24"/>
              </w:rPr>
              <w:t>醋酸酯</w:t>
            </w:r>
          </w:p>
        </w:tc>
        <w:tc>
          <w:tcPr>
            <w:tcW w:w="84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广东出入境检验检疫局检验检疫技术中心</w:t>
            </w:r>
          </w:p>
        </w:tc>
      </w:tr>
      <w:tr w:rsidR="00F84B4E" w:rsidTr="00EF37B1">
        <w:trPr>
          <w:trHeight w:val="615"/>
        </w:trPr>
        <w:tc>
          <w:tcPr>
            <w:tcW w:w="528" w:type="dxa"/>
          </w:tcPr>
          <w:p w:rsidR="00F84B4E" w:rsidRDefault="00F84B4E"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营养强化剂</w:t>
            </w:r>
            <w:r>
              <w:rPr>
                <w:rFonts w:ascii="宋体" w:hAnsi="宋体" w:cs="宋体"/>
                <w:kern w:val="0"/>
                <w:sz w:val="24"/>
              </w:rPr>
              <w:t xml:space="preserve">  D-</w:t>
            </w:r>
            <w:r>
              <w:rPr>
                <w:rFonts w:ascii="宋体" w:hAnsi="宋体" w:cs="宋体" w:hint="eastAsia"/>
                <w:kern w:val="0"/>
                <w:sz w:val="24"/>
              </w:rPr>
              <w:t>泛酸钠</w:t>
            </w:r>
          </w:p>
        </w:tc>
        <w:tc>
          <w:tcPr>
            <w:tcW w:w="84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制定</w:t>
            </w:r>
          </w:p>
        </w:tc>
        <w:tc>
          <w:tcPr>
            <w:tcW w:w="3780" w:type="dxa"/>
          </w:tcPr>
          <w:p w:rsidR="00F84B4E" w:rsidRDefault="00F84B4E">
            <w:pPr>
              <w:widowControl/>
              <w:spacing w:line="5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广东出入境检验检疫局检验检疫技术中心</w:t>
            </w:r>
          </w:p>
        </w:tc>
      </w:tr>
    </w:tbl>
    <w:p w:rsidR="00F84B4E" w:rsidRPr="00A53F92" w:rsidRDefault="00F84B4E" w:rsidP="00F84B4E">
      <w:pPr>
        <w:ind w:firstLineChars="177" w:firstLine="31680"/>
        <w:jc w:val="center"/>
      </w:pPr>
    </w:p>
    <w:sectPr w:rsidR="00F84B4E" w:rsidRPr="00A53F92" w:rsidSect="001B1974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4E" w:rsidRDefault="00F84B4E" w:rsidP="003D316C">
      <w:r>
        <w:separator/>
      </w:r>
    </w:p>
  </w:endnote>
  <w:endnote w:type="continuationSeparator" w:id="0">
    <w:p w:rsidR="00F84B4E" w:rsidRDefault="00F84B4E" w:rsidP="003D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4E" w:rsidRDefault="00F84B4E">
    <w:pPr>
      <w:pStyle w:val="Footer"/>
      <w:jc w:val="center"/>
    </w:pPr>
    <w:fldSimple w:instr=" PAGE   \* MERGEFORMAT ">
      <w:r w:rsidRPr="00EF37B1">
        <w:rPr>
          <w:noProof/>
          <w:lang w:val="zh-CN"/>
        </w:rPr>
        <w:t>2</w:t>
      </w:r>
    </w:fldSimple>
  </w:p>
  <w:p w:rsidR="00F84B4E" w:rsidRDefault="00F84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4E" w:rsidRDefault="00F84B4E" w:rsidP="003D316C">
      <w:r>
        <w:separator/>
      </w:r>
    </w:p>
  </w:footnote>
  <w:footnote w:type="continuationSeparator" w:id="0">
    <w:p w:rsidR="00F84B4E" w:rsidRDefault="00F84B4E" w:rsidP="003D3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467"/>
    <w:multiLevelType w:val="multilevel"/>
    <w:tmpl w:val="8CEA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4DF410B"/>
    <w:multiLevelType w:val="hybridMultilevel"/>
    <w:tmpl w:val="8F3A31F6"/>
    <w:lvl w:ilvl="0" w:tplc="96DA8D54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AC021FB"/>
    <w:multiLevelType w:val="hybridMultilevel"/>
    <w:tmpl w:val="8CEA94E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FBF4943"/>
    <w:multiLevelType w:val="multilevel"/>
    <w:tmpl w:val="8F3A31F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76"/>
    <w:rsid w:val="00005B13"/>
    <w:rsid w:val="00030388"/>
    <w:rsid w:val="0003568D"/>
    <w:rsid w:val="00057947"/>
    <w:rsid w:val="00097976"/>
    <w:rsid w:val="000B48E0"/>
    <w:rsid w:val="000B5ACA"/>
    <w:rsid w:val="000D4BB2"/>
    <w:rsid w:val="000E5233"/>
    <w:rsid w:val="000F0D65"/>
    <w:rsid w:val="000F341C"/>
    <w:rsid w:val="001019EF"/>
    <w:rsid w:val="001414AF"/>
    <w:rsid w:val="0014647D"/>
    <w:rsid w:val="00175436"/>
    <w:rsid w:val="001773E4"/>
    <w:rsid w:val="00190267"/>
    <w:rsid w:val="001B1974"/>
    <w:rsid w:val="001C1661"/>
    <w:rsid w:val="001C1D6A"/>
    <w:rsid w:val="001C1FCC"/>
    <w:rsid w:val="001C471E"/>
    <w:rsid w:val="0020750F"/>
    <w:rsid w:val="00227662"/>
    <w:rsid w:val="002467DC"/>
    <w:rsid w:val="00271AB0"/>
    <w:rsid w:val="002A0619"/>
    <w:rsid w:val="002C4809"/>
    <w:rsid w:val="002D7382"/>
    <w:rsid w:val="00302683"/>
    <w:rsid w:val="003302E4"/>
    <w:rsid w:val="00336661"/>
    <w:rsid w:val="00346BB4"/>
    <w:rsid w:val="003636AD"/>
    <w:rsid w:val="00366D81"/>
    <w:rsid w:val="00370F96"/>
    <w:rsid w:val="0038769F"/>
    <w:rsid w:val="003A54AA"/>
    <w:rsid w:val="003D316C"/>
    <w:rsid w:val="003F7BE5"/>
    <w:rsid w:val="00401FA1"/>
    <w:rsid w:val="00402611"/>
    <w:rsid w:val="00402764"/>
    <w:rsid w:val="00410A87"/>
    <w:rsid w:val="00411005"/>
    <w:rsid w:val="0045712D"/>
    <w:rsid w:val="004600A4"/>
    <w:rsid w:val="004704A0"/>
    <w:rsid w:val="0047429E"/>
    <w:rsid w:val="00497042"/>
    <w:rsid w:val="004A03F2"/>
    <w:rsid w:val="004C73C5"/>
    <w:rsid w:val="004D1113"/>
    <w:rsid w:val="004E2B78"/>
    <w:rsid w:val="004F55EB"/>
    <w:rsid w:val="00512B9A"/>
    <w:rsid w:val="0052489D"/>
    <w:rsid w:val="005409D0"/>
    <w:rsid w:val="0056120F"/>
    <w:rsid w:val="00573A48"/>
    <w:rsid w:val="00574236"/>
    <w:rsid w:val="005A2625"/>
    <w:rsid w:val="005A5BB2"/>
    <w:rsid w:val="005D2142"/>
    <w:rsid w:val="005D5EAF"/>
    <w:rsid w:val="005E4BC1"/>
    <w:rsid w:val="005E4DB2"/>
    <w:rsid w:val="005F51C4"/>
    <w:rsid w:val="00620C1A"/>
    <w:rsid w:val="00631946"/>
    <w:rsid w:val="00651695"/>
    <w:rsid w:val="0066236B"/>
    <w:rsid w:val="00662475"/>
    <w:rsid w:val="006950BD"/>
    <w:rsid w:val="006967B1"/>
    <w:rsid w:val="006A0ED9"/>
    <w:rsid w:val="006A2C4B"/>
    <w:rsid w:val="006C3DA3"/>
    <w:rsid w:val="00715C47"/>
    <w:rsid w:val="007170E2"/>
    <w:rsid w:val="00717543"/>
    <w:rsid w:val="007212DE"/>
    <w:rsid w:val="007378D5"/>
    <w:rsid w:val="00742EE6"/>
    <w:rsid w:val="00756152"/>
    <w:rsid w:val="00761E87"/>
    <w:rsid w:val="00771DCB"/>
    <w:rsid w:val="0077648B"/>
    <w:rsid w:val="00797736"/>
    <w:rsid w:val="007A57D9"/>
    <w:rsid w:val="007B6BD1"/>
    <w:rsid w:val="007C6DCC"/>
    <w:rsid w:val="007D5D52"/>
    <w:rsid w:val="007D69F5"/>
    <w:rsid w:val="007F1D06"/>
    <w:rsid w:val="007F5048"/>
    <w:rsid w:val="008041A7"/>
    <w:rsid w:val="00807048"/>
    <w:rsid w:val="00826B86"/>
    <w:rsid w:val="00854661"/>
    <w:rsid w:val="00860F28"/>
    <w:rsid w:val="00864627"/>
    <w:rsid w:val="00882431"/>
    <w:rsid w:val="008C3322"/>
    <w:rsid w:val="008F3961"/>
    <w:rsid w:val="009063A1"/>
    <w:rsid w:val="0094257D"/>
    <w:rsid w:val="00951F2F"/>
    <w:rsid w:val="0095292E"/>
    <w:rsid w:val="00983F3B"/>
    <w:rsid w:val="009847BF"/>
    <w:rsid w:val="00985860"/>
    <w:rsid w:val="009942B0"/>
    <w:rsid w:val="009A4638"/>
    <w:rsid w:val="009C7B1C"/>
    <w:rsid w:val="009E2297"/>
    <w:rsid w:val="009E2B7B"/>
    <w:rsid w:val="009E68E4"/>
    <w:rsid w:val="009F4F7A"/>
    <w:rsid w:val="00A164AB"/>
    <w:rsid w:val="00A203BF"/>
    <w:rsid w:val="00A4766D"/>
    <w:rsid w:val="00A53B76"/>
    <w:rsid w:val="00A53F92"/>
    <w:rsid w:val="00A54898"/>
    <w:rsid w:val="00A71229"/>
    <w:rsid w:val="00A76361"/>
    <w:rsid w:val="00AD5BC9"/>
    <w:rsid w:val="00AE7CF1"/>
    <w:rsid w:val="00AF70DA"/>
    <w:rsid w:val="00B158AD"/>
    <w:rsid w:val="00B22FF9"/>
    <w:rsid w:val="00B34E8F"/>
    <w:rsid w:val="00B54FA3"/>
    <w:rsid w:val="00B614F0"/>
    <w:rsid w:val="00B651AA"/>
    <w:rsid w:val="00B80788"/>
    <w:rsid w:val="00BB7438"/>
    <w:rsid w:val="00BE303F"/>
    <w:rsid w:val="00C211ED"/>
    <w:rsid w:val="00C53B88"/>
    <w:rsid w:val="00C73039"/>
    <w:rsid w:val="00C75E42"/>
    <w:rsid w:val="00C77E55"/>
    <w:rsid w:val="00C840BA"/>
    <w:rsid w:val="00C9131C"/>
    <w:rsid w:val="00C95D29"/>
    <w:rsid w:val="00CA11C8"/>
    <w:rsid w:val="00D33C3D"/>
    <w:rsid w:val="00D40548"/>
    <w:rsid w:val="00D52C0F"/>
    <w:rsid w:val="00D5574C"/>
    <w:rsid w:val="00D67080"/>
    <w:rsid w:val="00D77A4B"/>
    <w:rsid w:val="00D82E09"/>
    <w:rsid w:val="00D900E8"/>
    <w:rsid w:val="00D904CB"/>
    <w:rsid w:val="00DA0BD1"/>
    <w:rsid w:val="00DA31FF"/>
    <w:rsid w:val="00DB24B9"/>
    <w:rsid w:val="00DD188F"/>
    <w:rsid w:val="00DD3AAA"/>
    <w:rsid w:val="00DD79CB"/>
    <w:rsid w:val="00DF689F"/>
    <w:rsid w:val="00E117DC"/>
    <w:rsid w:val="00E2388D"/>
    <w:rsid w:val="00E2538F"/>
    <w:rsid w:val="00E430E4"/>
    <w:rsid w:val="00E62968"/>
    <w:rsid w:val="00E8479A"/>
    <w:rsid w:val="00E868FB"/>
    <w:rsid w:val="00EA499F"/>
    <w:rsid w:val="00EB3B5C"/>
    <w:rsid w:val="00EC70CC"/>
    <w:rsid w:val="00EE698D"/>
    <w:rsid w:val="00EF37B1"/>
    <w:rsid w:val="00F01C6A"/>
    <w:rsid w:val="00F55724"/>
    <w:rsid w:val="00F62F22"/>
    <w:rsid w:val="00F6582F"/>
    <w:rsid w:val="00F663E8"/>
    <w:rsid w:val="00F74D3E"/>
    <w:rsid w:val="00F84B4E"/>
    <w:rsid w:val="00FB5A7B"/>
    <w:rsid w:val="00FD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76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36661"/>
    <w:pPr>
      <w:keepNext/>
      <w:keepLines/>
      <w:spacing w:before="340" w:after="330" w:line="578" w:lineRule="auto"/>
      <w:outlineLvl w:val="0"/>
    </w:pPr>
    <w:rPr>
      <w:rFonts w:ascii="Calibri" w:hAnsi="Calibri"/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36661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36661"/>
    <w:pPr>
      <w:keepNext/>
      <w:keepLines/>
      <w:spacing w:before="260" w:after="260" w:line="416" w:lineRule="auto"/>
      <w:outlineLvl w:val="2"/>
    </w:pPr>
    <w:rPr>
      <w:rFonts w:ascii="Calibri" w:hAnsi="Calibri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5D52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5D52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5D52"/>
    <w:rPr>
      <w:rFonts w:ascii="Times New Roman" w:hAnsi="Times New Roman" w:cs="Times New Roman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rsid w:val="00B158A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158AD"/>
    <w:rPr>
      <w:rFonts w:ascii="Times New Roman" w:eastAsia="宋体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70E2"/>
    <w:pPr>
      <w:ind w:firstLineChars="200" w:firstLine="56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170E2"/>
    <w:rPr>
      <w:rFonts w:ascii="Times New Roman" w:eastAsia="仿宋_GB2312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D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16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16C"/>
    <w:rPr>
      <w:rFonts w:ascii="Times New Roman" w:eastAsia="宋体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82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82E09"/>
    <w:rPr>
      <w:rFonts w:ascii="宋体" w:eastAsia="宋体" w:hAnsi="宋体" w:cs="宋体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D82E09"/>
    <w:rPr>
      <w:rFonts w:cs="Times New Roman"/>
      <w:color w:val="0000FF"/>
      <w:u w:val="single"/>
    </w:rPr>
  </w:style>
  <w:style w:type="paragraph" w:customStyle="1" w:styleId="1">
    <w:name w:val="样式1"/>
    <w:basedOn w:val="Normal"/>
    <w:uiPriority w:val="99"/>
    <w:rsid w:val="00C77E55"/>
    <w:rPr>
      <w:rFonts w:ascii="仿宋_GB2312" w:eastAsia="仿宋_GB2312"/>
      <w:sz w:val="28"/>
    </w:rPr>
  </w:style>
  <w:style w:type="character" w:customStyle="1" w:styleId="BalloonTextChar1">
    <w:name w:val="Balloon Text Char1"/>
    <w:uiPriority w:val="99"/>
    <w:locked/>
    <w:rsid w:val="00336661"/>
    <w:rPr>
      <w:sz w:val="16"/>
    </w:rPr>
  </w:style>
  <w:style w:type="character" w:customStyle="1" w:styleId="CharChar5">
    <w:name w:val="Char Char5"/>
    <w:uiPriority w:val="99"/>
    <w:rsid w:val="00336661"/>
    <w:rPr>
      <w:sz w:val="18"/>
    </w:rPr>
  </w:style>
  <w:style w:type="character" w:customStyle="1" w:styleId="Heading1Char1">
    <w:name w:val="Heading 1 Char1"/>
    <w:link w:val="Heading1"/>
    <w:uiPriority w:val="99"/>
    <w:locked/>
    <w:rsid w:val="00336661"/>
    <w:rPr>
      <w:rFonts w:ascii="Calibri" w:eastAsia="宋体" w:hAnsi="Calibri"/>
      <w:b/>
      <w:kern w:val="44"/>
      <w:sz w:val="44"/>
      <w:lang w:val="en-US" w:eastAsia="zh-CN"/>
    </w:rPr>
  </w:style>
  <w:style w:type="character" w:customStyle="1" w:styleId="CharChar4">
    <w:name w:val="Char Char4"/>
    <w:uiPriority w:val="99"/>
    <w:rsid w:val="00336661"/>
    <w:rPr>
      <w:sz w:val="18"/>
    </w:rPr>
  </w:style>
  <w:style w:type="paragraph" w:styleId="BalloonText">
    <w:name w:val="Balloon Text"/>
    <w:basedOn w:val="Normal"/>
    <w:link w:val="BalloonTextChar"/>
    <w:uiPriority w:val="99"/>
    <w:rsid w:val="00336661"/>
    <w:rPr>
      <w:rFonts w:ascii="Calibri" w:hAnsi="Calibri"/>
      <w:kern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D52"/>
    <w:rPr>
      <w:rFonts w:ascii="Times New Roman" w:hAnsi="Times New Roman" w:cs="Times New Roman"/>
      <w:sz w:val="2"/>
    </w:rPr>
  </w:style>
  <w:style w:type="paragraph" w:customStyle="1" w:styleId="-11">
    <w:name w:val="彩色列表 - 强调文字颜色 11"/>
    <w:basedOn w:val="Normal"/>
    <w:uiPriority w:val="99"/>
    <w:rsid w:val="00336661"/>
    <w:pPr>
      <w:ind w:firstLineChars="200" w:firstLine="420"/>
    </w:pPr>
    <w:rPr>
      <w:rFonts w:ascii="Calibri" w:hAnsi="Calibri"/>
      <w:szCs w:val="22"/>
    </w:rPr>
  </w:style>
  <w:style w:type="character" w:customStyle="1" w:styleId="CharChar3">
    <w:name w:val="Char Char3"/>
    <w:uiPriority w:val="99"/>
    <w:rsid w:val="00336661"/>
    <w:rPr>
      <w:rFonts w:ascii="宋体" w:eastAsia="宋体"/>
      <w:color w:val="000000"/>
      <w:sz w:val="24"/>
    </w:rPr>
  </w:style>
  <w:style w:type="character" w:customStyle="1" w:styleId="CharChar2">
    <w:name w:val="Char Char2"/>
    <w:uiPriority w:val="99"/>
    <w:rsid w:val="00336661"/>
    <w:rPr>
      <w:rFonts w:ascii="Times New Roman" w:eastAsia="仿宋_GB2312" w:hAnsi="Times New Roman"/>
      <w:kern w:val="2"/>
      <w:sz w:val="24"/>
    </w:rPr>
  </w:style>
  <w:style w:type="character" w:customStyle="1" w:styleId="Heading2Char1">
    <w:name w:val="Heading 2 Char1"/>
    <w:link w:val="Heading2"/>
    <w:uiPriority w:val="99"/>
    <w:locked/>
    <w:rsid w:val="00336661"/>
    <w:rPr>
      <w:rFonts w:ascii="Cambria" w:eastAsia="宋体" w:hAnsi="Cambria"/>
      <w:b/>
      <w:kern w:val="2"/>
      <w:sz w:val="32"/>
      <w:lang w:val="en-US" w:eastAsia="zh-CN"/>
    </w:rPr>
  </w:style>
  <w:style w:type="character" w:customStyle="1" w:styleId="Heading3Char1">
    <w:name w:val="Heading 3 Char1"/>
    <w:link w:val="Heading3"/>
    <w:uiPriority w:val="99"/>
    <w:locked/>
    <w:rsid w:val="00336661"/>
    <w:rPr>
      <w:rFonts w:ascii="Calibri" w:eastAsia="宋体" w:hAnsi="Calibri"/>
      <w:b/>
      <w:kern w:val="2"/>
      <w:sz w:val="32"/>
      <w:lang w:val="en-US" w:eastAsia="zh-CN"/>
    </w:rPr>
  </w:style>
  <w:style w:type="paragraph" w:customStyle="1" w:styleId="a">
    <w:name w:val="列出段落"/>
    <w:basedOn w:val="Normal"/>
    <w:uiPriority w:val="99"/>
    <w:rsid w:val="00336661"/>
    <w:pPr>
      <w:ind w:firstLineChars="200" w:firstLine="420"/>
    </w:pPr>
    <w:rPr>
      <w:rFonts w:ascii="Calibri" w:hAnsi="Calibri"/>
      <w:szCs w:val="22"/>
    </w:rPr>
  </w:style>
  <w:style w:type="character" w:customStyle="1" w:styleId="CommentTextChar1">
    <w:name w:val="Comment Text Char1"/>
    <w:uiPriority w:val="99"/>
    <w:semiHidden/>
    <w:locked/>
    <w:rsid w:val="00336661"/>
    <w:rPr>
      <w:kern w:val="2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336661"/>
    <w:pPr>
      <w:jc w:val="left"/>
    </w:pPr>
    <w:rPr>
      <w:rFonts w:ascii="Calibri" w:hAnsi="Calibr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5D52"/>
    <w:rPr>
      <w:rFonts w:ascii="Times New Roman" w:hAnsi="Times New Roman" w:cs="Times New Roman"/>
      <w:sz w:val="24"/>
      <w:szCs w:val="24"/>
    </w:rPr>
  </w:style>
  <w:style w:type="character" w:customStyle="1" w:styleId="Char1">
    <w:name w:val="批注文字 Char1"/>
    <w:uiPriority w:val="99"/>
    <w:semiHidden/>
    <w:rsid w:val="00336661"/>
    <w:rPr>
      <w:kern w:val="2"/>
      <w:sz w:val="22"/>
    </w:rPr>
  </w:style>
  <w:style w:type="paragraph" w:customStyle="1" w:styleId="a0">
    <w:name w:val="??"/>
    <w:uiPriority w:val="99"/>
    <w:rsid w:val="00336661"/>
    <w:pPr>
      <w:widowControl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Times New Roman" w:hAnsi="Times New Roman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36661"/>
    <w:rPr>
      <w:rFonts w:cs="Times New Roman"/>
      <w:sz w:val="21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36661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7D5D52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336661"/>
    <w:rPr>
      <w:b/>
      <w:kern w:val="2"/>
      <w:sz w:val="22"/>
    </w:rPr>
  </w:style>
  <w:style w:type="character" w:customStyle="1" w:styleId="10">
    <w:name w:val="访问过的超链接1"/>
    <w:uiPriority w:val="99"/>
    <w:semiHidden/>
    <w:rsid w:val="00336661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336661"/>
  </w:style>
  <w:style w:type="table" w:styleId="TableGrid">
    <w:name w:val="Table Grid"/>
    <w:basedOn w:val="TableNormal"/>
    <w:uiPriority w:val="99"/>
    <w:locked/>
    <w:rsid w:val="0033666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修订"/>
    <w:hidden/>
    <w:uiPriority w:val="99"/>
    <w:semiHidden/>
    <w:rsid w:val="00336661"/>
  </w:style>
  <w:style w:type="character" w:styleId="PageNumber">
    <w:name w:val="page number"/>
    <w:basedOn w:val="DefaultParagraphFont"/>
    <w:uiPriority w:val="99"/>
    <w:rsid w:val="003366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国卫办食品函〔2014〕号   </dc:title>
  <dc:subject/>
  <dc:creator>Pang Jiongqian</dc:creator>
  <cp:keywords/>
  <dc:description/>
  <cp:lastModifiedBy>User</cp:lastModifiedBy>
  <cp:revision>5</cp:revision>
  <cp:lastPrinted>2014-02-19T09:23:00Z</cp:lastPrinted>
  <dcterms:created xsi:type="dcterms:W3CDTF">2014-02-28T08:40:00Z</dcterms:created>
  <dcterms:modified xsi:type="dcterms:W3CDTF">2014-03-03T01:38:00Z</dcterms:modified>
</cp:coreProperties>
</file>