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 xml:space="preserve">1 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内蒙古自治区地方标准重点制定名录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6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一、旅游</w:t>
      </w:r>
    </w:p>
    <w:tbl>
      <w:tblPr>
        <w:tblStyle w:val="3"/>
        <w:tblW w:w="7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5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旅游服务品牌创建与认定通则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沙漠探险旅游项目管理与服务规范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内蒙古民宿旅游接待服务规范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品牌旅游景区创建指南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品牌旅游景区评价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品牌旅游度假区创建指南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品牌旅行社创建指南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品牌旅游饭店创建指南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9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品牌旅游饭店评价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品牌旅游线路创建指南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11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品牌旅游线路评价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12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品牌旅游目的地创建指南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13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品牌旅游目的地评价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14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品牌农业旅游示范区创建指南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15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品牌农业旅游示范区评价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16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品牌工业旅游示范区创建指南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17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品牌工业旅游示范区评价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18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品牌乡村旅游集聚区创建指南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19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品牌乡村旅游集聚区评价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20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品牌旅游节庆活动创建指南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品牌旅游节庆活动评价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22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品牌自驾游线路创建指南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23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品牌自驾游线路评价</w:t>
            </w:r>
          </w:p>
        </w:tc>
      </w:tr>
    </w:tbl>
    <w:p>
      <w:pPr>
        <w:spacing w:line="56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二、商务</w:t>
      </w:r>
    </w:p>
    <w:tbl>
      <w:tblPr>
        <w:tblStyle w:val="3"/>
        <w:tblW w:w="7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5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42424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42424"/>
                <w:spacing w:val="0"/>
                <w:kern w:val="0"/>
                <w:sz w:val="21"/>
                <w:szCs w:val="21"/>
              </w:rPr>
              <w:t>商务旅游会展服务规范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42424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42424"/>
                <w:spacing w:val="0"/>
                <w:kern w:val="0"/>
                <w:sz w:val="21"/>
                <w:szCs w:val="21"/>
              </w:rPr>
              <w:t>会展租赁服务规范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42424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42424"/>
                <w:spacing w:val="0"/>
                <w:kern w:val="0"/>
                <w:sz w:val="21"/>
                <w:szCs w:val="21"/>
              </w:rPr>
              <w:t>会展广告服务规范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42424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42424"/>
                <w:spacing w:val="0"/>
                <w:kern w:val="0"/>
                <w:sz w:val="21"/>
                <w:szCs w:val="21"/>
              </w:rPr>
              <w:t>会展场馆安全管理要求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42424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42424"/>
                <w:spacing w:val="0"/>
                <w:kern w:val="0"/>
                <w:sz w:val="21"/>
                <w:szCs w:val="21"/>
              </w:rPr>
              <w:t>会展广告服务规范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三、金融</w:t>
      </w:r>
    </w:p>
    <w:tbl>
      <w:tblPr>
        <w:tblStyle w:val="3"/>
        <w:tblW w:w="7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5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42424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42424"/>
                <w:spacing w:val="0"/>
                <w:kern w:val="0"/>
                <w:sz w:val="21"/>
                <w:szCs w:val="21"/>
              </w:rPr>
              <w:t>银行业窗口服务质量规范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42424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42424"/>
                <w:spacing w:val="0"/>
                <w:kern w:val="0"/>
                <w:sz w:val="21"/>
                <w:szCs w:val="21"/>
              </w:rPr>
              <w:t>银行营业场所安全防范系统工程技术规范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42424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42424"/>
                <w:spacing w:val="0"/>
                <w:kern w:val="0"/>
                <w:sz w:val="21"/>
                <w:szCs w:val="21"/>
              </w:rPr>
              <w:t>银行业安全防范监控联网系统的要求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金融外包服务规范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供应链金融服务规范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民间金融中介机构（信息咨询）服务质量规范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金融系统专用安全防护门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旅游服务组织金融支付服务等级划分与评定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9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金融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POS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终端技术规范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金融建筑智能化系统技术规范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11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物流金融风险控制指南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12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物流金融服务规范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13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商业保险公司车险理赔服务规范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14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商业保险公司柜面服务规范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15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机动车辆保险理赔服务质量规范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16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机动车辆保险理赔服务质量测评指标体系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四、居民</w:t>
      </w:r>
    </w:p>
    <w:tbl>
      <w:tblPr>
        <w:tblStyle w:val="3"/>
        <w:tblW w:w="7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5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居家养老服务员服务规范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居家养老服务管理规范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居家养老社区服务规范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居家养老服务机构等级评定规范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多元化养老服务规范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养老护理员培训规范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病员（养老）生活护理服务规范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8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养老护理员服务质量要求与等级划分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9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家庭服务</w:t>
            </w:r>
            <w:r>
              <w:rPr>
                <w:rFonts w:ascii="Calibri" w:hAnsi="Calibri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家政服务员服务质量要求与等级划分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10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家庭服务</w:t>
            </w:r>
            <w:r>
              <w:rPr>
                <w:rFonts w:ascii="Calibri" w:hAnsi="Calibri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家居保洁员服务质量要求与等级划分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11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家庭服务</w:t>
            </w:r>
            <w:r>
              <w:rPr>
                <w:rFonts w:ascii="Calibri" w:hAnsi="Calibri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病患陪护员服务质量要求与等级划分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12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家庭服务</w:t>
            </w:r>
            <w:r>
              <w:rPr>
                <w:rFonts w:ascii="Calibri" w:hAnsi="Calibri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母婴护理服务规范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13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家政服务企业综合要求通则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14</w:t>
            </w:r>
          </w:p>
        </w:tc>
        <w:tc>
          <w:tcPr>
            <w:tcW w:w="54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家政服务企业等级划分及评定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五、科技</w:t>
      </w:r>
    </w:p>
    <w:tbl>
      <w:tblPr>
        <w:tblStyle w:val="3"/>
        <w:tblW w:w="74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546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科技企业创业服务规范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546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科技项目受理服务规范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546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科技咨询业服务质量规范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546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科技项目监理服务规范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546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科技信用标准化工作指南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546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科技型中小微企业征信数据库建设规范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546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科技型中小微企业征信信息采集和处理规范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8</w:t>
            </w:r>
          </w:p>
        </w:tc>
        <w:tc>
          <w:tcPr>
            <w:tcW w:w="546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科技型中小微企业征信服务规范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9</w:t>
            </w:r>
          </w:p>
        </w:tc>
        <w:tc>
          <w:tcPr>
            <w:tcW w:w="546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科技型中小微企业征信数据库管理规范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10</w:t>
            </w:r>
          </w:p>
        </w:tc>
        <w:tc>
          <w:tcPr>
            <w:tcW w:w="546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科技型中小微企业征信信息档案管理规范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11</w:t>
            </w:r>
          </w:p>
        </w:tc>
        <w:tc>
          <w:tcPr>
            <w:tcW w:w="546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科技型中小微企业征信报告格式规范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12</w:t>
            </w:r>
          </w:p>
        </w:tc>
        <w:tc>
          <w:tcPr>
            <w:tcW w:w="546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科技型中小微企业征信信息使用规范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13</w:t>
            </w:r>
          </w:p>
        </w:tc>
        <w:tc>
          <w:tcPr>
            <w:tcW w:w="546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科技型中小微企业征信信息异议处理规范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14</w:t>
            </w:r>
          </w:p>
        </w:tc>
        <w:tc>
          <w:tcPr>
            <w:tcW w:w="546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科技信用等级划分通则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15</w:t>
            </w:r>
          </w:p>
        </w:tc>
        <w:tc>
          <w:tcPr>
            <w:tcW w:w="546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科技信用信息采集和处里规范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六、信息</w:t>
      </w:r>
    </w:p>
    <w:tbl>
      <w:tblPr>
        <w:tblStyle w:val="3"/>
        <w:tblW w:w="74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5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559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云计算数据安全规范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559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云计算基础设施系统安全规范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559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云计算数据中心能效评估方法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559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云计算服务质量评测方法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559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云计算平台安全性评测方法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559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信息技术外包服务</w:t>
            </w:r>
            <w:r>
              <w:rPr>
                <w:rFonts w:ascii="Calibri" w:hAnsi="Calibri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风险控制指南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559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信息技术外包服务</w:t>
            </w:r>
            <w:r>
              <w:rPr>
                <w:rFonts w:ascii="Calibri" w:hAnsi="Calibri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信息安全服务规范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8</w:t>
            </w:r>
          </w:p>
        </w:tc>
        <w:tc>
          <w:tcPr>
            <w:tcW w:w="559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信息技术外包服务</w:t>
            </w:r>
            <w:r>
              <w:rPr>
                <w:rFonts w:ascii="Calibri" w:hAnsi="Calibri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服务管理规范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9</w:t>
            </w:r>
          </w:p>
        </w:tc>
        <w:tc>
          <w:tcPr>
            <w:tcW w:w="5598" w:type="dxa"/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spacing w:val="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信息技术外包服务</w:t>
            </w:r>
            <w:r>
              <w:rPr>
                <w:rFonts w:ascii="Calibri" w:hAnsi="Calibri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术语和服务分类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10</w:t>
            </w:r>
          </w:p>
        </w:tc>
        <w:tc>
          <w:tcPr>
            <w:tcW w:w="559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信息技术外包服务</w:t>
            </w:r>
            <w:r>
              <w:rPr>
                <w:rFonts w:ascii="Calibri" w:hAnsi="Calibri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外包人才培训服务规范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11</w:t>
            </w:r>
          </w:p>
        </w:tc>
        <w:tc>
          <w:tcPr>
            <w:tcW w:w="559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信息技术外包服务</w:t>
            </w:r>
            <w:r>
              <w:rPr>
                <w:rFonts w:ascii="Calibri" w:hAnsi="Calibri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运维服务规范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12</w:t>
            </w:r>
          </w:p>
        </w:tc>
        <w:tc>
          <w:tcPr>
            <w:tcW w:w="559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信息技术外包服务</w:t>
            </w:r>
            <w:r>
              <w:rPr>
                <w:rFonts w:ascii="Calibri" w:hAnsi="Calibri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咨询服务规范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七、文化</w:t>
      </w:r>
    </w:p>
    <w:tbl>
      <w:tblPr>
        <w:tblStyle w:val="3"/>
        <w:tblW w:w="75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5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文化场馆合理用能指南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文化创意及相关产业分类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历史文化特色街区服务规范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文化广场创建与评价规范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八、物流</w:t>
      </w:r>
    </w:p>
    <w:tbl>
      <w:tblPr>
        <w:tblStyle w:val="3"/>
        <w:tblW w:w="75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5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冷链物流</w:t>
            </w:r>
            <w:r>
              <w:rPr>
                <w:rFonts w:ascii="Calibri" w:hAnsi="Calibri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冷库技术规范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冷链物流</w:t>
            </w:r>
            <w:r>
              <w:rPr>
                <w:rFonts w:ascii="Calibri" w:hAnsi="Calibri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运输车辆设备要求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冷链物流</w:t>
            </w:r>
            <w:r>
              <w:rPr>
                <w:rFonts w:ascii="Calibri" w:hAnsi="Calibri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保温容器技术要求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冷链物流</w:t>
            </w:r>
            <w:r>
              <w:rPr>
                <w:rFonts w:ascii="Calibri" w:hAnsi="Calibri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温度检测与要求规范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果蔬冷链物流操作规程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水产品冷链物流操作规程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低温食品冷链物流履历追溯管理规范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8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食品冷链物流技术与管理规范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9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汽车行业整车物流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RFID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应用技术规范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10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物流配送服务质量规范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11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物流运输服务质量规范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12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物流采购服务质量规范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13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物流常温仓储服务规范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14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物流快运服务质量规范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15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物流零担货运服务规范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16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物流仓储服务规范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物流装卸搬运服务规范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物流快递质量服务规范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19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物流服务风险管理规范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20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物流园区公共信息平台通用规范</w:t>
            </w:r>
            <w:r>
              <w:rPr>
                <w:rFonts w:ascii="Calibri" w:hAnsi="Calibri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21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物流园区等级划分与评定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22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物流企业星级划分与评定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23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第三方国际物流服务规范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2"/>
                <w:szCs w:val="22"/>
              </w:rPr>
              <w:t>24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第三方物流家电配送服务规范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九、风电光伏</w:t>
      </w:r>
    </w:p>
    <w:tbl>
      <w:tblPr>
        <w:tblStyle w:val="3"/>
        <w:tblW w:w="751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5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1680" w:leftChars="100" w:firstLine="0" w:firstLineChars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760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风力发电机组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低温运行规范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1680" w:leftChars="100" w:firstLine="0" w:firstLineChars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760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风力发电机组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防飞车技术规范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1680" w:leftChars="100" w:firstLine="0" w:firstLineChars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760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风力发电机组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后备储能装置技术规范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1680" w:leftChars="100" w:firstLine="0" w:firstLineChars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760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风力发电机组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后备储能装置试验方法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1680" w:leftChars="100" w:firstLine="0" w:firstLineChars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760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风力提水泵站建设规范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55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1680" w:leftChars="100" w:firstLine="0" w:firstLineChars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76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光伏提水泵站建设规范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755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1680" w:leftChars="100" w:firstLine="0" w:firstLineChars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76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光伏提水技术规范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十、</w:t>
      </w:r>
      <w:r>
        <w:rPr>
          <w:rFonts w:hint="eastAsia" w:ascii="黑体" w:hAnsi="黑体" w:eastAsia="黑体"/>
          <w:bCs/>
          <w:sz w:val="28"/>
          <w:szCs w:val="28"/>
        </w:rPr>
        <w:t>羊绒制品</w:t>
      </w:r>
    </w:p>
    <w:tbl>
      <w:tblPr>
        <w:tblStyle w:val="3"/>
        <w:tblW w:w="76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5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571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羊绒及羊绒混纺手套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571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羊绒及羊绒混纺袜子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571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室内羊绒便鞋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</w:rPr>
        <w:t>十一、</w:t>
      </w:r>
      <w:r>
        <w:rPr>
          <w:rFonts w:hint="eastAsia" w:ascii="黑体" w:hAnsi="黑体" w:eastAsia="黑体"/>
          <w:bCs/>
        </w:rPr>
        <w:t>煤化工</w:t>
      </w:r>
    </w:p>
    <w:tbl>
      <w:tblPr>
        <w:tblStyle w:val="3"/>
        <w:tblpPr w:leftFromText="180" w:rightFromText="180" w:vertAnchor="text" w:horzAnchor="margin" w:tblpXSpec="center" w:tblpY="426"/>
        <w:tblW w:w="77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5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576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用原料低变质煤技术条件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8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5760" w:type="dxa"/>
          </w:tcPr>
          <w:p>
            <w:pP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甲醇制合成油反应产品气相组成的测定气相色谱法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8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5760" w:type="dxa"/>
          </w:tcPr>
          <w:p>
            <w:pP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合成气中氯化氢含量方法的测定微库仑法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8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5760" w:type="dxa"/>
          </w:tcPr>
          <w:p>
            <w:pP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煤直接液化尾气的测定气相色谱法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8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5760" w:type="dxa"/>
          </w:tcPr>
          <w:p>
            <w:pP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煤制油工业污染物排放标准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8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5760" w:type="dxa"/>
          </w:tcPr>
          <w:p>
            <w:pP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煤炭综合利用工程环境影响评价技术导则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8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5760" w:type="dxa"/>
          </w:tcPr>
          <w:p>
            <w:pP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煤化工生产取水定额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8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5760" w:type="dxa"/>
          </w:tcPr>
          <w:p>
            <w:pP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煤化工生产过程气液固废物排放标准通则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bCs/>
          <w:sz w:val="28"/>
          <w:szCs w:val="28"/>
        </w:rPr>
      </w:pPr>
    </w:p>
    <w:p>
      <w:pPr>
        <w:spacing w:line="560" w:lineRule="exact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/>
          <w:bCs/>
        </w:rPr>
        <w:t>十二、有色金属</w:t>
      </w:r>
    </w:p>
    <w:tbl>
      <w:tblPr>
        <w:tblStyle w:val="3"/>
        <w:tblpPr w:leftFromText="180" w:rightFromText="180" w:vertAnchor="text" w:horzAnchor="page" w:tblpX="2265" w:tblpY="605"/>
        <w:tblOverlap w:val="never"/>
        <w:tblW w:w="77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5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576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铜矿采选行业能耗限额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576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铅锌矿采选行业能耗限额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576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铝冶炼行业能耗限额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576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铜冶炼行业能耗限额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576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铅冶炼行业能耗限额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576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锌冶炼行业能耗限额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576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粉煤灰提取氧化铝行业能耗限额</w:t>
            </w:r>
          </w:p>
        </w:tc>
      </w:tr>
    </w:tbl>
    <w:p>
      <w:pPr>
        <w:rPr>
          <w:b/>
          <w:sz w:val="28"/>
          <w:szCs w:val="28"/>
        </w:rPr>
      </w:pPr>
    </w:p>
    <w:tbl>
      <w:tblPr>
        <w:tblStyle w:val="3"/>
        <w:tblpPr w:leftFromText="180" w:rightFromText="180" w:vertAnchor="text" w:horzAnchor="margin" w:tblpX="648" w:tblpY="633"/>
        <w:tblW w:w="76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5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黄河水喷灌滴灌技术规范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渠道衬砌及配套建筑物工程技术规范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节水灌溉防冻胀设计规范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bookmarkStart w:id="0" w:name="RANGE_B13"/>
            <w:bookmarkEnd w:id="0"/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水利工程概（预）定额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河道管理范围内建设项目洪水影响评价报告编制导则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 w:ascii="黑体" w:hAnsi="黑体" w:eastAsia="黑体"/>
        </w:rPr>
        <w:t>十三、水利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numPr>
          <w:ilvl w:val="0"/>
          <w:numId w:val="2"/>
        </w:numPr>
        <w:rPr>
          <w:rFonts w:hint="eastAsia" w:ascii="黑体" w:hAnsi="黑体" w:eastAsia="黑体"/>
          <w:bCs/>
        </w:rPr>
      </w:pPr>
      <w:r>
        <w:rPr>
          <w:rFonts w:hint="eastAsia" w:ascii="黑体" w:hAnsi="黑体" w:eastAsia="黑体"/>
          <w:bCs/>
        </w:rPr>
        <w:t>公共服务</w:t>
      </w:r>
    </w:p>
    <w:p>
      <w:pPr>
        <w:numPr>
          <w:ilvl w:val="0"/>
          <w:numId w:val="0"/>
        </w:numPr>
        <w:rPr>
          <w:rFonts w:hint="eastAsia" w:ascii="黑体" w:hAnsi="黑体" w:eastAsia="黑体"/>
          <w:bCs/>
        </w:rPr>
      </w:pPr>
    </w:p>
    <w:p>
      <w:pPr>
        <w:rPr>
          <w:sz w:val="28"/>
          <w:szCs w:val="28"/>
        </w:rPr>
      </w:pPr>
    </w:p>
    <w:tbl>
      <w:tblPr>
        <w:tblStyle w:val="3"/>
        <w:tblpPr w:leftFromText="180" w:rightFromText="180" w:vertAnchor="page" w:horzAnchor="page" w:tblpX="2060" w:tblpY="4051"/>
        <w:tblW w:w="7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5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bookmarkStart w:id="1" w:name="_GoBack"/>
            <w:bookmarkEnd w:id="1"/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公共场所标志蒙文译写规范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部分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: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通则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snapToGrid w:val="0"/>
              <w:spacing w:line="570" w:lineRule="exact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公共场所标志蒙文译写规范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部分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: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snapToGrid w:val="0"/>
              <w:spacing w:line="570" w:lineRule="exact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公共场所标志蒙文译写规范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部分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: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snapToGrid w:val="0"/>
              <w:spacing w:line="570" w:lineRule="exact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公共场所标志蒙文译写规范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部分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: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snapToGrid w:val="0"/>
              <w:spacing w:line="570" w:lineRule="exact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公共场所标志蒙文译写规范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部分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: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医疗卫生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snapToGrid w:val="0"/>
              <w:spacing w:line="570" w:lineRule="exact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公共场所标志蒙文译写规范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部分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: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snapToGrid w:val="0"/>
              <w:spacing w:line="570" w:lineRule="exact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公共场所标志蒙文译写规范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部分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: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商业服务业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88" w:type="dxa"/>
          </w:tcPr>
          <w:p>
            <w:pPr>
              <w:snapToGrid w:val="0"/>
              <w:spacing w:line="570" w:lineRule="exact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公共场所标志蒙文译写规范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部分</w:t>
            </w:r>
            <w:r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: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邮政电信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6D5"/>
    <w:multiLevelType w:val="multilevel"/>
    <w:tmpl w:val="115056D5"/>
    <w:lvl w:ilvl="0" w:tentative="0">
      <w:start w:val="1"/>
      <w:numFmt w:val="decimal"/>
      <w:lvlText w:val="%1"/>
      <w:lvlJc w:val="right"/>
      <w:pPr>
        <w:ind w:left="420" w:hanging="420"/>
      </w:pPr>
      <w:rPr>
        <w:rFonts w:hint="default" w:cs="Times New Roman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8C64BD0"/>
    <w:multiLevelType w:val="singleLevel"/>
    <w:tmpl w:val="58C64BD0"/>
    <w:lvl w:ilvl="0" w:tentative="0">
      <w:start w:val="1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57D96"/>
    <w:rsid w:val="72D57D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spacing w:val="6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pacing w:val="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2017-03-13T07:23:00Z</dcterms:created>
  <dc:creator>Administrator</dc:creator>
  <cp:lastModifiedBy>Administrator</cp:lastModifiedBy>
  <dcterms:modified xsi:type="dcterms:W3CDTF">2017-03-13T07:24:32Z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