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6"/>
        <w:framePr w:hSpace="180" w:vSpace="180" w:wrap="around" w:vAnchor="margin" w:hAnchor="margin" w:y="1" w:anchorLock="1"/>
      </w:pPr>
      <w:r>
        <w:rPr>
          <w:rFonts w:ascii="Times New Roman"/>
        </w:rPr>
        <w:t>ICS</w:t>
      </w:r>
      <w:r>
        <w:t> </w:t>
      </w:r>
      <w:r>
        <w:rPr>
          <w:rFonts w:hint="eastAsia"/>
        </w:rPr>
        <w:t>67.160.10</w:t>
      </w:r>
    </w:p>
    <w:p>
      <w:pPr>
        <w:pStyle w:val="116"/>
        <w:framePr w:hSpace="180" w:vSpace="180" w:wrap="around" w:vAnchor="margin" w:hAnchor="margin" w:y="1" w:anchorLock="1"/>
      </w:pPr>
      <w:bookmarkStart w:id="0" w:name="WXFLH"/>
      <w:r>
        <w:fldChar w:fldCharType="begin">
          <w:ffData>
            <w:name w:val="WXFLH"/>
            <w:enabled/>
            <w:calcOnExit w:val="0"/>
            <w:helpText w:type="text" w:val="请输入中国标准文献分类号："/>
            <w:textInput>
              <w:default w:val="点击此处添加中国标准文献分类号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X62</w:t>
      </w:r>
      <w:r>
        <w:fldChar w:fldCharType="end"/>
      </w:r>
      <w:bookmarkEnd w:id="0"/>
    </w:p>
    <w:p>
      <w:pPr>
        <w:pStyle w:val="116"/>
        <w:framePr w:hSpace="180" w:vSpace="180" w:wrap="around" w:vAnchor="margin" w:hAnchor="margin" w:y="1" w:anchorLock="1"/>
      </w:pPr>
    </w:p>
    <w:tbl>
      <w:tblPr>
        <w:tblStyle w:val="37"/>
        <w:tblW w:w="98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16"/>
              <w:framePr w:hSpace="180" w:vSpace="180" w:wrap="around" w:vAnchor="margin" w:hAnchor="margin" w:y="1" w:anchorLock="1"/>
            </w:pPr>
            <w:r>
              <w:rPr>
                <w:rFonts w:ascii="黑体" w:hAnsi="Times New Roman" w:eastAsia="黑体" w:cs="Times New Roman"/>
                <w:sz w:val="21"/>
                <w:szCs w:val="21"/>
                <w:lang w:val="en-US" w:eastAsia="zh-CN" w:bidi="ar-SA"/>
              </w:rPr>
              <w:pict>
                <v:rect id="BAH" o:spid="_x0000_s1026" o:spt="1" style="position:absolute;left:0pt;margin-left:-5.25pt;margin-top:0pt;height:15.6pt;width:68.25pt;z-index:-251655168;mso-width-relative:page;mso-height-relative:page;" fillcolor="#FFFFFF" filled="t" o:preferrelative="t" stroked="f" coordsize="21600,21600">
                  <v:path/>
                  <v:fill on="t" focussize="0,0"/>
                  <v:stroke on="f"/>
                  <v:imagedata gain="65536f" blacklevel="0f" gamma="0" o:title=""/>
                  <o:lock v:ext="edit" position="f" selection="f" grouping="f" rotation="f" cropping="f" text="f" aspectratio="f"/>
                </v:rect>
              </w:pict>
            </w:r>
            <w: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1" w:name="BAH"/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</w:rPr>
              <w:t>备案号：</w:t>
            </w:r>
            <w:r>
              <w:fldChar w:fldCharType="end"/>
            </w:r>
            <w:bookmarkEnd w:id="1"/>
          </w:p>
        </w:tc>
      </w:tr>
    </w:tbl>
    <w:p>
      <w:pPr>
        <w:pStyle w:val="62"/>
        <w:framePr w:w="2546" w:h="1389" w:hRule="exact" w:hSpace="181" w:vSpace="181" w:wrap="around" w:vAnchor="margin" w:hAnchor="margin" w:x="6522" w:y="398" w:anchorLock="1"/>
      </w:pPr>
      <w:bookmarkStart w:id="2" w:name="c1"/>
      <w:r>
        <w:fldChar w:fldCharType="begin">
          <w:ffData>
            <w:name w:val="c1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QB</w:t>
      </w:r>
      <w:r>
        <w:fldChar w:fldCharType="end"/>
      </w:r>
      <w:bookmarkEnd w:id="2"/>
    </w:p>
    <w:p>
      <w:pPr>
        <w:pStyle w:val="104"/>
        <w:framePr w:hSpace="181" w:vSpace="181" w:wrap="around" w:vAnchor="page" w:hAnchor="page" w:x="1419" w:y="2286" w:anchorLock="1"/>
      </w:pPr>
      <w:r>
        <w:rPr>
          <w:rFonts w:hint="eastAsia"/>
        </w:rPr>
        <w:t>中华人民共和国</w:t>
      </w:r>
      <w:bookmarkStart w:id="3" w:name="c2"/>
      <w:r>
        <w:fldChar w:fldCharType="begin">
          <w:ffData>
            <w:name w:val="c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轻工</w:t>
      </w:r>
      <w:r>
        <w:fldChar w:fldCharType="end"/>
      </w:r>
      <w:bookmarkEnd w:id="3"/>
      <w:r>
        <w:rPr>
          <w:rFonts w:hint="eastAsia"/>
        </w:rPr>
        <w:t>行业标准</w:t>
      </w:r>
    </w:p>
    <w:p>
      <w:pPr>
        <w:pStyle w:val="43"/>
        <w:framePr w:w="9140" w:h="1242" w:hRule="exact" w:hSpace="284" w:wrap="around" w:vAnchor="page" w:hAnchor="page" w:x="1645" w:y="2910" w:anchorLock="1"/>
      </w:pPr>
      <w:bookmarkStart w:id="4" w:name="StdNo0"/>
      <w:r>
        <w:rPr>
          <w:rFonts w:ascii="Times New Roman"/>
        </w:rP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Times New Roman"/>
        </w:rPr>
        <w:instrText xml:space="preserve"> FORMTEXT </w:instrText>
      </w:r>
      <w:r>
        <w:rPr>
          <w:rFonts w:ascii="Times New Roman"/>
        </w:rPr>
        <w:fldChar w:fldCharType="separate"/>
      </w:r>
      <w:r>
        <w:rPr>
          <w:rFonts w:hint="eastAsia" w:ascii="Times New Roman"/>
        </w:rPr>
        <w:t>QB</w:t>
      </w:r>
      <w:r>
        <w:rPr>
          <w:rFonts w:ascii="Times New Roman"/>
        </w:rPr>
        <w:fldChar w:fldCharType="end"/>
      </w:r>
      <w:bookmarkEnd w:id="4"/>
      <w:r>
        <w:rPr>
          <w:rFonts w:ascii="Times New Roman"/>
        </w:rPr>
        <w:t xml:space="preserve">/T </w:t>
      </w:r>
      <w:bookmarkStart w:id="5" w:name="StdNo1"/>
      <w: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>
        <w:instrText xml:space="preserve"> FORMTEXT </w:instrText>
      </w:r>
      <w:r>
        <w:fldChar w:fldCharType="separate"/>
      </w:r>
      <w:r>
        <w:t>XXXXX</w:t>
      </w:r>
      <w:r>
        <w:fldChar w:fldCharType="end"/>
      </w:r>
      <w:bookmarkEnd w:id="5"/>
      <w:r>
        <w:t>—</w:t>
      </w:r>
      <w:bookmarkStart w:id="6" w:name="StdNo2"/>
      <w: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t>XXXX</w:t>
      </w:r>
      <w:r>
        <w:fldChar w:fldCharType="end"/>
      </w:r>
      <w:bookmarkEnd w:id="6"/>
    </w:p>
    <w:tbl>
      <w:tblPr>
        <w:tblStyle w:val="37"/>
        <w:tblW w:w="9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71"/>
              <w:framePr w:w="9140" w:h="1242" w:hRule="exact" w:hSpace="284" w:wrap="around" w:vAnchor="page" w:hAnchor="page" w:x="1645" w:y="2910" w:anchorLock="1"/>
            </w:pPr>
            <w:bookmarkStart w:id="7" w:name="DT"/>
            <w:r>
              <w:rPr>
                <w:rFonts w:ascii="宋体" w:hAnsi="Times New Roman" w:eastAsia="宋体" w:cs="Times New Roman"/>
                <w:sz w:val="21"/>
                <w:szCs w:val="21"/>
                <w:lang w:val="en-US" w:eastAsia="zh-CN" w:bidi="ar-SA"/>
              </w:rPr>
              <w:pict>
                <v:rect id="DT" o:spid="_x0000_s1027" o:spt="1" style="position:absolute;left:0pt;margin-left:372.8pt;margin-top:2.7pt;height:18pt;width:90pt;z-index:-251658240;mso-width-relative:page;mso-height-relative:page;" fillcolor="#FFFFFF" filled="t" o:preferrelative="t" stroked="f" coordsize="21600,21600">
                  <v:path/>
                  <v:fill on="t" focussize="0,0"/>
                  <v:stroke on="f"/>
                  <v:imagedata gain="65536f" blacklevel="0f" gamma="0" o:title=""/>
                  <o:lock v:ext="edit" position="f" selection="f" grouping="f" rotation="f" cropping="f" text="f" aspectratio="f"/>
                </v:rect>
              </w:pict>
            </w:r>
            <w:r>
              <w:fldChar w:fldCharType="begin">
                <w:ffData>
                  <w:name w:val="D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7"/>
          </w:p>
        </w:tc>
      </w:tr>
    </w:tbl>
    <w:p>
      <w:pPr>
        <w:pStyle w:val="43"/>
        <w:framePr w:w="9140" w:h="1242" w:hRule="exact" w:hSpace="284" w:wrap="around" w:vAnchor="page" w:hAnchor="page" w:x="1645" w:y="2910" w:anchorLock="1"/>
      </w:pPr>
    </w:p>
    <w:p>
      <w:pPr>
        <w:pStyle w:val="43"/>
        <w:framePr w:w="9140" w:h="1242" w:hRule="exact" w:hSpace="284" w:wrap="around" w:vAnchor="page" w:hAnchor="page" w:x="1645" w:y="2910" w:anchorLock="1"/>
      </w:pPr>
    </w:p>
    <w:p>
      <w:pPr>
        <w:pStyle w:val="73"/>
        <w:framePr w:w="9639" w:h="6917" w:hRule="exact" w:wrap="around" w:vAnchor="page" w:hAnchor="page" w:xAlign="center" w:y="6408" w:anchorLock="1"/>
      </w:pPr>
      <w:bookmarkStart w:id="8" w:name="StdName"/>
      <w:r>
        <w:rPr>
          <w:rFonts w:hint="eastAsia" w:ascii="黑体" w:hAnsi="Times New Roman" w:eastAsia="黑体" w:cs="Times New Roman"/>
          <w:sz w:val="52"/>
          <w:lang w:val="en-US" w:eastAsia="zh-CN" w:bidi="ar-SA"/>
        </w:rPr>
        <w:fldChar w:fldCharType="begin">
          <w:ffData>
            <w:name w:val="StdName"/>
            <w:enabled/>
            <w:calcOnExit w:val="0"/>
            <w:textInput>
              <w:default w:val="葡萄酒中甘油稳定碳同位素比值13C/12C测定方法 液相色谱联用稳定同位素比值质谱法"/>
            </w:textInput>
          </w:ffData>
        </w:fldChar>
      </w:r>
      <w:r>
        <w:rPr>
          <w:rFonts w:hint="eastAsia" w:ascii="黑体" w:hAnsi="Times New Roman" w:eastAsia="黑体" w:cs="Times New Roman"/>
          <w:sz w:val="52"/>
          <w:lang w:val="en-US" w:eastAsia="zh-CN" w:bidi="ar-SA"/>
        </w:rPr>
        <w:instrText xml:space="preserve">FORMTEXT</w:instrText>
      </w:r>
      <w:r>
        <w:rPr>
          <w:rFonts w:hint="eastAsia" w:ascii="黑体" w:hAnsi="Times New Roman" w:eastAsia="黑体" w:cs="Times New Roman"/>
          <w:sz w:val="52"/>
          <w:lang w:val="en-US" w:eastAsia="zh-CN" w:bidi="ar-SA"/>
        </w:rPr>
        <w:fldChar w:fldCharType="separate"/>
      </w:r>
      <w:r>
        <w:rPr>
          <w:rFonts w:hint="eastAsia" w:ascii="黑体" w:hAnsi="Times New Roman" w:eastAsia="黑体" w:cs="Times New Roman"/>
          <w:sz w:val="52"/>
          <w:lang w:val="en-US" w:eastAsia="zh-CN" w:bidi="ar-SA"/>
        </w:rPr>
        <w:t>葡萄酒中甘油稳定碳同位素比值13C/12C测定方法 液相色谱联用稳定同位素比值质谱法</w:t>
      </w:r>
      <w:r>
        <w:rPr>
          <w:rFonts w:hint="eastAsia" w:ascii="黑体" w:hAnsi="Times New Roman" w:eastAsia="黑体" w:cs="Times New Roman"/>
          <w:sz w:val="52"/>
          <w:lang w:val="en-US" w:eastAsia="zh-CN" w:bidi="ar-SA"/>
        </w:rPr>
        <w:fldChar w:fldCharType="end"/>
      </w:r>
      <w:bookmarkEnd w:id="8"/>
    </w:p>
    <w:p>
      <w:pPr>
        <w:pStyle w:val="74"/>
        <w:framePr w:w="9639" w:h="6917" w:hRule="exact" w:wrap="around" w:vAnchor="page" w:hAnchor="page" w:xAlign="center" w:y="6408" w:anchorLock="1"/>
      </w:pPr>
      <w:bookmarkStart w:id="9" w:name="StdEnglishName"/>
      <w:r>
        <w:rPr>
          <w:rFonts w:hint="eastAsia" w:ascii="Times New Roman" w:hAnsi="Times New Roman" w:eastAsia="黑体" w:cs="Times New Roman"/>
          <w:sz w:val="28"/>
          <w:szCs w:val="28"/>
          <w:lang w:val="en-US" w:eastAsia="zh-CN" w:bidi="ar-SA"/>
        </w:rPr>
        <w:fldChar w:fldCharType="begin">
          <w:ffData>
            <w:name w:val="StdEnglishName"/>
            <w:enabled/>
            <w:calcOnExit w:val="0"/>
            <w:textInput>
              <w:default w:val="Determination of the 13C/12C isotope ratio of glycerol in wines-Method using Liquid Chromatography coupled to Isotope Ratio Mass Spectrometry"/>
            </w:textInput>
          </w:ffData>
        </w:fldChar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 w:bidi="ar-SA"/>
        </w:rPr>
        <w:instrText xml:space="preserve">FORMTEXT</w:instrTex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 w:bidi="ar-SA"/>
        </w:rPr>
        <w:t>Determination of the 13C/12C isotope ratio of glycerol in wines-Method using Liquid Chromatography coupled to Isotope Ratio Mass Spectrometry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 w:bidi="ar-SA"/>
        </w:rPr>
        <w:fldChar w:fldCharType="end"/>
      </w:r>
      <w:bookmarkEnd w:id="9"/>
    </w:p>
    <w:p>
      <w:pPr>
        <w:pStyle w:val="75"/>
        <w:framePr w:w="9639" w:h="6917" w:hRule="exact" w:wrap="around" w:vAnchor="page" w:hAnchor="page" w:xAlign="center" w:y="6408" w:anchorLock="1"/>
      </w:pPr>
      <w:bookmarkStart w:id="10" w:name="YZBS"/>
      <w:r>
        <w:rPr>
          <w:rFonts w:hint="default" w:ascii="宋体" w:hAnsi="Times New Roman" w:eastAsia="宋体" w:cs="Times New Roman"/>
          <w:sz w:val="28"/>
          <w:szCs w:val="28"/>
          <w:lang w:val="en-US" w:eastAsia="zh-CN" w:bidi="ar-SA"/>
        </w:rPr>
        <w:fldChar w:fldCharType="begin">
          <w:ffData>
            <w:name w:val="YZBS"/>
            <w:enabled/>
            <w:calcOnExit w:val="0"/>
            <w:textInput>
              <w:default w:val="Resolution OIV/OENO 343/2010"/>
            </w:textInput>
          </w:ffData>
        </w:fldChar>
      </w:r>
      <w:r>
        <w:rPr>
          <w:rFonts w:hint="default" w:ascii="宋体" w:hAnsi="Times New Roman" w:eastAsia="宋体" w:cs="Times New Roman"/>
          <w:sz w:val="28"/>
          <w:szCs w:val="28"/>
          <w:lang w:val="en-US" w:eastAsia="zh-CN" w:bidi="ar-SA"/>
        </w:rPr>
        <w:instrText xml:space="preserve">FORMTEXT</w:instrText>
      </w:r>
      <w:r>
        <w:rPr>
          <w:rFonts w:hint="default" w:ascii="宋体" w:hAnsi="Times New Roman" w:eastAsia="宋体" w:cs="Times New Roman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宋体" w:hAnsi="Times New Roman" w:eastAsia="宋体" w:cs="Times New Roman"/>
          <w:sz w:val="28"/>
          <w:szCs w:val="28"/>
          <w:lang w:val="en-US" w:eastAsia="zh-CN" w:bidi="ar-SA"/>
        </w:rPr>
        <w:t>Resolution OIV/OENO 343/2010</w:t>
      </w:r>
      <w:r>
        <w:rPr>
          <w:rFonts w:hint="default" w:ascii="宋体" w:hAnsi="Times New Roman" w:eastAsia="宋体" w:cs="Times New Roman"/>
          <w:sz w:val="28"/>
          <w:szCs w:val="28"/>
          <w:lang w:val="en-US" w:eastAsia="zh-CN" w:bidi="ar-SA"/>
        </w:rPr>
        <w:fldChar w:fldCharType="end"/>
      </w:r>
      <w:bookmarkEnd w:id="10"/>
    </w:p>
    <w:tbl>
      <w:tblPr>
        <w:tblStyle w:val="37"/>
        <w:tblW w:w="98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76"/>
              <w:framePr w:w="9639" w:h="6917" w:hRule="exact" w:wrap="around" w:vAnchor="page" w:hAnchor="page" w:xAlign="center" w:y="6408" w:anchorLock="1"/>
            </w:pPr>
            <w:r>
              <w:rPr>
                <w:rFonts w:ascii="宋体" w:hAnsi="Times New Roman" w:eastAsia="宋体" w:cs="Times New Roman"/>
                <w:sz w:val="24"/>
                <w:szCs w:val="28"/>
                <w:lang w:val="en-US" w:eastAsia="zh-CN" w:bidi="ar-SA"/>
              </w:rPr>
              <w:pict>
                <v:rect id="RQ" o:spid="_x0000_s1028" o:spt="1" style="position:absolute;left:0pt;margin-left:173.3pt;margin-top:45.15pt;height:20pt;width:150pt;z-index:-251656192;mso-width-relative:page;mso-height-relative:page;" fillcolor="#FFFFFF" filled="t" o:preferrelative="t" stroked="f" coordsize="21600,21600">
                  <v:path/>
                  <v:fill on="t" focussize="0,0"/>
                  <v:stroke on="f"/>
                  <v:imagedata gain="65536f" blacklevel="0f" gamma="0" o:title=""/>
                  <o:lock v:ext="edit" position="f" selection="f" grouping="f" rotation="f" cropping="f" text="f" aspectratio="f"/>
                  <w10:anchorlock/>
                </v:rect>
              </w:pict>
            </w:r>
            <w:r>
              <w:rPr>
                <w:rFonts w:ascii="宋体" w:hAnsi="Times New Roman" w:eastAsia="宋体" w:cs="Times New Roman"/>
                <w:sz w:val="24"/>
                <w:szCs w:val="28"/>
                <w:lang w:val="en-US" w:eastAsia="zh-CN" w:bidi="ar-SA"/>
              </w:rPr>
              <w:pict>
                <v:rect id="LB" o:spid="_x0000_s1029" o:spt="1" style="position:absolute;left:0pt;margin-left:193.3pt;margin-top:20.15pt;height:24pt;width:100pt;z-index:-251657216;mso-width-relative:page;mso-height-relative:page;" fillcolor="#FFFFFF" filled="t" o:preferrelative="t" stroked="f" coordsize="21600,21600">
                  <v:path/>
                  <v:fill on="t" focussize="0,0"/>
                  <v:stroke on="f"/>
                  <v:imagedata gain="65536f" blacklevel="0f" gamma="0" o:title=""/>
                  <o:lock v:ext="edit" position="f" selection="f" grouping="f" rotation="f" cropping="f" text="f" aspectratio="f"/>
                </v:rect>
              </w:pict>
            </w:r>
            <w:bookmarkStart w:id="11" w:name="LB"/>
            <w:r>
              <w:rPr>
                <w:rFonts w:ascii="宋体" w:hAnsi="Times New Roman" w:eastAsia="宋体" w:cs="Times New Roman"/>
                <w:sz w:val="24"/>
                <w:szCs w:val="28"/>
                <w:lang w:val="en-US" w:eastAsia="zh-CN" w:bidi="ar-SA"/>
              </w:rPr>
              <w:fldChar w:fldCharType="begin">
                <w:ffData>
                  <w:name w:val="LB"/>
                  <w:enabled/>
                  <w:calcOnExit/>
                  <w:ddList>
                    <w:listEntry w:val="（征求意见稿）"/>
                    <w:listEntry w:val="文稿版次选择"/>
                    <w:listEntry w:val="（工作组讨论稿）"/>
                    <w:listEntry w:val="（送审讨论稿）"/>
                    <w:listEntry w:val="（送审稿）"/>
                    <w:listEntry w:val="（报批稿）"/>
                  </w:ddList>
                </w:ffData>
              </w:fldChar>
            </w:r>
            <w:r>
              <w:rPr>
                <w:rFonts w:ascii="宋体" w:hAnsi="Times New Roman" w:eastAsia="宋体" w:cs="Times New Roman"/>
                <w:sz w:val="24"/>
                <w:szCs w:val="28"/>
                <w:lang w:val="en-US" w:eastAsia="zh-CN" w:bidi="ar-SA"/>
              </w:rPr>
              <w:instrText xml:space="preserve">FORMDROPDOWN</w:instrText>
            </w:r>
            <w:r>
              <w:rPr>
                <w:rFonts w:ascii="宋体" w:hAnsi="Times New Roman" w:eastAsia="宋体" w:cs="Times New Roman"/>
                <w:sz w:val="24"/>
                <w:szCs w:val="28"/>
                <w:lang w:val="en-US" w:eastAsia="zh-CN" w:bidi="ar-SA"/>
              </w:rPr>
              <w:fldChar w:fldCharType="separate"/>
            </w:r>
            <w:r>
              <w:rPr>
                <w:rFonts w:ascii="宋体" w:hAnsi="Times New Roman" w:eastAsia="宋体" w:cs="Times New Roman"/>
                <w:sz w:val="24"/>
                <w:szCs w:val="28"/>
                <w:lang w:val="en-US" w:eastAsia="zh-CN" w:bidi="ar-SA"/>
              </w:rPr>
              <w:fldChar w:fldCharType="end"/>
            </w:r>
            <w:bookmarkEnd w:id="11"/>
          </w:p>
        </w:tc>
        <w:bookmarkStart w:id="12" w:name="WCRQ"/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77"/>
              <w:framePr w:w="9639" w:h="6917" w:hRule="exact" w:wrap="around" w:vAnchor="page" w:hAnchor="page" w:xAlign="center" w:y="6408" w:anchorLock="1"/>
            </w:pPr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2"/>
          </w:p>
        </w:tc>
      </w:tr>
    </w:tbl>
    <w:p>
      <w:pPr>
        <w:pStyle w:val="123"/>
        <w:framePr w:w="9958" w:h="471" w:hRule="exact" w:vSpace="181" w:wrap="around" w:vAnchor="page" w:hAnchor="page" w:x="1441" w:y="14162" w:anchorLock="1"/>
      </w:pPr>
      <w:bookmarkStart w:id="13" w:name="FY"/>
      <w:r>
        <w:rPr>
          <w:rFonts w:ascii="黑体"/>
        </w:rPr>
        <w:fldChar w:fldCharType="begin">
          <w:ffData>
            <w:name w:val="FY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13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14" w:name="FD"/>
      <w:r>
        <w:rPr>
          <w:rFonts w:ascii="黑体"/>
        </w:rP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4"/>
      <w:r>
        <w:rPr>
          <w:rFonts w:hint="eastAsia"/>
        </w:rPr>
        <w:t>发布</w:t>
      </w:r>
      <w:r>
        <w:rPr>
          <w:rFonts w:ascii="Times New Roman" w:hAnsi="Times New Roman" w:eastAsia="黑体" w:cs="Times New Roman"/>
          <w:sz w:val="28"/>
          <w:lang w:val="en-US" w:eastAsia="zh-CN" w:bidi="ar-SA"/>
        </w:rPr>
        <w:pict>
          <v:line id="Line 10" o:spid="_x0000_s1030" o:spt="20" style="position:absolute;left:0pt;margin-left:70.9pt;margin-top:732.55pt;height:0.05pt;width:481.85pt;mso-position-vertical-relative:page;z-index:251662336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w10:anchorlock/>
          </v:line>
        </w:pict>
      </w:r>
    </w:p>
    <w:p>
      <w:pPr>
        <w:pStyle w:val="124"/>
        <w:framePr w:w="3997" w:h="471" w:hRule="exact" w:vSpace="181" w:wrap="around" w:vAnchor="page" w:hAnchor="page" w:x="7101" w:y="14139" w:anchorLock="1"/>
      </w:pPr>
      <w:bookmarkStart w:id="15" w:name="SY"/>
      <w:r>
        <w:rPr>
          <w:rFonts w:ascii="黑体"/>
        </w:rPr>
        <w:fldChar w:fldCharType="begin">
          <w:ffData>
            <w:name w:val="SY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15"/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16" w:name="SM"/>
      <w:r>
        <w:rPr>
          <w:rFonts w:ascii="黑体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6"/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17" w:name="SD"/>
      <w:r>
        <w:rPr>
          <w:rFonts w:ascii="黑体"/>
        </w:rP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7"/>
      <w:r>
        <w:rPr>
          <w:rFonts w:hint="eastAsia"/>
        </w:rPr>
        <w:t>实施</w:t>
      </w:r>
    </w:p>
    <w:p>
      <w:pPr>
        <w:pStyle w:val="105"/>
        <w:framePr w:w="7938" w:h="1134" w:hRule="exact" w:hSpace="125" w:vSpace="181" w:wrap="around" w:vAnchor="page" w:hAnchor="page" w:x="2150" w:y="15310" w:anchorLock="1"/>
      </w:pPr>
      <w:bookmarkStart w:id="18" w:name="fm"/>
      <w:r>
        <w:fldChar w:fldCharType="begin">
          <w:ffData>
            <w:name w:val="fm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中华人民共和国工业与信息化部</w:t>
      </w:r>
      <w:r>
        <w:fldChar w:fldCharType="end"/>
      </w:r>
      <w:bookmarkEnd w:id="18"/>
      <w:r>
        <w:t>   </w:t>
      </w:r>
      <w:r>
        <w:rPr>
          <w:rStyle w:val="132"/>
          <w:rFonts w:hint="eastAsia"/>
        </w:rPr>
        <w:t>发布</w:t>
      </w:r>
    </w:p>
    <w:p>
      <w:pPr>
        <w:pStyle w:val="22"/>
        <w:sectPr>
          <w:pgSz w:w="11906" w:h="16838"/>
          <w:pgMar w:top="567" w:right="850" w:bottom="1134" w:left="1418" w:header="0" w:footer="0" w:gutter="0"/>
          <w:pgNumType w:start="1"/>
          <w:cols w:space="720" w:num="1"/>
          <w:docGrid w:type="lines" w:linePitch="312" w:charSpace="0"/>
        </w:sectPr>
      </w:pPr>
      <w:r>
        <w:rPr>
          <w:rFonts w:ascii="宋体" w:hAnsi="Times New Roman" w:eastAsia="宋体" w:cs="Times New Roman"/>
          <w:sz w:val="21"/>
          <w:lang w:val="en-US" w:eastAsia="zh-CN" w:bidi="ar-SA"/>
        </w:rPr>
        <w:pict>
          <v:line id="Line 11" o:spid="_x0000_s1031" o:spt="20" style="position:absolute;left:0pt;margin-left:0pt;margin-top:184.25pt;height:0.05pt;width:481.85pt;z-index:251663360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pStyle w:val="106"/>
      </w:pPr>
      <w:r>
        <w:rPr>
          <w:rFonts w:hint="eastAsia"/>
        </w:rPr>
        <w:t>前</w:t>
      </w:r>
      <w:bookmarkStart w:id="19" w:name="BKQY"/>
      <w:r>
        <w:t>  </w:t>
      </w:r>
      <w:r>
        <w:rPr>
          <w:rFonts w:hint="eastAsia"/>
        </w:rPr>
        <w:t>言</w:t>
      </w:r>
      <w:bookmarkEnd w:id="19"/>
    </w:p>
    <w:p>
      <w:pPr>
        <w:pStyle w:val="22"/>
        <w:rPr>
          <w:rFonts w:ascii="Times New Roman"/>
        </w:rPr>
      </w:pPr>
      <w:r>
        <w:rPr>
          <w:rFonts w:ascii="Times New Roman"/>
        </w:rPr>
        <w:t>本标准遵循GB/T 1.1-2009《标准化工作导则 第1部分：标准的结构和编写》和GB/T 20001.4-2001《标准编写规则 第4部分：化学分析方法》的编写规则。</w:t>
      </w:r>
    </w:p>
    <w:p>
      <w:pPr>
        <w:pStyle w:val="22"/>
        <w:rPr>
          <w:rFonts w:ascii="Times New Roman"/>
        </w:rPr>
      </w:pPr>
      <w:r>
        <w:rPr>
          <w:rFonts w:ascii="Times New Roman"/>
        </w:rPr>
        <w:t>本标准的附录A为资料性附录。</w:t>
      </w:r>
    </w:p>
    <w:p>
      <w:pPr>
        <w:pStyle w:val="22"/>
        <w:rPr>
          <w:rFonts w:ascii="Times New Roman"/>
        </w:rPr>
      </w:pPr>
      <w:r>
        <w:rPr>
          <w:rFonts w:ascii="Times New Roman"/>
        </w:rPr>
        <w:t>本标准由中国轻工业联合会提出。</w:t>
      </w:r>
    </w:p>
    <w:p>
      <w:pPr>
        <w:pStyle w:val="22"/>
        <w:rPr>
          <w:rFonts w:ascii="Times New Roman"/>
        </w:rPr>
      </w:pPr>
      <w:r>
        <w:rPr>
          <w:rFonts w:ascii="Times New Roman"/>
        </w:rPr>
        <w:t>本标准由</w:t>
      </w:r>
      <w:r>
        <w:rPr>
          <w:rFonts w:hint="eastAsia" w:ascii="Times New Roman"/>
        </w:rPr>
        <w:t>全国</w:t>
      </w:r>
      <w:r>
        <w:rPr>
          <w:rFonts w:hint="eastAsia" w:ascii="Times New Roman"/>
          <w:lang w:val="en-US" w:eastAsia="zh-CN"/>
        </w:rPr>
        <w:t>食品发酵</w:t>
      </w:r>
      <w:r>
        <w:rPr>
          <w:rFonts w:hint="eastAsia" w:ascii="Times New Roman"/>
        </w:rPr>
        <w:t>标准化</w:t>
      </w:r>
      <w:r>
        <w:rPr>
          <w:rFonts w:hint="eastAsia" w:ascii="Times New Roman"/>
          <w:lang w:val="en-US" w:eastAsia="zh-CN"/>
        </w:rPr>
        <w:t>中心</w:t>
      </w:r>
      <w:r>
        <w:rPr>
          <w:rFonts w:ascii="Times New Roman"/>
        </w:rPr>
        <w:t>归口。</w:t>
      </w:r>
    </w:p>
    <w:p>
      <w:pPr>
        <w:pStyle w:val="22"/>
        <w:rPr>
          <w:rFonts w:ascii="Times New Roman"/>
        </w:rPr>
      </w:pPr>
      <w:r>
        <w:rPr>
          <w:rFonts w:ascii="Times New Roman"/>
        </w:rPr>
        <w:t>本标准起草单位：   。</w:t>
      </w:r>
    </w:p>
    <w:p>
      <w:pPr>
        <w:pStyle w:val="22"/>
        <w:rPr>
          <w:rFonts w:ascii="Times New Roman"/>
        </w:rPr>
      </w:pPr>
      <w:r>
        <w:rPr>
          <w:rFonts w:ascii="Times New Roman"/>
        </w:rPr>
        <w:t>本标准主要起草人： 。</w:t>
      </w:r>
    </w:p>
    <w:p>
      <w:pPr>
        <w:pStyle w:val="22"/>
      </w:pPr>
    </w:p>
    <w:p>
      <w:pPr>
        <w:pStyle w:val="22"/>
        <w:sectPr>
          <w:headerReference r:id="rId3" w:type="default"/>
          <w:footerReference r:id="rId4" w:type="default"/>
          <w:pgSz w:w="11906" w:h="16838"/>
          <w:pgMar w:top="567" w:right="1134" w:bottom="1134" w:left="1418" w:header="1418" w:footer="1134" w:gutter="0"/>
          <w:pgNumType w:fmt="upperRoman" w:start="1"/>
          <w:cols w:space="720" w:num="1"/>
          <w:formProt w:val="0"/>
          <w:docGrid w:type="lines" w:linePitch="312" w:charSpace="0"/>
        </w:sectPr>
      </w:pPr>
    </w:p>
    <w:p>
      <w:pPr>
        <w:pStyle w:val="46"/>
      </w:pPr>
      <w:bookmarkStart w:id="20" w:name="StandardName"/>
      <w:r>
        <w:rPr>
          <w:rFonts w:hint="eastAsia"/>
          <w:lang w:val="en-US" w:eastAsia="zh-CN"/>
        </w:rPr>
        <w:t>葡萄酒</w:t>
      </w:r>
      <w:r>
        <w:rPr>
          <w:rFonts w:hint="eastAsia"/>
        </w:rPr>
        <w:t>中</w:t>
      </w:r>
      <w:r>
        <w:rPr>
          <w:rFonts w:hint="eastAsia"/>
          <w:lang w:val="en-US" w:eastAsia="zh-CN"/>
        </w:rPr>
        <w:t>甘油</w:t>
      </w:r>
      <w:r>
        <w:rPr>
          <w:rFonts w:hint="eastAsia"/>
        </w:rPr>
        <w:t>稳定碳同位素比值</w:t>
      </w:r>
      <w:bookmarkStart w:id="21" w:name="_GoBack"/>
      <w:r>
        <w:rPr>
          <w:rFonts w:hint="eastAsia"/>
        </w:rPr>
        <w:t>13C/12C</w:t>
      </w:r>
      <w:bookmarkEnd w:id="21"/>
      <w:r>
        <w:rPr>
          <w:rFonts w:hint="eastAsia"/>
        </w:rPr>
        <w:t xml:space="preserve">测定方法 </w:t>
      </w:r>
      <w:bookmarkEnd w:id="20"/>
      <w:r>
        <w:rPr>
          <w:rFonts w:hint="eastAsia"/>
          <w:lang w:val="en-US" w:eastAsia="zh-CN"/>
        </w:rPr>
        <w:t>液相色谱联用稳定同位素比值质谱法</w:t>
      </w:r>
    </w:p>
    <w:p>
      <w:pPr>
        <w:pStyle w:val="41"/>
        <w:spacing w:before="312" w:after="312"/>
      </w:pPr>
      <w:r>
        <w:rPr>
          <w:rFonts w:hint="eastAsia"/>
        </w:rPr>
        <w:t>范围</w:t>
      </w:r>
    </w:p>
    <w:p>
      <w:pPr>
        <w:pStyle w:val="22"/>
        <w:rPr>
          <w:rFonts w:ascii="Times New Roman"/>
        </w:rPr>
      </w:pPr>
      <w:r>
        <w:rPr>
          <w:rFonts w:ascii="Times New Roman"/>
        </w:rPr>
        <w:t>本标准规定了应用</w:t>
      </w:r>
      <w:r>
        <w:rPr>
          <w:rFonts w:hint="eastAsia" w:ascii="Times New Roman"/>
          <w:lang w:val="en-US" w:eastAsia="zh-CN"/>
        </w:rPr>
        <w:t>液相色谱</w:t>
      </w:r>
      <w:r>
        <w:rPr>
          <w:rFonts w:hint="eastAsia" w:ascii="Times New Roman"/>
        </w:rPr>
        <w:t>-</w:t>
      </w:r>
      <w:r>
        <w:rPr>
          <w:rFonts w:ascii="Times New Roman"/>
        </w:rPr>
        <w:t>稳定同位素比值质谱仪</w:t>
      </w:r>
      <w:r>
        <w:rPr>
          <w:rFonts w:hint="eastAsia" w:ascii="Times New Roman"/>
        </w:rPr>
        <w:t>测定</w:t>
      </w:r>
      <w:r>
        <w:rPr>
          <w:rFonts w:hint="eastAsia" w:ascii="Times New Roman"/>
          <w:lang w:val="en-US" w:eastAsia="zh-CN"/>
        </w:rPr>
        <w:t>甘油</w:t>
      </w:r>
      <w:r>
        <w:rPr>
          <w:rFonts w:ascii="Times New Roman"/>
        </w:rPr>
        <w:t>稳定</w:t>
      </w:r>
      <w:r>
        <w:rPr>
          <w:rFonts w:hint="eastAsia" w:ascii="Times New Roman"/>
        </w:rPr>
        <w:t>碳</w:t>
      </w:r>
      <w:r>
        <w:rPr>
          <w:rFonts w:ascii="Times New Roman"/>
        </w:rPr>
        <w:t>同位素比值（</w:t>
      </w:r>
      <w:r>
        <w:rPr>
          <w:rFonts w:ascii="Times New Roman"/>
          <w:vertAlign w:val="superscript"/>
        </w:rPr>
        <w:t>1</w:t>
      </w:r>
      <w:r>
        <w:rPr>
          <w:rFonts w:hint="eastAsia" w:ascii="Times New Roman"/>
          <w:vertAlign w:val="superscript"/>
        </w:rPr>
        <w:t>3</w:t>
      </w:r>
      <w:r>
        <w:rPr>
          <w:rFonts w:hint="eastAsia" w:ascii="Times New Roman"/>
        </w:rPr>
        <w:t>C</w:t>
      </w:r>
      <w:r>
        <w:rPr>
          <w:rFonts w:ascii="Times New Roman"/>
        </w:rPr>
        <w:t>/</w:t>
      </w:r>
      <w:r>
        <w:rPr>
          <w:rFonts w:ascii="Times New Roman"/>
          <w:vertAlign w:val="superscript"/>
        </w:rPr>
        <w:t>1</w:t>
      </w:r>
      <w:r>
        <w:rPr>
          <w:rFonts w:hint="eastAsia" w:ascii="Times New Roman"/>
          <w:vertAlign w:val="superscript"/>
        </w:rPr>
        <w:t>2</w:t>
      </w:r>
      <w:r>
        <w:rPr>
          <w:rFonts w:hint="eastAsia" w:ascii="Times New Roman"/>
        </w:rPr>
        <w:t>C</w:t>
      </w:r>
      <w:r>
        <w:rPr>
          <w:rFonts w:ascii="Times New Roman"/>
        </w:rPr>
        <w:t>）的方法</w:t>
      </w:r>
      <w:r>
        <w:rPr>
          <w:rFonts w:hint="eastAsia" w:ascii="Times New Roman"/>
        </w:rPr>
        <w:t>。</w:t>
      </w:r>
    </w:p>
    <w:p>
      <w:pPr>
        <w:pStyle w:val="22"/>
        <w:rPr>
          <w:rFonts w:ascii="Times New Roman"/>
        </w:rPr>
      </w:pPr>
      <w:r>
        <w:rPr>
          <w:rFonts w:ascii="Times New Roman"/>
        </w:rPr>
        <w:t>本标准适用于</w:t>
      </w:r>
      <w:r>
        <w:rPr>
          <w:rFonts w:hint="eastAsia" w:ascii="Times New Roman"/>
          <w:lang w:val="en-US" w:eastAsia="zh-CN"/>
        </w:rPr>
        <w:t>葡萄酒</w:t>
      </w:r>
      <w:r>
        <w:rPr>
          <w:rFonts w:ascii="Times New Roman"/>
        </w:rPr>
        <w:t>中</w:t>
      </w:r>
      <w:r>
        <w:rPr>
          <w:rFonts w:hint="eastAsia" w:ascii="Times New Roman"/>
          <w:lang w:val="en-US" w:eastAsia="zh-CN"/>
        </w:rPr>
        <w:t>甘油</w:t>
      </w:r>
      <w:r>
        <w:rPr>
          <w:rFonts w:ascii="Times New Roman"/>
          <w:vertAlign w:val="superscript"/>
        </w:rPr>
        <w:t>1</w:t>
      </w:r>
      <w:r>
        <w:rPr>
          <w:rFonts w:hint="eastAsia" w:ascii="Times New Roman"/>
          <w:vertAlign w:val="superscript"/>
        </w:rPr>
        <w:t>3</w:t>
      </w:r>
      <w:r>
        <w:rPr>
          <w:rFonts w:hint="eastAsia" w:ascii="Times New Roman"/>
        </w:rPr>
        <w:t>C</w:t>
      </w:r>
      <w:r>
        <w:rPr>
          <w:rFonts w:ascii="Times New Roman"/>
        </w:rPr>
        <w:t>/</w:t>
      </w:r>
      <w:r>
        <w:rPr>
          <w:rFonts w:ascii="Times New Roman"/>
          <w:vertAlign w:val="superscript"/>
        </w:rPr>
        <w:t>1</w:t>
      </w:r>
      <w:r>
        <w:rPr>
          <w:rFonts w:hint="eastAsia" w:ascii="Times New Roman"/>
          <w:vertAlign w:val="superscript"/>
        </w:rPr>
        <w:t>2</w:t>
      </w:r>
      <w:r>
        <w:rPr>
          <w:rFonts w:hint="eastAsia" w:ascii="Times New Roman"/>
        </w:rPr>
        <w:t>C的</w:t>
      </w:r>
      <w:r>
        <w:rPr>
          <w:rFonts w:ascii="Times New Roman"/>
        </w:rPr>
        <w:t>测定。</w:t>
      </w:r>
    </w:p>
    <w:p>
      <w:pPr>
        <w:pStyle w:val="41"/>
        <w:spacing w:before="312" w:after="312"/>
      </w:pPr>
      <w:r>
        <w:rPr>
          <w:rFonts w:hint="eastAsia"/>
        </w:rPr>
        <w:t>规范性引用文件</w:t>
      </w:r>
    </w:p>
    <w:p>
      <w:pPr>
        <w:pStyle w:val="22"/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ind w:left="1470" w:hanging="1470" w:hangingChars="700"/>
        <w:rPr>
          <w:szCs w:val="21"/>
        </w:rPr>
      </w:pPr>
      <w:r>
        <w:rPr>
          <w:szCs w:val="21"/>
        </w:rPr>
        <w:t>GB 6379.2测量方法与结果的准确度(正确度与精密度)第2部分:确定标准测量方法重复性与再现性的基</w:t>
      </w:r>
    </w:p>
    <w:p>
      <w:pPr>
        <w:pStyle w:val="22"/>
      </w:pPr>
      <w:r>
        <w:rPr>
          <w:szCs w:val="21"/>
        </w:rPr>
        <w:t>本方法</w:t>
      </w:r>
    </w:p>
    <w:p>
      <w:pPr>
        <w:pStyle w:val="41"/>
        <w:spacing w:before="312" w:after="312"/>
        <w:rPr>
          <w:rFonts w:ascii="Times New Roman"/>
        </w:rPr>
      </w:pPr>
      <w:r>
        <w:rPr>
          <w:rFonts w:ascii="Times New Roman"/>
        </w:rPr>
        <w:t>符号、缩略语及含义</w:t>
      </w:r>
    </w:p>
    <w:p>
      <w:pPr>
        <w:pStyle w:val="22"/>
        <w:rPr>
          <w:rFonts w:ascii="Times New Roman"/>
        </w:rPr>
      </w:pPr>
      <w:r>
        <w:rPr>
          <w:rFonts w:ascii="Times New Roman"/>
        </w:rPr>
        <w:t>下列符号和缩略语适用于本</w:t>
      </w:r>
      <w:r>
        <w:rPr>
          <w:rFonts w:hint="eastAsia" w:ascii="Times New Roman"/>
        </w:rPr>
        <w:t>标准</w:t>
      </w:r>
      <w:r>
        <w:rPr>
          <w:rFonts w:ascii="Times New Roman"/>
        </w:rPr>
        <w:t>。</w:t>
      </w:r>
    </w:p>
    <w:p>
      <w:pPr>
        <w:pStyle w:val="38"/>
        <w:spacing w:before="156" w:after="156"/>
        <w:rPr>
          <w:rFonts w:ascii="Times New Roman"/>
        </w:rPr>
      </w:pPr>
      <w:r>
        <w:rPr>
          <w:rFonts w:ascii="Times New Roman"/>
          <w:vertAlign w:val="superscript"/>
        </w:rPr>
        <w:t>13</w:t>
      </w:r>
      <w:r>
        <w:rPr>
          <w:rFonts w:ascii="Times New Roman"/>
        </w:rPr>
        <w:t>C/</w:t>
      </w:r>
      <w:r>
        <w:rPr>
          <w:rFonts w:ascii="Times New Roman"/>
          <w:vertAlign w:val="superscript"/>
        </w:rPr>
        <w:t>12</w:t>
      </w:r>
      <w:r>
        <w:rPr>
          <w:rFonts w:ascii="Times New Roman"/>
        </w:rPr>
        <w:t>C：碳同位素</w:t>
      </w:r>
      <w:r>
        <w:rPr>
          <w:rFonts w:ascii="Times New Roman"/>
          <w:vertAlign w:val="superscript"/>
        </w:rPr>
        <w:t>13</w:t>
      </w:r>
      <w:r>
        <w:rPr>
          <w:rFonts w:ascii="Times New Roman"/>
        </w:rPr>
        <w:t>C与</w:t>
      </w:r>
      <w:r>
        <w:rPr>
          <w:rFonts w:ascii="Times New Roman"/>
          <w:vertAlign w:val="superscript"/>
        </w:rPr>
        <w:t>12</w:t>
      </w:r>
      <w:r>
        <w:rPr>
          <w:rFonts w:ascii="Times New Roman"/>
        </w:rPr>
        <w:t>C的原子丰度之比，记为R</w:t>
      </w:r>
      <w:r>
        <w:rPr>
          <w:rFonts w:ascii="Times New Roman"/>
          <w:vertAlign w:val="subscript"/>
        </w:rPr>
        <w:t>X</w:t>
      </w:r>
      <w:r>
        <w:rPr>
          <w:rFonts w:ascii="Times New Roman"/>
        </w:rPr>
        <w:t>。</w:t>
      </w:r>
    </w:p>
    <w:p>
      <w:pPr>
        <w:pStyle w:val="38"/>
        <w:spacing w:before="156" w:after="156"/>
        <w:rPr>
          <w:rFonts w:ascii="Times New Roman"/>
        </w:rPr>
      </w:pPr>
      <w:r>
        <w:rPr>
          <w:rFonts w:ascii="Times New Roman"/>
        </w:rPr>
        <w:t>δ</w:t>
      </w:r>
      <w:r>
        <w:rPr>
          <w:rFonts w:ascii="Times New Roman"/>
          <w:vertAlign w:val="superscript"/>
        </w:rPr>
        <w:t>13</w:t>
      </w:r>
      <w:r>
        <w:rPr>
          <w:rFonts w:ascii="Times New Roman"/>
        </w:rPr>
        <w:t>C</w:t>
      </w:r>
      <w:r>
        <w:rPr>
          <w:rFonts w:ascii="Times New Roman"/>
          <w:vertAlign w:val="subscript"/>
        </w:rPr>
        <w:t>A</w:t>
      </w:r>
      <w:r>
        <w:rPr>
          <w:rFonts w:ascii="Times New Roman"/>
        </w:rPr>
        <w:t>（‰）：样品的同位素比值相对于参考物质A（</w:t>
      </w:r>
      <w:r>
        <w:rPr>
          <w:rFonts w:ascii="Times New Roman"/>
          <w:vertAlign w:val="superscript"/>
        </w:rPr>
        <w:t>13</w:t>
      </w:r>
      <w:r>
        <w:rPr>
          <w:rFonts w:ascii="Times New Roman"/>
        </w:rPr>
        <w:t>C/</w:t>
      </w:r>
      <w:r>
        <w:rPr>
          <w:rFonts w:ascii="Times New Roman"/>
          <w:vertAlign w:val="superscript"/>
        </w:rPr>
        <w:t>12</w:t>
      </w:r>
      <w:r>
        <w:rPr>
          <w:rFonts w:ascii="Times New Roman"/>
        </w:rPr>
        <w:t>C已知）的同位素比值的千分差。</w:t>
      </w:r>
    </w:p>
    <w:p>
      <w:pPr>
        <w:pStyle w:val="38"/>
        <w:spacing w:before="156" w:after="156"/>
        <w:rPr>
          <w:rFonts w:ascii="Times New Roman"/>
        </w:rPr>
      </w:pPr>
      <w:r>
        <w:rPr>
          <w:rFonts w:ascii="Times New Roman"/>
        </w:rPr>
        <w:t>PDB：美国南卡罗莱纳州白垩系Pee Dee组拟箭石化石碳稳定同位素比值的国际基准（其δ</w:t>
      </w:r>
      <w:r>
        <w:rPr>
          <w:rFonts w:ascii="Times New Roman"/>
          <w:vertAlign w:val="superscript"/>
        </w:rPr>
        <w:t>13</w:t>
      </w:r>
      <w:r>
        <w:rPr>
          <w:rFonts w:ascii="Times New Roman"/>
        </w:rPr>
        <w:t>C</w:t>
      </w:r>
      <w:r>
        <w:rPr>
          <w:rFonts w:ascii="Times New Roman"/>
          <w:vertAlign w:val="subscript"/>
        </w:rPr>
        <w:t>PDB</w:t>
      </w:r>
      <w:r>
        <w:rPr>
          <w:rFonts w:ascii="Times New Roman"/>
        </w:rPr>
        <w:t>‰=0），其</w:t>
      </w:r>
      <w:r>
        <w:rPr>
          <w:rFonts w:ascii="Times New Roman"/>
          <w:vertAlign w:val="superscript"/>
        </w:rPr>
        <w:t>13</w:t>
      </w:r>
      <w:r>
        <w:rPr>
          <w:rFonts w:ascii="Times New Roman"/>
        </w:rPr>
        <w:t>C与</w:t>
      </w:r>
      <w:r>
        <w:rPr>
          <w:rFonts w:ascii="Times New Roman"/>
          <w:vertAlign w:val="superscript"/>
        </w:rPr>
        <w:t>12</w:t>
      </w:r>
      <w:r>
        <w:rPr>
          <w:rFonts w:ascii="Times New Roman"/>
        </w:rPr>
        <w:t>C的原子丰度之比R</w:t>
      </w:r>
      <w:r>
        <w:rPr>
          <w:rFonts w:ascii="Times New Roman"/>
          <w:vertAlign w:val="subscript"/>
        </w:rPr>
        <w:t>PDB</w:t>
      </w:r>
      <w:r>
        <w:rPr>
          <w:rFonts w:ascii="Times New Roman"/>
        </w:rPr>
        <w:t>=11237.2±90×10</w:t>
      </w:r>
      <w:r>
        <w:rPr>
          <w:rFonts w:ascii="Times New Roman"/>
          <w:vertAlign w:val="superscript"/>
        </w:rPr>
        <w:t>-6</w:t>
      </w:r>
      <w:r>
        <w:rPr>
          <w:rFonts w:ascii="Times New Roman"/>
        </w:rPr>
        <w:t>。</w:t>
      </w:r>
    </w:p>
    <w:p>
      <w:pPr>
        <w:widowControl/>
        <w:numPr>
          <w:ilvl w:val="0"/>
          <w:numId w:val="2"/>
        </w:numPr>
        <w:spacing w:before="312" w:beforeLines="100" w:after="312" w:afterLines="100"/>
        <w:outlineLvl w:val="1"/>
        <w:rPr>
          <w:rFonts w:eastAsia="黑体"/>
          <w:kern w:val="0"/>
          <w:szCs w:val="20"/>
        </w:rPr>
      </w:pPr>
      <w:r>
        <w:rPr>
          <w:rFonts w:eastAsia="黑体"/>
          <w:kern w:val="0"/>
          <w:szCs w:val="20"/>
        </w:rPr>
        <w:t>原理</w:t>
      </w:r>
    </w:p>
    <w:p>
      <w:pPr>
        <w:widowControl/>
        <w:tabs>
          <w:tab w:val="left" w:pos="3967"/>
        </w:tabs>
        <w:autoSpaceDE w:val="0"/>
        <w:autoSpaceDN w:val="0"/>
        <w:ind w:firstLine="420" w:firstLineChars="200"/>
        <w:rPr>
          <w:kern w:val="0"/>
          <w:szCs w:val="20"/>
        </w:rPr>
      </w:pPr>
      <w:r>
        <w:rPr>
          <w:rFonts w:hint="eastAsia"/>
          <w:kern w:val="0"/>
          <w:szCs w:val="20"/>
        </w:rPr>
        <w:t>使用</w:t>
      </w:r>
      <w:r>
        <w:rPr>
          <w:rFonts w:hint="eastAsia"/>
          <w:kern w:val="0"/>
          <w:szCs w:val="20"/>
          <w:lang w:val="en-US" w:eastAsia="zh-CN"/>
        </w:rPr>
        <w:t>液相色谱柱</w:t>
      </w:r>
      <w:r>
        <w:rPr>
          <w:rFonts w:hint="eastAsia"/>
          <w:kern w:val="0"/>
          <w:szCs w:val="20"/>
        </w:rPr>
        <w:t>分离</w:t>
      </w:r>
      <w:r>
        <w:rPr>
          <w:rFonts w:hint="eastAsia"/>
          <w:kern w:val="0"/>
          <w:szCs w:val="20"/>
          <w:lang w:val="en-US" w:eastAsia="zh-CN"/>
        </w:rPr>
        <w:t>甘油</w:t>
      </w:r>
      <w:r>
        <w:rPr>
          <w:rFonts w:hint="eastAsia"/>
          <w:kern w:val="0"/>
          <w:szCs w:val="20"/>
        </w:rPr>
        <w:t>与其他有机组分，</w:t>
      </w:r>
      <w:r>
        <w:rPr>
          <w:rFonts w:hint="eastAsia"/>
          <w:kern w:val="0"/>
          <w:szCs w:val="20"/>
          <w:lang w:val="en-US" w:eastAsia="zh-CN"/>
        </w:rPr>
        <w:t>利用氧化剂</w:t>
      </w:r>
      <w:r>
        <w:rPr>
          <w:rFonts w:hint="eastAsia"/>
          <w:kern w:val="0"/>
          <w:szCs w:val="20"/>
        </w:rPr>
        <w:t>将</w:t>
      </w:r>
      <w:r>
        <w:rPr>
          <w:rFonts w:hint="eastAsia"/>
          <w:kern w:val="0"/>
          <w:szCs w:val="20"/>
          <w:lang w:val="en-US" w:eastAsia="zh-CN"/>
        </w:rPr>
        <w:t>甘油</w:t>
      </w:r>
      <w:r>
        <w:rPr>
          <w:rFonts w:hint="eastAsia"/>
          <w:kern w:val="0"/>
          <w:szCs w:val="20"/>
        </w:rPr>
        <w:t>转化成二氧化碳（CO</w:t>
      </w:r>
      <w:r>
        <w:rPr>
          <w:rFonts w:hint="eastAsia"/>
          <w:kern w:val="0"/>
          <w:szCs w:val="20"/>
          <w:vertAlign w:val="subscript"/>
        </w:rPr>
        <w:t>2</w:t>
      </w:r>
      <w:r>
        <w:rPr>
          <w:rFonts w:hint="eastAsia"/>
          <w:kern w:val="0"/>
          <w:szCs w:val="20"/>
        </w:rPr>
        <w:t>），</w:t>
      </w:r>
      <w:r>
        <w:rPr>
          <w:rFonts w:hint="eastAsia"/>
          <w:kern w:val="0"/>
          <w:szCs w:val="20"/>
          <w:lang w:val="en-US" w:eastAsia="zh-CN"/>
        </w:rPr>
        <w:t>然后</w:t>
      </w:r>
      <w:r>
        <w:rPr>
          <w:rFonts w:hint="eastAsia"/>
          <w:kern w:val="0"/>
          <w:szCs w:val="20"/>
        </w:rPr>
        <w:t>用稳定同位素比值质谱仪（IRMS）</w:t>
      </w:r>
      <w:r>
        <w:rPr>
          <w:vertAlign w:val="superscript"/>
        </w:rPr>
        <w:t>1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C</w:t>
      </w:r>
      <w:r>
        <w:t>/</w:t>
      </w:r>
      <w:r>
        <w:rPr>
          <w:vertAlign w:val="superscript"/>
        </w:rPr>
        <w:t>1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C</w:t>
      </w:r>
      <w:r>
        <w:rPr>
          <w:rFonts w:hint="eastAsia"/>
          <w:lang w:val="en-US" w:eastAsia="zh-CN"/>
        </w:rPr>
        <w:t>值，以</w:t>
      </w:r>
      <w:r>
        <w:rPr>
          <w:rFonts w:ascii="Times New Roman"/>
        </w:rPr>
        <w:t>δ</w:t>
      </w:r>
      <w:r>
        <w:rPr>
          <w:rFonts w:ascii="Times New Roman"/>
          <w:vertAlign w:val="superscript"/>
        </w:rPr>
        <w:t>13</w:t>
      </w:r>
      <w:r>
        <w:rPr>
          <w:rFonts w:ascii="Times New Roman"/>
        </w:rPr>
        <w:t>C</w:t>
      </w:r>
      <w:r>
        <w:rPr>
          <w:rFonts w:ascii="Times New Roman"/>
          <w:vertAlign w:val="subscript"/>
        </w:rPr>
        <w:t>A</w:t>
      </w:r>
      <w:r>
        <w:rPr>
          <w:rFonts w:hint="eastAsia"/>
          <w:lang w:val="en-US" w:eastAsia="zh-CN"/>
        </w:rPr>
        <w:t>表示</w:t>
      </w:r>
      <w:r>
        <w:rPr>
          <w:rFonts w:hint="eastAsia"/>
        </w:rPr>
        <w:t>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jc w:val="center"/>
        <w:rPr>
          <w:kern w:val="0"/>
          <w:szCs w:val="20"/>
        </w:rPr>
      </w:pPr>
      <w:r>
        <w:rPr>
          <w:kern w:val="0"/>
          <w:szCs w:val="20"/>
        </w:rPr>
        <w:t>CH</w:t>
      </w:r>
      <w:r>
        <w:rPr>
          <w:rFonts w:hint="eastAsia"/>
          <w:kern w:val="0"/>
          <w:szCs w:val="20"/>
          <w:vertAlign w:val="subscript"/>
        </w:rPr>
        <w:t>3</w:t>
      </w:r>
      <w:r>
        <w:rPr>
          <w:kern w:val="0"/>
          <w:szCs w:val="20"/>
        </w:rPr>
        <w:t>CH</w:t>
      </w:r>
      <w:r>
        <w:rPr>
          <w:kern w:val="0"/>
          <w:szCs w:val="20"/>
          <w:vertAlign w:val="subscript"/>
        </w:rPr>
        <w:t>2</w:t>
      </w:r>
      <w:r>
        <w:rPr>
          <w:kern w:val="0"/>
          <w:szCs w:val="20"/>
        </w:rPr>
        <w:t>O</w:t>
      </w:r>
      <w:r>
        <w:rPr>
          <w:rFonts w:hint="eastAsia"/>
          <w:kern w:val="0"/>
          <w:szCs w:val="20"/>
        </w:rPr>
        <w:t>H + O</w:t>
      </w:r>
      <w:r>
        <w:rPr>
          <w:rFonts w:hint="eastAsia"/>
          <w:kern w:val="0"/>
          <w:szCs w:val="20"/>
          <w:vertAlign w:val="subscript"/>
        </w:rPr>
        <w:t>2</w:t>
      </w:r>
      <w:r>
        <w:rPr>
          <w:kern w:val="0"/>
          <w:szCs w:val="20"/>
        </w:rPr>
        <w:t xml:space="preserve">  →</w:t>
      </w:r>
      <w:r>
        <w:rPr>
          <w:color w:val="FF0000"/>
          <w:kern w:val="0"/>
          <w:sz w:val="24"/>
        </w:rPr>
        <w:t xml:space="preserve"> </w:t>
      </w:r>
      <w:r>
        <w:rPr>
          <w:kern w:val="0"/>
          <w:szCs w:val="20"/>
        </w:rPr>
        <w:t>CO</w:t>
      </w:r>
      <w:r>
        <w:rPr>
          <w:kern w:val="0"/>
          <w:szCs w:val="20"/>
          <w:vertAlign w:val="subscript"/>
        </w:rPr>
        <w:t>2</w:t>
      </w:r>
      <w:r>
        <w:rPr>
          <w:kern w:val="0"/>
          <w:szCs w:val="20"/>
        </w:rPr>
        <w:t xml:space="preserve"> + H</w:t>
      </w:r>
      <w:r>
        <w:rPr>
          <w:kern w:val="0"/>
          <w:szCs w:val="20"/>
          <w:vertAlign w:val="subscript"/>
        </w:rPr>
        <w:t>2</w:t>
      </w:r>
      <w:r>
        <w:rPr>
          <w:rFonts w:hint="eastAsia"/>
          <w:kern w:val="0"/>
          <w:szCs w:val="20"/>
        </w:rPr>
        <w:t>O</w:t>
      </w:r>
    </w:p>
    <w:p>
      <w:pPr>
        <w:widowControl/>
        <w:numPr>
          <w:ilvl w:val="0"/>
          <w:numId w:val="2"/>
        </w:numPr>
        <w:spacing w:before="312" w:beforeLines="100" w:after="312" w:afterLines="100"/>
        <w:outlineLvl w:val="1"/>
        <w:rPr>
          <w:rFonts w:eastAsia="黑体"/>
          <w:kern w:val="0"/>
          <w:szCs w:val="20"/>
        </w:rPr>
      </w:pPr>
      <w:r>
        <w:rPr>
          <w:rFonts w:eastAsia="黑体"/>
          <w:kern w:val="0"/>
          <w:szCs w:val="20"/>
        </w:rPr>
        <w:t>试剂和材料</w:t>
      </w:r>
    </w:p>
    <w:p>
      <w:pPr>
        <w:pStyle w:val="22"/>
        <w:rPr>
          <w:rFonts w:ascii="Times New Roman"/>
        </w:rPr>
      </w:pPr>
      <w:r>
        <w:rPr>
          <w:rFonts w:ascii="Times New Roman"/>
        </w:rPr>
        <w:t>除非另有说明，所用试剂均为分析纯。</w:t>
      </w:r>
    </w:p>
    <w:p>
      <w:pPr>
        <w:pStyle w:val="38"/>
        <w:spacing w:before="156" w:after="156"/>
        <w:rPr>
          <w:rFonts w:ascii="Times New Roman"/>
        </w:rPr>
      </w:pPr>
      <w:r>
        <w:rPr>
          <w:rFonts w:ascii="Times New Roman"/>
        </w:rPr>
        <w:t>参考物质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jc w:val="left"/>
        <w:rPr>
          <w:kern w:val="0"/>
          <w:szCs w:val="20"/>
        </w:rPr>
      </w:pPr>
      <w:r>
        <w:rPr>
          <w:rFonts w:hint="eastAsia"/>
          <w:kern w:val="0"/>
          <w:szCs w:val="20"/>
        </w:rPr>
        <w:t xml:space="preserve">    </w:t>
      </w:r>
      <w:r>
        <w:rPr>
          <w:kern w:val="0"/>
          <w:szCs w:val="20"/>
        </w:rPr>
        <w:t>可选择国际原子能机构（IAEA）或</w:t>
      </w:r>
      <w:r>
        <w:rPr>
          <w:rFonts w:hint="eastAsia"/>
          <w:kern w:val="0"/>
          <w:szCs w:val="20"/>
        </w:rPr>
        <w:t>全国标准物质管理委员会</w:t>
      </w:r>
      <w:r>
        <w:rPr>
          <w:kern w:val="0"/>
          <w:szCs w:val="20"/>
        </w:rPr>
        <w:t>认定/认可，或选择同类获得国际/国家认可的参考物质，根据实际工作需要选择其中一种或几种</w:t>
      </w:r>
      <w:r>
        <w:rPr>
          <w:rFonts w:hint="eastAsia"/>
        </w:rPr>
        <w:t>，参见附录A</w:t>
      </w:r>
      <w:r>
        <w:rPr>
          <w:rFonts w:hint="eastAsia"/>
          <w:kern w:val="0"/>
          <w:szCs w:val="20"/>
        </w:rPr>
        <w:t>。</w:t>
      </w:r>
    </w:p>
    <w:p>
      <w:pPr>
        <w:pStyle w:val="38"/>
        <w:spacing w:before="156" w:after="156"/>
        <w:rPr>
          <w:rFonts w:ascii="Times New Roman"/>
        </w:rPr>
      </w:pPr>
      <w:r>
        <w:rPr>
          <w:rFonts w:ascii="Times New Roman"/>
        </w:rPr>
        <w:t>氦气（He）</w:t>
      </w:r>
      <w:r>
        <w:rPr>
          <w:rFonts w:hint="eastAsia" w:ascii="Times New Roman"/>
        </w:rPr>
        <w:t>：</w:t>
      </w:r>
      <w:r>
        <w:rPr>
          <w:rFonts w:ascii="Times New Roman"/>
        </w:rPr>
        <w:t>纯度</w:t>
      </w:r>
      <w:r>
        <w:rPr>
          <w:rFonts w:hint="eastAsia" w:ascii="Times New Roman"/>
        </w:rPr>
        <w:t>≥</w:t>
      </w:r>
      <w:r>
        <w:rPr>
          <w:rFonts w:ascii="Times New Roman"/>
        </w:rPr>
        <w:t>99.999%。</w:t>
      </w:r>
    </w:p>
    <w:p>
      <w:pPr>
        <w:pStyle w:val="38"/>
        <w:spacing w:before="156" w:after="156"/>
        <w:rPr>
          <w:rFonts w:ascii="Times New Roman"/>
        </w:rPr>
      </w:pPr>
      <w:r>
        <w:rPr>
          <w:rFonts w:hint="eastAsia" w:ascii="Times New Roman"/>
        </w:rPr>
        <w:t>二</w:t>
      </w:r>
      <w:r>
        <w:rPr>
          <w:rFonts w:ascii="Times New Roman"/>
        </w:rPr>
        <w:t>氧化碳气体（CO</w:t>
      </w:r>
      <w:r>
        <w:rPr>
          <w:rFonts w:hint="eastAsia" w:ascii="Times New Roman"/>
        </w:rPr>
        <w:t>2</w:t>
      </w:r>
      <w:r>
        <w:rPr>
          <w:rFonts w:ascii="Times New Roman"/>
        </w:rPr>
        <w:t>）</w:t>
      </w:r>
      <w:r>
        <w:rPr>
          <w:rFonts w:hint="eastAsia" w:ascii="Times New Roman"/>
        </w:rPr>
        <w:t>：</w:t>
      </w:r>
      <w:r>
        <w:rPr>
          <w:rFonts w:ascii="Times New Roman"/>
        </w:rPr>
        <w:t>纯度</w:t>
      </w:r>
      <w:r>
        <w:rPr>
          <w:rFonts w:hint="eastAsia" w:ascii="Times New Roman"/>
        </w:rPr>
        <w:t>≥</w:t>
      </w:r>
      <w:r>
        <w:rPr>
          <w:rFonts w:ascii="Times New Roman"/>
        </w:rPr>
        <w:t>99.9</w:t>
      </w:r>
      <w:r>
        <w:rPr>
          <w:rFonts w:hint="eastAsia" w:ascii="Times New Roman"/>
        </w:rPr>
        <w:t>9</w:t>
      </w:r>
      <w:r>
        <w:rPr>
          <w:rFonts w:ascii="Times New Roman"/>
        </w:rPr>
        <w:t>%。</w:t>
      </w:r>
    </w:p>
    <w:p>
      <w:pPr>
        <w:pStyle w:val="38"/>
        <w:spacing w:before="156" w:after="156"/>
        <w:rPr>
          <w:rFonts w:ascii="Times New Roman"/>
        </w:rPr>
      </w:pPr>
      <w:r>
        <w:rPr>
          <w:rFonts w:hint="eastAsia" w:ascii="Times New Roman"/>
          <w:lang w:val="en-US" w:eastAsia="zh-CN"/>
        </w:rPr>
        <w:t>超纯水。</w:t>
      </w:r>
    </w:p>
    <w:p>
      <w:pPr>
        <w:pStyle w:val="38"/>
        <w:spacing w:before="156" w:after="156"/>
        <w:rPr>
          <w:rFonts w:ascii="Times New Roman"/>
        </w:rPr>
      </w:pPr>
      <w:r>
        <w:rPr>
          <w:rFonts w:hint="eastAsia" w:ascii="Times New Roman"/>
          <w:lang w:val="en-US" w:eastAsia="zh-CN"/>
        </w:rPr>
        <w:t>硫代硫酸钠溶液（0.25mol/L）</w:t>
      </w:r>
      <w:r>
        <w:rPr>
          <w:rFonts w:hint="eastAsia" w:ascii="Times New Roman"/>
        </w:rPr>
        <w:t>：</w:t>
      </w:r>
      <w:r>
        <w:rPr>
          <w:rFonts w:hint="eastAsia" w:ascii="Times New Roman"/>
          <w:lang w:val="en-US" w:eastAsia="zh-CN"/>
        </w:rPr>
        <w:t>称取39.5g硫代硫酸钠（</w:t>
      </w:r>
      <w:r>
        <w:rPr>
          <w:rFonts w:ascii="Times New Roman"/>
        </w:rPr>
        <w:t>纯度</w:t>
      </w:r>
      <w:r>
        <w:rPr>
          <w:rFonts w:hint="eastAsia" w:ascii="Times New Roman"/>
        </w:rPr>
        <w:t>≥</w:t>
      </w:r>
      <w:r>
        <w:rPr>
          <w:rFonts w:ascii="Times New Roman"/>
        </w:rPr>
        <w:t>99%</w:t>
      </w:r>
      <w:r>
        <w:rPr>
          <w:rFonts w:hint="eastAsia" w:ascii="Times New Roman"/>
          <w:lang w:val="en-US" w:eastAsia="zh-CN"/>
        </w:rPr>
        <w:t>），用超纯水溶解并定容至500mL</w:t>
      </w:r>
      <w:r>
        <w:rPr>
          <w:rFonts w:ascii="Times New Roman"/>
        </w:rPr>
        <w:t>。</w:t>
      </w:r>
      <w:r>
        <w:rPr>
          <w:rFonts w:hint="eastAsia" w:ascii="Times New Roman"/>
          <w:lang w:val="en-US" w:eastAsia="zh-CN"/>
        </w:rPr>
        <w:t xml:space="preserve">  </w:t>
      </w:r>
    </w:p>
    <w:p>
      <w:pPr>
        <w:pStyle w:val="38"/>
        <w:spacing w:before="156" w:after="156"/>
        <w:rPr>
          <w:rFonts w:ascii="Times New Roman"/>
        </w:rPr>
      </w:pPr>
      <w:r>
        <w:rPr>
          <w:rFonts w:hint="eastAsia" w:ascii="Times New Roman"/>
          <w:lang w:val="en-US" w:eastAsia="zh-CN"/>
        </w:rPr>
        <w:t>磷酸溶液（0.5mol/L）</w:t>
      </w:r>
      <w:r>
        <w:rPr>
          <w:rFonts w:hint="eastAsia" w:ascii="Times New Roman"/>
        </w:rPr>
        <w:t>：</w:t>
      </w:r>
      <w:r>
        <w:rPr>
          <w:rFonts w:hint="eastAsia" w:ascii="Times New Roman"/>
          <w:lang w:val="en-US" w:eastAsia="zh-CN"/>
        </w:rPr>
        <w:t>称取49.0g磷酸（</w:t>
      </w:r>
      <w:r>
        <w:rPr>
          <w:rFonts w:ascii="Times New Roman"/>
        </w:rPr>
        <w:t>纯度</w:t>
      </w:r>
      <w:r>
        <w:rPr>
          <w:rFonts w:hint="eastAsia" w:ascii="Times New Roman"/>
        </w:rPr>
        <w:t>≥</w:t>
      </w:r>
      <w:r>
        <w:rPr>
          <w:rFonts w:ascii="Times New Roman"/>
        </w:rPr>
        <w:t>99%</w:t>
      </w:r>
      <w:r>
        <w:rPr>
          <w:rFonts w:hint="eastAsia" w:ascii="Times New Roman"/>
          <w:lang w:val="en-US" w:eastAsia="zh-CN"/>
        </w:rPr>
        <w:t>），用超纯水溶解并定容至500mL</w:t>
      </w:r>
      <w:r>
        <w:rPr>
          <w:rFonts w:ascii="Times New Roman"/>
        </w:rPr>
        <w:t>。</w:t>
      </w:r>
    </w:p>
    <w:p>
      <w:pPr>
        <w:pStyle w:val="38"/>
        <w:spacing w:before="156" w:after="156"/>
        <w:rPr>
          <w:rFonts w:ascii="Times New Roman"/>
        </w:rPr>
      </w:pPr>
      <w:r>
        <w:rPr>
          <w:rFonts w:hint="eastAsia" w:ascii="Times New Roman"/>
          <w:lang w:val="en-US" w:eastAsia="zh-CN"/>
        </w:rPr>
        <w:t>硫酸溶液（0.005mol/L）：量取272μL浓硫酸，用超纯水溶解后定容至1000mL，用溶剂过滤器过滤</w:t>
      </w:r>
      <w:r>
        <w:rPr>
          <w:rFonts w:ascii="Times New Roman"/>
        </w:rPr>
        <w:t>。</w:t>
      </w:r>
    </w:p>
    <w:p>
      <w:pPr>
        <w:pStyle w:val="38"/>
        <w:spacing w:before="156" w:after="156"/>
        <w:rPr>
          <w:rFonts w:hint="eastAsia" w:ascii="Times New Roman"/>
          <w:lang w:val="en-US" w:eastAsia="zh-CN"/>
        </w:rPr>
      </w:pPr>
      <w:r>
        <w:rPr>
          <w:rFonts w:hint="eastAsia" w:ascii="Times New Roman"/>
          <w:lang w:val="en-US" w:eastAsia="zh-CN"/>
        </w:rPr>
        <w:t>甘油-1（</w:t>
      </w:r>
      <w:r>
        <w:rPr>
          <w:rFonts w:ascii="Times New Roman"/>
        </w:rPr>
        <w:t>纯度</w:t>
      </w:r>
      <w:r>
        <w:rPr>
          <w:rFonts w:hint="eastAsia" w:ascii="Times New Roman"/>
        </w:rPr>
        <w:t>≥</w:t>
      </w:r>
      <w:r>
        <w:rPr>
          <w:rFonts w:ascii="Times New Roman"/>
        </w:rPr>
        <w:t>99%</w:t>
      </w:r>
      <w:r>
        <w:rPr>
          <w:rFonts w:hint="eastAsia" w:ascii="Times New Roman"/>
          <w:lang w:val="en-US" w:eastAsia="zh-CN"/>
        </w:rPr>
        <w:t>）。</w:t>
      </w:r>
    </w:p>
    <w:p>
      <w:pPr>
        <w:pStyle w:val="38"/>
        <w:spacing w:before="156" w:after="156"/>
        <w:rPr>
          <w:rFonts w:hint="eastAsia" w:ascii="Times New Roman"/>
          <w:lang w:val="en-US" w:eastAsia="zh-CN"/>
        </w:rPr>
      </w:pPr>
      <w:r>
        <w:rPr>
          <w:rFonts w:hint="eastAsia" w:ascii="Times New Roman"/>
          <w:lang w:val="en-US" w:eastAsia="zh-CN"/>
        </w:rPr>
        <w:t>甘油-2（</w:t>
      </w:r>
      <w:r>
        <w:rPr>
          <w:rFonts w:ascii="Times New Roman"/>
        </w:rPr>
        <w:t>纯度</w:t>
      </w:r>
      <w:r>
        <w:rPr>
          <w:rFonts w:hint="eastAsia" w:ascii="Times New Roman"/>
        </w:rPr>
        <w:t>≥</w:t>
      </w:r>
      <w:r>
        <w:rPr>
          <w:rFonts w:ascii="Times New Roman"/>
        </w:rPr>
        <w:t>99%</w:t>
      </w:r>
      <w:r>
        <w:rPr>
          <w:rFonts w:hint="eastAsia" w:ascii="Times New Roman"/>
          <w:lang w:val="en-US" w:eastAsia="zh-CN"/>
        </w:rPr>
        <w:t>）。</w:t>
      </w:r>
    </w:p>
    <w:p>
      <w:pPr>
        <w:pStyle w:val="38"/>
        <w:spacing w:before="156" w:after="156"/>
        <w:rPr>
          <w:rFonts w:hint="eastAsia" w:ascii="Times New Roman"/>
          <w:lang w:val="en-US" w:eastAsia="zh-CN"/>
        </w:rPr>
      </w:pPr>
      <w:r>
        <w:rPr>
          <w:rFonts w:hint="eastAsia" w:ascii="Times New Roman"/>
          <w:lang w:val="en-US" w:eastAsia="zh-CN"/>
        </w:rPr>
        <w:t>甘油-3（</w:t>
      </w:r>
      <w:r>
        <w:rPr>
          <w:rFonts w:ascii="Times New Roman"/>
        </w:rPr>
        <w:t>纯度</w:t>
      </w:r>
      <w:r>
        <w:rPr>
          <w:rFonts w:hint="eastAsia" w:ascii="Times New Roman"/>
        </w:rPr>
        <w:t>≥</w:t>
      </w:r>
      <w:r>
        <w:rPr>
          <w:rFonts w:ascii="Times New Roman"/>
        </w:rPr>
        <w:t>99%</w:t>
      </w:r>
      <w:r>
        <w:rPr>
          <w:rFonts w:hint="eastAsia" w:ascii="Times New Roman"/>
          <w:lang w:val="en-US" w:eastAsia="zh-CN"/>
        </w:rPr>
        <w:t>）。</w:t>
      </w:r>
    </w:p>
    <w:p>
      <w:pPr>
        <w:pStyle w:val="22"/>
        <w:rPr>
          <w:rFonts w:hint="default" w:ascii="Times New Roman" w:hAnsi="Times New Roman" w:eastAsia="黑体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eastAsia="黑体" w:cs="Times New Roman"/>
          <w:sz w:val="18"/>
          <w:szCs w:val="18"/>
          <w:lang w:val="en-US" w:eastAsia="zh-CN"/>
        </w:rPr>
        <w:t>注：甘油-1，甘油-2与甘油-3具有不同的</w:t>
      </w:r>
      <w:r>
        <w:rPr>
          <w:rFonts w:hint="default" w:ascii="Times New Roman" w:hAnsi="Times New Roman" w:eastAsia="黑体" w:cs="Times New Roman"/>
          <w:sz w:val="18"/>
          <w:szCs w:val="18"/>
        </w:rPr>
        <w:t>δ</w:t>
      </w:r>
      <w:r>
        <w:rPr>
          <w:rFonts w:hint="default" w:ascii="Times New Roman" w:hAnsi="Times New Roman" w:eastAsia="黑体" w:cs="Times New Roman"/>
          <w:sz w:val="18"/>
          <w:szCs w:val="18"/>
          <w:vertAlign w:val="superscript"/>
        </w:rPr>
        <w:t>13</w:t>
      </w:r>
      <w:r>
        <w:rPr>
          <w:rFonts w:hint="default" w:ascii="Times New Roman" w:hAnsi="Times New Roman" w:eastAsia="黑体" w:cs="Times New Roman"/>
          <w:sz w:val="18"/>
          <w:szCs w:val="18"/>
        </w:rPr>
        <w:t>C</w:t>
      </w:r>
      <w:r>
        <w:rPr>
          <w:rFonts w:hint="default" w:ascii="Times New Roman" w:hAnsi="Times New Roman" w:eastAsia="黑体" w:cs="Times New Roman"/>
          <w:sz w:val="18"/>
          <w:szCs w:val="18"/>
          <w:vertAlign w:val="subscript"/>
        </w:rPr>
        <w:t>PDB</w:t>
      </w:r>
      <w:r>
        <w:rPr>
          <w:rFonts w:hint="default" w:ascii="Times New Roman" w:hAnsi="Times New Roman" w:eastAsia="黑体" w:cs="Times New Roman"/>
          <w:sz w:val="18"/>
          <w:szCs w:val="18"/>
          <w:lang w:val="en-US" w:eastAsia="zh-CN"/>
        </w:rPr>
        <w:t>值。</w:t>
      </w:r>
    </w:p>
    <w:p>
      <w:pPr>
        <w:widowControl/>
        <w:numPr>
          <w:ilvl w:val="0"/>
          <w:numId w:val="2"/>
        </w:numPr>
        <w:spacing w:before="312" w:beforeLines="100" w:after="312" w:afterLines="100"/>
        <w:outlineLvl w:val="1"/>
        <w:rPr>
          <w:rFonts w:eastAsia="黑体"/>
          <w:kern w:val="0"/>
          <w:szCs w:val="20"/>
        </w:rPr>
      </w:pPr>
      <w:r>
        <w:rPr>
          <w:rFonts w:eastAsia="黑体"/>
          <w:kern w:val="0"/>
          <w:szCs w:val="20"/>
        </w:rPr>
        <w:t>仪器</w:t>
      </w:r>
    </w:p>
    <w:p>
      <w:pPr>
        <w:pStyle w:val="38"/>
        <w:spacing w:before="156" w:after="156"/>
        <w:rPr>
          <w:rFonts w:hint="eastAsia" w:ascii="Times New Roman"/>
          <w:lang w:val="en-US" w:eastAsia="zh-CN"/>
        </w:rPr>
      </w:pPr>
      <w:r>
        <w:rPr>
          <w:rFonts w:hint="eastAsia" w:ascii="Times New Roman"/>
          <w:lang w:val="en-US" w:eastAsia="zh-CN"/>
        </w:rPr>
        <w:t>超纯水装置（MillQ或全磨口玻璃蒸馏器）。</w:t>
      </w:r>
    </w:p>
    <w:p>
      <w:pPr>
        <w:pStyle w:val="38"/>
        <w:spacing w:before="156" w:after="156"/>
        <w:rPr>
          <w:rFonts w:hint="eastAsia" w:ascii="Times New Roman"/>
          <w:lang w:val="en-US" w:eastAsia="zh-CN"/>
        </w:rPr>
      </w:pPr>
      <w:r>
        <w:rPr>
          <w:rFonts w:hint="eastAsia" w:ascii="Times New Roman"/>
          <w:lang w:val="en-US" w:eastAsia="zh-CN"/>
        </w:rPr>
        <w:t>液相色谱-稳定同位素比值质谱仪（Liquid Chromatograph- Isotope Ratio Mass Spectrometry，LC-IRMS），测定二氧化碳中δ</w:t>
      </w:r>
      <w:r>
        <w:rPr>
          <w:rFonts w:hint="eastAsia" w:ascii="Times New Roman"/>
          <w:vertAlign w:val="superscript"/>
          <w:lang w:val="en-US" w:eastAsia="zh-CN"/>
        </w:rPr>
        <w:t>13</w:t>
      </w:r>
      <w:r>
        <w:rPr>
          <w:rFonts w:hint="eastAsia" w:ascii="Times New Roman"/>
          <w:lang w:val="en-US" w:eastAsia="zh-CN"/>
        </w:rPr>
        <w:t>C（‰）的精度优于0.1 ‰。</w:t>
      </w:r>
    </w:p>
    <w:p>
      <w:pPr>
        <w:pStyle w:val="38"/>
        <w:spacing w:before="156" w:after="156"/>
        <w:rPr>
          <w:rFonts w:hint="eastAsia" w:ascii="Times New Roman"/>
          <w:lang w:val="en-US" w:eastAsia="zh-CN"/>
        </w:rPr>
      </w:pPr>
      <w:r>
        <w:rPr>
          <w:rFonts w:hint="eastAsia" w:ascii="Times New Roman"/>
          <w:lang w:val="en-US" w:eastAsia="zh-CN"/>
        </w:rPr>
        <w:t>溶剂过滤器（带0.22μm水系滤膜）。</w:t>
      </w:r>
    </w:p>
    <w:p>
      <w:pPr>
        <w:pStyle w:val="38"/>
        <w:spacing w:before="156" w:after="156"/>
        <w:rPr>
          <w:rFonts w:hint="eastAsia" w:ascii="Times New Roman"/>
          <w:lang w:val="en-US" w:eastAsia="zh-CN"/>
        </w:rPr>
      </w:pPr>
      <w:r>
        <w:rPr>
          <w:rFonts w:hint="eastAsia" w:ascii="Times New Roman"/>
          <w:lang w:val="en-US" w:eastAsia="zh-CN"/>
        </w:rPr>
        <w:t>天平（精确至0.01g）。</w:t>
      </w:r>
    </w:p>
    <w:p>
      <w:pPr>
        <w:pStyle w:val="38"/>
        <w:spacing w:before="156" w:after="156"/>
        <w:rPr>
          <w:rFonts w:hint="eastAsia" w:ascii="Times New Roman"/>
          <w:lang w:val="en-US" w:eastAsia="zh-CN"/>
        </w:rPr>
      </w:pPr>
      <w:r>
        <w:rPr>
          <w:rFonts w:hint="eastAsia" w:ascii="Times New Roman"/>
          <w:lang w:val="en-US" w:eastAsia="zh-CN"/>
        </w:rPr>
        <w:t>烘箱。</w:t>
      </w:r>
    </w:p>
    <w:p>
      <w:pPr>
        <w:pStyle w:val="38"/>
        <w:spacing w:before="156" w:after="156"/>
        <w:rPr>
          <w:rFonts w:ascii="Times New Roman"/>
        </w:rPr>
      </w:pPr>
      <w:r>
        <w:rPr>
          <w:rFonts w:hint="eastAsia" w:ascii="Times New Roman"/>
          <w:lang w:val="en-US" w:eastAsia="zh-CN"/>
        </w:rPr>
        <w:t>0.22</w:t>
      </w:r>
      <w:r>
        <w:rPr>
          <w:rFonts w:hint="default" w:ascii="Times New Roman"/>
          <w:lang w:val="en-US" w:eastAsia="zh-CN"/>
        </w:rPr>
        <w:t>μ</w:t>
      </w:r>
      <w:r>
        <w:rPr>
          <w:rFonts w:hint="eastAsia" w:ascii="Times New Roman"/>
          <w:lang w:val="en-US" w:eastAsia="zh-CN"/>
        </w:rPr>
        <w:t>m水系滤膜</w:t>
      </w:r>
      <w:r>
        <w:rPr>
          <w:rFonts w:hint="eastAsia" w:ascii="Times New Roman"/>
        </w:rPr>
        <w:t>。</w:t>
      </w:r>
    </w:p>
    <w:p>
      <w:pPr>
        <w:pStyle w:val="38"/>
        <w:spacing w:before="156" w:after="156"/>
        <w:rPr>
          <w:rFonts w:hint="eastAsia" w:ascii="Times New Roman"/>
          <w:lang w:val="en-US" w:eastAsia="zh-CN"/>
        </w:rPr>
      </w:pPr>
      <w:r>
        <w:rPr>
          <w:rFonts w:hint="eastAsia" w:ascii="Times New Roman"/>
          <w:lang w:val="en-US" w:eastAsia="zh-CN"/>
        </w:rPr>
        <w:t>移液枪（量程100~1000μL）。</w:t>
      </w:r>
    </w:p>
    <w:p>
      <w:pPr>
        <w:widowControl/>
        <w:numPr>
          <w:ilvl w:val="0"/>
          <w:numId w:val="2"/>
        </w:numPr>
        <w:spacing w:before="312" w:beforeLines="100" w:after="312" w:afterLines="100"/>
        <w:outlineLvl w:val="1"/>
        <w:rPr>
          <w:rFonts w:eastAsia="黑体"/>
          <w:kern w:val="0"/>
          <w:szCs w:val="20"/>
        </w:rPr>
      </w:pPr>
      <w:r>
        <w:rPr>
          <w:rFonts w:eastAsia="黑体"/>
          <w:kern w:val="0"/>
          <w:szCs w:val="20"/>
        </w:rPr>
        <w:t>分析</w:t>
      </w:r>
      <w:r>
        <w:rPr>
          <w:rFonts w:hint="eastAsia" w:eastAsia="黑体"/>
          <w:kern w:val="0"/>
          <w:szCs w:val="20"/>
          <w:lang w:val="en-US" w:eastAsia="zh-CN"/>
        </w:rPr>
        <w:t>步骤</w:t>
      </w:r>
    </w:p>
    <w:p>
      <w:pPr>
        <w:pStyle w:val="38"/>
        <w:spacing w:before="156" w:after="156"/>
        <w:rPr>
          <w:rFonts w:ascii="Times New Roman"/>
        </w:rPr>
      </w:pPr>
      <w:r>
        <w:rPr>
          <w:rFonts w:hint="eastAsia" w:ascii="Times New Roman"/>
        </w:rPr>
        <w:t>样品处理</w:t>
      </w:r>
    </w:p>
    <w:p>
      <w:pPr>
        <w:pStyle w:val="38"/>
        <w:numPr>
          <w:ilvl w:val="1"/>
          <w:numId w:val="0"/>
        </w:numPr>
        <w:spacing w:before="156" w:after="156"/>
        <w:rPr>
          <w:rFonts w:ascii="Times New Roman" w:eastAsia="宋体"/>
        </w:rPr>
      </w:pPr>
      <w:r>
        <w:rPr>
          <w:rFonts w:ascii="Times New Roman" w:eastAsia="宋体"/>
        </w:rPr>
        <w:t xml:space="preserve"> </w:t>
      </w:r>
      <w:r>
        <w:rPr>
          <w:rFonts w:ascii="Times New Roman" w:eastAsia="宋体"/>
          <w:kern w:val="2"/>
          <w:szCs w:val="24"/>
        </w:rPr>
        <w:t xml:space="preserve">  </w:t>
      </w:r>
      <w:r>
        <w:rPr>
          <w:rFonts w:hint="eastAsia" w:ascii="Times New Roman" w:eastAsia="宋体"/>
          <w:kern w:val="2"/>
          <w:szCs w:val="24"/>
        </w:rPr>
        <w:t xml:space="preserve"> </w:t>
      </w:r>
      <w:r>
        <w:rPr>
          <w:rFonts w:hint="eastAsia" w:ascii="Times New Roman" w:eastAsia="宋体"/>
          <w:kern w:val="2"/>
          <w:szCs w:val="24"/>
          <w:lang w:val="en-US" w:eastAsia="zh-CN"/>
        </w:rPr>
        <w:t>量取1000μL葡萄酒样品，将其放置于80℃烘箱（6.5）中烘烤2h，用超纯水（5.4）稀释至甘油含量0.3g/L~0.4g/L的样品溶液，用滤膜过滤（6.6）样品溶液后保存待用</w:t>
      </w:r>
      <w:r>
        <w:rPr>
          <w:rFonts w:ascii="Times New Roman" w:eastAsia="宋体"/>
        </w:rPr>
        <w:t>。</w:t>
      </w:r>
      <w:r>
        <w:rPr>
          <w:rFonts w:ascii="Times New Roman" w:eastAsia="宋体"/>
          <w:kern w:val="2"/>
          <w:szCs w:val="24"/>
        </w:rPr>
        <w:t xml:space="preserve"> </w:t>
      </w:r>
    </w:p>
    <w:p>
      <w:pPr>
        <w:pStyle w:val="38"/>
        <w:spacing w:before="156" w:after="156"/>
        <w:rPr>
          <w:rFonts w:ascii="Times New Roman"/>
        </w:rPr>
      </w:pPr>
      <w:r>
        <w:rPr>
          <w:rFonts w:hint="eastAsia" w:ascii="Times New Roman"/>
          <w:lang w:val="en-US" w:eastAsia="zh-CN"/>
        </w:rPr>
        <w:t>工作标准溶液配制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kern w:val="0"/>
          <w:szCs w:val="20"/>
        </w:rPr>
      </w:pPr>
      <w:r>
        <w:rPr>
          <w:rFonts w:hint="eastAsia"/>
          <w:kern w:val="0"/>
          <w:szCs w:val="20"/>
          <w:lang w:val="en-US" w:eastAsia="zh-CN"/>
        </w:rPr>
        <w:t>称取甘油（5.8、5.9和5.10）各0.2g，分别用</w:t>
      </w:r>
      <w:r>
        <w:rPr>
          <w:rFonts w:hint="eastAsia" w:ascii="Times New Roman" w:eastAsia="宋体"/>
          <w:kern w:val="2"/>
          <w:szCs w:val="24"/>
          <w:lang w:val="en-US" w:eastAsia="zh-CN"/>
        </w:rPr>
        <w:t>超纯水（5.4）稀释至甘油含量0.3g/L~0.</w:t>
      </w:r>
      <w:r>
        <w:rPr>
          <w:rFonts w:hint="eastAsia"/>
          <w:kern w:val="2"/>
          <w:szCs w:val="24"/>
          <w:lang w:val="en-US" w:eastAsia="zh-CN"/>
        </w:rPr>
        <w:t>4</w:t>
      </w:r>
      <w:r>
        <w:rPr>
          <w:rFonts w:hint="eastAsia" w:ascii="Times New Roman" w:eastAsia="宋体"/>
          <w:kern w:val="2"/>
          <w:szCs w:val="24"/>
          <w:lang w:val="en-US" w:eastAsia="zh-CN"/>
        </w:rPr>
        <w:t>g/L，用滤膜过滤（6.6）样品溶液后保存待用</w:t>
      </w:r>
      <w:r>
        <w:rPr>
          <w:rFonts w:hint="eastAsia"/>
          <w:kern w:val="2"/>
          <w:szCs w:val="24"/>
          <w:lang w:val="en-US" w:eastAsia="zh-CN"/>
        </w:rPr>
        <w:t>。</w:t>
      </w:r>
    </w:p>
    <w:p>
      <w:pPr>
        <w:pStyle w:val="38"/>
        <w:spacing w:before="156" w:after="156"/>
        <w:rPr>
          <w:rFonts w:ascii="Times New Roman"/>
        </w:rPr>
      </w:pPr>
      <w:r>
        <w:rPr>
          <w:rFonts w:hint="eastAsia" w:ascii="Times New Roman"/>
          <w:lang w:val="en-US" w:eastAsia="zh-CN"/>
        </w:rPr>
        <w:t>色谱条件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rFonts w:hint="eastAsia" w:eastAsia="宋体"/>
          <w:kern w:val="0"/>
          <w:szCs w:val="20"/>
          <w:lang w:val="en-US" w:eastAsia="zh-CN"/>
        </w:rPr>
      </w:pPr>
      <w:r>
        <w:rPr>
          <w:rFonts w:hint="eastAsia"/>
          <w:kern w:val="0"/>
          <w:szCs w:val="20"/>
          <w:lang w:val="en-US" w:eastAsia="zh-CN"/>
        </w:rPr>
        <w:t>7.3.1 色谱柱：</w:t>
      </w:r>
      <w:r>
        <w:rPr>
          <w:rFonts w:hint="eastAsia" w:ascii="Times New Roman"/>
          <w:lang w:val="en-US" w:eastAsia="zh-CN"/>
        </w:rPr>
        <w:t>H+弱阳离子交换色谱柱（300 m×7.7mm×8μm）或性能相当者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rFonts w:hint="eastAsia"/>
          <w:lang w:val="en-US" w:eastAsia="zh-CN"/>
        </w:rPr>
      </w:pPr>
      <w:r>
        <w:rPr>
          <w:rFonts w:hint="eastAsia"/>
          <w:kern w:val="0"/>
          <w:szCs w:val="20"/>
          <w:lang w:val="en-US" w:eastAsia="zh-CN"/>
        </w:rPr>
        <w:t>7.3.2 流动相：</w:t>
      </w:r>
      <w:r>
        <w:rPr>
          <w:rFonts w:hint="eastAsia" w:ascii="Times New Roman"/>
          <w:lang w:val="en-US" w:eastAsia="zh-CN"/>
        </w:rPr>
        <w:t>水+硫酸溶液=9</w:t>
      </w:r>
      <w:r>
        <w:rPr>
          <w:rFonts w:hint="eastAsia"/>
          <w:lang w:val="en-US" w:eastAsia="zh-CN"/>
        </w:rPr>
        <w:t>0</w:t>
      </w:r>
      <w:r>
        <w:rPr>
          <w:rFonts w:hint="eastAsia" w:ascii="Times New Roman"/>
          <w:lang w:val="en-US" w:eastAsia="zh-CN"/>
        </w:rPr>
        <w:t>+1</w:t>
      </w:r>
      <w:r>
        <w:rPr>
          <w:rFonts w:hint="eastAsia"/>
          <w:lang w:val="en-US" w:eastAsia="zh-CN"/>
        </w:rPr>
        <w:t>0。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7.3.3 流速：300</w:t>
      </w:r>
      <w:r>
        <w:rPr>
          <w:rFonts w:hint="eastAsia" w:ascii="Times New Roman"/>
          <w:lang w:val="en-US" w:eastAsia="zh-CN"/>
        </w:rPr>
        <w:t>μ</w:t>
      </w:r>
      <w:r>
        <w:rPr>
          <w:rFonts w:hint="eastAsia"/>
          <w:lang w:val="en-US" w:eastAsia="zh-CN"/>
        </w:rPr>
        <w:t>L/min。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7.3.4 色谱柱温度：60℃。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7.3.5 进样量：10</w:t>
      </w:r>
      <w:r>
        <w:rPr>
          <w:rFonts w:hint="eastAsia" w:ascii="Times New Roman"/>
          <w:lang w:val="en-US" w:eastAsia="zh-CN"/>
        </w:rPr>
        <w:t>μ</w:t>
      </w:r>
      <w:r>
        <w:rPr>
          <w:rFonts w:hint="eastAsia"/>
          <w:lang w:val="en-US" w:eastAsia="zh-CN"/>
        </w:rPr>
        <w:t>L。</w:t>
      </w:r>
    </w:p>
    <w:p>
      <w:pPr>
        <w:pStyle w:val="38"/>
        <w:spacing w:before="156" w:after="156"/>
        <w:rPr>
          <w:rFonts w:hint="eastAsia" w:ascii="Times New Roman"/>
          <w:lang w:val="en-US" w:eastAsia="zh-CN"/>
        </w:rPr>
      </w:pPr>
      <w:r>
        <w:rPr>
          <w:rFonts w:hint="eastAsia" w:ascii="Times New Roman"/>
          <w:lang w:val="en-US" w:eastAsia="zh-CN"/>
        </w:rPr>
        <w:t>反应炉条件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7.4.1 氧化剂：硫代硫酸钠溶液，流速60</w:t>
      </w:r>
      <w:r>
        <w:rPr>
          <w:rFonts w:hint="eastAsia" w:ascii="Times New Roman"/>
          <w:lang w:val="en-US" w:eastAsia="zh-CN"/>
        </w:rPr>
        <w:t>μ</w:t>
      </w:r>
      <w:r>
        <w:rPr>
          <w:rFonts w:hint="eastAsia"/>
          <w:lang w:val="en-US" w:eastAsia="zh-CN"/>
        </w:rPr>
        <w:t>L/min。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7.4.2 酸剂：磷酸溶液，流速50</w:t>
      </w:r>
      <w:r>
        <w:rPr>
          <w:rFonts w:hint="eastAsia" w:ascii="Times New Roman"/>
          <w:lang w:val="en-US" w:eastAsia="zh-CN"/>
        </w:rPr>
        <w:t>μ</w:t>
      </w:r>
      <w:r>
        <w:rPr>
          <w:rFonts w:hint="eastAsia"/>
          <w:lang w:val="en-US" w:eastAsia="zh-CN"/>
        </w:rPr>
        <w:t>L/min。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7.4.3 反应炉温度：99.7℃。</w:t>
      </w:r>
    </w:p>
    <w:p>
      <w:pPr>
        <w:pStyle w:val="38"/>
        <w:spacing w:before="156" w:after="156"/>
        <w:rPr>
          <w:rFonts w:hint="eastAsia" w:ascii="Times New Roman"/>
          <w:lang w:val="en-US" w:eastAsia="zh-CN"/>
        </w:rPr>
      </w:pPr>
      <w:r>
        <w:rPr>
          <w:rFonts w:hint="eastAsia" w:ascii="Times New Roman"/>
          <w:lang w:val="en-US" w:eastAsia="zh-CN"/>
        </w:rPr>
        <w:t>测定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7.5.1 仪器准备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确认稳定同位素比值质谱仪的工作环境、气密性、离子室的真空度均符合要求，然后检验CO2中</w:t>
      </w:r>
      <w:r>
        <w:rPr>
          <w:rFonts w:ascii="Times New Roman"/>
        </w:rPr>
        <w:t>δ</w:t>
      </w:r>
      <w:r>
        <w:rPr>
          <w:rFonts w:ascii="Times New Roman"/>
          <w:vertAlign w:val="superscript"/>
        </w:rPr>
        <w:t>13</w:t>
      </w:r>
      <w:r>
        <w:rPr>
          <w:rFonts w:ascii="Times New Roman"/>
        </w:rPr>
        <w:t>C</w:t>
      </w:r>
      <w:r>
        <w:rPr>
          <w:rFonts w:hint="eastAsia"/>
          <w:lang w:val="en-US" w:eastAsia="zh-CN"/>
        </w:rPr>
        <w:t>测定的峰形和稳定性，必要时调整离子源参数值。确认数据采集系统设置正确，必要时进行调整。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/>
        <w:rPr>
          <w:rFonts w:hint="eastAsia"/>
          <w:lang w:val="en-US" w:eastAsia="zh-CN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7.5.2 分析序列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新的分析序列开始时宜检查仪器的稳定性（三次测量的分析双差≤0.3‰为合格）；用工作标准溶液建议测定准确性（测定值与给定值的相关系数R</w:t>
      </w:r>
      <w:r>
        <w:rPr>
          <w:rFonts w:hint="eastAsia"/>
          <w:vertAlign w:val="superscript"/>
          <w:lang w:val="en-US" w:eastAsia="zh-CN"/>
        </w:rPr>
        <w:t>2</w:t>
      </w:r>
      <w:r>
        <w:rPr>
          <w:rFonts w:hint="eastAsia"/>
          <w:lang w:val="en-US" w:eastAsia="zh-CN"/>
        </w:rPr>
        <w:t>≥0.99为合格）。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采用两点标准漂移校正模式安排分析序列，每个分析序列应同时测定参考物质或工作标准物质，其比例一般为10%～20%。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rFonts w:hint="eastAsia"/>
          <w:lang w:val="en-US" w:eastAsia="zh-CN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7.5.3 样品碳同位素测定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根据已设定分析序列进行测定。</w:t>
      </w:r>
    </w:p>
    <w:p>
      <w:pPr>
        <w:widowControl/>
        <w:numPr>
          <w:ilvl w:val="0"/>
          <w:numId w:val="2"/>
        </w:numPr>
        <w:spacing w:before="312" w:beforeLines="100" w:after="312" w:afterLines="100"/>
        <w:outlineLvl w:val="1"/>
        <w:rPr>
          <w:rFonts w:eastAsia="黑体"/>
          <w:kern w:val="0"/>
          <w:szCs w:val="20"/>
        </w:rPr>
      </w:pPr>
      <w:r>
        <w:rPr>
          <w:rFonts w:eastAsia="黑体"/>
          <w:kern w:val="0"/>
          <w:szCs w:val="20"/>
        </w:rPr>
        <w:t>计算</w:t>
      </w:r>
    </w:p>
    <w:p>
      <w:pPr>
        <w:pStyle w:val="38"/>
        <w:spacing w:before="156" w:after="156"/>
        <w:rPr>
          <w:rFonts w:ascii="Times New Roman"/>
        </w:rPr>
      </w:pPr>
      <w:r>
        <w:rPr>
          <w:rFonts w:hint="eastAsia" w:ascii="Times New Roman"/>
        </w:rPr>
        <w:t>分析结果的表述</w:t>
      </w:r>
    </w:p>
    <w:p>
      <w:pPr>
        <w:pStyle w:val="22"/>
        <w:rPr>
          <w:rFonts w:ascii="Times New Roman"/>
          <w:szCs w:val="21"/>
        </w:rPr>
      </w:pPr>
      <w:r>
        <w:rPr>
          <w:rFonts w:hint="eastAsia" w:ascii="Times New Roman"/>
          <w:szCs w:val="21"/>
        </w:rPr>
        <w:t>样品中</w:t>
      </w:r>
      <w:r>
        <w:rPr>
          <w:rFonts w:hint="eastAsia" w:ascii="Times New Roman"/>
          <w:szCs w:val="21"/>
          <w:lang w:val="en-US" w:eastAsia="zh-CN"/>
        </w:rPr>
        <w:t>甘油</w:t>
      </w:r>
      <w:r>
        <w:rPr>
          <w:rFonts w:hint="eastAsia" w:ascii="Times New Roman"/>
          <w:szCs w:val="21"/>
        </w:rPr>
        <w:t>的碳同位素组成以其对标准物质中相应同位素比值的千分差表述，即：</w:t>
      </w:r>
    </w:p>
    <w:p>
      <w:pPr>
        <w:ind w:firstLine="420"/>
        <w:jc w:val="right"/>
        <w:rPr>
          <w:kern w:val="0"/>
          <w:szCs w:val="21"/>
        </w:rPr>
      </w:pPr>
      <w:r>
        <w:rPr>
          <w:position w:val="-30"/>
        </w:rPr>
        <w:object>
          <v:shape id="_x0000_i1025" o:spt="75" type="#_x0000_t75" style="height:35.95pt;width:197.3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6">
            <o:LockedField>false</o:LockedField>
          </o:OLEObject>
        </w:object>
      </w:r>
      <w:r>
        <w:rPr>
          <w:kern w:val="0"/>
          <w:szCs w:val="21"/>
        </w:rPr>
        <w:t>…………………………………（1）</w:t>
      </w:r>
    </w:p>
    <w:p>
      <w:pPr>
        <w:pStyle w:val="55"/>
        <w:tabs>
          <w:tab w:val="left" w:pos="839"/>
        </w:tabs>
        <w:ind w:left="-2" w:leftChars="-1" w:firstLine="420" w:firstLineChars="200"/>
        <w:rPr>
          <w:rFonts w:hint="eastAsia" w:ascii="Times New Roman" w:hAnsi="宋体"/>
        </w:rPr>
      </w:pPr>
      <w:r>
        <w:rPr>
          <w:rFonts w:ascii="Times New Roman" w:hAnsi="宋体"/>
        </w:rPr>
        <w:t>式中：</w:t>
      </w:r>
    </w:p>
    <w:tbl>
      <w:tblPr>
        <w:tblStyle w:val="37"/>
        <w:tblW w:w="935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1148"/>
        <w:gridCol w:w="434"/>
        <w:gridCol w:w="735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</w:trPr>
        <w:tc>
          <w:tcPr>
            <w:tcW w:w="419" w:type="dxa"/>
            <w:vAlign w:val="center"/>
          </w:tcPr>
          <w:p/>
        </w:tc>
        <w:tc>
          <w:tcPr>
            <w:tcW w:w="1148" w:type="dxa"/>
            <w:vAlign w:val="center"/>
          </w:tcPr>
          <w:p>
            <w:pPr>
              <w:spacing w:line="300" w:lineRule="exact"/>
              <w:ind w:right="210"/>
              <w:jc w:val="right"/>
              <w:rPr>
                <w:rFonts w:hint="eastAsia"/>
              </w:rPr>
            </w:pPr>
            <w:r>
              <w:rPr>
                <w:i/>
                <w:iCs/>
                <w:kern w:val="0"/>
                <w:szCs w:val="21"/>
              </w:rPr>
              <w:t>δ</w:t>
            </w:r>
            <w:r>
              <w:rPr>
                <w:kern w:val="0"/>
                <w:szCs w:val="21"/>
                <w:vertAlign w:val="superscript"/>
              </w:rPr>
              <w:t>13</w:t>
            </w:r>
            <w:r>
              <w:rPr>
                <w:kern w:val="0"/>
                <w:szCs w:val="21"/>
              </w:rPr>
              <w:t>C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</w:pPr>
            <w:r>
              <w:t>——</w:t>
            </w:r>
          </w:p>
        </w:tc>
        <w:tc>
          <w:tcPr>
            <w:tcW w:w="7353" w:type="dxa"/>
            <w:vAlign w:val="center"/>
          </w:tcPr>
          <w:p>
            <w:r>
              <w:rPr>
                <w:rFonts w:hint="eastAsia"/>
              </w:rPr>
              <w:t>样品</w:t>
            </w:r>
            <w:r>
              <w:rPr>
                <w:rFonts w:hint="eastAsia"/>
                <w:lang w:val="en-US" w:eastAsia="zh-CN"/>
              </w:rPr>
              <w:t>中甘油转化</w:t>
            </w:r>
            <w:r>
              <w:rPr>
                <w:rFonts w:hint="eastAsia"/>
              </w:rPr>
              <w:t>的CO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气体</w:t>
            </w:r>
            <w:r>
              <w:rPr>
                <w:kern w:val="0"/>
                <w:szCs w:val="21"/>
                <w:vertAlign w:val="superscript"/>
              </w:rPr>
              <w:t>13</w:t>
            </w:r>
            <w:r>
              <w:rPr>
                <w:kern w:val="0"/>
                <w:szCs w:val="21"/>
              </w:rPr>
              <w:t>C/</w:t>
            </w:r>
            <w:r>
              <w:rPr>
                <w:kern w:val="0"/>
                <w:szCs w:val="21"/>
                <w:vertAlign w:val="superscript"/>
              </w:rPr>
              <w:t>12</w:t>
            </w:r>
            <w:r>
              <w:rPr>
                <w:kern w:val="0"/>
                <w:szCs w:val="21"/>
              </w:rPr>
              <w:t>C</w:t>
            </w:r>
            <w:r>
              <w:rPr>
                <w:rFonts w:hint="eastAsia"/>
                <w:kern w:val="0"/>
                <w:szCs w:val="21"/>
              </w:rPr>
              <w:t>测定</w:t>
            </w:r>
            <w:r>
              <w:rPr>
                <w:rFonts w:hint="eastAsia"/>
                <w:szCs w:val="21"/>
              </w:rPr>
              <w:t>结果</w:t>
            </w:r>
            <w:r>
              <w:rPr>
                <w:rFonts w:hint="eastAsia"/>
              </w:rPr>
              <w:t>相对于</w:t>
            </w:r>
            <w:r>
              <w:rPr>
                <w:rFonts w:hint="eastAsia"/>
                <w:kern w:val="0"/>
                <w:szCs w:val="21"/>
              </w:rPr>
              <w:t>二氧化碳标准气</w:t>
            </w:r>
            <w:r>
              <w:rPr>
                <w:kern w:val="0"/>
                <w:szCs w:val="21"/>
                <w:vertAlign w:val="superscript"/>
              </w:rPr>
              <w:t>13</w:t>
            </w:r>
            <w:r>
              <w:rPr>
                <w:kern w:val="0"/>
                <w:szCs w:val="21"/>
              </w:rPr>
              <w:t>C/</w:t>
            </w:r>
            <w:r>
              <w:rPr>
                <w:kern w:val="0"/>
                <w:szCs w:val="21"/>
                <w:vertAlign w:val="superscript"/>
              </w:rPr>
              <w:t>12</w:t>
            </w:r>
            <w:r>
              <w:rPr>
                <w:kern w:val="0"/>
                <w:szCs w:val="21"/>
              </w:rPr>
              <w:t>C</w:t>
            </w:r>
            <w:r>
              <w:rPr>
                <w:rFonts w:hint="eastAsia"/>
                <w:kern w:val="0"/>
                <w:szCs w:val="21"/>
              </w:rPr>
              <w:t>测定</w:t>
            </w:r>
            <w:r>
              <w:rPr>
                <w:rFonts w:hint="eastAsia"/>
                <w:szCs w:val="21"/>
              </w:rPr>
              <w:t>结果的</w:t>
            </w:r>
            <w:r>
              <w:rPr>
                <w:rFonts w:hint="eastAsia"/>
                <w:kern w:val="0"/>
                <w:szCs w:val="21"/>
              </w:rPr>
              <w:t>千分差；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419" w:type="dxa"/>
            <w:vAlign w:val="center"/>
          </w:tcPr>
          <w:p/>
        </w:tc>
        <w:tc>
          <w:tcPr>
            <w:tcW w:w="1148" w:type="dxa"/>
            <w:vAlign w:val="center"/>
          </w:tcPr>
          <w:p>
            <w:pPr>
              <w:spacing w:line="320" w:lineRule="exact"/>
              <w:ind w:right="210"/>
              <w:jc w:val="right"/>
              <w:rPr>
                <w:rFonts w:hint="eastAsia"/>
                <w:i/>
              </w:rPr>
            </w:pPr>
            <w:r>
              <w:rPr>
                <w:rFonts w:hint="eastAsia"/>
                <w:kern w:val="0"/>
                <w:szCs w:val="21"/>
              </w:rPr>
              <w:t>(</w:t>
            </w:r>
            <w:r>
              <w:rPr>
                <w:kern w:val="0"/>
                <w:szCs w:val="21"/>
                <w:vertAlign w:val="superscript"/>
              </w:rPr>
              <w:t>13</w:t>
            </w:r>
            <w:r>
              <w:rPr>
                <w:kern w:val="0"/>
                <w:szCs w:val="21"/>
              </w:rPr>
              <w:t>C/</w:t>
            </w:r>
            <w:r>
              <w:rPr>
                <w:kern w:val="0"/>
                <w:szCs w:val="21"/>
                <w:vertAlign w:val="superscript"/>
              </w:rPr>
              <w:t>12</w:t>
            </w:r>
            <w:r>
              <w:rPr>
                <w:kern w:val="0"/>
                <w:szCs w:val="21"/>
              </w:rPr>
              <w:t>C</w:t>
            </w:r>
            <w:r>
              <w:rPr>
                <w:rFonts w:hint="eastAsia"/>
                <w:kern w:val="0"/>
                <w:szCs w:val="21"/>
              </w:rPr>
              <w:t>)</w:t>
            </w:r>
            <w:r>
              <w:rPr>
                <w:kern w:val="0"/>
                <w:szCs w:val="21"/>
                <w:vertAlign w:val="subscript"/>
              </w:rPr>
              <w:t>SA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</w:pPr>
            <w:r>
              <w:t>——</w:t>
            </w:r>
          </w:p>
        </w:tc>
        <w:tc>
          <w:tcPr>
            <w:tcW w:w="7353" w:type="dxa"/>
            <w:vAlign w:val="center"/>
          </w:tcPr>
          <w:p>
            <w:r>
              <w:rPr>
                <w:rFonts w:hint="eastAsia"/>
              </w:rPr>
              <w:t>样品</w:t>
            </w:r>
            <w:r>
              <w:rPr>
                <w:rFonts w:hint="eastAsia"/>
                <w:lang w:val="en-US" w:eastAsia="zh-CN"/>
              </w:rPr>
              <w:t>中甘油转化</w:t>
            </w:r>
            <w:r>
              <w:rPr>
                <w:rFonts w:hint="eastAsia"/>
              </w:rPr>
              <w:t>的CO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kern w:val="0"/>
                <w:szCs w:val="21"/>
              </w:rPr>
              <w:t>的</w:t>
            </w:r>
            <w:r>
              <w:rPr>
                <w:kern w:val="0"/>
                <w:szCs w:val="21"/>
                <w:vertAlign w:val="superscript"/>
              </w:rPr>
              <w:t>13</w:t>
            </w:r>
            <w:r>
              <w:rPr>
                <w:kern w:val="0"/>
                <w:szCs w:val="21"/>
              </w:rPr>
              <w:t>C/</w:t>
            </w:r>
            <w:r>
              <w:rPr>
                <w:kern w:val="0"/>
                <w:szCs w:val="21"/>
                <w:vertAlign w:val="superscript"/>
              </w:rPr>
              <w:t>12</w:t>
            </w:r>
            <w:r>
              <w:rPr>
                <w:kern w:val="0"/>
                <w:szCs w:val="21"/>
              </w:rPr>
              <w:t>C</w:t>
            </w:r>
            <w:r>
              <w:rPr>
                <w:rFonts w:hint="eastAsia"/>
                <w:kern w:val="0"/>
                <w:szCs w:val="21"/>
              </w:rPr>
              <w:t>测定</w:t>
            </w:r>
            <w:r>
              <w:rPr>
                <w:rFonts w:hint="eastAsia"/>
                <w:szCs w:val="21"/>
              </w:rPr>
              <w:t>结果</w:t>
            </w:r>
            <w:r>
              <w:rPr>
                <w:kern w:val="0"/>
                <w:szCs w:val="21"/>
              </w:rPr>
              <w:t>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419" w:type="dxa"/>
            <w:vAlign w:val="center"/>
          </w:tcPr>
          <w:p/>
        </w:tc>
        <w:tc>
          <w:tcPr>
            <w:tcW w:w="1148" w:type="dxa"/>
            <w:vAlign w:val="center"/>
          </w:tcPr>
          <w:p>
            <w:pPr>
              <w:spacing w:line="320" w:lineRule="exact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kern w:val="0"/>
                <w:szCs w:val="21"/>
              </w:rPr>
              <w:t>(</w:t>
            </w:r>
            <w:r>
              <w:rPr>
                <w:kern w:val="0"/>
                <w:szCs w:val="21"/>
                <w:vertAlign w:val="superscript"/>
              </w:rPr>
              <w:t>13</w:t>
            </w:r>
            <w:r>
              <w:rPr>
                <w:kern w:val="0"/>
                <w:szCs w:val="21"/>
              </w:rPr>
              <w:t>C/</w:t>
            </w:r>
            <w:r>
              <w:rPr>
                <w:kern w:val="0"/>
                <w:szCs w:val="21"/>
                <w:vertAlign w:val="superscript"/>
              </w:rPr>
              <w:t>12</w:t>
            </w:r>
            <w:r>
              <w:rPr>
                <w:kern w:val="0"/>
                <w:szCs w:val="21"/>
              </w:rPr>
              <w:t>C</w:t>
            </w:r>
            <w:r>
              <w:rPr>
                <w:rFonts w:hint="eastAsia"/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  <w:vertAlign w:val="subscript"/>
              </w:rPr>
              <w:t>ST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</w:pPr>
            <w:r>
              <w:t>——</w:t>
            </w:r>
          </w:p>
        </w:tc>
        <w:tc>
          <w:tcPr>
            <w:tcW w:w="7353" w:type="dxa"/>
            <w:vAlign w:val="center"/>
          </w:tcPr>
          <w:p>
            <w:pPr>
              <w:pStyle w:val="22"/>
              <w:ind w:firstLine="0" w:firstLineChars="0"/>
              <w:rPr>
                <w:rFonts w:hint="eastAsia"/>
              </w:rPr>
            </w:pPr>
            <w:r>
              <w:rPr>
                <w:rFonts w:hint="eastAsia" w:ascii="Times New Roman"/>
                <w:szCs w:val="21"/>
              </w:rPr>
              <w:t>二氧化碳标准气</w:t>
            </w:r>
            <w:r>
              <w:rPr>
                <w:rFonts w:ascii="Times New Roman"/>
                <w:szCs w:val="21"/>
              </w:rPr>
              <w:t>的</w:t>
            </w:r>
            <w:r>
              <w:rPr>
                <w:rFonts w:ascii="Times New Roman"/>
                <w:szCs w:val="21"/>
                <w:vertAlign w:val="superscript"/>
              </w:rPr>
              <w:t>13</w:t>
            </w:r>
            <w:r>
              <w:rPr>
                <w:rFonts w:ascii="Times New Roman"/>
                <w:szCs w:val="21"/>
              </w:rPr>
              <w:t>C/</w:t>
            </w:r>
            <w:r>
              <w:rPr>
                <w:rFonts w:ascii="Times New Roman"/>
                <w:szCs w:val="21"/>
                <w:vertAlign w:val="superscript"/>
              </w:rPr>
              <w:t>12</w:t>
            </w:r>
            <w:r>
              <w:rPr>
                <w:rFonts w:ascii="Times New Roman"/>
                <w:szCs w:val="21"/>
              </w:rPr>
              <w:t>C</w:t>
            </w:r>
            <w:r>
              <w:rPr>
                <w:rFonts w:hint="eastAsia" w:ascii="Times New Roman"/>
                <w:szCs w:val="21"/>
              </w:rPr>
              <w:t>测定结果</w:t>
            </w:r>
            <w:r>
              <w:rPr>
                <w:rFonts w:ascii="Times New Roman"/>
                <w:szCs w:val="21"/>
              </w:rPr>
              <w:t>。</w:t>
            </w:r>
          </w:p>
        </w:tc>
      </w:tr>
    </w:tbl>
    <w:p>
      <w:pPr>
        <w:pStyle w:val="55"/>
        <w:tabs>
          <w:tab w:val="left" w:pos="839"/>
        </w:tabs>
        <w:ind w:left="-2" w:leftChars="-1" w:firstLine="420" w:firstLineChars="200"/>
        <w:rPr>
          <w:rFonts w:ascii="Times New Roman" w:hAnsi="宋体"/>
        </w:rPr>
      </w:pPr>
      <w:r>
        <w:rPr>
          <w:rFonts w:ascii="Times New Roman" w:hAnsi="宋体"/>
        </w:rPr>
        <w:t>结果保留</w:t>
      </w:r>
      <w:r>
        <w:rPr>
          <w:rFonts w:hint="eastAsia" w:ascii="Times New Roman" w:hAnsi="宋体"/>
        </w:rPr>
        <w:t>两位小数</w:t>
      </w:r>
      <w:r>
        <w:rPr>
          <w:rFonts w:ascii="Times New Roman" w:hAnsi="宋体"/>
        </w:rPr>
        <w:t>。</w:t>
      </w:r>
    </w:p>
    <w:p>
      <w:pPr>
        <w:pStyle w:val="38"/>
        <w:spacing w:before="156" w:after="156"/>
        <w:rPr>
          <w:rFonts w:ascii="Times New Roman"/>
        </w:rPr>
      </w:pPr>
      <w:r>
        <w:rPr>
          <w:rFonts w:hint="eastAsia" w:ascii="Times New Roman"/>
        </w:rPr>
        <w:t>结果计算</w:t>
      </w:r>
    </w:p>
    <w:p>
      <w:pPr>
        <w:ind w:firstLine="420" w:firstLineChars="200"/>
        <w:rPr>
          <w:rFonts w:hint="eastAsia"/>
          <w:szCs w:val="21"/>
          <w:lang w:eastAsia="zh-CN"/>
        </w:rPr>
      </w:pPr>
      <w:r>
        <w:rPr>
          <w:rFonts w:hint="eastAsia"/>
          <w:szCs w:val="21"/>
        </w:rPr>
        <w:t>所测的碳同位素组成结果应校准到国际标准PDB值</w:t>
      </w:r>
      <w:r>
        <w:rPr>
          <w:rFonts w:hint="eastAsia"/>
          <w:szCs w:val="21"/>
          <w:lang w:eastAsia="zh-CN"/>
        </w:rPr>
        <w:t>。</w:t>
      </w:r>
    </w:p>
    <w:p>
      <w:pPr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根</w:t>
      </w:r>
      <w:r>
        <w:rPr>
          <w:rFonts w:hint="eastAsia"/>
          <w:szCs w:val="21"/>
          <w:highlight w:val="yellow"/>
          <w:lang w:val="en-US" w:eastAsia="zh-CN"/>
        </w:rPr>
        <w:t>据7.5.2中甘油工作标准溶液的测定值和给定值，建立回归方程，将葡萄酒样品的测定值代入公式中得出葡萄酒甘油</w:t>
      </w:r>
      <w:r>
        <w:rPr>
          <w:i/>
          <w:szCs w:val="21"/>
          <w:highlight w:val="yellow"/>
        </w:rPr>
        <w:t>δ</w:t>
      </w:r>
      <w:r>
        <w:rPr>
          <w:szCs w:val="21"/>
          <w:highlight w:val="yellow"/>
          <w:vertAlign w:val="superscript"/>
        </w:rPr>
        <w:t>13</w:t>
      </w:r>
      <w:r>
        <w:rPr>
          <w:szCs w:val="21"/>
          <w:highlight w:val="yellow"/>
        </w:rPr>
        <w:t>C</w:t>
      </w:r>
      <w:r>
        <w:rPr>
          <w:szCs w:val="21"/>
          <w:highlight w:val="yellow"/>
          <w:vertAlign w:val="subscript"/>
        </w:rPr>
        <w:t>PDB</w:t>
      </w:r>
      <w:r>
        <w:rPr>
          <w:rFonts w:hint="eastAsia"/>
          <w:szCs w:val="21"/>
          <w:highlight w:val="yellow"/>
          <w:vertAlign w:val="baseline"/>
          <w:lang w:val="en-US" w:eastAsia="zh-CN"/>
        </w:rPr>
        <w:t>值</w:t>
      </w:r>
      <w:r>
        <w:rPr>
          <w:rFonts w:hint="eastAsia"/>
          <w:szCs w:val="21"/>
          <w:vertAlign w:val="baseline"/>
          <w:lang w:val="en-US" w:eastAsia="zh-CN"/>
        </w:rPr>
        <w:t>。</w:t>
      </w:r>
    </w:p>
    <w:p>
      <w:pPr>
        <w:ind w:firstLine="420" w:firstLineChars="200"/>
        <w:rPr>
          <w:rFonts w:hint="eastAsia"/>
          <w:szCs w:val="21"/>
          <w:highlight w:val="yellow"/>
        </w:rPr>
      </w:pPr>
      <w:r>
        <w:rPr>
          <w:rFonts w:hint="eastAsia"/>
          <w:szCs w:val="21"/>
          <w:highlight w:val="yellow"/>
          <w:lang w:val="en-US" w:eastAsia="zh-CN"/>
        </w:rPr>
        <w:t>或</w:t>
      </w:r>
      <w:r>
        <w:rPr>
          <w:rFonts w:hint="eastAsia"/>
          <w:szCs w:val="21"/>
          <w:highlight w:val="yellow"/>
        </w:rPr>
        <w:t>按公式（2</w:t>
      </w:r>
      <w:r>
        <w:rPr>
          <w:szCs w:val="21"/>
          <w:highlight w:val="yellow"/>
        </w:rPr>
        <w:t>）</w:t>
      </w:r>
      <w:r>
        <w:rPr>
          <w:rFonts w:hint="eastAsia"/>
          <w:szCs w:val="21"/>
          <w:highlight w:val="yellow"/>
        </w:rPr>
        <w:t>计算：</w:t>
      </w:r>
    </w:p>
    <w:p>
      <w:pPr>
        <w:ind w:firstLine="420" w:firstLineChars="200"/>
        <w:rPr>
          <w:rFonts w:hint="eastAsia"/>
          <w:szCs w:val="21"/>
        </w:rPr>
      </w:pPr>
    </w:p>
    <w:p>
      <w:pPr>
        <w:ind w:firstLine="420" w:firstLineChars="200"/>
        <w:rPr>
          <w:rFonts w:hint="eastAsia"/>
          <w:szCs w:val="21"/>
        </w:rPr>
      </w:pPr>
    </w:p>
    <w:p>
      <w:pPr>
        <w:ind w:firstLine="420" w:firstLineChars="200"/>
        <w:rPr>
          <w:rFonts w:hint="eastAsia"/>
          <w:szCs w:val="21"/>
        </w:rPr>
      </w:pPr>
    </w:p>
    <w:p>
      <w:pPr>
        <w:jc w:val="right"/>
      </w:pPr>
      <w:r>
        <w:rPr>
          <w:rFonts w:ascii="Times New Roman" w:hAnsi="Times New Roman" w:eastAsia="宋体" w:cs="Times New Roman"/>
          <w:kern w:val="2"/>
          <w:position w:val="-12"/>
          <w:sz w:val="21"/>
          <w:szCs w:val="24"/>
          <w:lang w:val="en-US" w:eastAsia="zh-CN" w:bidi="ar-SA"/>
        </w:rPr>
        <w:pict>
          <v:shape id="_x0000_i1026" o:spt="75" type="#_x0000_t75" style="height:18.4pt;width:371.7pt;" fillcolor="#FFFFFF" filled="f" o:preferrelative="t" stroked="f" coordsize="21600,21600">
            <v:path/>
            <v:fill on="f" color2="#FFFFFF" focussize="0,0"/>
            <v:stroke on="f"/>
            <v:imagedata r:id="rId8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  <w:r>
        <w:t>………</w:t>
      </w:r>
      <w:r>
        <w:rPr>
          <w:rFonts w:hint="eastAsia"/>
        </w:rPr>
        <w:t>（2</w:t>
      </w:r>
      <w:r>
        <w:t>）</w:t>
      </w:r>
    </w:p>
    <w:p>
      <w:pPr>
        <w:ind w:left="359" w:leftChars="171" w:firstLine="65" w:firstLineChars="31"/>
      </w:pPr>
      <w:r>
        <w:t>式中：</w:t>
      </w:r>
    </w:p>
    <w:p>
      <w:pPr>
        <w:ind w:firstLine="420"/>
        <w:jc w:val="left"/>
        <w:rPr>
          <w:szCs w:val="21"/>
        </w:rPr>
      </w:pPr>
      <w:r>
        <w:rPr>
          <w:i/>
          <w:szCs w:val="21"/>
        </w:rPr>
        <w:t>δ</w:t>
      </w:r>
      <w:r>
        <w:rPr>
          <w:szCs w:val="21"/>
          <w:vertAlign w:val="superscript"/>
        </w:rPr>
        <w:t>13</w:t>
      </w:r>
      <w:r>
        <w:rPr>
          <w:szCs w:val="21"/>
        </w:rPr>
        <w:t>C</w:t>
      </w:r>
      <w:r>
        <w:rPr>
          <w:rFonts w:hint="eastAsia"/>
          <w:szCs w:val="21"/>
          <w:vertAlign w:val="subscript"/>
        </w:rPr>
        <w:t>SA</w:t>
      </w:r>
      <w:r>
        <w:rPr>
          <w:rFonts w:hint="eastAsia"/>
          <w:szCs w:val="21"/>
        </w:rPr>
        <w:t>-</w:t>
      </w:r>
      <w:r>
        <w:rPr>
          <w:szCs w:val="21"/>
          <w:vertAlign w:val="subscript"/>
        </w:rPr>
        <w:t>PDB</w:t>
      </w:r>
      <w:r>
        <w:rPr>
          <w:rFonts w:hint="eastAsia"/>
          <w:szCs w:val="21"/>
        </w:rPr>
        <w:t>（</w:t>
      </w:r>
      <w:r>
        <w:rPr>
          <w:szCs w:val="21"/>
        </w:rPr>
        <w:t>‰</w:t>
      </w:r>
      <w:r>
        <w:rPr>
          <w:rFonts w:hint="eastAsia"/>
          <w:szCs w:val="21"/>
        </w:rPr>
        <w:t>）</w:t>
      </w:r>
      <w:r>
        <w:rPr>
          <w:szCs w:val="21"/>
        </w:rPr>
        <w:t>——</w:t>
      </w:r>
      <w:r>
        <w:rPr>
          <w:rFonts w:hint="eastAsia"/>
          <w:szCs w:val="21"/>
        </w:rPr>
        <w:t>样品相对V-PDB的</w:t>
      </w:r>
      <w:r>
        <w:rPr>
          <w:i/>
          <w:szCs w:val="21"/>
        </w:rPr>
        <w:t>δ</w:t>
      </w:r>
      <w:r>
        <w:rPr>
          <w:szCs w:val="21"/>
          <w:vertAlign w:val="superscript"/>
        </w:rPr>
        <w:t>13</w:t>
      </w:r>
      <w:r>
        <w:rPr>
          <w:szCs w:val="21"/>
        </w:rPr>
        <w:t>C</w:t>
      </w:r>
      <w:r>
        <w:rPr>
          <w:rFonts w:hint="eastAsia"/>
          <w:szCs w:val="21"/>
        </w:rPr>
        <w:t>（</w:t>
      </w:r>
      <w:r>
        <w:rPr>
          <w:szCs w:val="21"/>
        </w:rPr>
        <w:t>‰</w:t>
      </w:r>
      <w:r>
        <w:rPr>
          <w:rFonts w:hint="eastAsia"/>
          <w:szCs w:val="21"/>
        </w:rPr>
        <w:t>）同位素值。</w:t>
      </w:r>
    </w:p>
    <w:p>
      <w:pPr>
        <w:ind w:firstLine="420" w:firstLineChars="200"/>
        <w:jc w:val="left"/>
        <w:rPr>
          <w:szCs w:val="21"/>
        </w:rPr>
      </w:pPr>
      <w:r>
        <w:rPr>
          <w:i/>
          <w:szCs w:val="21"/>
        </w:rPr>
        <w:t>δ</w:t>
      </w:r>
      <w:r>
        <w:rPr>
          <w:szCs w:val="21"/>
          <w:vertAlign w:val="superscript"/>
        </w:rPr>
        <w:t>13</w:t>
      </w:r>
      <w:r>
        <w:rPr>
          <w:szCs w:val="21"/>
        </w:rPr>
        <w:t>C</w:t>
      </w:r>
      <w:r>
        <w:rPr>
          <w:rFonts w:hint="eastAsia"/>
          <w:szCs w:val="21"/>
          <w:vertAlign w:val="subscript"/>
        </w:rPr>
        <w:t>SA</w:t>
      </w:r>
      <w:r>
        <w:rPr>
          <w:rFonts w:hint="eastAsia"/>
          <w:szCs w:val="21"/>
        </w:rPr>
        <w:t>-</w:t>
      </w:r>
      <w:r>
        <w:rPr>
          <w:rFonts w:hint="eastAsia"/>
          <w:szCs w:val="21"/>
          <w:vertAlign w:val="subscript"/>
        </w:rPr>
        <w:t>ST</w:t>
      </w:r>
      <w:r>
        <w:rPr>
          <w:rFonts w:hint="eastAsia"/>
          <w:szCs w:val="21"/>
        </w:rPr>
        <w:t>（</w:t>
      </w:r>
      <w:r>
        <w:rPr>
          <w:szCs w:val="21"/>
        </w:rPr>
        <w:t>‰</w:t>
      </w:r>
      <w:r>
        <w:rPr>
          <w:rFonts w:hint="eastAsia"/>
          <w:szCs w:val="21"/>
        </w:rPr>
        <w:t xml:space="preserve">） </w:t>
      </w:r>
      <w:r>
        <w:rPr>
          <w:szCs w:val="21"/>
        </w:rPr>
        <w:t>——</w:t>
      </w:r>
      <w:r>
        <w:rPr>
          <w:rFonts w:hint="eastAsia"/>
          <w:szCs w:val="21"/>
        </w:rPr>
        <w:t>样品相对标准物质的</w:t>
      </w:r>
      <w:r>
        <w:rPr>
          <w:i/>
          <w:szCs w:val="21"/>
        </w:rPr>
        <w:t>δ</w:t>
      </w:r>
      <w:r>
        <w:rPr>
          <w:szCs w:val="21"/>
          <w:vertAlign w:val="superscript"/>
        </w:rPr>
        <w:t>13</w:t>
      </w:r>
      <w:r>
        <w:rPr>
          <w:szCs w:val="21"/>
        </w:rPr>
        <w:t>C</w:t>
      </w:r>
      <w:r>
        <w:rPr>
          <w:rFonts w:hint="eastAsia"/>
          <w:szCs w:val="21"/>
        </w:rPr>
        <w:t>（</w:t>
      </w:r>
      <w:r>
        <w:rPr>
          <w:szCs w:val="21"/>
        </w:rPr>
        <w:t>‰</w:t>
      </w:r>
      <w:r>
        <w:rPr>
          <w:rFonts w:hint="eastAsia"/>
          <w:szCs w:val="21"/>
        </w:rPr>
        <w:t>）同位素值。</w:t>
      </w:r>
    </w:p>
    <w:p>
      <w:pPr>
        <w:ind w:firstLine="420"/>
        <w:jc w:val="left"/>
        <w:rPr>
          <w:szCs w:val="21"/>
        </w:rPr>
      </w:pPr>
      <w:r>
        <w:rPr>
          <w:i/>
          <w:szCs w:val="21"/>
        </w:rPr>
        <w:t>δ</w:t>
      </w:r>
      <w:r>
        <w:rPr>
          <w:szCs w:val="21"/>
          <w:vertAlign w:val="superscript"/>
        </w:rPr>
        <w:t>13</w:t>
      </w:r>
      <w:r>
        <w:rPr>
          <w:szCs w:val="21"/>
        </w:rPr>
        <w:t>C</w:t>
      </w:r>
      <w:r>
        <w:rPr>
          <w:rFonts w:hint="eastAsia"/>
          <w:szCs w:val="21"/>
          <w:vertAlign w:val="subscript"/>
        </w:rPr>
        <w:t>ST</w:t>
      </w:r>
      <w:r>
        <w:rPr>
          <w:rFonts w:hint="eastAsia"/>
          <w:szCs w:val="21"/>
        </w:rPr>
        <w:t>-</w:t>
      </w:r>
      <w:r>
        <w:rPr>
          <w:szCs w:val="21"/>
          <w:vertAlign w:val="subscript"/>
        </w:rPr>
        <w:t>PDB</w:t>
      </w:r>
      <w:r>
        <w:rPr>
          <w:rFonts w:hint="eastAsia"/>
          <w:szCs w:val="21"/>
        </w:rPr>
        <w:t>（</w:t>
      </w:r>
      <w:r>
        <w:rPr>
          <w:szCs w:val="21"/>
        </w:rPr>
        <w:t>‰</w:t>
      </w:r>
      <w:r>
        <w:rPr>
          <w:rFonts w:hint="eastAsia"/>
          <w:szCs w:val="21"/>
        </w:rPr>
        <w:t>）</w:t>
      </w:r>
      <w:r>
        <w:rPr>
          <w:szCs w:val="21"/>
        </w:rPr>
        <w:t>——</w:t>
      </w:r>
      <w:r>
        <w:rPr>
          <w:rFonts w:hint="eastAsia"/>
          <w:szCs w:val="21"/>
        </w:rPr>
        <w:t>标准物质相对V-PDB的</w:t>
      </w:r>
      <w:r>
        <w:rPr>
          <w:i/>
          <w:szCs w:val="21"/>
        </w:rPr>
        <w:t>δ</w:t>
      </w:r>
      <w:r>
        <w:rPr>
          <w:szCs w:val="21"/>
          <w:vertAlign w:val="superscript"/>
        </w:rPr>
        <w:t>13</w:t>
      </w:r>
      <w:r>
        <w:rPr>
          <w:szCs w:val="21"/>
        </w:rPr>
        <w:t>C</w:t>
      </w:r>
      <w:r>
        <w:rPr>
          <w:rFonts w:hint="eastAsia"/>
          <w:szCs w:val="21"/>
        </w:rPr>
        <w:t>（</w:t>
      </w:r>
      <w:r>
        <w:rPr>
          <w:szCs w:val="21"/>
        </w:rPr>
        <w:t>‰</w:t>
      </w:r>
      <w:r>
        <w:rPr>
          <w:rFonts w:hint="eastAsia"/>
          <w:szCs w:val="21"/>
        </w:rPr>
        <w:t>）同位素值。</w:t>
      </w:r>
    </w:p>
    <w:p>
      <w:pPr>
        <w:ind w:left="359" w:leftChars="171" w:firstLine="275" w:firstLineChars="131"/>
      </w:pPr>
      <w:r>
        <w:t>结果保留至小数点后两位。</w:t>
      </w:r>
    </w:p>
    <w:p>
      <w:pPr>
        <w:widowControl/>
        <w:numPr>
          <w:ilvl w:val="0"/>
          <w:numId w:val="2"/>
        </w:numPr>
        <w:spacing w:before="312" w:beforeLines="100" w:after="312" w:afterLines="100"/>
        <w:outlineLvl w:val="1"/>
        <w:rPr>
          <w:rFonts w:eastAsia="黑体"/>
          <w:kern w:val="0"/>
          <w:szCs w:val="20"/>
        </w:rPr>
      </w:pPr>
      <w:r>
        <w:rPr>
          <w:rFonts w:eastAsia="黑体"/>
          <w:kern w:val="0"/>
          <w:szCs w:val="20"/>
        </w:rPr>
        <w:t>精密度</w:t>
      </w:r>
    </w:p>
    <w:p>
      <w:pPr>
        <w:widowControl/>
        <w:spacing w:before="156" w:beforeLines="50" w:after="156" w:afterLines="50"/>
        <w:ind w:firstLine="420" w:firstLineChars="200"/>
        <w:jc w:val="left"/>
        <w:outlineLvl w:val="2"/>
        <w:rPr>
          <w:szCs w:val="21"/>
        </w:rPr>
      </w:pPr>
      <w:r>
        <w:rPr>
          <w:szCs w:val="21"/>
        </w:rPr>
        <w:t>本部分的精密度数据按照GB/T 6379</w:t>
      </w:r>
      <w:r>
        <w:rPr>
          <w:rFonts w:hint="eastAsia"/>
          <w:szCs w:val="21"/>
        </w:rPr>
        <w:t>.2</w:t>
      </w:r>
      <w:r>
        <w:rPr>
          <w:szCs w:val="21"/>
        </w:rPr>
        <w:t>的规定确定，重复性和再现性的值以95%的可信度计算。</w:t>
      </w:r>
    </w:p>
    <w:p>
      <w:pPr>
        <w:widowControl/>
        <w:numPr>
          <w:ilvl w:val="1"/>
          <w:numId w:val="2"/>
        </w:numPr>
        <w:spacing w:before="156" w:beforeLines="50" w:after="156" w:afterLines="50"/>
        <w:jc w:val="left"/>
        <w:outlineLvl w:val="2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重复性限</w:t>
      </w:r>
    </w:p>
    <w:p>
      <w:pPr>
        <w:ind w:firstLine="420" w:firstLineChars="200"/>
      </w:pPr>
      <w:r>
        <w:rPr>
          <w:szCs w:val="21"/>
        </w:rPr>
        <w:t>在重复性条件下，获得的两次独立测试结果的绝对差值不超过重复性限（r）：</w:t>
      </w:r>
      <w:r>
        <w:rPr>
          <w:kern w:val="0"/>
          <w:szCs w:val="21"/>
          <w:highlight w:val="yellow"/>
        </w:rPr>
        <w:t>r=</w:t>
      </w:r>
      <w:r>
        <w:rPr>
          <w:rFonts w:hint="eastAsia"/>
          <w:highlight w:val="yellow"/>
        </w:rPr>
        <w:t>0.</w:t>
      </w:r>
      <w:r>
        <w:rPr>
          <w:rFonts w:hint="eastAsia"/>
          <w:highlight w:val="yellow"/>
          <w:lang w:val="en-US" w:eastAsia="zh-CN"/>
        </w:rPr>
        <w:t>4</w:t>
      </w:r>
      <w:r>
        <w:rPr>
          <w:rFonts w:hint="eastAsia"/>
          <w:highlight w:val="yellow"/>
        </w:rPr>
        <w:t>0</w:t>
      </w:r>
      <w:r>
        <w:t>‰。</w:t>
      </w:r>
    </w:p>
    <w:p>
      <w:pPr>
        <w:tabs>
          <w:tab w:val="left" w:pos="5162"/>
        </w:tabs>
        <w:rPr>
          <w:kern w:val="0"/>
          <w:szCs w:val="21"/>
        </w:rPr>
      </w:pPr>
      <w:r>
        <w:rPr>
          <w:kern w:val="0"/>
          <w:szCs w:val="21"/>
        </w:rPr>
        <w:t xml:space="preserve">    如果差值超过重复性限（r），应舍弃试验结果并重新完成两次单个试验的测定。</w:t>
      </w:r>
    </w:p>
    <w:p>
      <w:pPr>
        <w:widowControl/>
        <w:numPr>
          <w:ilvl w:val="1"/>
          <w:numId w:val="2"/>
        </w:numPr>
        <w:spacing w:before="156" w:beforeLines="50" w:after="156" w:afterLines="50"/>
        <w:jc w:val="left"/>
        <w:outlineLvl w:val="2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再现性限</w:t>
      </w:r>
    </w:p>
    <w:p>
      <w:pPr>
        <w:ind w:firstLine="420" w:firstLineChars="200"/>
      </w:pPr>
      <w:r>
        <w:rPr>
          <w:kern w:val="0"/>
          <w:szCs w:val="21"/>
        </w:rPr>
        <w:t>在再现性条件下，获得的两次独立测试结果的绝对差值不超过再现性限（R）：</w:t>
      </w:r>
      <w:r>
        <w:t>R=</w:t>
      </w:r>
      <w:r>
        <w:rPr>
          <w:rFonts w:hint="eastAsia"/>
          <w:highlight w:val="yellow"/>
        </w:rPr>
        <w:t>0.</w:t>
      </w:r>
      <w:r>
        <w:rPr>
          <w:rFonts w:hint="eastAsia"/>
          <w:highlight w:val="yellow"/>
          <w:lang w:val="en-US" w:eastAsia="zh-CN"/>
        </w:rPr>
        <w:t>6</w:t>
      </w:r>
      <w:r>
        <w:rPr>
          <w:rFonts w:hint="eastAsia"/>
          <w:highlight w:val="yellow"/>
        </w:rPr>
        <w:t>0</w:t>
      </w:r>
      <w:r>
        <w:rPr>
          <w:highlight w:val="yellow"/>
        </w:rPr>
        <w:t>‰</w:t>
      </w:r>
      <w:r>
        <w:t>。</w:t>
      </w:r>
    </w:p>
    <w:p>
      <w:pPr>
        <w:spacing w:line="14" w:lineRule="exact"/>
        <w:ind w:left="811"/>
      </w:pPr>
    </w:p>
    <w:p>
      <w:pPr>
        <w:keepNext/>
        <w:pageBreakBefore/>
        <w:widowControl/>
        <w:numPr>
          <w:ilvl w:val="0"/>
          <w:numId w:val="13"/>
        </w:numPr>
        <w:spacing w:line="14" w:lineRule="exact"/>
        <w:ind w:left="0" w:firstLine="363"/>
        <w:jc w:val="center"/>
        <w:outlineLvl w:val="0"/>
        <w:rPr>
          <w:color w:val="FFFFFF"/>
        </w:rPr>
      </w:pPr>
    </w:p>
    <w:p>
      <w:pPr>
        <w:numPr>
          <w:ilvl w:val="0"/>
          <w:numId w:val="11"/>
        </w:numPr>
        <w:tabs>
          <w:tab w:val="clear" w:pos="0"/>
        </w:tabs>
        <w:spacing w:line="14" w:lineRule="exact"/>
        <w:ind w:left="811" w:hanging="448"/>
        <w:jc w:val="center"/>
        <w:outlineLvl w:val="0"/>
        <w:rPr>
          <w:color w:val="FFFFFF"/>
        </w:rPr>
      </w:pPr>
    </w:p>
    <w:p>
      <w:pPr>
        <w:keepNext/>
        <w:widowControl/>
        <w:numPr>
          <w:ilvl w:val="0"/>
          <w:numId w:val="10"/>
        </w:numPr>
        <w:shd w:val="clear" w:color="FFFFFF" w:fill="FFFFFF"/>
        <w:tabs>
          <w:tab w:val="left" w:pos="360"/>
          <w:tab w:val="left" w:pos="6405"/>
        </w:tabs>
        <w:spacing w:before="640" w:after="280"/>
        <w:jc w:val="center"/>
        <w:outlineLvl w:val="0"/>
        <w:rPr>
          <w:rFonts w:ascii="黑体" w:eastAsia="黑体"/>
          <w:kern w:val="0"/>
          <w:szCs w:val="20"/>
        </w:rPr>
      </w:pPr>
      <w:r>
        <w:rPr>
          <w:rFonts w:ascii="黑体" w:eastAsia="黑体"/>
          <w:kern w:val="0"/>
          <w:szCs w:val="20"/>
        </w:rPr>
        <w:br w:type="textWrapping"/>
      </w:r>
      <w:r>
        <w:rPr>
          <w:rFonts w:hint="eastAsia" w:ascii="黑体" w:eastAsia="黑体"/>
          <w:kern w:val="0"/>
          <w:szCs w:val="20"/>
        </w:rPr>
        <w:t>（资料性附录）</w:t>
      </w:r>
      <w:r>
        <w:rPr>
          <w:rFonts w:ascii="黑体" w:eastAsia="黑体"/>
          <w:kern w:val="0"/>
          <w:szCs w:val="20"/>
        </w:rPr>
        <w:br w:type="textWrapping"/>
      </w:r>
      <w:r>
        <w:rPr>
          <w:rFonts w:hint="eastAsia" w:ascii="黑体" w:eastAsia="黑体"/>
          <w:kern w:val="0"/>
          <w:szCs w:val="20"/>
        </w:rPr>
        <w:t>参考物质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</w:p>
    <w:tbl>
      <w:tblPr>
        <w:tblStyle w:val="37"/>
        <w:tblpPr w:leftFromText="180" w:rightFromText="180" w:vertAnchor="text" w:horzAnchor="page" w:tblpXSpec="center" w:tblpY="113"/>
        <w:tblW w:w="52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1754"/>
        <w:gridCol w:w="1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765" w:type="dxa"/>
            <w:vAlign w:val="top"/>
          </w:tcPr>
          <w:p>
            <w:pPr>
              <w:pStyle w:val="22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ascii="Times New Roman"/>
                <w:szCs w:val="18"/>
              </w:rPr>
              <w:t>参考物质编号</w:t>
            </w:r>
          </w:p>
        </w:tc>
        <w:tc>
          <w:tcPr>
            <w:tcW w:w="1754" w:type="dxa"/>
            <w:vAlign w:val="top"/>
          </w:tcPr>
          <w:p>
            <w:pPr>
              <w:pStyle w:val="22"/>
              <w:ind w:firstLine="0" w:firstLineChars="0"/>
              <w:jc w:val="center"/>
              <w:rPr>
                <w:rFonts w:ascii="Times New Roman"/>
                <w:bCs/>
                <w:szCs w:val="21"/>
              </w:rPr>
            </w:pPr>
            <w:r>
              <w:rPr>
                <w:rFonts w:ascii="Times New Roman"/>
                <w:bCs/>
                <w:i/>
                <w:szCs w:val="21"/>
              </w:rPr>
              <w:t>δ</w:t>
            </w:r>
            <w:r>
              <w:rPr>
                <w:rFonts w:ascii="Times New Roman"/>
                <w:bCs/>
                <w:szCs w:val="21"/>
                <w:vertAlign w:val="superscript"/>
              </w:rPr>
              <w:t>13</w:t>
            </w:r>
            <w:r>
              <w:rPr>
                <w:rFonts w:ascii="Times New Roman"/>
                <w:bCs/>
                <w:szCs w:val="21"/>
              </w:rPr>
              <w:t>C</w:t>
            </w:r>
            <w:r>
              <w:rPr>
                <w:rFonts w:ascii="Times New Roman"/>
                <w:bCs/>
                <w:szCs w:val="21"/>
                <w:vertAlign w:val="subscript"/>
              </w:rPr>
              <w:t>PDB</w:t>
            </w:r>
            <w:r>
              <w:rPr>
                <w:rFonts w:ascii="Times New Roman"/>
                <w:bCs/>
                <w:szCs w:val="21"/>
              </w:rPr>
              <w:t>（</w:t>
            </w:r>
            <w:r>
              <w:rPr>
                <w:rFonts w:ascii="Times New Roman"/>
                <w:szCs w:val="18"/>
              </w:rPr>
              <w:t>‰</w:t>
            </w:r>
            <w:r>
              <w:rPr>
                <w:rFonts w:ascii="Times New Roman"/>
                <w:bCs/>
                <w:szCs w:val="21"/>
              </w:rPr>
              <w:t>）</w:t>
            </w:r>
          </w:p>
        </w:tc>
        <w:tc>
          <w:tcPr>
            <w:tcW w:w="1754" w:type="dxa"/>
            <w:vAlign w:val="top"/>
          </w:tcPr>
          <w:p>
            <w:pPr>
              <w:pStyle w:val="22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ascii="Times New Roman"/>
              </w:rPr>
              <w:t>认定/认可机构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765" w:type="dxa"/>
            <w:vAlign w:val="top"/>
          </w:tcPr>
          <w:p>
            <w:pPr>
              <w:pStyle w:val="22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ascii="Times New Roman"/>
                <w:szCs w:val="18"/>
              </w:rPr>
              <w:t>IAEA-CH-6</w:t>
            </w:r>
          </w:p>
        </w:tc>
        <w:tc>
          <w:tcPr>
            <w:tcW w:w="1754" w:type="dxa"/>
            <w:vAlign w:val="top"/>
          </w:tcPr>
          <w:p>
            <w:pPr>
              <w:pStyle w:val="22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ascii="Times New Roman"/>
                <w:szCs w:val="18"/>
              </w:rPr>
              <w:t>-10.40±0.20</w:t>
            </w:r>
          </w:p>
        </w:tc>
        <w:tc>
          <w:tcPr>
            <w:tcW w:w="1754" w:type="dxa"/>
            <w:vAlign w:val="top"/>
          </w:tcPr>
          <w:p>
            <w:pPr>
              <w:pStyle w:val="22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国际原子能机构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65" w:type="dxa"/>
            <w:vAlign w:val="top"/>
          </w:tcPr>
          <w:p>
            <w:pPr>
              <w:pStyle w:val="22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ascii="Times New Roman"/>
                <w:szCs w:val="18"/>
              </w:rPr>
              <w:t>USGS40</w:t>
            </w:r>
          </w:p>
        </w:tc>
        <w:tc>
          <w:tcPr>
            <w:tcW w:w="1754" w:type="dxa"/>
            <w:vAlign w:val="top"/>
          </w:tcPr>
          <w:p>
            <w:pPr>
              <w:pStyle w:val="22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ascii="Times New Roman"/>
                <w:szCs w:val="18"/>
              </w:rPr>
              <w:t>–26.39±0.09</w:t>
            </w:r>
          </w:p>
        </w:tc>
        <w:tc>
          <w:tcPr>
            <w:tcW w:w="1754" w:type="dxa"/>
            <w:vAlign w:val="top"/>
          </w:tcPr>
          <w:p>
            <w:pPr>
              <w:pStyle w:val="22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美国国家标准与技术研究院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765" w:type="dxa"/>
            <w:vAlign w:val="top"/>
          </w:tcPr>
          <w:p>
            <w:pPr>
              <w:pStyle w:val="22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ascii="Times New Roman"/>
                <w:szCs w:val="18"/>
              </w:rPr>
              <w:t>GBW04407</w:t>
            </w:r>
          </w:p>
        </w:tc>
        <w:tc>
          <w:tcPr>
            <w:tcW w:w="1754" w:type="dxa"/>
            <w:vAlign w:val="top"/>
          </w:tcPr>
          <w:p>
            <w:pPr>
              <w:pStyle w:val="22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ascii="Times New Roman"/>
                <w:szCs w:val="18"/>
              </w:rPr>
              <w:t>-22.43±0.07</w:t>
            </w:r>
          </w:p>
        </w:tc>
        <w:tc>
          <w:tcPr>
            <w:tcW w:w="1754" w:type="dxa"/>
            <w:vMerge w:val="restart"/>
            <w:vAlign w:val="top"/>
          </w:tcPr>
          <w:p>
            <w:pPr>
              <w:pStyle w:val="22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hint="eastAsia" w:ascii="Times New Roman"/>
                <w:szCs w:val="18"/>
              </w:rPr>
              <w:t>全国标准物质管理委员会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765" w:type="dxa"/>
            <w:vAlign w:val="top"/>
          </w:tcPr>
          <w:p>
            <w:pPr>
              <w:pStyle w:val="22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ascii="Times New Roman"/>
                <w:szCs w:val="18"/>
              </w:rPr>
              <w:t>GBW04408</w:t>
            </w:r>
          </w:p>
        </w:tc>
        <w:tc>
          <w:tcPr>
            <w:tcW w:w="1754" w:type="dxa"/>
            <w:vAlign w:val="top"/>
          </w:tcPr>
          <w:p>
            <w:pPr>
              <w:pStyle w:val="22"/>
              <w:ind w:firstLine="0" w:firstLineChars="0"/>
              <w:jc w:val="center"/>
              <w:rPr>
                <w:rFonts w:ascii="Times New Roman"/>
                <w:szCs w:val="18"/>
              </w:rPr>
            </w:pPr>
            <w:r>
              <w:rPr>
                <w:rFonts w:ascii="Times New Roman"/>
                <w:szCs w:val="18"/>
              </w:rPr>
              <w:t>-36.91±0.10</w:t>
            </w:r>
          </w:p>
        </w:tc>
        <w:tc>
          <w:tcPr>
            <w:tcW w:w="1754" w:type="dxa"/>
            <w:vMerge w:val="continue"/>
            <w:vAlign w:val="top"/>
          </w:tcPr>
          <w:p>
            <w:pPr>
              <w:pStyle w:val="22"/>
              <w:ind w:firstLine="0" w:firstLineChars="0"/>
              <w:jc w:val="center"/>
              <w:rPr>
                <w:rFonts w:ascii="Times New Roman"/>
                <w:szCs w:val="18"/>
              </w:rPr>
            </w:pPr>
          </w:p>
        </w:tc>
      </w:tr>
    </w:tbl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rFonts w:ascii="宋体"/>
          <w:kern w:val="0"/>
          <w:szCs w:val="20"/>
        </w:rPr>
      </w:pPr>
    </w:p>
    <w:p>
      <w:pPr>
        <w:framePr w:hSpace="181" w:vSpace="181" w:wrap="around" w:vAnchor="text" w:hAnchor="page" w:x="4453" w:y="2045"/>
      </w:pPr>
      <w:r>
        <w:t>_________________________________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</w:p>
    <w:sectPr>
      <w:pgSz w:w="11906" w:h="16838"/>
      <w:pgMar w:top="567" w:right="1134" w:bottom="1134" w:left="1418" w:header="1418" w:footer="1134" w:gutter="0"/>
      <w:pgNumType w:start="1"/>
      <w:cols w:space="720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</w:pPr>
    <w:r>
      <w:fldChar w:fldCharType="begin"/>
    </w:r>
    <w:r>
      <w:instrText xml:space="preserve"> PAGE  \* MERGEFORMAT </w:instrText>
    </w:r>
    <w:r>
      <w:fldChar w:fldCharType="separate"/>
    </w:r>
    <w:r>
      <w:t>4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</w:pPr>
    <w:r>
      <w:t>XX/T XXXXX—XXXX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54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 w:tentative="0">
      <w:start w:val="1"/>
      <w:numFmt w:val="decimal"/>
      <w:pStyle w:val="110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48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DE2B46"/>
    <w:multiLevelType w:val="multilevel"/>
    <w:tmpl w:val="0DDE2B46"/>
    <w:lvl w:ilvl="0" w:tentative="0">
      <w:start w:val="1"/>
      <w:numFmt w:val="lowerLetter"/>
      <w:pStyle w:val="114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>
    <w:nsid w:val="1DBF583A"/>
    <w:multiLevelType w:val="multilevel"/>
    <w:tmpl w:val="1DBF583A"/>
    <w:lvl w:ilvl="0" w:tentative="0">
      <w:start w:val="1"/>
      <w:numFmt w:val="decimal"/>
      <w:pStyle w:val="61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</w:rPr>
    </w:lvl>
  </w:abstractNum>
  <w:abstractNum w:abstractNumId="5">
    <w:nsid w:val="1FC91163"/>
    <w:multiLevelType w:val="multilevel"/>
    <w:tmpl w:val="1FC91163"/>
    <w:lvl w:ilvl="0" w:tentative="0">
      <w:start w:val="1"/>
      <w:numFmt w:val="decimal"/>
      <w:pStyle w:val="4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3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spacing w:val="0"/>
        <w:kern w:val="0"/>
        <w:position w:val="0"/>
        <w:sz w:val="21"/>
        <w:szCs w:val="21"/>
        <w:u w:val="none"/>
      </w:rPr>
    </w:lvl>
    <w:lvl w:ilvl="2" w:tentative="0">
      <w:start w:val="1"/>
      <w:numFmt w:val="decimal"/>
      <w:pStyle w:val="4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47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1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2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>
    <w:nsid w:val="2A8F7113"/>
    <w:multiLevelType w:val="multilevel"/>
    <w:tmpl w:val="2A8F7113"/>
    <w:lvl w:ilvl="0" w:tentative="0">
      <w:start w:val="1"/>
      <w:numFmt w:val="upperLetter"/>
      <w:pStyle w:val="92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93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7">
    <w:nsid w:val="2C5917C3"/>
    <w:multiLevelType w:val="multilevel"/>
    <w:tmpl w:val="2C5917C3"/>
    <w:lvl w:ilvl="0" w:tentative="0">
      <w:start w:val="1"/>
      <w:numFmt w:val="none"/>
      <w:pStyle w:val="44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45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56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8">
    <w:nsid w:val="3D733618"/>
    <w:multiLevelType w:val="multilevel"/>
    <w:tmpl w:val="3D733618"/>
    <w:lvl w:ilvl="0" w:tentative="0">
      <w:start w:val="1"/>
      <w:numFmt w:val="decimal"/>
      <w:pStyle w:val="23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9">
    <w:nsid w:val="44C50F90"/>
    <w:multiLevelType w:val="multilevel"/>
    <w:tmpl w:val="44C50F90"/>
    <w:lvl w:ilvl="0" w:tentative="0">
      <w:start w:val="1"/>
      <w:numFmt w:val="lowerLetter"/>
      <w:pStyle w:val="55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50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pStyle w:val="57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0">
    <w:nsid w:val="4B733A5F"/>
    <w:multiLevelType w:val="multilevel"/>
    <w:tmpl w:val="4B733A5F"/>
    <w:lvl w:ilvl="0" w:tentative="0">
      <w:start w:val="1"/>
      <w:numFmt w:val="decimal"/>
      <w:pStyle w:val="58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1">
    <w:nsid w:val="557C2AF5"/>
    <w:multiLevelType w:val="multilevel"/>
    <w:tmpl w:val="557C2AF5"/>
    <w:lvl w:ilvl="0" w:tentative="0">
      <w:start w:val="1"/>
      <w:numFmt w:val="decimal"/>
      <w:pStyle w:val="121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2">
    <w:nsid w:val="60B55DC2"/>
    <w:multiLevelType w:val="multilevel"/>
    <w:tmpl w:val="60B55DC2"/>
    <w:lvl w:ilvl="0" w:tentative="0">
      <w:start w:val="1"/>
      <w:numFmt w:val="upperLetter"/>
      <w:pStyle w:val="81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82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3">
    <w:nsid w:val="646260FA"/>
    <w:multiLevelType w:val="multilevel"/>
    <w:tmpl w:val="646260FA"/>
    <w:lvl w:ilvl="0" w:tentative="0">
      <w:start w:val="1"/>
      <w:numFmt w:val="decimal"/>
      <w:pStyle w:val="119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657D3FBC"/>
    <w:lvl w:ilvl="0" w:tentative="0">
      <w:start w:val="1"/>
      <w:numFmt w:val="upperLetter"/>
      <w:pStyle w:val="79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96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kern w:val="21"/>
        <w:sz w:val="21"/>
      </w:rPr>
    </w:lvl>
    <w:lvl w:ilvl="2" w:tentative="0">
      <w:start w:val="1"/>
      <w:numFmt w:val="decimal"/>
      <w:pStyle w:val="97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3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7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0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4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D6C07CD"/>
    <w:multiLevelType w:val="multilevel"/>
    <w:tmpl w:val="6D6C07CD"/>
    <w:lvl w:ilvl="0" w:tentative="0">
      <w:start w:val="1"/>
      <w:numFmt w:val="lowerLetter"/>
      <w:pStyle w:val="99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89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6">
    <w:nsid w:val="6DBF04F4"/>
    <w:multiLevelType w:val="multilevel"/>
    <w:tmpl w:val="6DBF04F4"/>
    <w:lvl w:ilvl="0" w:tentative="0">
      <w:start w:val="1"/>
      <w:numFmt w:val="none"/>
      <w:pStyle w:val="53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9"/>
  </w:num>
  <w:num w:numId="6">
    <w:abstractNumId w:val="16"/>
  </w:num>
  <w:num w:numId="7">
    <w:abstractNumId w:val="0"/>
  </w:num>
  <w:num w:numId="8">
    <w:abstractNumId w:val="10"/>
  </w:num>
  <w:num w:numId="9">
    <w:abstractNumId w:val="4"/>
  </w:num>
  <w:num w:numId="10">
    <w:abstractNumId w:val="14"/>
  </w:num>
  <w:num w:numId="11">
    <w:abstractNumId w:val="12"/>
  </w:num>
  <w:num w:numId="12">
    <w:abstractNumId w:val="15"/>
  </w:num>
  <w:num w:numId="13">
    <w:abstractNumId w:val="6"/>
  </w:num>
  <w:num w:numId="14">
    <w:abstractNumId w:val="1"/>
  </w:num>
  <w:num w:numId="15">
    <w:abstractNumId w:val="3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dit="forms"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36200"/>
    <w:rsid w:val="000C2150"/>
    <w:rsid w:val="00172A27"/>
    <w:rsid w:val="002E2CBA"/>
    <w:rsid w:val="00314347"/>
    <w:rsid w:val="004457D5"/>
    <w:rsid w:val="00766C8A"/>
    <w:rsid w:val="00AB76DA"/>
    <w:rsid w:val="00AF1248"/>
    <w:rsid w:val="00CE48F4"/>
    <w:rsid w:val="00D31BA3"/>
    <w:rsid w:val="00DD6939"/>
    <w:rsid w:val="044F5C3A"/>
    <w:rsid w:val="0450216A"/>
    <w:rsid w:val="0A693CD6"/>
    <w:rsid w:val="0D7D69C7"/>
    <w:rsid w:val="0DF01467"/>
    <w:rsid w:val="0F4B5FA7"/>
    <w:rsid w:val="14200F92"/>
    <w:rsid w:val="165A1751"/>
    <w:rsid w:val="17CD3BA5"/>
    <w:rsid w:val="19624F6B"/>
    <w:rsid w:val="1D8D1804"/>
    <w:rsid w:val="21DE4FFF"/>
    <w:rsid w:val="24CD36C0"/>
    <w:rsid w:val="2DCF1869"/>
    <w:rsid w:val="37C7532F"/>
    <w:rsid w:val="3C40572B"/>
    <w:rsid w:val="3DD85748"/>
    <w:rsid w:val="47EF5C92"/>
    <w:rsid w:val="491A6FEE"/>
    <w:rsid w:val="49DF75B3"/>
    <w:rsid w:val="4BF05734"/>
    <w:rsid w:val="4BF40FB2"/>
    <w:rsid w:val="4C016AB4"/>
    <w:rsid w:val="4CAC6236"/>
    <w:rsid w:val="51482E37"/>
    <w:rsid w:val="58653812"/>
    <w:rsid w:val="58FE4D55"/>
    <w:rsid w:val="5E460567"/>
    <w:rsid w:val="60BA018D"/>
    <w:rsid w:val="610D5768"/>
    <w:rsid w:val="61102EB7"/>
    <w:rsid w:val="642972EA"/>
    <w:rsid w:val="670A4845"/>
    <w:rsid w:val="73D5756C"/>
    <w:rsid w:val="7AA62D85"/>
    <w:rsid w:val="7E940F01"/>
    <w:rsid w:val="7EF16A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0">
    <w:name w:val="Default Paragraph Font"/>
    <w:unhideWhenUsed/>
    <w:uiPriority w:val="1"/>
  </w:style>
  <w:style w:type="table" w:default="1" w:styleId="3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toc 7"/>
    <w:basedOn w:val="1"/>
    <w:next w:val="1"/>
    <w:semiHidden/>
    <w:qFormat/>
    <w:uiPriority w:val="0"/>
    <w:pPr>
      <w:tabs>
        <w:tab w:val="right" w:leader="dot" w:pos="9241"/>
      </w:tabs>
      <w:ind w:firstLine="500" w:firstLineChars="500"/>
      <w:jc w:val="left"/>
    </w:pPr>
    <w:rPr>
      <w:rFonts w:ascii="宋体"/>
      <w:szCs w:val="21"/>
    </w:rPr>
  </w:style>
  <w:style w:type="paragraph" w:styleId="3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5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">
    <w:name w:val="Document Map"/>
    <w:basedOn w:val="1"/>
    <w:semiHidden/>
    <w:qFormat/>
    <w:uiPriority w:val="0"/>
    <w:pPr>
      <w:shd w:val="clear" w:color="auto" w:fill="000080"/>
    </w:pPr>
  </w:style>
  <w:style w:type="paragraph" w:styleId="7">
    <w:name w:val="annotation text"/>
    <w:basedOn w:val="1"/>
    <w:link w:val="137"/>
    <w:qFormat/>
    <w:uiPriority w:val="0"/>
    <w:pPr>
      <w:jc w:val="left"/>
    </w:pPr>
  </w:style>
  <w:style w:type="paragraph" w:styleId="8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9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10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1">
    <w:name w:val="toc 3"/>
    <w:basedOn w:val="1"/>
    <w:next w:val="1"/>
    <w:semiHidden/>
    <w:qFormat/>
    <w:uiPriority w:val="0"/>
    <w:pPr>
      <w:tabs>
        <w:tab w:val="right" w:leader="dot" w:pos="9241"/>
      </w:tabs>
      <w:ind w:firstLine="100" w:firstLineChars="100"/>
      <w:jc w:val="left"/>
    </w:pPr>
    <w:rPr>
      <w:rFonts w:ascii="宋体"/>
      <w:szCs w:val="21"/>
    </w:rPr>
  </w:style>
  <w:style w:type="paragraph" w:styleId="12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3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4">
    <w:name w:val="endnote text"/>
    <w:basedOn w:val="1"/>
    <w:semiHidden/>
    <w:qFormat/>
    <w:uiPriority w:val="0"/>
    <w:pPr>
      <w:snapToGrid w:val="0"/>
      <w:jc w:val="left"/>
    </w:pPr>
  </w:style>
  <w:style w:type="paragraph" w:styleId="15">
    <w:name w:val="Balloon Text"/>
    <w:basedOn w:val="1"/>
    <w:link w:val="135"/>
    <w:qFormat/>
    <w:uiPriority w:val="0"/>
    <w:rPr>
      <w:sz w:val="18"/>
      <w:szCs w:val="18"/>
    </w:rPr>
  </w:style>
  <w:style w:type="paragraph" w:styleId="16">
    <w:name w:val="footer"/>
    <w:basedOn w:val="1"/>
    <w:qFormat/>
    <w:uiPriority w:val="0"/>
    <w:pPr>
      <w:snapToGrid w:val="0"/>
      <w:ind w:right="210" w:rightChars="100"/>
      <w:jc w:val="right"/>
    </w:pPr>
    <w:rPr>
      <w:sz w:val="18"/>
      <w:szCs w:val="18"/>
    </w:rPr>
  </w:style>
  <w:style w:type="paragraph" w:styleId="17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8">
    <w:name w:val="toc 1"/>
    <w:basedOn w:val="1"/>
    <w:next w:val="1"/>
    <w:semiHidden/>
    <w:qFormat/>
    <w:uiPriority w:val="0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19">
    <w:name w:val="toc 4"/>
    <w:basedOn w:val="1"/>
    <w:next w:val="1"/>
    <w:semiHidden/>
    <w:qFormat/>
    <w:uiPriority w:val="0"/>
    <w:pPr>
      <w:tabs>
        <w:tab w:val="right" w:leader="dot" w:pos="9241"/>
      </w:tabs>
      <w:ind w:firstLine="200" w:firstLineChars="200"/>
      <w:jc w:val="left"/>
    </w:pPr>
    <w:rPr>
      <w:rFonts w:ascii="宋体"/>
      <w:szCs w:val="21"/>
    </w:rPr>
  </w:style>
  <w:style w:type="paragraph" w:styleId="20">
    <w:name w:val="index heading"/>
    <w:basedOn w:val="1"/>
    <w:next w:val="21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1">
    <w:name w:val="index 1"/>
    <w:basedOn w:val="1"/>
    <w:next w:val="22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2">
    <w:name w:val="段"/>
    <w:link w:val="13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3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4">
    <w:name w:val="toc 6"/>
    <w:basedOn w:val="1"/>
    <w:next w:val="1"/>
    <w:semiHidden/>
    <w:qFormat/>
    <w:uiPriority w:val="0"/>
    <w:pPr>
      <w:tabs>
        <w:tab w:val="right" w:leader="dot" w:pos="9241"/>
      </w:tabs>
      <w:ind w:firstLine="400" w:firstLineChars="400"/>
      <w:jc w:val="left"/>
    </w:pPr>
    <w:rPr>
      <w:rFonts w:ascii="宋体"/>
      <w:szCs w:val="21"/>
    </w:rPr>
  </w:style>
  <w:style w:type="paragraph" w:styleId="25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6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7">
    <w:name w:val="toc 2"/>
    <w:basedOn w:val="1"/>
    <w:next w:val="1"/>
    <w:semiHidden/>
    <w:qFormat/>
    <w:uiPriority w:val="0"/>
    <w:pPr>
      <w:tabs>
        <w:tab w:val="right" w:leader="dot" w:pos="9242"/>
      </w:tabs>
    </w:pPr>
    <w:rPr>
      <w:rFonts w:ascii="宋体"/>
      <w:szCs w:val="21"/>
    </w:rPr>
  </w:style>
  <w:style w:type="paragraph" w:styleId="28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29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character" w:styleId="31">
    <w:name w:val="endnote reference"/>
    <w:semiHidden/>
    <w:qFormat/>
    <w:uiPriority w:val="0"/>
    <w:rPr>
      <w:vertAlign w:val="superscript"/>
    </w:rPr>
  </w:style>
  <w:style w:type="character" w:styleId="32">
    <w:name w:val="page number"/>
    <w:qFormat/>
    <w:uiPriority w:val="0"/>
    <w:rPr>
      <w:rFonts w:ascii="Times New Roman" w:hAnsi="Times New Roman" w:eastAsia="宋体"/>
      <w:sz w:val="18"/>
    </w:rPr>
  </w:style>
  <w:style w:type="character" w:styleId="33">
    <w:name w:val="FollowedHyperlink"/>
    <w:qFormat/>
    <w:uiPriority w:val="0"/>
    <w:rPr>
      <w:color w:val="800080"/>
      <w:u w:val="single"/>
    </w:rPr>
  </w:style>
  <w:style w:type="character" w:styleId="34">
    <w:name w:val="Hyperlink"/>
    <w:qFormat/>
    <w:uiPriority w:val="0"/>
    <w:rPr>
      <w:color w:val="0000FF"/>
      <w:spacing w:val="0"/>
      <w:w w:val="100"/>
      <w:szCs w:val="21"/>
      <w:u w:val="single"/>
    </w:rPr>
  </w:style>
  <w:style w:type="character" w:styleId="35">
    <w:name w:val="annotation reference"/>
    <w:qFormat/>
    <w:uiPriority w:val="0"/>
    <w:rPr>
      <w:sz w:val="21"/>
      <w:szCs w:val="21"/>
    </w:rPr>
  </w:style>
  <w:style w:type="character" w:styleId="36">
    <w:name w:val="footnote reference"/>
    <w:semiHidden/>
    <w:qFormat/>
    <w:uiPriority w:val="0"/>
    <w:rPr>
      <w:vertAlign w:val="superscript"/>
    </w:rPr>
  </w:style>
  <w:style w:type="paragraph" w:customStyle="1" w:styleId="38">
    <w:name w:val="一级条标题"/>
    <w:next w:val="22"/>
    <w:link w:val="136"/>
    <w:qFormat/>
    <w:uiPriority w:val="0"/>
    <w:pPr>
      <w:numPr>
        <w:ilvl w:val="1"/>
        <w:numId w:val="2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9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0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1">
    <w:name w:val="章标题"/>
    <w:next w:val="22"/>
    <w:qFormat/>
    <w:uiPriority w:val="0"/>
    <w:pPr>
      <w:numPr>
        <w:ilvl w:val="0"/>
        <w:numId w:val="2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2">
    <w:name w:val="二级条标题"/>
    <w:basedOn w:val="38"/>
    <w:next w:val="22"/>
    <w:qFormat/>
    <w:uiPriority w:val="0"/>
    <w:pPr>
      <w:numPr>
        <w:ilvl w:val="2"/>
        <w:numId w:val="2"/>
      </w:numPr>
      <w:outlineLvl w:val="3"/>
    </w:pPr>
  </w:style>
  <w:style w:type="paragraph" w:customStyle="1" w:styleId="43">
    <w:name w:val="封面标准号2"/>
    <w:qFormat/>
    <w:uiPriority w:val="0"/>
    <w:pPr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44">
    <w:name w:val="列项——（一级）"/>
    <w:qFormat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5">
    <w:name w:val="列项●（二级）"/>
    <w:qFormat/>
    <w:uiPriority w:val="0"/>
    <w:pPr>
      <w:numPr>
        <w:ilvl w:val="1"/>
        <w:numId w:val="3"/>
      </w:numPr>
      <w:tabs>
        <w:tab w:val="left" w:pos="840"/>
        <w:tab w:val="clear" w:pos="76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6">
    <w:name w:val="目次、标准名称标题"/>
    <w:basedOn w:val="1"/>
    <w:next w:val="22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47">
    <w:name w:val="三级条标题"/>
    <w:basedOn w:val="42"/>
    <w:next w:val="22"/>
    <w:qFormat/>
    <w:uiPriority w:val="0"/>
    <w:pPr>
      <w:numPr>
        <w:ilvl w:val="3"/>
        <w:numId w:val="2"/>
      </w:numPr>
      <w:outlineLvl w:val="4"/>
    </w:pPr>
  </w:style>
  <w:style w:type="paragraph" w:customStyle="1" w:styleId="48">
    <w:name w:val="示例"/>
    <w:next w:val="49"/>
    <w:qFormat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9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0">
    <w:name w:val="数字编号列项（二级）"/>
    <w:qFormat/>
    <w:uiPriority w:val="0"/>
    <w:pPr>
      <w:numPr>
        <w:ilvl w:val="1"/>
        <w:numId w:val="5"/>
      </w:numPr>
      <w:tabs>
        <w:tab w:val="left" w:pos="840"/>
        <w:tab w:val="clear" w:pos="126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1">
    <w:name w:val="四级条标题"/>
    <w:basedOn w:val="47"/>
    <w:next w:val="22"/>
    <w:qFormat/>
    <w:uiPriority w:val="0"/>
    <w:pPr>
      <w:numPr>
        <w:ilvl w:val="4"/>
        <w:numId w:val="2"/>
      </w:numPr>
      <w:outlineLvl w:val="5"/>
    </w:pPr>
  </w:style>
  <w:style w:type="paragraph" w:customStyle="1" w:styleId="52">
    <w:name w:val="五级条标题"/>
    <w:basedOn w:val="51"/>
    <w:next w:val="22"/>
    <w:qFormat/>
    <w:uiPriority w:val="0"/>
    <w:pPr>
      <w:numPr>
        <w:ilvl w:val="5"/>
        <w:numId w:val="2"/>
      </w:numPr>
      <w:outlineLvl w:val="6"/>
    </w:pPr>
  </w:style>
  <w:style w:type="paragraph" w:customStyle="1" w:styleId="53">
    <w:name w:val="注："/>
    <w:next w:val="22"/>
    <w:qFormat/>
    <w:uiPriority w:val="0"/>
    <w:pPr>
      <w:widowControl w:val="0"/>
      <w:numPr>
        <w:ilvl w:val="0"/>
        <w:numId w:val="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4">
    <w:name w:val="注×："/>
    <w:qFormat/>
    <w:uiPriority w:val="0"/>
    <w:pPr>
      <w:widowControl w:val="0"/>
      <w:numPr>
        <w:ilvl w:val="0"/>
        <w:numId w:val="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5">
    <w:name w:val="字母编号列项（一级）"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6">
    <w:name w:val="列项◆（三级）"/>
    <w:basedOn w:val="1"/>
    <w:qFormat/>
    <w:uiPriority w:val="0"/>
    <w:pPr>
      <w:numPr>
        <w:ilvl w:val="2"/>
        <w:numId w:val="3"/>
      </w:numPr>
    </w:pPr>
    <w:rPr>
      <w:rFonts w:ascii="宋体"/>
      <w:szCs w:val="21"/>
    </w:rPr>
  </w:style>
  <w:style w:type="paragraph" w:customStyle="1" w:styleId="57">
    <w:name w:val="编号列项（三级）"/>
    <w:qFormat/>
    <w:uiPriority w:val="0"/>
    <w:pPr>
      <w:numPr>
        <w:ilvl w:val="2"/>
        <w:numId w:val="5"/>
      </w:numPr>
      <w:tabs>
        <w:tab w:val="left" w:pos="840"/>
        <w:tab w:val="clear" w:pos="0"/>
      </w:tabs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8">
    <w:name w:val="示例×："/>
    <w:basedOn w:val="41"/>
    <w:qFormat/>
    <w:uiPriority w:val="0"/>
    <w:pPr>
      <w:numPr>
        <w:ilvl w:val="0"/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59">
    <w:name w:val="二级无"/>
    <w:basedOn w:val="42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60">
    <w:name w:val="注：（正文）"/>
    <w:basedOn w:val="53"/>
    <w:next w:val="22"/>
    <w:qFormat/>
    <w:uiPriority w:val="0"/>
  </w:style>
  <w:style w:type="paragraph" w:customStyle="1" w:styleId="61">
    <w:name w:val="注×：（正文）"/>
    <w:qFormat/>
    <w:uiPriority w:val="0"/>
    <w:pPr>
      <w:numPr>
        <w:ilvl w:val="0"/>
        <w:numId w:val="9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2">
    <w:name w:val="标准标志"/>
    <w:next w:val="1"/>
    <w:qFormat/>
    <w:uiPriority w:val="0"/>
    <w:pPr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63">
    <w:name w:val="标准称谓"/>
    <w:next w:val="1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64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5">
    <w:name w:val="标准书眉_偶数页"/>
    <w:basedOn w:val="40"/>
    <w:next w:val="1"/>
    <w:qFormat/>
    <w:uiPriority w:val="0"/>
    <w:pPr>
      <w:jc w:val="left"/>
    </w:pPr>
  </w:style>
  <w:style w:type="paragraph" w:customStyle="1" w:styleId="66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7">
    <w:name w:val="参考文献"/>
    <w:basedOn w:val="1"/>
    <w:next w:val="22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68">
    <w:name w:val="参考文献、索引标题"/>
    <w:basedOn w:val="1"/>
    <w:next w:val="22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69">
    <w:name w:val="发布部门"/>
    <w:next w:val="22"/>
    <w:qFormat/>
    <w:uiPriority w:val="0"/>
    <w:pPr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0">
    <w:name w:val="发布日期"/>
    <w:qFormat/>
    <w:uiPriority w:val="0"/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1">
    <w:name w:val="封面标准代替信息"/>
    <w:qFormat/>
    <w:uiPriority w:val="0"/>
    <w:pPr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72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3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4">
    <w:name w:val="封面标准英文名称"/>
    <w:basedOn w:val="73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75">
    <w:name w:val="封面一致性程度标识"/>
    <w:basedOn w:val="74"/>
    <w:qFormat/>
    <w:uiPriority w:val="0"/>
    <w:pPr>
      <w:spacing w:before="440"/>
    </w:pPr>
    <w:rPr>
      <w:rFonts w:ascii="宋体" w:eastAsia="宋体"/>
    </w:rPr>
  </w:style>
  <w:style w:type="paragraph" w:customStyle="1" w:styleId="76">
    <w:name w:val="封面标准文稿类别"/>
    <w:basedOn w:val="75"/>
    <w:qFormat/>
    <w:uiPriority w:val="0"/>
    <w:pPr>
      <w:spacing w:after="160" w:line="240" w:lineRule="auto"/>
    </w:pPr>
    <w:rPr>
      <w:sz w:val="24"/>
    </w:rPr>
  </w:style>
  <w:style w:type="paragraph" w:customStyle="1" w:styleId="77">
    <w:name w:val="封面标准文稿编辑信息"/>
    <w:basedOn w:val="76"/>
    <w:qFormat/>
    <w:uiPriority w:val="0"/>
    <w:pPr>
      <w:spacing w:before="180" w:line="180" w:lineRule="exact"/>
    </w:pPr>
    <w:rPr>
      <w:sz w:val="21"/>
    </w:rPr>
  </w:style>
  <w:style w:type="paragraph" w:customStyle="1" w:styleId="78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9">
    <w:name w:val="附录标识"/>
    <w:basedOn w:val="1"/>
    <w:next w:val="22"/>
    <w:qFormat/>
    <w:uiPriority w:val="0"/>
    <w:pPr>
      <w:keepNext/>
      <w:widowControl/>
      <w:numPr>
        <w:ilvl w:val="0"/>
        <w:numId w:val="10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0">
    <w:name w:val="附录标题"/>
    <w:basedOn w:val="22"/>
    <w:next w:val="22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81">
    <w:name w:val="附录表标号"/>
    <w:basedOn w:val="1"/>
    <w:next w:val="22"/>
    <w:qFormat/>
    <w:uiPriority w:val="0"/>
    <w:pPr>
      <w:numPr>
        <w:ilvl w:val="0"/>
        <w:numId w:val="11"/>
      </w:num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82">
    <w:name w:val="附录表标题"/>
    <w:basedOn w:val="1"/>
    <w:next w:val="22"/>
    <w:qFormat/>
    <w:uiPriority w:val="0"/>
    <w:pPr>
      <w:numPr>
        <w:ilvl w:val="1"/>
        <w:numId w:val="11"/>
      </w:numPr>
      <w:tabs>
        <w:tab w:val="left" w:pos="0"/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83">
    <w:name w:val="附录二级条标题"/>
    <w:basedOn w:val="1"/>
    <w:next w:val="22"/>
    <w:qFormat/>
    <w:uiPriority w:val="0"/>
    <w:pPr>
      <w:widowControl/>
      <w:numPr>
        <w:ilvl w:val="3"/>
        <w:numId w:val="10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84">
    <w:name w:val="附录二级无"/>
    <w:basedOn w:val="83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85">
    <w:name w:val="附录公式"/>
    <w:basedOn w:val="22"/>
    <w:next w:val="22"/>
    <w:link w:val="133"/>
    <w:qFormat/>
    <w:uiPriority w:val="0"/>
  </w:style>
  <w:style w:type="paragraph" w:customStyle="1" w:styleId="86">
    <w:name w:val="附录公式编号制表符"/>
    <w:basedOn w:val="1"/>
    <w:next w:val="22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87">
    <w:name w:val="附录三级条标题"/>
    <w:basedOn w:val="83"/>
    <w:next w:val="22"/>
    <w:qFormat/>
    <w:uiPriority w:val="0"/>
    <w:pPr>
      <w:numPr>
        <w:ilvl w:val="4"/>
        <w:numId w:val="10"/>
      </w:numPr>
      <w:outlineLvl w:val="4"/>
    </w:pPr>
  </w:style>
  <w:style w:type="paragraph" w:customStyle="1" w:styleId="88">
    <w:name w:val="附录三级无"/>
    <w:basedOn w:val="87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89">
    <w:name w:val="附录数字编号列项（二级）"/>
    <w:qFormat/>
    <w:uiPriority w:val="0"/>
    <w:pPr>
      <w:numPr>
        <w:ilvl w:val="1"/>
        <w:numId w:val="12"/>
      </w:numPr>
      <w:tabs>
        <w:tab w:val="left" w:pos="839"/>
        <w:tab w:val="clear" w:pos="840"/>
      </w:tabs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0">
    <w:name w:val="附录四级条标题"/>
    <w:basedOn w:val="87"/>
    <w:next w:val="22"/>
    <w:qFormat/>
    <w:uiPriority w:val="0"/>
    <w:pPr>
      <w:numPr>
        <w:ilvl w:val="5"/>
        <w:numId w:val="10"/>
      </w:numPr>
      <w:outlineLvl w:val="5"/>
    </w:pPr>
  </w:style>
  <w:style w:type="paragraph" w:customStyle="1" w:styleId="91">
    <w:name w:val="附录四级无"/>
    <w:basedOn w:val="90"/>
    <w:qFormat/>
    <w:uiPriority w:val="0"/>
    <w:pPr>
      <w:spacing w:beforeLines="0" w:afterLines="0"/>
    </w:pPr>
    <w:rPr>
      <w:rFonts w:ascii="宋体" w:eastAsia="宋体"/>
      <w:szCs w:val="21"/>
    </w:rPr>
  </w:style>
  <w:style w:type="paragraph" w:customStyle="1" w:styleId="92">
    <w:name w:val="附录图标号"/>
    <w:basedOn w:val="1"/>
    <w:qFormat/>
    <w:uiPriority w:val="0"/>
    <w:pPr>
      <w:keepNext/>
      <w:pageBreakBefore/>
      <w:widowControl/>
      <w:numPr>
        <w:ilvl w:val="0"/>
        <w:numId w:val="13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93">
    <w:name w:val="附录图标题"/>
    <w:basedOn w:val="1"/>
    <w:next w:val="22"/>
    <w:qFormat/>
    <w:uiPriority w:val="0"/>
    <w:pPr>
      <w:numPr>
        <w:ilvl w:val="1"/>
        <w:numId w:val="13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94">
    <w:name w:val="附录五级条标题"/>
    <w:basedOn w:val="90"/>
    <w:next w:val="22"/>
    <w:qFormat/>
    <w:uiPriority w:val="0"/>
    <w:pPr>
      <w:numPr>
        <w:ilvl w:val="6"/>
        <w:numId w:val="10"/>
      </w:numPr>
      <w:outlineLvl w:val="6"/>
    </w:pPr>
  </w:style>
  <w:style w:type="paragraph" w:customStyle="1" w:styleId="95">
    <w:name w:val="附录五级无"/>
    <w:basedOn w:val="94"/>
    <w:qFormat/>
    <w:uiPriority w:val="0"/>
    <w:pPr>
      <w:spacing w:beforeLines="0" w:afterLines="0"/>
    </w:pPr>
    <w:rPr>
      <w:rFonts w:ascii="宋体" w:eastAsia="宋体"/>
      <w:szCs w:val="21"/>
    </w:rPr>
  </w:style>
  <w:style w:type="paragraph" w:customStyle="1" w:styleId="96">
    <w:name w:val="附录章标题"/>
    <w:next w:val="22"/>
    <w:qFormat/>
    <w:uiPriority w:val="0"/>
    <w:pPr>
      <w:numPr>
        <w:ilvl w:val="1"/>
        <w:numId w:val="10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7">
    <w:name w:val="附录一级条标题"/>
    <w:basedOn w:val="96"/>
    <w:next w:val="22"/>
    <w:qFormat/>
    <w:uiPriority w:val="0"/>
    <w:pPr>
      <w:numPr>
        <w:ilvl w:val="2"/>
        <w:numId w:val="10"/>
      </w:numPr>
      <w:autoSpaceDN w:val="0"/>
      <w:spacing w:beforeLines="50" w:afterLines="50"/>
      <w:outlineLvl w:val="2"/>
    </w:pPr>
  </w:style>
  <w:style w:type="paragraph" w:customStyle="1" w:styleId="98">
    <w:name w:val="附录一级无"/>
    <w:basedOn w:val="97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9">
    <w:name w:val="附录字母编号列项（一级）"/>
    <w:qFormat/>
    <w:uiPriority w:val="0"/>
    <w:pPr>
      <w:numPr>
        <w:ilvl w:val="0"/>
        <w:numId w:val="1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0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01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2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3">
    <w:name w:val="其他标准标志"/>
    <w:basedOn w:val="62"/>
    <w:qFormat/>
    <w:uiPriority w:val="0"/>
    <w:rPr>
      <w:w w:val="130"/>
    </w:rPr>
  </w:style>
  <w:style w:type="paragraph" w:customStyle="1" w:styleId="104">
    <w:name w:val="其他标准称谓"/>
    <w:next w:val="1"/>
    <w:qFormat/>
    <w:uiPriority w:val="0"/>
    <w:pPr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05">
    <w:name w:val="其他发布部门"/>
    <w:basedOn w:val="69"/>
    <w:qFormat/>
    <w:uiPriority w:val="0"/>
    <w:pPr>
      <w:spacing w:line="0" w:lineRule="atLeast"/>
    </w:pPr>
    <w:rPr>
      <w:rFonts w:ascii="黑体" w:eastAsia="黑体"/>
      <w:b w:val="0"/>
    </w:rPr>
  </w:style>
  <w:style w:type="paragraph" w:customStyle="1" w:styleId="106">
    <w:name w:val="前言、引言标题"/>
    <w:next w:val="22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07">
    <w:name w:val="三级无"/>
    <w:basedOn w:val="47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08">
    <w:name w:val="实施日期"/>
    <w:basedOn w:val="70"/>
    <w:qFormat/>
    <w:uiPriority w:val="0"/>
    <w:pPr>
      <w:jc w:val="right"/>
    </w:pPr>
  </w:style>
  <w:style w:type="paragraph" w:customStyle="1" w:styleId="109">
    <w:name w:val="示例后文字"/>
    <w:basedOn w:val="22"/>
    <w:next w:val="22"/>
    <w:qFormat/>
    <w:uiPriority w:val="0"/>
    <w:pPr>
      <w:ind w:firstLine="360"/>
    </w:pPr>
    <w:rPr>
      <w:sz w:val="18"/>
    </w:rPr>
  </w:style>
  <w:style w:type="paragraph" w:customStyle="1" w:styleId="110">
    <w:name w:val="首示例"/>
    <w:next w:val="22"/>
    <w:link w:val="134"/>
    <w:qFormat/>
    <w:uiPriority w:val="0"/>
    <w:pPr>
      <w:numPr>
        <w:ilvl w:val="0"/>
        <w:numId w:val="14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paragraph" w:customStyle="1" w:styleId="111">
    <w:name w:val="四级无"/>
    <w:basedOn w:val="51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2">
    <w:name w:val="条文脚注"/>
    <w:basedOn w:val="23"/>
    <w:qFormat/>
    <w:uiPriority w:val="0"/>
    <w:pPr>
      <w:numPr>
        <w:ilvl w:val="0"/>
        <w:numId w:val="0"/>
      </w:numPr>
      <w:jc w:val="both"/>
    </w:pPr>
  </w:style>
  <w:style w:type="paragraph" w:customStyle="1" w:styleId="113">
    <w:name w:val="图标脚注说明"/>
    <w:basedOn w:val="22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14">
    <w:name w:val="图表脚注说明"/>
    <w:basedOn w:val="1"/>
    <w:qFormat/>
    <w:uiPriority w:val="0"/>
    <w:pPr>
      <w:numPr>
        <w:ilvl w:val="0"/>
        <w:numId w:val="15"/>
      </w:numPr>
    </w:pPr>
    <w:rPr>
      <w:rFonts w:ascii="宋体"/>
      <w:sz w:val="18"/>
      <w:szCs w:val="18"/>
    </w:rPr>
  </w:style>
  <w:style w:type="paragraph" w:customStyle="1" w:styleId="115">
    <w:name w:val="图的脚注"/>
    <w:next w:val="22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6">
    <w:name w:val="文献分类号"/>
    <w:qFormat/>
    <w:uiPriority w:val="0"/>
    <w:pPr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17">
    <w:name w:val="五级无"/>
    <w:basedOn w:val="52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8">
    <w:name w:val="一级无"/>
    <w:basedOn w:val="38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9">
    <w:name w:val="正文表标题"/>
    <w:next w:val="22"/>
    <w:qFormat/>
    <w:uiPriority w:val="0"/>
    <w:pPr>
      <w:numPr>
        <w:ilvl w:val="0"/>
        <w:numId w:val="16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0">
    <w:name w:val="正文公式编号制表符"/>
    <w:basedOn w:val="22"/>
    <w:next w:val="22"/>
    <w:qFormat/>
    <w:uiPriority w:val="0"/>
    <w:pPr>
      <w:ind w:firstLine="0" w:firstLineChars="0"/>
    </w:pPr>
  </w:style>
  <w:style w:type="paragraph" w:customStyle="1" w:styleId="121">
    <w:name w:val="正文图标题"/>
    <w:next w:val="22"/>
    <w:qFormat/>
    <w:uiPriority w:val="0"/>
    <w:pPr>
      <w:numPr>
        <w:ilvl w:val="0"/>
        <w:numId w:val="17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2">
    <w:name w:val="终结线"/>
    <w:basedOn w:val="1"/>
    <w:qFormat/>
    <w:uiPriority w:val="0"/>
  </w:style>
  <w:style w:type="paragraph" w:customStyle="1" w:styleId="123">
    <w:name w:val="其他发布日期"/>
    <w:basedOn w:val="70"/>
    <w:qFormat/>
    <w:uiPriority w:val="0"/>
  </w:style>
  <w:style w:type="paragraph" w:customStyle="1" w:styleId="124">
    <w:name w:val="其他实施日期"/>
    <w:basedOn w:val="108"/>
    <w:qFormat/>
    <w:uiPriority w:val="0"/>
  </w:style>
  <w:style w:type="paragraph" w:customStyle="1" w:styleId="125">
    <w:name w:val="封面标准名称2"/>
    <w:basedOn w:val="73"/>
    <w:qFormat/>
    <w:uiPriority w:val="0"/>
    <w:pPr>
      <w:spacing w:beforeLines="630"/>
    </w:pPr>
  </w:style>
  <w:style w:type="paragraph" w:customStyle="1" w:styleId="126">
    <w:name w:val="封面标准英文名称2"/>
    <w:basedOn w:val="74"/>
    <w:qFormat/>
    <w:uiPriority w:val="0"/>
  </w:style>
  <w:style w:type="paragraph" w:customStyle="1" w:styleId="127">
    <w:name w:val="封面一致性程度标识2"/>
    <w:basedOn w:val="75"/>
    <w:qFormat/>
    <w:uiPriority w:val="0"/>
  </w:style>
  <w:style w:type="paragraph" w:customStyle="1" w:styleId="128">
    <w:name w:val="封面标准文稿类别2"/>
    <w:basedOn w:val="76"/>
    <w:qFormat/>
    <w:uiPriority w:val="0"/>
  </w:style>
  <w:style w:type="paragraph" w:customStyle="1" w:styleId="129">
    <w:name w:val="封面标准文稿编辑信息2"/>
    <w:basedOn w:val="77"/>
    <w:qFormat/>
    <w:uiPriority w:val="0"/>
  </w:style>
  <w:style w:type="paragraph" w:customStyle="1" w:styleId="130">
    <w:name w:val="列出段落1"/>
    <w:qFormat/>
    <w:uiPriority w:val="99"/>
    <w:pPr>
      <w:spacing w:line="360" w:lineRule="auto"/>
      <w:ind w:firstLine="420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31">
    <w:name w:val="段 Char"/>
    <w:link w:val="22"/>
    <w:qFormat/>
    <w:uiPriority w:val="0"/>
    <w:rPr>
      <w:rFonts w:ascii="宋体"/>
      <w:sz w:val="21"/>
      <w:lang w:val="en-US" w:eastAsia="zh-CN" w:bidi="ar-SA"/>
    </w:rPr>
  </w:style>
  <w:style w:type="character" w:customStyle="1" w:styleId="132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133">
    <w:name w:val="附录公式 Char"/>
    <w:link w:val="85"/>
    <w:qFormat/>
    <w:uiPriority w:val="0"/>
    <w:rPr>
      <w:rFonts w:ascii="宋体"/>
      <w:sz w:val="21"/>
      <w:lang w:val="en-US" w:eastAsia="zh-CN" w:bidi="ar-SA"/>
    </w:rPr>
  </w:style>
  <w:style w:type="character" w:customStyle="1" w:styleId="134">
    <w:name w:val="首示例 Char"/>
    <w:link w:val="110"/>
    <w:qFormat/>
    <w:uiPriority w:val="0"/>
    <w:rPr>
      <w:rFonts w:ascii="宋体" w:hAnsi="宋体"/>
      <w:kern w:val="2"/>
      <w:sz w:val="18"/>
      <w:szCs w:val="18"/>
      <w:lang w:val="en-US" w:eastAsia="zh-CN" w:bidi="ar-SA"/>
    </w:rPr>
  </w:style>
  <w:style w:type="character" w:customStyle="1" w:styleId="135">
    <w:name w:val="批注框文本 Char"/>
    <w:link w:val="15"/>
    <w:qFormat/>
    <w:uiPriority w:val="0"/>
    <w:rPr>
      <w:kern w:val="2"/>
      <w:sz w:val="18"/>
      <w:szCs w:val="18"/>
    </w:rPr>
  </w:style>
  <w:style w:type="character" w:customStyle="1" w:styleId="136">
    <w:name w:val="一级条标题 Char"/>
    <w:link w:val="38"/>
    <w:qFormat/>
    <w:uiPriority w:val="0"/>
    <w:rPr>
      <w:rFonts w:ascii="黑体" w:eastAsia="黑体"/>
      <w:sz w:val="21"/>
      <w:szCs w:val="21"/>
      <w:lang w:bidi="ar-SA"/>
    </w:rPr>
  </w:style>
  <w:style w:type="character" w:customStyle="1" w:styleId="137">
    <w:name w:val="批注文字 Char"/>
    <w:link w:val="7"/>
    <w:qFormat/>
    <w:uiPriority w:val="0"/>
    <w:rPr>
      <w:kern w:val="2"/>
      <w:sz w:val="21"/>
      <w:szCs w:val="24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wmf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</Words>
  <Characters>2344</Characters>
  <Lines>19</Lines>
  <Paragraphs>5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2014-01-16T08:53:00Z</dcterms:created>
  <dc:creator>Darbin</dc:creator>
  <cp:lastModifiedBy>Darbin</cp:lastModifiedBy>
  <dcterms:modified xsi:type="dcterms:W3CDTF">2017-05-19T05:01:25Z</dcterms:modified>
  <dc:title>标准名称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