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A443" w14:textId="77777777" w:rsidR="00F433C3" w:rsidRPr="003515F1" w:rsidRDefault="00F433C3" w:rsidP="00F433C3">
      <w:pPr>
        <w:pStyle w:val="a"/>
        <w:framePr w:w="0" w:hRule="auto" w:wrap="auto" w:hAnchor="text" w:xAlign="left" w:yAlign="inline"/>
        <w:spacing w:line="240" w:lineRule="auto"/>
        <w:outlineLvl w:val="0"/>
        <w:rPr>
          <w:rFonts w:ascii="宋体" w:eastAsia="宋体" w:hAnsi="宋体"/>
        </w:rPr>
      </w:pPr>
    </w:p>
    <w:p w14:paraId="3EADA444" w14:textId="77777777" w:rsidR="00F433C3" w:rsidRPr="003515F1" w:rsidRDefault="00F433C3" w:rsidP="00F433C3">
      <w:pPr>
        <w:pStyle w:val="a"/>
        <w:framePr w:w="0" w:hRule="auto" w:wrap="auto" w:hAnchor="text" w:xAlign="left" w:yAlign="inline"/>
        <w:spacing w:line="240" w:lineRule="auto"/>
        <w:outlineLvl w:val="0"/>
        <w:rPr>
          <w:rFonts w:ascii="宋体" w:eastAsia="宋体" w:hAnsi="宋体"/>
        </w:rPr>
      </w:pPr>
    </w:p>
    <w:p w14:paraId="3EADA445" w14:textId="77777777" w:rsidR="00F433C3" w:rsidRPr="00F433C3" w:rsidRDefault="00F433C3" w:rsidP="00F433C3">
      <w:pPr>
        <w:pStyle w:val="Heading1"/>
        <w:rPr>
          <w:sz w:val="36"/>
          <w:szCs w:val="36"/>
        </w:rPr>
      </w:pPr>
      <w:bookmarkStart w:id="0" w:name="_Toc436752866"/>
      <w:r w:rsidRPr="00F433C3">
        <w:rPr>
          <w:sz w:val="36"/>
          <w:szCs w:val="36"/>
        </w:rPr>
        <w:t>第二部分</w:t>
      </w:r>
      <w:r w:rsidRPr="00F433C3">
        <w:rPr>
          <w:rFonts w:hint="eastAsia"/>
          <w:sz w:val="36"/>
          <w:szCs w:val="36"/>
        </w:rPr>
        <w:t xml:space="preserve"> </w:t>
      </w:r>
      <w:r w:rsidRPr="00F433C3">
        <w:rPr>
          <w:sz w:val="36"/>
          <w:szCs w:val="36"/>
        </w:rPr>
        <w:t>通用名称、功能分</w:t>
      </w:r>
      <w:r w:rsidRPr="00F433C3">
        <w:rPr>
          <w:rFonts w:eastAsia="宋体" w:cs="宋体" w:hint="eastAsia"/>
          <w:sz w:val="36"/>
          <w:szCs w:val="36"/>
        </w:rPr>
        <w:t>类</w:t>
      </w:r>
      <w:r w:rsidRPr="00F433C3">
        <w:rPr>
          <w:rFonts w:ascii="MS Mincho" w:hAnsi="MS Mincho" w:cs="MS Mincho" w:hint="eastAsia"/>
          <w:sz w:val="36"/>
          <w:szCs w:val="36"/>
        </w:rPr>
        <w:t>，用量</w:t>
      </w:r>
      <w:r w:rsidRPr="00F433C3">
        <w:rPr>
          <w:sz w:val="36"/>
          <w:szCs w:val="36"/>
        </w:rPr>
        <w:t>和使用范</w:t>
      </w:r>
      <w:r w:rsidRPr="00F433C3">
        <w:rPr>
          <w:rFonts w:eastAsia="宋体" w:cs="宋体" w:hint="eastAsia"/>
          <w:sz w:val="36"/>
          <w:szCs w:val="36"/>
        </w:rPr>
        <w:t>围</w:t>
      </w:r>
      <w:bookmarkEnd w:id="0"/>
    </w:p>
    <w:p w14:paraId="3EADA446" w14:textId="77777777" w:rsidR="00F433C3" w:rsidRPr="003515F1" w:rsidRDefault="00F433C3" w:rsidP="00F433C3">
      <w:pPr>
        <w:pStyle w:val="Heading2"/>
      </w:pPr>
    </w:p>
    <w:p w14:paraId="1FF7C713" w14:textId="77777777" w:rsidR="00145F35" w:rsidRPr="003515F1" w:rsidRDefault="00F433C3" w:rsidP="00145F35">
      <w:pPr>
        <w:pStyle w:val="Heading2"/>
      </w:pPr>
      <w:r w:rsidRPr="003515F1">
        <w:br w:type="page"/>
      </w:r>
      <w:r w:rsidR="00145F35" w:rsidRPr="003515F1">
        <w:lastRenderedPageBreak/>
        <w:t>通用名称</w:t>
      </w:r>
    </w:p>
    <w:p w14:paraId="7F9CE696" w14:textId="77777777" w:rsidR="00145F35" w:rsidRPr="003515F1" w:rsidRDefault="00145F35" w:rsidP="00145F35">
      <w:pPr>
        <w:rPr>
          <w:rFonts w:ascii="宋体" w:hAnsi="宋体"/>
        </w:rPr>
      </w:pPr>
    </w:p>
    <w:p w14:paraId="41470729" w14:textId="77777777" w:rsidR="00145F35" w:rsidRPr="00004DB7" w:rsidRDefault="00145F35" w:rsidP="00145F35">
      <w:pPr>
        <w:spacing w:line="360" w:lineRule="auto"/>
      </w:pPr>
      <w:r>
        <w:rPr>
          <w:rFonts w:ascii="宋体" w:hAnsi="宋体" w:hint="eastAsia"/>
        </w:rPr>
        <w:t xml:space="preserve">    </w:t>
      </w:r>
      <w:r w:rsidRPr="00004DB7">
        <w:t>该酶的酶活性为阿拉伯呋喃糖苷酶。根据国际生物化学与分子生物学联合会系统命名委员会（</w:t>
      </w:r>
      <w:r w:rsidRPr="00004DB7">
        <w:t>IUBMB</w:t>
      </w:r>
      <w:r w:rsidRPr="00004DB7">
        <w:t>）的</w:t>
      </w:r>
      <w:r w:rsidRPr="00004DB7">
        <w:t>“</w:t>
      </w:r>
      <w:r w:rsidRPr="00004DB7">
        <w:t>酶的系统命名</w:t>
      </w:r>
      <w:r w:rsidRPr="00004DB7">
        <w:t xml:space="preserve"> 1992”</w:t>
      </w:r>
      <w:r w:rsidRPr="00004DB7">
        <w:t>，以及化学文摘社（</w:t>
      </w:r>
      <w:r w:rsidRPr="00004DB7">
        <w:t>CAS</w:t>
      </w:r>
      <w:r w:rsidRPr="00004DB7">
        <w:t>）编号，该酶分类如下：</w:t>
      </w:r>
    </w:p>
    <w:p w14:paraId="5CEA7919" w14:textId="77777777" w:rsidR="00145F35" w:rsidRPr="00004DB7" w:rsidRDefault="00145F35" w:rsidP="00145F35">
      <w:pPr>
        <w:tabs>
          <w:tab w:val="left" w:pos="4395"/>
        </w:tabs>
        <w:ind w:left="720"/>
      </w:pPr>
      <w:r w:rsidRPr="00004DB7">
        <w:t>通用名称（中文）：</w:t>
      </w:r>
      <w:r w:rsidRPr="00004DB7">
        <w:t xml:space="preserve">            </w:t>
      </w:r>
      <w:r w:rsidRPr="00004DB7">
        <w:t>阿拉伯呋喃糖苷酶</w:t>
      </w:r>
    </w:p>
    <w:p w14:paraId="2A349FAE" w14:textId="77777777" w:rsidR="00145F35" w:rsidRPr="00004DB7" w:rsidRDefault="00145F35" w:rsidP="00145F35">
      <w:pPr>
        <w:tabs>
          <w:tab w:val="left" w:pos="4395"/>
        </w:tabs>
        <w:ind w:left="720"/>
      </w:pPr>
      <w:r w:rsidRPr="00004DB7">
        <w:t>IUBMB</w:t>
      </w:r>
      <w:r w:rsidRPr="00004DB7">
        <w:t>名称：</w:t>
      </w:r>
      <w:r w:rsidRPr="00004DB7">
        <w:t xml:space="preserve">                   </w:t>
      </w:r>
      <w:r w:rsidRPr="00004DB7">
        <w:t>非还原末端</w:t>
      </w:r>
      <w:r w:rsidRPr="00004DB7">
        <w:t xml:space="preserve"> </w:t>
      </w:r>
      <w:r w:rsidRPr="00004DB7">
        <w:rPr>
          <w:sz w:val="20"/>
        </w:rPr>
        <w:t>α-L-</w:t>
      </w:r>
      <w:r w:rsidRPr="00004DB7">
        <w:t>阿拉伯呋喃糖苷酶</w:t>
      </w:r>
    </w:p>
    <w:p w14:paraId="3FDEA9C2" w14:textId="77777777" w:rsidR="00145F35" w:rsidRPr="00004DB7" w:rsidRDefault="00145F35" w:rsidP="00145F35">
      <w:pPr>
        <w:tabs>
          <w:tab w:val="left" w:pos="4395"/>
        </w:tabs>
        <w:rPr>
          <w:sz w:val="20"/>
        </w:rPr>
      </w:pPr>
      <w:r w:rsidRPr="00004DB7">
        <w:t xml:space="preserve">      </w:t>
      </w:r>
      <w:r>
        <w:t xml:space="preserve">      </w:t>
      </w:r>
      <w:r w:rsidRPr="00004DB7">
        <w:t>系统名称</w:t>
      </w:r>
      <w:r w:rsidRPr="00004DB7">
        <w:t xml:space="preserve">:           </w:t>
      </w:r>
      <w:r w:rsidRPr="00004DB7">
        <w:rPr>
          <w:sz w:val="20"/>
        </w:rPr>
        <w:t xml:space="preserve">  α-L-</w:t>
      </w:r>
      <w:r w:rsidRPr="00004DB7">
        <w:t>阿拉伯呋喃糖苷</w:t>
      </w:r>
      <w:r w:rsidRPr="00004DB7">
        <w:t xml:space="preserve"> </w:t>
      </w:r>
      <w:r w:rsidRPr="00004DB7">
        <w:t>非还原末端</w:t>
      </w:r>
      <w:r w:rsidRPr="00004DB7">
        <w:t xml:space="preserve"> </w:t>
      </w:r>
      <w:r w:rsidRPr="00004DB7">
        <w:rPr>
          <w:sz w:val="20"/>
        </w:rPr>
        <w:t>α-L-</w:t>
      </w:r>
      <w:r w:rsidRPr="00004DB7">
        <w:t>阿拉伯呋喃糖苷酶</w:t>
      </w:r>
    </w:p>
    <w:p w14:paraId="5C233F42" w14:textId="77777777" w:rsidR="00145F35" w:rsidRPr="00004DB7" w:rsidRDefault="00145F35" w:rsidP="00145F35">
      <w:pPr>
        <w:tabs>
          <w:tab w:val="left" w:pos="4395"/>
        </w:tabs>
        <w:ind w:left="720"/>
      </w:pPr>
      <w:r w:rsidRPr="00004DB7">
        <w:t>其他名称：</w:t>
      </w:r>
      <w:r w:rsidRPr="00004DB7">
        <w:t xml:space="preserve">           </w:t>
      </w:r>
      <w:r w:rsidRPr="00004DB7">
        <w:rPr>
          <w:sz w:val="20"/>
        </w:rPr>
        <w:t>α-</w:t>
      </w:r>
      <w:r w:rsidRPr="00004DB7">
        <w:t>阿拉伯呋喃糖苷酶，</w:t>
      </w:r>
      <w:r w:rsidRPr="00004DB7">
        <w:rPr>
          <w:sz w:val="20"/>
        </w:rPr>
        <w:t>α</w:t>
      </w:r>
      <w:r w:rsidRPr="00004DB7">
        <w:rPr>
          <w:sz w:val="20"/>
          <w:lang w:val="pt-BR"/>
        </w:rPr>
        <w:t>-</w:t>
      </w:r>
      <w:r w:rsidRPr="00004DB7">
        <w:t>阿拉伯糖苷酶，</w:t>
      </w:r>
      <w:r w:rsidRPr="00004DB7">
        <w:rPr>
          <w:sz w:val="20"/>
        </w:rPr>
        <w:t>α-L-</w:t>
      </w:r>
      <w:r w:rsidRPr="00004DB7">
        <w:t>阿拉伯糖苷酶，</w:t>
      </w:r>
      <w:r w:rsidRPr="00004DB7">
        <w:rPr>
          <w:sz w:val="20"/>
        </w:rPr>
        <w:t>α-L-</w:t>
      </w:r>
      <w:r w:rsidRPr="00004DB7">
        <w:t>阿拉伯呋喃糖苷水解酶</w:t>
      </w:r>
    </w:p>
    <w:p w14:paraId="4F3EA144" w14:textId="77777777" w:rsidR="00145F35" w:rsidRPr="00004DB7" w:rsidRDefault="00145F35" w:rsidP="00145F35">
      <w:pPr>
        <w:tabs>
          <w:tab w:val="left" w:pos="4395"/>
        </w:tabs>
        <w:ind w:left="720"/>
      </w:pPr>
      <w:r w:rsidRPr="00004DB7">
        <w:t>IUBMB</w:t>
      </w:r>
      <w:r w:rsidRPr="00004DB7">
        <w:t>编号</w:t>
      </w:r>
      <w:r w:rsidRPr="00004DB7">
        <w:t>:</w:t>
      </w:r>
      <w:r w:rsidRPr="00004DB7">
        <w:tab/>
        <w:t>EC 3.2.1.55</w:t>
      </w:r>
    </w:p>
    <w:p w14:paraId="30BD82D3" w14:textId="77777777" w:rsidR="00145F35" w:rsidRPr="00004DB7" w:rsidRDefault="00145F35" w:rsidP="00145F35">
      <w:pPr>
        <w:tabs>
          <w:tab w:val="left" w:pos="4395"/>
        </w:tabs>
        <w:ind w:left="720"/>
      </w:pPr>
      <w:r w:rsidRPr="00004DB7">
        <w:t xml:space="preserve">CAS </w:t>
      </w:r>
      <w:r w:rsidRPr="00004DB7">
        <w:t>号</w:t>
      </w:r>
      <w:r w:rsidRPr="00004DB7">
        <w:t>:</w:t>
      </w:r>
      <w:r w:rsidRPr="00004DB7">
        <w:tab/>
        <w:t>9067-74-7</w:t>
      </w:r>
    </w:p>
    <w:p w14:paraId="71509950" w14:textId="77777777" w:rsidR="00145F35" w:rsidRPr="003515F1" w:rsidRDefault="00145F35" w:rsidP="00145F35">
      <w:pPr>
        <w:pStyle w:val="Heading5"/>
        <w:spacing w:line="360" w:lineRule="auto"/>
        <w:ind w:left="1008" w:hanging="1008"/>
        <w:rPr>
          <w:rFonts w:ascii="宋体" w:eastAsia="宋体" w:hAnsi="宋体"/>
        </w:rPr>
      </w:pPr>
      <w:bookmarkStart w:id="1" w:name="_Ref322939732"/>
      <w:bookmarkStart w:id="2" w:name="_Toc324413761"/>
      <w:r>
        <w:rPr>
          <w:rFonts w:ascii="宋体" w:eastAsia="宋体" w:hAnsi="宋体"/>
        </w:rPr>
        <w:t xml:space="preserve"> </w:t>
      </w:r>
    </w:p>
    <w:bookmarkEnd w:id="1"/>
    <w:bookmarkEnd w:id="2"/>
    <w:p w14:paraId="3C1688E6" w14:textId="77777777" w:rsidR="00145F35" w:rsidRPr="003515F1" w:rsidRDefault="00145F35" w:rsidP="00145F35">
      <w:pPr>
        <w:pStyle w:val="Heading2"/>
      </w:pPr>
      <w:r w:rsidRPr="003515F1">
        <w:rPr>
          <w:rFonts w:hint="eastAsia"/>
        </w:rPr>
        <w:t>功能分</w:t>
      </w:r>
      <w:r w:rsidRPr="003515F1">
        <w:rPr>
          <w:rFonts w:cs="宋体" w:hint="eastAsia"/>
        </w:rPr>
        <w:t>类</w:t>
      </w:r>
    </w:p>
    <w:p w14:paraId="478EBCB1" w14:textId="77777777" w:rsidR="00145F35" w:rsidRPr="003515F1" w:rsidRDefault="00145F35" w:rsidP="00145F35">
      <w:pPr>
        <w:pStyle w:val="ListParagraph"/>
        <w:spacing w:line="360" w:lineRule="auto"/>
        <w:ind w:left="0"/>
        <w:rPr>
          <w:rFonts w:ascii="宋体" w:eastAsia="宋体" w:hAnsi="宋体"/>
          <w:lang w:eastAsia="zh-CN"/>
        </w:rPr>
      </w:pPr>
      <w:r w:rsidRPr="003515F1">
        <w:rPr>
          <w:rFonts w:ascii="宋体" w:eastAsia="宋体" w:hAnsi="宋体" w:hint="eastAsia"/>
          <w:lang w:eastAsia="zh-CN"/>
        </w:rPr>
        <w:t xml:space="preserve">     食品工业用加工助剂——食品用酶制剂</w:t>
      </w:r>
    </w:p>
    <w:p w14:paraId="49E9A3AC" w14:textId="77777777" w:rsidR="00145F35" w:rsidRPr="003515F1" w:rsidRDefault="00145F35" w:rsidP="00145F35">
      <w:pPr>
        <w:pStyle w:val="Heading2"/>
      </w:pPr>
      <w:r w:rsidRPr="003515F1">
        <w:rPr>
          <w:rFonts w:hint="eastAsia"/>
        </w:rPr>
        <w:t>用量和使用范围</w:t>
      </w:r>
    </w:p>
    <w:p w14:paraId="2338E15E" w14:textId="77777777" w:rsidR="00145F35" w:rsidRPr="003515F1" w:rsidRDefault="00145F35" w:rsidP="00145F35">
      <w:pPr>
        <w:pStyle w:val="ListParagraph"/>
        <w:spacing w:line="360" w:lineRule="auto"/>
        <w:ind w:left="0"/>
        <w:rPr>
          <w:rFonts w:ascii="宋体" w:eastAsia="宋体" w:hAnsi="宋体"/>
          <w:lang w:eastAsia="zh-CN"/>
        </w:rPr>
      </w:pPr>
      <w:r>
        <w:rPr>
          <w:rFonts w:ascii="宋体" w:eastAsia="宋体" w:hAnsi="宋体" w:hint="eastAsia"/>
          <w:lang w:eastAsia="zh-CN"/>
        </w:rPr>
        <w:t xml:space="preserve">    </w:t>
      </w:r>
      <w:r w:rsidRPr="003515F1">
        <w:rPr>
          <w:rFonts w:ascii="宋体" w:eastAsia="宋体" w:hAnsi="宋体" w:hint="eastAsia"/>
          <w:lang w:eastAsia="zh-CN"/>
        </w:rPr>
        <w:t xml:space="preserve">使用范围： </w:t>
      </w:r>
      <w:r>
        <w:rPr>
          <w:rFonts w:ascii="宋体" w:eastAsia="宋体" w:hAnsi="宋体" w:hint="eastAsia"/>
          <w:lang w:eastAsia="zh-CN"/>
        </w:rPr>
        <w:t>谷物加工</w:t>
      </w:r>
    </w:p>
    <w:p w14:paraId="582A8B7E" w14:textId="77777777" w:rsidR="00145F35" w:rsidRDefault="00145F35" w:rsidP="00145F35">
      <w:pPr>
        <w:pStyle w:val="ListParagraph"/>
        <w:spacing w:line="360" w:lineRule="auto"/>
        <w:ind w:left="0" w:firstLine="480"/>
        <w:rPr>
          <w:rFonts w:ascii="宋体" w:eastAsia="宋体" w:hAnsi="宋体"/>
          <w:lang w:eastAsia="zh-CN"/>
        </w:rPr>
      </w:pPr>
      <w:r w:rsidRPr="003515F1">
        <w:rPr>
          <w:rFonts w:ascii="宋体" w:eastAsia="宋体" w:hAnsi="宋体" w:hint="eastAsia"/>
          <w:lang w:eastAsia="zh-CN"/>
        </w:rPr>
        <w:t>使用量：</w:t>
      </w:r>
      <w:bookmarkStart w:id="3" w:name="OLE_LINK1"/>
      <w:bookmarkStart w:id="4" w:name="OLE_LINK2"/>
      <w:bookmarkStart w:id="5" w:name="_GoBack"/>
      <w:r w:rsidRPr="003515F1">
        <w:rPr>
          <w:rFonts w:ascii="宋体" w:eastAsia="宋体" w:hAnsi="宋体" w:hint="eastAsia"/>
          <w:lang w:eastAsia="zh-CN"/>
        </w:rPr>
        <w:t>按生产需要适量使用</w:t>
      </w:r>
      <w:bookmarkEnd w:id="3"/>
      <w:bookmarkEnd w:id="4"/>
      <w:bookmarkEnd w:id="5"/>
    </w:p>
    <w:p w14:paraId="73365163" w14:textId="77777777" w:rsidR="00145F35" w:rsidRDefault="00145F35" w:rsidP="00145F35">
      <w:pPr>
        <w:pStyle w:val="ListParagraph"/>
        <w:spacing w:line="360" w:lineRule="auto"/>
        <w:ind w:left="0" w:firstLine="480"/>
        <w:rPr>
          <w:rFonts w:ascii="宋体" w:eastAsia="宋体" w:hAnsi="宋体"/>
          <w:lang w:eastAsia="zh-CN"/>
        </w:rPr>
      </w:pPr>
      <w:r>
        <w:rPr>
          <w:rFonts w:ascii="宋体" w:eastAsia="宋体" w:hAnsi="宋体" w:hint="eastAsia"/>
          <w:lang w:eastAsia="zh-CN"/>
        </w:rPr>
        <w:t>即，在达到想要得到的酶反应时使用最小剂量。食品生产商实际使用的剂量取决于其具体的生产工艺，该使用剂量是基于酶制剂生产商最初建议的剂量，根据食品生产商生产条件优化得到的。因此，从技术的角度来看，并不存在“正常或最大使用量”，该食品酶的使用应遵循</w:t>
      </w:r>
      <w:bookmarkStart w:id="6" w:name="OLE_LINK10"/>
      <w:bookmarkStart w:id="7" w:name="OLE_LINK11"/>
      <w:r>
        <w:rPr>
          <w:rFonts w:ascii="宋体" w:eastAsia="宋体" w:hAnsi="宋体" w:hint="eastAsia"/>
          <w:lang w:eastAsia="zh-CN"/>
        </w:rPr>
        <w:t>quantum satis</w:t>
      </w:r>
      <w:bookmarkEnd w:id="6"/>
      <w:bookmarkEnd w:id="7"/>
      <w:r>
        <w:rPr>
          <w:rFonts w:ascii="宋体" w:eastAsia="宋体" w:hAnsi="宋体" w:hint="eastAsia"/>
          <w:lang w:eastAsia="zh-CN"/>
        </w:rPr>
        <w:t xml:space="preserve"> （按生产需要适量使用）原则。</w:t>
      </w:r>
    </w:p>
    <w:p w14:paraId="05DD4365" w14:textId="77777777" w:rsidR="00145F35" w:rsidRPr="003A2960" w:rsidRDefault="00145F35" w:rsidP="00145F35">
      <w:pPr>
        <w:overflowPunct w:val="0"/>
        <w:autoSpaceDE w:val="0"/>
        <w:autoSpaceDN w:val="0"/>
        <w:adjustRightInd w:val="0"/>
        <w:jc w:val="both"/>
        <w:textAlignment w:val="baseline"/>
        <w:rPr>
          <w:rFonts w:ascii="宋体" w:hAnsi="宋体"/>
          <w:szCs w:val="22"/>
        </w:rPr>
      </w:pPr>
      <w:r>
        <w:rPr>
          <w:rFonts w:ascii="宋体" w:hAnsi="宋体" w:hint="eastAsia"/>
          <w:szCs w:val="22"/>
        </w:rPr>
        <w:t xml:space="preserve">    </w:t>
      </w:r>
      <w:r w:rsidRPr="005253EC">
        <w:rPr>
          <w:rFonts w:ascii="宋体" w:hAnsi="宋体" w:hint="eastAsia"/>
          <w:szCs w:val="22"/>
        </w:rPr>
        <w:t>推荐的酶使用剂量取决于生产过程和产品，最高剂量为</w:t>
      </w:r>
      <w:r w:rsidRPr="005253EC">
        <w:rPr>
          <w:rFonts w:ascii="宋体" w:hAnsi="宋体"/>
          <w:szCs w:val="22"/>
        </w:rPr>
        <w:t>90</w:t>
      </w:r>
      <w:r>
        <w:rPr>
          <w:rFonts w:ascii="宋体" w:hAnsi="宋体"/>
          <w:szCs w:val="22"/>
        </w:rPr>
        <w:t xml:space="preserve"> </w:t>
      </w:r>
      <w:r w:rsidRPr="005253EC">
        <w:rPr>
          <w:rFonts w:ascii="宋体" w:hAnsi="宋体"/>
          <w:szCs w:val="22"/>
        </w:rPr>
        <w:t>ARXU(M)/kg</w:t>
      </w:r>
      <w:r w:rsidRPr="005253EC">
        <w:rPr>
          <w:rFonts w:ascii="宋体" w:hAnsi="宋体" w:hint="eastAsia"/>
          <w:szCs w:val="22"/>
        </w:rPr>
        <w:t>谷物</w:t>
      </w:r>
      <w:r w:rsidRPr="005253EC">
        <w:rPr>
          <w:rFonts w:ascii="宋体" w:hAnsi="宋体"/>
          <w:szCs w:val="22"/>
        </w:rPr>
        <w:t>干物质</w:t>
      </w:r>
      <w:r w:rsidRPr="005253EC">
        <w:rPr>
          <w:rFonts w:ascii="宋体" w:hAnsi="宋体" w:hint="eastAsia"/>
          <w:szCs w:val="22"/>
        </w:rPr>
        <w:t>。</w:t>
      </w:r>
    </w:p>
    <w:p w14:paraId="3EADA455" w14:textId="00999BB9" w:rsidR="00F433C3" w:rsidRPr="003A2960" w:rsidRDefault="00F433C3" w:rsidP="00145F35">
      <w:pPr>
        <w:pStyle w:val="Heading2"/>
        <w:rPr>
          <w:rFonts w:ascii="宋体" w:hAnsi="宋体"/>
          <w:szCs w:val="22"/>
        </w:rPr>
      </w:pPr>
    </w:p>
    <w:p w14:paraId="3EADA456" w14:textId="77777777" w:rsidR="00F433C3" w:rsidRPr="00F433C3" w:rsidRDefault="00F433C3" w:rsidP="00F433C3">
      <w:pPr>
        <w:overflowPunct w:val="0"/>
        <w:autoSpaceDE w:val="0"/>
        <w:autoSpaceDN w:val="0"/>
        <w:adjustRightInd w:val="0"/>
        <w:spacing w:line="360" w:lineRule="auto"/>
        <w:jc w:val="both"/>
        <w:textAlignment w:val="baseline"/>
        <w:rPr>
          <w:rFonts w:ascii="宋体" w:hAnsi="宋体"/>
          <w:szCs w:val="22"/>
        </w:rPr>
      </w:pPr>
    </w:p>
    <w:p w14:paraId="3EADA457" w14:textId="77777777" w:rsidR="00F433C3" w:rsidRPr="003515F1" w:rsidRDefault="00F433C3" w:rsidP="00F433C3">
      <w:pPr>
        <w:pStyle w:val="ListParagraph"/>
        <w:spacing w:line="360" w:lineRule="auto"/>
        <w:ind w:left="90" w:firstLine="450"/>
        <w:rPr>
          <w:rFonts w:ascii="宋体" w:eastAsia="宋体" w:hAnsi="宋体"/>
          <w:lang w:eastAsia="zh-CN"/>
        </w:rPr>
        <w:sectPr w:rsidR="00F433C3" w:rsidRPr="003515F1" w:rsidSect="004476A8">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276" w:header="850" w:footer="994" w:gutter="0"/>
          <w:cols w:space="425"/>
          <w:docGrid w:type="lines" w:linePitch="312"/>
        </w:sectPr>
      </w:pPr>
    </w:p>
    <w:p w14:paraId="3EADA458" w14:textId="77777777" w:rsidR="00F433C3" w:rsidRDefault="00F433C3" w:rsidP="00F433C3">
      <w:pPr>
        <w:pStyle w:val="a"/>
        <w:framePr w:w="0" w:hRule="auto" w:wrap="auto" w:hAnchor="text" w:xAlign="left" w:yAlign="inline"/>
        <w:spacing w:line="240" w:lineRule="auto"/>
        <w:outlineLvl w:val="0"/>
        <w:rPr>
          <w:rFonts w:ascii="宋体" w:eastAsia="宋体" w:hAnsi="宋体"/>
        </w:rPr>
      </w:pPr>
    </w:p>
    <w:p w14:paraId="3EADA459" w14:textId="77777777" w:rsidR="00F433C3" w:rsidRDefault="00F433C3" w:rsidP="00F433C3">
      <w:pPr>
        <w:pStyle w:val="a"/>
        <w:framePr w:w="0" w:hRule="auto" w:wrap="auto" w:hAnchor="text" w:xAlign="left" w:yAlign="inline"/>
        <w:spacing w:line="240" w:lineRule="auto"/>
        <w:outlineLvl w:val="0"/>
        <w:rPr>
          <w:rFonts w:ascii="宋体" w:eastAsia="宋体" w:hAnsi="宋体"/>
        </w:rPr>
      </w:pPr>
    </w:p>
    <w:p w14:paraId="3EADA45A" w14:textId="77777777" w:rsidR="00F433C3" w:rsidRPr="00F433C3" w:rsidRDefault="00F433C3" w:rsidP="00F433C3">
      <w:pPr>
        <w:pStyle w:val="Heading1"/>
        <w:rPr>
          <w:sz w:val="36"/>
          <w:szCs w:val="36"/>
        </w:rPr>
      </w:pPr>
      <w:bookmarkStart w:id="8" w:name="_Toc436752867"/>
      <w:r w:rsidRPr="00F433C3">
        <w:rPr>
          <w:rFonts w:hint="eastAsia"/>
          <w:sz w:val="36"/>
          <w:szCs w:val="36"/>
        </w:rPr>
        <w:t>第三部分</w:t>
      </w:r>
      <w:r w:rsidRPr="00F433C3">
        <w:rPr>
          <w:rFonts w:hint="eastAsia"/>
          <w:sz w:val="36"/>
          <w:szCs w:val="36"/>
        </w:rPr>
        <w:t xml:space="preserve"> </w:t>
      </w:r>
      <w:r w:rsidRPr="00F433C3">
        <w:rPr>
          <w:rFonts w:eastAsia="宋体" w:cs="宋体" w:hint="eastAsia"/>
          <w:sz w:val="36"/>
          <w:szCs w:val="36"/>
        </w:rPr>
        <w:t>证</w:t>
      </w:r>
      <w:r w:rsidRPr="00F433C3">
        <w:rPr>
          <w:rFonts w:ascii="MS Mincho" w:hAnsi="MS Mincho" w:cs="MS Mincho" w:hint="eastAsia"/>
          <w:sz w:val="36"/>
          <w:szCs w:val="36"/>
        </w:rPr>
        <w:t>明技</w:t>
      </w:r>
      <w:r w:rsidRPr="00F433C3">
        <w:rPr>
          <w:rFonts w:eastAsia="宋体" w:cs="宋体" w:hint="eastAsia"/>
          <w:sz w:val="36"/>
          <w:szCs w:val="36"/>
        </w:rPr>
        <w:t>术</w:t>
      </w:r>
      <w:r w:rsidRPr="00F433C3">
        <w:rPr>
          <w:rFonts w:ascii="MS Mincho" w:hAnsi="MS Mincho" w:cs="MS Mincho" w:hint="eastAsia"/>
          <w:sz w:val="36"/>
          <w:szCs w:val="36"/>
        </w:rPr>
        <w:t>上确有必要和</w:t>
      </w:r>
      <w:r w:rsidRPr="00F433C3">
        <w:rPr>
          <w:rFonts w:hint="eastAsia"/>
          <w:sz w:val="36"/>
          <w:szCs w:val="36"/>
        </w:rPr>
        <w:t>使用效果的</w:t>
      </w:r>
      <w:r w:rsidRPr="00F433C3">
        <w:rPr>
          <w:rFonts w:eastAsia="宋体" w:cs="宋体" w:hint="eastAsia"/>
          <w:sz w:val="36"/>
          <w:szCs w:val="36"/>
        </w:rPr>
        <w:t>资</w:t>
      </w:r>
      <w:r w:rsidRPr="00F433C3">
        <w:rPr>
          <w:rFonts w:hint="eastAsia"/>
          <w:sz w:val="36"/>
          <w:szCs w:val="36"/>
        </w:rPr>
        <w:t>料或文件</w:t>
      </w:r>
      <w:bookmarkEnd w:id="8"/>
    </w:p>
    <w:p w14:paraId="3EADA45B" w14:textId="77777777" w:rsidR="00F433C3" w:rsidRPr="003515F1" w:rsidRDefault="00F433C3" w:rsidP="00F433C3">
      <w:pPr>
        <w:pStyle w:val="a"/>
        <w:framePr w:w="0" w:hRule="auto" w:wrap="auto" w:hAnchor="text" w:xAlign="left" w:yAlign="inline"/>
        <w:spacing w:line="240" w:lineRule="auto"/>
        <w:rPr>
          <w:rFonts w:ascii="宋体" w:eastAsia="宋体" w:hAnsi="宋体"/>
        </w:rPr>
      </w:pPr>
    </w:p>
    <w:p w14:paraId="3EADA45C" w14:textId="77777777" w:rsidR="00F433C3" w:rsidRPr="003515F1" w:rsidRDefault="00F433C3" w:rsidP="00F433C3">
      <w:pPr>
        <w:pStyle w:val="a"/>
        <w:framePr w:w="0" w:hRule="auto" w:wrap="auto" w:hAnchor="text" w:xAlign="left" w:yAlign="inline"/>
        <w:spacing w:line="240" w:lineRule="auto"/>
        <w:rPr>
          <w:rFonts w:ascii="宋体" w:eastAsia="宋体" w:hAnsi="宋体"/>
        </w:rPr>
      </w:pPr>
    </w:p>
    <w:p w14:paraId="5881ECE6" w14:textId="77777777" w:rsidR="00145F35" w:rsidRPr="00145F35" w:rsidRDefault="00F433C3" w:rsidP="00145F35">
      <w:pPr>
        <w:spacing w:line="360" w:lineRule="auto"/>
        <w:outlineLvl w:val="2"/>
        <w:rPr>
          <w:b/>
          <w:bCs/>
        </w:rPr>
      </w:pPr>
      <w:r w:rsidRPr="003515F1">
        <w:br w:type="page"/>
      </w:r>
      <w:r w:rsidR="00145F35" w:rsidRPr="00145F35">
        <w:rPr>
          <w:b/>
          <w:bCs/>
        </w:rPr>
        <w:lastRenderedPageBreak/>
        <w:t>3.1</w:t>
      </w:r>
      <w:r w:rsidR="00145F35" w:rsidRPr="00145F35">
        <w:rPr>
          <w:rFonts w:hint="eastAsia"/>
          <w:b/>
          <w:bCs/>
        </w:rPr>
        <w:t xml:space="preserve"> </w:t>
      </w:r>
      <w:r w:rsidR="00145F35" w:rsidRPr="00145F35">
        <w:rPr>
          <w:b/>
          <w:bCs/>
        </w:rPr>
        <w:t>阿拉伯呋喃糖</w:t>
      </w:r>
      <w:r w:rsidR="00145F35" w:rsidRPr="00145F35">
        <w:rPr>
          <w:rFonts w:hint="eastAsia"/>
          <w:b/>
          <w:bCs/>
        </w:rPr>
        <w:t>苷酶的功能</w:t>
      </w:r>
      <w:r w:rsidR="00145F35" w:rsidRPr="00145F35">
        <w:rPr>
          <w:rFonts w:cs="宋体" w:hint="eastAsia"/>
          <w:b/>
          <w:bCs/>
        </w:rPr>
        <w:t>类别</w:t>
      </w:r>
      <w:r w:rsidR="00145F35" w:rsidRPr="00145F35">
        <w:rPr>
          <w:rFonts w:hint="eastAsia"/>
          <w:b/>
          <w:bCs/>
        </w:rPr>
        <w:t>及作用机理</w:t>
      </w:r>
    </w:p>
    <w:p w14:paraId="026E0FFF" w14:textId="5970D400" w:rsidR="00145F35" w:rsidRPr="00A93A20" w:rsidRDefault="00145F35" w:rsidP="00145F35">
      <w:pPr>
        <w:spacing w:line="360" w:lineRule="auto"/>
        <w:outlineLvl w:val="2"/>
        <w:rPr>
          <w:rFonts w:ascii="宋体" w:hAnsi="宋体"/>
        </w:rPr>
      </w:pPr>
      <w:r w:rsidRPr="00A93A20">
        <w:rPr>
          <w:rFonts w:ascii="宋体" w:hAnsi="宋体" w:hint="eastAsia"/>
          <w:b/>
          <w:bCs/>
        </w:rPr>
        <w:t>功能类别</w:t>
      </w:r>
    </w:p>
    <w:p w14:paraId="5368650E" w14:textId="77777777" w:rsidR="00145F35" w:rsidRDefault="00145F35" w:rsidP="00145F35">
      <w:pPr>
        <w:spacing w:line="360" w:lineRule="auto"/>
        <w:rPr>
          <w:rFonts w:ascii="宋体" w:hAnsi="宋体"/>
        </w:rPr>
      </w:pPr>
      <w:r w:rsidRPr="003515F1">
        <w:rPr>
          <w:rFonts w:ascii="宋体" w:hAnsi="宋体" w:hint="eastAsia"/>
        </w:rPr>
        <w:t xml:space="preserve">   食品工业用加工助剂——食品用酶制剂。</w:t>
      </w:r>
    </w:p>
    <w:p w14:paraId="66F9A580" w14:textId="77777777" w:rsidR="00145F35" w:rsidRPr="00A93A20" w:rsidRDefault="00145F35" w:rsidP="00145F35">
      <w:pPr>
        <w:spacing w:line="360" w:lineRule="auto"/>
        <w:rPr>
          <w:rFonts w:ascii="宋体" w:hAnsi="宋体"/>
          <w:b/>
          <w:bCs/>
        </w:rPr>
      </w:pPr>
      <w:r w:rsidRPr="00A93A20">
        <w:rPr>
          <w:rFonts w:ascii="宋体" w:hAnsi="宋体" w:hint="eastAsia"/>
          <w:b/>
          <w:bCs/>
        </w:rPr>
        <w:t>作用机理</w:t>
      </w:r>
    </w:p>
    <w:p w14:paraId="124F010F" w14:textId="77777777" w:rsidR="00145F35" w:rsidRPr="00D1629A" w:rsidRDefault="00145F35" w:rsidP="00145F35">
      <w:pPr>
        <w:spacing w:line="360" w:lineRule="auto"/>
      </w:pPr>
      <w:bookmarkStart w:id="9" w:name="_Hlk510013204"/>
      <w:r>
        <w:rPr>
          <w:rFonts w:hint="eastAsia"/>
        </w:rPr>
        <w:t xml:space="preserve">   </w:t>
      </w:r>
      <w:r>
        <w:t xml:space="preserve">     </w:t>
      </w:r>
      <w:r w:rsidRPr="00D1629A">
        <w:t>阿拉伯呋喃糖苷酶在自然界中广泛存在，普遍分布于植物和微生物界（细菌和真菌）（</w:t>
      </w:r>
      <w:r w:rsidRPr="00D1629A">
        <w:t>Saha BC</w:t>
      </w:r>
      <w:r w:rsidRPr="00D1629A">
        <w:t>，</w:t>
      </w:r>
      <w:r w:rsidRPr="00D1629A">
        <w:t>2000</w:t>
      </w:r>
      <w:r w:rsidRPr="00D1629A">
        <w:t>）。与其他酶类一样，阿拉伯呋喃糖苷酶是一种生物催化剂。在酶的作用下，某些底物被转化为特定的反应产物。这种转化的结果，而不是食品酶本身，决定了其在食物或食物成分中的作用。底物完全转换后，酶不再发挥作用。</w:t>
      </w:r>
    </w:p>
    <w:p w14:paraId="7BE862F4" w14:textId="77777777" w:rsidR="00145F35" w:rsidRPr="00D1629A" w:rsidRDefault="00145F35" w:rsidP="00145F35">
      <w:pPr>
        <w:spacing w:line="360" w:lineRule="auto"/>
      </w:pPr>
      <w:r>
        <w:rPr>
          <w:rFonts w:hint="eastAsia"/>
        </w:rPr>
        <w:t xml:space="preserve"> </w:t>
      </w:r>
      <w:r>
        <w:t xml:space="preserve">       </w:t>
      </w:r>
      <w:r w:rsidRPr="00D1629A">
        <w:t>这种食品酶可催化阿拉伯木聚糖终端非还原性</w:t>
      </w:r>
      <w:r w:rsidRPr="00D1629A">
        <w:t>α -L</w:t>
      </w:r>
      <w:r w:rsidRPr="00D1629A">
        <w:t>聚阿拉伯糖残基，将其转化为阿拉伯糖苷（阿拉伯糖</w:t>
      </w:r>
      <w:r w:rsidRPr="00D1629A">
        <w:rPr>
          <w:rStyle w:val="Emphasis"/>
          <w:iCs w:val="0"/>
          <w:sz w:val="20"/>
          <w:szCs w:val="20"/>
          <w:shd w:val="clear" w:color="auto" w:fill="FFFFFF"/>
        </w:rPr>
        <w:t>）</w:t>
      </w:r>
      <w:r w:rsidRPr="00D1629A">
        <w:t>和（</w:t>
      </w:r>
      <w:r w:rsidRPr="00D1629A">
        <w:t>1→4</w:t>
      </w:r>
      <w:r w:rsidRPr="00D1629A">
        <w:t>）</w:t>
      </w:r>
      <w:r w:rsidRPr="00D1629A">
        <w:t>-β- D-</w:t>
      </w:r>
      <w:r w:rsidRPr="00D1629A">
        <w:t>木聚糖（木聚糖）。</w:t>
      </w:r>
    </w:p>
    <w:p w14:paraId="1D2927EC" w14:textId="77777777" w:rsidR="00145F35" w:rsidRPr="0076186A" w:rsidRDefault="00145F35" w:rsidP="00145F35">
      <w:pPr>
        <w:spacing w:line="360" w:lineRule="auto"/>
        <w:rPr>
          <w:rFonts w:ascii="Calibri" w:eastAsia="Calibri" w:hAnsi="Calibri"/>
        </w:rPr>
      </w:pPr>
      <w:r>
        <w:rPr>
          <w:rFonts w:hint="eastAsia"/>
        </w:rPr>
        <w:t xml:space="preserve">   </w:t>
      </w:r>
      <w:r>
        <w:t xml:space="preserve">     </w:t>
      </w:r>
      <w:r w:rsidRPr="00D1629A">
        <w:t>阿拉伯木聚糖是有阿拉伯糖支链的木聚糖，以不同分子量存在于不同的植物材料，包括谷类、小麦、大麦、黑麦和燕麦的细胞壁和胚乳中。和阿拉伯木聚糖一样，这些木聚糖和阿拉伯糖是谷类食品的天然成分。</w:t>
      </w:r>
    </w:p>
    <w:p w14:paraId="4EED572F" w14:textId="77777777" w:rsidR="00145F35" w:rsidRPr="00A93A20" w:rsidRDefault="00145F35" w:rsidP="00145F35">
      <w:pPr>
        <w:pStyle w:val="Heading4-notintableofcontent"/>
        <w:spacing w:line="300" w:lineRule="auto"/>
        <w:rPr>
          <w:rFonts w:ascii="宋体" w:hAnsi="宋体" w:cs="Times New Roman"/>
          <w:iCs w:val="0"/>
          <w:noProof w:val="0"/>
          <w:sz w:val="24"/>
          <w:szCs w:val="24"/>
          <w:lang w:eastAsia="zh-CN"/>
        </w:rPr>
      </w:pPr>
      <w:bookmarkStart w:id="10" w:name="_Ref322968054"/>
      <w:bookmarkStart w:id="11" w:name="_Toc324413782"/>
      <w:r w:rsidRPr="00A93A20">
        <w:rPr>
          <w:rFonts w:ascii="宋体" w:hAnsi="宋体" w:cs="Times New Roman"/>
          <w:iCs w:val="0"/>
          <w:noProof w:val="0"/>
          <w:sz w:val="24"/>
          <w:szCs w:val="24"/>
          <w:lang w:eastAsia="zh-CN"/>
        </w:rPr>
        <w:t>食品加工中的应用</w:t>
      </w:r>
      <w:bookmarkEnd w:id="10"/>
      <w:bookmarkEnd w:id="11"/>
    </w:p>
    <w:p w14:paraId="023686BC" w14:textId="77777777" w:rsidR="00145F35" w:rsidRPr="00D1629A" w:rsidRDefault="00145F35" w:rsidP="00145F35">
      <w:pPr>
        <w:spacing w:line="360" w:lineRule="auto"/>
      </w:pPr>
      <w:r>
        <w:rPr>
          <w:rFonts w:hint="eastAsia"/>
        </w:rPr>
        <w:t xml:space="preserve">   </w:t>
      </w:r>
      <w:r>
        <w:t xml:space="preserve">     </w:t>
      </w:r>
      <w:r w:rsidRPr="00D1629A">
        <w:t>从技术上，阿拉伯呋喃糖苷酶的性能可以为各种工业食品制造工艺带来益处，如上所述，</w:t>
      </w:r>
      <w:bookmarkStart w:id="12" w:name="_Hlk522114258"/>
      <w:r w:rsidRPr="00D1629A">
        <w:t>其反应产物也是人类饮食的正常成分</w:t>
      </w:r>
      <w:bookmarkEnd w:id="12"/>
      <w:r w:rsidRPr="00D1629A">
        <w:t>。阿拉伯呋喃糖苷酶自然存在于许多原料谷物、小麦、大麦、黑麦和燕麦中。这些材料中的内源性阿拉伯呋喃糖苷酶的水平往往不足，不同批次之间也有差异，酶的特异性可能不会达到理想的工艺要求。因此，在食品制造过程中往往使用工业阿拉伯呋喃糖苷酶作为食品加工助剂。</w:t>
      </w:r>
    </w:p>
    <w:p w14:paraId="00DB99EA" w14:textId="77777777" w:rsidR="00145F35" w:rsidRPr="00D1629A" w:rsidRDefault="00145F35" w:rsidP="00145F35">
      <w:pPr>
        <w:spacing w:line="360" w:lineRule="auto"/>
      </w:pPr>
      <w:r>
        <w:rPr>
          <w:rFonts w:hint="eastAsia"/>
        </w:rPr>
        <w:t xml:space="preserve">       </w:t>
      </w:r>
      <w:r>
        <w:t xml:space="preserve"> </w:t>
      </w:r>
      <w:r w:rsidRPr="00D1629A">
        <w:t>原则上，</w:t>
      </w:r>
      <w:bookmarkStart w:id="13" w:name="_Hlk522114289"/>
      <w:r w:rsidRPr="00D1629A">
        <w:t>阿拉伯呋喃糖苷酶可用于所有食品原材料的加工，这些材料都自然地含有各种底物。自上世纪</w:t>
      </w:r>
      <w:r w:rsidRPr="00D1629A">
        <w:t>90</w:t>
      </w:r>
      <w:r w:rsidRPr="00D1629A">
        <w:t>年代以来，阿拉伯呋喃糖苷酶被用于各种工业用途，如纸浆脱木质素、提高动物原料消化率、果汁澄清和啤酒一致性</w:t>
      </w:r>
      <w:r>
        <w:rPr>
          <w:rFonts w:hint="eastAsia"/>
        </w:rPr>
        <w:t>改良</w:t>
      </w:r>
      <w:r w:rsidRPr="00D1629A">
        <w:t>等（</w:t>
      </w:r>
      <w:r w:rsidRPr="00D1629A">
        <w:rPr>
          <w:iCs/>
        </w:rPr>
        <w:t>Saha BC</w:t>
      </w:r>
      <w:r w:rsidRPr="00D1629A">
        <w:rPr>
          <w:iCs/>
        </w:rPr>
        <w:t>，</w:t>
      </w:r>
      <w:r w:rsidRPr="00D1629A">
        <w:rPr>
          <w:iCs/>
        </w:rPr>
        <w:t>2000</w:t>
      </w:r>
      <w:r w:rsidRPr="00D1629A">
        <w:t>）</w:t>
      </w:r>
      <w:bookmarkEnd w:id="13"/>
      <w:r w:rsidRPr="00D1629A">
        <w:t>。</w:t>
      </w:r>
    </w:p>
    <w:p w14:paraId="03AC61A8" w14:textId="77777777" w:rsidR="00145F35" w:rsidRPr="00607427" w:rsidRDefault="00145F35" w:rsidP="00145F35">
      <w:pPr>
        <w:spacing w:line="360" w:lineRule="auto"/>
      </w:pPr>
      <w:r>
        <w:rPr>
          <w:rFonts w:hint="eastAsia"/>
        </w:rPr>
        <w:t xml:space="preserve">   </w:t>
      </w:r>
      <w:r>
        <w:t xml:space="preserve">     </w:t>
      </w:r>
      <w:r w:rsidRPr="00D1629A">
        <w:t>作为本文研究对象，阿拉伯呋喃糖苷酶通常用于</w:t>
      </w:r>
      <w:r>
        <w:rPr>
          <w:rFonts w:hint="eastAsia"/>
        </w:rPr>
        <w:t>谷物</w:t>
      </w:r>
      <w:r w:rsidRPr="00D1629A">
        <w:t>加工中谷物淀粉和谷蛋白组分与纤维组分的分离。酶可用作食品加工中的加工助剂，不直接添加到成品食品中。</w:t>
      </w:r>
      <w:r w:rsidRPr="00607427">
        <w:t>阿拉伯呋喃糖苷酶作用于谷物和植物细胞壁中的一类成分，常与其他可以</w:t>
      </w:r>
      <w:r>
        <w:rPr>
          <w:rFonts w:hint="eastAsia"/>
        </w:rPr>
        <w:t>修饰</w:t>
      </w:r>
      <w:r w:rsidRPr="00607427">
        <w:t>谷物和植物细胞壁中其他成分的酶一起使用。特别是，阿拉伯呋喃糖苷酶往往与木聚糖酶、</w:t>
      </w:r>
      <w:r w:rsidRPr="00607427">
        <w:t>β-</w:t>
      </w:r>
      <w:r w:rsidRPr="00607427">
        <w:t>葡聚糖酶和纤维素酶共同使用（如，酿酒、粮食加工、淀粉加工和酒精饮料加工等）。</w:t>
      </w:r>
    </w:p>
    <w:bookmarkEnd w:id="9"/>
    <w:p w14:paraId="072B24A0" w14:textId="77777777" w:rsidR="00145F35" w:rsidRPr="00607427" w:rsidRDefault="00145F35" w:rsidP="00145F35">
      <w:pPr>
        <w:spacing w:line="360" w:lineRule="auto"/>
        <w:outlineLvl w:val="2"/>
      </w:pPr>
    </w:p>
    <w:p w14:paraId="48B145F9" w14:textId="77777777" w:rsidR="00145F35" w:rsidRPr="00924A37" w:rsidRDefault="00145F35" w:rsidP="00145F35">
      <w:pPr>
        <w:keepNext/>
        <w:keepLines/>
      </w:pPr>
    </w:p>
    <w:p w14:paraId="53D62A36" w14:textId="77777777" w:rsidR="00145F35" w:rsidRPr="003515F1" w:rsidRDefault="00145F35" w:rsidP="00145F35">
      <w:pPr>
        <w:pStyle w:val="Heading2"/>
      </w:pPr>
      <w:r w:rsidRPr="003515F1">
        <w:t>3.2</w:t>
      </w:r>
      <w:r w:rsidRPr="003515F1">
        <w:rPr>
          <w:rFonts w:hint="eastAsia"/>
        </w:rPr>
        <w:t xml:space="preserve"> </w:t>
      </w:r>
      <w:r w:rsidRPr="003515F1">
        <w:rPr>
          <w:rFonts w:cs="宋体" w:hint="eastAsia"/>
        </w:rPr>
        <w:t>拟</w:t>
      </w:r>
      <w:r w:rsidRPr="003515F1">
        <w:rPr>
          <w:rFonts w:hint="eastAsia"/>
        </w:rPr>
        <w:t>添加的食品中添加与否的效果</w:t>
      </w:r>
      <w:r w:rsidRPr="003515F1">
        <w:rPr>
          <w:rFonts w:cs="宋体" w:hint="eastAsia"/>
        </w:rPr>
        <w:t>对</w:t>
      </w:r>
      <w:r w:rsidRPr="003515F1">
        <w:rPr>
          <w:rFonts w:hint="eastAsia"/>
        </w:rPr>
        <w:t>比</w:t>
      </w:r>
    </w:p>
    <w:p w14:paraId="5A1E41C4" w14:textId="77777777" w:rsidR="00145F35" w:rsidRPr="004F0D1D" w:rsidRDefault="00145F35" w:rsidP="00145F35">
      <w:pPr>
        <w:adjustRightInd w:val="0"/>
        <w:snapToGrid w:val="0"/>
        <w:spacing w:beforeLines="50" w:before="156" w:afterLines="50" w:after="156" w:line="276" w:lineRule="auto"/>
      </w:pPr>
      <w:r>
        <w:rPr>
          <w:rFonts w:hint="eastAsia"/>
        </w:rPr>
        <w:t xml:space="preserve">   </w:t>
      </w:r>
      <w:r>
        <w:t xml:space="preserve">    </w:t>
      </w:r>
      <w:r w:rsidRPr="004F0D1D">
        <w:rPr>
          <w:rFonts w:hint="eastAsia"/>
        </w:rPr>
        <w:t>该</w:t>
      </w:r>
      <w:r w:rsidRPr="00B63E4A">
        <w:t>阿拉伯呋喃糖</w:t>
      </w:r>
      <w:r w:rsidRPr="00B63E4A">
        <w:rPr>
          <w:rFonts w:hint="eastAsia"/>
        </w:rPr>
        <w:t>苷酶</w:t>
      </w:r>
      <w:r w:rsidRPr="004F0D1D">
        <w:rPr>
          <w:rFonts w:hint="eastAsia"/>
        </w:rPr>
        <w:t>用于玉米分离的酶解技术；</w:t>
      </w:r>
      <w:r w:rsidRPr="004F0D1D">
        <w:t xml:space="preserve"> </w:t>
      </w:r>
      <w:r w:rsidRPr="004F0D1D">
        <w:rPr>
          <w:rFonts w:hint="eastAsia"/>
        </w:rPr>
        <w:t>它与传统</w:t>
      </w:r>
      <w:r w:rsidRPr="004F0D1D">
        <w:t>的</w:t>
      </w:r>
      <w:r w:rsidRPr="004F0D1D">
        <w:rPr>
          <w:rFonts w:hint="eastAsia"/>
        </w:rPr>
        <w:t>机械分离相结合，以提高玉米粉碎的分离效率。使用该酶分离玉米的优势包括：价值回收率更高、成本更低和操作效率更高。</w:t>
      </w:r>
    </w:p>
    <w:p w14:paraId="55CDE879" w14:textId="77777777" w:rsidR="00145F35" w:rsidRPr="004F0D1D" w:rsidRDefault="00145F35" w:rsidP="00145F35">
      <w:pPr>
        <w:adjustRightInd w:val="0"/>
        <w:snapToGrid w:val="0"/>
        <w:spacing w:beforeLines="50" w:before="156" w:afterLines="50" w:after="156" w:line="276" w:lineRule="auto"/>
      </w:pPr>
      <w:r>
        <w:rPr>
          <w:rFonts w:hint="eastAsia"/>
        </w:rPr>
        <w:t xml:space="preserve">       </w:t>
      </w:r>
      <w:r w:rsidRPr="004F0D1D">
        <w:rPr>
          <w:rFonts w:hint="eastAsia"/>
        </w:rPr>
        <w:t>该产品所蕴含的独特活性，和</w:t>
      </w:r>
      <w:r>
        <w:rPr>
          <w:rFonts w:hint="eastAsia"/>
        </w:rPr>
        <w:t>木聚糖酶</w:t>
      </w:r>
      <w:r w:rsidRPr="004F0D1D">
        <w:rPr>
          <w:rFonts w:hint="eastAsia"/>
        </w:rPr>
        <w:t>共同作用于玉米纤维中高度分枝的木聚糖。通过以这种方式改性玉米纤维，来释放结合的淀粉、蛋白质和水，允许纤维洗涤和脱水设备将其去除以得到</w:t>
      </w:r>
      <w:r w:rsidRPr="004F0D1D">
        <w:t>淀粉</w:t>
      </w:r>
      <w:r w:rsidRPr="004F0D1D">
        <w:rPr>
          <w:rFonts w:hint="eastAsia"/>
        </w:rPr>
        <w:t>。</w:t>
      </w:r>
    </w:p>
    <w:p w14:paraId="3EADA494" w14:textId="2B30F815" w:rsidR="00F433C3" w:rsidRPr="003515F1" w:rsidRDefault="00145F35" w:rsidP="00145F35">
      <w:pPr>
        <w:adjustRightInd w:val="0"/>
        <w:snapToGrid w:val="0"/>
        <w:spacing w:beforeLines="50" w:before="156" w:afterLines="50" w:after="156" w:line="276" w:lineRule="auto"/>
        <w:rPr>
          <w:rFonts w:ascii="宋体" w:hAnsi="宋体"/>
        </w:rPr>
      </w:pPr>
      <w:bookmarkStart w:id="14" w:name="Boost_yields_and_cut_net_corn_cost"/>
      <w:bookmarkEnd w:id="14"/>
      <w:r>
        <w:rPr>
          <w:rFonts w:hint="eastAsia"/>
        </w:rPr>
        <w:t xml:space="preserve">         </w:t>
      </w:r>
    </w:p>
    <w:p w14:paraId="3EADA495" w14:textId="77777777" w:rsidR="00F433C3" w:rsidRPr="003515F1" w:rsidRDefault="00F433C3" w:rsidP="00F433C3">
      <w:pPr>
        <w:pStyle w:val="a"/>
        <w:framePr w:w="0" w:hRule="auto" w:wrap="auto" w:hAnchor="text" w:xAlign="left" w:yAlign="inline"/>
        <w:spacing w:line="240" w:lineRule="auto"/>
        <w:outlineLvl w:val="0"/>
        <w:rPr>
          <w:rFonts w:ascii="宋体" w:eastAsia="宋体" w:hAnsi="宋体"/>
        </w:rPr>
        <w:sectPr w:rsidR="00F433C3" w:rsidRPr="003515F1" w:rsidSect="004476A8">
          <w:headerReference w:type="default" r:id="rId16"/>
          <w:pgSz w:w="11906" w:h="16838"/>
          <w:pgMar w:top="1440" w:right="1416" w:bottom="1440" w:left="1276" w:header="850" w:footer="994" w:gutter="0"/>
          <w:cols w:space="425"/>
          <w:docGrid w:type="lines" w:linePitch="312"/>
        </w:sectPr>
      </w:pPr>
    </w:p>
    <w:p w14:paraId="3EADA496" w14:textId="77777777" w:rsidR="00F433C3" w:rsidRDefault="00F433C3" w:rsidP="00F433C3">
      <w:pPr>
        <w:pStyle w:val="a"/>
        <w:framePr w:w="0" w:hRule="auto" w:wrap="auto" w:hAnchor="text" w:xAlign="left" w:yAlign="inline"/>
        <w:spacing w:line="240" w:lineRule="auto"/>
        <w:outlineLvl w:val="0"/>
        <w:rPr>
          <w:rFonts w:ascii="宋体" w:eastAsia="宋体" w:hAnsi="宋体"/>
        </w:rPr>
      </w:pPr>
    </w:p>
    <w:p w14:paraId="3EADA497" w14:textId="77777777" w:rsidR="00F433C3" w:rsidRDefault="00F433C3" w:rsidP="00F433C3">
      <w:pPr>
        <w:pStyle w:val="a"/>
        <w:framePr w:w="0" w:hRule="auto" w:wrap="auto" w:hAnchor="text" w:xAlign="left" w:yAlign="inline"/>
        <w:spacing w:line="240" w:lineRule="auto"/>
        <w:outlineLvl w:val="0"/>
        <w:rPr>
          <w:rFonts w:ascii="宋体" w:eastAsia="宋体" w:hAnsi="宋体"/>
        </w:rPr>
      </w:pPr>
    </w:p>
    <w:p w14:paraId="3EADA498" w14:textId="77777777" w:rsidR="00F433C3" w:rsidRPr="00F433C3" w:rsidRDefault="00F433C3" w:rsidP="00F433C3">
      <w:pPr>
        <w:pStyle w:val="Heading1"/>
        <w:rPr>
          <w:sz w:val="36"/>
          <w:szCs w:val="36"/>
        </w:rPr>
      </w:pPr>
      <w:bookmarkStart w:id="15" w:name="_Toc436752868"/>
      <w:r w:rsidRPr="00F433C3">
        <w:rPr>
          <w:sz w:val="36"/>
          <w:szCs w:val="36"/>
        </w:rPr>
        <w:t>第四部分</w:t>
      </w:r>
      <w:r w:rsidRPr="00F433C3">
        <w:rPr>
          <w:rFonts w:hint="eastAsia"/>
          <w:sz w:val="36"/>
          <w:szCs w:val="36"/>
        </w:rPr>
        <w:t xml:space="preserve"> </w:t>
      </w:r>
      <w:r w:rsidRPr="00F433C3">
        <w:rPr>
          <w:rFonts w:eastAsia="宋体" w:cs="宋体" w:hint="eastAsia"/>
          <w:sz w:val="36"/>
          <w:szCs w:val="36"/>
        </w:rPr>
        <w:t>质</w:t>
      </w:r>
      <w:r w:rsidRPr="00F433C3">
        <w:rPr>
          <w:rFonts w:ascii="MS Mincho" w:hAnsi="MS Mincho" w:cs="MS Mincho" w:hint="eastAsia"/>
          <w:sz w:val="36"/>
          <w:szCs w:val="36"/>
        </w:rPr>
        <w:t>量</w:t>
      </w:r>
      <w:r w:rsidRPr="00F433C3">
        <w:rPr>
          <w:rFonts w:eastAsia="宋体" w:cs="宋体" w:hint="eastAsia"/>
          <w:sz w:val="36"/>
          <w:szCs w:val="36"/>
        </w:rPr>
        <w:t>规</w:t>
      </w:r>
      <w:r w:rsidRPr="00F433C3">
        <w:rPr>
          <w:rFonts w:ascii="MS Mincho" w:hAnsi="MS Mincho" w:cs="MS Mincho" w:hint="eastAsia"/>
          <w:sz w:val="36"/>
          <w:szCs w:val="36"/>
        </w:rPr>
        <w:t>格要求、生</w:t>
      </w:r>
      <w:r w:rsidRPr="00F433C3">
        <w:rPr>
          <w:rFonts w:eastAsia="宋体" w:cs="宋体" w:hint="eastAsia"/>
          <w:sz w:val="36"/>
          <w:szCs w:val="36"/>
        </w:rPr>
        <w:t>产</w:t>
      </w:r>
      <w:r w:rsidRPr="00F433C3">
        <w:rPr>
          <w:rFonts w:ascii="MS Mincho" w:hAnsi="MS Mincho" w:cs="MS Mincho" w:hint="eastAsia"/>
          <w:sz w:val="36"/>
          <w:szCs w:val="36"/>
        </w:rPr>
        <w:t>使用工</w:t>
      </w:r>
      <w:r w:rsidRPr="00F433C3">
        <w:rPr>
          <w:rFonts w:eastAsia="宋体" w:cs="宋体" w:hint="eastAsia"/>
          <w:sz w:val="36"/>
          <w:szCs w:val="36"/>
        </w:rPr>
        <w:t>艺</w:t>
      </w:r>
      <w:r w:rsidRPr="00F433C3">
        <w:rPr>
          <w:rFonts w:ascii="MS Mincho" w:hAnsi="MS Mincho" w:cs="MS Mincho" w:hint="eastAsia"/>
          <w:sz w:val="36"/>
          <w:szCs w:val="36"/>
        </w:rPr>
        <w:t>和</w:t>
      </w:r>
      <w:r w:rsidRPr="00F433C3">
        <w:rPr>
          <w:rFonts w:eastAsia="宋体" w:cs="宋体" w:hint="eastAsia"/>
          <w:sz w:val="36"/>
          <w:szCs w:val="36"/>
        </w:rPr>
        <w:t>检测</w:t>
      </w:r>
      <w:r w:rsidRPr="00F433C3">
        <w:rPr>
          <w:rFonts w:ascii="MS Mincho" w:hAnsi="MS Mincho" w:cs="MS Mincho" w:hint="eastAsia"/>
          <w:sz w:val="36"/>
          <w:szCs w:val="36"/>
        </w:rPr>
        <w:t>方法，食品中添加</w:t>
      </w:r>
      <w:r w:rsidRPr="00F433C3">
        <w:rPr>
          <w:rFonts w:eastAsia="宋体" w:cs="宋体" w:hint="eastAsia"/>
          <w:sz w:val="36"/>
          <w:szCs w:val="36"/>
        </w:rPr>
        <w:t>剂</w:t>
      </w:r>
      <w:r w:rsidRPr="00F433C3">
        <w:rPr>
          <w:rFonts w:ascii="MS Mincho" w:hAnsi="MS Mincho" w:cs="MS Mincho" w:hint="eastAsia"/>
          <w:sz w:val="36"/>
          <w:szCs w:val="36"/>
        </w:rPr>
        <w:t>的</w:t>
      </w:r>
      <w:r w:rsidRPr="00F433C3">
        <w:rPr>
          <w:rFonts w:eastAsia="宋体" w:cs="宋体" w:hint="eastAsia"/>
          <w:sz w:val="36"/>
          <w:szCs w:val="36"/>
        </w:rPr>
        <w:t>检验</w:t>
      </w:r>
      <w:r w:rsidRPr="00F433C3">
        <w:rPr>
          <w:rFonts w:ascii="MS Mincho" w:hAnsi="MS Mincho" w:cs="MS Mincho" w:hint="eastAsia"/>
          <w:sz w:val="36"/>
          <w:szCs w:val="36"/>
        </w:rPr>
        <w:t>方法或者相</w:t>
      </w:r>
      <w:r w:rsidRPr="00F433C3">
        <w:rPr>
          <w:sz w:val="36"/>
          <w:szCs w:val="36"/>
        </w:rPr>
        <w:t>关情况</w:t>
      </w:r>
      <w:r w:rsidRPr="00F433C3">
        <w:rPr>
          <w:rFonts w:eastAsia="宋体" w:cs="宋体" w:hint="eastAsia"/>
          <w:sz w:val="36"/>
          <w:szCs w:val="36"/>
        </w:rPr>
        <w:t>说</w:t>
      </w:r>
      <w:r w:rsidRPr="00F433C3">
        <w:rPr>
          <w:rFonts w:ascii="MS Mincho" w:hAnsi="MS Mincho" w:cs="MS Mincho" w:hint="eastAsia"/>
          <w:sz w:val="36"/>
          <w:szCs w:val="36"/>
        </w:rPr>
        <w:t>明</w:t>
      </w:r>
      <w:bookmarkEnd w:id="15"/>
    </w:p>
    <w:p w14:paraId="55D66C3A" w14:textId="77777777" w:rsidR="00145F35" w:rsidRPr="003515F1" w:rsidRDefault="00F433C3" w:rsidP="00145F35">
      <w:pPr>
        <w:pStyle w:val="Heading2"/>
      </w:pPr>
      <w:r w:rsidRPr="003515F1">
        <w:br w:type="page"/>
      </w:r>
      <w:r w:rsidR="00145F35" w:rsidRPr="003515F1">
        <w:lastRenderedPageBreak/>
        <w:t xml:space="preserve">4.1  </w:t>
      </w:r>
      <w:r w:rsidR="00145F35" w:rsidRPr="003515F1">
        <w:rPr>
          <w:rFonts w:cs="宋体" w:hint="eastAsia"/>
        </w:rPr>
        <w:t>质</w:t>
      </w:r>
      <w:r w:rsidR="00145F35" w:rsidRPr="003515F1">
        <w:t>量</w:t>
      </w:r>
      <w:r w:rsidR="00145F35" w:rsidRPr="003515F1">
        <w:rPr>
          <w:rFonts w:cs="宋体" w:hint="eastAsia"/>
        </w:rPr>
        <w:t>规</w:t>
      </w:r>
      <w:r w:rsidR="00145F35" w:rsidRPr="003515F1">
        <w:rPr>
          <w:rFonts w:cs="MS Mincho" w:hint="eastAsia"/>
        </w:rPr>
        <w:t>格要</w:t>
      </w:r>
      <w:r w:rsidR="00145F35" w:rsidRPr="003515F1">
        <w:t>求</w:t>
      </w:r>
    </w:p>
    <w:p w14:paraId="1E02CBDB" w14:textId="77777777" w:rsidR="00145F35" w:rsidRPr="00AD71F8" w:rsidRDefault="00145F35" w:rsidP="00145F35">
      <w:pPr>
        <w:spacing w:line="360" w:lineRule="auto"/>
        <w:ind w:firstLine="360"/>
        <w:outlineLvl w:val="2"/>
        <w:rPr>
          <w:noProof/>
          <w:lang w:val="en-US"/>
        </w:rPr>
      </w:pPr>
      <w:r w:rsidRPr="00AD71F8">
        <w:rPr>
          <w:noProof/>
          <w:lang w:val="en-US"/>
        </w:rPr>
        <w:t>名称：</w:t>
      </w:r>
      <w:r w:rsidRPr="00E40D50">
        <w:rPr>
          <w:rFonts w:ascii="宋体" w:hAnsi="宋体"/>
        </w:rPr>
        <w:t>阿拉伯呋喃糖</w:t>
      </w:r>
      <w:r>
        <w:rPr>
          <w:rFonts w:ascii="宋体" w:hAnsi="宋体" w:hint="eastAsia"/>
        </w:rPr>
        <w:t>苷</w:t>
      </w:r>
      <w:r w:rsidRPr="00E40D50">
        <w:rPr>
          <w:rFonts w:ascii="宋体" w:hAnsi="宋体" w:hint="eastAsia"/>
        </w:rPr>
        <w:t>酶</w:t>
      </w:r>
    </w:p>
    <w:p w14:paraId="6C5361C7" w14:textId="77777777" w:rsidR="00145F35" w:rsidRPr="00AD71F8" w:rsidRDefault="00145F35" w:rsidP="00145F35">
      <w:pPr>
        <w:spacing w:line="360" w:lineRule="auto"/>
        <w:ind w:firstLine="360"/>
        <w:outlineLvl w:val="2"/>
        <w:rPr>
          <w:noProof/>
          <w:lang w:val="en-US"/>
        </w:rPr>
      </w:pPr>
      <w:bookmarkStart w:id="16" w:name="_Hlk513636883"/>
      <w:r w:rsidRPr="00AD71F8">
        <w:rPr>
          <w:noProof/>
          <w:lang w:val="en-US"/>
        </w:rPr>
        <w:t>来源：</w:t>
      </w:r>
      <w:r>
        <w:rPr>
          <w:rFonts w:hint="eastAsia"/>
          <w:noProof/>
          <w:lang w:val="en-US"/>
        </w:rPr>
        <w:t>李氏木霉</w:t>
      </w:r>
      <w:r>
        <w:rPr>
          <w:i/>
        </w:rPr>
        <w:t>Trichoderma reesei</w:t>
      </w:r>
    </w:p>
    <w:p w14:paraId="55DB0B99" w14:textId="77777777" w:rsidR="00145F35" w:rsidRPr="00AD71F8" w:rsidRDefault="00145F35" w:rsidP="00145F35">
      <w:pPr>
        <w:spacing w:line="360" w:lineRule="auto"/>
        <w:ind w:firstLine="360"/>
        <w:outlineLvl w:val="2"/>
        <w:rPr>
          <w:noProof/>
          <w:lang w:val="en-US"/>
        </w:rPr>
      </w:pPr>
      <w:r w:rsidRPr="008C24AD">
        <w:rPr>
          <w:noProof/>
          <w:lang w:val="en-US"/>
        </w:rPr>
        <w:t>供体：</w:t>
      </w:r>
      <w:r w:rsidRPr="008C24AD">
        <w:rPr>
          <w:i/>
        </w:rPr>
        <w:t>Talaromyces pinophilus</w:t>
      </w:r>
    </w:p>
    <w:bookmarkEnd w:id="16"/>
    <w:p w14:paraId="4F58D39C" w14:textId="44DF545D" w:rsidR="00145F35" w:rsidRPr="00DE28C5" w:rsidRDefault="00145F35" w:rsidP="00145F35">
      <w:pPr>
        <w:spacing w:line="360" w:lineRule="auto"/>
        <w:ind w:firstLine="360"/>
        <w:outlineLvl w:val="2"/>
        <w:rPr>
          <w:noProof/>
          <w:lang w:val="en-US"/>
        </w:rPr>
      </w:pPr>
      <w:r w:rsidRPr="00DE28C5">
        <w:rPr>
          <w:noProof/>
          <w:lang w:val="en-US"/>
        </w:rPr>
        <w:t>本产品符合</w:t>
      </w:r>
      <w:r w:rsidRPr="00DE28C5">
        <w:rPr>
          <w:noProof/>
          <w:lang w:val="en-US"/>
        </w:rPr>
        <w:t>GB 1886.174-2016</w:t>
      </w:r>
      <w:r w:rsidRPr="00DE28C5">
        <w:rPr>
          <w:noProof/>
          <w:lang w:val="en-US"/>
        </w:rPr>
        <w:t>《食品安全国家标准</w:t>
      </w:r>
      <w:r w:rsidRPr="00DE28C5">
        <w:rPr>
          <w:noProof/>
          <w:lang w:val="en-US"/>
        </w:rPr>
        <w:t xml:space="preserve"> </w:t>
      </w:r>
      <w:r w:rsidRPr="00DE28C5">
        <w:rPr>
          <w:noProof/>
          <w:lang w:val="en-US"/>
        </w:rPr>
        <w:t>食品工业用酶制剂》的要求。</w:t>
      </w:r>
    </w:p>
    <w:p w14:paraId="1DBAD826" w14:textId="77777777" w:rsidR="00145F35" w:rsidRPr="00AD71F8" w:rsidRDefault="00145F35" w:rsidP="00145F35">
      <w:pPr>
        <w:spacing w:line="360" w:lineRule="auto"/>
        <w:ind w:firstLine="360"/>
        <w:outlineLvl w:val="2"/>
        <w:rPr>
          <w:noProof/>
          <w:lang w:val="en-US"/>
        </w:rPr>
      </w:pPr>
      <w:r w:rsidRPr="00DE28C5">
        <w:rPr>
          <w:rFonts w:hint="eastAsia"/>
          <w:noProof/>
          <w:lang w:val="en-US"/>
        </w:rPr>
        <w:t>检测方法使用</w:t>
      </w:r>
      <w:r w:rsidRPr="00DE28C5">
        <w:rPr>
          <w:noProof/>
          <w:lang w:val="en-US"/>
        </w:rPr>
        <w:t>GB 1886.174-2016</w:t>
      </w:r>
      <w:r w:rsidRPr="00DE28C5">
        <w:rPr>
          <w:noProof/>
          <w:lang w:val="en-US"/>
        </w:rPr>
        <w:t>《食品安全国家标准</w:t>
      </w:r>
      <w:r w:rsidRPr="00DE28C5">
        <w:rPr>
          <w:noProof/>
          <w:lang w:val="en-US"/>
        </w:rPr>
        <w:t xml:space="preserve"> </w:t>
      </w:r>
      <w:r w:rsidRPr="00DE28C5">
        <w:rPr>
          <w:noProof/>
          <w:lang w:val="en-US"/>
        </w:rPr>
        <w:t>食品工业用酶制剂》</w:t>
      </w:r>
      <w:r w:rsidRPr="00DE28C5">
        <w:rPr>
          <w:rFonts w:hint="eastAsia"/>
          <w:noProof/>
          <w:lang w:val="en-US"/>
        </w:rPr>
        <w:t>中规定的检测方法。</w:t>
      </w:r>
    </w:p>
    <w:p w14:paraId="2402E06E" w14:textId="77777777" w:rsidR="00145F35" w:rsidRPr="003515F1" w:rsidRDefault="00145F35" w:rsidP="00145F35">
      <w:pPr>
        <w:pStyle w:val="Heading2"/>
      </w:pPr>
      <w:r w:rsidRPr="003515F1">
        <w:t xml:space="preserve">4.2  </w:t>
      </w:r>
      <w:r w:rsidRPr="003515F1">
        <w:rPr>
          <w:rFonts w:hint="eastAsia"/>
        </w:rPr>
        <w:t>生</w:t>
      </w:r>
      <w:r w:rsidRPr="003515F1">
        <w:rPr>
          <w:rFonts w:cs="宋体" w:hint="eastAsia"/>
        </w:rPr>
        <w:t>产</w:t>
      </w:r>
      <w:r w:rsidRPr="003515F1">
        <w:rPr>
          <w:rFonts w:cs="MS Mincho" w:hint="eastAsia"/>
        </w:rPr>
        <w:t>使用</w:t>
      </w:r>
      <w:r w:rsidRPr="003515F1">
        <w:t>工</w:t>
      </w:r>
      <w:r w:rsidRPr="003515F1">
        <w:rPr>
          <w:rFonts w:cs="宋体" w:hint="eastAsia"/>
        </w:rPr>
        <w:t>艺</w:t>
      </w:r>
    </w:p>
    <w:p w14:paraId="1D689F66" w14:textId="77777777" w:rsidR="00145F35" w:rsidRPr="00D1629A" w:rsidRDefault="00145F35" w:rsidP="00145F35">
      <w:pPr>
        <w:spacing w:line="360" w:lineRule="auto"/>
        <w:rPr>
          <w:color w:val="000000"/>
        </w:rPr>
      </w:pPr>
      <w:r>
        <w:rPr>
          <w:rFonts w:hint="eastAsia"/>
          <w:color w:val="000000"/>
        </w:rPr>
        <w:t xml:space="preserve"> </w:t>
      </w:r>
      <w:r>
        <w:rPr>
          <w:color w:val="000000"/>
        </w:rPr>
        <w:t xml:space="preserve">      </w:t>
      </w:r>
      <w:r w:rsidRPr="00D1629A">
        <w:rPr>
          <w:color w:val="000000"/>
        </w:rPr>
        <w:t>食物酶在食品加工过程中的大多数条件下工作良好，不需要添加活化剂。</w:t>
      </w:r>
    </w:p>
    <w:p w14:paraId="51B7D1D0" w14:textId="77777777" w:rsidR="00145F35" w:rsidRDefault="00145F35" w:rsidP="00145F35">
      <w:pPr>
        <w:spacing w:line="360" w:lineRule="auto"/>
        <w:rPr>
          <w:noProof/>
        </w:rPr>
      </w:pPr>
      <w:r>
        <w:rPr>
          <w:rFonts w:hint="eastAsia"/>
          <w:color w:val="000000"/>
        </w:rPr>
        <w:t xml:space="preserve"> </w:t>
      </w:r>
      <w:r>
        <w:rPr>
          <w:color w:val="000000"/>
        </w:rPr>
        <w:t xml:space="preserve">      </w:t>
      </w:r>
      <w:r w:rsidRPr="00D1629A">
        <w:rPr>
          <w:color w:val="000000"/>
        </w:rPr>
        <w:t>食品加工过程中使用食品酶的条件不仅取决于应用的种类，也取决于每个食品成分和食品制造商的食品生产工艺。为了保证酶制剂在可接受的经济成本下实现最佳效果，应对投加量、反应时间、工艺条件和处理步骤进行调整。我们</w:t>
      </w:r>
      <w:r>
        <w:rPr>
          <w:rFonts w:hint="eastAsia"/>
          <w:color w:val="000000"/>
        </w:rPr>
        <w:t>在</w:t>
      </w:r>
      <w:r>
        <w:rPr>
          <w:color w:val="000000"/>
        </w:rPr>
        <w:t>下面</w:t>
      </w:r>
      <w:r w:rsidRPr="00D1629A">
        <w:rPr>
          <w:color w:val="000000"/>
        </w:rPr>
        <w:t>对应用酶制剂的典型食品加工工业进行一般性描述。</w:t>
      </w:r>
    </w:p>
    <w:p w14:paraId="13F8F687" w14:textId="77777777" w:rsidR="00145F35" w:rsidRPr="00C14BCF" w:rsidRDefault="00145F35" w:rsidP="00145F35">
      <w:pPr>
        <w:spacing w:line="360" w:lineRule="auto"/>
        <w:rPr>
          <w:rFonts w:ascii="Calibri" w:eastAsia="Calibri" w:hAnsi="Calibri"/>
        </w:rPr>
      </w:pPr>
      <w:r>
        <w:rPr>
          <w:rFonts w:hint="eastAsia"/>
          <w:noProof/>
        </w:rPr>
        <w:t xml:space="preserve">   </w:t>
      </w:r>
      <w:r>
        <w:rPr>
          <w:noProof/>
        </w:rPr>
        <w:t xml:space="preserve">    </w:t>
      </w:r>
      <w:r>
        <w:rPr>
          <w:rFonts w:hint="eastAsia"/>
          <w:noProof/>
        </w:rPr>
        <w:t>自</w:t>
      </w:r>
      <w:r>
        <w:rPr>
          <w:rFonts w:hint="eastAsia"/>
          <w:noProof/>
        </w:rPr>
        <w:t>20</w:t>
      </w:r>
      <w:r>
        <w:rPr>
          <w:rFonts w:hint="eastAsia"/>
          <w:noProof/>
        </w:rPr>
        <w:t>世纪</w:t>
      </w:r>
      <w:r>
        <w:rPr>
          <w:rFonts w:hint="eastAsia"/>
          <w:noProof/>
        </w:rPr>
        <w:t>90</w:t>
      </w:r>
      <w:r>
        <w:rPr>
          <w:rFonts w:hint="eastAsia"/>
          <w:noProof/>
        </w:rPr>
        <w:t>年代</w:t>
      </w:r>
      <w:r>
        <w:rPr>
          <w:noProof/>
        </w:rPr>
        <w:t>，</w:t>
      </w:r>
      <w:r w:rsidRPr="00E40D50">
        <w:rPr>
          <w:rFonts w:ascii="宋体" w:hAnsi="宋体"/>
        </w:rPr>
        <w:t>阿拉伯呋喃糖</w:t>
      </w:r>
      <w:r>
        <w:rPr>
          <w:rFonts w:ascii="宋体" w:hAnsi="宋体" w:hint="eastAsia"/>
        </w:rPr>
        <w:t>苷</w:t>
      </w:r>
      <w:r w:rsidRPr="00E40D50">
        <w:rPr>
          <w:rFonts w:ascii="宋体" w:hAnsi="宋体" w:hint="eastAsia"/>
        </w:rPr>
        <w:t>酶</w:t>
      </w:r>
      <w:r>
        <w:rPr>
          <w:rFonts w:ascii="宋体" w:hAnsi="宋体" w:hint="eastAsia"/>
        </w:rPr>
        <w:t>已被</w:t>
      </w:r>
      <w:r>
        <w:rPr>
          <w:rFonts w:ascii="宋体" w:hAnsi="宋体"/>
        </w:rPr>
        <w:t>用作食品加工中的加工助剂。</w:t>
      </w:r>
      <w:r>
        <w:rPr>
          <w:rFonts w:ascii="宋体" w:hAnsi="宋体" w:hint="eastAsia"/>
        </w:rPr>
        <w:t>典型</w:t>
      </w:r>
      <w:r>
        <w:rPr>
          <w:rFonts w:ascii="宋体" w:hAnsi="宋体"/>
        </w:rPr>
        <w:t>的加工过程如下所述。</w:t>
      </w:r>
    </w:p>
    <w:p w14:paraId="511643FA" w14:textId="3603A50A" w:rsidR="00145F35" w:rsidRDefault="00145F35" w:rsidP="00145F35">
      <w:pPr>
        <w:rPr>
          <w:noProof/>
        </w:rPr>
      </w:pPr>
      <w:r>
        <w:rPr>
          <w:rFonts w:hint="eastAsia"/>
          <w:noProof/>
        </w:rPr>
        <w:t xml:space="preserve">   </w:t>
      </w:r>
      <w:r>
        <w:rPr>
          <w:noProof/>
        </w:rPr>
        <w:t xml:space="preserve">     </w:t>
      </w:r>
      <w:r w:rsidRPr="000B101F">
        <w:rPr>
          <w:noProof/>
        </w:rPr>
        <w:t>谷物是高度复杂的原料，给加工</w:t>
      </w:r>
      <w:r>
        <w:rPr>
          <w:noProof/>
        </w:rPr>
        <w:t>过程造成很多困难，而加工过的谷物被分成胚芽、纤维、淀粉和谷蛋白</w:t>
      </w:r>
      <w:r w:rsidRPr="000B101F">
        <w:rPr>
          <w:noProof/>
        </w:rPr>
        <w:t>。</w:t>
      </w:r>
    </w:p>
    <w:p w14:paraId="5E3AAABB" w14:textId="77777777" w:rsidR="00145F35" w:rsidRDefault="00145F35" w:rsidP="00145F35">
      <w:pPr>
        <w:rPr>
          <w:noProof/>
        </w:rPr>
      </w:pPr>
    </w:p>
    <w:p w14:paraId="0BB4AAC4" w14:textId="77777777" w:rsidR="00145F35" w:rsidRDefault="00145F35" w:rsidP="00145F35">
      <w:pPr>
        <w:rPr>
          <w:noProof/>
          <w:lang w:val="da-DK" w:bidi="hi-IN"/>
        </w:rPr>
      </w:pPr>
      <w:r>
        <w:rPr>
          <w:rFonts w:hint="eastAsia"/>
          <w:noProof/>
        </w:rPr>
        <w:t>湿磨分离</w:t>
      </w:r>
      <w:r>
        <w:rPr>
          <w:noProof/>
        </w:rPr>
        <w:t>过程图：</w:t>
      </w:r>
    </w:p>
    <w:p w14:paraId="2D07EB15" w14:textId="568549B0" w:rsidR="00145F35" w:rsidRDefault="00145F35" w:rsidP="00145F35">
      <w:pPr>
        <w:rPr>
          <w:noProof/>
        </w:rPr>
      </w:pPr>
      <w:r w:rsidRPr="009246D2">
        <w:rPr>
          <w:noProof/>
        </w:rPr>
        <w:drawing>
          <wp:inline distT="0" distB="0" distL="0" distR="0" wp14:anchorId="6ECD522D" wp14:editId="56069B6B">
            <wp:extent cx="5791200" cy="3284220"/>
            <wp:effectExtent l="0" t="0" r="0" b="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3284220"/>
                    </a:xfrm>
                    <a:prstGeom prst="rect">
                      <a:avLst/>
                    </a:prstGeom>
                    <a:noFill/>
                    <a:ln>
                      <a:noFill/>
                    </a:ln>
                  </pic:spPr>
                </pic:pic>
              </a:graphicData>
            </a:graphic>
          </wp:inline>
        </w:drawing>
      </w:r>
    </w:p>
    <w:p w14:paraId="23D26237" w14:textId="77777777" w:rsidR="00145F35" w:rsidRDefault="00145F35" w:rsidP="00145F35">
      <w:pPr>
        <w:rPr>
          <w:noProof/>
        </w:rPr>
      </w:pPr>
    </w:p>
    <w:p w14:paraId="150E82EC" w14:textId="77777777" w:rsidR="00145F35" w:rsidRDefault="00145F35" w:rsidP="00145F35">
      <w:pPr>
        <w:pStyle w:val="Heading2"/>
        <w:rPr>
          <w:noProof/>
        </w:rPr>
      </w:pPr>
      <w:r>
        <w:rPr>
          <w:rFonts w:hint="eastAsia"/>
          <w:noProof/>
        </w:rPr>
        <w:t xml:space="preserve">  </w:t>
      </w:r>
      <w:r>
        <w:rPr>
          <w:noProof/>
        </w:rPr>
        <w:t xml:space="preserve">     </w:t>
      </w:r>
    </w:p>
    <w:p w14:paraId="595E1493" w14:textId="77777777" w:rsidR="00145F35" w:rsidRDefault="00145F35">
      <w:pPr>
        <w:spacing w:after="200" w:line="276" w:lineRule="auto"/>
        <w:rPr>
          <w:rFonts w:eastAsiaTheme="majorEastAsia" w:cstheme="majorBidi"/>
          <w:b/>
          <w:bCs/>
          <w:noProof/>
          <w:szCs w:val="26"/>
        </w:rPr>
      </w:pPr>
      <w:r>
        <w:rPr>
          <w:noProof/>
        </w:rPr>
        <w:br w:type="page"/>
      </w:r>
    </w:p>
    <w:p w14:paraId="3EADA4C6" w14:textId="68C14417" w:rsidR="00F433C3" w:rsidRPr="00145F35" w:rsidRDefault="00F433C3" w:rsidP="00145F35">
      <w:pPr>
        <w:pStyle w:val="Heading2"/>
        <w:rPr>
          <w:rFonts w:ascii="宋体" w:hAnsi="宋体"/>
        </w:rPr>
      </w:pPr>
      <w:r w:rsidRPr="003515F1">
        <w:lastRenderedPageBreak/>
        <w:t>4.</w:t>
      </w:r>
      <w:r w:rsidRPr="003515F1">
        <w:rPr>
          <w:rFonts w:hint="eastAsia"/>
        </w:rPr>
        <w:t xml:space="preserve">3 </w:t>
      </w:r>
      <w:r w:rsidRPr="001900B3">
        <w:t>食品中</w:t>
      </w:r>
      <w:r w:rsidRPr="001900B3">
        <w:rPr>
          <w:rFonts w:cs="宋体" w:hint="eastAsia"/>
        </w:rPr>
        <w:t>该</w:t>
      </w:r>
      <w:r w:rsidRPr="001900B3">
        <w:rPr>
          <w:rFonts w:hint="eastAsia"/>
        </w:rPr>
        <w:t>添加</w:t>
      </w:r>
      <w:r w:rsidRPr="001900B3">
        <w:rPr>
          <w:rFonts w:cs="宋体" w:hint="eastAsia"/>
        </w:rPr>
        <w:t>剂</w:t>
      </w:r>
      <w:r w:rsidRPr="001900B3">
        <w:rPr>
          <w:rFonts w:hint="eastAsia"/>
        </w:rPr>
        <w:t>的</w:t>
      </w:r>
      <w:r w:rsidRPr="001900B3">
        <w:rPr>
          <w:rFonts w:cs="宋体" w:hint="eastAsia"/>
        </w:rPr>
        <w:t>检验</w:t>
      </w:r>
      <w:r w:rsidRPr="001900B3">
        <w:rPr>
          <w:rFonts w:hint="eastAsia"/>
        </w:rPr>
        <w:t>方法或者相关情况</w:t>
      </w:r>
      <w:r w:rsidRPr="001900B3">
        <w:rPr>
          <w:rFonts w:cs="宋体" w:hint="eastAsia"/>
        </w:rPr>
        <w:t>说</w:t>
      </w:r>
      <w:r w:rsidRPr="001900B3">
        <w:rPr>
          <w:rFonts w:hint="eastAsia"/>
        </w:rPr>
        <w:t>明</w:t>
      </w:r>
    </w:p>
    <w:p w14:paraId="3EADA4C7" w14:textId="77777777" w:rsidR="00F433C3" w:rsidRPr="00F433C3" w:rsidRDefault="00F433C3" w:rsidP="00F433C3"/>
    <w:p w14:paraId="65B3B273" w14:textId="77777777" w:rsidR="00145F35" w:rsidRPr="00924CEA" w:rsidRDefault="00145F35" w:rsidP="00145F35">
      <w:r>
        <w:rPr>
          <w:rFonts w:hint="eastAsia"/>
          <w:noProof/>
        </w:rPr>
        <w:t xml:space="preserve">     </w:t>
      </w:r>
      <w:r>
        <w:rPr>
          <w:noProof/>
        </w:rPr>
        <w:t xml:space="preserve">  </w:t>
      </w:r>
      <w:r w:rsidRPr="000B101F">
        <w:rPr>
          <w:noProof/>
        </w:rPr>
        <w:t>阿拉伯呋喃糖苷酶</w:t>
      </w:r>
      <w:r>
        <w:rPr>
          <w:rFonts w:hint="eastAsia"/>
          <w:noProof/>
        </w:rPr>
        <w:t>用于水解含有</w:t>
      </w:r>
      <w:r w:rsidRPr="00A2280D">
        <w:rPr>
          <w:noProof/>
        </w:rPr>
        <w:t>阿拉伯糖基木聚</w:t>
      </w:r>
      <w:r w:rsidRPr="00A2280D">
        <w:rPr>
          <w:rFonts w:hint="eastAsia"/>
          <w:noProof/>
        </w:rPr>
        <w:t>糖的</w:t>
      </w:r>
      <w:r w:rsidRPr="00A2280D">
        <w:rPr>
          <w:noProof/>
        </w:rPr>
        <w:t>原材料中的阿拉伯糖基木聚</w:t>
      </w:r>
      <w:r w:rsidRPr="00A2280D">
        <w:rPr>
          <w:rFonts w:hint="eastAsia"/>
          <w:noProof/>
        </w:rPr>
        <w:t>糖</w:t>
      </w:r>
      <w:r>
        <w:rPr>
          <w:rFonts w:hint="eastAsia"/>
          <w:noProof/>
        </w:rPr>
        <w:t>。</w:t>
      </w:r>
      <w:r w:rsidRPr="003515F1">
        <w:rPr>
          <w:rFonts w:ascii="宋体" w:hAnsi="宋体"/>
        </w:rPr>
        <w:t>酶制剂在食品</w:t>
      </w:r>
      <w:r>
        <w:rPr>
          <w:rFonts w:ascii="宋体" w:hAnsi="宋体" w:hint="eastAsia"/>
        </w:rPr>
        <w:t>原料</w:t>
      </w:r>
      <w:r w:rsidRPr="003515F1">
        <w:rPr>
          <w:rFonts w:ascii="宋体" w:hAnsi="宋体"/>
        </w:rPr>
        <w:t>的生产过程中作为食品添加剂类别中“加工助剂”使用</w:t>
      </w:r>
      <w:r>
        <w:rPr>
          <w:rFonts w:hint="eastAsia"/>
        </w:rPr>
        <w:t>。此外</w:t>
      </w:r>
      <w:r>
        <w:t>，</w:t>
      </w:r>
      <w:r>
        <w:rPr>
          <w:rFonts w:hint="eastAsia"/>
          <w:color w:val="222222"/>
        </w:rPr>
        <w:t>食用酶的使用确保加工过程一致并最大限度地减少潜在的终产品差异。酶</w:t>
      </w:r>
      <w:r>
        <w:rPr>
          <w:color w:val="222222"/>
        </w:rPr>
        <w:t>在</w:t>
      </w:r>
      <w:r>
        <w:rPr>
          <w:rFonts w:hint="eastAsia"/>
          <w:color w:val="222222"/>
        </w:rPr>
        <w:t>加工</w:t>
      </w:r>
      <w:r>
        <w:rPr>
          <w:color w:val="222222"/>
        </w:rPr>
        <w:t>过程中会被失活或者去除，因此，在最终食品原料或最终食品中</w:t>
      </w:r>
      <w:r>
        <w:rPr>
          <w:rFonts w:hint="eastAsia"/>
          <w:color w:val="222222"/>
        </w:rPr>
        <w:t>没有</w:t>
      </w:r>
      <w:r>
        <w:rPr>
          <w:color w:val="222222"/>
        </w:rPr>
        <w:t>功能。</w:t>
      </w:r>
    </w:p>
    <w:p w14:paraId="3EADA4C9" w14:textId="46BD42AD" w:rsidR="00F433C3" w:rsidRPr="004B176C" w:rsidRDefault="00F433C3" w:rsidP="00F433C3">
      <w:pPr>
        <w:spacing w:line="360" w:lineRule="auto"/>
        <w:ind w:firstLine="482"/>
        <w:rPr>
          <w:rFonts w:ascii="宋体" w:hAnsi="宋体"/>
        </w:rPr>
      </w:pPr>
    </w:p>
    <w:p w14:paraId="3EADA4CA" w14:textId="77777777" w:rsidR="008318C3" w:rsidRPr="00D221D9" w:rsidRDefault="008318C3" w:rsidP="00D221D9"/>
    <w:sectPr w:rsidR="008318C3" w:rsidRPr="00D221D9" w:rsidSect="00DB0C2C">
      <w:headerReference w:type="default" r:id="rId18"/>
      <w:footerReference w:type="default" r:id="rId19"/>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969E" w14:textId="77777777" w:rsidR="00297E2E" w:rsidRDefault="00297E2E">
      <w:r>
        <w:separator/>
      </w:r>
    </w:p>
  </w:endnote>
  <w:endnote w:type="continuationSeparator" w:id="0">
    <w:p w14:paraId="0F6A21FE" w14:textId="77777777" w:rsidR="00297E2E" w:rsidRDefault="0029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ueFrutiger">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A620" w14:textId="77777777" w:rsidR="00BC2E32" w:rsidRDefault="00BC2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A501" w14:textId="77777777" w:rsidR="00F433C3" w:rsidRPr="006C7F9E" w:rsidRDefault="00F433C3" w:rsidP="008436A4">
    <w:pPr>
      <w:pStyle w:val="Footer"/>
      <w:wordWrap w:val="0"/>
      <w:jc w:val="center"/>
      <w:rPr>
        <w:rFonts w:ascii="Arial" w:hAnsi="Arial" w:cs="Arial"/>
        <w:sz w:val="20"/>
        <w:szCs w:val="20"/>
      </w:rPr>
    </w:pPr>
    <w:r>
      <w:rPr>
        <w:rFonts w:ascii="Arial" w:hAnsi="Arial" w:cs="Arial" w:hint="eastAsia"/>
        <w:sz w:val="20"/>
        <w:szCs w:val="20"/>
      </w:rPr>
      <w:t>第</w:t>
    </w:r>
    <w:r w:rsidRPr="006C7F9E">
      <w:rPr>
        <w:rFonts w:ascii="Arial" w:hAnsi="Arial" w:cs="Arial"/>
        <w:sz w:val="20"/>
        <w:szCs w:val="20"/>
      </w:rPr>
      <w:t xml:space="preserve"> </w:t>
    </w:r>
    <w:r w:rsidRPr="006C7F9E">
      <w:rPr>
        <w:rFonts w:ascii="Arial" w:hAnsi="Arial" w:cs="Arial"/>
        <w:sz w:val="20"/>
        <w:szCs w:val="20"/>
      </w:rPr>
      <w:fldChar w:fldCharType="begin"/>
    </w:r>
    <w:r w:rsidRPr="006C7F9E">
      <w:rPr>
        <w:rFonts w:ascii="Arial" w:hAnsi="Arial" w:cs="Arial"/>
        <w:sz w:val="20"/>
        <w:szCs w:val="20"/>
      </w:rPr>
      <w:instrText xml:space="preserve"> PAGE </w:instrText>
    </w:r>
    <w:r w:rsidRPr="006C7F9E">
      <w:rPr>
        <w:rFonts w:ascii="Arial" w:hAnsi="Arial" w:cs="Arial"/>
        <w:sz w:val="20"/>
        <w:szCs w:val="20"/>
      </w:rPr>
      <w:fldChar w:fldCharType="separate"/>
    </w:r>
    <w:r w:rsidR="008D55F4">
      <w:rPr>
        <w:rFonts w:ascii="Arial" w:hAnsi="Arial" w:cs="Arial"/>
        <w:noProof/>
        <w:sz w:val="20"/>
        <w:szCs w:val="20"/>
      </w:rPr>
      <w:t>2</w:t>
    </w:r>
    <w:r w:rsidRPr="006C7F9E">
      <w:rPr>
        <w:rFonts w:ascii="Arial" w:hAnsi="Arial" w:cs="Arial"/>
        <w:sz w:val="20"/>
        <w:szCs w:val="20"/>
      </w:rPr>
      <w:fldChar w:fldCharType="end"/>
    </w:r>
    <w:r w:rsidRPr="006C7F9E">
      <w:rPr>
        <w:rFonts w:ascii="Arial" w:hAnsi="Arial" w:cs="Arial"/>
        <w:sz w:val="20"/>
        <w:szCs w:val="20"/>
      </w:rPr>
      <w:t xml:space="preserve"> </w:t>
    </w:r>
    <w:r>
      <w:rPr>
        <w:rFonts w:ascii="Arial" w:hAnsi="Arial" w:cs="Arial" w:hint="eastAsia"/>
        <w:sz w:val="20"/>
        <w:szCs w:val="20"/>
      </w:rPr>
      <w:t>页</w:t>
    </w:r>
    <w:r>
      <w:rPr>
        <w:rFonts w:ascii="Arial" w:hAnsi="Arial" w:cs="Arial" w:hint="eastAsia"/>
        <w:sz w:val="20"/>
        <w:szCs w:val="20"/>
      </w:rPr>
      <w:t xml:space="preserve"> </w:t>
    </w:r>
    <w:r>
      <w:rPr>
        <w:rFonts w:ascii="Arial" w:hAnsi="Arial" w:cs="Arial" w:hint="eastAsia"/>
        <w:sz w:val="20"/>
        <w:szCs w:val="20"/>
      </w:rPr>
      <w:t>共</w:t>
    </w:r>
    <w:r w:rsidRPr="006C7F9E">
      <w:rPr>
        <w:rFonts w:ascii="Arial" w:hAnsi="Arial" w:cs="Arial"/>
        <w:sz w:val="20"/>
        <w:szCs w:val="20"/>
      </w:rPr>
      <w:t xml:space="preserve"> </w:t>
    </w:r>
    <w:r w:rsidRPr="006C7F9E">
      <w:rPr>
        <w:rFonts w:ascii="Arial" w:hAnsi="Arial" w:cs="Arial"/>
        <w:sz w:val="20"/>
        <w:szCs w:val="20"/>
      </w:rPr>
      <w:fldChar w:fldCharType="begin"/>
    </w:r>
    <w:r w:rsidRPr="006C7F9E">
      <w:rPr>
        <w:rFonts w:ascii="Arial" w:hAnsi="Arial" w:cs="Arial"/>
        <w:sz w:val="20"/>
        <w:szCs w:val="20"/>
      </w:rPr>
      <w:instrText xml:space="preserve"> NUMPAGES </w:instrText>
    </w:r>
    <w:r w:rsidRPr="006C7F9E">
      <w:rPr>
        <w:rFonts w:ascii="Arial" w:hAnsi="Arial" w:cs="Arial"/>
        <w:sz w:val="20"/>
        <w:szCs w:val="20"/>
      </w:rPr>
      <w:fldChar w:fldCharType="separate"/>
    </w:r>
    <w:r w:rsidR="008D55F4">
      <w:rPr>
        <w:rFonts w:ascii="Arial" w:hAnsi="Arial" w:cs="Arial"/>
        <w:noProof/>
        <w:sz w:val="20"/>
        <w:szCs w:val="20"/>
      </w:rPr>
      <w:t>10</w:t>
    </w:r>
    <w:r w:rsidRPr="006C7F9E">
      <w:rPr>
        <w:rFonts w:ascii="Arial" w:hAnsi="Arial" w:cs="Arial"/>
        <w:sz w:val="20"/>
        <w:szCs w:val="20"/>
      </w:rPr>
      <w:fldChar w:fldCharType="end"/>
    </w:r>
    <w:r>
      <w:rPr>
        <w:rFonts w:ascii="Arial" w:hAnsi="Arial" w:cs="Arial" w:hint="eastAsia"/>
        <w:sz w:val="20"/>
        <w:szCs w:val="2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6CD0" w14:textId="77777777" w:rsidR="00BC2E32" w:rsidRDefault="00BC2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A505" w14:textId="77777777" w:rsidR="00AE402E" w:rsidRDefault="00AE402E"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5A98" w14:textId="77777777" w:rsidR="00297E2E" w:rsidRDefault="00297E2E">
      <w:r>
        <w:separator/>
      </w:r>
    </w:p>
  </w:footnote>
  <w:footnote w:type="continuationSeparator" w:id="0">
    <w:p w14:paraId="04515E68" w14:textId="77777777" w:rsidR="00297E2E" w:rsidRDefault="0029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B5E" w14:textId="77777777" w:rsidR="00BC2E32" w:rsidRDefault="00BC2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A4FF" w14:textId="77777777" w:rsidR="00F433C3" w:rsidRPr="008436A4" w:rsidRDefault="00F433C3" w:rsidP="008436A4">
    <w:pPr>
      <w:pStyle w:val="Header"/>
      <w:jc w:val="center"/>
      <w:rPr>
        <w:rFonts w:ascii="Arial" w:hAnsi="Arial" w:cs="Arial"/>
        <w:sz w:val="20"/>
        <w:szCs w:val="20"/>
      </w:rPr>
    </w:pPr>
    <w:r>
      <w:rPr>
        <w:rFonts w:ascii="Arial" w:hAnsi="Arial" w:cs="Arial" w:hint="eastAsia"/>
        <w:sz w:val="20"/>
        <w:szCs w:val="20"/>
      </w:rPr>
      <w:t>第二部分</w:t>
    </w:r>
    <w:r>
      <w:rPr>
        <w:rFonts w:ascii="Arial" w:hAnsi="Arial" w:cs="Arial" w:hint="eastAsia"/>
        <w:sz w:val="20"/>
        <w:szCs w:val="20"/>
      </w:rPr>
      <w:t xml:space="preserve">   </w:t>
    </w:r>
    <w:r>
      <w:rPr>
        <w:rFonts w:ascii="Arial" w:hAnsi="Arial" w:cs="Arial" w:hint="eastAsia"/>
        <w:sz w:val="20"/>
        <w:szCs w:val="20"/>
      </w:rPr>
      <w:t>通用名称、功能分类，用量和使用范围</w:t>
    </w:r>
  </w:p>
  <w:p w14:paraId="3EADA500" w14:textId="77777777" w:rsidR="00F433C3" w:rsidRDefault="00F433C3" w:rsidP="00227E7E">
    <w:pPr>
      <w:jc w:val="center"/>
    </w:pPr>
    <w:r>
      <w:rPr>
        <w:rFonts w:hint="eastAsia"/>
        <w:noProof/>
        <w:lang w:val="en-US"/>
      </w:rPr>
      <mc:AlternateContent>
        <mc:Choice Requires="wps">
          <w:drawing>
            <wp:anchor distT="0" distB="0" distL="114300" distR="114300" simplePos="0" relativeHeight="251660288" behindDoc="0" locked="0" layoutInCell="1" allowOverlap="1" wp14:anchorId="3EADA506" wp14:editId="3EADA507">
              <wp:simplePos x="0" y="0"/>
              <wp:positionH relativeFrom="column">
                <wp:posOffset>21590</wp:posOffset>
              </wp:positionH>
              <wp:positionV relativeFrom="paragraph">
                <wp:posOffset>96520</wp:posOffset>
              </wp:positionV>
              <wp:extent cx="5815330" cy="0"/>
              <wp:effectExtent l="12700" t="10160" r="10795"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2C62E" id="_x0000_t32" coordsize="21600,21600" o:spt="32" o:oned="t" path="m,l21600,21600e" filled="f">
              <v:path arrowok="t" fillok="f" o:connecttype="none"/>
              <o:lock v:ext="edit" shapetype="t"/>
            </v:shapetype>
            <v:shape id="Straight Arrow Connector 32" o:spid="_x0000_s1026" type="#_x0000_t32" style="position:absolute;margin-left:1.7pt;margin-top:7.6pt;width:45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ZZ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F314" w14:textId="77777777" w:rsidR="00BC2E32" w:rsidRDefault="00BC2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A502" w14:textId="77777777" w:rsidR="00F433C3" w:rsidRPr="008436A4" w:rsidRDefault="00F433C3" w:rsidP="008436A4">
    <w:pPr>
      <w:pStyle w:val="Header"/>
      <w:jc w:val="center"/>
      <w:rPr>
        <w:rFonts w:ascii="Arial" w:hAnsi="Arial" w:cs="Arial"/>
        <w:sz w:val="20"/>
        <w:szCs w:val="20"/>
      </w:rPr>
    </w:pPr>
    <w:r>
      <w:rPr>
        <w:rFonts w:ascii="Arial" w:hAnsi="Arial" w:cs="Arial" w:hint="eastAsia"/>
        <w:sz w:val="20"/>
        <w:szCs w:val="20"/>
      </w:rPr>
      <w:t>第三部分</w:t>
    </w:r>
    <w:r>
      <w:rPr>
        <w:rFonts w:ascii="Arial" w:hAnsi="Arial" w:cs="Arial" w:hint="eastAsia"/>
        <w:sz w:val="20"/>
        <w:szCs w:val="20"/>
      </w:rPr>
      <w:t xml:space="preserve">   </w:t>
    </w:r>
    <w:r>
      <w:rPr>
        <w:rFonts w:ascii="Arial" w:hAnsi="Arial" w:cs="Arial" w:hint="eastAsia"/>
        <w:sz w:val="20"/>
        <w:szCs w:val="20"/>
      </w:rPr>
      <w:t>证明技术确有必要性和使用效果的资料或文件</w:t>
    </w:r>
  </w:p>
  <w:p w14:paraId="3EADA503" w14:textId="77777777" w:rsidR="00F433C3" w:rsidRDefault="00F433C3" w:rsidP="00227E7E">
    <w:pPr>
      <w:jc w:val="center"/>
    </w:pPr>
    <w:r>
      <w:rPr>
        <w:rFonts w:hint="eastAsia"/>
        <w:noProof/>
        <w:lang w:val="en-US"/>
      </w:rPr>
      <mc:AlternateContent>
        <mc:Choice Requires="wps">
          <w:drawing>
            <wp:anchor distT="0" distB="0" distL="114300" distR="114300" simplePos="0" relativeHeight="251659264" behindDoc="0" locked="0" layoutInCell="1" allowOverlap="1" wp14:anchorId="3EADA508" wp14:editId="3EADA509">
              <wp:simplePos x="0" y="0"/>
              <wp:positionH relativeFrom="column">
                <wp:posOffset>21590</wp:posOffset>
              </wp:positionH>
              <wp:positionV relativeFrom="paragraph">
                <wp:posOffset>96520</wp:posOffset>
              </wp:positionV>
              <wp:extent cx="5815330" cy="0"/>
              <wp:effectExtent l="12700" t="10160" r="10795" b="889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A45B8" id="_x0000_t32" coordsize="21600,21600" o:spt="32" o:oned="t" path="m,l21600,21600e" filled="f">
              <v:path arrowok="t" fillok="f" o:connecttype="none"/>
              <o:lock v:ext="edit" shapetype="t"/>
            </v:shapetype>
            <v:shape id="Straight Arrow Connector 31" o:spid="_x0000_s1026" type="#_x0000_t32" style="position:absolute;margin-left:1.7pt;margin-top:7.6pt;width:457.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A504" w14:textId="77777777" w:rsidR="00AE402E" w:rsidRDefault="00AE402E" w:rsidP="00DB0C2C">
    <w:pPr>
      <w:pStyle w:val="Header"/>
      <w:tabs>
        <w:tab w:val="clear" w:pos="4819"/>
        <w:tab w:val="clear" w:pos="9638"/>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A893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2A04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85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8EE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80A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85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AB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60D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C4535E2"/>
    <w:multiLevelType w:val="multilevel"/>
    <w:tmpl w:val="779E5B2A"/>
    <w:lvl w:ilvl="0">
      <w:start w:val="1"/>
      <w:numFmt w:val="none"/>
      <w:lvlText w:val="5"/>
      <w:lvlJc w:val="left"/>
      <w:pPr>
        <w:tabs>
          <w:tab w:val="num" w:pos="432"/>
        </w:tabs>
        <w:ind w:left="432" w:hanging="432"/>
      </w:pPr>
      <w:rPr>
        <w:rFonts w:ascii="黑体" w:eastAsia="黑体" w:hint="eastAsia"/>
      </w:rPr>
    </w:lvl>
    <w:lvl w:ilvl="1">
      <w:start w:val="1"/>
      <w:numFmt w:val="decimal"/>
      <w:lvlText w:val="5.%2"/>
      <w:lvlJc w:val="left"/>
      <w:pPr>
        <w:tabs>
          <w:tab w:val="num" w:pos="576"/>
        </w:tabs>
        <w:ind w:left="576" w:hanging="576"/>
      </w:pPr>
      <w:rPr>
        <w:rFonts w:ascii="黑体" w:eastAsia="黑体" w:hint="eastAsia"/>
        <w:b w:val="0"/>
      </w:rPr>
    </w:lvl>
    <w:lvl w:ilvl="2">
      <w:start w:val="1"/>
      <w:numFmt w:val="decimal"/>
      <w:lvlText w:val="%1.%2.%3"/>
      <w:lvlJc w:val="left"/>
      <w:pPr>
        <w:tabs>
          <w:tab w:val="num" w:pos="720"/>
        </w:tabs>
        <w:ind w:left="720" w:hanging="720"/>
      </w:pPr>
      <w:rPr>
        <w:rFonts w:ascii="TrueFrutiger" w:hAnsi="TrueFrutiger" w:hint="default"/>
        <w:b w:val="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323F56A4"/>
    <w:multiLevelType w:val="hybridMultilevel"/>
    <w:tmpl w:val="16E4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F5225"/>
    <w:multiLevelType w:val="multilevel"/>
    <w:tmpl w:val="1D72F7FE"/>
    <w:lvl w:ilvl="0">
      <w:start w:val="1"/>
      <w:numFmt w:val="bullet"/>
      <w:pStyle w:val="ListBullet"/>
      <w:lvlText w:val=""/>
      <w:lvlJc w:val="left"/>
      <w:pPr>
        <w:ind w:left="567" w:hanging="283"/>
      </w:pPr>
      <w:rPr>
        <w:rFonts w:ascii="Symbol" w:hAnsi="Symbol" w:hint="default"/>
        <w:color w:val="000000"/>
      </w:rPr>
    </w:lvl>
    <w:lvl w:ilvl="1">
      <w:start w:val="1"/>
      <w:numFmt w:val="bullet"/>
      <w:lvlText w:val=""/>
      <w:lvlJc w:val="left"/>
      <w:pPr>
        <w:ind w:left="851" w:hanging="283"/>
      </w:pPr>
      <w:rPr>
        <w:rFonts w:ascii="Symbol" w:hAnsi="Symbol" w:hint="default"/>
        <w:color w:val="AB8422"/>
      </w:rPr>
    </w:lvl>
    <w:lvl w:ilvl="2">
      <w:start w:val="1"/>
      <w:numFmt w:val="bullet"/>
      <w:lvlText w:val=""/>
      <w:lvlJc w:val="left"/>
      <w:pPr>
        <w:ind w:left="1135" w:hanging="283"/>
      </w:pPr>
      <w:rPr>
        <w:rFonts w:ascii="Symbol" w:hAnsi="Symbol" w:hint="default"/>
        <w:color w:val="AB8422"/>
      </w:rPr>
    </w:lvl>
    <w:lvl w:ilvl="3">
      <w:start w:val="1"/>
      <w:numFmt w:val="bullet"/>
      <w:lvlText w:val=""/>
      <w:lvlJc w:val="left"/>
      <w:pPr>
        <w:ind w:left="1419" w:hanging="283"/>
      </w:pPr>
      <w:rPr>
        <w:rFonts w:ascii="Symbol" w:hAnsi="Symbol" w:hint="default"/>
        <w:color w:val="AB8422"/>
      </w:rPr>
    </w:lvl>
    <w:lvl w:ilvl="4">
      <w:start w:val="1"/>
      <w:numFmt w:val="bullet"/>
      <w:lvlText w:val=""/>
      <w:lvlJc w:val="left"/>
      <w:pPr>
        <w:ind w:left="1703" w:hanging="283"/>
      </w:pPr>
      <w:rPr>
        <w:rFonts w:ascii="Symbol" w:hAnsi="Symbol" w:hint="default"/>
        <w:color w:val="AB8422"/>
      </w:rPr>
    </w:lvl>
    <w:lvl w:ilvl="5">
      <w:start w:val="1"/>
      <w:numFmt w:val="bullet"/>
      <w:lvlText w:val=""/>
      <w:lvlJc w:val="left"/>
      <w:pPr>
        <w:ind w:left="1987" w:hanging="283"/>
      </w:pPr>
      <w:rPr>
        <w:rFonts w:ascii="Symbol" w:hAnsi="Symbol" w:hint="default"/>
        <w:color w:val="AB8422"/>
      </w:rPr>
    </w:lvl>
    <w:lvl w:ilvl="6">
      <w:start w:val="1"/>
      <w:numFmt w:val="bullet"/>
      <w:lvlText w:val=""/>
      <w:lvlJc w:val="left"/>
      <w:pPr>
        <w:ind w:left="2271" w:hanging="283"/>
      </w:pPr>
      <w:rPr>
        <w:rFonts w:ascii="Symbol" w:hAnsi="Symbol" w:hint="default"/>
        <w:color w:val="AB8422"/>
      </w:rPr>
    </w:lvl>
    <w:lvl w:ilvl="7">
      <w:start w:val="1"/>
      <w:numFmt w:val="bullet"/>
      <w:lvlText w:val=""/>
      <w:lvlJc w:val="left"/>
      <w:pPr>
        <w:ind w:left="2555" w:hanging="283"/>
      </w:pPr>
      <w:rPr>
        <w:rFonts w:ascii="Symbol" w:hAnsi="Symbol" w:hint="default"/>
        <w:color w:val="AB8422"/>
      </w:rPr>
    </w:lvl>
    <w:lvl w:ilvl="8">
      <w:start w:val="1"/>
      <w:numFmt w:val="bullet"/>
      <w:lvlText w:val=""/>
      <w:lvlJc w:val="left"/>
      <w:pPr>
        <w:ind w:left="2839" w:hanging="283"/>
      </w:pPr>
      <w:rPr>
        <w:rFonts w:ascii="Symbol" w:hAnsi="Symbol" w:hint="default"/>
        <w:color w:val="AB8422"/>
      </w:rPr>
    </w:lvl>
  </w:abstractNum>
  <w:abstractNum w:abstractNumId="11" w15:restartNumberingAfterBreak="0">
    <w:nsid w:val="67090A2C"/>
    <w:multiLevelType w:val="multilevel"/>
    <w:tmpl w:val="65CCDCBC"/>
    <w:lvl w:ilvl="0">
      <w:start w:val="1"/>
      <w:numFmt w:val="decimal"/>
      <w:pStyle w:val="ListNumber"/>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abstractNumId w:val="10"/>
  </w:num>
  <w:num w:numId="2">
    <w:abstractNumId w:val="11"/>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da-DK" w:vendorID="666"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851"/>
  <w:hyphenationZone w:val="425"/>
  <w:drawingGridHorizontalSpacing w:val="78"/>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C3"/>
    <w:rsid w:val="00043BC9"/>
    <w:rsid w:val="00063F18"/>
    <w:rsid w:val="000A0C03"/>
    <w:rsid w:val="000A29E1"/>
    <w:rsid w:val="000D07C5"/>
    <w:rsid w:val="0011247F"/>
    <w:rsid w:val="00123017"/>
    <w:rsid w:val="00145F35"/>
    <w:rsid w:val="00176D04"/>
    <w:rsid w:val="00197FF0"/>
    <w:rsid w:val="001C0F35"/>
    <w:rsid w:val="001C61AC"/>
    <w:rsid w:val="001D11BF"/>
    <w:rsid w:val="001D5822"/>
    <w:rsid w:val="001F16D8"/>
    <w:rsid w:val="00202EB3"/>
    <w:rsid w:val="00203C6B"/>
    <w:rsid w:val="00243B40"/>
    <w:rsid w:val="00274B4A"/>
    <w:rsid w:val="002803AE"/>
    <w:rsid w:val="00283D7B"/>
    <w:rsid w:val="00286A4D"/>
    <w:rsid w:val="002912F6"/>
    <w:rsid w:val="00297E2E"/>
    <w:rsid w:val="002C0B3E"/>
    <w:rsid w:val="003240CA"/>
    <w:rsid w:val="003730B3"/>
    <w:rsid w:val="00384E8B"/>
    <w:rsid w:val="003D2F4E"/>
    <w:rsid w:val="003E0ED2"/>
    <w:rsid w:val="003E7ECB"/>
    <w:rsid w:val="003F7B06"/>
    <w:rsid w:val="004275BA"/>
    <w:rsid w:val="0043064A"/>
    <w:rsid w:val="00490F81"/>
    <w:rsid w:val="00491133"/>
    <w:rsid w:val="004C7F5F"/>
    <w:rsid w:val="00501449"/>
    <w:rsid w:val="00554593"/>
    <w:rsid w:val="00581DDE"/>
    <w:rsid w:val="0061152D"/>
    <w:rsid w:val="006144A8"/>
    <w:rsid w:val="006321B8"/>
    <w:rsid w:val="00641031"/>
    <w:rsid w:val="006753B5"/>
    <w:rsid w:val="0069221D"/>
    <w:rsid w:val="0069618B"/>
    <w:rsid w:val="006F771D"/>
    <w:rsid w:val="00700806"/>
    <w:rsid w:val="00725D98"/>
    <w:rsid w:val="0073310B"/>
    <w:rsid w:val="0073572C"/>
    <w:rsid w:val="00750939"/>
    <w:rsid w:val="007B2432"/>
    <w:rsid w:val="007C3187"/>
    <w:rsid w:val="007C4EB8"/>
    <w:rsid w:val="007D4525"/>
    <w:rsid w:val="0080378C"/>
    <w:rsid w:val="00827C6E"/>
    <w:rsid w:val="008318C3"/>
    <w:rsid w:val="00873AE6"/>
    <w:rsid w:val="008B33FC"/>
    <w:rsid w:val="008C0075"/>
    <w:rsid w:val="008C2D91"/>
    <w:rsid w:val="008D55F4"/>
    <w:rsid w:val="009005C4"/>
    <w:rsid w:val="00914078"/>
    <w:rsid w:val="00944908"/>
    <w:rsid w:val="0094567E"/>
    <w:rsid w:val="009672AA"/>
    <w:rsid w:val="009F3511"/>
    <w:rsid w:val="00A078D0"/>
    <w:rsid w:val="00A12B87"/>
    <w:rsid w:val="00A31653"/>
    <w:rsid w:val="00A33FE8"/>
    <w:rsid w:val="00AE402E"/>
    <w:rsid w:val="00AF3DE1"/>
    <w:rsid w:val="00AF4FF6"/>
    <w:rsid w:val="00B10E6F"/>
    <w:rsid w:val="00B42E0B"/>
    <w:rsid w:val="00B675B1"/>
    <w:rsid w:val="00B87B99"/>
    <w:rsid w:val="00B9239C"/>
    <w:rsid w:val="00BA21FB"/>
    <w:rsid w:val="00BC2E32"/>
    <w:rsid w:val="00BF5824"/>
    <w:rsid w:val="00C029BC"/>
    <w:rsid w:val="00C04D86"/>
    <w:rsid w:val="00C142EF"/>
    <w:rsid w:val="00C26EF4"/>
    <w:rsid w:val="00C85497"/>
    <w:rsid w:val="00C95E11"/>
    <w:rsid w:val="00CB67D9"/>
    <w:rsid w:val="00CC36F6"/>
    <w:rsid w:val="00CD6172"/>
    <w:rsid w:val="00D221D9"/>
    <w:rsid w:val="00D26756"/>
    <w:rsid w:val="00D41D4F"/>
    <w:rsid w:val="00DA5DFE"/>
    <w:rsid w:val="00DB0C2C"/>
    <w:rsid w:val="00E17A90"/>
    <w:rsid w:val="00E26B61"/>
    <w:rsid w:val="00E31D6F"/>
    <w:rsid w:val="00E52563"/>
    <w:rsid w:val="00E8379D"/>
    <w:rsid w:val="00E92E10"/>
    <w:rsid w:val="00E96C4C"/>
    <w:rsid w:val="00EB1406"/>
    <w:rsid w:val="00EB2930"/>
    <w:rsid w:val="00EB3BDF"/>
    <w:rsid w:val="00ED774F"/>
    <w:rsid w:val="00EF35A3"/>
    <w:rsid w:val="00EF56A0"/>
    <w:rsid w:val="00F36D04"/>
    <w:rsid w:val="00F433C3"/>
    <w:rsid w:val="00F50C9E"/>
    <w:rsid w:val="00F52B07"/>
    <w:rsid w:val="00F60759"/>
    <w:rsid w:val="00FA5523"/>
    <w:rsid w:val="00FA640C"/>
    <w:rsid w:val="00FD3F52"/>
    <w:rsid w:val="00FF09C3"/>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DA443"/>
  <w15:docId w15:val="{9C5A358D-C4AB-443F-BC0B-B4533CF8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0" w:defUnhideWhenUsed="0" w:defQFormat="0" w:count="375">
    <w:lsdException w:name="Normal" w:semiHidden="1" w:uiPriority="0" w:qFormat="1"/>
    <w:lsdException w:name="heading 1" w:semiHidden="1" w:uiPriority="0" w:qFormat="1"/>
    <w:lsdException w:name="heading 2" w:semiHidden="1" w:uiPriority="0" w:qFormat="1"/>
    <w:lsdException w:name="heading 3" w:semiHidden="1"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3C3"/>
    <w:pPr>
      <w:spacing w:after="0" w:line="240" w:lineRule="auto"/>
    </w:pPr>
    <w:rPr>
      <w:rFonts w:ascii="Times New Roman" w:eastAsia="宋体" w:hAnsi="Times New Roman" w:cs="Times New Roman"/>
      <w:sz w:val="24"/>
      <w:szCs w:val="24"/>
      <w:lang w:val="en-GB"/>
    </w:rPr>
  </w:style>
  <w:style w:type="paragraph" w:styleId="Heading1">
    <w:name w:val="heading 1"/>
    <w:basedOn w:val="Normal"/>
    <w:next w:val="Normal"/>
    <w:link w:val="Heading1Char"/>
    <w:qFormat/>
    <w:rsid w:val="000D7466"/>
    <w:pPr>
      <w:keepNext/>
      <w:keepLines/>
      <w:spacing w:before="240" w:line="280" w:lineRule="atLeast"/>
      <w:contextualSpacing/>
      <w:outlineLvl w:val="0"/>
    </w:pPr>
    <w:rPr>
      <w:rFonts w:eastAsiaTheme="majorEastAsia" w:cstheme="majorBidi"/>
      <w:b/>
      <w:bCs/>
      <w:szCs w:val="28"/>
    </w:rPr>
  </w:style>
  <w:style w:type="paragraph" w:styleId="Heading2">
    <w:name w:val="heading 2"/>
    <w:basedOn w:val="Normal"/>
    <w:next w:val="Normal"/>
    <w:link w:val="Heading2Char"/>
    <w:qFormat/>
    <w:rsid w:val="00BB05C4"/>
    <w:pPr>
      <w:keepNext/>
      <w:keepLines/>
      <w:spacing w:line="280" w:lineRule="atLeast"/>
      <w:contextualSpacing/>
      <w:outlineLvl w:val="1"/>
    </w:pPr>
    <w:rPr>
      <w:rFonts w:eastAsiaTheme="majorEastAsia" w:cstheme="majorBidi"/>
      <w:b/>
      <w:bCs/>
      <w:szCs w:val="26"/>
    </w:rPr>
  </w:style>
  <w:style w:type="paragraph" w:styleId="Heading3">
    <w:name w:val="heading 3"/>
    <w:basedOn w:val="Normal"/>
    <w:next w:val="Normal"/>
    <w:link w:val="Heading3Char"/>
    <w:uiPriority w:val="2"/>
    <w:unhideWhenUsed/>
    <w:qFormat/>
    <w:rsid w:val="00BB05C4"/>
    <w:pPr>
      <w:keepNext/>
      <w:keepLines/>
      <w:spacing w:before="200"/>
      <w:outlineLvl w:val="2"/>
    </w:pPr>
    <w:rPr>
      <w:rFonts w:eastAsiaTheme="majorEastAsia" w:cstheme="majorBidi"/>
      <w:bCs/>
      <w:u w:val="single"/>
    </w:rPr>
  </w:style>
  <w:style w:type="paragraph" w:styleId="Heading4">
    <w:name w:val="heading 4"/>
    <w:basedOn w:val="Normal"/>
    <w:next w:val="Normal"/>
    <w:link w:val="Heading4Char"/>
    <w:unhideWhenUsed/>
    <w:qFormat/>
    <w:rsid w:val="00BB05C4"/>
    <w:pPr>
      <w:keepNext/>
      <w:keepLines/>
      <w:spacing w:before="200"/>
      <w:outlineLvl w:val="3"/>
    </w:pPr>
    <w:rPr>
      <w:rFonts w:eastAsiaTheme="majorEastAsia" w:cstheme="majorBidi"/>
      <w:bCs/>
      <w:i/>
      <w:iCs/>
    </w:rPr>
  </w:style>
  <w:style w:type="paragraph" w:styleId="Heading5">
    <w:name w:val="heading 5"/>
    <w:basedOn w:val="Heading4"/>
    <w:next w:val="Normal"/>
    <w:link w:val="Heading5Char"/>
    <w:qFormat/>
    <w:rsid w:val="00D221E0"/>
    <w:pPr>
      <w:outlineLvl w:val="4"/>
    </w:pPr>
  </w:style>
  <w:style w:type="paragraph" w:styleId="Heading6">
    <w:name w:val="heading 6"/>
    <w:basedOn w:val="Normal"/>
    <w:next w:val="Normal"/>
    <w:link w:val="Heading6Char"/>
    <w:qFormat/>
    <w:rsid w:val="00F433C3"/>
    <w:pPr>
      <w:keepNext/>
      <w:tabs>
        <w:tab w:val="left" w:pos="851"/>
        <w:tab w:val="num" w:pos="1152"/>
        <w:tab w:val="left" w:pos="1418"/>
        <w:tab w:val="left" w:pos="1985"/>
        <w:tab w:val="left" w:pos="2552"/>
        <w:tab w:val="left" w:pos="5103"/>
        <w:tab w:val="right" w:pos="7370"/>
      </w:tabs>
      <w:suppressAutoHyphens/>
      <w:overflowPunct w:val="0"/>
      <w:autoSpaceDE w:val="0"/>
      <w:autoSpaceDN w:val="0"/>
      <w:adjustRightInd w:val="0"/>
      <w:ind w:left="1152" w:hanging="1152"/>
      <w:jc w:val="center"/>
      <w:textAlignment w:val="baseline"/>
      <w:outlineLvl w:val="5"/>
    </w:pPr>
    <w:rPr>
      <w:rFonts w:ascii="Arial" w:eastAsia="MS Mincho" w:hAnsi="Arial"/>
      <w:b/>
      <w:i/>
      <w:color w:val="0000FF"/>
      <w:spacing w:val="-4"/>
      <w:sz w:val="40"/>
      <w:szCs w:val="20"/>
      <w:lang w:eastAsia="en-US"/>
    </w:rPr>
  </w:style>
  <w:style w:type="paragraph" w:styleId="Heading7">
    <w:name w:val="heading 7"/>
    <w:basedOn w:val="Normal"/>
    <w:next w:val="Normal"/>
    <w:link w:val="Heading7Char"/>
    <w:qFormat/>
    <w:rsid w:val="00F433C3"/>
    <w:pPr>
      <w:keepNext/>
      <w:tabs>
        <w:tab w:val="num" w:pos="1296"/>
      </w:tabs>
      <w:overflowPunct w:val="0"/>
      <w:autoSpaceDE w:val="0"/>
      <w:autoSpaceDN w:val="0"/>
      <w:adjustRightInd w:val="0"/>
      <w:ind w:left="1296" w:right="176" w:hanging="1296"/>
      <w:jc w:val="center"/>
      <w:textAlignment w:val="baseline"/>
      <w:outlineLvl w:val="6"/>
    </w:pPr>
    <w:rPr>
      <w:rFonts w:ascii="Arial" w:eastAsia="MS Mincho" w:hAnsi="Arial"/>
      <w:szCs w:val="20"/>
      <w:lang w:eastAsia="en-US"/>
    </w:rPr>
  </w:style>
  <w:style w:type="paragraph" w:styleId="Heading8">
    <w:name w:val="heading 8"/>
    <w:basedOn w:val="Normal"/>
    <w:next w:val="Normal"/>
    <w:link w:val="Heading8Char"/>
    <w:qFormat/>
    <w:rsid w:val="00F433C3"/>
    <w:pPr>
      <w:keepNext/>
      <w:tabs>
        <w:tab w:val="num" w:pos="1440"/>
      </w:tabs>
      <w:overflowPunct w:val="0"/>
      <w:autoSpaceDE w:val="0"/>
      <w:autoSpaceDN w:val="0"/>
      <w:adjustRightInd w:val="0"/>
      <w:ind w:left="1440" w:hanging="1440"/>
      <w:textAlignment w:val="baseline"/>
      <w:outlineLvl w:val="7"/>
    </w:pPr>
    <w:rPr>
      <w:rFonts w:ascii="Arial" w:eastAsia="MS Mincho" w:hAnsi="Arial"/>
      <w:i/>
      <w:color w:val="0000FF"/>
      <w:spacing w:val="-3"/>
      <w:sz w:val="22"/>
      <w:szCs w:val="20"/>
      <w:u w:val="single"/>
      <w:lang w:eastAsia="en-US"/>
    </w:rPr>
  </w:style>
  <w:style w:type="paragraph" w:styleId="Heading9">
    <w:name w:val="heading 9"/>
    <w:basedOn w:val="Normal"/>
    <w:next w:val="Normal"/>
    <w:link w:val="Heading9Char"/>
    <w:qFormat/>
    <w:rsid w:val="00F433C3"/>
    <w:pPr>
      <w:keepNext/>
      <w:tabs>
        <w:tab w:val="num" w:pos="1584"/>
      </w:tabs>
      <w:overflowPunct w:val="0"/>
      <w:autoSpaceDE w:val="0"/>
      <w:autoSpaceDN w:val="0"/>
      <w:adjustRightInd w:val="0"/>
      <w:ind w:left="1584" w:hanging="1584"/>
      <w:textAlignment w:val="baseline"/>
      <w:outlineLvl w:val="8"/>
    </w:pPr>
    <w:rPr>
      <w:rFonts w:ascii="Arial" w:eastAsia="MS Mincho" w:hAnsi="Arial"/>
      <w:i/>
      <w:color w:val="0000FF"/>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72AA"/>
    <w:pPr>
      <w:tabs>
        <w:tab w:val="center" w:pos="4819"/>
        <w:tab w:val="right" w:pos="9638"/>
      </w:tabs>
    </w:pPr>
    <w:rPr>
      <w:sz w:val="18"/>
    </w:rPr>
  </w:style>
  <w:style w:type="paragraph" w:styleId="Footer">
    <w:name w:val="footer"/>
    <w:basedOn w:val="Normal"/>
    <w:rsid w:val="009672AA"/>
    <w:pPr>
      <w:tabs>
        <w:tab w:val="center" w:pos="4819"/>
        <w:tab w:val="right" w:pos="9638"/>
      </w:tabs>
    </w:pPr>
    <w:rPr>
      <w:sz w:val="16"/>
    </w:rPr>
  </w:style>
  <w:style w:type="character" w:styleId="Hyperlink">
    <w:name w:val="Hyperlink"/>
    <w:basedOn w:val="DefaultParagraphFont"/>
    <w:semiHidden/>
    <w:rsid w:val="002803AE"/>
    <w:rPr>
      <w:rFonts w:ascii="Verdana" w:hAnsi="Verdana"/>
      <w:color w:val="0000FF"/>
      <w:sz w:val="20"/>
      <w:u w:val="single"/>
    </w:rPr>
  </w:style>
  <w:style w:type="paragraph" w:styleId="NormalWeb">
    <w:name w:val="Normal (Web)"/>
    <w:basedOn w:val="Normal"/>
    <w:semiHidden/>
    <w:rsid w:val="002803AE"/>
  </w:style>
  <w:style w:type="character" w:customStyle="1" w:styleId="Heading1Char">
    <w:name w:val="Heading 1 Char"/>
    <w:basedOn w:val="DefaultParagraphFont"/>
    <w:link w:val="Heading1"/>
    <w:uiPriority w:val="2"/>
    <w:rsid w:val="000D7466"/>
    <w:rPr>
      <w:rFonts w:ascii="Arial" w:eastAsiaTheme="majorEastAsia" w:hAnsi="Arial" w:cstheme="majorBidi"/>
      <w:b/>
      <w:bCs/>
      <w:color w:val="000000"/>
      <w:sz w:val="24"/>
      <w:szCs w:val="28"/>
      <w:lang w:val="en-US"/>
    </w:rPr>
  </w:style>
  <w:style w:type="character" w:customStyle="1" w:styleId="Heading2Char">
    <w:name w:val="Heading 2 Char"/>
    <w:basedOn w:val="DefaultParagraphFont"/>
    <w:link w:val="Heading2"/>
    <w:uiPriority w:val="2"/>
    <w:rsid w:val="00BB05C4"/>
    <w:rPr>
      <w:rFonts w:ascii="Arial" w:eastAsiaTheme="majorEastAsia" w:hAnsi="Arial" w:cstheme="majorBidi"/>
      <w:b/>
      <w:bCs/>
      <w:color w:val="000000"/>
      <w:sz w:val="20"/>
      <w:szCs w:val="26"/>
      <w:lang w:val="en-US"/>
    </w:rPr>
  </w:style>
  <w:style w:type="paragraph" w:styleId="Title">
    <w:name w:val="Title"/>
    <w:basedOn w:val="Normal"/>
    <w:next w:val="Normal"/>
    <w:link w:val="TitleChar"/>
    <w:uiPriority w:val="1"/>
    <w:qFormat/>
    <w:rsid w:val="00A01204"/>
    <w:pPr>
      <w:spacing w:after="140" w:line="480" w:lineRule="atLeast"/>
    </w:pPr>
    <w:rPr>
      <w:rFonts w:eastAsiaTheme="majorEastAsia" w:cstheme="majorBidi"/>
      <w:b/>
      <w:sz w:val="40"/>
      <w:szCs w:val="52"/>
    </w:rPr>
  </w:style>
  <w:style w:type="character" w:customStyle="1" w:styleId="TitleChar">
    <w:name w:val="Title Char"/>
    <w:basedOn w:val="DefaultParagraphFont"/>
    <w:link w:val="Title"/>
    <w:uiPriority w:val="1"/>
    <w:rsid w:val="00A01204"/>
    <w:rPr>
      <w:rFonts w:ascii="Arial" w:eastAsiaTheme="majorEastAsia" w:hAnsi="Arial" w:cstheme="majorBidi"/>
      <w:b/>
      <w:color w:val="2D0028"/>
      <w:sz w:val="40"/>
      <w:szCs w:val="52"/>
      <w:lang w:val="en-US"/>
    </w:rPr>
  </w:style>
  <w:style w:type="paragraph" w:styleId="Caption">
    <w:name w:val="caption"/>
    <w:basedOn w:val="Normal"/>
    <w:next w:val="Normal"/>
    <w:uiPriority w:val="4"/>
    <w:qFormat/>
    <w:rsid w:val="00A01204"/>
    <w:pPr>
      <w:spacing w:before="150" w:line="280" w:lineRule="atLeast"/>
      <w:contextualSpacing/>
    </w:pPr>
    <w:rPr>
      <w:bCs/>
      <w:szCs w:val="18"/>
    </w:rPr>
  </w:style>
  <w:style w:type="paragraph" w:styleId="ListBullet">
    <w:name w:val="List Bullet"/>
    <w:basedOn w:val="Normal"/>
    <w:uiPriority w:val="3"/>
    <w:qFormat/>
    <w:rsid w:val="00C3411A"/>
    <w:pPr>
      <w:numPr>
        <w:numId w:val="1"/>
      </w:numPr>
      <w:spacing w:line="280" w:lineRule="atLeast"/>
      <w:contextualSpacing/>
    </w:pPr>
    <w:rPr>
      <w:szCs w:val="20"/>
      <w:lang w:val="da-DK"/>
    </w:rPr>
  </w:style>
  <w:style w:type="paragraph" w:styleId="ListNumber">
    <w:name w:val="List Number"/>
    <w:basedOn w:val="Normal"/>
    <w:uiPriority w:val="3"/>
    <w:qFormat/>
    <w:rsid w:val="00F5548A"/>
    <w:pPr>
      <w:numPr>
        <w:numId w:val="2"/>
      </w:numPr>
      <w:spacing w:line="280" w:lineRule="atLeast"/>
      <w:contextualSpacing/>
    </w:pPr>
    <w:rPr>
      <w:szCs w:val="20"/>
    </w:rPr>
  </w:style>
  <w:style w:type="paragraph" w:customStyle="1" w:styleId="Introduction">
    <w:name w:val="Introduction"/>
    <w:basedOn w:val="Normal"/>
    <w:uiPriority w:val="1"/>
    <w:qFormat/>
    <w:rsid w:val="00BB05C4"/>
    <w:pPr>
      <w:spacing w:after="540" w:line="280" w:lineRule="atLeast"/>
      <w:contextualSpacing/>
    </w:pPr>
    <w:rPr>
      <w:szCs w:val="20"/>
    </w:rPr>
  </w:style>
  <w:style w:type="character" w:customStyle="1" w:styleId="Heading3Char">
    <w:name w:val="Heading 3 Char"/>
    <w:basedOn w:val="DefaultParagraphFont"/>
    <w:link w:val="Heading3"/>
    <w:uiPriority w:val="2"/>
    <w:rsid w:val="00BB05C4"/>
    <w:rPr>
      <w:rFonts w:ascii="Arial" w:eastAsiaTheme="majorEastAsia" w:hAnsi="Arial" w:cstheme="majorBidi"/>
      <w:bCs/>
      <w:color w:val="000000"/>
      <w:sz w:val="20"/>
      <w:u w:val="single"/>
      <w:lang w:val="en-US"/>
    </w:rPr>
  </w:style>
  <w:style w:type="character" w:customStyle="1" w:styleId="Heading4Char">
    <w:name w:val="Heading 4 Char"/>
    <w:basedOn w:val="DefaultParagraphFont"/>
    <w:link w:val="Heading4"/>
    <w:uiPriority w:val="2"/>
    <w:rsid w:val="00BB05C4"/>
    <w:rPr>
      <w:rFonts w:ascii="Arial" w:eastAsiaTheme="majorEastAsia" w:hAnsi="Arial" w:cstheme="majorBidi"/>
      <w:bCs/>
      <w:i/>
      <w:iCs/>
      <w:color w:val="000000"/>
      <w:sz w:val="20"/>
      <w:lang w:val="en-US"/>
    </w:rPr>
  </w:style>
  <w:style w:type="character" w:customStyle="1" w:styleId="Heading5Char">
    <w:name w:val="Heading 5 Char"/>
    <w:basedOn w:val="DefaultParagraphFont"/>
    <w:link w:val="Heading5"/>
    <w:uiPriority w:val="3"/>
    <w:semiHidden/>
    <w:rsid w:val="00170696"/>
    <w:rPr>
      <w:rFonts w:ascii="Verdana" w:eastAsiaTheme="majorEastAsia" w:hAnsi="Verdana" w:cstheme="majorBidi"/>
      <w:bCs/>
      <w:i/>
      <w:iCs/>
      <w:color w:val="000000" w:themeColor="text1"/>
      <w:sz w:val="20"/>
    </w:rPr>
  </w:style>
  <w:style w:type="character" w:customStyle="1" w:styleId="Heading6Char">
    <w:name w:val="Heading 6 Char"/>
    <w:basedOn w:val="DefaultParagraphFont"/>
    <w:link w:val="Heading6"/>
    <w:rsid w:val="00F433C3"/>
    <w:rPr>
      <w:rFonts w:ascii="Arial" w:eastAsia="MS Mincho" w:hAnsi="Arial" w:cs="Times New Roman"/>
      <w:b/>
      <w:i/>
      <w:color w:val="0000FF"/>
      <w:spacing w:val="-4"/>
      <w:sz w:val="40"/>
      <w:szCs w:val="20"/>
      <w:lang w:val="en-GB" w:eastAsia="en-US"/>
    </w:rPr>
  </w:style>
  <w:style w:type="character" w:customStyle="1" w:styleId="Heading7Char">
    <w:name w:val="Heading 7 Char"/>
    <w:basedOn w:val="DefaultParagraphFont"/>
    <w:link w:val="Heading7"/>
    <w:rsid w:val="00F433C3"/>
    <w:rPr>
      <w:rFonts w:ascii="Arial" w:eastAsia="MS Mincho" w:hAnsi="Arial" w:cs="Times New Roman"/>
      <w:sz w:val="24"/>
      <w:szCs w:val="20"/>
      <w:lang w:val="en-GB" w:eastAsia="en-US"/>
    </w:rPr>
  </w:style>
  <w:style w:type="character" w:customStyle="1" w:styleId="Heading8Char">
    <w:name w:val="Heading 8 Char"/>
    <w:basedOn w:val="DefaultParagraphFont"/>
    <w:link w:val="Heading8"/>
    <w:rsid w:val="00F433C3"/>
    <w:rPr>
      <w:rFonts w:ascii="Arial" w:eastAsia="MS Mincho" w:hAnsi="Arial" w:cs="Times New Roman"/>
      <w:i/>
      <w:color w:val="0000FF"/>
      <w:spacing w:val="-3"/>
      <w:szCs w:val="20"/>
      <w:u w:val="single"/>
      <w:lang w:val="en-GB" w:eastAsia="en-US"/>
    </w:rPr>
  </w:style>
  <w:style w:type="character" w:customStyle="1" w:styleId="Heading9Char">
    <w:name w:val="Heading 9 Char"/>
    <w:basedOn w:val="DefaultParagraphFont"/>
    <w:link w:val="Heading9"/>
    <w:rsid w:val="00F433C3"/>
    <w:rPr>
      <w:rFonts w:ascii="Arial" w:eastAsia="MS Mincho" w:hAnsi="Arial" w:cs="Times New Roman"/>
      <w:i/>
      <w:color w:val="0000FF"/>
      <w:szCs w:val="20"/>
      <w:u w:val="single"/>
      <w:lang w:val="en-GB" w:eastAsia="en-US"/>
    </w:rPr>
  </w:style>
  <w:style w:type="paragraph" w:customStyle="1" w:styleId="a">
    <w:name w:val="封面标准名称"/>
    <w:rsid w:val="00F433C3"/>
    <w:pPr>
      <w:framePr w:w="9638" w:h="6917" w:hRule="exact" w:wrap="around" w:hAnchor="margin" w:xAlign="center" w:y="5955" w:anchorLock="1"/>
      <w:widowControl w:val="0"/>
      <w:spacing w:after="0" w:line="680" w:lineRule="exact"/>
      <w:jc w:val="center"/>
      <w:textAlignment w:val="center"/>
    </w:pPr>
    <w:rPr>
      <w:rFonts w:ascii="黑体" w:eastAsia="黑体" w:hAnsi="Times New Roman" w:cs="Times New Roman"/>
      <w:sz w:val="52"/>
      <w:szCs w:val="20"/>
      <w:lang w:val="en-US"/>
    </w:rPr>
  </w:style>
  <w:style w:type="character" w:customStyle="1" w:styleId="HeaderChar">
    <w:name w:val="Header Char"/>
    <w:link w:val="Header"/>
    <w:uiPriority w:val="99"/>
    <w:rsid w:val="00F433C3"/>
    <w:rPr>
      <w:rFonts w:ascii="Arial" w:hAnsi="Arial"/>
      <w:color w:val="000000"/>
      <w:sz w:val="18"/>
      <w:lang w:val="en-US"/>
    </w:rPr>
  </w:style>
  <w:style w:type="paragraph" w:styleId="ListParagraph">
    <w:name w:val="List Paragraph"/>
    <w:aliases w:val="Normal_List"/>
    <w:basedOn w:val="Normal"/>
    <w:uiPriority w:val="34"/>
    <w:qFormat/>
    <w:rsid w:val="00F433C3"/>
    <w:pPr>
      <w:spacing w:after="120"/>
      <w:ind w:left="720"/>
      <w:contextualSpacing/>
      <w:jc w:val="both"/>
    </w:pPr>
    <w:rPr>
      <w:rFonts w:ascii="Calibri" w:eastAsia="Calibri" w:hAnsi="Calibri"/>
      <w:szCs w:val="22"/>
      <w:lang w:eastAsia="en-US"/>
    </w:rPr>
  </w:style>
  <w:style w:type="paragraph" w:styleId="BalloonText">
    <w:name w:val="Balloon Text"/>
    <w:basedOn w:val="Normal"/>
    <w:link w:val="BalloonTextChar"/>
    <w:uiPriority w:val="99"/>
    <w:semiHidden/>
    <w:unhideWhenUsed/>
    <w:rsid w:val="00F433C3"/>
    <w:rPr>
      <w:rFonts w:ascii="Tahoma" w:hAnsi="Tahoma" w:cs="Tahoma"/>
      <w:sz w:val="16"/>
      <w:szCs w:val="16"/>
    </w:rPr>
  </w:style>
  <w:style w:type="character" w:customStyle="1" w:styleId="BalloonTextChar">
    <w:name w:val="Balloon Text Char"/>
    <w:basedOn w:val="DefaultParagraphFont"/>
    <w:link w:val="BalloonText"/>
    <w:uiPriority w:val="99"/>
    <w:semiHidden/>
    <w:rsid w:val="00F433C3"/>
    <w:rPr>
      <w:rFonts w:ascii="Tahoma" w:eastAsia="宋体" w:hAnsi="Tahoma" w:cs="Tahoma"/>
      <w:sz w:val="16"/>
      <w:szCs w:val="16"/>
      <w:lang w:val="en-GB"/>
    </w:rPr>
  </w:style>
  <w:style w:type="paragraph" w:styleId="BodyText">
    <w:name w:val="Body Text"/>
    <w:basedOn w:val="Normal"/>
    <w:link w:val="BodyTextChar"/>
    <w:rsid w:val="00145F35"/>
    <w:pPr>
      <w:overflowPunct w:val="0"/>
      <w:autoSpaceDE w:val="0"/>
      <w:autoSpaceDN w:val="0"/>
      <w:adjustRightInd w:val="0"/>
      <w:textAlignment w:val="baseline"/>
    </w:pPr>
    <w:rPr>
      <w:rFonts w:ascii="Arial" w:eastAsia="Times New Roman" w:hAnsi="Arial"/>
      <w:sz w:val="22"/>
      <w:szCs w:val="20"/>
      <w:lang w:eastAsia="en-US"/>
    </w:rPr>
  </w:style>
  <w:style w:type="character" w:customStyle="1" w:styleId="BodyTextChar">
    <w:name w:val="Body Text Char"/>
    <w:basedOn w:val="DefaultParagraphFont"/>
    <w:link w:val="BodyText"/>
    <w:rsid w:val="00145F35"/>
    <w:rPr>
      <w:rFonts w:ascii="Arial" w:eastAsia="Times New Roman" w:hAnsi="Arial" w:cs="Times New Roman"/>
      <w:szCs w:val="20"/>
      <w:lang w:val="en-GB" w:eastAsia="en-US"/>
    </w:rPr>
  </w:style>
  <w:style w:type="paragraph" w:customStyle="1" w:styleId="Heading4-notintableofcontent">
    <w:name w:val="Heading 4 - not in table of content"/>
    <w:basedOn w:val="Heading4"/>
    <w:next w:val="Normal"/>
    <w:qFormat/>
    <w:rsid w:val="00145F35"/>
    <w:pPr>
      <w:spacing w:before="240" w:after="120"/>
    </w:pPr>
    <w:rPr>
      <w:rFonts w:ascii="Calibri" w:eastAsia="宋体" w:hAnsi="Calibri" w:cs="Mangal"/>
      <w:b/>
      <w:i w:val="0"/>
      <w:noProof/>
      <w:sz w:val="32"/>
      <w:szCs w:val="22"/>
      <w:lang w:eastAsia="en-US"/>
    </w:rPr>
  </w:style>
  <w:style w:type="paragraph" w:customStyle="1" w:styleId="21">
    <w:name w:val="标题 21"/>
    <w:basedOn w:val="Normal"/>
    <w:uiPriority w:val="1"/>
    <w:qFormat/>
    <w:rsid w:val="00145F35"/>
    <w:pPr>
      <w:widowControl w:val="0"/>
      <w:autoSpaceDE w:val="0"/>
      <w:autoSpaceDN w:val="0"/>
      <w:adjustRightInd w:val="0"/>
      <w:ind w:left="120"/>
      <w:outlineLvl w:val="1"/>
    </w:pPr>
    <w:rPr>
      <w:rFonts w:ascii="Arial" w:hAnsi="Arial" w:cs="Arial"/>
      <w:b/>
      <w:bCs/>
      <w:sz w:val="20"/>
      <w:szCs w:val="20"/>
      <w:lang w:val="en-US"/>
    </w:rPr>
  </w:style>
  <w:style w:type="character" w:styleId="Emphasis">
    <w:name w:val="Emphasis"/>
    <w:uiPriority w:val="20"/>
    <w:qFormat/>
    <w:rsid w:val="00145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7">
      <a:dk1>
        <a:srgbClr val="000000"/>
      </a:dk1>
      <a:lt1>
        <a:sysClr val="window" lastClr="FFFFFF"/>
      </a:lt1>
      <a:dk2>
        <a:srgbClr val="545F54"/>
      </a:dk2>
      <a:lt2>
        <a:srgbClr val="DBDDDB"/>
      </a:lt2>
      <a:accent1>
        <a:srgbClr val="C5DA00"/>
      </a:accent1>
      <a:accent2>
        <a:srgbClr val="2D0028"/>
      </a:accent2>
      <a:accent3>
        <a:srgbClr val="A0C8F0"/>
      </a:accent3>
      <a:accent4>
        <a:srgbClr val="7C1839"/>
      </a:accent4>
      <a:accent5>
        <a:srgbClr val="9BA08C"/>
      </a:accent5>
      <a:accent6>
        <a:srgbClr val="892D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D41D2E29FEE4DBEA99C44CC43B917" ma:contentTypeVersion="0" ma:contentTypeDescription="Create a new document." ma:contentTypeScope="" ma:versionID="4da1300d50ec5370c91c6d7cdb92cc5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C43BD-4C8B-47E6-8B4F-1200C8D5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1A920B-C182-449B-9F85-975EB09C59A0}">
  <ds:schemaRefs>
    <ds:schemaRef ds:uri="http://schemas.microsoft.com/office/2006/metadata/properties"/>
  </ds:schemaRefs>
</ds:datastoreItem>
</file>

<file path=customXml/itemProps3.xml><?xml version="1.0" encoding="utf-8"?>
<ds:datastoreItem xmlns:ds="http://schemas.openxmlformats.org/officeDocument/2006/customXml" ds:itemID="{E564C4D0-C5AD-4D91-B44C-1461DB8D6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2016</Words>
  <Characters>483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Company>Novozymes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XGA (Gao Xi)</dc:creator>
  <cp:keywords>Verdana, Normal.dot</cp:keywords>
  <cp:lastModifiedBy>SRW (Sara Wang)</cp:lastModifiedBy>
  <cp:revision>4</cp:revision>
  <dcterms:created xsi:type="dcterms:W3CDTF">2018-11-12T05:32:00Z</dcterms:created>
  <dcterms:modified xsi:type="dcterms:W3CDTF">2019-01-31T09:27:00Z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0x010100AADD41D2E29FEE4DBEA99C44CC43B917</vt:lpwstr>
  </property>
  <property fmtid="{D5CDD505-2E9C-101B-9397-08002B2CF9AE}" pid="3" name="Order">
    <vt:r8>244100</vt:r8>
  </property>
  <property fmtid="{D5CDD505-2E9C-101B-9397-08002B2CF9AE}" pid="4" name="xd_ProgID">
    <vt:lpwstr/>
  </property>
  <property fmtid="{D5CDD505-2E9C-101B-9397-08002B2CF9AE}" pid="5" name="TemplateUrl">
    <vt:lpwstr/>
  </property>
</Properties>
</file>