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4"/>
        <w:jc w:val="left"/>
        <w:rPr>
          <w:rFonts w:ascii="Times New Roman" w:hAnsi="Times New Roman" w:eastAsia="黑体"/>
          <w:b/>
          <w:bCs/>
          <w:kern w:val="0"/>
          <w:sz w:val="20"/>
          <w:szCs w:val="20"/>
        </w:rPr>
      </w:pPr>
      <w:r>
        <w:rPr>
          <w:rFonts w:hint="eastAsia" w:ascii="Times New Roman" w:hAnsi="Times New Roman" w:eastAsia="黑体"/>
          <w:b/>
          <w:bCs/>
          <w:kern w:val="0"/>
          <w:sz w:val="20"/>
          <w:szCs w:val="20"/>
        </w:rPr>
        <w:t>ICS</w:t>
      </w:r>
    </w:p>
    <w:p>
      <w:pPr>
        <w:ind w:right="284"/>
        <w:jc w:val="left"/>
        <w:rPr>
          <w:rFonts w:ascii="Times New Roman" w:hAnsi="Times New Roman" w:eastAsia="黑体"/>
          <w:b/>
          <w:bCs/>
          <w:kern w:val="0"/>
          <w:sz w:val="20"/>
          <w:szCs w:val="20"/>
        </w:rPr>
      </w:pPr>
      <w:r>
        <w:rPr>
          <w:rFonts w:hint="eastAsia" w:ascii="Times New Roman" w:hAnsi="Times New Roman" w:eastAsia="黑体"/>
          <w:b/>
          <w:bCs/>
          <w:kern w:val="0"/>
          <w:sz w:val="20"/>
          <w:szCs w:val="20"/>
        </w:rPr>
        <w:t>CCS</w:t>
      </w:r>
    </w:p>
    <w:p>
      <w:pPr>
        <w:pStyle w:val="18"/>
        <w:snapToGrid w:val="0"/>
        <w:rPr>
          <w:rFonts w:hint="default" w:ascii="Times New Roman" w:eastAsia="华文新魏"/>
          <w:b w:val="0"/>
          <w:bCs w:val="0"/>
          <w:spacing w:val="-40"/>
          <w:sz w:val="72"/>
          <w:szCs w:val="72"/>
          <w:lang w:val="en-US" w:eastAsia="zh-CN"/>
        </w:rPr>
      </w:pPr>
      <w:r>
        <w:rPr>
          <w:rFonts w:hint="eastAsia" w:ascii="Times New Roman" w:eastAsia="华文新魏"/>
          <w:b w:val="0"/>
          <w:bCs w:val="0"/>
          <w:spacing w:val="-40"/>
          <w:sz w:val="72"/>
          <w:szCs w:val="72"/>
          <w:lang w:val="en-US" w:eastAsia="zh-CN"/>
        </w:rPr>
        <w:t>团体标准</w:t>
      </w:r>
    </w:p>
    <w:p>
      <w:pPr>
        <w:ind w:right="560"/>
        <w:jc w:val="right"/>
        <w:rPr>
          <w:rFonts w:ascii="Times New Roman" w:hAnsi="Times New Roman" w:eastAsia="黑体"/>
          <w:b/>
          <w:bCs/>
          <w:kern w:val="0"/>
          <w:sz w:val="28"/>
          <w:szCs w:val="28"/>
        </w:rPr>
      </w:pPr>
      <w:r>
        <w:rPr>
          <w:rFonts w:hint="eastAsia" w:ascii="Times New Roman" w:hAnsi="Times New Roman" w:eastAsia="黑体"/>
          <w:b/>
          <w:bCs/>
          <w:kern w:val="0"/>
          <w:sz w:val="28"/>
          <w:szCs w:val="28"/>
        </w:rPr>
        <w:t>T/CHES XXXX—XXXX</w:t>
      </w:r>
    </w:p>
    <w:p>
      <w:pPr>
        <w:autoSpaceDE w:val="0"/>
        <w:autoSpaceDN w:val="0"/>
        <w:spacing w:line="360" w:lineRule="exact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64135</wp:posOffset>
                </wp:positionV>
                <wp:extent cx="5588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59485" y="2878455"/>
                          <a:ext cx="55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9pt;margin-top:5.05pt;height:0pt;width:440pt;z-index:251658240;mso-width-relative:page;mso-height-relative:page;" filled="f" stroked="t" coordsize="21600,21600" o:gfxdata="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4Ffx9YAAAAJAQAA&#10;DwAAAAAAAAABACAAAAAiAAAAZHJzL2Rvd25yZXYueG1sUEsBAhQAFAAAAAgAh07iQBwAuAriAQAA&#10;kAMAAA4AAAAAAAAAAQAgAAAAJQEAAGRycy9lMm9Eb2MueG1sUEsFBgAAAAAGAAYAWQEAAHkFAAAA&#10;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spacing w:line="360" w:lineRule="exact"/>
        <w:jc w:val="center"/>
        <w:rPr>
          <w:rFonts w:ascii="Times New Roman" w:hAnsi="Times New Roman"/>
          <w:kern w:val="0"/>
          <w:sz w:val="24"/>
          <w:szCs w:val="24"/>
        </w:rPr>
      </w:pPr>
    </w:p>
    <w:p>
      <w:pPr>
        <w:spacing w:after="312" w:afterLines="100" w:line="360" w:lineRule="auto"/>
        <w:jc w:val="center"/>
        <w:rPr>
          <w:rFonts w:ascii="Times New Roman" w:hAnsi="Times New Roman" w:eastAsia="黑体"/>
          <w:kern w:val="0"/>
          <w:sz w:val="52"/>
          <w:szCs w:val="52"/>
        </w:rPr>
      </w:pPr>
      <w:r>
        <w:rPr>
          <w:rFonts w:hint="eastAsia" w:ascii="Times New Roman" w:hAnsi="Times New Roman" w:eastAsia="黑体"/>
          <w:kern w:val="0"/>
          <w:sz w:val="52"/>
          <w:szCs w:val="52"/>
        </w:rPr>
        <w:t>水质 涕灭威、克百威和甲萘威的测定 液相色谱法</w:t>
      </w:r>
    </w:p>
    <w:p>
      <w:pPr>
        <w:spacing w:after="312" w:afterLines="100" w:line="567" w:lineRule="exact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Water quality-Determination of aldicarb,</w:t>
      </w:r>
      <w:r>
        <w:fldChar w:fldCharType="begin"/>
      </w:r>
      <w:r>
        <w:instrText xml:space="preserve"> HYPERLINK "http://www.chemicalbook.com/javascript:showMsgDetail('ProductSynonyms.aspx?CBNumber=CB4322944&amp;postData3=CN&amp;SYMBOL_Type=A');" </w:instrText>
      </w:r>
      <w:r>
        <w:fldChar w:fldCharType="separate"/>
      </w:r>
      <w:r>
        <w:rPr>
          <w:rFonts w:hint="eastAsia" w:ascii="Times New Roman" w:hAnsi="Times New Roman" w:eastAsia="黑体"/>
          <w:kern w:val="0"/>
          <w:sz w:val="28"/>
          <w:szCs w:val="28"/>
        </w:rPr>
        <w:t>carbofuran</w:t>
      </w:r>
      <w:r>
        <w:rPr>
          <w:rFonts w:hint="eastAsia" w:ascii="Times New Roman" w:hAnsi="Times New Roman" w:eastAsia="黑体"/>
          <w:kern w:val="0"/>
          <w:sz w:val="28"/>
          <w:szCs w:val="28"/>
        </w:rPr>
        <w:fldChar w:fldCharType="end"/>
      </w:r>
      <w:r>
        <w:rPr>
          <w:rFonts w:hint="eastAsia" w:ascii="Times New Roman" w:hAnsi="Times New Roman" w:eastAsia="黑体"/>
          <w:kern w:val="0"/>
          <w:sz w:val="28"/>
          <w:szCs w:val="28"/>
        </w:rPr>
        <w:t xml:space="preserve"> and carbaryl by Liquid chromatography</w:t>
      </w:r>
    </w:p>
    <w:p>
      <w:pPr>
        <w:autoSpaceDE w:val="0"/>
        <w:autoSpaceDN w:val="0"/>
        <w:spacing w:line="360" w:lineRule="exact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hint="eastAsia" w:ascii="Times New Roman" w:hAnsi="Times New Roman"/>
          <w:kern w:val="0"/>
          <w:sz w:val="28"/>
          <w:szCs w:val="28"/>
        </w:rPr>
        <w:t>（非等效）</w:t>
      </w:r>
    </w:p>
    <w:p>
      <w:pPr>
        <w:autoSpaceDE w:val="0"/>
        <w:autoSpaceDN w:val="0"/>
        <w:spacing w:line="360" w:lineRule="exact"/>
        <w:jc w:val="center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spacing w:line="360" w:lineRule="exact"/>
        <w:jc w:val="center"/>
        <w:rPr>
          <w:rFonts w:ascii="Times New Roman" w:hAnsi="Times New Roman"/>
          <w:kern w:val="0"/>
          <w:sz w:val="24"/>
          <w:szCs w:val="24"/>
        </w:rPr>
      </w:pPr>
    </w:p>
    <w:p>
      <w:pPr>
        <w:autoSpaceDE w:val="0"/>
        <w:autoSpaceDN w:val="0"/>
        <w:spacing w:line="360" w:lineRule="exact"/>
        <w:jc w:val="center"/>
        <w:rPr>
          <w:rFonts w:ascii="Times New Roman" w:hAnsi="Times New Roman"/>
          <w:kern w:val="0"/>
          <w:sz w:val="24"/>
          <w:szCs w:val="24"/>
        </w:rPr>
      </w:pPr>
    </w:p>
    <w:p>
      <w:pPr>
        <w:jc w:val="left"/>
        <w:rPr>
          <w:rFonts w:hint="default" w:ascii="Times New Roman" w:hAnsi="Times New Roman" w:eastAsia="黑体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XXXX</w:t>
      </w:r>
      <w:r>
        <w:rPr>
          <w:rFonts w:hint="eastAsia" w:ascii="Times New Roman" w:hAnsi="Times New Roman" w:eastAsia="黑体"/>
          <w:kern w:val="0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XX</w:t>
      </w:r>
      <w:r>
        <w:rPr>
          <w:rFonts w:hint="eastAsia" w:ascii="Times New Roman" w:hAnsi="Times New Roman" w:eastAsia="黑体"/>
          <w:kern w:val="0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XX</w:t>
      </w:r>
      <w:r>
        <w:rPr>
          <w:rFonts w:hint="eastAsia" w:ascii="Times New Roman" w:hAnsi="Times New Roman" w:eastAsia="黑体"/>
          <w:kern w:val="0"/>
          <w:sz w:val="28"/>
          <w:szCs w:val="28"/>
          <w:lang w:val="en-US" w:eastAsia="zh-CN"/>
        </w:rPr>
        <w:t xml:space="preserve">发布                      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XXXX</w:t>
      </w:r>
      <w:r>
        <w:rPr>
          <w:rFonts w:hint="eastAsia" w:ascii="Times New Roman" w:hAnsi="Times New Roman" w:eastAsia="黑体"/>
          <w:kern w:val="0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XX</w:t>
      </w:r>
      <w:r>
        <w:rPr>
          <w:rFonts w:hint="eastAsia" w:ascii="Times New Roman" w:hAnsi="Times New Roman" w:eastAsia="黑体"/>
          <w:kern w:val="0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XX</w:t>
      </w:r>
      <w:r>
        <w:rPr>
          <w:rFonts w:hint="eastAsia" w:ascii="Times New Roman" w:hAnsi="Times New Roman" w:eastAsia="黑体"/>
          <w:kern w:val="0"/>
          <w:sz w:val="28"/>
          <w:szCs w:val="28"/>
          <w:lang w:val="en-US" w:eastAsia="zh-CN"/>
        </w:rPr>
        <w:t>实施</w:t>
      </w:r>
    </w:p>
    <w:p>
      <w:pPr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29845</wp:posOffset>
                </wp:positionV>
                <wp:extent cx="5588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3pt;margin-top:2.35pt;height:0pt;width:440pt;z-index:251659264;mso-width-relative:page;mso-height-relative:page;" filled="f" stroked="t" coordsize="21600,21600" o:gfxdata="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6uIyNUAAAAHAQAADwAAAAAAAAABACAAAAAi&#10;AAAAZHJzL2Rvd25yZXYueG1sUEsBAhQAFAAAAAgAh07iQDlCnATUAQAAhQMAAA4AAAAAAAAAAQAg&#10;AAAAJAEAAGRycy9lMm9Eb2MueG1sUEsFBgAAAAAGAAYAWQEAAGo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黑体"/>
          <w:kern w:val="0"/>
          <w:sz w:val="28"/>
          <w:szCs w:val="28"/>
        </w:rPr>
        <w:t>中国水利学会发布</w:t>
      </w:r>
    </w:p>
    <w:p>
      <w:pPr>
        <w:jc w:val="center"/>
        <w:rPr>
          <w:rFonts w:ascii="Times New Roman" w:hAnsi="Times New Roman" w:eastAsia="黑体"/>
          <w:kern w:val="0"/>
          <w:sz w:val="28"/>
          <w:szCs w:val="28"/>
        </w:rPr>
      </w:pPr>
    </w:p>
    <w:p>
      <w:pPr>
        <w:pStyle w:val="2"/>
        <w:rPr>
          <w:rFonts w:ascii="Times New Roman" w:hAnsi="Times New Roman" w:eastAsia="黑体"/>
          <w:kern w:val="0"/>
          <w:sz w:val="28"/>
          <w:szCs w:val="28"/>
        </w:rPr>
        <w:sectPr>
          <w:footerReference r:id="rId3" w:type="default"/>
          <w:type w:val="continuous"/>
          <w:pgSz w:w="11906" w:h="16838"/>
          <w:pgMar w:top="1440" w:right="1797" w:bottom="1440" w:left="1797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pStyle w:val="2"/>
        <w:rPr>
          <w:rFonts w:ascii="Times New Roman" w:hAnsi="Times New Roman" w:eastAsia="黑体"/>
          <w:kern w:val="0"/>
          <w:sz w:val="28"/>
          <w:szCs w:val="28"/>
        </w:rPr>
      </w:pPr>
    </w:p>
    <w:p>
      <w:pPr>
        <w:pStyle w:val="9"/>
        <w:tabs>
          <w:tab w:val="right" w:leader="dot" w:pos="8312"/>
        </w:tabs>
        <w:spacing w:line="360" w:lineRule="auto"/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目  次</w:t>
      </w:r>
    </w:p>
    <w:p>
      <w:pPr>
        <w:pStyle w:val="9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TOC \* MERGEFORMAT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hint="eastAsia" w:ascii="Times New Roman" w:hAnsi="Times New Roman" w:eastAsia="黑体"/>
          <w:bCs/>
        </w:rPr>
        <w:t>前</w:t>
      </w:r>
      <w:r>
        <w:rPr>
          <w:rFonts w:ascii="Times New Roman" w:hAnsi="Times New Roman" w:eastAsia="黑体"/>
          <w:bCs/>
        </w:rPr>
        <w:t xml:space="preserve">  </w:t>
      </w:r>
      <w:r>
        <w:rPr>
          <w:rFonts w:hint="eastAsia" w:ascii="Times New Roman" w:hAnsi="Times New Roman" w:eastAsia="黑体"/>
          <w:bCs/>
        </w:rPr>
        <w:t>言</w:t>
      </w:r>
      <w:r>
        <w:tab/>
      </w:r>
      <w:r>
        <w:fldChar w:fldCharType="begin"/>
      </w:r>
      <w:r>
        <w:instrText xml:space="preserve"> PAGEREF _Toc14274087 \h </w:instrText>
      </w:r>
      <w:r>
        <w:fldChar w:fldCharType="separate"/>
      </w:r>
      <w:r>
        <w:t>III</w:t>
      </w:r>
      <w:r>
        <w:fldChar w:fldCharType="end"/>
      </w:r>
    </w:p>
    <w:p>
      <w:pPr>
        <w:pStyle w:val="9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Times New Roman" w:hAnsi="Times New Roman" w:eastAsia="黑体"/>
          <w:bCs/>
        </w:rPr>
        <w:t>1</w:t>
      </w:r>
      <w:r>
        <w:rPr>
          <w:rFonts w:hint="eastAsia" w:ascii="Times New Roman" w:hAnsi="Times New Roman" w:eastAsia="黑体"/>
          <w:bCs/>
        </w:rPr>
        <w:t xml:space="preserve"> 范围</w:t>
      </w:r>
      <w:r>
        <w:tab/>
      </w:r>
      <w:r>
        <w:fldChar w:fldCharType="begin"/>
      </w:r>
      <w:r>
        <w:instrText xml:space="preserve"> PAGEREF _Toc14274088 \h </w:instrText>
      </w:r>
      <w:r>
        <w:fldChar w:fldCharType="separate"/>
      </w:r>
      <w:r>
        <w:t>1</w:t>
      </w:r>
      <w:r>
        <w:fldChar w:fldCharType="end"/>
      </w:r>
    </w:p>
    <w:p>
      <w:pPr>
        <w:pStyle w:val="9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Times New Roman" w:hAnsi="Times New Roman" w:eastAsia="黑体"/>
          <w:bCs/>
        </w:rPr>
        <w:t>2</w:t>
      </w:r>
      <w:r>
        <w:rPr>
          <w:rFonts w:hint="eastAsia" w:ascii="Times New Roman" w:hAnsi="Times New Roman" w:eastAsia="黑体"/>
          <w:bCs/>
        </w:rPr>
        <w:t xml:space="preserve"> 规范性引用文件</w:t>
      </w:r>
      <w:r>
        <w:tab/>
      </w:r>
      <w:r>
        <w:fldChar w:fldCharType="begin"/>
      </w:r>
      <w:r>
        <w:instrText xml:space="preserve"> PAGEREF _Toc14274089 \h </w:instrText>
      </w:r>
      <w:r>
        <w:fldChar w:fldCharType="separate"/>
      </w:r>
      <w:r>
        <w:t>1</w:t>
      </w:r>
      <w:r>
        <w:fldChar w:fldCharType="end"/>
      </w:r>
    </w:p>
    <w:p>
      <w:pPr>
        <w:pStyle w:val="9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Times New Roman" w:hAnsi="Times New Roman" w:eastAsia="黑体"/>
          <w:bCs/>
        </w:rPr>
        <w:t>3</w:t>
      </w:r>
      <w:r>
        <w:rPr>
          <w:rFonts w:hint="eastAsia" w:ascii="Times New Roman" w:hAnsi="Times New Roman" w:eastAsia="黑体"/>
          <w:bCs/>
        </w:rPr>
        <w:t xml:space="preserve"> 方法原理</w:t>
      </w:r>
      <w:r>
        <w:tab/>
      </w:r>
      <w:r>
        <w:fldChar w:fldCharType="begin"/>
      </w:r>
      <w:r>
        <w:instrText xml:space="preserve"> PAGEREF _Toc14274090 \h </w:instrText>
      </w:r>
      <w:r>
        <w:fldChar w:fldCharType="separate"/>
      </w:r>
      <w:r>
        <w:t>1</w:t>
      </w:r>
      <w:r>
        <w:fldChar w:fldCharType="end"/>
      </w:r>
    </w:p>
    <w:p>
      <w:pPr>
        <w:pStyle w:val="9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Times New Roman" w:hAnsi="Times New Roman" w:eastAsia="黑体"/>
          <w:bCs/>
        </w:rPr>
        <w:t>4</w:t>
      </w:r>
      <w:r>
        <w:rPr>
          <w:rFonts w:hint="eastAsia" w:ascii="Times New Roman" w:hAnsi="Times New Roman" w:eastAsia="黑体"/>
          <w:bCs/>
        </w:rPr>
        <w:t xml:space="preserve"> 试剂和材料</w:t>
      </w:r>
      <w:r>
        <w:tab/>
      </w:r>
      <w:r>
        <w:fldChar w:fldCharType="begin"/>
      </w:r>
      <w:r>
        <w:instrText xml:space="preserve"> PAGEREF _Toc14274091 \h </w:instrText>
      </w:r>
      <w:r>
        <w:fldChar w:fldCharType="separate"/>
      </w:r>
      <w:r>
        <w:t>1</w:t>
      </w:r>
      <w:r>
        <w:fldChar w:fldCharType="end"/>
      </w:r>
    </w:p>
    <w:p>
      <w:pPr>
        <w:pStyle w:val="9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Times New Roman" w:hAnsi="Times New Roman" w:eastAsia="黑体"/>
          <w:bCs/>
        </w:rPr>
        <w:t>5</w:t>
      </w:r>
      <w:r>
        <w:rPr>
          <w:rFonts w:hint="eastAsia" w:ascii="Times New Roman" w:hAnsi="Times New Roman" w:eastAsia="黑体"/>
          <w:bCs/>
        </w:rPr>
        <w:t xml:space="preserve"> 仪器和设备</w:t>
      </w:r>
      <w:r>
        <w:tab/>
      </w:r>
      <w:r>
        <w:fldChar w:fldCharType="begin"/>
      </w:r>
      <w:r>
        <w:instrText xml:space="preserve"> PAGEREF _Toc14274092 \h </w:instrText>
      </w:r>
      <w:r>
        <w:fldChar w:fldCharType="separate"/>
      </w:r>
      <w:r>
        <w:t>3</w:t>
      </w:r>
      <w:r>
        <w:fldChar w:fldCharType="end"/>
      </w:r>
    </w:p>
    <w:p>
      <w:pPr>
        <w:pStyle w:val="9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Times New Roman" w:hAnsi="Times New Roman" w:eastAsia="黑体"/>
          <w:bCs/>
        </w:rPr>
        <w:t>6</w:t>
      </w:r>
      <w:r>
        <w:rPr>
          <w:rFonts w:hint="eastAsia" w:ascii="Times New Roman" w:hAnsi="Times New Roman" w:eastAsia="黑体"/>
          <w:bCs/>
        </w:rPr>
        <w:t xml:space="preserve"> 样品</w:t>
      </w:r>
      <w:r>
        <w:tab/>
      </w:r>
      <w:r>
        <w:fldChar w:fldCharType="begin"/>
      </w:r>
      <w:r>
        <w:instrText xml:space="preserve"> PAGEREF _Toc14274093 \h </w:instrText>
      </w:r>
      <w:r>
        <w:fldChar w:fldCharType="separate"/>
      </w:r>
      <w:r>
        <w:t>3</w:t>
      </w:r>
      <w:r>
        <w:fldChar w:fldCharType="end"/>
      </w:r>
    </w:p>
    <w:p>
      <w:pPr>
        <w:pStyle w:val="10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黑体" w:hAnsi="黑体" w:eastAsia="黑体"/>
          <w:kern w:val="0"/>
        </w:rPr>
        <w:t>6.1</w:t>
      </w:r>
      <w:r>
        <w:rPr>
          <w:rFonts w:hint="eastAsia" w:ascii="黑体" w:hAnsi="黑体" w:eastAsia="黑体"/>
          <w:kern w:val="0"/>
        </w:rPr>
        <w:t>样品采集</w:t>
      </w:r>
      <w:r>
        <w:tab/>
      </w:r>
      <w:r>
        <w:fldChar w:fldCharType="begin"/>
      </w:r>
      <w:r>
        <w:instrText xml:space="preserve"> PAGEREF _Toc14274094 \h </w:instrText>
      </w:r>
      <w:r>
        <w:fldChar w:fldCharType="separate"/>
      </w:r>
      <w:r>
        <w:t>3</w:t>
      </w:r>
      <w:r>
        <w:fldChar w:fldCharType="end"/>
      </w:r>
    </w:p>
    <w:p>
      <w:pPr>
        <w:pStyle w:val="10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黑体" w:hAnsi="黑体" w:eastAsia="黑体"/>
          <w:kern w:val="0"/>
        </w:rPr>
        <w:t>6.2</w:t>
      </w:r>
      <w:r>
        <w:rPr>
          <w:rFonts w:hint="eastAsia" w:ascii="黑体" w:hAnsi="黑体" w:eastAsia="黑体"/>
          <w:kern w:val="0"/>
        </w:rPr>
        <w:t>样品保存</w:t>
      </w:r>
      <w:r>
        <w:tab/>
      </w:r>
      <w:r>
        <w:fldChar w:fldCharType="begin"/>
      </w:r>
      <w:r>
        <w:instrText xml:space="preserve"> PAGEREF _Toc14274095 \h </w:instrText>
      </w:r>
      <w:r>
        <w:fldChar w:fldCharType="separate"/>
      </w:r>
      <w:r>
        <w:t>3</w:t>
      </w:r>
      <w:r>
        <w:fldChar w:fldCharType="end"/>
      </w:r>
    </w:p>
    <w:p>
      <w:pPr>
        <w:pStyle w:val="9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Times New Roman" w:hAnsi="Times New Roman" w:eastAsia="黑体"/>
          <w:bCs/>
        </w:rPr>
        <w:t>7</w:t>
      </w:r>
      <w:r>
        <w:rPr>
          <w:rFonts w:hint="eastAsia" w:ascii="Times New Roman" w:hAnsi="Times New Roman" w:eastAsia="黑体"/>
          <w:bCs/>
        </w:rPr>
        <w:t xml:space="preserve"> 分析步骤</w:t>
      </w:r>
      <w:r>
        <w:tab/>
      </w:r>
      <w:r>
        <w:fldChar w:fldCharType="begin"/>
      </w:r>
      <w:r>
        <w:instrText xml:space="preserve"> PAGEREF _Toc14274096 \h </w:instrText>
      </w:r>
      <w:r>
        <w:fldChar w:fldCharType="separate"/>
      </w:r>
      <w:r>
        <w:t>4</w:t>
      </w:r>
      <w:r>
        <w:fldChar w:fldCharType="end"/>
      </w:r>
    </w:p>
    <w:p>
      <w:pPr>
        <w:pStyle w:val="10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黑体" w:hAnsi="黑体" w:eastAsia="黑体"/>
          <w:kern w:val="0"/>
        </w:rPr>
        <w:t>7.1</w:t>
      </w:r>
      <w:r>
        <w:rPr>
          <w:rFonts w:hint="eastAsia" w:ascii="黑体" w:hAnsi="黑体" w:eastAsia="黑体"/>
          <w:kern w:val="0"/>
        </w:rPr>
        <w:t>水样预处理</w:t>
      </w:r>
      <w:r>
        <w:tab/>
      </w:r>
      <w:r>
        <w:fldChar w:fldCharType="begin"/>
      </w:r>
      <w:r>
        <w:instrText xml:space="preserve"> PAGEREF _Toc14274097 \h </w:instrText>
      </w:r>
      <w:r>
        <w:fldChar w:fldCharType="separate"/>
      </w:r>
      <w:r>
        <w:t>4</w:t>
      </w:r>
      <w:r>
        <w:fldChar w:fldCharType="end"/>
      </w:r>
    </w:p>
    <w:p>
      <w:pPr>
        <w:pStyle w:val="10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黑体" w:hAnsi="黑体" w:eastAsia="黑体"/>
          <w:kern w:val="0"/>
        </w:rPr>
        <w:t>7.2</w:t>
      </w:r>
      <w:r>
        <w:rPr>
          <w:rFonts w:hint="eastAsia" w:ascii="黑体" w:hAnsi="黑体" w:eastAsia="黑体"/>
          <w:kern w:val="0"/>
        </w:rPr>
        <w:t>仪器条件</w:t>
      </w:r>
      <w:r>
        <w:tab/>
      </w:r>
      <w:r>
        <w:fldChar w:fldCharType="begin"/>
      </w:r>
      <w:r>
        <w:instrText xml:space="preserve"> PAGEREF _Toc14274098 \h </w:instrText>
      </w:r>
      <w:r>
        <w:fldChar w:fldCharType="separate"/>
      </w:r>
      <w:r>
        <w:t>4</w:t>
      </w:r>
      <w:r>
        <w:fldChar w:fldCharType="end"/>
      </w:r>
    </w:p>
    <w:p>
      <w:pPr>
        <w:pStyle w:val="10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黑体" w:hAnsi="黑体" w:eastAsia="黑体"/>
          <w:kern w:val="0"/>
        </w:rPr>
        <w:t>7.3</w:t>
      </w:r>
      <w:r>
        <w:rPr>
          <w:rFonts w:hint="eastAsia" w:ascii="黑体" w:hAnsi="黑体" w:eastAsia="黑体"/>
          <w:kern w:val="0"/>
        </w:rPr>
        <w:t>标准曲线</w:t>
      </w:r>
      <w:r>
        <w:tab/>
      </w:r>
      <w:r>
        <w:fldChar w:fldCharType="begin"/>
      </w:r>
      <w:r>
        <w:instrText xml:space="preserve"> PAGEREF _Toc14274099 \h </w:instrText>
      </w:r>
      <w:r>
        <w:fldChar w:fldCharType="separate"/>
      </w:r>
      <w:r>
        <w:t>5</w:t>
      </w:r>
      <w:r>
        <w:fldChar w:fldCharType="end"/>
      </w:r>
    </w:p>
    <w:p>
      <w:pPr>
        <w:pStyle w:val="10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黑体" w:hAnsi="黑体" w:eastAsia="黑体"/>
          <w:kern w:val="0"/>
        </w:rPr>
        <w:t>7.4</w:t>
      </w:r>
      <w:r>
        <w:rPr>
          <w:rFonts w:hint="eastAsia" w:ascii="黑体" w:hAnsi="黑体" w:eastAsia="黑体"/>
          <w:kern w:val="0"/>
        </w:rPr>
        <w:t>样品测定</w:t>
      </w:r>
      <w:r>
        <w:tab/>
      </w:r>
      <w:r>
        <w:fldChar w:fldCharType="begin"/>
      </w:r>
      <w:r>
        <w:instrText xml:space="preserve"> PAGEREF _Toc14274100 \h </w:instrText>
      </w:r>
      <w:r>
        <w:fldChar w:fldCharType="separate"/>
      </w:r>
      <w:r>
        <w:t>5</w:t>
      </w:r>
      <w:r>
        <w:fldChar w:fldCharType="end"/>
      </w:r>
    </w:p>
    <w:p>
      <w:pPr>
        <w:pStyle w:val="9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Times New Roman" w:hAnsi="Times New Roman" w:eastAsia="黑体"/>
          <w:bCs/>
        </w:rPr>
        <w:t>8</w:t>
      </w:r>
      <w:r>
        <w:rPr>
          <w:rFonts w:hint="eastAsia" w:ascii="Times New Roman" w:hAnsi="Times New Roman" w:eastAsia="黑体"/>
          <w:bCs/>
        </w:rPr>
        <w:t xml:space="preserve"> 结果计算与表示</w:t>
      </w:r>
      <w:r>
        <w:tab/>
      </w:r>
      <w:r>
        <w:fldChar w:fldCharType="begin"/>
      </w:r>
      <w:r>
        <w:instrText xml:space="preserve"> PAGEREF _Toc14274101 \h </w:instrText>
      </w:r>
      <w:r>
        <w:fldChar w:fldCharType="separate"/>
      </w:r>
      <w:r>
        <w:t>5</w:t>
      </w:r>
      <w:r>
        <w:fldChar w:fldCharType="end"/>
      </w:r>
    </w:p>
    <w:p>
      <w:pPr>
        <w:pStyle w:val="10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黑体" w:hAnsi="黑体" w:eastAsia="黑体"/>
          <w:kern w:val="0"/>
        </w:rPr>
        <w:t>8.1</w:t>
      </w:r>
      <w:r>
        <w:rPr>
          <w:rFonts w:hint="eastAsia" w:ascii="黑体" w:hAnsi="黑体" w:eastAsia="黑体"/>
          <w:kern w:val="0"/>
        </w:rPr>
        <w:t>定性分析</w:t>
      </w:r>
      <w:r>
        <w:tab/>
      </w:r>
      <w:r>
        <w:fldChar w:fldCharType="begin"/>
      </w:r>
      <w:r>
        <w:instrText xml:space="preserve"> PAGEREF _Toc14274102 \h </w:instrText>
      </w:r>
      <w:r>
        <w:fldChar w:fldCharType="separate"/>
      </w:r>
      <w:r>
        <w:t>5</w:t>
      </w:r>
      <w:r>
        <w:fldChar w:fldCharType="end"/>
      </w:r>
    </w:p>
    <w:p>
      <w:pPr>
        <w:pStyle w:val="10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黑体" w:hAnsi="黑体" w:eastAsia="黑体"/>
          <w:kern w:val="0"/>
        </w:rPr>
        <w:t>8.2</w:t>
      </w:r>
      <w:r>
        <w:rPr>
          <w:rFonts w:hint="eastAsia" w:ascii="黑体" w:hAnsi="黑体" w:eastAsia="黑体"/>
          <w:kern w:val="0"/>
        </w:rPr>
        <w:t>定量分析</w:t>
      </w:r>
      <w:r>
        <w:tab/>
      </w:r>
      <w:r>
        <w:fldChar w:fldCharType="begin"/>
      </w:r>
      <w:r>
        <w:instrText xml:space="preserve"> PAGEREF _Toc14274103 \h </w:instrText>
      </w:r>
      <w:r>
        <w:fldChar w:fldCharType="separate"/>
      </w:r>
      <w:r>
        <w:t>6</w:t>
      </w:r>
      <w:r>
        <w:fldChar w:fldCharType="end"/>
      </w:r>
    </w:p>
    <w:p>
      <w:pPr>
        <w:pStyle w:val="10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黑体" w:hAnsi="黑体" w:eastAsia="黑体"/>
          <w:kern w:val="0"/>
        </w:rPr>
        <w:t>8.3</w:t>
      </w:r>
      <w:r>
        <w:rPr>
          <w:rFonts w:hint="eastAsia" w:ascii="黑体" w:hAnsi="黑体" w:eastAsia="黑体"/>
          <w:kern w:val="0"/>
        </w:rPr>
        <w:t>结果表示</w:t>
      </w:r>
      <w:r>
        <w:tab/>
      </w:r>
      <w:r>
        <w:fldChar w:fldCharType="begin"/>
      </w:r>
      <w:r>
        <w:instrText xml:space="preserve"> PAGEREF _Toc14274104 \h </w:instrText>
      </w:r>
      <w:r>
        <w:fldChar w:fldCharType="separate"/>
      </w:r>
      <w:r>
        <w:t>6</w:t>
      </w:r>
      <w:r>
        <w:fldChar w:fldCharType="end"/>
      </w:r>
    </w:p>
    <w:p>
      <w:pPr>
        <w:pStyle w:val="9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Times New Roman" w:hAnsi="Times New Roman" w:eastAsia="黑体"/>
          <w:bCs/>
        </w:rPr>
        <w:t>9</w:t>
      </w:r>
      <w:r>
        <w:rPr>
          <w:rFonts w:hint="eastAsia" w:ascii="Times New Roman" w:hAnsi="Times New Roman" w:eastAsia="黑体"/>
          <w:bCs/>
        </w:rPr>
        <w:t xml:space="preserve"> 质量保证与质量控制</w:t>
      </w:r>
      <w:r>
        <w:tab/>
      </w:r>
      <w:r>
        <w:fldChar w:fldCharType="begin"/>
      </w:r>
      <w:r>
        <w:instrText xml:space="preserve"> PAGEREF _Toc14274105 \h </w:instrText>
      </w:r>
      <w:r>
        <w:fldChar w:fldCharType="separate"/>
      </w:r>
      <w:r>
        <w:t>6</w:t>
      </w:r>
      <w:r>
        <w:fldChar w:fldCharType="end"/>
      </w:r>
    </w:p>
    <w:p>
      <w:pPr>
        <w:pStyle w:val="10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黑体" w:hAnsi="黑体" w:eastAsia="黑体"/>
          <w:kern w:val="0"/>
        </w:rPr>
        <w:t>9.1</w:t>
      </w:r>
      <w:r>
        <w:rPr>
          <w:rFonts w:hint="eastAsia" w:ascii="黑体" w:hAnsi="黑体" w:eastAsia="黑体"/>
          <w:kern w:val="0"/>
        </w:rPr>
        <w:t>质量保证</w:t>
      </w:r>
      <w:r>
        <w:tab/>
      </w:r>
      <w:r>
        <w:fldChar w:fldCharType="begin"/>
      </w:r>
      <w:r>
        <w:instrText xml:space="preserve"> PAGEREF _Toc14274106 \h </w:instrText>
      </w:r>
      <w:r>
        <w:fldChar w:fldCharType="separate"/>
      </w:r>
      <w:r>
        <w:t>6</w:t>
      </w:r>
      <w:r>
        <w:fldChar w:fldCharType="end"/>
      </w:r>
    </w:p>
    <w:p>
      <w:pPr>
        <w:pStyle w:val="10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黑体" w:hAnsi="黑体" w:eastAsia="黑体"/>
          <w:kern w:val="0"/>
        </w:rPr>
        <w:t>9.2</w:t>
      </w:r>
      <w:r>
        <w:rPr>
          <w:rFonts w:hint="eastAsia" w:ascii="黑体" w:hAnsi="黑体" w:eastAsia="黑体"/>
          <w:kern w:val="0"/>
        </w:rPr>
        <w:t>质量控制</w:t>
      </w:r>
      <w:r>
        <w:tab/>
      </w:r>
      <w:r>
        <w:fldChar w:fldCharType="begin"/>
      </w:r>
      <w:r>
        <w:instrText xml:space="preserve"> PAGEREF _Toc14274107 \h </w:instrText>
      </w:r>
      <w:r>
        <w:fldChar w:fldCharType="separate"/>
      </w:r>
      <w:r>
        <w:t>7</w:t>
      </w:r>
      <w:r>
        <w:fldChar w:fldCharType="end"/>
      </w:r>
    </w:p>
    <w:p>
      <w:pPr>
        <w:pStyle w:val="9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Times New Roman" w:hAnsi="Times New Roman" w:eastAsia="黑体"/>
          <w:bCs/>
        </w:rPr>
        <w:t>10</w:t>
      </w:r>
      <w:r>
        <w:rPr>
          <w:rFonts w:hint="eastAsia" w:ascii="Times New Roman" w:hAnsi="Times New Roman" w:eastAsia="黑体"/>
          <w:bCs/>
        </w:rPr>
        <w:t xml:space="preserve"> 精密度和准确度</w:t>
      </w:r>
      <w:r>
        <w:tab/>
      </w:r>
      <w:r>
        <w:fldChar w:fldCharType="begin"/>
      </w:r>
      <w:r>
        <w:instrText xml:space="preserve"> PAGEREF _Toc14274108 \h </w:instrText>
      </w:r>
      <w:r>
        <w:fldChar w:fldCharType="separate"/>
      </w:r>
      <w:r>
        <w:t>7</w:t>
      </w:r>
      <w:r>
        <w:fldChar w:fldCharType="end"/>
      </w:r>
    </w:p>
    <w:p>
      <w:pPr>
        <w:pStyle w:val="10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黑体" w:hAnsi="黑体" w:eastAsia="黑体"/>
          <w:kern w:val="0"/>
        </w:rPr>
        <w:t>10.1</w:t>
      </w:r>
      <w:r>
        <w:rPr>
          <w:rFonts w:hint="eastAsia" w:ascii="黑体" w:hAnsi="黑体" w:eastAsia="黑体"/>
          <w:kern w:val="0"/>
        </w:rPr>
        <w:t>精密度</w:t>
      </w:r>
      <w:r>
        <w:tab/>
      </w:r>
      <w:r>
        <w:fldChar w:fldCharType="begin"/>
      </w:r>
      <w:r>
        <w:instrText xml:space="preserve"> PAGEREF _Toc14274109 \h </w:instrText>
      </w:r>
      <w:r>
        <w:fldChar w:fldCharType="separate"/>
      </w:r>
      <w:r>
        <w:t>7</w:t>
      </w:r>
      <w:r>
        <w:fldChar w:fldCharType="end"/>
      </w:r>
    </w:p>
    <w:p>
      <w:pPr>
        <w:pStyle w:val="10"/>
        <w:tabs>
          <w:tab w:val="right" w:leader="dot" w:pos="8302"/>
        </w:tabs>
        <w:spacing w:before="0" w:beforeAutospacing="0" w:line="36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黑体" w:hAnsi="黑体" w:eastAsia="黑体"/>
          <w:kern w:val="0"/>
        </w:rPr>
        <w:t>10.2</w:t>
      </w:r>
      <w:r>
        <w:rPr>
          <w:rFonts w:hint="eastAsia" w:ascii="黑体" w:hAnsi="黑体" w:eastAsia="黑体"/>
          <w:kern w:val="0"/>
        </w:rPr>
        <w:t>准确度</w:t>
      </w:r>
      <w:r>
        <w:tab/>
      </w:r>
      <w:r>
        <w:fldChar w:fldCharType="begin"/>
      </w:r>
      <w:r>
        <w:instrText xml:space="preserve"> PAGEREF _Toc14274110 \h </w:instrText>
      </w:r>
      <w:r>
        <w:fldChar w:fldCharType="separate"/>
      </w:r>
      <w:r>
        <w:t>8</w:t>
      </w:r>
      <w:r>
        <w:fldChar w:fldCharType="end"/>
      </w:r>
    </w:p>
    <w:p>
      <w:pPr>
        <w:spacing w:before="0" w:beforeAutospacing="0" w:line="360" w:lineRule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/>
          <w:kern w:val="0"/>
        </w:rPr>
        <w:fldChar w:fldCharType="end"/>
      </w:r>
    </w:p>
    <w:p>
      <w:pPr>
        <w:pStyle w:val="3"/>
        <w:jc w:val="center"/>
        <w:rPr>
          <w:rFonts w:ascii="Times New Roman" w:hAnsi="Times New Roman" w:eastAsia="黑体"/>
          <w:b w:val="0"/>
          <w:bCs/>
          <w:sz w:val="32"/>
          <w:szCs w:val="32"/>
        </w:rPr>
      </w:pPr>
      <w:bookmarkStart w:id="0" w:name="_Toc14274087"/>
      <w:r>
        <w:rPr>
          <w:rFonts w:hint="eastAsia" w:ascii="Times New Roman" w:hAnsi="Times New Roman" w:eastAsia="黑体"/>
          <w:b w:val="0"/>
          <w:bCs/>
          <w:sz w:val="32"/>
          <w:szCs w:val="32"/>
        </w:rPr>
        <w:t>前  言</w:t>
      </w:r>
      <w:bookmarkEnd w:id="0"/>
    </w:p>
    <w:p>
      <w:pPr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</w:p>
    <w:p>
      <w:pPr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本标准依据GB/T 1.1-2009《标准化工作导则 第一部分：标准的机构和编写》和GB/T 20001.4-2015《标准编写规则 第4部分：试验方法标准》的规则起草。</w:t>
      </w:r>
    </w:p>
    <w:p>
      <w:pPr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请注意</w:t>
      </w:r>
      <w:r>
        <w:rPr>
          <w:rFonts w:ascii="Times New Roman" w:hAnsi="Times New Roman"/>
          <w:kern w:val="0"/>
        </w:rPr>
        <w:t>本标准的</w:t>
      </w:r>
      <w:r>
        <w:rPr>
          <w:rFonts w:hint="eastAsia" w:ascii="Times New Roman" w:hAnsi="Times New Roman"/>
          <w:kern w:val="0"/>
        </w:rPr>
        <w:t>某些</w:t>
      </w:r>
      <w:r>
        <w:rPr>
          <w:rFonts w:ascii="Times New Roman" w:hAnsi="Times New Roman"/>
          <w:kern w:val="0"/>
        </w:rPr>
        <w:t>内容可能涉及专利，本标准的发布机构不承担识别这些专利的责任</w:t>
      </w:r>
      <w:r>
        <w:rPr>
          <w:rFonts w:hint="eastAsia" w:ascii="Times New Roman" w:hAnsi="Times New Roman"/>
          <w:kern w:val="0"/>
        </w:rPr>
        <w:t>。</w:t>
      </w:r>
    </w:p>
    <w:p>
      <w:pPr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本标准由淮河流域生态环境</w:t>
      </w:r>
      <w:r>
        <w:rPr>
          <w:rFonts w:ascii="Times New Roman" w:hAnsi="Times New Roman"/>
          <w:kern w:val="0"/>
        </w:rPr>
        <w:t>监督管理局</w:t>
      </w:r>
      <w:r>
        <w:rPr>
          <w:rFonts w:hint="eastAsia" w:ascii="Times New Roman" w:hAnsi="Times New Roman"/>
          <w:kern w:val="0"/>
        </w:rPr>
        <w:t>生态环境监测</w:t>
      </w:r>
      <w:r>
        <w:rPr>
          <w:rFonts w:ascii="Times New Roman" w:hAnsi="Times New Roman"/>
          <w:kern w:val="0"/>
        </w:rPr>
        <w:t>与科学研究</w:t>
      </w:r>
      <w:r>
        <w:rPr>
          <w:rFonts w:hint="eastAsia" w:ascii="Times New Roman" w:hAnsi="Times New Roman"/>
          <w:kern w:val="0"/>
        </w:rPr>
        <w:t>中心提出</w:t>
      </w:r>
      <w:r>
        <w:rPr>
          <w:rFonts w:ascii="Times New Roman" w:hAnsi="Times New Roman"/>
          <w:kern w:val="0"/>
        </w:rPr>
        <w:t>，由中国水利学会归口。</w:t>
      </w:r>
    </w:p>
    <w:p>
      <w:pPr>
        <w:spacing w:before="0" w:beforeAutospacing="0" w:line="360" w:lineRule="auto"/>
        <w:ind w:firstLine="420" w:firstLineChars="200"/>
        <w:rPr>
          <w:rFonts w:hint="eastAsia" w:ascii="Times New Roman" w:hAnsi="Times New Roman"/>
          <w:kern w:val="0"/>
          <w:lang w:eastAsia="zh-CN"/>
        </w:rPr>
      </w:pPr>
      <w:r>
        <w:rPr>
          <w:rFonts w:hint="eastAsia" w:ascii="Times New Roman" w:hAnsi="Times New Roman"/>
          <w:kern w:val="0"/>
        </w:rPr>
        <w:t>本标准</w:t>
      </w:r>
      <w:r>
        <w:rPr>
          <w:rFonts w:ascii="Times New Roman" w:hAnsi="Times New Roman"/>
          <w:kern w:val="0"/>
        </w:rPr>
        <w:t>起草单位：</w:t>
      </w:r>
      <w:r>
        <w:rPr>
          <w:rFonts w:hint="eastAsia" w:ascii="Times New Roman" w:hAnsi="Times New Roman"/>
          <w:kern w:val="0"/>
        </w:rPr>
        <w:t>淮河流域</w:t>
      </w:r>
      <w:r>
        <w:rPr>
          <w:rFonts w:hint="eastAsia" w:ascii="Times New Roman" w:hAnsi="Times New Roman"/>
          <w:kern w:val="0"/>
          <w:lang w:eastAsia="zh-CN"/>
        </w:rPr>
        <w:t>水资源保护局淮河流域水环境监测中心</w:t>
      </w:r>
      <w:r>
        <w:rPr>
          <w:rFonts w:hint="eastAsia" w:ascii="Times New Roman" w:hAnsi="Times New Roman"/>
          <w:kern w:val="0"/>
        </w:rPr>
        <w:t>、海河</w:t>
      </w:r>
      <w:r>
        <w:rPr>
          <w:rFonts w:ascii="Times New Roman" w:hAnsi="Times New Roman"/>
          <w:kern w:val="0"/>
        </w:rPr>
        <w:t>流域</w:t>
      </w:r>
      <w:r>
        <w:rPr>
          <w:rFonts w:hint="eastAsia" w:ascii="Times New Roman" w:hAnsi="Times New Roman"/>
          <w:kern w:val="0"/>
          <w:lang w:eastAsia="zh-CN"/>
        </w:rPr>
        <w:t>水环境监测中心</w:t>
      </w:r>
    </w:p>
    <w:p>
      <w:pPr>
        <w:spacing w:before="0" w:beforeAutospacing="0" w:line="360" w:lineRule="auto"/>
        <w:ind w:firstLine="420" w:firstLineChars="200"/>
        <w:rPr>
          <w:rFonts w:hint="default" w:ascii="Times New Roman" w:hAnsi="Times New Roman" w:eastAsia="宋体"/>
          <w:kern w:val="0"/>
          <w:sz w:val="32"/>
          <w:szCs w:val="32"/>
          <w:lang w:val="en-US" w:eastAsia="zh-CN"/>
        </w:rPr>
        <w:sectPr>
          <w:pgSz w:w="11906" w:h="16838"/>
          <w:pgMar w:top="1440" w:right="1797" w:bottom="1440" w:left="1797" w:header="851" w:footer="992" w:gutter="0"/>
          <w:pgNumType w:fmt="upperRoman" w:start="1"/>
          <w:cols w:space="425" w:num="1"/>
          <w:docGrid w:type="lines" w:linePitch="312" w:charSpace="0"/>
        </w:sectPr>
      </w:pPr>
      <w:r>
        <w:rPr>
          <w:rFonts w:hint="eastAsia" w:ascii="Times New Roman" w:hAnsi="Times New Roman"/>
          <w:kern w:val="0"/>
        </w:rPr>
        <w:t>本标准主要起草</w:t>
      </w:r>
      <w:r>
        <w:rPr>
          <w:rFonts w:ascii="Times New Roman" w:hAnsi="Times New Roman"/>
          <w:kern w:val="0"/>
        </w:rPr>
        <w:t>人</w:t>
      </w:r>
      <w:r>
        <w:rPr>
          <w:rFonts w:hint="eastAsia" w:ascii="Times New Roman" w:hAnsi="Times New Roman"/>
          <w:kern w:val="0"/>
          <w:lang w:eastAsia="zh-CN"/>
        </w:rPr>
        <w:t>：吴培任、杨刚、王海兵、曹艳秀、何莉莉、李慧慧、赵祺平、李明、王萍、张婷婷、谭伟、尚春林、孙健、王林、王宝宝、王忠、张俊</w:t>
      </w:r>
    </w:p>
    <w:p>
      <w:pPr>
        <w:spacing w:before="0" w:beforeAutospacing="0" w:line="560" w:lineRule="exact"/>
        <w:ind w:firstLine="640" w:firstLineChars="200"/>
        <w:jc w:val="center"/>
        <w:rPr>
          <w:rFonts w:ascii="Times New Roman" w:hAnsi="Times New Roman" w:eastAsia="黑体"/>
          <w:kern w:val="0"/>
          <w:sz w:val="32"/>
          <w:szCs w:val="32"/>
        </w:rPr>
        <w:sectPr>
          <w:footerReference r:id="rId4" w:type="default"/>
          <w:type w:val="continuous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before="0" w:beforeAutospacing="0" w:line="560" w:lineRule="exact"/>
        <w:ind w:firstLine="640" w:firstLineChars="200"/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水质 涕灭威、克百威和甲萘威的测定</w:t>
      </w:r>
    </w:p>
    <w:p>
      <w:pPr>
        <w:spacing w:before="0" w:beforeAutospacing="0" w:line="560" w:lineRule="exact"/>
        <w:ind w:firstLine="640" w:firstLineChars="200"/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液相色谱法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 w:eastAsia="黑体"/>
          <w:kern w:val="0"/>
        </w:rPr>
      </w:pPr>
      <w:r>
        <w:rPr>
          <w:rFonts w:hint="eastAsia" w:ascii="Times New Roman" w:hAnsi="Times New Roman" w:eastAsia="黑体"/>
          <w:kern w:val="0"/>
          <w:lang w:bidi="ar"/>
        </w:rPr>
        <w:t>警告：实验中使用的溶剂和试剂均有一定的毒性，样品预处理过程应在通风橱中进行，操作时应按规定要求佩戴防护器具，避免溶剂和试剂接触皮肤和衣物。</w:t>
      </w:r>
    </w:p>
    <w:p>
      <w:pPr>
        <w:pStyle w:val="3"/>
        <w:numPr>
          <w:ilvl w:val="0"/>
          <w:numId w:val="1"/>
        </w:numPr>
        <w:spacing w:before="159" w:beforeLines="50" w:after="159" w:afterLines="50"/>
        <w:rPr>
          <w:rFonts w:ascii="Times New Roman" w:hAnsi="Times New Roman" w:eastAsia="黑体"/>
          <w:b w:val="0"/>
          <w:bCs/>
          <w:sz w:val="21"/>
        </w:rPr>
      </w:pPr>
      <w:bookmarkStart w:id="1" w:name="_Toc14274088"/>
      <w:r>
        <w:rPr>
          <w:rFonts w:hint="eastAsia" w:ascii="Times New Roman" w:hAnsi="Times New Roman" w:eastAsia="黑体"/>
          <w:b w:val="0"/>
          <w:bCs/>
          <w:sz w:val="21"/>
        </w:rPr>
        <w:t>范围</w:t>
      </w:r>
      <w:bookmarkEnd w:id="1"/>
    </w:p>
    <w:p>
      <w:pPr>
        <w:spacing w:before="0" w:beforeAutospacing="0" w:line="360" w:lineRule="auto"/>
        <w:ind w:firstLine="42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本标准规定了测定水中涕灭威、克百威和甲萘威的液相色谱法。</w:t>
      </w:r>
    </w:p>
    <w:p>
      <w:pPr>
        <w:spacing w:before="0" w:beforeAutospacing="0" w:line="360" w:lineRule="auto"/>
        <w:ind w:firstLine="42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本标准适用于地表水、地下水、饮用水中涕灭威、克百威和甲萘威的测定。</w:t>
      </w:r>
    </w:p>
    <w:p>
      <w:pPr>
        <w:spacing w:before="0" w:beforeAutospacing="0" w:line="360" w:lineRule="auto"/>
        <w:ind w:firstLine="42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直接进样，进样量为100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L时，本方法检出限为0.2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g/L，测定下限为0.8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g/L。</w:t>
      </w:r>
    </w:p>
    <w:p>
      <w:pPr>
        <w:spacing w:before="0" w:beforeAutospacing="0" w:line="360" w:lineRule="auto"/>
        <w:ind w:firstLine="42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样品经固相萃取浓缩处理，取样量为100mL时，本方法检出限为0.02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g/L，测定下限为0.08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g/L。</w:t>
      </w:r>
    </w:p>
    <w:p>
      <w:pPr>
        <w:pStyle w:val="3"/>
        <w:numPr>
          <w:ilvl w:val="0"/>
          <w:numId w:val="1"/>
        </w:numPr>
        <w:spacing w:before="159" w:beforeLines="50" w:after="159" w:afterLines="50"/>
        <w:rPr>
          <w:rFonts w:ascii="Times New Roman" w:hAnsi="Times New Roman" w:eastAsia="黑体"/>
          <w:b w:val="0"/>
          <w:bCs/>
          <w:sz w:val="21"/>
        </w:rPr>
      </w:pPr>
      <w:bookmarkStart w:id="2" w:name="_Toc14274089"/>
      <w:r>
        <w:rPr>
          <w:rFonts w:hint="eastAsia" w:ascii="Times New Roman" w:hAnsi="Times New Roman" w:eastAsia="黑体"/>
          <w:b w:val="0"/>
          <w:bCs/>
          <w:sz w:val="21"/>
        </w:rPr>
        <w:t>规范性引用文件</w:t>
      </w:r>
      <w:bookmarkEnd w:id="2"/>
    </w:p>
    <w:p>
      <w:pPr>
        <w:spacing w:before="0" w:beforeAutospacing="0" w:line="360" w:lineRule="auto"/>
        <w:ind w:firstLine="42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本标准引用了下列文件中的条款。凡是</w:t>
      </w:r>
      <w:r>
        <w:rPr>
          <w:rFonts w:ascii="Times New Roman" w:hAnsi="Times New Roman"/>
          <w:kern w:val="0"/>
        </w:rPr>
        <w:t>注日期的引用文件，仅注日期的版本适用于本标准</w:t>
      </w:r>
      <w:r>
        <w:rPr>
          <w:rFonts w:hint="eastAsia" w:ascii="Times New Roman" w:hAnsi="Times New Roman"/>
          <w:kern w:val="0"/>
        </w:rPr>
        <w:t>。凡是未注明日期的引用文件，其最新版本（包括</w:t>
      </w:r>
      <w:r>
        <w:rPr>
          <w:rFonts w:ascii="Times New Roman" w:hAnsi="Times New Roman"/>
          <w:kern w:val="0"/>
        </w:rPr>
        <w:t>所用的修改单</w:t>
      </w:r>
      <w:r>
        <w:rPr>
          <w:rFonts w:hint="eastAsia" w:ascii="Times New Roman" w:hAnsi="Times New Roman"/>
          <w:kern w:val="0"/>
        </w:rPr>
        <w:t>）适用于本标准。</w:t>
      </w:r>
    </w:p>
    <w:p>
      <w:pPr>
        <w:spacing w:before="0" w:beforeAutospacing="0" w:line="360" w:lineRule="auto"/>
        <w:ind w:firstLine="420"/>
        <w:rPr>
          <w:rFonts w:ascii="Times New Roman" w:hAnsi="Times New Roman"/>
          <w:kern w:val="0"/>
        </w:rPr>
      </w:pPr>
      <w:bookmarkStart w:id="3" w:name="OLE_LINK1"/>
      <w:bookmarkStart w:id="4" w:name="OLE_LINK2"/>
      <w:r>
        <w:rPr>
          <w:rFonts w:hint="eastAsia" w:ascii="Times New Roman" w:hAnsi="Times New Roman"/>
          <w:kern w:val="0"/>
        </w:rPr>
        <w:t>GB/T 5750.2 生活饮用水</w:t>
      </w:r>
      <w:r>
        <w:rPr>
          <w:rFonts w:ascii="Times New Roman" w:hAnsi="Times New Roman"/>
          <w:kern w:val="0"/>
        </w:rPr>
        <w:t>标准检验方法</w:t>
      </w:r>
      <w:r>
        <w:rPr>
          <w:rFonts w:hint="eastAsia" w:ascii="Times New Roman" w:hAnsi="Times New Roman"/>
          <w:kern w:val="0"/>
        </w:rPr>
        <w:t xml:space="preserve"> 水样</w:t>
      </w:r>
      <w:r>
        <w:rPr>
          <w:rFonts w:ascii="Times New Roman" w:hAnsi="Times New Roman"/>
          <w:kern w:val="0"/>
        </w:rPr>
        <w:t>的采集与保存</w:t>
      </w:r>
    </w:p>
    <w:bookmarkEnd w:id="3"/>
    <w:bookmarkEnd w:id="4"/>
    <w:p>
      <w:pPr>
        <w:spacing w:before="0" w:beforeAutospacing="0" w:line="360" w:lineRule="auto"/>
        <w:ind w:firstLine="420"/>
        <w:rPr>
          <w:rFonts w:ascii="Times New Roman" w:hAnsi="Times New Roman"/>
          <w:kern w:val="0"/>
        </w:rPr>
      </w:pPr>
      <w:bookmarkStart w:id="5" w:name="OLE_LINK4"/>
      <w:bookmarkStart w:id="6" w:name="OLE_LINK3"/>
      <w:r>
        <w:rPr>
          <w:rFonts w:hint="eastAsia" w:ascii="Times New Roman" w:hAnsi="Times New Roman"/>
          <w:kern w:val="0"/>
        </w:rPr>
        <w:t>GB/T 14848-2017 地下水</w:t>
      </w:r>
      <w:r>
        <w:rPr>
          <w:rFonts w:ascii="Times New Roman" w:hAnsi="Times New Roman"/>
          <w:kern w:val="0"/>
        </w:rPr>
        <w:t>质量标准</w:t>
      </w:r>
    </w:p>
    <w:bookmarkEnd w:id="5"/>
    <w:bookmarkEnd w:id="6"/>
    <w:p>
      <w:pPr>
        <w:spacing w:before="0" w:beforeAutospacing="0" w:line="360" w:lineRule="auto"/>
        <w:ind w:firstLine="42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SL 219  水环境监测规范</w:t>
      </w:r>
    </w:p>
    <w:p>
      <w:pPr>
        <w:pStyle w:val="3"/>
        <w:numPr>
          <w:ilvl w:val="0"/>
          <w:numId w:val="1"/>
        </w:numPr>
        <w:spacing w:before="159" w:beforeLines="50" w:after="159" w:afterLines="50"/>
        <w:rPr>
          <w:rFonts w:ascii="Times New Roman" w:hAnsi="Times New Roman" w:eastAsia="黑体"/>
          <w:b w:val="0"/>
          <w:bCs/>
          <w:sz w:val="21"/>
        </w:rPr>
      </w:pPr>
      <w:bookmarkStart w:id="7" w:name="_Toc14274090"/>
      <w:r>
        <w:rPr>
          <w:rFonts w:hint="eastAsia" w:ascii="Times New Roman" w:hAnsi="Times New Roman" w:eastAsia="黑体"/>
          <w:b w:val="0"/>
          <w:bCs/>
          <w:sz w:val="21"/>
        </w:rPr>
        <w:t>方法原理</w:t>
      </w:r>
      <w:bookmarkEnd w:id="7"/>
    </w:p>
    <w:p>
      <w:pPr>
        <w:spacing w:before="0" w:beforeAutospacing="0" w:line="360" w:lineRule="auto"/>
        <w:ind w:firstLine="42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水样经预处理后注入液相色谱柱中，经色谱柱分离，再经柱后衍生，用荧光检测器检测。柱后衍生反应为先用氢氧化钠将涕灭威、克百威和甲萘威等氨基甲酸酯类化合物水解成甲胺，再与邻苯二甲醛和2-二甲胺基乙硫醇反应生成强荧光物质。</w:t>
      </w:r>
    </w:p>
    <w:p>
      <w:pPr>
        <w:pStyle w:val="3"/>
        <w:numPr>
          <w:ilvl w:val="0"/>
          <w:numId w:val="1"/>
        </w:numPr>
        <w:spacing w:before="159" w:beforeLines="50" w:after="159" w:afterLines="50"/>
        <w:rPr>
          <w:rFonts w:ascii="Times New Roman" w:hAnsi="Times New Roman" w:eastAsia="黑体"/>
          <w:b w:val="0"/>
          <w:bCs/>
          <w:sz w:val="21"/>
        </w:rPr>
      </w:pPr>
      <w:bookmarkStart w:id="8" w:name="_Toc14274091"/>
      <w:r>
        <w:rPr>
          <w:rFonts w:hint="eastAsia" w:ascii="Times New Roman" w:hAnsi="Times New Roman" w:eastAsia="黑体"/>
          <w:b w:val="0"/>
          <w:bCs/>
          <w:sz w:val="21"/>
        </w:rPr>
        <w:t>试剂和材料</w:t>
      </w:r>
      <w:bookmarkEnd w:id="8"/>
    </w:p>
    <w:p>
      <w:pPr>
        <w:numPr>
          <w:ilvl w:val="0"/>
          <w:numId w:val="2"/>
        </w:numPr>
        <w:spacing w:before="0" w:beforeAutospacing="0" w:line="360" w:lineRule="auto"/>
        <w:ind w:hanging="5"/>
        <w:rPr>
          <w:rFonts w:ascii="Times New Roman" w:hAnsi="Times New Roman"/>
          <w:kern w:val="0"/>
        </w:rPr>
      </w:pPr>
      <w:bookmarkStart w:id="9" w:name="_Ref7362"/>
      <w:bookmarkStart w:id="10" w:name="_Ref12099"/>
      <w:r>
        <w:rPr>
          <w:rFonts w:hint="eastAsia" w:ascii="Times New Roman" w:hAnsi="Times New Roman"/>
          <w:kern w:val="0"/>
        </w:rPr>
        <w:t>应</w:t>
      </w:r>
      <w:r>
        <w:rPr>
          <w:rFonts w:ascii="Times New Roman" w:hAnsi="Times New Roman"/>
          <w:kern w:val="0"/>
        </w:rPr>
        <w:t>使用符合国家标准的分析纯化学试剂，另有规定的除外。实验用水</w:t>
      </w:r>
      <w:r>
        <w:rPr>
          <w:rFonts w:hint="eastAsia" w:ascii="Times New Roman" w:hAnsi="Times New Roman"/>
          <w:kern w:val="0"/>
        </w:rPr>
        <w:t>应无干扰测定的杂质，或杂质含量低于目标化合物的检出限</w:t>
      </w:r>
    </w:p>
    <w:p>
      <w:pPr>
        <w:numPr>
          <w:ilvl w:val="0"/>
          <w:numId w:val="2"/>
        </w:numPr>
        <w:spacing w:before="0" w:beforeAutospacing="0" w:line="360" w:lineRule="auto"/>
        <w:ind w:hanging="5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微孔滤膜：玻璃纤维，孔径0.7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m。</w:t>
      </w:r>
      <w:bookmarkEnd w:id="9"/>
    </w:p>
    <w:bookmarkEnd w:id="10"/>
    <w:p>
      <w:pPr>
        <w:numPr>
          <w:ilvl w:val="0"/>
          <w:numId w:val="2"/>
        </w:numPr>
        <w:spacing w:before="0" w:beforeAutospacing="0" w:line="360" w:lineRule="auto"/>
        <w:ind w:hanging="5"/>
        <w:rPr>
          <w:rFonts w:ascii="Times New Roman" w:hAnsi="Times New Roman"/>
          <w:kern w:val="0"/>
        </w:rPr>
      </w:pPr>
      <w:bookmarkStart w:id="11" w:name="_Ref12827"/>
      <w:r>
        <w:rPr>
          <w:rFonts w:hint="eastAsia" w:ascii="Times New Roman" w:hAnsi="Times New Roman"/>
          <w:kern w:val="0"/>
        </w:rPr>
        <w:t>甲醇（CH</w:t>
      </w:r>
      <w:r>
        <w:rPr>
          <w:rFonts w:hint="eastAsia" w:ascii="Times New Roman" w:hAnsi="Times New Roman"/>
          <w:kern w:val="0"/>
          <w:vertAlign w:val="subscript"/>
        </w:rPr>
        <w:t>3</w:t>
      </w:r>
      <w:r>
        <w:rPr>
          <w:rFonts w:hint="eastAsia" w:ascii="Times New Roman" w:hAnsi="Times New Roman"/>
          <w:kern w:val="0"/>
        </w:rPr>
        <w:t>OH）：色谱纯。</w:t>
      </w:r>
      <w:bookmarkEnd w:id="11"/>
    </w:p>
    <w:p>
      <w:pPr>
        <w:numPr>
          <w:ilvl w:val="0"/>
          <w:numId w:val="2"/>
        </w:numPr>
        <w:spacing w:before="0" w:beforeAutospacing="0" w:line="360" w:lineRule="auto"/>
        <w:rPr>
          <w:rFonts w:ascii="Times New Roman" w:hAnsi="Times New Roman"/>
          <w:kern w:val="0"/>
        </w:rPr>
      </w:pPr>
      <w:bookmarkStart w:id="12" w:name="_Ref29080"/>
      <w:r>
        <w:rPr>
          <w:rFonts w:hint="eastAsia" w:ascii="Times New Roman" w:hAnsi="Times New Roman"/>
          <w:kern w:val="0"/>
        </w:rPr>
        <w:t>甲醇溶液：甲醇（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_Ref12827 \r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4.3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）和纯水以3:17的体积比混合。</w:t>
      </w:r>
      <w:bookmarkEnd w:id="12"/>
    </w:p>
    <w:p>
      <w:pPr>
        <w:numPr>
          <w:ilvl w:val="0"/>
          <w:numId w:val="2"/>
        </w:numPr>
        <w:spacing w:before="0" w:beforeAutospacing="0" w:line="360" w:lineRule="auto"/>
        <w:ind w:hanging="5"/>
        <w:rPr>
          <w:rFonts w:ascii="Times New Roman" w:hAnsi="Times New Roman"/>
          <w:kern w:val="0"/>
        </w:rPr>
      </w:pPr>
      <w:bookmarkStart w:id="13" w:name="_Ref14474"/>
      <w:r>
        <w:rPr>
          <w:rFonts w:hint="eastAsia" w:ascii="Times New Roman" w:hAnsi="Times New Roman"/>
          <w:kern w:val="0"/>
        </w:rPr>
        <w:t>二氯甲烷（CH</w:t>
      </w:r>
      <w:r>
        <w:rPr>
          <w:rFonts w:hint="eastAsia" w:ascii="Times New Roman" w:hAnsi="Times New Roman"/>
          <w:kern w:val="0"/>
          <w:vertAlign w:val="subscript"/>
        </w:rPr>
        <w:t>2</w:t>
      </w:r>
      <w:r>
        <w:rPr>
          <w:rFonts w:hint="eastAsia" w:ascii="Times New Roman" w:hAnsi="Times New Roman"/>
          <w:kern w:val="0"/>
        </w:rPr>
        <w:t>Cl</w:t>
      </w:r>
      <w:r>
        <w:rPr>
          <w:rFonts w:hint="eastAsia" w:ascii="Times New Roman" w:hAnsi="Times New Roman"/>
          <w:kern w:val="0"/>
          <w:vertAlign w:val="subscript"/>
        </w:rPr>
        <w:t>2</w:t>
      </w:r>
      <w:r>
        <w:rPr>
          <w:rFonts w:hint="eastAsia" w:ascii="Times New Roman" w:hAnsi="Times New Roman"/>
          <w:kern w:val="0"/>
        </w:rPr>
        <w:t>）：色谱纯。</w:t>
      </w:r>
      <w:bookmarkEnd w:id="13"/>
    </w:p>
    <w:p>
      <w:pPr>
        <w:numPr>
          <w:ilvl w:val="0"/>
          <w:numId w:val="2"/>
        </w:numPr>
        <w:spacing w:before="0" w:beforeAutospacing="0" w:line="360" w:lineRule="auto"/>
        <w:ind w:hanging="5"/>
        <w:rPr>
          <w:rFonts w:ascii="Times New Roman" w:hAnsi="Times New Roman"/>
          <w:kern w:val="0"/>
        </w:rPr>
      </w:pPr>
      <w:bookmarkStart w:id="14" w:name="_Ref15115"/>
      <w:r>
        <w:rPr>
          <w:rFonts w:hint="eastAsia" w:ascii="Times New Roman" w:hAnsi="Times New Roman"/>
          <w:kern w:val="0"/>
        </w:rPr>
        <w:t>硫代硫酸钠（Na</w:t>
      </w:r>
      <w:r>
        <w:rPr>
          <w:rFonts w:hint="eastAsia" w:ascii="Times New Roman" w:hAnsi="Times New Roman"/>
          <w:kern w:val="0"/>
          <w:vertAlign w:val="subscript"/>
        </w:rPr>
        <w:t>2</w:t>
      </w:r>
      <w:r>
        <w:rPr>
          <w:rFonts w:hint="eastAsia" w:ascii="Times New Roman" w:hAnsi="Times New Roman"/>
          <w:kern w:val="0"/>
        </w:rPr>
        <w:t>S</w:t>
      </w:r>
      <w:r>
        <w:rPr>
          <w:rFonts w:hint="eastAsia" w:ascii="Times New Roman" w:hAnsi="Times New Roman"/>
          <w:kern w:val="0"/>
          <w:vertAlign w:val="subscript"/>
        </w:rPr>
        <w:t>2</w:t>
      </w:r>
      <w:r>
        <w:rPr>
          <w:rFonts w:hint="eastAsia" w:ascii="Times New Roman" w:hAnsi="Times New Roman"/>
          <w:kern w:val="0"/>
        </w:rPr>
        <w:t>O</w:t>
      </w:r>
      <w:r>
        <w:rPr>
          <w:rFonts w:hint="eastAsia" w:ascii="Times New Roman" w:hAnsi="Times New Roman"/>
          <w:kern w:val="0"/>
          <w:vertAlign w:val="subscript"/>
        </w:rPr>
        <w:t>3</w:t>
      </w:r>
      <w:r>
        <w:rPr>
          <w:rFonts w:hint="eastAsia" w:ascii="Times New Roman" w:hAnsi="Times New Roman"/>
          <w:kern w:val="0"/>
        </w:rPr>
        <w:t>）：优级纯。</w:t>
      </w:r>
      <w:bookmarkEnd w:id="14"/>
    </w:p>
    <w:p>
      <w:pPr>
        <w:numPr>
          <w:ilvl w:val="0"/>
          <w:numId w:val="2"/>
        </w:numPr>
        <w:spacing w:before="0" w:beforeAutospacing="0" w:line="360" w:lineRule="auto"/>
        <w:ind w:hanging="5"/>
        <w:rPr>
          <w:rFonts w:ascii="Times New Roman" w:hAnsi="Times New Roman"/>
          <w:kern w:val="0"/>
        </w:rPr>
      </w:pPr>
      <w:bookmarkStart w:id="15" w:name="_Ref6004"/>
      <w:r>
        <w:rPr>
          <w:rFonts w:hint="eastAsia" w:ascii="Times New Roman" w:hAnsi="Times New Roman"/>
          <w:kern w:val="0"/>
        </w:rPr>
        <w:t>氯化钠（NaCl）：优级纯，</w:t>
      </w:r>
      <w:r>
        <w:rPr>
          <w:rFonts w:hint="eastAsia" w:ascii="Times New Roman" w:hAnsi="Times New Roman"/>
        </w:rPr>
        <w:t>在400℃烘烤4h，放入干燥器冷却备用。</w:t>
      </w:r>
      <w:bookmarkEnd w:id="15"/>
    </w:p>
    <w:p>
      <w:pPr>
        <w:numPr>
          <w:ilvl w:val="0"/>
          <w:numId w:val="2"/>
        </w:numPr>
        <w:spacing w:before="0" w:beforeAutospacing="0" w:line="360" w:lineRule="auto"/>
        <w:ind w:hanging="5"/>
        <w:rPr>
          <w:rFonts w:ascii="Times New Roman" w:hAnsi="Times New Roman"/>
          <w:kern w:val="0"/>
        </w:rPr>
      </w:pPr>
      <w:bookmarkStart w:id="16" w:name="_Ref1459"/>
      <w:r>
        <w:rPr>
          <w:rFonts w:hint="eastAsia" w:ascii="Times New Roman" w:hAnsi="Times New Roman"/>
          <w:kern w:val="0"/>
        </w:rPr>
        <w:t>无水硫酸钠（Na</w:t>
      </w:r>
      <w:r>
        <w:rPr>
          <w:rFonts w:hint="eastAsia" w:ascii="Times New Roman" w:hAnsi="Times New Roman"/>
          <w:kern w:val="0"/>
          <w:vertAlign w:val="subscript"/>
        </w:rPr>
        <w:t>2</w:t>
      </w:r>
      <w:r>
        <w:rPr>
          <w:rFonts w:hint="eastAsia" w:ascii="Times New Roman" w:hAnsi="Times New Roman"/>
          <w:kern w:val="0"/>
        </w:rPr>
        <w:t>SO</w:t>
      </w:r>
      <w:r>
        <w:rPr>
          <w:rFonts w:hint="eastAsia" w:ascii="Times New Roman" w:hAnsi="Times New Roman"/>
          <w:kern w:val="0"/>
          <w:vertAlign w:val="subscript"/>
        </w:rPr>
        <w:t>4</w:t>
      </w:r>
      <w:r>
        <w:rPr>
          <w:rFonts w:hint="eastAsia" w:ascii="Times New Roman" w:hAnsi="Times New Roman"/>
          <w:kern w:val="0"/>
        </w:rPr>
        <w:t>）：优级纯，</w:t>
      </w:r>
      <w:r>
        <w:rPr>
          <w:rFonts w:hint="eastAsia" w:ascii="Times New Roman" w:hAnsi="Times New Roman"/>
        </w:rPr>
        <w:t>在400℃烘烤4h，放入干燥器冷却备用。</w:t>
      </w:r>
      <w:bookmarkEnd w:id="16"/>
    </w:p>
    <w:p>
      <w:pPr>
        <w:numPr>
          <w:ilvl w:val="0"/>
          <w:numId w:val="2"/>
        </w:numPr>
        <w:spacing w:before="0" w:beforeAutospacing="0" w:line="360" w:lineRule="auto"/>
        <w:ind w:hanging="5"/>
        <w:rPr>
          <w:rFonts w:ascii="Times New Roman" w:hAnsi="Times New Roman"/>
          <w:kern w:val="0"/>
        </w:rPr>
      </w:pPr>
      <w:bookmarkStart w:id="17" w:name="_Ref3473"/>
      <w:r>
        <w:rPr>
          <w:rFonts w:hint="eastAsia" w:ascii="Times New Roman" w:hAnsi="Times New Roman"/>
          <w:kern w:val="0"/>
        </w:rPr>
        <w:t>氢氧化钠（NaOH）：优级纯。</w:t>
      </w:r>
      <w:bookmarkEnd w:id="17"/>
    </w:p>
    <w:p>
      <w:pPr>
        <w:numPr>
          <w:ilvl w:val="0"/>
          <w:numId w:val="2"/>
        </w:numPr>
        <w:spacing w:before="0" w:beforeAutospacing="0" w:line="360" w:lineRule="auto"/>
        <w:ind w:hanging="5"/>
        <w:rPr>
          <w:rFonts w:ascii="Times New Roman" w:hAnsi="Times New Roman"/>
          <w:kern w:val="0"/>
        </w:rPr>
      </w:pPr>
      <w:bookmarkStart w:id="18" w:name="_Ref3610"/>
      <w:r>
        <w:rPr>
          <w:rFonts w:hint="eastAsia" w:ascii="Times New Roman" w:hAnsi="Times New Roman"/>
          <w:kern w:val="0"/>
        </w:rPr>
        <w:t>聚丙烯酸钠（(C</w:t>
      </w:r>
      <w:r>
        <w:rPr>
          <w:rFonts w:hint="eastAsia" w:ascii="Times New Roman" w:hAnsi="Times New Roman"/>
          <w:kern w:val="0"/>
          <w:vertAlign w:val="subscript"/>
        </w:rPr>
        <w:t>3</w:t>
      </w:r>
      <w:r>
        <w:rPr>
          <w:rFonts w:hint="eastAsia" w:ascii="Times New Roman" w:hAnsi="Times New Roman"/>
          <w:kern w:val="0"/>
        </w:rPr>
        <w:t>H</w:t>
      </w:r>
      <w:r>
        <w:rPr>
          <w:rFonts w:hint="eastAsia" w:ascii="Times New Roman" w:hAnsi="Times New Roman"/>
          <w:kern w:val="0"/>
          <w:vertAlign w:val="subscript"/>
        </w:rPr>
        <w:t>3</w:t>
      </w:r>
      <w:r>
        <w:rPr>
          <w:rFonts w:hint="eastAsia" w:ascii="Times New Roman" w:hAnsi="Times New Roman"/>
          <w:kern w:val="0"/>
        </w:rPr>
        <w:t>NaO</w:t>
      </w:r>
      <w:r>
        <w:rPr>
          <w:rFonts w:hint="eastAsia" w:ascii="Times New Roman" w:hAnsi="Times New Roman"/>
          <w:kern w:val="0"/>
          <w:vertAlign w:val="subscript"/>
        </w:rPr>
        <w:t>2</w:t>
      </w:r>
      <w:r>
        <w:rPr>
          <w:rFonts w:hint="eastAsia" w:ascii="Times New Roman" w:hAnsi="Times New Roman"/>
          <w:kern w:val="0"/>
        </w:rPr>
        <w:t>)</w:t>
      </w:r>
      <w:r>
        <w:rPr>
          <w:rFonts w:hint="eastAsia" w:ascii="Times New Roman" w:hAnsi="Times New Roman"/>
          <w:kern w:val="0"/>
          <w:vertAlign w:val="subscript"/>
        </w:rPr>
        <w:t>n</w:t>
      </w:r>
      <w:r>
        <w:rPr>
          <w:rFonts w:hint="eastAsia" w:ascii="Times New Roman" w:hAnsi="Times New Roman"/>
          <w:kern w:val="0"/>
        </w:rPr>
        <w:t xml:space="preserve"> ）：分子量1500～3000。</w:t>
      </w:r>
      <w:bookmarkEnd w:id="18"/>
    </w:p>
    <w:p>
      <w:pPr>
        <w:numPr>
          <w:ilvl w:val="0"/>
          <w:numId w:val="2"/>
        </w:numPr>
        <w:spacing w:before="0" w:beforeAutospacing="0" w:line="360" w:lineRule="auto"/>
        <w:rPr>
          <w:rFonts w:ascii="Times New Roman" w:hAnsi="Times New Roman"/>
          <w:kern w:val="0"/>
        </w:rPr>
      </w:pPr>
      <w:bookmarkStart w:id="19" w:name="_Ref7832"/>
      <w:r>
        <w:rPr>
          <w:rFonts w:hint="eastAsia" w:ascii="Times New Roman" w:hAnsi="Times New Roman"/>
          <w:kern w:val="0"/>
        </w:rPr>
        <w:t>邻苯二甲醛（C</w:t>
      </w:r>
      <w:r>
        <w:rPr>
          <w:rFonts w:hint="eastAsia" w:ascii="Times New Roman" w:hAnsi="Times New Roman"/>
          <w:kern w:val="0"/>
          <w:vertAlign w:val="subscript"/>
        </w:rPr>
        <w:t>8</w:t>
      </w:r>
      <w:r>
        <w:rPr>
          <w:rFonts w:hint="eastAsia" w:ascii="Times New Roman" w:hAnsi="Times New Roman"/>
          <w:kern w:val="0"/>
        </w:rPr>
        <w:t>H</w:t>
      </w:r>
      <w:r>
        <w:rPr>
          <w:rFonts w:hint="eastAsia" w:ascii="Times New Roman" w:hAnsi="Times New Roman"/>
          <w:kern w:val="0"/>
          <w:vertAlign w:val="subscript"/>
        </w:rPr>
        <w:t>6</w:t>
      </w:r>
      <w:r>
        <w:rPr>
          <w:rFonts w:hint="eastAsia" w:ascii="Times New Roman" w:hAnsi="Times New Roman"/>
          <w:kern w:val="0"/>
        </w:rPr>
        <w:t>O</w:t>
      </w:r>
      <w:r>
        <w:rPr>
          <w:rFonts w:hint="eastAsia" w:ascii="Times New Roman" w:hAnsi="Times New Roman"/>
          <w:kern w:val="0"/>
          <w:vertAlign w:val="subscript"/>
        </w:rPr>
        <w:t>2</w:t>
      </w:r>
      <w:r>
        <w:rPr>
          <w:rFonts w:hint="eastAsia" w:ascii="Times New Roman" w:hAnsi="Times New Roman"/>
          <w:kern w:val="0"/>
        </w:rPr>
        <w:t>）：分析纯。</w:t>
      </w:r>
      <w:bookmarkEnd w:id="19"/>
    </w:p>
    <w:p>
      <w:pPr>
        <w:numPr>
          <w:ilvl w:val="0"/>
          <w:numId w:val="2"/>
        </w:numPr>
        <w:spacing w:before="0" w:beforeAutospacing="0" w:line="360" w:lineRule="auto"/>
        <w:rPr>
          <w:rFonts w:ascii="Times New Roman" w:hAnsi="Times New Roman"/>
          <w:kern w:val="0"/>
        </w:rPr>
      </w:pPr>
      <w:bookmarkStart w:id="20" w:name="_Ref7973"/>
      <w:r>
        <w:rPr>
          <w:rFonts w:hint="eastAsia" w:ascii="Times New Roman" w:hAnsi="Times New Roman"/>
          <w:kern w:val="0"/>
        </w:rPr>
        <w:t>2-二甲胺基乙硫醇（C</w:t>
      </w:r>
      <w:r>
        <w:rPr>
          <w:rFonts w:hint="eastAsia" w:ascii="Times New Roman" w:hAnsi="Times New Roman"/>
          <w:kern w:val="0"/>
          <w:vertAlign w:val="subscript"/>
        </w:rPr>
        <w:t>4</w:t>
      </w:r>
      <w:r>
        <w:rPr>
          <w:rFonts w:hint="eastAsia" w:ascii="Times New Roman" w:hAnsi="Times New Roman"/>
          <w:kern w:val="0"/>
        </w:rPr>
        <w:t>H</w:t>
      </w:r>
      <w:r>
        <w:rPr>
          <w:rFonts w:hint="eastAsia" w:ascii="Times New Roman" w:hAnsi="Times New Roman"/>
          <w:kern w:val="0"/>
          <w:vertAlign w:val="subscript"/>
        </w:rPr>
        <w:t>11</w:t>
      </w:r>
      <w:r>
        <w:rPr>
          <w:rFonts w:hint="eastAsia" w:ascii="Times New Roman" w:hAnsi="Times New Roman"/>
          <w:kern w:val="0"/>
        </w:rPr>
        <w:t>NS）：分析纯。</w:t>
      </w:r>
      <w:bookmarkEnd w:id="20"/>
    </w:p>
    <w:p>
      <w:pPr>
        <w:numPr>
          <w:ilvl w:val="0"/>
          <w:numId w:val="2"/>
        </w:numPr>
        <w:spacing w:before="0" w:beforeAutospacing="0" w:line="360" w:lineRule="auto"/>
        <w:rPr>
          <w:rFonts w:ascii="Times New Roman" w:hAnsi="Times New Roman"/>
          <w:kern w:val="0"/>
        </w:rPr>
      </w:pPr>
      <w:bookmarkStart w:id="21" w:name="_Ref6477"/>
      <w:r>
        <w:rPr>
          <w:rFonts w:hint="eastAsia" w:ascii="Times New Roman" w:hAnsi="Times New Roman"/>
          <w:kern w:val="0"/>
        </w:rPr>
        <w:t>十水四硼酸钠（B</w:t>
      </w:r>
      <w:r>
        <w:rPr>
          <w:rFonts w:hint="eastAsia" w:ascii="Times New Roman" w:hAnsi="Times New Roman"/>
          <w:kern w:val="0"/>
          <w:vertAlign w:val="subscript"/>
        </w:rPr>
        <w:t>4</w:t>
      </w:r>
      <w:r>
        <w:rPr>
          <w:rFonts w:hint="eastAsia" w:ascii="Times New Roman" w:hAnsi="Times New Roman"/>
          <w:kern w:val="0"/>
        </w:rPr>
        <w:t>Na</w:t>
      </w:r>
      <w:r>
        <w:rPr>
          <w:rFonts w:hint="eastAsia" w:ascii="Times New Roman" w:hAnsi="Times New Roman"/>
          <w:kern w:val="0"/>
          <w:vertAlign w:val="subscript"/>
        </w:rPr>
        <w:t>2</w:t>
      </w:r>
      <w:r>
        <w:rPr>
          <w:rFonts w:hint="eastAsia" w:ascii="Times New Roman" w:hAnsi="Times New Roman"/>
          <w:kern w:val="0"/>
        </w:rPr>
        <w:t>O·10H</w:t>
      </w:r>
      <w:r>
        <w:rPr>
          <w:rFonts w:hint="eastAsia" w:ascii="Times New Roman" w:hAnsi="Times New Roman"/>
          <w:kern w:val="0"/>
          <w:vertAlign w:val="subscript"/>
        </w:rPr>
        <w:t>2</w:t>
      </w:r>
      <w:r>
        <w:rPr>
          <w:rFonts w:hint="eastAsia" w:ascii="Times New Roman" w:hAnsi="Times New Roman"/>
          <w:kern w:val="0"/>
        </w:rPr>
        <w:t>O）：优级纯。</w:t>
      </w:r>
      <w:bookmarkEnd w:id="21"/>
    </w:p>
    <w:p>
      <w:pPr>
        <w:numPr>
          <w:ilvl w:val="0"/>
          <w:numId w:val="2"/>
        </w:numPr>
        <w:spacing w:before="0" w:beforeAutospacing="0" w:line="360" w:lineRule="auto"/>
        <w:rPr>
          <w:rFonts w:ascii="Times New Roman" w:hAnsi="Times New Roman"/>
          <w:kern w:val="0"/>
        </w:rPr>
      </w:pPr>
      <w:bookmarkStart w:id="22" w:name="_Ref27271"/>
      <w:bookmarkStart w:id="23" w:name="_Ref11870"/>
      <w:r>
        <w:rPr>
          <w:rFonts w:hint="eastAsia" w:ascii="Times New Roman" w:hAnsi="Times New Roman"/>
          <w:kern w:val="0"/>
        </w:rPr>
        <w:t>涕灭威（C</w:t>
      </w:r>
      <w:r>
        <w:rPr>
          <w:rFonts w:hint="eastAsia" w:ascii="Times New Roman" w:hAnsi="Times New Roman"/>
          <w:kern w:val="0"/>
          <w:vertAlign w:val="subscript"/>
        </w:rPr>
        <w:t>7</w:t>
      </w:r>
      <w:r>
        <w:rPr>
          <w:rFonts w:hint="eastAsia" w:ascii="Times New Roman" w:hAnsi="Times New Roman"/>
          <w:kern w:val="0"/>
        </w:rPr>
        <w:t>H</w:t>
      </w:r>
      <w:r>
        <w:rPr>
          <w:rFonts w:hint="eastAsia" w:ascii="Times New Roman" w:hAnsi="Times New Roman"/>
          <w:kern w:val="0"/>
          <w:vertAlign w:val="subscript"/>
        </w:rPr>
        <w:t>14</w:t>
      </w:r>
      <w:r>
        <w:rPr>
          <w:rFonts w:hint="eastAsia" w:ascii="Times New Roman" w:hAnsi="Times New Roman"/>
          <w:kern w:val="0"/>
        </w:rPr>
        <w:t>N</w:t>
      </w:r>
      <w:r>
        <w:rPr>
          <w:rFonts w:hint="eastAsia" w:ascii="Times New Roman" w:hAnsi="Times New Roman"/>
          <w:kern w:val="0"/>
          <w:vertAlign w:val="subscript"/>
        </w:rPr>
        <w:t>2</w:t>
      </w:r>
      <w:r>
        <w:rPr>
          <w:rFonts w:hint="eastAsia" w:ascii="Times New Roman" w:hAnsi="Times New Roman"/>
          <w:kern w:val="0"/>
        </w:rPr>
        <w:t>O</w:t>
      </w:r>
      <w:r>
        <w:rPr>
          <w:rFonts w:hint="eastAsia" w:ascii="Times New Roman" w:hAnsi="Times New Roman"/>
          <w:kern w:val="0"/>
          <w:vertAlign w:val="subscript"/>
        </w:rPr>
        <w:t>2</w:t>
      </w:r>
      <w:r>
        <w:rPr>
          <w:rFonts w:hint="eastAsia" w:ascii="Times New Roman" w:hAnsi="Times New Roman"/>
          <w:kern w:val="0"/>
        </w:rPr>
        <w:t>S）：纯度≥98%。</w:t>
      </w:r>
      <w:bookmarkEnd w:id="22"/>
    </w:p>
    <w:p>
      <w:pPr>
        <w:numPr>
          <w:ilvl w:val="0"/>
          <w:numId w:val="2"/>
        </w:numPr>
        <w:spacing w:before="0" w:beforeAutospacing="0" w:line="360" w:lineRule="auto"/>
        <w:rPr>
          <w:rFonts w:ascii="Times New Roman" w:hAnsi="Times New Roman"/>
          <w:kern w:val="0"/>
        </w:rPr>
      </w:pPr>
      <w:bookmarkStart w:id="24" w:name="_Ref12977"/>
      <w:r>
        <w:rPr>
          <w:rFonts w:hint="eastAsia" w:ascii="Times New Roman" w:hAnsi="Times New Roman"/>
          <w:kern w:val="0"/>
        </w:rPr>
        <w:t>克百威（C</w:t>
      </w:r>
      <w:r>
        <w:rPr>
          <w:rFonts w:hint="eastAsia" w:ascii="Times New Roman" w:hAnsi="Times New Roman"/>
          <w:kern w:val="0"/>
          <w:vertAlign w:val="subscript"/>
        </w:rPr>
        <w:t>12</w:t>
      </w:r>
      <w:r>
        <w:rPr>
          <w:rFonts w:hint="eastAsia" w:ascii="Times New Roman" w:hAnsi="Times New Roman"/>
          <w:kern w:val="0"/>
        </w:rPr>
        <w:t>H</w:t>
      </w:r>
      <w:r>
        <w:rPr>
          <w:rFonts w:hint="eastAsia" w:ascii="Times New Roman" w:hAnsi="Times New Roman"/>
          <w:kern w:val="0"/>
          <w:vertAlign w:val="subscript"/>
        </w:rPr>
        <w:t>15</w:t>
      </w:r>
      <w:r>
        <w:rPr>
          <w:rFonts w:hint="eastAsia" w:ascii="Times New Roman" w:hAnsi="Times New Roman"/>
          <w:kern w:val="0"/>
        </w:rPr>
        <w:t>NO</w:t>
      </w:r>
      <w:r>
        <w:rPr>
          <w:rFonts w:hint="eastAsia" w:ascii="Times New Roman" w:hAnsi="Times New Roman"/>
          <w:kern w:val="0"/>
          <w:vertAlign w:val="subscript"/>
        </w:rPr>
        <w:t>3</w:t>
      </w:r>
      <w:r>
        <w:rPr>
          <w:rFonts w:hint="eastAsia" w:ascii="Times New Roman" w:hAnsi="Times New Roman"/>
          <w:kern w:val="0"/>
        </w:rPr>
        <w:t>）：纯度≥98%。</w:t>
      </w:r>
      <w:bookmarkEnd w:id="24"/>
    </w:p>
    <w:p>
      <w:pPr>
        <w:numPr>
          <w:ilvl w:val="0"/>
          <w:numId w:val="2"/>
        </w:numPr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甲萘威（C</w:t>
      </w:r>
      <w:r>
        <w:rPr>
          <w:rFonts w:hint="eastAsia" w:ascii="Times New Roman" w:hAnsi="Times New Roman"/>
          <w:kern w:val="0"/>
          <w:vertAlign w:val="subscript"/>
        </w:rPr>
        <w:t>12</w:t>
      </w:r>
      <w:r>
        <w:rPr>
          <w:rFonts w:hint="eastAsia" w:ascii="Times New Roman" w:hAnsi="Times New Roman"/>
          <w:kern w:val="0"/>
        </w:rPr>
        <w:t>H</w:t>
      </w:r>
      <w:r>
        <w:rPr>
          <w:rFonts w:hint="eastAsia" w:ascii="Times New Roman" w:hAnsi="Times New Roman"/>
          <w:kern w:val="0"/>
          <w:vertAlign w:val="subscript"/>
        </w:rPr>
        <w:t>11</w:t>
      </w:r>
      <w:r>
        <w:rPr>
          <w:rFonts w:hint="eastAsia" w:ascii="Times New Roman" w:hAnsi="Times New Roman"/>
          <w:kern w:val="0"/>
        </w:rPr>
        <w:t>NO</w:t>
      </w:r>
      <w:r>
        <w:rPr>
          <w:rFonts w:hint="eastAsia" w:ascii="Times New Roman" w:hAnsi="Times New Roman"/>
          <w:kern w:val="0"/>
          <w:vertAlign w:val="subscript"/>
        </w:rPr>
        <w:t>2</w:t>
      </w:r>
      <w:r>
        <w:rPr>
          <w:rFonts w:hint="eastAsia" w:ascii="Times New Roman" w:hAnsi="Times New Roman"/>
          <w:kern w:val="0"/>
        </w:rPr>
        <w:t>）：纯度≥98%。</w:t>
      </w:r>
      <w:bookmarkEnd w:id="23"/>
    </w:p>
    <w:p>
      <w:pPr>
        <w:numPr>
          <w:ilvl w:val="0"/>
          <w:numId w:val="2"/>
        </w:numPr>
        <w:spacing w:before="0" w:beforeAutospacing="0" w:line="360" w:lineRule="auto"/>
        <w:rPr>
          <w:rFonts w:ascii="Times New Roman" w:hAnsi="Times New Roman"/>
          <w:kern w:val="0"/>
        </w:rPr>
      </w:pPr>
      <w:bookmarkStart w:id="25" w:name="_Ref6863"/>
      <w:r>
        <w:rPr>
          <w:rFonts w:hint="eastAsia" w:ascii="Times New Roman" w:hAnsi="Times New Roman"/>
          <w:kern w:val="0"/>
        </w:rPr>
        <w:t>四硼酸钠溶液：称取7.6g十水四硼酸钠（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_Ref6477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4.13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）溶于800mL水中，用水定容至1L。</w:t>
      </w:r>
      <w:bookmarkEnd w:id="25"/>
    </w:p>
    <w:p>
      <w:pPr>
        <w:numPr>
          <w:ilvl w:val="0"/>
          <w:numId w:val="2"/>
        </w:numPr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水解试剂：称取2.0g氢氧化钠（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_Ref3473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4.9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）溶于800mL水中，再缓缓加入0.5g聚丙烯酸钠（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_Ref3610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4.10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），轻轻搅拌使其溶解，用水定容至1L。该溶液使用前需用微孔滤膜（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_Ref7362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4.1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）过滤，并用氦气脱气或在线脱气。</w:t>
      </w:r>
    </w:p>
    <w:p>
      <w:pPr>
        <w:numPr>
          <w:ilvl w:val="0"/>
          <w:numId w:val="2"/>
        </w:numPr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反应试剂：称取0.10g邻苯二甲醛（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_Ref7832 \r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4.11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）溶于10mL甲醇中，再将其加入1000mL四硼酸钠溶液（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_Ref6863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4.17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）中，混合均匀后用微孔滤膜（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_Ref7362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4.1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ascii="Times New Roman" w:hAnsi="Times New Roman"/>
          <w:kern w:val="0"/>
        </w:rPr>
        <w:t>2</w:t>
      </w:r>
      <w:r>
        <w:rPr>
          <w:rFonts w:hint="eastAsia" w:ascii="Times New Roman" w:hAnsi="Times New Roman"/>
          <w:kern w:val="0"/>
        </w:rPr>
        <w:t>）过滤，用氦气脱气或在线脱气，再加入2.0g2-二甲胺基乙硫醇（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_Ref7973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4.12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），混匀。在氮气的保护下，该溶液可保存3天。</w:t>
      </w:r>
    </w:p>
    <w:p>
      <w:pPr>
        <w:numPr>
          <w:ilvl w:val="0"/>
          <w:numId w:val="2"/>
        </w:numPr>
        <w:spacing w:before="0" w:beforeAutospacing="0" w:line="360" w:lineRule="auto"/>
        <w:rPr>
          <w:rFonts w:ascii="Times New Roman" w:hAnsi="Times New Roman"/>
          <w:kern w:val="0"/>
        </w:rPr>
      </w:pPr>
      <w:bookmarkStart w:id="26" w:name="_Ref28815"/>
      <w:bookmarkStart w:id="27" w:name="_Ref28665"/>
      <w:r>
        <w:rPr>
          <w:rFonts w:hint="eastAsia" w:ascii="Times New Roman" w:hAnsi="Times New Roman"/>
          <w:kern w:val="0"/>
        </w:rPr>
        <w:t>涕灭威标准贮备液（1.00mg/mL）：准确称取0.0500g涕灭威（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_Ref27271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4.14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），用少量甲醇溶解后转移入50mL容量瓶中，用甲醇定容，密封存储于棕色玻璃样品瓶中。4℃避光保存，可保存6个月。</w:t>
      </w:r>
      <w:bookmarkEnd w:id="26"/>
      <w:r>
        <w:rPr>
          <w:rFonts w:hint="eastAsia" w:ascii="Times New Roman" w:hAnsi="Times New Roman"/>
          <w:kern w:val="0"/>
        </w:rPr>
        <w:t>也可采用市售有证标准物质。</w:t>
      </w:r>
    </w:p>
    <w:p>
      <w:pPr>
        <w:numPr>
          <w:ilvl w:val="0"/>
          <w:numId w:val="2"/>
        </w:numPr>
        <w:spacing w:before="0" w:beforeAutospacing="0" w:line="360" w:lineRule="auto"/>
        <w:rPr>
          <w:rFonts w:ascii="Times New Roman" w:hAnsi="Times New Roman"/>
          <w:kern w:val="0"/>
        </w:rPr>
      </w:pPr>
      <w:bookmarkStart w:id="28" w:name="_Ref28763"/>
      <w:r>
        <w:rPr>
          <w:rFonts w:hint="eastAsia" w:ascii="Times New Roman" w:hAnsi="Times New Roman"/>
          <w:kern w:val="0"/>
        </w:rPr>
        <w:t>克百威标准贮备液（1.00mg/mL）：准确称取0.0500g克百威（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_Ref12977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4.15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），用少量甲醇溶解后转移入50mL容量瓶中，用甲醇定容，密封存储于棕色玻璃样品瓶中。4℃避光保存，可保存6个月。</w:t>
      </w:r>
      <w:bookmarkEnd w:id="28"/>
      <w:r>
        <w:rPr>
          <w:rFonts w:hint="eastAsia" w:ascii="Times New Roman" w:hAnsi="Times New Roman"/>
          <w:kern w:val="0"/>
        </w:rPr>
        <w:t>也可采用市售有证标准物质。</w:t>
      </w:r>
    </w:p>
    <w:p>
      <w:pPr>
        <w:numPr>
          <w:ilvl w:val="0"/>
          <w:numId w:val="2"/>
        </w:numPr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甲萘威标准贮备液（1.00mg/mL）：准确称取0.0500g甲萘威（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_Ref11870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4.16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），用少量甲醇溶解后转移入50mL容量瓶中，用甲醇定容，密封存储于棕色玻璃样品瓶中。4℃避光保存，可保存6个月。</w:t>
      </w:r>
      <w:bookmarkEnd w:id="27"/>
      <w:r>
        <w:rPr>
          <w:rFonts w:hint="eastAsia" w:ascii="Times New Roman" w:hAnsi="Times New Roman"/>
          <w:kern w:val="0"/>
        </w:rPr>
        <w:t>也可采用市售有证标准物质。</w:t>
      </w:r>
    </w:p>
    <w:p>
      <w:pPr>
        <w:numPr>
          <w:ilvl w:val="0"/>
          <w:numId w:val="2"/>
        </w:numPr>
        <w:spacing w:before="0" w:beforeAutospacing="0" w:line="360" w:lineRule="auto"/>
        <w:rPr>
          <w:rFonts w:ascii="Times New Roman" w:hAnsi="Times New Roman"/>
          <w:kern w:val="0"/>
        </w:rPr>
      </w:pPr>
      <w:bookmarkStart w:id="29" w:name="_Ref30105"/>
      <w:r>
        <w:rPr>
          <w:rFonts w:hint="eastAsia" w:ascii="Times New Roman" w:hAnsi="Times New Roman"/>
          <w:kern w:val="0"/>
        </w:rPr>
        <w:t>涕灭威、克百威、甲萘威混合标准中间液（10.0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g/mL）：移取涕灭威标标准贮备液（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_Ref28665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4.20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）、克百威标准贮备液（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_Ref28763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4.21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）、甲萘威准贮备液（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_Ref28815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4.22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）各1.00mL于100mL容量瓶中，用甲醇溶液（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_Ref29080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4.4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）定容。</w:t>
      </w:r>
      <w:bookmarkEnd w:id="29"/>
    </w:p>
    <w:p>
      <w:pPr>
        <w:numPr>
          <w:ilvl w:val="0"/>
          <w:numId w:val="2"/>
        </w:numPr>
        <w:spacing w:before="0" w:beforeAutospacing="0" w:line="360" w:lineRule="auto"/>
        <w:rPr>
          <w:rFonts w:ascii="Times New Roman" w:hAnsi="Times New Roman"/>
          <w:kern w:val="0"/>
        </w:rPr>
      </w:pPr>
      <w:bookmarkStart w:id="30" w:name="_Ref20693"/>
      <w:r>
        <w:rPr>
          <w:rFonts w:hint="eastAsia" w:ascii="Times New Roman" w:hAnsi="Times New Roman"/>
          <w:kern w:val="0"/>
        </w:rPr>
        <w:t>涕灭威、克百威、甲萘威混合标准使用液（100ng/mL）：移取1.00mL甲萘威、克百威、涕灭威混合标准中间液（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_Ref30105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4.23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）于100mL容量瓶中，用甲醇溶液定容。</w:t>
      </w:r>
      <w:bookmarkEnd w:id="30"/>
    </w:p>
    <w:p>
      <w:pPr>
        <w:pStyle w:val="3"/>
        <w:numPr>
          <w:ilvl w:val="0"/>
          <w:numId w:val="1"/>
        </w:numPr>
        <w:spacing w:before="159" w:beforeLines="50" w:after="159" w:afterLines="50"/>
        <w:rPr>
          <w:rFonts w:ascii="Times New Roman" w:hAnsi="Times New Roman" w:eastAsia="黑体"/>
          <w:b w:val="0"/>
          <w:bCs/>
          <w:sz w:val="21"/>
        </w:rPr>
      </w:pPr>
      <w:bookmarkStart w:id="31" w:name="_Toc14274092"/>
      <w:r>
        <w:rPr>
          <w:rFonts w:hint="eastAsia" w:ascii="Times New Roman" w:hAnsi="Times New Roman" w:eastAsia="黑体"/>
          <w:b w:val="0"/>
          <w:bCs/>
          <w:sz w:val="21"/>
        </w:rPr>
        <w:t>仪器和设备</w:t>
      </w:r>
      <w:bookmarkEnd w:id="31"/>
    </w:p>
    <w:p>
      <w:pPr>
        <w:numPr>
          <w:ilvl w:val="0"/>
          <w:numId w:val="3"/>
        </w:numPr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液相色谱仪：可梯度淋洗，配荧光检测器。</w:t>
      </w:r>
    </w:p>
    <w:p>
      <w:pPr>
        <w:numPr>
          <w:ilvl w:val="0"/>
          <w:numId w:val="3"/>
        </w:numPr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柱后衍生仪。</w:t>
      </w:r>
    </w:p>
    <w:p>
      <w:pPr>
        <w:numPr>
          <w:ilvl w:val="0"/>
          <w:numId w:val="3"/>
        </w:numPr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色谱柱：C18柱，柱长150mm，内径4.6mm，填料粒径5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m。</w:t>
      </w:r>
    </w:p>
    <w:p>
      <w:pPr>
        <w:numPr>
          <w:ilvl w:val="0"/>
          <w:numId w:val="3"/>
        </w:numPr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电子天平：精度为0.1mg。</w:t>
      </w:r>
    </w:p>
    <w:p>
      <w:pPr>
        <w:numPr>
          <w:ilvl w:val="0"/>
          <w:numId w:val="3"/>
        </w:numPr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浓缩装置：氮吹仪或其他浓缩装置。</w:t>
      </w:r>
    </w:p>
    <w:p>
      <w:pPr>
        <w:numPr>
          <w:ilvl w:val="0"/>
          <w:numId w:val="3"/>
        </w:numPr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过滤装置：包括板式过滤器、抽滤瓶、真空泵。</w:t>
      </w:r>
    </w:p>
    <w:p>
      <w:pPr>
        <w:numPr>
          <w:ilvl w:val="0"/>
          <w:numId w:val="3"/>
        </w:numPr>
        <w:spacing w:before="0" w:beforeAutospacing="0" w:line="360" w:lineRule="auto"/>
        <w:rPr>
          <w:rFonts w:ascii="Times New Roman" w:hAnsi="Times New Roman"/>
          <w:kern w:val="0"/>
        </w:rPr>
      </w:pPr>
      <w:bookmarkStart w:id="32" w:name="_Ref14276"/>
      <w:r>
        <w:rPr>
          <w:rFonts w:hint="eastAsia" w:ascii="Times New Roman" w:hAnsi="Times New Roman"/>
          <w:kern w:val="0"/>
        </w:rPr>
        <w:t>采样器：材质为玻璃、不锈钢或聚四氟乙烯。</w:t>
      </w:r>
      <w:bookmarkEnd w:id="32"/>
    </w:p>
    <w:p>
      <w:pPr>
        <w:numPr>
          <w:ilvl w:val="0"/>
          <w:numId w:val="3"/>
        </w:numPr>
        <w:spacing w:before="0" w:beforeAutospacing="0" w:line="360" w:lineRule="auto"/>
        <w:rPr>
          <w:rFonts w:ascii="Times New Roman" w:hAnsi="Times New Roman"/>
          <w:kern w:val="0"/>
        </w:rPr>
      </w:pPr>
      <w:bookmarkStart w:id="33" w:name="_Ref13665"/>
      <w:r>
        <w:rPr>
          <w:rFonts w:hint="eastAsia" w:ascii="Times New Roman" w:hAnsi="Times New Roman"/>
          <w:kern w:val="0"/>
        </w:rPr>
        <w:t>采样瓶：500mL，玻璃材质，棕色。</w:t>
      </w:r>
      <w:bookmarkEnd w:id="33"/>
    </w:p>
    <w:p>
      <w:pPr>
        <w:numPr>
          <w:ilvl w:val="0"/>
          <w:numId w:val="3"/>
        </w:numPr>
        <w:spacing w:before="0" w:beforeAutospacing="0" w:line="360" w:lineRule="auto"/>
        <w:rPr>
          <w:rFonts w:ascii="Times New Roman" w:hAnsi="Times New Roman"/>
          <w:kern w:val="0"/>
        </w:rPr>
      </w:pPr>
      <w:bookmarkStart w:id="34" w:name="_Ref24660"/>
      <w:r>
        <w:rPr>
          <w:rFonts w:hint="eastAsia" w:ascii="Times New Roman" w:hAnsi="Times New Roman"/>
          <w:kern w:val="0"/>
        </w:rPr>
        <w:t>样品瓶：非针头式滤器，带过滤功能，滤膜为玻璃纤维材质，孔径0.45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m。</w:t>
      </w:r>
      <w:bookmarkEnd w:id="34"/>
    </w:p>
    <w:p>
      <w:pPr>
        <w:numPr>
          <w:ilvl w:val="0"/>
          <w:numId w:val="3"/>
        </w:numPr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微量注射器：100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L、500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L、1000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L。</w:t>
      </w:r>
    </w:p>
    <w:p>
      <w:pPr>
        <w:numPr>
          <w:ilvl w:val="0"/>
          <w:numId w:val="3"/>
        </w:numPr>
        <w:spacing w:before="0" w:beforeAutospacing="0" w:line="360" w:lineRule="auto"/>
        <w:rPr>
          <w:rFonts w:ascii="Times New Roman" w:hAnsi="Times New Roman"/>
          <w:kern w:val="0"/>
        </w:rPr>
      </w:pPr>
      <w:bookmarkStart w:id="35" w:name="_Ref5471"/>
      <w:r>
        <w:rPr>
          <w:rFonts w:hint="eastAsia" w:ascii="Times New Roman" w:hAnsi="Times New Roman"/>
          <w:kern w:val="0"/>
        </w:rPr>
        <w:t>浓缩管：50mL，下端带有1mL刻度。</w:t>
      </w:r>
      <w:bookmarkEnd w:id="35"/>
    </w:p>
    <w:p>
      <w:pPr>
        <w:numPr>
          <w:ilvl w:val="0"/>
          <w:numId w:val="3"/>
        </w:numPr>
        <w:spacing w:before="0" w:beforeAutospacing="0" w:line="360" w:lineRule="auto"/>
        <w:rPr>
          <w:rFonts w:ascii="Times New Roman" w:hAnsi="Times New Roman"/>
          <w:kern w:val="0"/>
        </w:rPr>
      </w:pPr>
      <w:bookmarkStart w:id="36" w:name="_Ref5940"/>
      <w:r>
        <w:rPr>
          <w:rFonts w:hint="eastAsia" w:ascii="Times New Roman" w:hAnsi="Times New Roman"/>
          <w:kern w:val="0"/>
        </w:rPr>
        <w:t>固相萃取柱：HLB，500mg/6mL。</w:t>
      </w:r>
      <w:bookmarkEnd w:id="36"/>
    </w:p>
    <w:p>
      <w:pPr>
        <w:pStyle w:val="3"/>
        <w:numPr>
          <w:ilvl w:val="0"/>
          <w:numId w:val="1"/>
        </w:numPr>
        <w:spacing w:before="159" w:beforeLines="50" w:after="159" w:afterLines="50"/>
        <w:rPr>
          <w:rFonts w:ascii="Times New Roman" w:hAnsi="Times New Roman" w:eastAsia="黑体"/>
          <w:b w:val="0"/>
          <w:bCs/>
          <w:sz w:val="21"/>
        </w:rPr>
      </w:pPr>
      <w:bookmarkStart w:id="37" w:name="_Ref11454"/>
      <w:bookmarkStart w:id="38" w:name="_Toc14274093"/>
      <w:r>
        <w:rPr>
          <w:rFonts w:hint="eastAsia" w:ascii="Times New Roman" w:hAnsi="Times New Roman" w:eastAsia="黑体"/>
          <w:b w:val="0"/>
          <w:bCs/>
          <w:sz w:val="21"/>
        </w:rPr>
        <w:t>样品</w:t>
      </w:r>
      <w:bookmarkEnd w:id="37"/>
      <w:bookmarkEnd w:id="38"/>
    </w:p>
    <w:p>
      <w:pPr>
        <w:pStyle w:val="4"/>
        <w:spacing w:before="0" w:beforeAutospacing="0" w:after="0" w:line="360" w:lineRule="auto"/>
        <w:rPr>
          <w:rFonts w:ascii="黑体" w:hAnsi="黑体" w:eastAsia="黑体"/>
          <w:b w:val="0"/>
          <w:kern w:val="0"/>
          <w:sz w:val="21"/>
          <w:szCs w:val="21"/>
        </w:rPr>
      </w:pPr>
      <w:bookmarkStart w:id="39" w:name="_Toc14274094"/>
      <w:r>
        <w:rPr>
          <w:rFonts w:hint="eastAsia" w:ascii="黑体" w:hAnsi="黑体" w:eastAsia="黑体"/>
          <w:b w:val="0"/>
          <w:kern w:val="0"/>
          <w:sz w:val="21"/>
          <w:szCs w:val="21"/>
        </w:rPr>
        <w:t>6.1样品的采集</w:t>
      </w:r>
      <w:bookmarkEnd w:id="39"/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地表水、</w:t>
      </w:r>
      <w:r>
        <w:rPr>
          <w:rFonts w:ascii="Times New Roman" w:hAnsi="Times New Roman"/>
          <w:kern w:val="0"/>
        </w:rPr>
        <w:t>地下水样品的采集按照</w:t>
      </w:r>
      <w:r>
        <w:rPr>
          <w:rFonts w:hint="eastAsia" w:ascii="Times New Roman" w:hAnsi="Times New Roman"/>
          <w:kern w:val="0"/>
        </w:rPr>
        <w:t>SL219的</w:t>
      </w:r>
      <w:r>
        <w:rPr>
          <w:rFonts w:ascii="Times New Roman" w:hAnsi="Times New Roman"/>
          <w:kern w:val="0"/>
        </w:rPr>
        <w:t>相关规定执行。</w:t>
      </w:r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生活饮用水样品</w:t>
      </w:r>
      <w:r>
        <w:rPr>
          <w:rFonts w:ascii="Times New Roman" w:hAnsi="Times New Roman"/>
          <w:kern w:val="0"/>
        </w:rPr>
        <w:t>的采集按照</w:t>
      </w:r>
      <w:r>
        <w:rPr>
          <w:rFonts w:hint="eastAsia" w:ascii="Times New Roman" w:hAnsi="Times New Roman"/>
          <w:kern w:val="0"/>
        </w:rPr>
        <w:t>GB/T5750.2的</w:t>
      </w:r>
      <w:r>
        <w:rPr>
          <w:rFonts w:ascii="Times New Roman" w:hAnsi="Times New Roman"/>
          <w:kern w:val="0"/>
        </w:rPr>
        <w:t>相关规定执行</w:t>
      </w:r>
      <w:r>
        <w:rPr>
          <w:rFonts w:hint="eastAsia" w:ascii="Times New Roman" w:hAnsi="Times New Roman"/>
          <w:kern w:val="0"/>
        </w:rPr>
        <w:t>。</w:t>
      </w:r>
    </w:p>
    <w:p>
      <w:pPr>
        <w:pStyle w:val="4"/>
        <w:spacing w:before="0" w:beforeAutospacing="0" w:after="0" w:line="360" w:lineRule="auto"/>
        <w:rPr>
          <w:rFonts w:ascii="黑体" w:hAnsi="黑体" w:eastAsia="黑体"/>
          <w:b w:val="0"/>
          <w:kern w:val="0"/>
          <w:sz w:val="21"/>
          <w:szCs w:val="21"/>
        </w:rPr>
      </w:pPr>
      <w:bookmarkStart w:id="40" w:name="_Toc14274095"/>
      <w:r>
        <w:rPr>
          <w:rFonts w:hint="eastAsia" w:ascii="黑体" w:hAnsi="黑体" w:eastAsia="黑体"/>
          <w:b w:val="0"/>
          <w:kern w:val="0"/>
          <w:sz w:val="21"/>
          <w:szCs w:val="21"/>
        </w:rPr>
        <w:t>6.2样品的保存</w:t>
      </w:r>
      <w:bookmarkEnd w:id="40"/>
    </w:p>
    <w:p>
      <w:pPr>
        <w:tabs>
          <w:tab w:val="left" w:pos="0"/>
        </w:tabs>
        <w:spacing w:before="0" w:beforeAutospacing="0" w:line="360" w:lineRule="auto"/>
        <w:ind w:firstLine="525" w:firstLineChars="25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样品在4℃左右可保存一周。</w:t>
      </w:r>
    </w:p>
    <w:p>
      <w:pPr>
        <w:pStyle w:val="3"/>
        <w:numPr>
          <w:ilvl w:val="0"/>
          <w:numId w:val="1"/>
        </w:numPr>
        <w:spacing w:before="159" w:beforeLines="50" w:after="159" w:afterLines="50"/>
        <w:rPr>
          <w:rFonts w:ascii="Times New Roman" w:hAnsi="Times New Roman" w:eastAsia="黑体"/>
          <w:b w:val="0"/>
          <w:bCs/>
          <w:sz w:val="21"/>
        </w:rPr>
      </w:pPr>
      <w:bookmarkStart w:id="41" w:name="_Toc14274096"/>
      <w:r>
        <w:rPr>
          <w:rFonts w:hint="eastAsia" w:ascii="Times New Roman" w:hAnsi="Times New Roman" w:eastAsia="黑体"/>
          <w:b w:val="0"/>
          <w:bCs/>
          <w:sz w:val="21"/>
        </w:rPr>
        <w:t>分析步骤</w:t>
      </w:r>
      <w:bookmarkEnd w:id="41"/>
    </w:p>
    <w:p>
      <w:pPr>
        <w:pStyle w:val="4"/>
        <w:spacing w:before="0" w:beforeAutospacing="0" w:after="0" w:line="360" w:lineRule="auto"/>
        <w:rPr>
          <w:rFonts w:ascii="黑体" w:hAnsi="黑体" w:eastAsia="黑体"/>
          <w:b w:val="0"/>
          <w:kern w:val="0"/>
          <w:sz w:val="21"/>
          <w:szCs w:val="21"/>
        </w:rPr>
      </w:pPr>
      <w:bookmarkStart w:id="42" w:name="_Ref23998"/>
      <w:bookmarkStart w:id="43" w:name="_Toc14274097"/>
      <w:r>
        <w:rPr>
          <w:rFonts w:hint="eastAsia" w:ascii="黑体" w:hAnsi="黑体" w:eastAsia="黑体"/>
          <w:b w:val="0"/>
          <w:kern w:val="0"/>
          <w:sz w:val="21"/>
          <w:szCs w:val="21"/>
        </w:rPr>
        <w:t>7.1样品预处理</w:t>
      </w:r>
      <w:bookmarkEnd w:id="42"/>
      <w:bookmarkEnd w:id="43"/>
    </w:p>
    <w:p>
      <w:pPr>
        <w:numPr>
          <w:ilvl w:val="0"/>
          <w:numId w:val="4"/>
        </w:numPr>
        <w:spacing w:before="0" w:beforeAutospacing="0" w:line="360" w:lineRule="auto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直接进样</w:t>
      </w:r>
    </w:p>
    <w:p>
      <w:pPr>
        <w:tabs>
          <w:tab w:val="left" w:pos="0"/>
        </w:tabs>
        <w:spacing w:before="0" w:beforeAutospacing="0" w:line="360" w:lineRule="auto"/>
        <w:ind w:firstLine="478" w:firstLineChars="228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水样中待测物浓度较高时，可直接进样。操作步骤：取一50mL容量瓶，用水样润洗三遍，加入7.50mL甲醇，再加水样至刻度，摇匀后取适量样品于样品瓶（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_Ref24660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5.9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）中过滤，待测。</w:t>
      </w:r>
    </w:p>
    <w:p>
      <w:pPr>
        <w:numPr>
          <w:ilvl w:val="0"/>
          <w:numId w:val="4"/>
        </w:numPr>
        <w:spacing w:before="0" w:beforeAutospacing="0" w:line="360" w:lineRule="auto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固相萃取浓缩</w:t>
      </w:r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水样中待测物浓度较低时，应固相萃取浓缩后进样。</w:t>
      </w:r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依次用10ml甲醇（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_Ref12827 \r \h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hint="eastAsia" w:ascii="Times New Roman" w:hAnsi="Times New Roman"/>
          <w:kern w:val="0"/>
        </w:rPr>
        <w:t>4.3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）和10ml纯水（4</w:t>
      </w:r>
      <w:r>
        <w:rPr>
          <w:rFonts w:ascii="Times New Roman" w:hAnsi="Times New Roman"/>
          <w:kern w:val="0"/>
        </w:rPr>
        <w:t>.1</w:t>
      </w:r>
      <w:r>
        <w:rPr>
          <w:rFonts w:hint="eastAsia" w:ascii="Times New Roman" w:hAnsi="Times New Roman"/>
          <w:kern w:val="0"/>
        </w:rPr>
        <w:t>）活化固相萃取柱（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_Ref5940 \r \h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5.12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，在活化过程中确保萃取柱中填料不露出液面。量取100ml水样，以5ml/min的流速（约2滴/秒）通过萃取柱，再用10ml纯水淋洗萃取柱，用真空泵抽干萃取柱15min。用10ml甲醇以2ml/min的流速（约1滴/秒）洗脱萃取柱，收集洗脱液于浓缩管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_Ref5471 \r \h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5.11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）中。用氮吹仪将洗脱液浓缩至1.0ml（水浴温度不高于30℃），转移至样品瓶中，待测。</w:t>
      </w:r>
    </w:p>
    <w:p>
      <w:pPr>
        <w:pStyle w:val="4"/>
        <w:spacing w:before="0" w:beforeAutospacing="0" w:after="0" w:line="360" w:lineRule="auto"/>
        <w:rPr>
          <w:rFonts w:ascii="黑体" w:hAnsi="黑体" w:eastAsia="黑体"/>
          <w:b w:val="0"/>
          <w:kern w:val="0"/>
          <w:sz w:val="21"/>
          <w:szCs w:val="21"/>
        </w:rPr>
      </w:pPr>
      <w:bookmarkStart w:id="44" w:name="_Ref21457"/>
      <w:bookmarkStart w:id="45" w:name="_Toc14274098"/>
      <w:r>
        <w:rPr>
          <w:rFonts w:hint="eastAsia" w:ascii="黑体" w:hAnsi="黑体" w:eastAsia="黑体"/>
          <w:b w:val="0"/>
          <w:kern w:val="0"/>
          <w:sz w:val="21"/>
          <w:szCs w:val="21"/>
        </w:rPr>
        <w:t>7.2仪器条件</w:t>
      </w:r>
      <w:bookmarkEnd w:id="44"/>
      <w:bookmarkEnd w:id="45"/>
    </w:p>
    <w:p>
      <w:pPr>
        <w:numPr>
          <w:ilvl w:val="0"/>
          <w:numId w:val="5"/>
        </w:numPr>
        <w:spacing w:before="0" w:beforeAutospacing="0" w:line="360" w:lineRule="auto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液相色谱条件</w:t>
      </w:r>
    </w:p>
    <w:p>
      <w:pPr>
        <w:numPr>
          <w:ilvl w:val="0"/>
          <w:numId w:val="6"/>
        </w:numPr>
        <w:tabs>
          <w:tab w:val="left" w:pos="0"/>
        </w:tabs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流动相：甲醇和纯水；浓度及流速见表1；</w:t>
      </w:r>
    </w:p>
    <w:p>
      <w:pPr>
        <w:numPr>
          <w:ilvl w:val="0"/>
          <w:numId w:val="6"/>
        </w:numPr>
        <w:tabs>
          <w:tab w:val="left" w:pos="0"/>
        </w:tabs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柱温：40℃；</w:t>
      </w:r>
    </w:p>
    <w:p>
      <w:pPr>
        <w:numPr>
          <w:ilvl w:val="0"/>
          <w:numId w:val="6"/>
        </w:numPr>
        <w:tabs>
          <w:tab w:val="left" w:pos="0"/>
        </w:tabs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进样量：100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L（直接进样）；10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L（固相萃取浓缩后进样）；</w:t>
      </w:r>
    </w:p>
    <w:p>
      <w:pPr>
        <w:numPr>
          <w:ilvl w:val="0"/>
          <w:numId w:val="6"/>
        </w:numPr>
        <w:tabs>
          <w:tab w:val="left" w:pos="0"/>
        </w:tabs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荧光检测器：激发波长：330nm；发射波长：465nm；</w:t>
      </w:r>
    </w:p>
    <w:p>
      <w:pPr>
        <w:numPr>
          <w:ilvl w:val="0"/>
          <w:numId w:val="6"/>
        </w:numPr>
        <w:tabs>
          <w:tab w:val="left" w:pos="0"/>
        </w:tabs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后运行时间：3min；</w:t>
      </w:r>
    </w:p>
    <w:p>
      <w:pPr>
        <w:tabs>
          <w:tab w:val="left" w:pos="0"/>
        </w:tabs>
        <w:spacing w:before="0" w:beforeAutospacing="0" w:line="560" w:lineRule="exact"/>
        <w:jc w:val="center"/>
        <w:rPr>
          <w:rFonts w:ascii="Times New Roman" w:hAnsi="Times New Roman" w:eastAsia="黑体"/>
          <w:bCs/>
          <w:kern w:val="0"/>
        </w:rPr>
      </w:pPr>
      <w:r>
        <w:rPr>
          <w:rFonts w:hint="eastAsia" w:ascii="Times New Roman" w:hAnsi="Times New Roman" w:eastAsia="黑体"/>
          <w:bCs/>
          <w:kern w:val="0"/>
        </w:rPr>
        <w:t>表1  流动相浓度与流速</w:t>
      </w:r>
    </w:p>
    <w:tbl>
      <w:tblPr>
        <w:tblStyle w:val="13"/>
        <w:tblW w:w="7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时间（min）</w:t>
            </w:r>
          </w:p>
        </w:tc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水（%）</w:t>
            </w:r>
          </w:p>
        </w:tc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甲醇（%）</w:t>
            </w:r>
          </w:p>
        </w:tc>
        <w:tc>
          <w:tcPr>
            <w:tcW w:w="1813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流速（mL/min）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813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813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813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813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1813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1813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1812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813" w:type="dxa"/>
          </w:tcPr>
          <w:p>
            <w:pPr>
              <w:tabs>
                <w:tab w:val="left" w:pos="0"/>
              </w:tabs>
              <w:spacing w:before="0" w:beforeAutospacing="0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0.50</w:t>
            </w:r>
          </w:p>
        </w:tc>
      </w:tr>
    </w:tbl>
    <w:p>
      <w:pPr>
        <w:numPr>
          <w:ilvl w:val="0"/>
          <w:numId w:val="5"/>
        </w:numPr>
        <w:spacing w:before="0" w:beforeAutospacing="0" w:line="360" w:lineRule="auto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柱后衍生条件</w:t>
      </w:r>
    </w:p>
    <w:p>
      <w:pPr>
        <w:numPr>
          <w:ilvl w:val="0"/>
          <w:numId w:val="7"/>
        </w:numPr>
        <w:tabs>
          <w:tab w:val="left" w:pos="0"/>
        </w:tabs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水解试剂：0.30mL/min；</w:t>
      </w:r>
    </w:p>
    <w:p>
      <w:pPr>
        <w:numPr>
          <w:ilvl w:val="0"/>
          <w:numId w:val="7"/>
        </w:numPr>
        <w:tabs>
          <w:tab w:val="left" w:pos="0"/>
        </w:tabs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水解温度：100℃；</w:t>
      </w:r>
    </w:p>
    <w:p>
      <w:pPr>
        <w:numPr>
          <w:ilvl w:val="0"/>
          <w:numId w:val="7"/>
        </w:numPr>
        <w:tabs>
          <w:tab w:val="left" w:pos="0"/>
        </w:tabs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水解线圈体积：0.50mL；</w:t>
      </w:r>
    </w:p>
    <w:p>
      <w:pPr>
        <w:numPr>
          <w:ilvl w:val="0"/>
          <w:numId w:val="7"/>
        </w:numPr>
        <w:tabs>
          <w:tab w:val="left" w:pos="0"/>
        </w:tabs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反应试剂：0.30mL/min；</w:t>
      </w:r>
    </w:p>
    <w:p>
      <w:pPr>
        <w:numPr>
          <w:ilvl w:val="0"/>
          <w:numId w:val="7"/>
        </w:numPr>
        <w:tabs>
          <w:tab w:val="left" w:pos="0"/>
        </w:tabs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反应温度：室温；</w:t>
      </w:r>
    </w:p>
    <w:p>
      <w:pPr>
        <w:numPr>
          <w:ilvl w:val="0"/>
          <w:numId w:val="7"/>
        </w:numPr>
        <w:tabs>
          <w:tab w:val="left" w:pos="0"/>
        </w:tabs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反应线圈体积：0.10mL。</w:t>
      </w:r>
    </w:p>
    <w:p>
      <w:pPr>
        <w:pStyle w:val="4"/>
        <w:spacing w:before="0" w:beforeAutospacing="0" w:after="0" w:line="360" w:lineRule="auto"/>
        <w:rPr>
          <w:rFonts w:ascii="黑体" w:hAnsi="黑体" w:eastAsia="黑体"/>
          <w:b w:val="0"/>
          <w:kern w:val="0"/>
          <w:sz w:val="21"/>
          <w:szCs w:val="21"/>
        </w:rPr>
      </w:pPr>
      <w:bookmarkStart w:id="46" w:name="_Toc14274099"/>
      <w:r>
        <w:rPr>
          <w:rFonts w:hint="eastAsia" w:ascii="黑体" w:hAnsi="黑体" w:eastAsia="黑体"/>
          <w:b w:val="0"/>
          <w:kern w:val="0"/>
          <w:sz w:val="21"/>
          <w:szCs w:val="21"/>
        </w:rPr>
        <w:t>7.3标准曲线</w:t>
      </w:r>
      <w:bookmarkEnd w:id="46"/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取6支10mL容量瓶，分别加入0.10mL、0.20mL、0.40mL、0.80mL、1.60mL、2.00mL涕灭威、克百威、甲萘威混合标准使用液（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_Ref20693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4.24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），用甲醇溶液（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_Ref29080 \r \h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ascii="Times New Roman" w:hAnsi="Times New Roman"/>
          <w:kern w:val="0"/>
        </w:rPr>
        <w:t>4.4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）定容，混匀，配制成涕灭威、克百威、甲萘威的质量浓度为1.00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g/L、2.00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g/L、4.00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g/L、8.00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g/L、16.00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g/L、20.0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g/L的标准系列溶液。按仪器条件（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_Ref21457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hint="eastAsia" w:ascii="Times New Roman" w:hAnsi="Times New Roman"/>
          <w:kern w:val="0"/>
        </w:rPr>
        <w:t>7.2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）从低浓度到高浓度依次对标准系列溶液进行测试，以标准系列的质量浓度为横坐标，对应的色谱峰面积（或峰高）为纵坐标，拟合标准曲线。</w:t>
      </w:r>
    </w:p>
    <w:p>
      <w:pPr>
        <w:pStyle w:val="4"/>
        <w:spacing w:before="0" w:beforeAutospacing="0" w:after="0" w:line="360" w:lineRule="auto"/>
        <w:rPr>
          <w:rFonts w:ascii="黑体" w:hAnsi="黑体" w:eastAsia="黑体"/>
          <w:b w:val="0"/>
          <w:kern w:val="0"/>
          <w:sz w:val="21"/>
          <w:szCs w:val="21"/>
        </w:rPr>
      </w:pPr>
      <w:bookmarkStart w:id="47" w:name="_Toc14274100"/>
      <w:r>
        <w:rPr>
          <w:rFonts w:hint="eastAsia" w:ascii="黑体" w:hAnsi="黑体" w:eastAsia="黑体"/>
          <w:b w:val="0"/>
          <w:kern w:val="0"/>
          <w:sz w:val="21"/>
          <w:szCs w:val="21"/>
        </w:rPr>
        <w:t>7.4样品测定</w:t>
      </w:r>
      <w:bookmarkEnd w:id="47"/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按照水样预处理（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_Ref23998 \w </w:instrText>
      </w:r>
      <w:r>
        <w:rPr>
          <w:rFonts w:ascii="Times New Roman" w:hAnsi="Times New Roman"/>
          <w:kern w:val="0"/>
        </w:rPr>
        <w:instrText xml:space="preserve"> \* MERGEFORMAT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hint="eastAsia" w:ascii="Times New Roman" w:hAnsi="Times New Roman"/>
          <w:kern w:val="0"/>
        </w:rPr>
        <w:t>7.1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）的步骤处理水样，按照上述仪器条件（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_Ref21457 \r \h </w:instrText>
      </w:r>
      <w:r>
        <w:rPr>
          <w:rFonts w:ascii="Times New Roman" w:hAnsi="Times New Roman"/>
          <w:kern w:val="0"/>
        </w:rPr>
        <w:instrText xml:space="preserve"> \* MERGEFORMAT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hint="eastAsia" w:ascii="Times New Roman" w:hAnsi="Times New Roman"/>
          <w:kern w:val="0"/>
        </w:rPr>
        <w:t>7.2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）进行测定。</w:t>
      </w:r>
    </w:p>
    <w:p>
      <w:pPr>
        <w:tabs>
          <w:tab w:val="left" w:pos="0"/>
        </w:tabs>
        <w:spacing w:before="0" w:beforeAutospacing="0" w:line="360" w:lineRule="auto"/>
        <w:ind w:firstLine="360" w:firstLineChars="200"/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注：应根据水样实际浓度，选择合适的预处理方法；水样浓度超出标准曲线线性范围时，应将水样稀释至标准曲线范围内再测定。</w:t>
      </w:r>
    </w:p>
    <w:p>
      <w:pPr>
        <w:pStyle w:val="3"/>
        <w:numPr>
          <w:ilvl w:val="0"/>
          <w:numId w:val="1"/>
        </w:numPr>
        <w:spacing w:before="159" w:beforeLines="50" w:after="159" w:afterLines="50"/>
        <w:rPr>
          <w:rFonts w:ascii="Times New Roman" w:hAnsi="Times New Roman" w:eastAsia="黑体"/>
          <w:b w:val="0"/>
          <w:bCs/>
          <w:sz w:val="21"/>
        </w:rPr>
      </w:pPr>
      <w:bookmarkStart w:id="48" w:name="_Toc14274101"/>
      <w:r>
        <w:rPr>
          <w:rFonts w:hint="eastAsia" w:ascii="Times New Roman" w:hAnsi="Times New Roman" w:eastAsia="黑体"/>
          <w:b w:val="0"/>
          <w:bCs/>
          <w:sz w:val="21"/>
        </w:rPr>
        <w:t>结果计算与表示</w:t>
      </w:r>
      <w:bookmarkEnd w:id="48"/>
    </w:p>
    <w:p>
      <w:pPr>
        <w:pStyle w:val="4"/>
        <w:spacing w:before="0" w:beforeAutospacing="0" w:after="0" w:line="360" w:lineRule="auto"/>
        <w:rPr>
          <w:rFonts w:ascii="黑体" w:hAnsi="黑体" w:eastAsia="黑体"/>
          <w:b w:val="0"/>
          <w:kern w:val="0"/>
          <w:sz w:val="21"/>
          <w:szCs w:val="21"/>
        </w:rPr>
      </w:pPr>
      <w:bookmarkStart w:id="49" w:name="_Toc14274102"/>
      <w:r>
        <w:rPr>
          <w:rFonts w:hint="eastAsia" w:ascii="黑体" w:hAnsi="黑体" w:eastAsia="黑体"/>
          <w:b w:val="0"/>
          <w:kern w:val="0"/>
          <w:sz w:val="21"/>
          <w:szCs w:val="21"/>
        </w:rPr>
        <w:t>8.1定性分析</w:t>
      </w:r>
      <w:bookmarkEnd w:id="49"/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根据水样中目标化合物与标准系列中目标化合物的保留时间，对目标化合物进行定性。</w:t>
      </w:r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水样测定前，建立保留时间窗t±3s。t为标准系列溶液中目标化合物保留时间均值，s为标准系列溶液中目标化合物保留时间的标准偏差。水样测定时，保留时间窗内出峰即可认定为目标化合物。</w:t>
      </w:r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涕灭威、克百威和甲萘威混合标准溶液色谱图如图1所示。</w:t>
      </w:r>
    </w:p>
    <w:p>
      <w:pPr>
        <w:widowControl/>
        <w:spacing w:line="24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inline distT="0" distB="0" distL="114300" distR="114300">
            <wp:extent cx="5270500" cy="2338705"/>
            <wp:effectExtent l="0" t="0" r="6350" b="4445"/>
            <wp:docPr id="2" name="图片 2" descr="QQ图片2017110116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711011617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spacing w:before="0" w:beforeAutospacing="0" w:line="560" w:lineRule="exact"/>
        <w:jc w:val="center"/>
        <w:rPr>
          <w:rFonts w:ascii="Times New Roman" w:hAnsi="Times New Roman" w:eastAsia="黑体"/>
          <w:kern w:val="0"/>
        </w:rPr>
      </w:pPr>
      <w:r>
        <w:rPr>
          <w:rFonts w:hint="eastAsia" w:ascii="Times New Roman" w:hAnsi="Times New Roman" w:eastAsia="黑体"/>
          <w:kern w:val="0"/>
        </w:rPr>
        <w:t>图1  涕灭威、克百威和甲萘威混合标准溶液色谱图</w:t>
      </w:r>
    </w:p>
    <w:p>
      <w:pPr>
        <w:pStyle w:val="4"/>
        <w:spacing w:before="0" w:beforeAutospacing="0" w:after="0" w:line="360" w:lineRule="auto"/>
        <w:rPr>
          <w:rFonts w:ascii="黑体" w:hAnsi="黑体" w:eastAsia="黑体"/>
          <w:b w:val="0"/>
          <w:kern w:val="0"/>
          <w:sz w:val="21"/>
          <w:szCs w:val="21"/>
        </w:rPr>
      </w:pPr>
      <w:bookmarkStart w:id="50" w:name="_Toc14274103"/>
      <w:r>
        <w:rPr>
          <w:rFonts w:hint="eastAsia" w:ascii="黑体" w:hAnsi="黑体" w:eastAsia="黑体"/>
          <w:b w:val="0"/>
          <w:kern w:val="0"/>
          <w:sz w:val="21"/>
          <w:szCs w:val="21"/>
        </w:rPr>
        <w:t>8.2定量分析</w:t>
      </w:r>
      <w:bookmarkEnd w:id="50"/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用外标标准曲线法按照公式（1）计算水样中涕灭威、克百威、甲萘威的质量浓度：</w:t>
      </w:r>
    </w:p>
    <w:p>
      <w:pPr>
        <w:tabs>
          <w:tab w:val="left" w:pos="0"/>
        </w:tabs>
        <w:spacing w:before="0" w:beforeAutospacing="0" w:line="360" w:lineRule="auto"/>
        <w:ind w:firstLine="420" w:firstLineChars="200"/>
        <w:jc w:val="right"/>
        <w:textAlignment w:val="center"/>
        <w:rPr>
          <w:rFonts w:ascii="Times New Roman" w:hAnsi="Times New Roman"/>
          <w:position w:val="-30"/>
        </w:rPr>
      </w:pPr>
      <w:r>
        <w:rPr>
          <w:rFonts w:hint="eastAsia" w:ascii="Times New Roman" w:hAnsi="Times New Roman"/>
          <w:position w:val="-30"/>
        </w:rPr>
        <w:object>
          <v:shape id="_x0000_i1025" o:spt="75" type="#_x0000_t75" style="height:32.25pt;width:57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8">
            <o:LockedField>false</o:LockedField>
          </o:OLEObject>
        </w:object>
      </w:r>
      <w:r>
        <w:rPr>
          <w:rFonts w:hint="eastAsia" w:ascii="Times New Roman" w:hAnsi="Times New Roman"/>
          <w:position w:val="-30"/>
        </w:rPr>
        <w:t xml:space="preserve">                           （1）</w:t>
      </w:r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式中：</w:t>
      </w:r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ρ</w:t>
      </w:r>
      <w:r>
        <w:rPr>
          <w:rFonts w:hint="eastAsia" w:ascii="Times New Roman" w:hAnsi="Times New Roman"/>
          <w:kern w:val="0"/>
          <w:vertAlign w:val="subscript"/>
        </w:rPr>
        <w:t>i</w:t>
      </w:r>
      <w:r>
        <w:rPr>
          <w:rFonts w:hint="eastAsia" w:ascii="Times New Roman" w:hAnsi="Times New Roman"/>
          <w:kern w:val="0"/>
        </w:rPr>
        <w:t>—水样中各目标化合物的质量浓度，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g/L；</w:t>
      </w:r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ρ—根据标准曲线计算出试液中各目标化合物的质量浓度，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g/L；</w:t>
      </w:r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V</w:t>
      </w:r>
      <w:r>
        <w:rPr>
          <w:rFonts w:hint="eastAsia" w:ascii="Times New Roman" w:hAnsi="Times New Roman"/>
          <w:kern w:val="0"/>
          <w:vertAlign w:val="subscript"/>
        </w:rPr>
        <w:t>1</w:t>
      </w:r>
      <w:r>
        <w:rPr>
          <w:rFonts w:hint="eastAsia" w:ascii="Times New Roman" w:hAnsi="Times New Roman"/>
          <w:kern w:val="0"/>
        </w:rPr>
        <w:t>—水样经预处理定容的体积，mL；</w:t>
      </w:r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V</w:t>
      </w:r>
      <w:r>
        <w:rPr>
          <w:rFonts w:hint="eastAsia" w:ascii="Times New Roman" w:hAnsi="Times New Roman"/>
          <w:kern w:val="0"/>
          <w:vertAlign w:val="subscript"/>
        </w:rPr>
        <w:t>2</w:t>
      </w:r>
      <w:r>
        <w:rPr>
          <w:rFonts w:hint="eastAsia" w:ascii="Times New Roman" w:hAnsi="Times New Roman"/>
          <w:kern w:val="0"/>
        </w:rPr>
        <w:t>—水样预处理时取样体积，mL。</w:t>
      </w:r>
    </w:p>
    <w:p>
      <w:pPr>
        <w:pStyle w:val="4"/>
        <w:spacing w:before="0" w:beforeAutospacing="0" w:after="0" w:line="360" w:lineRule="auto"/>
        <w:rPr>
          <w:rFonts w:ascii="黑体" w:hAnsi="黑体" w:eastAsia="黑体"/>
          <w:b w:val="0"/>
          <w:kern w:val="0"/>
          <w:sz w:val="21"/>
          <w:szCs w:val="21"/>
        </w:rPr>
      </w:pPr>
      <w:bookmarkStart w:id="51" w:name="_Toc14274104"/>
      <w:r>
        <w:rPr>
          <w:rFonts w:hint="eastAsia" w:ascii="黑体" w:hAnsi="黑体" w:eastAsia="黑体"/>
          <w:b w:val="0"/>
          <w:kern w:val="0"/>
          <w:sz w:val="21"/>
          <w:szCs w:val="21"/>
        </w:rPr>
        <w:t>8.3结果表示</w:t>
      </w:r>
      <w:bookmarkEnd w:id="51"/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测定结果大于等于1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g/L时，结果保留三位有效数字；小于1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  <w:kern w:val="0"/>
        </w:rPr>
        <w:t>g/L时，结果保留小数点后三位。</w:t>
      </w:r>
    </w:p>
    <w:p>
      <w:pPr>
        <w:pStyle w:val="3"/>
        <w:numPr>
          <w:ilvl w:val="0"/>
          <w:numId w:val="1"/>
        </w:numPr>
        <w:spacing w:before="159" w:beforeLines="50" w:after="159" w:afterLines="50"/>
        <w:rPr>
          <w:rFonts w:ascii="Times New Roman" w:hAnsi="Times New Roman" w:eastAsia="黑体"/>
          <w:b w:val="0"/>
          <w:bCs/>
          <w:sz w:val="21"/>
        </w:rPr>
      </w:pPr>
      <w:bookmarkStart w:id="52" w:name="_Toc14274105"/>
      <w:r>
        <w:rPr>
          <w:rFonts w:hint="eastAsia" w:ascii="Times New Roman" w:hAnsi="Times New Roman" w:eastAsia="黑体"/>
          <w:b w:val="0"/>
          <w:bCs/>
          <w:sz w:val="21"/>
        </w:rPr>
        <w:t>质量保证与质量控制</w:t>
      </w:r>
      <w:bookmarkEnd w:id="52"/>
    </w:p>
    <w:p>
      <w:pPr>
        <w:pStyle w:val="4"/>
        <w:spacing w:before="0" w:beforeAutospacing="0" w:after="0" w:line="360" w:lineRule="auto"/>
        <w:rPr>
          <w:rFonts w:ascii="黑体" w:hAnsi="黑体" w:eastAsia="黑体"/>
          <w:b w:val="0"/>
          <w:kern w:val="0"/>
          <w:sz w:val="21"/>
          <w:szCs w:val="21"/>
        </w:rPr>
      </w:pPr>
      <w:bookmarkStart w:id="53" w:name="_Toc14274106"/>
      <w:r>
        <w:rPr>
          <w:rFonts w:hint="eastAsia" w:ascii="黑体" w:hAnsi="黑体" w:eastAsia="黑体"/>
          <w:b w:val="0"/>
          <w:kern w:val="0"/>
          <w:sz w:val="21"/>
          <w:szCs w:val="21"/>
        </w:rPr>
        <w:t>9.1质量保证</w:t>
      </w:r>
      <w:bookmarkEnd w:id="53"/>
    </w:p>
    <w:p>
      <w:pPr>
        <w:numPr>
          <w:ilvl w:val="0"/>
          <w:numId w:val="8"/>
        </w:numPr>
        <w:spacing w:before="0" w:beforeAutospacing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试剂、玻璃器皿和仪器可能存在干扰测定的污染物，应采用实验室空白和全程序空白控制试验过程中的污染。</w:t>
      </w:r>
    </w:p>
    <w:p>
      <w:pPr>
        <w:numPr>
          <w:ilvl w:val="0"/>
          <w:numId w:val="8"/>
        </w:numPr>
        <w:spacing w:before="0" w:beforeAutospacing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样品预处理完成后应立即测定。</w:t>
      </w:r>
    </w:p>
    <w:p>
      <w:pPr>
        <w:pStyle w:val="4"/>
        <w:spacing w:before="0" w:beforeAutospacing="0" w:after="0" w:line="360" w:lineRule="auto"/>
        <w:rPr>
          <w:rFonts w:ascii="黑体" w:hAnsi="黑体" w:eastAsia="黑体"/>
          <w:b w:val="0"/>
          <w:kern w:val="0"/>
          <w:sz w:val="21"/>
          <w:szCs w:val="21"/>
        </w:rPr>
      </w:pPr>
      <w:bookmarkStart w:id="54" w:name="_Toc14274107"/>
      <w:r>
        <w:rPr>
          <w:rFonts w:hint="eastAsia" w:ascii="黑体" w:hAnsi="黑体" w:eastAsia="黑体"/>
          <w:b w:val="0"/>
          <w:kern w:val="0"/>
          <w:sz w:val="21"/>
          <w:szCs w:val="21"/>
        </w:rPr>
        <w:t>9.2质量控制</w:t>
      </w:r>
      <w:bookmarkEnd w:id="54"/>
    </w:p>
    <w:p>
      <w:pPr>
        <w:numPr>
          <w:ilvl w:val="0"/>
          <w:numId w:val="9"/>
        </w:numPr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实验室空白</w:t>
      </w:r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样品分析前应分析一个实验室空白，用纯水代替水样，按照样品分析步骤进行分析。实验室空白测定值应低于方法检出限，若超出方法检出限，应查明污染源并进行消除。</w:t>
      </w:r>
    </w:p>
    <w:p>
      <w:pPr>
        <w:numPr>
          <w:ilvl w:val="0"/>
          <w:numId w:val="9"/>
        </w:numPr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全程序空白</w:t>
      </w:r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每批水样应分析一个全程序空白，按照样品采集与保存（</w:t>
      </w:r>
      <w:r>
        <w:rPr>
          <w:rFonts w:hint="eastAsia" w:ascii="Times New Roman" w:hAnsi="Times New Roman"/>
          <w:kern w:val="0"/>
        </w:rPr>
        <w:fldChar w:fldCharType="begin"/>
      </w:r>
      <w:r>
        <w:rPr>
          <w:rFonts w:hint="eastAsia" w:ascii="Times New Roman" w:hAnsi="Times New Roman"/>
          <w:kern w:val="0"/>
        </w:rPr>
        <w:instrText xml:space="preserve"> REF _Ref11454 \w </w:instrText>
      </w:r>
      <w:r>
        <w:rPr>
          <w:rFonts w:hint="eastAsia" w:ascii="Times New Roman" w:hAnsi="Times New Roman"/>
          <w:kern w:val="0"/>
        </w:rPr>
        <w:fldChar w:fldCharType="separate"/>
      </w:r>
      <w:r>
        <w:rPr>
          <w:rFonts w:hint="eastAsia" w:ascii="Times New Roman" w:hAnsi="Times New Roman"/>
          <w:kern w:val="0"/>
        </w:rPr>
        <w:t>6</w:t>
      </w:r>
      <w:r>
        <w:rPr>
          <w:rFonts w:hint="eastAsia" w:ascii="Times New Roman" w:hAnsi="Times New Roman"/>
          <w:kern w:val="0"/>
        </w:rPr>
        <w:fldChar w:fldCharType="end"/>
      </w:r>
      <w:r>
        <w:rPr>
          <w:rFonts w:hint="eastAsia" w:ascii="Times New Roman" w:hAnsi="Times New Roman"/>
          <w:kern w:val="0"/>
        </w:rPr>
        <w:t>）的步骤，采用与水样采集相同的装置、试剂和步骤，在采样现场，用纯水代替水样进行样品采集，然后同水样一起运回实验室，与水样同步分析。全程序空白测定值应低于方法检出限，若超出方法检出限，应查明污染源并进行消除。</w:t>
      </w:r>
    </w:p>
    <w:p>
      <w:pPr>
        <w:numPr>
          <w:ilvl w:val="0"/>
          <w:numId w:val="9"/>
        </w:numPr>
        <w:spacing w:before="0" w:beforeAutospacing="0" w:line="360" w:lineRule="auto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标准曲线</w:t>
      </w:r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</w:rPr>
        <w:t>标准曲线的相关系数应≥0.995，否则应重新制作标准曲线。每测定20个样品应测定一个标准曲线中间浓度点溶液，其测定值与实际值的相对平均偏差应≤10%，否则应重新制作标准曲线。</w:t>
      </w:r>
    </w:p>
    <w:p>
      <w:pPr>
        <w:pStyle w:val="3"/>
        <w:numPr>
          <w:ilvl w:val="0"/>
          <w:numId w:val="1"/>
        </w:numPr>
        <w:spacing w:before="159" w:beforeLines="50" w:after="159" w:afterLines="50"/>
        <w:rPr>
          <w:rFonts w:ascii="Times New Roman" w:hAnsi="Times New Roman" w:eastAsia="黑体"/>
          <w:b w:val="0"/>
          <w:bCs/>
          <w:sz w:val="21"/>
        </w:rPr>
      </w:pPr>
      <w:bookmarkStart w:id="55" w:name="_Toc14274108"/>
      <w:r>
        <w:rPr>
          <w:rFonts w:hint="eastAsia" w:ascii="Times New Roman" w:hAnsi="Times New Roman" w:eastAsia="黑体"/>
          <w:b w:val="0"/>
          <w:bCs/>
          <w:sz w:val="21"/>
        </w:rPr>
        <w:t>精密度和准确度</w:t>
      </w:r>
      <w:bookmarkEnd w:id="55"/>
    </w:p>
    <w:p>
      <w:pPr>
        <w:pStyle w:val="4"/>
        <w:spacing w:before="0" w:beforeAutospacing="0" w:after="0" w:line="360" w:lineRule="auto"/>
        <w:rPr>
          <w:rFonts w:ascii="黑体" w:hAnsi="黑体" w:eastAsia="黑体"/>
          <w:b w:val="0"/>
          <w:kern w:val="0"/>
          <w:sz w:val="21"/>
          <w:szCs w:val="21"/>
        </w:rPr>
      </w:pPr>
      <w:bookmarkStart w:id="56" w:name="_Toc14274109"/>
      <w:r>
        <w:rPr>
          <w:rFonts w:hint="eastAsia" w:ascii="黑体" w:hAnsi="黑体" w:eastAsia="黑体"/>
          <w:b w:val="0"/>
          <w:kern w:val="0"/>
          <w:sz w:val="21"/>
          <w:szCs w:val="21"/>
        </w:rPr>
        <w:t>10.</w:t>
      </w:r>
      <w:r>
        <w:rPr>
          <w:rFonts w:ascii="黑体" w:hAnsi="黑体" w:eastAsia="黑体"/>
          <w:b w:val="0"/>
          <w:kern w:val="0"/>
          <w:sz w:val="21"/>
          <w:szCs w:val="21"/>
        </w:rPr>
        <w:t>1</w:t>
      </w:r>
      <w:r>
        <w:rPr>
          <w:rFonts w:hint="eastAsia" w:ascii="黑体" w:hAnsi="黑体" w:eastAsia="黑体"/>
          <w:b w:val="0"/>
          <w:kern w:val="0"/>
          <w:sz w:val="21"/>
          <w:szCs w:val="21"/>
        </w:rPr>
        <w:t>精密度</w:t>
      </w:r>
      <w:bookmarkEnd w:id="56"/>
    </w:p>
    <w:p>
      <w:pPr>
        <w:pStyle w:val="24"/>
        <w:numPr>
          <w:ilvl w:val="0"/>
          <w:numId w:val="10"/>
        </w:numPr>
        <w:spacing w:before="0" w:beforeAutospacing="0" w:line="360" w:lineRule="auto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直接</w:t>
      </w:r>
      <w:r>
        <w:rPr>
          <w:rFonts w:ascii="黑体" w:hAnsi="黑体" w:eastAsia="黑体"/>
        </w:rPr>
        <w:t>进样</w:t>
      </w:r>
    </w:p>
    <w:p>
      <w:pPr>
        <w:spacing w:before="0" w:beforeAutospacing="0" w:line="360" w:lineRule="auto"/>
        <w:ind w:firstLine="420" w:firstLineChars="20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采用直接进样分别对浓度为1.00μg/L、10.0μg/L的</w:t>
      </w:r>
      <w:r>
        <w:rPr>
          <w:rFonts w:hint="eastAsia" w:ascii="Times New Roman" w:hAnsi="Times New Roman" w:eastAsiaTheme="minorEastAsia"/>
        </w:rPr>
        <w:t>涕灭威</w:t>
      </w:r>
      <w:r>
        <w:rPr>
          <w:rFonts w:ascii="Times New Roman" w:hAnsi="Times New Roman" w:eastAsiaTheme="minorEastAsia"/>
        </w:rPr>
        <w:t>样品统一进行6次平行测定，实验室内相对标准偏差分别为： 3.11%～5.37%、1.18～3.76%；实验室间相对标准偏差分别为：17.24%和2.05%；重复性限分别为0.098 μg/L和0.857μg/L，再现性限</w:t>
      </w:r>
      <w:r>
        <w:rPr>
          <w:rFonts w:hint="eastAsia" w:ascii="Times New Roman" w:hAnsi="Times New Roman" w:eastAsiaTheme="minorEastAsia"/>
        </w:rPr>
        <w:t>分别</w:t>
      </w:r>
      <w:r>
        <w:rPr>
          <w:rFonts w:ascii="Times New Roman" w:hAnsi="Times New Roman" w:eastAsiaTheme="minorEastAsia"/>
        </w:rPr>
        <w:t>为1.316 μg/L和13.983μg/L。</w:t>
      </w:r>
    </w:p>
    <w:p>
      <w:pPr>
        <w:spacing w:before="0" w:beforeAutospacing="0" w:line="360" w:lineRule="auto"/>
        <w:ind w:firstLine="420" w:firstLineChars="20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采用直接进样</w:t>
      </w:r>
      <w:bookmarkStart w:id="58" w:name="_GoBack"/>
      <w:bookmarkEnd w:id="58"/>
      <w:r>
        <w:rPr>
          <w:rFonts w:ascii="Times New Roman" w:hAnsi="Times New Roman" w:eastAsiaTheme="minorEastAsia"/>
        </w:rPr>
        <w:t>分别对浓度为1.00μg/L、10.0μg/L的</w:t>
      </w:r>
      <w:r>
        <w:rPr>
          <w:rFonts w:hint="eastAsia" w:ascii="Times New Roman" w:hAnsi="Times New Roman" w:eastAsiaTheme="minorEastAsia"/>
        </w:rPr>
        <w:t>克百威</w:t>
      </w:r>
      <w:r>
        <w:rPr>
          <w:rFonts w:ascii="Times New Roman" w:hAnsi="Times New Roman" w:eastAsiaTheme="minorEastAsia"/>
        </w:rPr>
        <w:t>样品统一进行6次平行测定，实验室内相对标准偏差分别为3.77%～7.32%、1.38%～3.81%；实验室间相对标准偏差分别为：3.98%和3.21%；重复性限分别为0.151μg/L和0.780μg/L，再现性限</w:t>
      </w:r>
      <w:r>
        <w:rPr>
          <w:rFonts w:hint="eastAsia" w:ascii="Times New Roman" w:hAnsi="Times New Roman" w:eastAsiaTheme="minorEastAsia"/>
        </w:rPr>
        <w:t>分别</w:t>
      </w:r>
      <w:r>
        <w:rPr>
          <w:rFonts w:ascii="Times New Roman" w:hAnsi="Times New Roman" w:eastAsiaTheme="minorEastAsia"/>
        </w:rPr>
        <w:t>为1.317μg/L和14.451μg/L。</w:t>
      </w:r>
    </w:p>
    <w:p>
      <w:pPr>
        <w:spacing w:before="0" w:beforeAutospacing="0" w:line="360" w:lineRule="auto"/>
        <w:ind w:firstLine="420" w:firstLineChars="20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采用直接进样分别对浓度为0.945μg/L和9.45μg/L的</w:t>
      </w:r>
      <w:r>
        <w:rPr>
          <w:rFonts w:hint="eastAsia" w:ascii="Times New Roman" w:hAnsi="Times New Roman" w:eastAsiaTheme="minorEastAsia"/>
        </w:rPr>
        <w:t>甲萘威</w:t>
      </w:r>
      <w:r>
        <w:rPr>
          <w:rFonts w:ascii="Times New Roman" w:hAnsi="Times New Roman" w:eastAsiaTheme="minorEastAsia"/>
        </w:rPr>
        <w:t>样品统一进行6次平行测定，实验室内相对标准偏差分别为： 3.11%～5.37%、1.18～3.76%；实验室间相对标准偏差分别为：17.24%和2.05%；重复性限分别为0.098 μg/L和0.857μg/L，再现性限分别为1.316 μg/L和13.983μg/L。</w:t>
      </w:r>
    </w:p>
    <w:p>
      <w:pPr>
        <w:pStyle w:val="24"/>
        <w:numPr>
          <w:ilvl w:val="0"/>
          <w:numId w:val="10"/>
        </w:numPr>
        <w:spacing w:before="0" w:beforeAutospacing="0" w:line="360" w:lineRule="auto"/>
        <w:ind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固相</w:t>
      </w:r>
      <w:r>
        <w:rPr>
          <w:rFonts w:hint="eastAsia" w:ascii="黑体" w:hAnsi="黑体" w:eastAsia="黑体"/>
        </w:rPr>
        <w:t>萃取</w:t>
      </w:r>
      <w:r>
        <w:rPr>
          <w:rFonts w:ascii="黑体" w:hAnsi="黑体" w:eastAsia="黑体"/>
        </w:rPr>
        <w:t>浓缩</w:t>
      </w:r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采用固相萃取浓缩对浓度为0.1μg/L的</w:t>
      </w:r>
      <w:r>
        <w:rPr>
          <w:rFonts w:hint="eastAsia" w:ascii="Times New Roman" w:hAnsi="Times New Roman" w:eastAsiaTheme="minorEastAsia"/>
        </w:rPr>
        <w:t>涕灭威</w:t>
      </w:r>
      <w:r>
        <w:rPr>
          <w:rFonts w:ascii="Times New Roman" w:hAnsi="Times New Roman" w:eastAsiaTheme="minorEastAsia"/>
        </w:rPr>
        <w:t>样品统一进行6次平行测定，实验室内相对标准偏差为1.58%～5.19%；实验室间相对标准偏差分别为16.97%；重复性限为0.010 μg/L，再现性限为0.129μg/L。</w:t>
      </w:r>
    </w:p>
    <w:p>
      <w:pPr>
        <w:spacing w:before="0" w:beforeAutospacing="0" w:line="360" w:lineRule="auto"/>
        <w:ind w:firstLine="420" w:firstLineChars="20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采用固相萃取浓缩对浓度为0.1μg/L的</w:t>
      </w:r>
      <w:r>
        <w:rPr>
          <w:rFonts w:hint="eastAsia" w:ascii="Times New Roman" w:hAnsi="Times New Roman" w:eastAsiaTheme="minorEastAsia"/>
        </w:rPr>
        <w:t>克百威</w:t>
      </w:r>
      <w:r>
        <w:rPr>
          <w:rFonts w:ascii="Times New Roman" w:hAnsi="Times New Roman" w:eastAsiaTheme="minorEastAsia"/>
        </w:rPr>
        <w:t>样品统一进行6次平行测定，实验室内相对标准偏差为1.05%～6.52%；实验室间相对标准偏差为11.17%</w:t>
      </w:r>
      <w:r>
        <w:rPr>
          <w:rFonts w:hint="eastAsia" w:ascii="Times New Roman" w:hAnsi="Times New Roman" w:eastAsiaTheme="minorEastAsia"/>
        </w:rPr>
        <w:t>；</w:t>
      </w:r>
      <w:r>
        <w:rPr>
          <w:rFonts w:ascii="Times New Roman" w:hAnsi="Times New Roman" w:eastAsiaTheme="minorEastAsia"/>
        </w:rPr>
        <w:t>重复性限为0.011μg/L，再现性限为0.020μg/L。</w:t>
      </w:r>
    </w:p>
    <w:p>
      <w:pPr>
        <w:spacing w:before="0" w:beforeAutospacing="0" w:line="360" w:lineRule="auto"/>
        <w:ind w:firstLine="420" w:firstLineChars="20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采用固相萃取浓缩对浓度为0.0945μg/L的</w:t>
      </w:r>
      <w:r>
        <w:rPr>
          <w:rFonts w:hint="eastAsia" w:ascii="Times New Roman" w:hAnsi="Times New Roman" w:eastAsiaTheme="minorEastAsia"/>
        </w:rPr>
        <w:t>甲萘威</w:t>
      </w:r>
      <w:r>
        <w:rPr>
          <w:rFonts w:ascii="Times New Roman" w:hAnsi="Times New Roman" w:eastAsiaTheme="minorEastAsia"/>
        </w:rPr>
        <w:t>样品统一进行6次平行测定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实验室内相对标准偏差为1.58%～5.19%</w:t>
      </w:r>
      <w:r>
        <w:rPr>
          <w:rFonts w:hint="eastAsia" w:ascii="Times New Roman" w:hAnsi="Times New Roman" w:eastAsiaTheme="minorEastAsia"/>
        </w:rPr>
        <w:t>；</w:t>
      </w:r>
      <w:r>
        <w:rPr>
          <w:rFonts w:ascii="Times New Roman" w:hAnsi="Times New Roman" w:eastAsiaTheme="minorEastAsia"/>
        </w:rPr>
        <w:t>实验室间相对标准偏差为16.97%</w:t>
      </w:r>
      <w:r>
        <w:rPr>
          <w:rFonts w:hint="eastAsia" w:ascii="Times New Roman" w:hAnsi="Times New Roman" w:eastAsiaTheme="minorEastAsia"/>
        </w:rPr>
        <w:t>；</w:t>
      </w:r>
      <w:r>
        <w:rPr>
          <w:rFonts w:ascii="Times New Roman" w:hAnsi="Times New Roman" w:eastAsiaTheme="minorEastAsia"/>
        </w:rPr>
        <w:t>重复性限为0.010 μg/L，再现性限为0.129μg/L。</w:t>
      </w:r>
    </w:p>
    <w:p>
      <w:pPr>
        <w:pStyle w:val="4"/>
        <w:spacing w:before="0" w:beforeAutospacing="0" w:after="0" w:line="360" w:lineRule="auto"/>
        <w:rPr>
          <w:rFonts w:ascii="黑体" w:hAnsi="黑体" w:eastAsia="黑体"/>
          <w:b w:val="0"/>
          <w:kern w:val="0"/>
          <w:sz w:val="21"/>
          <w:szCs w:val="21"/>
        </w:rPr>
      </w:pPr>
      <w:bookmarkStart w:id="57" w:name="_Toc14274110"/>
      <w:r>
        <w:rPr>
          <w:rFonts w:hint="eastAsia" w:ascii="黑体" w:hAnsi="黑体" w:eastAsia="黑体"/>
          <w:b w:val="0"/>
          <w:kern w:val="0"/>
          <w:sz w:val="21"/>
          <w:szCs w:val="21"/>
        </w:rPr>
        <w:t>10.</w:t>
      </w:r>
      <w:r>
        <w:rPr>
          <w:rFonts w:ascii="黑体" w:hAnsi="黑体" w:eastAsia="黑体"/>
          <w:b w:val="0"/>
          <w:kern w:val="0"/>
          <w:sz w:val="21"/>
          <w:szCs w:val="21"/>
        </w:rPr>
        <w:t>2</w:t>
      </w:r>
      <w:r>
        <w:rPr>
          <w:rFonts w:hint="eastAsia" w:ascii="黑体" w:hAnsi="黑体" w:eastAsia="黑体"/>
          <w:b w:val="0"/>
          <w:kern w:val="0"/>
          <w:sz w:val="21"/>
          <w:szCs w:val="21"/>
        </w:rPr>
        <w:t>准确度</w:t>
      </w:r>
      <w:bookmarkEnd w:id="57"/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实验室分别用直接进样法对地表水和饮用水样品进行了加标测定，涕灭威、克百威、甲萘威的加入浓度分别为0.25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</w:rPr>
        <w:t>g/L～1.00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</w:rPr>
        <w:t>g/L、0.25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</w:rPr>
        <w:t>g/L～1.00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</w:rPr>
        <w:t>g/L、0.25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</w:rPr>
        <w:t>g/L～0.945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</w:rPr>
        <w:t>g/L，回收率分别为91.4%~101.1%、91.9%~106.0%、91.4%~105.1%。</w:t>
      </w:r>
    </w:p>
    <w:p>
      <w:pPr>
        <w:tabs>
          <w:tab w:val="left" w:pos="0"/>
        </w:tabs>
        <w:spacing w:before="0" w:beforeAutospacing="0" w:line="360" w:lineRule="auto"/>
        <w:ind w:firstLine="420" w:firstLineChars="200"/>
        <w:rPr>
          <w:rFonts w:ascii="Times New Roman" w:hAnsi="Times New Roman"/>
          <w:kern w:val="0"/>
          <w:sz w:val="28"/>
          <w:szCs w:val="28"/>
        </w:rPr>
      </w:pPr>
      <w:r>
        <w:rPr>
          <w:rFonts w:hint="eastAsia" w:ascii="Times New Roman" w:hAnsi="Times New Roman"/>
        </w:rPr>
        <w:t>实验室分别用固相萃取浓缩法对地下水样品进行了加标测定，涕灭威、克百威、甲萘威的加入浓度分别为0.05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</w:rPr>
        <w:t>g/L～1.00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</w:rPr>
        <w:t>g/L、0.05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</w:rPr>
        <w:t>g/L～1.00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</w:rPr>
        <w:t>g/L、0.05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</w:rPr>
        <w:t>g/L～0.945</w:t>
      </w:r>
      <w:r>
        <w:rPr>
          <w:rFonts w:ascii="Times New Roman" w:hAnsi="Times New Roman"/>
          <w:kern w:val="0"/>
        </w:rPr>
        <w:t>μ</w:t>
      </w:r>
      <w:r>
        <w:rPr>
          <w:rFonts w:hint="eastAsia" w:ascii="Times New Roman" w:hAnsi="Times New Roman"/>
        </w:rPr>
        <w:t>g/L，回收率分别为89.5%~99.0</w:t>
      </w:r>
      <w:r>
        <w:rPr>
          <w:rFonts w:ascii="Times New Roman" w:hAnsi="Times New Roman"/>
        </w:rPr>
        <w:t>%</w:t>
      </w:r>
      <w:r>
        <w:rPr>
          <w:rFonts w:hint="eastAsia" w:ascii="Times New Roman" w:hAnsi="Times New Roman"/>
        </w:rPr>
        <w:t>、87.3%~101.8%、88.3%~105.6%</w:t>
      </w:r>
    </w:p>
    <w:sectPr>
      <w:footerReference r:id="rId5" w:type="default"/>
      <w:pgSz w:w="11906" w:h="16838"/>
      <w:pgMar w:top="1440" w:right="1797" w:bottom="1440" w:left="1797" w:header="851" w:footer="992" w:gutter="0"/>
      <w:pgNumType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0628491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III</w:t>
        </w:r>
        <w: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851093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7"/>
      <w:tabs>
        <w:tab w:val="center" w:pos="4156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F57C"/>
    <w:multiLevelType w:val="multilevel"/>
    <w:tmpl w:val="59F7F57C"/>
    <w:lvl w:ilvl="0" w:tentative="0">
      <w:start w:val="1"/>
      <w:numFmt w:val="decimal"/>
      <w:suff w:val="space"/>
      <w:lvlText w:val="4.%1"/>
      <w:lvlJc w:val="left"/>
      <w:pPr>
        <w:tabs>
          <w:tab w:val="left" w:pos="0"/>
        </w:tabs>
        <w:ind w:left="0" w:firstLine="0"/>
      </w:pPr>
      <w:rPr>
        <w:rFonts w:hint="default" w:ascii="黑体" w:hAnsi="黑体" w:eastAsia="黑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59F844BE"/>
    <w:multiLevelType w:val="multilevel"/>
    <w:tmpl w:val="59F844BE"/>
    <w:lvl w:ilvl="0" w:tentative="0">
      <w:start w:val="1"/>
      <w:numFmt w:val="decimal"/>
      <w:suff w:val="space"/>
      <w:lvlText w:val="5.%1"/>
      <w:lvlJc w:val="left"/>
      <w:pPr>
        <w:tabs>
          <w:tab w:val="left" w:pos="0"/>
        </w:tabs>
        <w:ind w:left="0" w:firstLine="0"/>
      </w:pPr>
      <w:rPr>
        <w:rFonts w:hint="default" w:ascii="黑体" w:hAnsi="黑体" w:eastAsia="黑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">
    <w:nsid w:val="59F977C6"/>
    <w:multiLevelType w:val="multilevel"/>
    <w:tmpl w:val="59F977C6"/>
    <w:lvl w:ilvl="0" w:tentative="0">
      <w:start w:val="1"/>
      <w:numFmt w:val="decimal"/>
      <w:suff w:val="space"/>
      <w:lvlText w:val="7.2.%1"/>
      <w:lvlJc w:val="left"/>
      <w:pPr>
        <w:tabs>
          <w:tab w:val="left" w:pos="0"/>
        </w:tabs>
        <w:ind w:left="0" w:firstLine="0"/>
      </w:pPr>
      <w:rPr>
        <w:rFonts w:hint="default" w:ascii="黑体" w:hAnsi="黑体" w:eastAsia="黑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3">
    <w:nsid w:val="59F97829"/>
    <w:multiLevelType w:val="singleLevel"/>
    <w:tmpl w:val="59F97829"/>
    <w:lvl w:ilvl="0" w:tentative="0">
      <w:start w:val="1"/>
      <w:numFmt w:val="lowerLetter"/>
      <w:lvlText w:val="%1）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">
    <w:nsid w:val="59F978B6"/>
    <w:multiLevelType w:val="singleLevel"/>
    <w:tmpl w:val="59F978B6"/>
    <w:lvl w:ilvl="0" w:tentative="0">
      <w:start w:val="1"/>
      <w:numFmt w:val="lowerLetter"/>
      <w:lvlText w:val="%1）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">
    <w:nsid w:val="59F978F6"/>
    <w:multiLevelType w:val="multilevel"/>
    <w:tmpl w:val="59F978F6"/>
    <w:lvl w:ilvl="0" w:tentative="0">
      <w:start w:val="1"/>
      <w:numFmt w:val="decimal"/>
      <w:suff w:val="space"/>
      <w:lvlText w:val="7.1.%1"/>
      <w:lvlJc w:val="left"/>
      <w:pPr>
        <w:tabs>
          <w:tab w:val="left" w:pos="0"/>
        </w:tabs>
        <w:ind w:left="0" w:firstLine="0"/>
      </w:pPr>
      <w:rPr>
        <w:rFonts w:hint="default" w:ascii="黑体" w:hAnsi="黑体" w:eastAsia="黑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6">
    <w:nsid w:val="59FA6B40"/>
    <w:multiLevelType w:val="multilevel"/>
    <w:tmpl w:val="59FA6B40"/>
    <w:lvl w:ilvl="0" w:tentative="0">
      <w:start w:val="1"/>
      <w:numFmt w:val="decimal"/>
      <w:suff w:val="space"/>
      <w:lvlText w:val="9.1.%1"/>
      <w:lvlJc w:val="left"/>
      <w:pPr>
        <w:tabs>
          <w:tab w:val="left" w:pos="0"/>
        </w:tabs>
        <w:ind w:left="0" w:firstLine="0"/>
      </w:pPr>
      <w:rPr>
        <w:rFonts w:hint="default" w:ascii="黑体" w:hAnsi="黑体" w:eastAsia="黑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59FA6CA0"/>
    <w:multiLevelType w:val="multilevel"/>
    <w:tmpl w:val="59FA6CA0"/>
    <w:lvl w:ilvl="0" w:tentative="0">
      <w:start w:val="1"/>
      <w:numFmt w:val="decimal"/>
      <w:suff w:val="space"/>
      <w:lvlText w:val="9.2.%1"/>
      <w:lvlJc w:val="left"/>
      <w:pPr>
        <w:tabs>
          <w:tab w:val="left" w:pos="0"/>
        </w:tabs>
        <w:ind w:left="0" w:firstLine="0"/>
      </w:pPr>
      <w:rPr>
        <w:rFonts w:hint="default" w:ascii="黑体" w:hAnsi="黑体" w:eastAsia="黑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8">
    <w:nsid w:val="59FBC0F5"/>
    <w:multiLevelType w:val="singleLevel"/>
    <w:tmpl w:val="59FBC0F5"/>
    <w:lvl w:ilvl="0" w:tentative="0">
      <w:start w:val="1"/>
      <w:numFmt w:val="decimal"/>
      <w:suff w:val="space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">
    <w:nsid w:val="68914101"/>
    <w:multiLevelType w:val="multilevel"/>
    <w:tmpl w:val="68914101"/>
    <w:lvl w:ilvl="0" w:tentative="0">
      <w:start w:val="1"/>
      <w:numFmt w:val="decimal"/>
      <w:lvlText w:val="10.1.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E7"/>
    <w:rsid w:val="000000FD"/>
    <w:rsid w:val="00001BA8"/>
    <w:rsid w:val="00003D1C"/>
    <w:rsid w:val="00004657"/>
    <w:rsid w:val="0000516C"/>
    <w:rsid w:val="00006856"/>
    <w:rsid w:val="00007467"/>
    <w:rsid w:val="00011256"/>
    <w:rsid w:val="000131DF"/>
    <w:rsid w:val="0001453D"/>
    <w:rsid w:val="0001493C"/>
    <w:rsid w:val="0001581C"/>
    <w:rsid w:val="0001588E"/>
    <w:rsid w:val="0002321D"/>
    <w:rsid w:val="000232EF"/>
    <w:rsid w:val="00023D5E"/>
    <w:rsid w:val="00025A10"/>
    <w:rsid w:val="00027E25"/>
    <w:rsid w:val="000302F9"/>
    <w:rsid w:val="00030B5D"/>
    <w:rsid w:val="000315A5"/>
    <w:rsid w:val="000322BB"/>
    <w:rsid w:val="00032B1E"/>
    <w:rsid w:val="00033AC9"/>
    <w:rsid w:val="00034011"/>
    <w:rsid w:val="00034C49"/>
    <w:rsid w:val="0003720A"/>
    <w:rsid w:val="00040D22"/>
    <w:rsid w:val="00042605"/>
    <w:rsid w:val="0004360E"/>
    <w:rsid w:val="00043746"/>
    <w:rsid w:val="00047222"/>
    <w:rsid w:val="00047370"/>
    <w:rsid w:val="00047842"/>
    <w:rsid w:val="00053D43"/>
    <w:rsid w:val="00055D85"/>
    <w:rsid w:val="0005641F"/>
    <w:rsid w:val="000565C1"/>
    <w:rsid w:val="000568CD"/>
    <w:rsid w:val="00056E5C"/>
    <w:rsid w:val="00057C64"/>
    <w:rsid w:val="00061193"/>
    <w:rsid w:val="00061296"/>
    <w:rsid w:val="000621AA"/>
    <w:rsid w:val="000636DE"/>
    <w:rsid w:val="00064449"/>
    <w:rsid w:val="000663D8"/>
    <w:rsid w:val="000676FA"/>
    <w:rsid w:val="00070E9D"/>
    <w:rsid w:val="00071E7E"/>
    <w:rsid w:val="000733B9"/>
    <w:rsid w:val="00076E1E"/>
    <w:rsid w:val="00080EDE"/>
    <w:rsid w:val="000818D7"/>
    <w:rsid w:val="00085569"/>
    <w:rsid w:val="00085F28"/>
    <w:rsid w:val="00086401"/>
    <w:rsid w:val="000869D9"/>
    <w:rsid w:val="00090786"/>
    <w:rsid w:val="00094211"/>
    <w:rsid w:val="0009595B"/>
    <w:rsid w:val="000A0CF4"/>
    <w:rsid w:val="000A1042"/>
    <w:rsid w:val="000A1AC3"/>
    <w:rsid w:val="000A1B48"/>
    <w:rsid w:val="000A30C5"/>
    <w:rsid w:val="000A3ED7"/>
    <w:rsid w:val="000A449D"/>
    <w:rsid w:val="000A468F"/>
    <w:rsid w:val="000A48AC"/>
    <w:rsid w:val="000A4A5F"/>
    <w:rsid w:val="000A5807"/>
    <w:rsid w:val="000A6BD0"/>
    <w:rsid w:val="000A75ED"/>
    <w:rsid w:val="000A7F00"/>
    <w:rsid w:val="000B1DDD"/>
    <w:rsid w:val="000B2581"/>
    <w:rsid w:val="000B3F70"/>
    <w:rsid w:val="000B430B"/>
    <w:rsid w:val="000B5CF3"/>
    <w:rsid w:val="000C0137"/>
    <w:rsid w:val="000C1824"/>
    <w:rsid w:val="000C1BDD"/>
    <w:rsid w:val="000C1D80"/>
    <w:rsid w:val="000C336C"/>
    <w:rsid w:val="000C4340"/>
    <w:rsid w:val="000C4B78"/>
    <w:rsid w:val="000C4E76"/>
    <w:rsid w:val="000C6610"/>
    <w:rsid w:val="000C7707"/>
    <w:rsid w:val="000C7F64"/>
    <w:rsid w:val="000D0F57"/>
    <w:rsid w:val="000D1329"/>
    <w:rsid w:val="000D26D1"/>
    <w:rsid w:val="000D2BCC"/>
    <w:rsid w:val="000D382A"/>
    <w:rsid w:val="000D572F"/>
    <w:rsid w:val="000D5A1E"/>
    <w:rsid w:val="000D5F6E"/>
    <w:rsid w:val="000D62A4"/>
    <w:rsid w:val="000D6470"/>
    <w:rsid w:val="000D7125"/>
    <w:rsid w:val="000D74B0"/>
    <w:rsid w:val="000D77FC"/>
    <w:rsid w:val="000D78D1"/>
    <w:rsid w:val="000E13CC"/>
    <w:rsid w:val="000E1EEF"/>
    <w:rsid w:val="000E226C"/>
    <w:rsid w:val="000E26DE"/>
    <w:rsid w:val="000E2889"/>
    <w:rsid w:val="000E4E72"/>
    <w:rsid w:val="000E57B7"/>
    <w:rsid w:val="000E6932"/>
    <w:rsid w:val="000F25CC"/>
    <w:rsid w:val="000F349A"/>
    <w:rsid w:val="000F4796"/>
    <w:rsid w:val="000F53C4"/>
    <w:rsid w:val="000F5726"/>
    <w:rsid w:val="000F6123"/>
    <w:rsid w:val="000F6AA5"/>
    <w:rsid w:val="000F6DF2"/>
    <w:rsid w:val="000F6EC1"/>
    <w:rsid w:val="0010084E"/>
    <w:rsid w:val="00102283"/>
    <w:rsid w:val="00104848"/>
    <w:rsid w:val="00104A10"/>
    <w:rsid w:val="00105818"/>
    <w:rsid w:val="001069E3"/>
    <w:rsid w:val="00111AE2"/>
    <w:rsid w:val="001141BD"/>
    <w:rsid w:val="0011444A"/>
    <w:rsid w:val="001144B9"/>
    <w:rsid w:val="00115A5E"/>
    <w:rsid w:val="00117892"/>
    <w:rsid w:val="00122290"/>
    <w:rsid w:val="00122497"/>
    <w:rsid w:val="0012256E"/>
    <w:rsid w:val="00127762"/>
    <w:rsid w:val="001277CE"/>
    <w:rsid w:val="001278D3"/>
    <w:rsid w:val="00127928"/>
    <w:rsid w:val="00127A56"/>
    <w:rsid w:val="00127D7B"/>
    <w:rsid w:val="00130497"/>
    <w:rsid w:val="00130D36"/>
    <w:rsid w:val="00133F66"/>
    <w:rsid w:val="0013409A"/>
    <w:rsid w:val="001352A1"/>
    <w:rsid w:val="00136281"/>
    <w:rsid w:val="0013630F"/>
    <w:rsid w:val="0013642C"/>
    <w:rsid w:val="00136CF7"/>
    <w:rsid w:val="0013753E"/>
    <w:rsid w:val="00140523"/>
    <w:rsid w:val="001412B8"/>
    <w:rsid w:val="001436C5"/>
    <w:rsid w:val="00145366"/>
    <w:rsid w:val="00146B2D"/>
    <w:rsid w:val="0015092A"/>
    <w:rsid w:val="00150D4D"/>
    <w:rsid w:val="001526B2"/>
    <w:rsid w:val="00153291"/>
    <w:rsid w:val="00154056"/>
    <w:rsid w:val="00154534"/>
    <w:rsid w:val="00154B5A"/>
    <w:rsid w:val="00154D25"/>
    <w:rsid w:val="00155B9A"/>
    <w:rsid w:val="00156095"/>
    <w:rsid w:val="00156A77"/>
    <w:rsid w:val="00160F18"/>
    <w:rsid w:val="00162985"/>
    <w:rsid w:val="001635E5"/>
    <w:rsid w:val="00165F54"/>
    <w:rsid w:val="0016680B"/>
    <w:rsid w:val="00167C22"/>
    <w:rsid w:val="00167D3F"/>
    <w:rsid w:val="001714CE"/>
    <w:rsid w:val="0017219B"/>
    <w:rsid w:val="00172292"/>
    <w:rsid w:val="00173404"/>
    <w:rsid w:val="0017340D"/>
    <w:rsid w:val="001738FA"/>
    <w:rsid w:val="0017545B"/>
    <w:rsid w:val="0017595A"/>
    <w:rsid w:val="001768EA"/>
    <w:rsid w:val="001829E1"/>
    <w:rsid w:val="00182B3C"/>
    <w:rsid w:val="00185080"/>
    <w:rsid w:val="00185C03"/>
    <w:rsid w:val="00186DBD"/>
    <w:rsid w:val="00187710"/>
    <w:rsid w:val="00187CB3"/>
    <w:rsid w:val="001911B8"/>
    <w:rsid w:val="00192283"/>
    <w:rsid w:val="001932CB"/>
    <w:rsid w:val="0019452F"/>
    <w:rsid w:val="001948F3"/>
    <w:rsid w:val="00196227"/>
    <w:rsid w:val="001A06CE"/>
    <w:rsid w:val="001A0AEE"/>
    <w:rsid w:val="001A1F31"/>
    <w:rsid w:val="001A2069"/>
    <w:rsid w:val="001A31F3"/>
    <w:rsid w:val="001A337E"/>
    <w:rsid w:val="001A3B18"/>
    <w:rsid w:val="001A418C"/>
    <w:rsid w:val="001A47AB"/>
    <w:rsid w:val="001A7B24"/>
    <w:rsid w:val="001B22B5"/>
    <w:rsid w:val="001B23CF"/>
    <w:rsid w:val="001B36BC"/>
    <w:rsid w:val="001B55D1"/>
    <w:rsid w:val="001B57C0"/>
    <w:rsid w:val="001B5ADD"/>
    <w:rsid w:val="001B695D"/>
    <w:rsid w:val="001C059C"/>
    <w:rsid w:val="001C1034"/>
    <w:rsid w:val="001C1CDC"/>
    <w:rsid w:val="001C3215"/>
    <w:rsid w:val="001C4C66"/>
    <w:rsid w:val="001C6B29"/>
    <w:rsid w:val="001D0849"/>
    <w:rsid w:val="001D13BC"/>
    <w:rsid w:val="001D19CC"/>
    <w:rsid w:val="001D1CD0"/>
    <w:rsid w:val="001D404D"/>
    <w:rsid w:val="001D4B71"/>
    <w:rsid w:val="001D5AB0"/>
    <w:rsid w:val="001D6E18"/>
    <w:rsid w:val="001E0A2F"/>
    <w:rsid w:val="001E219A"/>
    <w:rsid w:val="001E31BC"/>
    <w:rsid w:val="001E32B7"/>
    <w:rsid w:val="001F17A4"/>
    <w:rsid w:val="001F2417"/>
    <w:rsid w:val="001F3182"/>
    <w:rsid w:val="001F3316"/>
    <w:rsid w:val="001F419E"/>
    <w:rsid w:val="001F4A51"/>
    <w:rsid w:val="001F5FD4"/>
    <w:rsid w:val="001F6F5E"/>
    <w:rsid w:val="00201419"/>
    <w:rsid w:val="00201638"/>
    <w:rsid w:val="00201B23"/>
    <w:rsid w:val="002052CC"/>
    <w:rsid w:val="002055A0"/>
    <w:rsid w:val="00205965"/>
    <w:rsid w:val="002075A9"/>
    <w:rsid w:val="0021030F"/>
    <w:rsid w:val="00211034"/>
    <w:rsid w:val="0021125F"/>
    <w:rsid w:val="002131A8"/>
    <w:rsid w:val="002136DA"/>
    <w:rsid w:val="00213F6F"/>
    <w:rsid w:val="002140A5"/>
    <w:rsid w:val="00214540"/>
    <w:rsid w:val="00216A14"/>
    <w:rsid w:val="002176A0"/>
    <w:rsid w:val="00220B74"/>
    <w:rsid w:val="00223B6F"/>
    <w:rsid w:val="00223F2B"/>
    <w:rsid w:val="00223FCB"/>
    <w:rsid w:val="00226774"/>
    <w:rsid w:val="00230DA1"/>
    <w:rsid w:val="00231983"/>
    <w:rsid w:val="00231E10"/>
    <w:rsid w:val="00232154"/>
    <w:rsid w:val="00234428"/>
    <w:rsid w:val="0023551B"/>
    <w:rsid w:val="002368BB"/>
    <w:rsid w:val="0023694C"/>
    <w:rsid w:val="00237AD9"/>
    <w:rsid w:val="002411FE"/>
    <w:rsid w:val="002421B4"/>
    <w:rsid w:val="0024239C"/>
    <w:rsid w:val="00242510"/>
    <w:rsid w:val="00242B3A"/>
    <w:rsid w:val="00245D37"/>
    <w:rsid w:val="00246F2A"/>
    <w:rsid w:val="00247B9A"/>
    <w:rsid w:val="00250493"/>
    <w:rsid w:val="00250CB9"/>
    <w:rsid w:val="002516EF"/>
    <w:rsid w:val="002519E0"/>
    <w:rsid w:val="00251B5E"/>
    <w:rsid w:val="0025348A"/>
    <w:rsid w:val="002543BC"/>
    <w:rsid w:val="002565C9"/>
    <w:rsid w:val="00260798"/>
    <w:rsid w:val="00260ABA"/>
    <w:rsid w:val="00264A19"/>
    <w:rsid w:val="00264C3C"/>
    <w:rsid w:val="002650DC"/>
    <w:rsid w:val="00266135"/>
    <w:rsid w:val="00266880"/>
    <w:rsid w:val="002668AC"/>
    <w:rsid w:val="00266A35"/>
    <w:rsid w:val="00267195"/>
    <w:rsid w:val="00267FA2"/>
    <w:rsid w:val="00270AE1"/>
    <w:rsid w:val="002715E4"/>
    <w:rsid w:val="00271914"/>
    <w:rsid w:val="00271BA3"/>
    <w:rsid w:val="00272524"/>
    <w:rsid w:val="0027696A"/>
    <w:rsid w:val="00276BCD"/>
    <w:rsid w:val="00277370"/>
    <w:rsid w:val="002774FE"/>
    <w:rsid w:val="00281274"/>
    <w:rsid w:val="00282D36"/>
    <w:rsid w:val="002830A0"/>
    <w:rsid w:val="002842B2"/>
    <w:rsid w:val="00284BF0"/>
    <w:rsid w:val="00285483"/>
    <w:rsid w:val="00285928"/>
    <w:rsid w:val="00286433"/>
    <w:rsid w:val="00287658"/>
    <w:rsid w:val="00287BE4"/>
    <w:rsid w:val="0029089B"/>
    <w:rsid w:val="00290A7C"/>
    <w:rsid w:val="0029260D"/>
    <w:rsid w:val="00294587"/>
    <w:rsid w:val="00294A78"/>
    <w:rsid w:val="00294D2E"/>
    <w:rsid w:val="00296431"/>
    <w:rsid w:val="0029698B"/>
    <w:rsid w:val="002A0B1B"/>
    <w:rsid w:val="002A19CC"/>
    <w:rsid w:val="002A43BC"/>
    <w:rsid w:val="002A461D"/>
    <w:rsid w:val="002A5B3A"/>
    <w:rsid w:val="002A6D8E"/>
    <w:rsid w:val="002A6FB9"/>
    <w:rsid w:val="002A72A8"/>
    <w:rsid w:val="002A73A4"/>
    <w:rsid w:val="002B04C2"/>
    <w:rsid w:val="002B056C"/>
    <w:rsid w:val="002B0A49"/>
    <w:rsid w:val="002B1296"/>
    <w:rsid w:val="002B155F"/>
    <w:rsid w:val="002B15F5"/>
    <w:rsid w:val="002B23DD"/>
    <w:rsid w:val="002B3921"/>
    <w:rsid w:val="002B3E82"/>
    <w:rsid w:val="002B3F21"/>
    <w:rsid w:val="002B42FB"/>
    <w:rsid w:val="002B5337"/>
    <w:rsid w:val="002B5601"/>
    <w:rsid w:val="002B6EC3"/>
    <w:rsid w:val="002C299E"/>
    <w:rsid w:val="002C4E60"/>
    <w:rsid w:val="002C5E7C"/>
    <w:rsid w:val="002C71AA"/>
    <w:rsid w:val="002C7FB3"/>
    <w:rsid w:val="002D0345"/>
    <w:rsid w:val="002D08AE"/>
    <w:rsid w:val="002D33F9"/>
    <w:rsid w:val="002D409E"/>
    <w:rsid w:val="002D413E"/>
    <w:rsid w:val="002D4775"/>
    <w:rsid w:val="002D4EFE"/>
    <w:rsid w:val="002D6961"/>
    <w:rsid w:val="002E04B6"/>
    <w:rsid w:val="002E1703"/>
    <w:rsid w:val="002E1F5D"/>
    <w:rsid w:val="002E2C98"/>
    <w:rsid w:val="002E3BF5"/>
    <w:rsid w:val="002E4441"/>
    <w:rsid w:val="002E5CAB"/>
    <w:rsid w:val="002F0165"/>
    <w:rsid w:val="002F091B"/>
    <w:rsid w:val="002F3A4B"/>
    <w:rsid w:val="002F4201"/>
    <w:rsid w:val="002F4987"/>
    <w:rsid w:val="002F5EE6"/>
    <w:rsid w:val="002F6B99"/>
    <w:rsid w:val="002F755A"/>
    <w:rsid w:val="002F79DA"/>
    <w:rsid w:val="002F7C6A"/>
    <w:rsid w:val="00300BA0"/>
    <w:rsid w:val="00300DAC"/>
    <w:rsid w:val="00301813"/>
    <w:rsid w:val="00302AFD"/>
    <w:rsid w:val="003030D5"/>
    <w:rsid w:val="003037B4"/>
    <w:rsid w:val="00303D57"/>
    <w:rsid w:val="00304025"/>
    <w:rsid w:val="00305500"/>
    <w:rsid w:val="003058BA"/>
    <w:rsid w:val="00312ADD"/>
    <w:rsid w:val="00313063"/>
    <w:rsid w:val="0031438D"/>
    <w:rsid w:val="00315376"/>
    <w:rsid w:val="003159AC"/>
    <w:rsid w:val="00315F16"/>
    <w:rsid w:val="00320200"/>
    <w:rsid w:val="003218DE"/>
    <w:rsid w:val="00322867"/>
    <w:rsid w:val="00322B3B"/>
    <w:rsid w:val="00324725"/>
    <w:rsid w:val="00325DA3"/>
    <w:rsid w:val="003263AE"/>
    <w:rsid w:val="003266ED"/>
    <w:rsid w:val="0032679F"/>
    <w:rsid w:val="00327657"/>
    <w:rsid w:val="00330FA2"/>
    <w:rsid w:val="00332344"/>
    <w:rsid w:val="00333023"/>
    <w:rsid w:val="00334799"/>
    <w:rsid w:val="0033653D"/>
    <w:rsid w:val="00336742"/>
    <w:rsid w:val="003376A8"/>
    <w:rsid w:val="00337B9A"/>
    <w:rsid w:val="00337F9D"/>
    <w:rsid w:val="00342472"/>
    <w:rsid w:val="0034308E"/>
    <w:rsid w:val="00343551"/>
    <w:rsid w:val="00343A3D"/>
    <w:rsid w:val="00343EBE"/>
    <w:rsid w:val="00345516"/>
    <w:rsid w:val="00345F0E"/>
    <w:rsid w:val="0035033A"/>
    <w:rsid w:val="00350435"/>
    <w:rsid w:val="00350EE5"/>
    <w:rsid w:val="00351FBA"/>
    <w:rsid w:val="00354481"/>
    <w:rsid w:val="00354EA5"/>
    <w:rsid w:val="003550B9"/>
    <w:rsid w:val="00355AE4"/>
    <w:rsid w:val="00356027"/>
    <w:rsid w:val="00356D32"/>
    <w:rsid w:val="00357A77"/>
    <w:rsid w:val="00357C98"/>
    <w:rsid w:val="00360B13"/>
    <w:rsid w:val="00362A98"/>
    <w:rsid w:val="00362D90"/>
    <w:rsid w:val="00363E39"/>
    <w:rsid w:val="00364E82"/>
    <w:rsid w:val="003650D8"/>
    <w:rsid w:val="00365767"/>
    <w:rsid w:val="0036579D"/>
    <w:rsid w:val="00365C7C"/>
    <w:rsid w:val="00365E7E"/>
    <w:rsid w:val="00365EA3"/>
    <w:rsid w:val="00365EB3"/>
    <w:rsid w:val="003662AC"/>
    <w:rsid w:val="00366529"/>
    <w:rsid w:val="00366710"/>
    <w:rsid w:val="003668D7"/>
    <w:rsid w:val="003668D8"/>
    <w:rsid w:val="00367A7B"/>
    <w:rsid w:val="00371238"/>
    <w:rsid w:val="00371DB4"/>
    <w:rsid w:val="00371F41"/>
    <w:rsid w:val="00374821"/>
    <w:rsid w:val="00375690"/>
    <w:rsid w:val="0037671F"/>
    <w:rsid w:val="003770C7"/>
    <w:rsid w:val="00377121"/>
    <w:rsid w:val="003773E8"/>
    <w:rsid w:val="00377618"/>
    <w:rsid w:val="00377AE1"/>
    <w:rsid w:val="00380156"/>
    <w:rsid w:val="00380925"/>
    <w:rsid w:val="00381595"/>
    <w:rsid w:val="00382DC2"/>
    <w:rsid w:val="00382E74"/>
    <w:rsid w:val="00383187"/>
    <w:rsid w:val="0038449D"/>
    <w:rsid w:val="00386D6C"/>
    <w:rsid w:val="00387644"/>
    <w:rsid w:val="00387E8F"/>
    <w:rsid w:val="003915DC"/>
    <w:rsid w:val="00392505"/>
    <w:rsid w:val="00392539"/>
    <w:rsid w:val="003928C8"/>
    <w:rsid w:val="00393102"/>
    <w:rsid w:val="003936ED"/>
    <w:rsid w:val="003943A2"/>
    <w:rsid w:val="0039489F"/>
    <w:rsid w:val="00396214"/>
    <w:rsid w:val="00396F0C"/>
    <w:rsid w:val="003A1347"/>
    <w:rsid w:val="003A297C"/>
    <w:rsid w:val="003A3D6E"/>
    <w:rsid w:val="003A4323"/>
    <w:rsid w:val="003B0D55"/>
    <w:rsid w:val="003B2037"/>
    <w:rsid w:val="003B247F"/>
    <w:rsid w:val="003B283E"/>
    <w:rsid w:val="003B490D"/>
    <w:rsid w:val="003B5980"/>
    <w:rsid w:val="003B69CD"/>
    <w:rsid w:val="003C0481"/>
    <w:rsid w:val="003C09C4"/>
    <w:rsid w:val="003C0DCC"/>
    <w:rsid w:val="003C33BF"/>
    <w:rsid w:val="003C421D"/>
    <w:rsid w:val="003C443D"/>
    <w:rsid w:val="003C7395"/>
    <w:rsid w:val="003D00DC"/>
    <w:rsid w:val="003D02CB"/>
    <w:rsid w:val="003D1AAA"/>
    <w:rsid w:val="003D2194"/>
    <w:rsid w:val="003D56F4"/>
    <w:rsid w:val="003D5BE8"/>
    <w:rsid w:val="003D61B7"/>
    <w:rsid w:val="003D71E5"/>
    <w:rsid w:val="003D7F87"/>
    <w:rsid w:val="003E029B"/>
    <w:rsid w:val="003E09F5"/>
    <w:rsid w:val="003E1482"/>
    <w:rsid w:val="003E1632"/>
    <w:rsid w:val="003E2603"/>
    <w:rsid w:val="003E27A9"/>
    <w:rsid w:val="003E3159"/>
    <w:rsid w:val="003E42E6"/>
    <w:rsid w:val="003E4B0F"/>
    <w:rsid w:val="003E6D59"/>
    <w:rsid w:val="003E6EB3"/>
    <w:rsid w:val="003F0F05"/>
    <w:rsid w:val="003F1556"/>
    <w:rsid w:val="003F2CA2"/>
    <w:rsid w:val="003F2F92"/>
    <w:rsid w:val="003F3D51"/>
    <w:rsid w:val="003F55E5"/>
    <w:rsid w:val="0040217A"/>
    <w:rsid w:val="00403B9A"/>
    <w:rsid w:val="00403CF1"/>
    <w:rsid w:val="0040463D"/>
    <w:rsid w:val="004047FA"/>
    <w:rsid w:val="004057B2"/>
    <w:rsid w:val="00406FAE"/>
    <w:rsid w:val="004076DA"/>
    <w:rsid w:val="004107D3"/>
    <w:rsid w:val="00411BA6"/>
    <w:rsid w:val="00412C55"/>
    <w:rsid w:val="00413056"/>
    <w:rsid w:val="00414C36"/>
    <w:rsid w:val="004165F6"/>
    <w:rsid w:val="0041724E"/>
    <w:rsid w:val="00420936"/>
    <w:rsid w:val="00420D98"/>
    <w:rsid w:val="00420FAF"/>
    <w:rsid w:val="00421245"/>
    <w:rsid w:val="00421E5E"/>
    <w:rsid w:val="00422A61"/>
    <w:rsid w:val="00422E94"/>
    <w:rsid w:val="004262E2"/>
    <w:rsid w:val="00426329"/>
    <w:rsid w:val="004269A0"/>
    <w:rsid w:val="004270FF"/>
    <w:rsid w:val="004305E5"/>
    <w:rsid w:val="00430BC3"/>
    <w:rsid w:val="00430CCE"/>
    <w:rsid w:val="004312A6"/>
    <w:rsid w:val="00432590"/>
    <w:rsid w:val="00433ED8"/>
    <w:rsid w:val="00434769"/>
    <w:rsid w:val="0043518A"/>
    <w:rsid w:val="00435BAC"/>
    <w:rsid w:val="004373D3"/>
    <w:rsid w:val="004379C0"/>
    <w:rsid w:val="00440A0B"/>
    <w:rsid w:val="00441239"/>
    <w:rsid w:val="0044289A"/>
    <w:rsid w:val="00447198"/>
    <w:rsid w:val="00447575"/>
    <w:rsid w:val="00450F57"/>
    <w:rsid w:val="00453C49"/>
    <w:rsid w:val="00457C8E"/>
    <w:rsid w:val="00457F1F"/>
    <w:rsid w:val="004608F7"/>
    <w:rsid w:val="004611CD"/>
    <w:rsid w:val="00461968"/>
    <w:rsid w:val="00462DA4"/>
    <w:rsid w:val="00463239"/>
    <w:rsid w:val="0046368A"/>
    <w:rsid w:val="004642E1"/>
    <w:rsid w:val="0046471B"/>
    <w:rsid w:val="00464C24"/>
    <w:rsid w:val="00466BFB"/>
    <w:rsid w:val="00471950"/>
    <w:rsid w:val="0047370A"/>
    <w:rsid w:val="00473FC6"/>
    <w:rsid w:val="0047443C"/>
    <w:rsid w:val="00475288"/>
    <w:rsid w:val="00475B9B"/>
    <w:rsid w:val="00475EB5"/>
    <w:rsid w:val="00475F1B"/>
    <w:rsid w:val="00476711"/>
    <w:rsid w:val="0048155D"/>
    <w:rsid w:val="004830A3"/>
    <w:rsid w:val="004832B4"/>
    <w:rsid w:val="004856E0"/>
    <w:rsid w:val="00486F43"/>
    <w:rsid w:val="00487A9D"/>
    <w:rsid w:val="00487B3B"/>
    <w:rsid w:val="004900AF"/>
    <w:rsid w:val="0049112D"/>
    <w:rsid w:val="00492036"/>
    <w:rsid w:val="004922FC"/>
    <w:rsid w:val="0049231E"/>
    <w:rsid w:val="00492C67"/>
    <w:rsid w:val="0049530A"/>
    <w:rsid w:val="004954A5"/>
    <w:rsid w:val="004954BB"/>
    <w:rsid w:val="0049590E"/>
    <w:rsid w:val="00495A00"/>
    <w:rsid w:val="00496100"/>
    <w:rsid w:val="004A0914"/>
    <w:rsid w:val="004A0A97"/>
    <w:rsid w:val="004A1249"/>
    <w:rsid w:val="004A13EB"/>
    <w:rsid w:val="004A1EF6"/>
    <w:rsid w:val="004A278A"/>
    <w:rsid w:val="004A4884"/>
    <w:rsid w:val="004A4D20"/>
    <w:rsid w:val="004A4E16"/>
    <w:rsid w:val="004A4F60"/>
    <w:rsid w:val="004A4F98"/>
    <w:rsid w:val="004A5B25"/>
    <w:rsid w:val="004B0AD7"/>
    <w:rsid w:val="004B1BFB"/>
    <w:rsid w:val="004B1C81"/>
    <w:rsid w:val="004B321B"/>
    <w:rsid w:val="004B42B7"/>
    <w:rsid w:val="004B7DF5"/>
    <w:rsid w:val="004C0876"/>
    <w:rsid w:val="004C258E"/>
    <w:rsid w:val="004C4BBF"/>
    <w:rsid w:val="004C57A5"/>
    <w:rsid w:val="004D2824"/>
    <w:rsid w:val="004D3A1C"/>
    <w:rsid w:val="004D3F63"/>
    <w:rsid w:val="004D4332"/>
    <w:rsid w:val="004D4648"/>
    <w:rsid w:val="004D5A39"/>
    <w:rsid w:val="004D609D"/>
    <w:rsid w:val="004D6A15"/>
    <w:rsid w:val="004D7404"/>
    <w:rsid w:val="004E0509"/>
    <w:rsid w:val="004E4FA4"/>
    <w:rsid w:val="004E5744"/>
    <w:rsid w:val="004E5B19"/>
    <w:rsid w:val="004E5B8B"/>
    <w:rsid w:val="004E6579"/>
    <w:rsid w:val="004E667D"/>
    <w:rsid w:val="004E7770"/>
    <w:rsid w:val="004F0306"/>
    <w:rsid w:val="004F0402"/>
    <w:rsid w:val="004F1400"/>
    <w:rsid w:val="004F17F1"/>
    <w:rsid w:val="004F1AD5"/>
    <w:rsid w:val="004F1DE9"/>
    <w:rsid w:val="004F3374"/>
    <w:rsid w:val="004F45AD"/>
    <w:rsid w:val="004F55F9"/>
    <w:rsid w:val="004F6BFB"/>
    <w:rsid w:val="004F7358"/>
    <w:rsid w:val="0050011E"/>
    <w:rsid w:val="00500704"/>
    <w:rsid w:val="00500A03"/>
    <w:rsid w:val="00500A46"/>
    <w:rsid w:val="0050132E"/>
    <w:rsid w:val="005016D5"/>
    <w:rsid w:val="00505206"/>
    <w:rsid w:val="0050788D"/>
    <w:rsid w:val="00510A74"/>
    <w:rsid w:val="005111D3"/>
    <w:rsid w:val="00511884"/>
    <w:rsid w:val="0051209D"/>
    <w:rsid w:val="00512DC8"/>
    <w:rsid w:val="00513C0F"/>
    <w:rsid w:val="00513E89"/>
    <w:rsid w:val="005163E0"/>
    <w:rsid w:val="005174F0"/>
    <w:rsid w:val="00517A69"/>
    <w:rsid w:val="00517CAD"/>
    <w:rsid w:val="0052144E"/>
    <w:rsid w:val="00521F26"/>
    <w:rsid w:val="00522B27"/>
    <w:rsid w:val="00522D3C"/>
    <w:rsid w:val="00522E35"/>
    <w:rsid w:val="00523078"/>
    <w:rsid w:val="00523CF1"/>
    <w:rsid w:val="00526436"/>
    <w:rsid w:val="005264F1"/>
    <w:rsid w:val="00526B70"/>
    <w:rsid w:val="00527309"/>
    <w:rsid w:val="00527B09"/>
    <w:rsid w:val="00531776"/>
    <w:rsid w:val="00532F42"/>
    <w:rsid w:val="00533339"/>
    <w:rsid w:val="005349D7"/>
    <w:rsid w:val="00534F94"/>
    <w:rsid w:val="00535FFB"/>
    <w:rsid w:val="00536CF5"/>
    <w:rsid w:val="00536FCE"/>
    <w:rsid w:val="00537E9F"/>
    <w:rsid w:val="00537F83"/>
    <w:rsid w:val="005403F1"/>
    <w:rsid w:val="00541B1C"/>
    <w:rsid w:val="00541FAB"/>
    <w:rsid w:val="00546F2C"/>
    <w:rsid w:val="00551522"/>
    <w:rsid w:val="005552F8"/>
    <w:rsid w:val="005561EA"/>
    <w:rsid w:val="00556FB8"/>
    <w:rsid w:val="00557305"/>
    <w:rsid w:val="00557F90"/>
    <w:rsid w:val="005601DB"/>
    <w:rsid w:val="00560A10"/>
    <w:rsid w:val="00561B0A"/>
    <w:rsid w:val="00561DCF"/>
    <w:rsid w:val="00563990"/>
    <w:rsid w:val="00567AEA"/>
    <w:rsid w:val="00567F3A"/>
    <w:rsid w:val="0057055B"/>
    <w:rsid w:val="00571380"/>
    <w:rsid w:val="005715CA"/>
    <w:rsid w:val="00572478"/>
    <w:rsid w:val="005738C4"/>
    <w:rsid w:val="00574C3C"/>
    <w:rsid w:val="005755EC"/>
    <w:rsid w:val="00576CAA"/>
    <w:rsid w:val="0057701F"/>
    <w:rsid w:val="00577465"/>
    <w:rsid w:val="00581606"/>
    <w:rsid w:val="00581985"/>
    <w:rsid w:val="00581CBB"/>
    <w:rsid w:val="005842FD"/>
    <w:rsid w:val="0058592B"/>
    <w:rsid w:val="0058686D"/>
    <w:rsid w:val="005872C8"/>
    <w:rsid w:val="00587E8F"/>
    <w:rsid w:val="005900DE"/>
    <w:rsid w:val="00590B0B"/>
    <w:rsid w:val="00590E03"/>
    <w:rsid w:val="00590E2C"/>
    <w:rsid w:val="00591BD1"/>
    <w:rsid w:val="005949A6"/>
    <w:rsid w:val="00595FA9"/>
    <w:rsid w:val="00596B3E"/>
    <w:rsid w:val="005A1198"/>
    <w:rsid w:val="005A1763"/>
    <w:rsid w:val="005A4866"/>
    <w:rsid w:val="005A510E"/>
    <w:rsid w:val="005A5392"/>
    <w:rsid w:val="005A5EF6"/>
    <w:rsid w:val="005B0042"/>
    <w:rsid w:val="005B22FE"/>
    <w:rsid w:val="005B3451"/>
    <w:rsid w:val="005B3C2C"/>
    <w:rsid w:val="005B4B9C"/>
    <w:rsid w:val="005B4D92"/>
    <w:rsid w:val="005B5FD2"/>
    <w:rsid w:val="005B6766"/>
    <w:rsid w:val="005B698D"/>
    <w:rsid w:val="005C1001"/>
    <w:rsid w:val="005C183A"/>
    <w:rsid w:val="005C1B11"/>
    <w:rsid w:val="005C26F4"/>
    <w:rsid w:val="005C2A9D"/>
    <w:rsid w:val="005C5270"/>
    <w:rsid w:val="005C5B0E"/>
    <w:rsid w:val="005C5D0D"/>
    <w:rsid w:val="005C7621"/>
    <w:rsid w:val="005D0C18"/>
    <w:rsid w:val="005D2E33"/>
    <w:rsid w:val="005D4594"/>
    <w:rsid w:val="005D47D2"/>
    <w:rsid w:val="005D5AAA"/>
    <w:rsid w:val="005D5F56"/>
    <w:rsid w:val="005E0268"/>
    <w:rsid w:val="005E1077"/>
    <w:rsid w:val="005E288D"/>
    <w:rsid w:val="005E2B9B"/>
    <w:rsid w:val="005E30D2"/>
    <w:rsid w:val="005E38BD"/>
    <w:rsid w:val="005E3F4D"/>
    <w:rsid w:val="005E4362"/>
    <w:rsid w:val="005E5A30"/>
    <w:rsid w:val="005E75DF"/>
    <w:rsid w:val="005E76E7"/>
    <w:rsid w:val="005E7AC1"/>
    <w:rsid w:val="005E7DE8"/>
    <w:rsid w:val="005F10A5"/>
    <w:rsid w:val="005F14ED"/>
    <w:rsid w:val="005F1ED1"/>
    <w:rsid w:val="005F2223"/>
    <w:rsid w:val="005F25B1"/>
    <w:rsid w:val="005F3E01"/>
    <w:rsid w:val="005F534D"/>
    <w:rsid w:val="005F54D2"/>
    <w:rsid w:val="005F6468"/>
    <w:rsid w:val="005F6650"/>
    <w:rsid w:val="005F6EAB"/>
    <w:rsid w:val="005F7305"/>
    <w:rsid w:val="00600AE3"/>
    <w:rsid w:val="00606415"/>
    <w:rsid w:val="00606BD3"/>
    <w:rsid w:val="00607235"/>
    <w:rsid w:val="0060761B"/>
    <w:rsid w:val="006104A7"/>
    <w:rsid w:val="00610F97"/>
    <w:rsid w:val="006115E1"/>
    <w:rsid w:val="0061181E"/>
    <w:rsid w:val="00611F99"/>
    <w:rsid w:val="00614DC8"/>
    <w:rsid w:val="00614E78"/>
    <w:rsid w:val="00616721"/>
    <w:rsid w:val="00617A5C"/>
    <w:rsid w:val="0062073F"/>
    <w:rsid w:val="00621F7C"/>
    <w:rsid w:val="00622230"/>
    <w:rsid w:val="006230BD"/>
    <w:rsid w:val="00623E68"/>
    <w:rsid w:val="006253D4"/>
    <w:rsid w:val="006262BD"/>
    <w:rsid w:val="00626D50"/>
    <w:rsid w:val="00630DB0"/>
    <w:rsid w:val="00630FC1"/>
    <w:rsid w:val="006332C9"/>
    <w:rsid w:val="0063580F"/>
    <w:rsid w:val="00635926"/>
    <w:rsid w:val="00637DAB"/>
    <w:rsid w:val="006418E8"/>
    <w:rsid w:val="0064223A"/>
    <w:rsid w:val="006424E0"/>
    <w:rsid w:val="00642E27"/>
    <w:rsid w:val="00644EF5"/>
    <w:rsid w:val="00645492"/>
    <w:rsid w:val="00645CDD"/>
    <w:rsid w:val="0064713D"/>
    <w:rsid w:val="0065004E"/>
    <w:rsid w:val="00650ADE"/>
    <w:rsid w:val="006526D5"/>
    <w:rsid w:val="00654799"/>
    <w:rsid w:val="006560E9"/>
    <w:rsid w:val="00656181"/>
    <w:rsid w:val="00657A38"/>
    <w:rsid w:val="00661456"/>
    <w:rsid w:val="00662A8E"/>
    <w:rsid w:val="00662C7F"/>
    <w:rsid w:val="00663869"/>
    <w:rsid w:val="006639FF"/>
    <w:rsid w:val="006640DC"/>
    <w:rsid w:val="0066763E"/>
    <w:rsid w:val="00670727"/>
    <w:rsid w:val="00672BC2"/>
    <w:rsid w:val="00673CFA"/>
    <w:rsid w:val="00675612"/>
    <w:rsid w:val="00676EB1"/>
    <w:rsid w:val="00677F7E"/>
    <w:rsid w:val="00681F00"/>
    <w:rsid w:val="00682E47"/>
    <w:rsid w:val="006839B9"/>
    <w:rsid w:val="0068441A"/>
    <w:rsid w:val="006873BE"/>
    <w:rsid w:val="0069142D"/>
    <w:rsid w:val="006917DD"/>
    <w:rsid w:val="00692C3B"/>
    <w:rsid w:val="00693CB6"/>
    <w:rsid w:val="00694085"/>
    <w:rsid w:val="006942EE"/>
    <w:rsid w:val="006954F6"/>
    <w:rsid w:val="0069562B"/>
    <w:rsid w:val="006A05A5"/>
    <w:rsid w:val="006A4CF3"/>
    <w:rsid w:val="006A6726"/>
    <w:rsid w:val="006A73F0"/>
    <w:rsid w:val="006B090B"/>
    <w:rsid w:val="006B0916"/>
    <w:rsid w:val="006B1746"/>
    <w:rsid w:val="006B37D7"/>
    <w:rsid w:val="006B576B"/>
    <w:rsid w:val="006B5850"/>
    <w:rsid w:val="006B596E"/>
    <w:rsid w:val="006B653A"/>
    <w:rsid w:val="006B7703"/>
    <w:rsid w:val="006C1134"/>
    <w:rsid w:val="006C1470"/>
    <w:rsid w:val="006C1C19"/>
    <w:rsid w:val="006C48D9"/>
    <w:rsid w:val="006C7F27"/>
    <w:rsid w:val="006D2B49"/>
    <w:rsid w:val="006D2B7A"/>
    <w:rsid w:val="006D30AB"/>
    <w:rsid w:val="006D3726"/>
    <w:rsid w:val="006D41F0"/>
    <w:rsid w:val="006D4F2C"/>
    <w:rsid w:val="006D6600"/>
    <w:rsid w:val="006D7B57"/>
    <w:rsid w:val="006E33FC"/>
    <w:rsid w:val="006E35F2"/>
    <w:rsid w:val="006E4B0E"/>
    <w:rsid w:val="006E596A"/>
    <w:rsid w:val="006E7EC7"/>
    <w:rsid w:val="006F0B05"/>
    <w:rsid w:val="006F2A59"/>
    <w:rsid w:val="006F2C45"/>
    <w:rsid w:val="006F3DF4"/>
    <w:rsid w:val="006F538C"/>
    <w:rsid w:val="006F5DAF"/>
    <w:rsid w:val="00701A09"/>
    <w:rsid w:val="007023CF"/>
    <w:rsid w:val="00702436"/>
    <w:rsid w:val="00702A83"/>
    <w:rsid w:val="00702B2B"/>
    <w:rsid w:val="00705CEF"/>
    <w:rsid w:val="007100D3"/>
    <w:rsid w:val="00710559"/>
    <w:rsid w:val="0071079A"/>
    <w:rsid w:val="007118CE"/>
    <w:rsid w:val="0071322E"/>
    <w:rsid w:val="007146BD"/>
    <w:rsid w:val="00714CD8"/>
    <w:rsid w:val="00715627"/>
    <w:rsid w:val="00715B1A"/>
    <w:rsid w:val="00715B23"/>
    <w:rsid w:val="00716CE1"/>
    <w:rsid w:val="00721AB0"/>
    <w:rsid w:val="00723767"/>
    <w:rsid w:val="007269D4"/>
    <w:rsid w:val="0073150A"/>
    <w:rsid w:val="00732463"/>
    <w:rsid w:val="00734F18"/>
    <w:rsid w:val="007351BA"/>
    <w:rsid w:val="00735508"/>
    <w:rsid w:val="007368FD"/>
    <w:rsid w:val="0073753E"/>
    <w:rsid w:val="00741864"/>
    <w:rsid w:val="007418D5"/>
    <w:rsid w:val="00741DD7"/>
    <w:rsid w:val="00742417"/>
    <w:rsid w:val="007459DF"/>
    <w:rsid w:val="00745A5B"/>
    <w:rsid w:val="00745E1A"/>
    <w:rsid w:val="00746527"/>
    <w:rsid w:val="007474F3"/>
    <w:rsid w:val="00747B21"/>
    <w:rsid w:val="00747F1A"/>
    <w:rsid w:val="00752809"/>
    <w:rsid w:val="0075532A"/>
    <w:rsid w:val="00757F72"/>
    <w:rsid w:val="007606CC"/>
    <w:rsid w:val="0076111C"/>
    <w:rsid w:val="007613CD"/>
    <w:rsid w:val="00762647"/>
    <w:rsid w:val="00762E5C"/>
    <w:rsid w:val="00764B7F"/>
    <w:rsid w:val="00765B4D"/>
    <w:rsid w:val="00766406"/>
    <w:rsid w:val="00766E04"/>
    <w:rsid w:val="00767CD4"/>
    <w:rsid w:val="0077094F"/>
    <w:rsid w:val="007709B6"/>
    <w:rsid w:val="00770C6A"/>
    <w:rsid w:val="007725C8"/>
    <w:rsid w:val="00772728"/>
    <w:rsid w:val="00773E51"/>
    <w:rsid w:val="00774209"/>
    <w:rsid w:val="00774441"/>
    <w:rsid w:val="00775039"/>
    <w:rsid w:val="00775B22"/>
    <w:rsid w:val="00776ADE"/>
    <w:rsid w:val="00777511"/>
    <w:rsid w:val="00780AB9"/>
    <w:rsid w:val="00782C76"/>
    <w:rsid w:val="00782F64"/>
    <w:rsid w:val="00784C71"/>
    <w:rsid w:val="0079098F"/>
    <w:rsid w:val="00790D34"/>
    <w:rsid w:val="007911CC"/>
    <w:rsid w:val="00791578"/>
    <w:rsid w:val="007926D6"/>
    <w:rsid w:val="0079282C"/>
    <w:rsid w:val="007929EF"/>
    <w:rsid w:val="0079471D"/>
    <w:rsid w:val="00794851"/>
    <w:rsid w:val="0079623B"/>
    <w:rsid w:val="00797C5A"/>
    <w:rsid w:val="007A2366"/>
    <w:rsid w:val="007A32C5"/>
    <w:rsid w:val="007A3482"/>
    <w:rsid w:val="007A3F2C"/>
    <w:rsid w:val="007A571A"/>
    <w:rsid w:val="007A5A13"/>
    <w:rsid w:val="007A6304"/>
    <w:rsid w:val="007A67F3"/>
    <w:rsid w:val="007A7F4E"/>
    <w:rsid w:val="007B00E3"/>
    <w:rsid w:val="007B0A96"/>
    <w:rsid w:val="007B4338"/>
    <w:rsid w:val="007B43AC"/>
    <w:rsid w:val="007B486D"/>
    <w:rsid w:val="007B50E1"/>
    <w:rsid w:val="007B5116"/>
    <w:rsid w:val="007B789D"/>
    <w:rsid w:val="007B7A7A"/>
    <w:rsid w:val="007C1393"/>
    <w:rsid w:val="007C4271"/>
    <w:rsid w:val="007C45B2"/>
    <w:rsid w:val="007C5EBB"/>
    <w:rsid w:val="007C61A6"/>
    <w:rsid w:val="007D0533"/>
    <w:rsid w:val="007D054D"/>
    <w:rsid w:val="007D086B"/>
    <w:rsid w:val="007D0EF6"/>
    <w:rsid w:val="007D10D7"/>
    <w:rsid w:val="007D141A"/>
    <w:rsid w:val="007D1BA8"/>
    <w:rsid w:val="007D1EB5"/>
    <w:rsid w:val="007D443F"/>
    <w:rsid w:val="007D4700"/>
    <w:rsid w:val="007D54B8"/>
    <w:rsid w:val="007D6B6D"/>
    <w:rsid w:val="007D7322"/>
    <w:rsid w:val="007D7848"/>
    <w:rsid w:val="007E0DE9"/>
    <w:rsid w:val="007E0E24"/>
    <w:rsid w:val="007E1245"/>
    <w:rsid w:val="007E383F"/>
    <w:rsid w:val="007E48AD"/>
    <w:rsid w:val="007E5B7F"/>
    <w:rsid w:val="007E5E16"/>
    <w:rsid w:val="007E66F6"/>
    <w:rsid w:val="007E73E2"/>
    <w:rsid w:val="007E762C"/>
    <w:rsid w:val="007F26E6"/>
    <w:rsid w:val="007F2729"/>
    <w:rsid w:val="007F536C"/>
    <w:rsid w:val="007F592F"/>
    <w:rsid w:val="007F7C69"/>
    <w:rsid w:val="007F7D5B"/>
    <w:rsid w:val="008005BE"/>
    <w:rsid w:val="00803DC4"/>
    <w:rsid w:val="00804572"/>
    <w:rsid w:val="00804A7C"/>
    <w:rsid w:val="00805227"/>
    <w:rsid w:val="00806441"/>
    <w:rsid w:val="008122CB"/>
    <w:rsid w:val="00813498"/>
    <w:rsid w:val="00815B99"/>
    <w:rsid w:val="008163F3"/>
    <w:rsid w:val="008165D0"/>
    <w:rsid w:val="008169AE"/>
    <w:rsid w:val="00816FB5"/>
    <w:rsid w:val="00817E20"/>
    <w:rsid w:val="0082010E"/>
    <w:rsid w:val="008208FF"/>
    <w:rsid w:val="008228AB"/>
    <w:rsid w:val="0082375B"/>
    <w:rsid w:val="00823BA0"/>
    <w:rsid w:val="00827930"/>
    <w:rsid w:val="00827D01"/>
    <w:rsid w:val="00832142"/>
    <w:rsid w:val="00833A8B"/>
    <w:rsid w:val="00833B3B"/>
    <w:rsid w:val="00834912"/>
    <w:rsid w:val="00834E0C"/>
    <w:rsid w:val="00836B79"/>
    <w:rsid w:val="008400D1"/>
    <w:rsid w:val="00840206"/>
    <w:rsid w:val="008409DC"/>
    <w:rsid w:val="00842C58"/>
    <w:rsid w:val="00842ED2"/>
    <w:rsid w:val="00843085"/>
    <w:rsid w:val="0084315C"/>
    <w:rsid w:val="00843EC0"/>
    <w:rsid w:val="00843F1C"/>
    <w:rsid w:val="00846858"/>
    <w:rsid w:val="00847105"/>
    <w:rsid w:val="00850822"/>
    <w:rsid w:val="0085160A"/>
    <w:rsid w:val="008516AC"/>
    <w:rsid w:val="00851B71"/>
    <w:rsid w:val="008523F5"/>
    <w:rsid w:val="008533D8"/>
    <w:rsid w:val="0085383B"/>
    <w:rsid w:val="00854C35"/>
    <w:rsid w:val="0086050B"/>
    <w:rsid w:val="0086143D"/>
    <w:rsid w:val="00861F1E"/>
    <w:rsid w:val="00862375"/>
    <w:rsid w:val="008637B6"/>
    <w:rsid w:val="0086521A"/>
    <w:rsid w:val="00865F66"/>
    <w:rsid w:val="00867287"/>
    <w:rsid w:val="008721D5"/>
    <w:rsid w:val="00872322"/>
    <w:rsid w:val="00872346"/>
    <w:rsid w:val="00872A03"/>
    <w:rsid w:val="00874758"/>
    <w:rsid w:val="00875261"/>
    <w:rsid w:val="00875B96"/>
    <w:rsid w:val="00876546"/>
    <w:rsid w:val="0088036D"/>
    <w:rsid w:val="00880672"/>
    <w:rsid w:val="00880852"/>
    <w:rsid w:val="0088087E"/>
    <w:rsid w:val="00881031"/>
    <w:rsid w:val="00885BF8"/>
    <w:rsid w:val="00885CE3"/>
    <w:rsid w:val="00886766"/>
    <w:rsid w:val="00886A78"/>
    <w:rsid w:val="00886F4B"/>
    <w:rsid w:val="008924A3"/>
    <w:rsid w:val="00895420"/>
    <w:rsid w:val="00895584"/>
    <w:rsid w:val="008968CA"/>
    <w:rsid w:val="00896F89"/>
    <w:rsid w:val="008A30DD"/>
    <w:rsid w:val="008A495C"/>
    <w:rsid w:val="008A5B27"/>
    <w:rsid w:val="008A5DC9"/>
    <w:rsid w:val="008A5ECC"/>
    <w:rsid w:val="008B0873"/>
    <w:rsid w:val="008B15D2"/>
    <w:rsid w:val="008B50A0"/>
    <w:rsid w:val="008B583F"/>
    <w:rsid w:val="008B7D26"/>
    <w:rsid w:val="008C00CA"/>
    <w:rsid w:val="008C09CD"/>
    <w:rsid w:val="008C1DB6"/>
    <w:rsid w:val="008C236B"/>
    <w:rsid w:val="008C3489"/>
    <w:rsid w:val="008C7494"/>
    <w:rsid w:val="008C787F"/>
    <w:rsid w:val="008C7974"/>
    <w:rsid w:val="008D0479"/>
    <w:rsid w:val="008D1BE4"/>
    <w:rsid w:val="008D2146"/>
    <w:rsid w:val="008D31B7"/>
    <w:rsid w:val="008D763C"/>
    <w:rsid w:val="008E0899"/>
    <w:rsid w:val="008E09FA"/>
    <w:rsid w:val="008E13FD"/>
    <w:rsid w:val="008E1664"/>
    <w:rsid w:val="008E1901"/>
    <w:rsid w:val="008E2557"/>
    <w:rsid w:val="008E3917"/>
    <w:rsid w:val="008E39FF"/>
    <w:rsid w:val="008E4A30"/>
    <w:rsid w:val="008E5B17"/>
    <w:rsid w:val="008E6517"/>
    <w:rsid w:val="008E6AA3"/>
    <w:rsid w:val="008E7BF0"/>
    <w:rsid w:val="008F1732"/>
    <w:rsid w:val="008F173D"/>
    <w:rsid w:val="008F3B47"/>
    <w:rsid w:val="008F4243"/>
    <w:rsid w:val="008F4273"/>
    <w:rsid w:val="008F4414"/>
    <w:rsid w:val="008F5354"/>
    <w:rsid w:val="008F5BCC"/>
    <w:rsid w:val="008F63E3"/>
    <w:rsid w:val="008F6E7D"/>
    <w:rsid w:val="008F736F"/>
    <w:rsid w:val="009001D6"/>
    <w:rsid w:val="009004CF"/>
    <w:rsid w:val="00901061"/>
    <w:rsid w:val="009010F0"/>
    <w:rsid w:val="00901AEB"/>
    <w:rsid w:val="0090295E"/>
    <w:rsid w:val="0090333C"/>
    <w:rsid w:val="00904008"/>
    <w:rsid w:val="009042FC"/>
    <w:rsid w:val="00906907"/>
    <w:rsid w:val="00911A02"/>
    <w:rsid w:val="00913636"/>
    <w:rsid w:val="00914221"/>
    <w:rsid w:val="00915794"/>
    <w:rsid w:val="00915F93"/>
    <w:rsid w:val="00916A08"/>
    <w:rsid w:val="00916CF9"/>
    <w:rsid w:val="009208EC"/>
    <w:rsid w:val="009229EF"/>
    <w:rsid w:val="00923C8C"/>
    <w:rsid w:val="0092452D"/>
    <w:rsid w:val="00924C8D"/>
    <w:rsid w:val="00925447"/>
    <w:rsid w:val="00926469"/>
    <w:rsid w:val="0092743A"/>
    <w:rsid w:val="00927FD3"/>
    <w:rsid w:val="00931633"/>
    <w:rsid w:val="0093191B"/>
    <w:rsid w:val="00932653"/>
    <w:rsid w:val="0093329D"/>
    <w:rsid w:val="009332EF"/>
    <w:rsid w:val="0093418F"/>
    <w:rsid w:val="00941BA2"/>
    <w:rsid w:val="009424CF"/>
    <w:rsid w:val="009430F2"/>
    <w:rsid w:val="009438B8"/>
    <w:rsid w:val="009479BE"/>
    <w:rsid w:val="009509B8"/>
    <w:rsid w:val="00950AEF"/>
    <w:rsid w:val="00951FD9"/>
    <w:rsid w:val="00952049"/>
    <w:rsid w:val="00953EF7"/>
    <w:rsid w:val="009549E6"/>
    <w:rsid w:val="009564E1"/>
    <w:rsid w:val="009568E7"/>
    <w:rsid w:val="0095690F"/>
    <w:rsid w:val="00956E19"/>
    <w:rsid w:val="00957AAD"/>
    <w:rsid w:val="0096512D"/>
    <w:rsid w:val="00965B30"/>
    <w:rsid w:val="009660CE"/>
    <w:rsid w:val="0096687E"/>
    <w:rsid w:val="009679FA"/>
    <w:rsid w:val="00967DDF"/>
    <w:rsid w:val="00967DFB"/>
    <w:rsid w:val="00970149"/>
    <w:rsid w:val="009715C4"/>
    <w:rsid w:val="009719AE"/>
    <w:rsid w:val="00972D93"/>
    <w:rsid w:val="00974E6E"/>
    <w:rsid w:val="00975ED8"/>
    <w:rsid w:val="00976672"/>
    <w:rsid w:val="009769A7"/>
    <w:rsid w:val="00976C07"/>
    <w:rsid w:val="00977BAF"/>
    <w:rsid w:val="009808FA"/>
    <w:rsid w:val="009838A0"/>
    <w:rsid w:val="00986A21"/>
    <w:rsid w:val="0098712A"/>
    <w:rsid w:val="009877B0"/>
    <w:rsid w:val="009903EF"/>
    <w:rsid w:val="00991634"/>
    <w:rsid w:val="00991BEB"/>
    <w:rsid w:val="00991DA9"/>
    <w:rsid w:val="00991E72"/>
    <w:rsid w:val="009921C6"/>
    <w:rsid w:val="00993619"/>
    <w:rsid w:val="00993A04"/>
    <w:rsid w:val="00995951"/>
    <w:rsid w:val="009977F9"/>
    <w:rsid w:val="00997874"/>
    <w:rsid w:val="009978B5"/>
    <w:rsid w:val="009A03B8"/>
    <w:rsid w:val="009A45E8"/>
    <w:rsid w:val="009A4974"/>
    <w:rsid w:val="009A5C19"/>
    <w:rsid w:val="009A6C27"/>
    <w:rsid w:val="009A7423"/>
    <w:rsid w:val="009A7E17"/>
    <w:rsid w:val="009A7E5C"/>
    <w:rsid w:val="009B06F1"/>
    <w:rsid w:val="009B090C"/>
    <w:rsid w:val="009B2028"/>
    <w:rsid w:val="009B2CBF"/>
    <w:rsid w:val="009B4558"/>
    <w:rsid w:val="009B5812"/>
    <w:rsid w:val="009B60B6"/>
    <w:rsid w:val="009B7038"/>
    <w:rsid w:val="009B787C"/>
    <w:rsid w:val="009B7936"/>
    <w:rsid w:val="009B7A3B"/>
    <w:rsid w:val="009C09AE"/>
    <w:rsid w:val="009C16FF"/>
    <w:rsid w:val="009C3727"/>
    <w:rsid w:val="009C42C5"/>
    <w:rsid w:val="009C5040"/>
    <w:rsid w:val="009C63D9"/>
    <w:rsid w:val="009C68D8"/>
    <w:rsid w:val="009C6F2D"/>
    <w:rsid w:val="009D1596"/>
    <w:rsid w:val="009D2AE3"/>
    <w:rsid w:val="009D3121"/>
    <w:rsid w:val="009D7A3A"/>
    <w:rsid w:val="009E18ED"/>
    <w:rsid w:val="009E28E0"/>
    <w:rsid w:val="009E34EF"/>
    <w:rsid w:val="009E585F"/>
    <w:rsid w:val="009E5B86"/>
    <w:rsid w:val="009E5D7F"/>
    <w:rsid w:val="009E6D99"/>
    <w:rsid w:val="009E6F61"/>
    <w:rsid w:val="009F11EF"/>
    <w:rsid w:val="009F2329"/>
    <w:rsid w:val="009F248E"/>
    <w:rsid w:val="009F4A64"/>
    <w:rsid w:val="00A01085"/>
    <w:rsid w:val="00A01177"/>
    <w:rsid w:val="00A01A8C"/>
    <w:rsid w:val="00A02042"/>
    <w:rsid w:val="00A028B5"/>
    <w:rsid w:val="00A070BC"/>
    <w:rsid w:val="00A07975"/>
    <w:rsid w:val="00A07B45"/>
    <w:rsid w:val="00A107D4"/>
    <w:rsid w:val="00A11843"/>
    <w:rsid w:val="00A12A42"/>
    <w:rsid w:val="00A1391B"/>
    <w:rsid w:val="00A13D75"/>
    <w:rsid w:val="00A13DD0"/>
    <w:rsid w:val="00A140A6"/>
    <w:rsid w:val="00A16261"/>
    <w:rsid w:val="00A16782"/>
    <w:rsid w:val="00A16FBE"/>
    <w:rsid w:val="00A20259"/>
    <w:rsid w:val="00A20D0B"/>
    <w:rsid w:val="00A20F61"/>
    <w:rsid w:val="00A21E1D"/>
    <w:rsid w:val="00A21E82"/>
    <w:rsid w:val="00A25713"/>
    <w:rsid w:val="00A25F67"/>
    <w:rsid w:val="00A265DD"/>
    <w:rsid w:val="00A2673C"/>
    <w:rsid w:val="00A2725A"/>
    <w:rsid w:val="00A30D7E"/>
    <w:rsid w:val="00A311D2"/>
    <w:rsid w:val="00A31FB1"/>
    <w:rsid w:val="00A325DC"/>
    <w:rsid w:val="00A33EBB"/>
    <w:rsid w:val="00A35281"/>
    <w:rsid w:val="00A3684C"/>
    <w:rsid w:val="00A36B00"/>
    <w:rsid w:val="00A37467"/>
    <w:rsid w:val="00A401FA"/>
    <w:rsid w:val="00A417A4"/>
    <w:rsid w:val="00A418CA"/>
    <w:rsid w:val="00A41DCD"/>
    <w:rsid w:val="00A41EF5"/>
    <w:rsid w:val="00A43872"/>
    <w:rsid w:val="00A44ED6"/>
    <w:rsid w:val="00A4520E"/>
    <w:rsid w:val="00A46CC6"/>
    <w:rsid w:val="00A50B63"/>
    <w:rsid w:val="00A52717"/>
    <w:rsid w:val="00A52791"/>
    <w:rsid w:val="00A54240"/>
    <w:rsid w:val="00A559E1"/>
    <w:rsid w:val="00A5664B"/>
    <w:rsid w:val="00A575D7"/>
    <w:rsid w:val="00A57DCD"/>
    <w:rsid w:val="00A57F45"/>
    <w:rsid w:val="00A616EA"/>
    <w:rsid w:val="00A61B74"/>
    <w:rsid w:val="00A6223B"/>
    <w:rsid w:val="00A62855"/>
    <w:rsid w:val="00A64281"/>
    <w:rsid w:val="00A6430F"/>
    <w:rsid w:val="00A65A52"/>
    <w:rsid w:val="00A66DD8"/>
    <w:rsid w:val="00A70027"/>
    <w:rsid w:val="00A729F0"/>
    <w:rsid w:val="00A74152"/>
    <w:rsid w:val="00A75781"/>
    <w:rsid w:val="00A765FB"/>
    <w:rsid w:val="00A80765"/>
    <w:rsid w:val="00A82256"/>
    <w:rsid w:val="00A82C78"/>
    <w:rsid w:val="00A82F9A"/>
    <w:rsid w:val="00A8303D"/>
    <w:rsid w:val="00A84634"/>
    <w:rsid w:val="00A85911"/>
    <w:rsid w:val="00A86B89"/>
    <w:rsid w:val="00A873D1"/>
    <w:rsid w:val="00A927A3"/>
    <w:rsid w:val="00A93749"/>
    <w:rsid w:val="00A93A7F"/>
    <w:rsid w:val="00A955C9"/>
    <w:rsid w:val="00A966B5"/>
    <w:rsid w:val="00A967F4"/>
    <w:rsid w:val="00A978BC"/>
    <w:rsid w:val="00A97E30"/>
    <w:rsid w:val="00AA084A"/>
    <w:rsid w:val="00AA2668"/>
    <w:rsid w:val="00AA28D9"/>
    <w:rsid w:val="00AA2F0E"/>
    <w:rsid w:val="00AA38BD"/>
    <w:rsid w:val="00AA537D"/>
    <w:rsid w:val="00AA6705"/>
    <w:rsid w:val="00AA6F1B"/>
    <w:rsid w:val="00AA7803"/>
    <w:rsid w:val="00AB18B3"/>
    <w:rsid w:val="00AB50A4"/>
    <w:rsid w:val="00AB54AC"/>
    <w:rsid w:val="00AB57BA"/>
    <w:rsid w:val="00AB5A37"/>
    <w:rsid w:val="00AB5A3D"/>
    <w:rsid w:val="00AB648A"/>
    <w:rsid w:val="00AB6B7C"/>
    <w:rsid w:val="00AB7476"/>
    <w:rsid w:val="00AC0874"/>
    <w:rsid w:val="00AC2C10"/>
    <w:rsid w:val="00AC3DE3"/>
    <w:rsid w:val="00AC4439"/>
    <w:rsid w:val="00AC5848"/>
    <w:rsid w:val="00AC5998"/>
    <w:rsid w:val="00AC6363"/>
    <w:rsid w:val="00AC71E2"/>
    <w:rsid w:val="00AC76A9"/>
    <w:rsid w:val="00AD01A0"/>
    <w:rsid w:val="00AD073E"/>
    <w:rsid w:val="00AD0BDC"/>
    <w:rsid w:val="00AD2366"/>
    <w:rsid w:val="00AD289F"/>
    <w:rsid w:val="00AD5B77"/>
    <w:rsid w:val="00AD5ECF"/>
    <w:rsid w:val="00AD601B"/>
    <w:rsid w:val="00AD7345"/>
    <w:rsid w:val="00AE1E87"/>
    <w:rsid w:val="00AE39A2"/>
    <w:rsid w:val="00AE3F52"/>
    <w:rsid w:val="00AE3FF9"/>
    <w:rsid w:val="00AE61B8"/>
    <w:rsid w:val="00AE64D7"/>
    <w:rsid w:val="00AE6C50"/>
    <w:rsid w:val="00AE72CE"/>
    <w:rsid w:val="00AF003A"/>
    <w:rsid w:val="00AF0D18"/>
    <w:rsid w:val="00AF1374"/>
    <w:rsid w:val="00AF1940"/>
    <w:rsid w:val="00AF328F"/>
    <w:rsid w:val="00AF5A95"/>
    <w:rsid w:val="00AF6346"/>
    <w:rsid w:val="00AF77F4"/>
    <w:rsid w:val="00B0008F"/>
    <w:rsid w:val="00B00506"/>
    <w:rsid w:val="00B0071E"/>
    <w:rsid w:val="00B019C5"/>
    <w:rsid w:val="00B01DAC"/>
    <w:rsid w:val="00B02DB2"/>
    <w:rsid w:val="00B03177"/>
    <w:rsid w:val="00B04277"/>
    <w:rsid w:val="00B04576"/>
    <w:rsid w:val="00B04C15"/>
    <w:rsid w:val="00B05189"/>
    <w:rsid w:val="00B060A9"/>
    <w:rsid w:val="00B071D2"/>
    <w:rsid w:val="00B11D8F"/>
    <w:rsid w:val="00B126B9"/>
    <w:rsid w:val="00B12BB5"/>
    <w:rsid w:val="00B14715"/>
    <w:rsid w:val="00B15382"/>
    <w:rsid w:val="00B15CA1"/>
    <w:rsid w:val="00B16A03"/>
    <w:rsid w:val="00B17077"/>
    <w:rsid w:val="00B17865"/>
    <w:rsid w:val="00B22417"/>
    <w:rsid w:val="00B23081"/>
    <w:rsid w:val="00B25592"/>
    <w:rsid w:val="00B267D0"/>
    <w:rsid w:val="00B301E3"/>
    <w:rsid w:val="00B3034C"/>
    <w:rsid w:val="00B3100C"/>
    <w:rsid w:val="00B31B24"/>
    <w:rsid w:val="00B33A23"/>
    <w:rsid w:val="00B358A3"/>
    <w:rsid w:val="00B377CA"/>
    <w:rsid w:val="00B37FB8"/>
    <w:rsid w:val="00B41487"/>
    <w:rsid w:val="00B433A8"/>
    <w:rsid w:val="00B43709"/>
    <w:rsid w:val="00B43EE2"/>
    <w:rsid w:val="00B4665E"/>
    <w:rsid w:val="00B47A12"/>
    <w:rsid w:val="00B515B2"/>
    <w:rsid w:val="00B51CCE"/>
    <w:rsid w:val="00B52222"/>
    <w:rsid w:val="00B53B77"/>
    <w:rsid w:val="00B53E0E"/>
    <w:rsid w:val="00B5400C"/>
    <w:rsid w:val="00B54620"/>
    <w:rsid w:val="00B56064"/>
    <w:rsid w:val="00B57517"/>
    <w:rsid w:val="00B5781A"/>
    <w:rsid w:val="00B60D4B"/>
    <w:rsid w:val="00B61064"/>
    <w:rsid w:val="00B61658"/>
    <w:rsid w:val="00B62130"/>
    <w:rsid w:val="00B62340"/>
    <w:rsid w:val="00B623F1"/>
    <w:rsid w:val="00B631BD"/>
    <w:rsid w:val="00B650A2"/>
    <w:rsid w:val="00B6748B"/>
    <w:rsid w:val="00B70D5F"/>
    <w:rsid w:val="00B70E82"/>
    <w:rsid w:val="00B70ED4"/>
    <w:rsid w:val="00B71457"/>
    <w:rsid w:val="00B714D8"/>
    <w:rsid w:val="00B71ED5"/>
    <w:rsid w:val="00B744D2"/>
    <w:rsid w:val="00B74B8B"/>
    <w:rsid w:val="00B7686E"/>
    <w:rsid w:val="00B77394"/>
    <w:rsid w:val="00B80A00"/>
    <w:rsid w:val="00B81BE4"/>
    <w:rsid w:val="00B8325C"/>
    <w:rsid w:val="00B8399E"/>
    <w:rsid w:val="00B83FA2"/>
    <w:rsid w:val="00B84186"/>
    <w:rsid w:val="00B86602"/>
    <w:rsid w:val="00B90755"/>
    <w:rsid w:val="00B916FB"/>
    <w:rsid w:val="00B9383C"/>
    <w:rsid w:val="00B94152"/>
    <w:rsid w:val="00B94740"/>
    <w:rsid w:val="00B95515"/>
    <w:rsid w:val="00B956A3"/>
    <w:rsid w:val="00B96F8E"/>
    <w:rsid w:val="00B97105"/>
    <w:rsid w:val="00B971C7"/>
    <w:rsid w:val="00B9744D"/>
    <w:rsid w:val="00BA02A7"/>
    <w:rsid w:val="00BA1C55"/>
    <w:rsid w:val="00BA1FFE"/>
    <w:rsid w:val="00BA2A84"/>
    <w:rsid w:val="00BA2AEA"/>
    <w:rsid w:val="00BA2F2F"/>
    <w:rsid w:val="00BA3D3A"/>
    <w:rsid w:val="00BA6416"/>
    <w:rsid w:val="00BA6ACB"/>
    <w:rsid w:val="00BB0CB2"/>
    <w:rsid w:val="00BB1889"/>
    <w:rsid w:val="00BB1D65"/>
    <w:rsid w:val="00BB26FB"/>
    <w:rsid w:val="00BB308C"/>
    <w:rsid w:val="00BB45A3"/>
    <w:rsid w:val="00BB5212"/>
    <w:rsid w:val="00BB6CF0"/>
    <w:rsid w:val="00BC0460"/>
    <w:rsid w:val="00BC0C3E"/>
    <w:rsid w:val="00BC0EE6"/>
    <w:rsid w:val="00BC11DC"/>
    <w:rsid w:val="00BC58F2"/>
    <w:rsid w:val="00BC59F1"/>
    <w:rsid w:val="00BD04DA"/>
    <w:rsid w:val="00BD201E"/>
    <w:rsid w:val="00BD467D"/>
    <w:rsid w:val="00BD5A96"/>
    <w:rsid w:val="00BD5CCA"/>
    <w:rsid w:val="00BD6CF3"/>
    <w:rsid w:val="00BD7983"/>
    <w:rsid w:val="00BD7FB6"/>
    <w:rsid w:val="00BE0431"/>
    <w:rsid w:val="00BE0C91"/>
    <w:rsid w:val="00BE2ACF"/>
    <w:rsid w:val="00BE40A0"/>
    <w:rsid w:val="00BE420A"/>
    <w:rsid w:val="00BE4320"/>
    <w:rsid w:val="00BE43D8"/>
    <w:rsid w:val="00BE5D41"/>
    <w:rsid w:val="00BE5DCF"/>
    <w:rsid w:val="00BE61E3"/>
    <w:rsid w:val="00BE6317"/>
    <w:rsid w:val="00BE728A"/>
    <w:rsid w:val="00BF1453"/>
    <w:rsid w:val="00BF2564"/>
    <w:rsid w:val="00BF431F"/>
    <w:rsid w:val="00BF71C6"/>
    <w:rsid w:val="00C00A50"/>
    <w:rsid w:val="00C017C3"/>
    <w:rsid w:val="00C025EB"/>
    <w:rsid w:val="00C03FC1"/>
    <w:rsid w:val="00C06E35"/>
    <w:rsid w:val="00C06FB1"/>
    <w:rsid w:val="00C10318"/>
    <w:rsid w:val="00C1263B"/>
    <w:rsid w:val="00C16993"/>
    <w:rsid w:val="00C17BA1"/>
    <w:rsid w:val="00C21435"/>
    <w:rsid w:val="00C22572"/>
    <w:rsid w:val="00C22AF5"/>
    <w:rsid w:val="00C23196"/>
    <w:rsid w:val="00C24B99"/>
    <w:rsid w:val="00C25E47"/>
    <w:rsid w:val="00C30567"/>
    <w:rsid w:val="00C30FE4"/>
    <w:rsid w:val="00C310FB"/>
    <w:rsid w:val="00C32425"/>
    <w:rsid w:val="00C32853"/>
    <w:rsid w:val="00C3635D"/>
    <w:rsid w:val="00C36887"/>
    <w:rsid w:val="00C37A70"/>
    <w:rsid w:val="00C401B9"/>
    <w:rsid w:val="00C41864"/>
    <w:rsid w:val="00C446A4"/>
    <w:rsid w:val="00C458C6"/>
    <w:rsid w:val="00C45989"/>
    <w:rsid w:val="00C46A4B"/>
    <w:rsid w:val="00C46A90"/>
    <w:rsid w:val="00C50445"/>
    <w:rsid w:val="00C542DF"/>
    <w:rsid w:val="00C54F29"/>
    <w:rsid w:val="00C553E0"/>
    <w:rsid w:val="00C55E4D"/>
    <w:rsid w:val="00C5738B"/>
    <w:rsid w:val="00C61706"/>
    <w:rsid w:val="00C6180D"/>
    <w:rsid w:val="00C625BC"/>
    <w:rsid w:val="00C6301B"/>
    <w:rsid w:val="00C642B8"/>
    <w:rsid w:val="00C649C8"/>
    <w:rsid w:val="00C64B8E"/>
    <w:rsid w:val="00C65065"/>
    <w:rsid w:val="00C654C3"/>
    <w:rsid w:val="00C65C62"/>
    <w:rsid w:val="00C65D84"/>
    <w:rsid w:val="00C66BD8"/>
    <w:rsid w:val="00C66D44"/>
    <w:rsid w:val="00C6796D"/>
    <w:rsid w:val="00C7025B"/>
    <w:rsid w:val="00C70294"/>
    <w:rsid w:val="00C7064D"/>
    <w:rsid w:val="00C70D8E"/>
    <w:rsid w:val="00C72678"/>
    <w:rsid w:val="00C73A0E"/>
    <w:rsid w:val="00C741A1"/>
    <w:rsid w:val="00C754B3"/>
    <w:rsid w:val="00C76BF3"/>
    <w:rsid w:val="00C77F7F"/>
    <w:rsid w:val="00C80856"/>
    <w:rsid w:val="00C80BC6"/>
    <w:rsid w:val="00C80F99"/>
    <w:rsid w:val="00C82E3B"/>
    <w:rsid w:val="00C8494C"/>
    <w:rsid w:val="00C85795"/>
    <w:rsid w:val="00C860A5"/>
    <w:rsid w:val="00C86FE7"/>
    <w:rsid w:val="00C8781D"/>
    <w:rsid w:val="00C90ACE"/>
    <w:rsid w:val="00C92056"/>
    <w:rsid w:val="00C9295F"/>
    <w:rsid w:val="00C937F0"/>
    <w:rsid w:val="00C94E9B"/>
    <w:rsid w:val="00C94E9D"/>
    <w:rsid w:val="00C9697D"/>
    <w:rsid w:val="00C96E91"/>
    <w:rsid w:val="00C9733F"/>
    <w:rsid w:val="00CA17A0"/>
    <w:rsid w:val="00CA4DED"/>
    <w:rsid w:val="00CA4FCF"/>
    <w:rsid w:val="00CA63E8"/>
    <w:rsid w:val="00CA6E7A"/>
    <w:rsid w:val="00CA7272"/>
    <w:rsid w:val="00CA72F5"/>
    <w:rsid w:val="00CB1005"/>
    <w:rsid w:val="00CB1818"/>
    <w:rsid w:val="00CB3E2E"/>
    <w:rsid w:val="00CB3E4E"/>
    <w:rsid w:val="00CB4071"/>
    <w:rsid w:val="00CB4C4F"/>
    <w:rsid w:val="00CB50CF"/>
    <w:rsid w:val="00CB604F"/>
    <w:rsid w:val="00CB6248"/>
    <w:rsid w:val="00CB63B2"/>
    <w:rsid w:val="00CB6871"/>
    <w:rsid w:val="00CB69E7"/>
    <w:rsid w:val="00CB7623"/>
    <w:rsid w:val="00CB7D51"/>
    <w:rsid w:val="00CC1288"/>
    <w:rsid w:val="00CC1A0A"/>
    <w:rsid w:val="00CC4933"/>
    <w:rsid w:val="00CC4A8A"/>
    <w:rsid w:val="00CC4CEA"/>
    <w:rsid w:val="00CC61BF"/>
    <w:rsid w:val="00CC7826"/>
    <w:rsid w:val="00CC7CB4"/>
    <w:rsid w:val="00CD377D"/>
    <w:rsid w:val="00CD6EA0"/>
    <w:rsid w:val="00CD75FE"/>
    <w:rsid w:val="00CE7BAA"/>
    <w:rsid w:val="00CF083E"/>
    <w:rsid w:val="00CF1D86"/>
    <w:rsid w:val="00CF2C29"/>
    <w:rsid w:val="00CF300C"/>
    <w:rsid w:val="00CF5053"/>
    <w:rsid w:val="00CF55E3"/>
    <w:rsid w:val="00D01346"/>
    <w:rsid w:val="00D020A2"/>
    <w:rsid w:val="00D03465"/>
    <w:rsid w:val="00D044C0"/>
    <w:rsid w:val="00D0538E"/>
    <w:rsid w:val="00D053EF"/>
    <w:rsid w:val="00D0594B"/>
    <w:rsid w:val="00D123A4"/>
    <w:rsid w:val="00D12956"/>
    <w:rsid w:val="00D13F41"/>
    <w:rsid w:val="00D14732"/>
    <w:rsid w:val="00D15550"/>
    <w:rsid w:val="00D157B6"/>
    <w:rsid w:val="00D15B52"/>
    <w:rsid w:val="00D16DFE"/>
    <w:rsid w:val="00D17316"/>
    <w:rsid w:val="00D1736A"/>
    <w:rsid w:val="00D17858"/>
    <w:rsid w:val="00D20318"/>
    <w:rsid w:val="00D20753"/>
    <w:rsid w:val="00D20FE2"/>
    <w:rsid w:val="00D215C7"/>
    <w:rsid w:val="00D21958"/>
    <w:rsid w:val="00D21E92"/>
    <w:rsid w:val="00D237CE"/>
    <w:rsid w:val="00D23931"/>
    <w:rsid w:val="00D243D2"/>
    <w:rsid w:val="00D245E1"/>
    <w:rsid w:val="00D25327"/>
    <w:rsid w:val="00D25636"/>
    <w:rsid w:val="00D2651D"/>
    <w:rsid w:val="00D27687"/>
    <w:rsid w:val="00D303AC"/>
    <w:rsid w:val="00D30F71"/>
    <w:rsid w:val="00D31007"/>
    <w:rsid w:val="00D3154F"/>
    <w:rsid w:val="00D32469"/>
    <w:rsid w:val="00D333C8"/>
    <w:rsid w:val="00D34281"/>
    <w:rsid w:val="00D3502D"/>
    <w:rsid w:val="00D36CAE"/>
    <w:rsid w:val="00D40947"/>
    <w:rsid w:val="00D41739"/>
    <w:rsid w:val="00D42506"/>
    <w:rsid w:val="00D42B3A"/>
    <w:rsid w:val="00D461AE"/>
    <w:rsid w:val="00D478DC"/>
    <w:rsid w:val="00D47B37"/>
    <w:rsid w:val="00D50143"/>
    <w:rsid w:val="00D51BB0"/>
    <w:rsid w:val="00D568A8"/>
    <w:rsid w:val="00D57CC6"/>
    <w:rsid w:val="00D6049A"/>
    <w:rsid w:val="00D6506D"/>
    <w:rsid w:val="00D65954"/>
    <w:rsid w:val="00D6720C"/>
    <w:rsid w:val="00D70B6D"/>
    <w:rsid w:val="00D71A60"/>
    <w:rsid w:val="00D71E1F"/>
    <w:rsid w:val="00D73B92"/>
    <w:rsid w:val="00D73FDF"/>
    <w:rsid w:val="00D7452B"/>
    <w:rsid w:val="00D74EDC"/>
    <w:rsid w:val="00D7550E"/>
    <w:rsid w:val="00D755F1"/>
    <w:rsid w:val="00D761CE"/>
    <w:rsid w:val="00D77783"/>
    <w:rsid w:val="00D8138D"/>
    <w:rsid w:val="00D82FCC"/>
    <w:rsid w:val="00D84620"/>
    <w:rsid w:val="00D85FCB"/>
    <w:rsid w:val="00D91052"/>
    <w:rsid w:val="00D915BE"/>
    <w:rsid w:val="00D91D0B"/>
    <w:rsid w:val="00D92683"/>
    <w:rsid w:val="00D9288C"/>
    <w:rsid w:val="00D94820"/>
    <w:rsid w:val="00D96BF8"/>
    <w:rsid w:val="00D97E03"/>
    <w:rsid w:val="00DA05BF"/>
    <w:rsid w:val="00DA16AB"/>
    <w:rsid w:val="00DA17FB"/>
    <w:rsid w:val="00DA2174"/>
    <w:rsid w:val="00DA386F"/>
    <w:rsid w:val="00DA433E"/>
    <w:rsid w:val="00DA512B"/>
    <w:rsid w:val="00DA53AB"/>
    <w:rsid w:val="00DA5FEB"/>
    <w:rsid w:val="00DA65B9"/>
    <w:rsid w:val="00DA66D8"/>
    <w:rsid w:val="00DA7447"/>
    <w:rsid w:val="00DA756F"/>
    <w:rsid w:val="00DA75BF"/>
    <w:rsid w:val="00DB1E70"/>
    <w:rsid w:val="00DB2469"/>
    <w:rsid w:val="00DB248F"/>
    <w:rsid w:val="00DB2A19"/>
    <w:rsid w:val="00DB49E5"/>
    <w:rsid w:val="00DB7089"/>
    <w:rsid w:val="00DB7EA7"/>
    <w:rsid w:val="00DC089F"/>
    <w:rsid w:val="00DC1211"/>
    <w:rsid w:val="00DC1E47"/>
    <w:rsid w:val="00DC1EB3"/>
    <w:rsid w:val="00DC275C"/>
    <w:rsid w:val="00DC313D"/>
    <w:rsid w:val="00DC36BB"/>
    <w:rsid w:val="00DC411E"/>
    <w:rsid w:val="00DC6291"/>
    <w:rsid w:val="00DC6A00"/>
    <w:rsid w:val="00DC6CCE"/>
    <w:rsid w:val="00DD0ABD"/>
    <w:rsid w:val="00DD2C0D"/>
    <w:rsid w:val="00DD2E5C"/>
    <w:rsid w:val="00DD37B1"/>
    <w:rsid w:val="00DD37BF"/>
    <w:rsid w:val="00DD6C73"/>
    <w:rsid w:val="00DE04A5"/>
    <w:rsid w:val="00DE273B"/>
    <w:rsid w:val="00DE4091"/>
    <w:rsid w:val="00DE43D2"/>
    <w:rsid w:val="00DE586F"/>
    <w:rsid w:val="00DE5FE3"/>
    <w:rsid w:val="00DE6BAE"/>
    <w:rsid w:val="00DF1FC5"/>
    <w:rsid w:val="00DF3F3F"/>
    <w:rsid w:val="00DF479A"/>
    <w:rsid w:val="00DF534A"/>
    <w:rsid w:val="00DF5A02"/>
    <w:rsid w:val="00DF5FEA"/>
    <w:rsid w:val="00DF6B23"/>
    <w:rsid w:val="00DF7353"/>
    <w:rsid w:val="00DF7AC2"/>
    <w:rsid w:val="00E01739"/>
    <w:rsid w:val="00E01BE4"/>
    <w:rsid w:val="00E022A1"/>
    <w:rsid w:val="00E022DB"/>
    <w:rsid w:val="00E02BE1"/>
    <w:rsid w:val="00E03E05"/>
    <w:rsid w:val="00E04537"/>
    <w:rsid w:val="00E07C68"/>
    <w:rsid w:val="00E12718"/>
    <w:rsid w:val="00E143F8"/>
    <w:rsid w:val="00E14B42"/>
    <w:rsid w:val="00E1561D"/>
    <w:rsid w:val="00E167A9"/>
    <w:rsid w:val="00E2297D"/>
    <w:rsid w:val="00E231E4"/>
    <w:rsid w:val="00E23EB5"/>
    <w:rsid w:val="00E240F8"/>
    <w:rsid w:val="00E24583"/>
    <w:rsid w:val="00E252D9"/>
    <w:rsid w:val="00E269B1"/>
    <w:rsid w:val="00E26DB9"/>
    <w:rsid w:val="00E2738A"/>
    <w:rsid w:val="00E31251"/>
    <w:rsid w:val="00E31287"/>
    <w:rsid w:val="00E31492"/>
    <w:rsid w:val="00E32AB8"/>
    <w:rsid w:val="00E3521B"/>
    <w:rsid w:val="00E35C91"/>
    <w:rsid w:val="00E35DC4"/>
    <w:rsid w:val="00E36304"/>
    <w:rsid w:val="00E3766A"/>
    <w:rsid w:val="00E378D9"/>
    <w:rsid w:val="00E41FCF"/>
    <w:rsid w:val="00E42304"/>
    <w:rsid w:val="00E428A0"/>
    <w:rsid w:val="00E43358"/>
    <w:rsid w:val="00E44105"/>
    <w:rsid w:val="00E448F4"/>
    <w:rsid w:val="00E45CCC"/>
    <w:rsid w:val="00E45D33"/>
    <w:rsid w:val="00E46531"/>
    <w:rsid w:val="00E509C2"/>
    <w:rsid w:val="00E5190D"/>
    <w:rsid w:val="00E525FB"/>
    <w:rsid w:val="00E52F4F"/>
    <w:rsid w:val="00E53A45"/>
    <w:rsid w:val="00E540F0"/>
    <w:rsid w:val="00E54AC6"/>
    <w:rsid w:val="00E60DF5"/>
    <w:rsid w:val="00E61628"/>
    <w:rsid w:val="00E6249A"/>
    <w:rsid w:val="00E63ADA"/>
    <w:rsid w:val="00E63BE5"/>
    <w:rsid w:val="00E64B8D"/>
    <w:rsid w:val="00E66292"/>
    <w:rsid w:val="00E66A95"/>
    <w:rsid w:val="00E67BF2"/>
    <w:rsid w:val="00E67E32"/>
    <w:rsid w:val="00E7056C"/>
    <w:rsid w:val="00E70F66"/>
    <w:rsid w:val="00E72D2F"/>
    <w:rsid w:val="00E746D2"/>
    <w:rsid w:val="00E750B4"/>
    <w:rsid w:val="00E755B5"/>
    <w:rsid w:val="00E7645D"/>
    <w:rsid w:val="00E7654B"/>
    <w:rsid w:val="00E76C87"/>
    <w:rsid w:val="00E77075"/>
    <w:rsid w:val="00E77B97"/>
    <w:rsid w:val="00E80976"/>
    <w:rsid w:val="00E81325"/>
    <w:rsid w:val="00E81504"/>
    <w:rsid w:val="00E821C3"/>
    <w:rsid w:val="00E82B91"/>
    <w:rsid w:val="00E8506C"/>
    <w:rsid w:val="00E8628F"/>
    <w:rsid w:val="00E86367"/>
    <w:rsid w:val="00E864F6"/>
    <w:rsid w:val="00E86708"/>
    <w:rsid w:val="00E90BFE"/>
    <w:rsid w:val="00E93604"/>
    <w:rsid w:val="00E95D77"/>
    <w:rsid w:val="00EA148E"/>
    <w:rsid w:val="00EA1E93"/>
    <w:rsid w:val="00EA28D7"/>
    <w:rsid w:val="00EA52B0"/>
    <w:rsid w:val="00EB0B90"/>
    <w:rsid w:val="00EB0DEC"/>
    <w:rsid w:val="00EB0F84"/>
    <w:rsid w:val="00EB1285"/>
    <w:rsid w:val="00EB2186"/>
    <w:rsid w:val="00EB2A04"/>
    <w:rsid w:val="00EB3354"/>
    <w:rsid w:val="00EB3371"/>
    <w:rsid w:val="00EB47BC"/>
    <w:rsid w:val="00EB4D99"/>
    <w:rsid w:val="00EB5645"/>
    <w:rsid w:val="00EB6E81"/>
    <w:rsid w:val="00EB747F"/>
    <w:rsid w:val="00EB7DC6"/>
    <w:rsid w:val="00EB7E50"/>
    <w:rsid w:val="00EC111F"/>
    <w:rsid w:val="00EC1C7C"/>
    <w:rsid w:val="00EC3063"/>
    <w:rsid w:val="00EC32E6"/>
    <w:rsid w:val="00EC3C2E"/>
    <w:rsid w:val="00EC4F29"/>
    <w:rsid w:val="00EC576D"/>
    <w:rsid w:val="00EC5E55"/>
    <w:rsid w:val="00ED045F"/>
    <w:rsid w:val="00ED06F3"/>
    <w:rsid w:val="00ED0712"/>
    <w:rsid w:val="00ED086A"/>
    <w:rsid w:val="00ED28C2"/>
    <w:rsid w:val="00ED2E6C"/>
    <w:rsid w:val="00ED4DF7"/>
    <w:rsid w:val="00ED63FC"/>
    <w:rsid w:val="00ED7CD1"/>
    <w:rsid w:val="00EE09C4"/>
    <w:rsid w:val="00EE2989"/>
    <w:rsid w:val="00EE3393"/>
    <w:rsid w:val="00EE6E62"/>
    <w:rsid w:val="00EE7D06"/>
    <w:rsid w:val="00EF2BDB"/>
    <w:rsid w:val="00EF377C"/>
    <w:rsid w:val="00EF38A5"/>
    <w:rsid w:val="00EF3DDD"/>
    <w:rsid w:val="00EF6211"/>
    <w:rsid w:val="00EF66C0"/>
    <w:rsid w:val="00F00D73"/>
    <w:rsid w:val="00F0183C"/>
    <w:rsid w:val="00F01A69"/>
    <w:rsid w:val="00F01BD4"/>
    <w:rsid w:val="00F023A2"/>
    <w:rsid w:val="00F0366A"/>
    <w:rsid w:val="00F04388"/>
    <w:rsid w:val="00F0448C"/>
    <w:rsid w:val="00F056ED"/>
    <w:rsid w:val="00F05ED1"/>
    <w:rsid w:val="00F0658F"/>
    <w:rsid w:val="00F065DE"/>
    <w:rsid w:val="00F06AD4"/>
    <w:rsid w:val="00F06E69"/>
    <w:rsid w:val="00F07460"/>
    <w:rsid w:val="00F102A5"/>
    <w:rsid w:val="00F1122E"/>
    <w:rsid w:val="00F120A0"/>
    <w:rsid w:val="00F12951"/>
    <w:rsid w:val="00F13227"/>
    <w:rsid w:val="00F1563C"/>
    <w:rsid w:val="00F16130"/>
    <w:rsid w:val="00F16276"/>
    <w:rsid w:val="00F223EE"/>
    <w:rsid w:val="00F22B0A"/>
    <w:rsid w:val="00F23AA7"/>
    <w:rsid w:val="00F2410B"/>
    <w:rsid w:val="00F24966"/>
    <w:rsid w:val="00F24AF6"/>
    <w:rsid w:val="00F257BA"/>
    <w:rsid w:val="00F26772"/>
    <w:rsid w:val="00F314C2"/>
    <w:rsid w:val="00F32589"/>
    <w:rsid w:val="00F32ABE"/>
    <w:rsid w:val="00F354EF"/>
    <w:rsid w:val="00F41CE8"/>
    <w:rsid w:val="00F42C10"/>
    <w:rsid w:val="00F432A0"/>
    <w:rsid w:val="00F43AA6"/>
    <w:rsid w:val="00F446BE"/>
    <w:rsid w:val="00F4495D"/>
    <w:rsid w:val="00F44DC3"/>
    <w:rsid w:val="00F46AFD"/>
    <w:rsid w:val="00F5051A"/>
    <w:rsid w:val="00F50D00"/>
    <w:rsid w:val="00F51BBA"/>
    <w:rsid w:val="00F52744"/>
    <w:rsid w:val="00F5374F"/>
    <w:rsid w:val="00F54DA1"/>
    <w:rsid w:val="00F5602A"/>
    <w:rsid w:val="00F5622B"/>
    <w:rsid w:val="00F56625"/>
    <w:rsid w:val="00F5725A"/>
    <w:rsid w:val="00F61E63"/>
    <w:rsid w:val="00F61F5D"/>
    <w:rsid w:val="00F64315"/>
    <w:rsid w:val="00F651CA"/>
    <w:rsid w:val="00F65235"/>
    <w:rsid w:val="00F70B05"/>
    <w:rsid w:val="00F7138E"/>
    <w:rsid w:val="00F7150C"/>
    <w:rsid w:val="00F71C39"/>
    <w:rsid w:val="00F7265D"/>
    <w:rsid w:val="00F73BFB"/>
    <w:rsid w:val="00F7418D"/>
    <w:rsid w:val="00F74250"/>
    <w:rsid w:val="00F80598"/>
    <w:rsid w:val="00F80A14"/>
    <w:rsid w:val="00F80D36"/>
    <w:rsid w:val="00F82012"/>
    <w:rsid w:val="00F82F72"/>
    <w:rsid w:val="00F83619"/>
    <w:rsid w:val="00F83A55"/>
    <w:rsid w:val="00F860BB"/>
    <w:rsid w:val="00F86DED"/>
    <w:rsid w:val="00F871B1"/>
    <w:rsid w:val="00F87C02"/>
    <w:rsid w:val="00F90AE8"/>
    <w:rsid w:val="00F90D79"/>
    <w:rsid w:val="00F90FFE"/>
    <w:rsid w:val="00F9496D"/>
    <w:rsid w:val="00F95623"/>
    <w:rsid w:val="00F97330"/>
    <w:rsid w:val="00F97E31"/>
    <w:rsid w:val="00FA03B4"/>
    <w:rsid w:val="00FA0848"/>
    <w:rsid w:val="00FA2B8C"/>
    <w:rsid w:val="00FA3EDD"/>
    <w:rsid w:val="00FA4DF4"/>
    <w:rsid w:val="00FA55FF"/>
    <w:rsid w:val="00FA64F1"/>
    <w:rsid w:val="00FA6FFA"/>
    <w:rsid w:val="00FA775E"/>
    <w:rsid w:val="00FB1450"/>
    <w:rsid w:val="00FB14E7"/>
    <w:rsid w:val="00FB2E4D"/>
    <w:rsid w:val="00FB3D51"/>
    <w:rsid w:val="00FB5D1C"/>
    <w:rsid w:val="00FB7050"/>
    <w:rsid w:val="00FB7A65"/>
    <w:rsid w:val="00FB7C24"/>
    <w:rsid w:val="00FC01F2"/>
    <w:rsid w:val="00FC1DD7"/>
    <w:rsid w:val="00FC3177"/>
    <w:rsid w:val="00FC630C"/>
    <w:rsid w:val="00FD155C"/>
    <w:rsid w:val="00FD1969"/>
    <w:rsid w:val="00FD2B08"/>
    <w:rsid w:val="00FD3E09"/>
    <w:rsid w:val="00FD5737"/>
    <w:rsid w:val="00FD5942"/>
    <w:rsid w:val="00FD5EAE"/>
    <w:rsid w:val="00FE0492"/>
    <w:rsid w:val="00FE0A62"/>
    <w:rsid w:val="00FE2695"/>
    <w:rsid w:val="00FE49FA"/>
    <w:rsid w:val="00FE4AEE"/>
    <w:rsid w:val="00FE7F3A"/>
    <w:rsid w:val="00FF10AA"/>
    <w:rsid w:val="00FF1EC6"/>
    <w:rsid w:val="00FF2557"/>
    <w:rsid w:val="00FF3171"/>
    <w:rsid w:val="00FF3865"/>
    <w:rsid w:val="00FF5116"/>
    <w:rsid w:val="00FF67EC"/>
    <w:rsid w:val="00FF6952"/>
    <w:rsid w:val="00FF6C91"/>
    <w:rsid w:val="01133EA7"/>
    <w:rsid w:val="011C5C9E"/>
    <w:rsid w:val="01290AB8"/>
    <w:rsid w:val="019A3FBF"/>
    <w:rsid w:val="019B195C"/>
    <w:rsid w:val="01A25353"/>
    <w:rsid w:val="020E14CE"/>
    <w:rsid w:val="02487046"/>
    <w:rsid w:val="027D1A41"/>
    <w:rsid w:val="028325F8"/>
    <w:rsid w:val="029956ED"/>
    <w:rsid w:val="02BA7230"/>
    <w:rsid w:val="02C83CE2"/>
    <w:rsid w:val="02E52B53"/>
    <w:rsid w:val="03073AAD"/>
    <w:rsid w:val="031533E6"/>
    <w:rsid w:val="033A191A"/>
    <w:rsid w:val="033F374F"/>
    <w:rsid w:val="034959EB"/>
    <w:rsid w:val="039A6118"/>
    <w:rsid w:val="03CA0376"/>
    <w:rsid w:val="049461B1"/>
    <w:rsid w:val="049F1D3B"/>
    <w:rsid w:val="05845DD2"/>
    <w:rsid w:val="05885B54"/>
    <w:rsid w:val="06B9773D"/>
    <w:rsid w:val="07096A5A"/>
    <w:rsid w:val="07217A87"/>
    <w:rsid w:val="072F2372"/>
    <w:rsid w:val="0768607A"/>
    <w:rsid w:val="079860ED"/>
    <w:rsid w:val="07CF54F5"/>
    <w:rsid w:val="08474F39"/>
    <w:rsid w:val="085279B2"/>
    <w:rsid w:val="08D769E8"/>
    <w:rsid w:val="09D66DEC"/>
    <w:rsid w:val="0A0A2EDA"/>
    <w:rsid w:val="0A1B1240"/>
    <w:rsid w:val="0A5E12CB"/>
    <w:rsid w:val="0A775721"/>
    <w:rsid w:val="0AA15C92"/>
    <w:rsid w:val="0AD741AA"/>
    <w:rsid w:val="0B434696"/>
    <w:rsid w:val="0CA7326B"/>
    <w:rsid w:val="0D121DCA"/>
    <w:rsid w:val="0D58504D"/>
    <w:rsid w:val="0DFA6BC8"/>
    <w:rsid w:val="0E675005"/>
    <w:rsid w:val="0E7072E2"/>
    <w:rsid w:val="0EB7464D"/>
    <w:rsid w:val="0ECF6145"/>
    <w:rsid w:val="0ED84197"/>
    <w:rsid w:val="0EE51614"/>
    <w:rsid w:val="0F573D18"/>
    <w:rsid w:val="0F883432"/>
    <w:rsid w:val="0FA03FA9"/>
    <w:rsid w:val="0FB92B4D"/>
    <w:rsid w:val="0FC2595B"/>
    <w:rsid w:val="10636C17"/>
    <w:rsid w:val="10676674"/>
    <w:rsid w:val="10F7616E"/>
    <w:rsid w:val="110436BA"/>
    <w:rsid w:val="110E038A"/>
    <w:rsid w:val="116B13D4"/>
    <w:rsid w:val="11CF1909"/>
    <w:rsid w:val="1206262D"/>
    <w:rsid w:val="12332142"/>
    <w:rsid w:val="12DD425C"/>
    <w:rsid w:val="13CA4502"/>
    <w:rsid w:val="13D41181"/>
    <w:rsid w:val="13EE4063"/>
    <w:rsid w:val="14552007"/>
    <w:rsid w:val="145D6356"/>
    <w:rsid w:val="14872CDF"/>
    <w:rsid w:val="14B17D3F"/>
    <w:rsid w:val="14C63E3F"/>
    <w:rsid w:val="15310834"/>
    <w:rsid w:val="15391A50"/>
    <w:rsid w:val="1564016D"/>
    <w:rsid w:val="156A34CC"/>
    <w:rsid w:val="15E10B85"/>
    <w:rsid w:val="16B8583D"/>
    <w:rsid w:val="16DB365F"/>
    <w:rsid w:val="17C94055"/>
    <w:rsid w:val="17D462F8"/>
    <w:rsid w:val="17DB0E13"/>
    <w:rsid w:val="18212725"/>
    <w:rsid w:val="1850710C"/>
    <w:rsid w:val="19534AC4"/>
    <w:rsid w:val="19CA0CB5"/>
    <w:rsid w:val="1AE45000"/>
    <w:rsid w:val="1AF04BDC"/>
    <w:rsid w:val="1B4C38B2"/>
    <w:rsid w:val="1B901A03"/>
    <w:rsid w:val="1BA95F99"/>
    <w:rsid w:val="1BD87769"/>
    <w:rsid w:val="1C1B7E5B"/>
    <w:rsid w:val="1C2A5637"/>
    <w:rsid w:val="1D1D399E"/>
    <w:rsid w:val="1D7B1F97"/>
    <w:rsid w:val="1E1D4616"/>
    <w:rsid w:val="1E2131F2"/>
    <w:rsid w:val="1E4E6B2C"/>
    <w:rsid w:val="1E965993"/>
    <w:rsid w:val="1EF10434"/>
    <w:rsid w:val="200A72D6"/>
    <w:rsid w:val="200B0D31"/>
    <w:rsid w:val="200D7D77"/>
    <w:rsid w:val="20310738"/>
    <w:rsid w:val="203318A4"/>
    <w:rsid w:val="20684D4F"/>
    <w:rsid w:val="20DC12FB"/>
    <w:rsid w:val="21305246"/>
    <w:rsid w:val="21D55579"/>
    <w:rsid w:val="224763C3"/>
    <w:rsid w:val="229F603C"/>
    <w:rsid w:val="22F03CE6"/>
    <w:rsid w:val="234D25F6"/>
    <w:rsid w:val="235143C0"/>
    <w:rsid w:val="236C7B3C"/>
    <w:rsid w:val="239B617D"/>
    <w:rsid w:val="23AB33C0"/>
    <w:rsid w:val="246B054F"/>
    <w:rsid w:val="24834A8F"/>
    <w:rsid w:val="24AF2113"/>
    <w:rsid w:val="258A78B6"/>
    <w:rsid w:val="2597309D"/>
    <w:rsid w:val="25FE6124"/>
    <w:rsid w:val="26862BA9"/>
    <w:rsid w:val="26984681"/>
    <w:rsid w:val="26C073FB"/>
    <w:rsid w:val="26F75D2F"/>
    <w:rsid w:val="2708173D"/>
    <w:rsid w:val="275C65A5"/>
    <w:rsid w:val="276526D2"/>
    <w:rsid w:val="276A1E4B"/>
    <w:rsid w:val="27B77867"/>
    <w:rsid w:val="28123C3E"/>
    <w:rsid w:val="28A97178"/>
    <w:rsid w:val="28B1756C"/>
    <w:rsid w:val="28DD7643"/>
    <w:rsid w:val="292468C6"/>
    <w:rsid w:val="29814BC5"/>
    <w:rsid w:val="2A7B1C6B"/>
    <w:rsid w:val="2B140BA2"/>
    <w:rsid w:val="2BC462FE"/>
    <w:rsid w:val="2BEF471C"/>
    <w:rsid w:val="2C163750"/>
    <w:rsid w:val="2C677F8C"/>
    <w:rsid w:val="2D2C69C3"/>
    <w:rsid w:val="2D84700F"/>
    <w:rsid w:val="2E3621E7"/>
    <w:rsid w:val="2E3B1C5C"/>
    <w:rsid w:val="2E530E1C"/>
    <w:rsid w:val="2E6600D5"/>
    <w:rsid w:val="2F3548E7"/>
    <w:rsid w:val="2F805F8D"/>
    <w:rsid w:val="2FEF4963"/>
    <w:rsid w:val="307C5A3D"/>
    <w:rsid w:val="30B5282C"/>
    <w:rsid w:val="30BA49AC"/>
    <w:rsid w:val="30E15F5D"/>
    <w:rsid w:val="30FC215A"/>
    <w:rsid w:val="31C20025"/>
    <w:rsid w:val="32056696"/>
    <w:rsid w:val="32405813"/>
    <w:rsid w:val="324E689D"/>
    <w:rsid w:val="32C83317"/>
    <w:rsid w:val="32C8331E"/>
    <w:rsid w:val="3313556E"/>
    <w:rsid w:val="335473EA"/>
    <w:rsid w:val="33C85BD9"/>
    <w:rsid w:val="33FF5222"/>
    <w:rsid w:val="342055FD"/>
    <w:rsid w:val="3421641A"/>
    <w:rsid w:val="34523EDF"/>
    <w:rsid w:val="35AF0472"/>
    <w:rsid w:val="36004F8E"/>
    <w:rsid w:val="360056E3"/>
    <w:rsid w:val="36387BCC"/>
    <w:rsid w:val="3645182F"/>
    <w:rsid w:val="36C01D1D"/>
    <w:rsid w:val="36DE042B"/>
    <w:rsid w:val="37743E72"/>
    <w:rsid w:val="37F37972"/>
    <w:rsid w:val="382622A4"/>
    <w:rsid w:val="382E0826"/>
    <w:rsid w:val="38432BE8"/>
    <w:rsid w:val="384E2E67"/>
    <w:rsid w:val="385B25B1"/>
    <w:rsid w:val="387D3E71"/>
    <w:rsid w:val="39603E31"/>
    <w:rsid w:val="39762911"/>
    <w:rsid w:val="399E28C4"/>
    <w:rsid w:val="3A024A20"/>
    <w:rsid w:val="3A0556D5"/>
    <w:rsid w:val="3A5D14CE"/>
    <w:rsid w:val="3A8B3069"/>
    <w:rsid w:val="3AAD243C"/>
    <w:rsid w:val="3AF475E9"/>
    <w:rsid w:val="3B777732"/>
    <w:rsid w:val="3B880692"/>
    <w:rsid w:val="3C731F75"/>
    <w:rsid w:val="3C8537AF"/>
    <w:rsid w:val="3CC3181E"/>
    <w:rsid w:val="3D0A5B38"/>
    <w:rsid w:val="3D201734"/>
    <w:rsid w:val="3D2515F0"/>
    <w:rsid w:val="3D700AA9"/>
    <w:rsid w:val="3D7F54C5"/>
    <w:rsid w:val="3DA45FB1"/>
    <w:rsid w:val="3E0537DF"/>
    <w:rsid w:val="3E0F4EDF"/>
    <w:rsid w:val="3E75366D"/>
    <w:rsid w:val="3F26645C"/>
    <w:rsid w:val="3F87383D"/>
    <w:rsid w:val="3F8F7CDE"/>
    <w:rsid w:val="3FAA7DA7"/>
    <w:rsid w:val="3FE649D3"/>
    <w:rsid w:val="40050473"/>
    <w:rsid w:val="405C55F8"/>
    <w:rsid w:val="40B4592B"/>
    <w:rsid w:val="41274F0E"/>
    <w:rsid w:val="41F30988"/>
    <w:rsid w:val="422140BB"/>
    <w:rsid w:val="4230527E"/>
    <w:rsid w:val="42DC4CD8"/>
    <w:rsid w:val="42ED6B32"/>
    <w:rsid w:val="432B0388"/>
    <w:rsid w:val="43766B3E"/>
    <w:rsid w:val="442C5032"/>
    <w:rsid w:val="445F6507"/>
    <w:rsid w:val="44A06302"/>
    <w:rsid w:val="44D87F51"/>
    <w:rsid w:val="45503B0F"/>
    <w:rsid w:val="45A32629"/>
    <w:rsid w:val="45A978E7"/>
    <w:rsid w:val="45AF4443"/>
    <w:rsid w:val="45BE5CF8"/>
    <w:rsid w:val="46372256"/>
    <w:rsid w:val="465C6B8D"/>
    <w:rsid w:val="467A2307"/>
    <w:rsid w:val="467E1B6A"/>
    <w:rsid w:val="46B36748"/>
    <w:rsid w:val="46E41B00"/>
    <w:rsid w:val="47085ACF"/>
    <w:rsid w:val="474322F8"/>
    <w:rsid w:val="47847518"/>
    <w:rsid w:val="48712D0D"/>
    <w:rsid w:val="48C40CB6"/>
    <w:rsid w:val="496111AE"/>
    <w:rsid w:val="49CF4C6B"/>
    <w:rsid w:val="4A1C0065"/>
    <w:rsid w:val="4AAD0A25"/>
    <w:rsid w:val="4AB36D42"/>
    <w:rsid w:val="4B7A2CDE"/>
    <w:rsid w:val="4B825E5B"/>
    <w:rsid w:val="4BAA7317"/>
    <w:rsid w:val="4BE16BFB"/>
    <w:rsid w:val="4BEE1020"/>
    <w:rsid w:val="4C5A0D09"/>
    <w:rsid w:val="4C8241BE"/>
    <w:rsid w:val="4C8F6C39"/>
    <w:rsid w:val="4CD66EE0"/>
    <w:rsid w:val="4D070E52"/>
    <w:rsid w:val="4D4F2670"/>
    <w:rsid w:val="4D707300"/>
    <w:rsid w:val="4D8C7C4A"/>
    <w:rsid w:val="4D8E17B5"/>
    <w:rsid w:val="4DA34C1A"/>
    <w:rsid w:val="4E206B9D"/>
    <w:rsid w:val="4E613D77"/>
    <w:rsid w:val="4E6C191A"/>
    <w:rsid w:val="4E735A68"/>
    <w:rsid w:val="4EFB4D1F"/>
    <w:rsid w:val="4F5675C2"/>
    <w:rsid w:val="4FBC4EBA"/>
    <w:rsid w:val="4FE247F9"/>
    <w:rsid w:val="4FF9154D"/>
    <w:rsid w:val="508360D4"/>
    <w:rsid w:val="510308CE"/>
    <w:rsid w:val="51502B11"/>
    <w:rsid w:val="51E24D5A"/>
    <w:rsid w:val="520D2460"/>
    <w:rsid w:val="52C4084E"/>
    <w:rsid w:val="52C4562A"/>
    <w:rsid w:val="539626C6"/>
    <w:rsid w:val="53B021F3"/>
    <w:rsid w:val="54077B6B"/>
    <w:rsid w:val="541D1254"/>
    <w:rsid w:val="546836ED"/>
    <w:rsid w:val="54714F20"/>
    <w:rsid w:val="54900438"/>
    <w:rsid w:val="550268F6"/>
    <w:rsid w:val="55364758"/>
    <w:rsid w:val="55596EEC"/>
    <w:rsid w:val="556152A7"/>
    <w:rsid w:val="5578268A"/>
    <w:rsid w:val="55827FE8"/>
    <w:rsid w:val="558F78F0"/>
    <w:rsid w:val="55B71EE3"/>
    <w:rsid w:val="55C5766A"/>
    <w:rsid w:val="55C70245"/>
    <w:rsid w:val="56280984"/>
    <w:rsid w:val="573878CE"/>
    <w:rsid w:val="5757355F"/>
    <w:rsid w:val="57BC3E74"/>
    <w:rsid w:val="57CF4F24"/>
    <w:rsid w:val="582C0510"/>
    <w:rsid w:val="590A0F7A"/>
    <w:rsid w:val="59317594"/>
    <w:rsid w:val="5A0D6BB4"/>
    <w:rsid w:val="5A1233CE"/>
    <w:rsid w:val="5A6907FA"/>
    <w:rsid w:val="5AE7641E"/>
    <w:rsid w:val="5B426818"/>
    <w:rsid w:val="5B957F01"/>
    <w:rsid w:val="5BA21236"/>
    <w:rsid w:val="5BAB30FC"/>
    <w:rsid w:val="5BB8639A"/>
    <w:rsid w:val="5BE040DC"/>
    <w:rsid w:val="5C2657E7"/>
    <w:rsid w:val="5D290847"/>
    <w:rsid w:val="5DD4595A"/>
    <w:rsid w:val="5DE60B21"/>
    <w:rsid w:val="5ED04FB8"/>
    <w:rsid w:val="5EFC6966"/>
    <w:rsid w:val="5F3D182E"/>
    <w:rsid w:val="5FA40C3F"/>
    <w:rsid w:val="5FA76EE2"/>
    <w:rsid w:val="5FF0752F"/>
    <w:rsid w:val="60070CDF"/>
    <w:rsid w:val="601E3152"/>
    <w:rsid w:val="61A70B04"/>
    <w:rsid w:val="623C5FA4"/>
    <w:rsid w:val="6274190B"/>
    <w:rsid w:val="62BC1E31"/>
    <w:rsid w:val="62E7006A"/>
    <w:rsid w:val="634D5A29"/>
    <w:rsid w:val="635E5324"/>
    <w:rsid w:val="636C0AA4"/>
    <w:rsid w:val="639403EB"/>
    <w:rsid w:val="63B62565"/>
    <w:rsid w:val="63BA5D76"/>
    <w:rsid w:val="63DA12BC"/>
    <w:rsid w:val="640E0CF5"/>
    <w:rsid w:val="64180362"/>
    <w:rsid w:val="64516D94"/>
    <w:rsid w:val="646E7057"/>
    <w:rsid w:val="649B3792"/>
    <w:rsid w:val="64A758B4"/>
    <w:rsid w:val="651732DF"/>
    <w:rsid w:val="656F3E58"/>
    <w:rsid w:val="659216CF"/>
    <w:rsid w:val="66005BC6"/>
    <w:rsid w:val="66495035"/>
    <w:rsid w:val="66EC3CB9"/>
    <w:rsid w:val="6744409E"/>
    <w:rsid w:val="67C520EA"/>
    <w:rsid w:val="67D6087F"/>
    <w:rsid w:val="689B34CE"/>
    <w:rsid w:val="689D5A50"/>
    <w:rsid w:val="68AF7E6F"/>
    <w:rsid w:val="68B12A84"/>
    <w:rsid w:val="68D6389C"/>
    <w:rsid w:val="6978675F"/>
    <w:rsid w:val="69867D96"/>
    <w:rsid w:val="6A0E1AC6"/>
    <w:rsid w:val="6A3068A3"/>
    <w:rsid w:val="6A523383"/>
    <w:rsid w:val="6A69355F"/>
    <w:rsid w:val="6A777E40"/>
    <w:rsid w:val="6A8F757F"/>
    <w:rsid w:val="6AD31AA5"/>
    <w:rsid w:val="6B4A492F"/>
    <w:rsid w:val="6B7F51C6"/>
    <w:rsid w:val="6C051B72"/>
    <w:rsid w:val="6C136C95"/>
    <w:rsid w:val="6C49596E"/>
    <w:rsid w:val="6CAD5687"/>
    <w:rsid w:val="6D1B1B4A"/>
    <w:rsid w:val="6D3E5B07"/>
    <w:rsid w:val="6DBD0D54"/>
    <w:rsid w:val="6E09095E"/>
    <w:rsid w:val="6E0A5576"/>
    <w:rsid w:val="6E165458"/>
    <w:rsid w:val="6E6F28EF"/>
    <w:rsid w:val="6ECC59B5"/>
    <w:rsid w:val="6F073264"/>
    <w:rsid w:val="6FED4933"/>
    <w:rsid w:val="702A4A0D"/>
    <w:rsid w:val="708C37D6"/>
    <w:rsid w:val="7174571B"/>
    <w:rsid w:val="72056567"/>
    <w:rsid w:val="72583D9E"/>
    <w:rsid w:val="7342437E"/>
    <w:rsid w:val="734575B6"/>
    <w:rsid w:val="734F33BA"/>
    <w:rsid w:val="73C34D28"/>
    <w:rsid w:val="73D64AC8"/>
    <w:rsid w:val="73E01B42"/>
    <w:rsid w:val="740642B3"/>
    <w:rsid w:val="74684DDA"/>
    <w:rsid w:val="757C6E4F"/>
    <w:rsid w:val="75924C86"/>
    <w:rsid w:val="75A96777"/>
    <w:rsid w:val="75B4046D"/>
    <w:rsid w:val="75C33AE1"/>
    <w:rsid w:val="75D8760C"/>
    <w:rsid w:val="75F83A68"/>
    <w:rsid w:val="76477825"/>
    <w:rsid w:val="7665699E"/>
    <w:rsid w:val="76B9643E"/>
    <w:rsid w:val="77A95142"/>
    <w:rsid w:val="77ED00C8"/>
    <w:rsid w:val="78656D1B"/>
    <w:rsid w:val="789B4145"/>
    <w:rsid w:val="78CB7F3F"/>
    <w:rsid w:val="791459A5"/>
    <w:rsid w:val="7959491F"/>
    <w:rsid w:val="797B5080"/>
    <w:rsid w:val="79B829B1"/>
    <w:rsid w:val="79D936B8"/>
    <w:rsid w:val="79DD4C0A"/>
    <w:rsid w:val="7AE5501B"/>
    <w:rsid w:val="7B0936ED"/>
    <w:rsid w:val="7B093745"/>
    <w:rsid w:val="7B4C0B43"/>
    <w:rsid w:val="7B5111B9"/>
    <w:rsid w:val="7B991BF1"/>
    <w:rsid w:val="7BEE130A"/>
    <w:rsid w:val="7C0B526E"/>
    <w:rsid w:val="7C1025D7"/>
    <w:rsid w:val="7C874AB1"/>
    <w:rsid w:val="7CF00D5E"/>
    <w:rsid w:val="7CF50394"/>
    <w:rsid w:val="7D2A765D"/>
    <w:rsid w:val="7D612019"/>
    <w:rsid w:val="7D6A0686"/>
    <w:rsid w:val="7D860963"/>
    <w:rsid w:val="7D9135FA"/>
    <w:rsid w:val="7E0E65F1"/>
    <w:rsid w:val="7E147B91"/>
    <w:rsid w:val="7E2847A7"/>
    <w:rsid w:val="7E2D5C36"/>
    <w:rsid w:val="7E2F09F3"/>
    <w:rsid w:val="7EFC7B06"/>
    <w:rsid w:val="7F0025CB"/>
    <w:rsid w:val="7FC1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before="100" w:beforeAutospacing="1"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Autospacing="0" w:line="360" w:lineRule="auto"/>
      <w:outlineLvl w:val="0"/>
    </w:pPr>
    <w:rPr>
      <w:b/>
      <w:kern w:val="44"/>
      <w:sz w:val="28"/>
    </w:rPr>
  </w:style>
  <w:style w:type="paragraph" w:styleId="4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uiPriority w:val="99"/>
    <w:rPr>
      <w:rFonts w:ascii="宋体" w:hAnsi="Courier New"/>
    </w:rPr>
  </w:style>
  <w:style w:type="paragraph" w:styleId="5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9"/>
    <w:unhideWhenUsed/>
    <w:qFormat/>
    <w:uiPriority w:val="99"/>
    <w:pPr>
      <w:spacing w:before="0" w:line="240" w:lineRule="auto"/>
    </w:pPr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annotation subject"/>
    <w:basedOn w:val="5"/>
    <w:next w:val="5"/>
    <w:link w:val="26"/>
    <w:semiHidden/>
    <w:unhideWhenUsed/>
    <w:qFormat/>
    <w:uiPriority w:val="99"/>
    <w:rPr>
      <w:b/>
      <w:bCs/>
    </w:rPr>
  </w:style>
  <w:style w:type="table" w:styleId="13">
    <w:name w:val="Table Grid"/>
    <w:basedOn w:val="12"/>
    <w:unhideWhenUsed/>
    <w:qFormat/>
    <w:uiPriority w:val="9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semiHidden/>
    <w:unhideWhenUsed/>
    <w:uiPriority w:val="99"/>
    <w:rPr>
      <w:sz w:val="21"/>
      <w:szCs w:val="21"/>
    </w:rPr>
  </w:style>
  <w:style w:type="paragraph" w:customStyle="1" w:styleId="17">
    <w:name w:val="标准文件_段"/>
    <w:basedOn w:val="1"/>
    <w:qFormat/>
    <w:uiPriority w:val="0"/>
    <w:pPr>
      <w:adjustRightInd/>
      <w:spacing w:line="240" w:lineRule="auto"/>
      <w:ind w:firstLine="198" w:firstLineChars="200"/>
    </w:pPr>
    <w:rPr>
      <w:rFonts w:ascii="宋体" w:hAnsi="宋体"/>
    </w:rPr>
  </w:style>
  <w:style w:type="paragraph" w:customStyle="1" w:styleId="18">
    <w:name w:val="标准称谓"/>
    <w:basedOn w:val="1"/>
    <w:next w:val="1"/>
    <w:qFormat/>
    <w:uiPriority w:val="0"/>
    <w:pPr>
      <w:kinsoku w:val="0"/>
      <w:overflowPunct w:val="0"/>
      <w:autoSpaceDE w:val="0"/>
      <w:autoSpaceDN w:val="0"/>
      <w:adjustRightInd/>
      <w:spacing w:line="0" w:lineRule="atLeast"/>
      <w:jc w:val="distribute"/>
    </w:pPr>
    <w:rPr>
      <w:rFonts w:ascii="宋体" w:hAnsi="Times New Roman"/>
      <w:b/>
      <w:bCs/>
      <w:kern w:val="0"/>
      <w:sz w:val="52"/>
      <w:szCs w:val="52"/>
    </w:rPr>
  </w:style>
  <w:style w:type="character" w:customStyle="1" w:styleId="19">
    <w:name w:val="批注框文本 Char"/>
    <w:basedOn w:val="14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adjustRightInd/>
      <w:spacing w:before="0" w:beforeAutospacing="0" w:line="240" w:lineRule="auto"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1">
    <w:name w:val="页眉 Char"/>
    <w:basedOn w:val="14"/>
    <w:link w:val="8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2">
    <w:name w:val="页脚 Char"/>
    <w:basedOn w:val="14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3">
    <w:name w:val="标题 2 Char"/>
    <w:basedOn w:val="14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批注文字 Char"/>
    <w:basedOn w:val="14"/>
    <w:link w:val="5"/>
    <w:semiHidden/>
    <w:qFormat/>
    <w:uiPriority w:val="99"/>
    <w:rPr>
      <w:rFonts w:ascii="Calibri" w:hAnsi="Calibri" w:eastAsia="宋体" w:cs="Times New Roman"/>
      <w:kern w:val="2"/>
      <w:sz w:val="21"/>
      <w:szCs w:val="21"/>
    </w:rPr>
  </w:style>
  <w:style w:type="character" w:customStyle="1" w:styleId="26">
    <w:name w:val="批注主题 Char"/>
    <w:basedOn w:val="25"/>
    <w:link w:val="11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1.bin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36E874-CF82-4BB1-9F8C-5BA4062646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1098</Words>
  <Characters>6263</Characters>
  <Lines>52</Lines>
  <Paragraphs>14</Paragraphs>
  <TotalTime>1</TotalTime>
  <ScaleCrop>false</ScaleCrop>
  <LinksUpToDate>false</LinksUpToDate>
  <CharactersWithSpaces>7347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2016-09-14T01:25:00Z</dcterms:created>
  <dc:creator>Sky123.Org</dc:creator>
  <cp:lastModifiedBy>A</cp:lastModifiedBy>
  <cp:lastPrinted>2017-04-24T01:33:00Z</cp:lastPrinted>
  <dcterms:modified xsi:type="dcterms:W3CDTF">2019-08-30T08:03:27Z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