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2项团体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标准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  <w:t>编号、名称、主要内容等一览表</w:t>
      </w:r>
    </w:p>
    <w:tbl>
      <w:tblPr>
        <w:tblStyle w:val="2"/>
        <w:tblpPr w:leftFromText="180" w:rightFromText="180" w:vertAnchor="text" w:horzAnchor="page" w:tblpX="1017" w:tblpY="78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691"/>
        <w:gridCol w:w="2209"/>
        <w:gridCol w:w="4963"/>
        <w:gridCol w:w="1746"/>
        <w:gridCol w:w="1527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标准编号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标准名称</w:t>
            </w:r>
          </w:p>
        </w:tc>
        <w:tc>
          <w:tcPr>
            <w:tcW w:w="4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标准主要内容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代替标准编号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采标情况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实施日期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/C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NLIC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0006-2019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T/CBFIA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《绿色设计产品评级技术规范  氨基酸》</w:t>
            </w:r>
          </w:p>
        </w:tc>
        <w:tc>
          <w:tcPr>
            <w:tcW w:w="4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76" w:lineRule="auto"/>
              <w:ind w:firstLine="480" w:firstLineChars="200"/>
              <w:rPr>
                <w:rFonts w:hint="eastAsia" w:asci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本标准规定了氨基酸的绿色设计产品评价</w:t>
            </w:r>
            <w:r>
              <w:rPr>
                <w:rFonts w:hint="eastAsia" w:ascii="Times New Roman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术语和定义、评价要求、检验方法和指标计算方法、产品生命周期评价报告编制方法、评价方法。</w:t>
            </w:r>
          </w:p>
          <w:p>
            <w:pPr>
              <w:pStyle w:val="4"/>
              <w:numPr>
                <w:ilvl w:val="0"/>
                <w:numId w:val="0"/>
              </w:numPr>
              <w:spacing w:line="276" w:lineRule="auto"/>
              <w:ind w:firstLine="480" w:firstLineChars="200"/>
              <w:rPr>
                <w:rFonts w:hint="default" w:ascii="Times New Roman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本标准</w:t>
            </w:r>
            <w:r>
              <w:rPr>
                <w:rFonts w:hint="default" w:ascii="Times New Roman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适用于氨基酸（L-谷氨酸钠、L-盐酸赖氨酸、L-苏氨酸、L-色氨酸）的绿色设计产品评价。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无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发布之日起实施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T/CBFIA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《氨基酸行业绿色工厂评价要求》</w:t>
            </w:r>
          </w:p>
        </w:tc>
        <w:tc>
          <w:tcPr>
            <w:tcW w:w="4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本标准规定了氨基酸行业绿色工厂的基础设施、管理体系、能源与资源投入、产品、环境排放、绩效、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等级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划分及评价方法。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本标准适用于评价以生物技术生产氨基酸产品的工厂的评价。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无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无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发布之日起实施</w:t>
            </w:r>
          </w:p>
        </w:tc>
      </w:tr>
    </w:tbl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rPr>
          <w:rFonts w:hint="eastAsia" w:eastAsia="仿宋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 w:tentative="0">
      <w:start w:val="1"/>
      <w:numFmt w:val="none"/>
      <w:suff w:val="nothing"/>
      <w:lvlText w:val="%1——"/>
      <w:lvlJc w:val="left"/>
      <w:pPr>
        <w:ind w:left="3244" w:hanging="408"/>
      </w:pPr>
      <w:rPr>
        <w:rFonts w:hint="eastAsia" w:cs="Times New Roman"/>
      </w:rPr>
    </w:lvl>
    <w:lvl w:ilvl="1" w:tentative="0">
      <w:start w:val="1"/>
      <w:numFmt w:val="lowerLetter"/>
      <w:pStyle w:val="4"/>
      <w:lvlText w:val="%2）"/>
      <w:lvlJc w:val="left"/>
      <w:pPr>
        <w:tabs>
          <w:tab w:val="left" w:pos="760"/>
        </w:tabs>
        <w:ind w:left="1264" w:hanging="413"/>
      </w:pPr>
      <w:rPr>
        <w:rFonts w:ascii="宋体" w:hAnsi="Times New Roman" w:eastAsia="宋体" w:cs="Times New Roman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E4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项●（二级）"/>
    <w:qFormat/>
    <w:uiPriority w:val="0"/>
    <w:pPr>
      <w:numPr>
        <w:ilvl w:val="1"/>
        <w:numId w:val="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</cp:lastModifiedBy>
  <dcterms:modified xsi:type="dcterms:W3CDTF">2019-11-13T01:24:15Z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