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DB" w:rsidRPr="00772FA7" w:rsidRDefault="00F40ADB" w:rsidP="00F40ADB">
      <w:pPr>
        <w:jc w:val="center"/>
        <w:rPr>
          <w:rFonts w:ascii="方正小标宋简体" w:eastAsia="方正小标宋简体" w:hAnsi="宋体"/>
        </w:rPr>
      </w:pPr>
      <w:r w:rsidRPr="0024101D">
        <w:rPr>
          <w:rFonts w:ascii="方正小标宋简体" w:eastAsia="方正小标宋简体" w:hAnsi="宋体" w:cs="方正小标宋简体" w:hint="eastAsia"/>
        </w:rPr>
        <w:t>《养殖水体中扑草净残留量的测定 液相色谱-串联质谱法》</w:t>
      </w:r>
      <w:r w:rsidRPr="00772FA7">
        <w:rPr>
          <w:rFonts w:ascii="方正小标宋简体" w:eastAsia="方正小标宋简体" w:hAnsi="宋体" w:cs="方正小标宋简体" w:hint="eastAsia"/>
        </w:rPr>
        <w:t>地方标准编制说明</w:t>
      </w:r>
    </w:p>
    <w:p w:rsidR="00F40ADB" w:rsidRPr="00116C25" w:rsidRDefault="00F40ADB" w:rsidP="00F40ADB">
      <w:pPr>
        <w:jc w:val="center"/>
        <w:rPr>
          <w:rFonts w:ascii="宋体" w:eastAsia="宋体" w:hAnsi="宋体"/>
          <w:sz w:val="30"/>
          <w:szCs w:val="30"/>
        </w:rPr>
      </w:pPr>
    </w:p>
    <w:p w:rsidR="00F40ADB" w:rsidRPr="00210A29" w:rsidRDefault="00F40ADB" w:rsidP="00F40ADB">
      <w:pPr>
        <w:ind w:firstLineChars="200" w:firstLine="640"/>
        <w:rPr>
          <w:rFonts w:ascii="黑体" w:eastAsia="黑体" w:hAnsi="黑体" w:cs="FangSong_GB2312"/>
        </w:rPr>
      </w:pPr>
      <w:r>
        <w:rPr>
          <w:rFonts w:ascii="黑体" w:eastAsia="黑体" w:hAnsi="黑体" w:cs="FangSong_GB2312" w:hint="eastAsia"/>
        </w:rPr>
        <w:t>（一）工作简介</w:t>
      </w:r>
    </w:p>
    <w:p w:rsidR="00F40ADB" w:rsidRDefault="00F40ADB" w:rsidP="00F40ADB">
      <w:pPr>
        <w:rPr>
          <w:rFonts w:ascii="FangSong_GB2312" w:hAnsi="宋体" w:cs="FangSong_GB2312"/>
        </w:rPr>
      </w:pPr>
    </w:p>
    <w:p w:rsidR="00F40ADB" w:rsidRPr="00003F3B" w:rsidRDefault="00F40ADB" w:rsidP="00F40ADB">
      <w:pPr>
        <w:ind w:firstLineChars="200" w:firstLine="643"/>
        <w:rPr>
          <w:rFonts w:ascii="FangSong_GB2312" w:hAnsi="宋体" w:cs="FangSong_GB2312"/>
          <w:b/>
        </w:rPr>
      </w:pPr>
      <w:r w:rsidRPr="00003F3B">
        <w:rPr>
          <w:rFonts w:ascii="FangSong_GB2312" w:hAnsi="宋体" w:cs="FangSong_GB2312" w:hint="eastAsia"/>
          <w:b/>
        </w:rPr>
        <w:t>1.任务来源</w:t>
      </w:r>
    </w:p>
    <w:p w:rsidR="00F40ADB" w:rsidRDefault="00F40ADB" w:rsidP="00F40ADB">
      <w:pPr>
        <w:ind w:firstLineChars="200" w:firstLine="640"/>
        <w:rPr>
          <w:rFonts w:ascii="FangSong_GB2312" w:hAnsi="宋体" w:cs="FangSong_GB2312"/>
        </w:rPr>
      </w:pPr>
      <w:r w:rsidRPr="00AD2ABC">
        <w:rPr>
          <w:rFonts w:ascii="FangSong_GB2312" w:hAnsi="宋体" w:cs="FangSong_GB2312" w:hint="eastAsia"/>
        </w:rPr>
        <w:t>本标准根据辽宁省市场监督管理局下达的201</w:t>
      </w:r>
      <w:r>
        <w:rPr>
          <w:rFonts w:ascii="FangSong_GB2312" w:hAnsi="宋体" w:cs="FangSong_GB2312" w:hint="eastAsia"/>
        </w:rPr>
        <w:t>8</w:t>
      </w:r>
      <w:r w:rsidRPr="00AD2ABC">
        <w:rPr>
          <w:rFonts w:ascii="FangSong_GB2312" w:hAnsi="宋体" w:cs="FangSong_GB2312" w:hint="eastAsia"/>
        </w:rPr>
        <w:t>年辽宁省地方标准制修订项目计划（计划编号</w:t>
      </w:r>
      <w:r w:rsidRPr="0024101D">
        <w:rPr>
          <w:rFonts w:ascii="FangSong_GB2312" w:hAnsi="宋体" w:cs="FangSong_GB2312" w:hint="eastAsia"/>
        </w:rPr>
        <w:t>2018159</w:t>
      </w:r>
      <w:r w:rsidRPr="00AD2ABC">
        <w:rPr>
          <w:rFonts w:ascii="FangSong_GB2312" w:hAnsi="宋体" w:cs="FangSong_GB2312" w:hint="eastAsia"/>
        </w:rPr>
        <w:t>）制定</w:t>
      </w:r>
      <w:r>
        <w:rPr>
          <w:rFonts w:ascii="FangSong_GB2312" w:hAnsi="宋体" w:cs="FangSong_GB2312" w:hint="eastAsia"/>
        </w:rPr>
        <w:t>（修订）</w:t>
      </w:r>
      <w:r w:rsidRPr="00AD2ABC">
        <w:rPr>
          <w:rFonts w:ascii="FangSong_GB2312" w:hAnsi="宋体" w:cs="FangSong_GB2312" w:hint="eastAsia"/>
        </w:rPr>
        <w:t>，辽宁省农业农村厅</w:t>
      </w:r>
      <w:r>
        <w:rPr>
          <w:rFonts w:ascii="FangSong_GB2312" w:hAnsi="宋体" w:cs="FangSong_GB2312" w:hint="eastAsia"/>
        </w:rPr>
        <w:t>提出并</w:t>
      </w:r>
      <w:r w:rsidRPr="00AD2ABC">
        <w:rPr>
          <w:rFonts w:ascii="FangSong_GB2312" w:hAnsi="宋体" w:cs="FangSong_GB2312" w:hint="eastAsia"/>
        </w:rPr>
        <w:t>归口管理。</w:t>
      </w:r>
      <w:r w:rsidRPr="0024101D">
        <w:rPr>
          <w:rFonts w:ascii="FangSong_GB2312" w:hAnsi="宋体" w:cs="FangSong_GB2312" w:hint="eastAsia"/>
        </w:rPr>
        <w:t>大连市水产技术推广总站</w:t>
      </w:r>
      <w:r>
        <w:rPr>
          <w:rFonts w:ascii="FangSong_GB2312" w:hAnsi="宋体" w:cs="FangSong_GB2312" w:hint="eastAsia"/>
        </w:rPr>
        <w:t>负责起草</w:t>
      </w:r>
      <w:r w:rsidRPr="00AD2ABC">
        <w:rPr>
          <w:rFonts w:ascii="FangSong_GB2312" w:hAnsi="宋体" w:cs="FangSong_GB2312" w:hint="eastAsia"/>
        </w:rPr>
        <w:t>。</w:t>
      </w:r>
    </w:p>
    <w:p w:rsidR="00F40ADB" w:rsidRPr="00003F3B" w:rsidRDefault="00F40ADB" w:rsidP="00F40ADB">
      <w:pPr>
        <w:ind w:firstLineChars="200" w:firstLine="643"/>
        <w:rPr>
          <w:rFonts w:ascii="FangSong_GB2312" w:hAnsi="宋体" w:cs="FangSong_GB2312"/>
          <w:b/>
        </w:rPr>
      </w:pPr>
      <w:r w:rsidRPr="00003F3B">
        <w:rPr>
          <w:rFonts w:ascii="FangSong_GB2312" w:hAnsi="宋体" w:cs="FangSong_GB2312" w:hint="eastAsia"/>
          <w:b/>
        </w:rPr>
        <w:t>2.起草单位、协作单位</w:t>
      </w:r>
    </w:p>
    <w:p w:rsidR="00F40ADB" w:rsidRPr="00AD2ABC" w:rsidRDefault="00F40ADB" w:rsidP="00F40ADB">
      <w:pPr>
        <w:ind w:firstLineChars="200" w:firstLine="640"/>
        <w:rPr>
          <w:rFonts w:ascii="FangSong_GB2312" w:hAnsi="宋体" w:cs="FangSong_GB2312"/>
        </w:rPr>
      </w:pPr>
      <w:r w:rsidRPr="00AD2ABC">
        <w:rPr>
          <w:rFonts w:ascii="FangSong_GB2312" w:hAnsi="宋体" w:cs="FangSong_GB2312" w:hint="eastAsia"/>
        </w:rPr>
        <w:t>起草单位：</w:t>
      </w:r>
      <w:r w:rsidRPr="0024101D">
        <w:rPr>
          <w:rFonts w:ascii="FangSong_GB2312" w:hAnsi="宋体" w:cs="FangSong_GB2312" w:hint="eastAsia"/>
        </w:rPr>
        <w:t>大连市水产技术推广总站</w:t>
      </w:r>
    </w:p>
    <w:p w:rsidR="00F40ADB" w:rsidRDefault="00F40ADB" w:rsidP="00F40ADB">
      <w:pPr>
        <w:ind w:firstLineChars="200" w:firstLine="640"/>
        <w:rPr>
          <w:rFonts w:ascii="FangSong_GB2312" w:hAnsi="宋体" w:cs="FangSong_GB2312"/>
        </w:rPr>
      </w:pPr>
      <w:r w:rsidRPr="00AD2ABC">
        <w:rPr>
          <w:rFonts w:ascii="FangSong_GB2312" w:hAnsi="宋体" w:cs="FangSong_GB2312" w:hint="eastAsia"/>
        </w:rPr>
        <w:t>协作单位：</w:t>
      </w:r>
      <w:r w:rsidRPr="00AC371B">
        <w:rPr>
          <w:rFonts w:ascii="FangSong_GB2312" w:hAnsi="宋体" w:cs="FangSong_GB2312" w:hint="eastAsia"/>
        </w:rPr>
        <w:t>大连市农产品质量监测中心</w:t>
      </w:r>
    </w:p>
    <w:p w:rsidR="00F40ADB" w:rsidRPr="00003F3B" w:rsidRDefault="00F40ADB" w:rsidP="00F40ADB">
      <w:pPr>
        <w:spacing w:line="460" w:lineRule="exact"/>
        <w:ind w:firstLineChars="200" w:firstLine="643"/>
        <w:rPr>
          <w:rFonts w:ascii="FangSong_GB2312"/>
          <w:b/>
          <w:bCs/>
        </w:rPr>
      </w:pPr>
      <w:r w:rsidRPr="00003F3B">
        <w:rPr>
          <w:rFonts w:ascii="FangSong_GB2312" w:hint="eastAsia"/>
          <w:b/>
          <w:bCs/>
        </w:rPr>
        <w:t>3.主要起草人</w:t>
      </w:r>
    </w:p>
    <w:tbl>
      <w:tblPr>
        <w:tblW w:w="835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55"/>
        <w:gridCol w:w="3228"/>
        <w:gridCol w:w="2410"/>
      </w:tblGrid>
      <w:tr w:rsidR="00F40ADB" w:rsidTr="00290506">
        <w:trPr>
          <w:trHeight w:hRule="exact" w:val="599"/>
        </w:trPr>
        <w:tc>
          <w:tcPr>
            <w:tcW w:w="1260" w:type="dxa"/>
            <w:vAlign w:val="center"/>
          </w:tcPr>
          <w:p w:rsidR="00F40ADB" w:rsidRPr="0057368F" w:rsidRDefault="00F40ADB" w:rsidP="00290506">
            <w:pPr>
              <w:spacing w:line="460" w:lineRule="exact"/>
              <w:jc w:val="center"/>
              <w:rPr>
                <w:b/>
                <w:bCs/>
                <w:kern w:val="0"/>
                <w:sz w:val="24"/>
              </w:rPr>
            </w:pPr>
            <w:r w:rsidRPr="0057368F">
              <w:rPr>
                <w:rFonts w:eastAsiaTheme="minorEastAsia" w:hint="eastAsia"/>
                <w:b/>
                <w:bCs/>
                <w:kern w:val="0"/>
                <w:sz w:val="24"/>
                <w:szCs w:val="24"/>
              </w:rPr>
              <w:t>姓名</w:t>
            </w:r>
          </w:p>
        </w:tc>
        <w:tc>
          <w:tcPr>
            <w:tcW w:w="1455" w:type="dxa"/>
            <w:vAlign w:val="center"/>
          </w:tcPr>
          <w:p w:rsidR="00F40ADB" w:rsidRPr="0057368F" w:rsidRDefault="00F40ADB" w:rsidP="00290506">
            <w:pPr>
              <w:spacing w:line="460" w:lineRule="exact"/>
              <w:jc w:val="center"/>
              <w:rPr>
                <w:b/>
                <w:bCs/>
                <w:kern w:val="0"/>
                <w:sz w:val="24"/>
              </w:rPr>
            </w:pPr>
            <w:r w:rsidRPr="0057368F">
              <w:rPr>
                <w:rFonts w:eastAsiaTheme="minorEastAsia"/>
                <w:b/>
                <w:bCs/>
                <w:kern w:val="0"/>
                <w:sz w:val="24"/>
                <w:szCs w:val="24"/>
              </w:rPr>
              <w:t>职务</w:t>
            </w:r>
            <w:r w:rsidRPr="0057368F">
              <w:rPr>
                <w:rFonts w:eastAsiaTheme="minorEastAsia"/>
                <w:b/>
                <w:bCs/>
                <w:kern w:val="0"/>
                <w:sz w:val="24"/>
                <w:szCs w:val="24"/>
              </w:rPr>
              <w:t>/</w:t>
            </w:r>
            <w:r w:rsidRPr="0057368F">
              <w:rPr>
                <w:rFonts w:eastAsiaTheme="minorEastAsia"/>
                <w:b/>
                <w:bCs/>
                <w:kern w:val="0"/>
                <w:sz w:val="24"/>
                <w:szCs w:val="24"/>
              </w:rPr>
              <w:t>职称</w:t>
            </w:r>
          </w:p>
        </w:tc>
        <w:tc>
          <w:tcPr>
            <w:tcW w:w="3228" w:type="dxa"/>
            <w:vAlign w:val="center"/>
          </w:tcPr>
          <w:p w:rsidR="00F40ADB" w:rsidRPr="0057368F" w:rsidRDefault="00F40ADB" w:rsidP="00290506">
            <w:pPr>
              <w:spacing w:line="460" w:lineRule="exact"/>
              <w:jc w:val="center"/>
              <w:rPr>
                <w:b/>
                <w:bCs/>
                <w:kern w:val="0"/>
                <w:sz w:val="24"/>
              </w:rPr>
            </w:pPr>
            <w:r w:rsidRPr="0057368F">
              <w:rPr>
                <w:rFonts w:eastAsiaTheme="minorEastAsia"/>
                <w:b/>
                <w:bCs/>
                <w:kern w:val="0"/>
                <w:sz w:val="24"/>
                <w:szCs w:val="24"/>
              </w:rPr>
              <w:t>工作单位</w:t>
            </w:r>
          </w:p>
        </w:tc>
        <w:tc>
          <w:tcPr>
            <w:tcW w:w="2410" w:type="dxa"/>
            <w:vAlign w:val="center"/>
          </w:tcPr>
          <w:p w:rsidR="00F40ADB" w:rsidRPr="0057368F" w:rsidRDefault="00F40ADB" w:rsidP="00290506">
            <w:pPr>
              <w:spacing w:line="460" w:lineRule="exact"/>
              <w:jc w:val="center"/>
              <w:rPr>
                <w:b/>
                <w:bCs/>
                <w:kern w:val="0"/>
                <w:sz w:val="24"/>
              </w:rPr>
            </w:pPr>
            <w:r w:rsidRPr="0057368F">
              <w:rPr>
                <w:rFonts w:eastAsiaTheme="minorEastAsia"/>
                <w:b/>
                <w:bCs/>
                <w:kern w:val="0"/>
                <w:sz w:val="24"/>
                <w:szCs w:val="24"/>
              </w:rPr>
              <w:t>任务分工</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sz w:val="24"/>
                <w:szCs w:val="24"/>
              </w:rPr>
            </w:pPr>
            <w:r w:rsidRPr="00395638">
              <w:rPr>
                <w:rFonts w:ascii="FangSong_GB2312" w:hAnsi="宋体" w:cs="FangSong_GB2312" w:hint="eastAsia"/>
                <w:sz w:val="24"/>
                <w:szCs w:val="24"/>
              </w:rPr>
              <w:t>王骏</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r w:rsidRPr="00395638">
              <w:rPr>
                <w:rFonts w:ascii="FangSong_GB2312" w:hAnsi="宋体" w:cs="FangSong_GB2312" w:hint="eastAsia"/>
                <w:sz w:val="24"/>
                <w:szCs w:val="24"/>
              </w:rPr>
              <w:t>工程师</w:t>
            </w: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负责组织项目的实施、研究实验和标准起草</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sz w:val="24"/>
                <w:szCs w:val="24"/>
              </w:rPr>
            </w:pPr>
            <w:r w:rsidRPr="00395638">
              <w:rPr>
                <w:rFonts w:ascii="FangSong_GB2312" w:hAnsi="宋体" w:cs="FangSong_GB2312" w:hint="eastAsia"/>
                <w:sz w:val="24"/>
                <w:szCs w:val="24"/>
              </w:rPr>
              <w:t>许炳雯</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r w:rsidRPr="00395638">
              <w:rPr>
                <w:rFonts w:ascii="FangSong_GB2312" w:hAnsi="宋体" w:cs="FangSong_GB2312" w:hint="eastAsia"/>
                <w:sz w:val="24"/>
                <w:szCs w:val="24"/>
              </w:rPr>
              <w:t>工程师</w:t>
            </w: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负责研究实验和标准起草</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sz w:val="24"/>
                <w:szCs w:val="24"/>
              </w:rPr>
            </w:pPr>
            <w:r w:rsidRPr="00395638">
              <w:rPr>
                <w:rFonts w:ascii="FangSong_GB2312" w:hAnsi="宋体" w:cs="FangSong_GB2312" w:hint="eastAsia"/>
                <w:sz w:val="24"/>
                <w:szCs w:val="24"/>
              </w:rPr>
              <w:t>许岩</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参与项目的申报和实施，负责方案的制定</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sz w:val="24"/>
                <w:szCs w:val="24"/>
              </w:rPr>
            </w:pPr>
            <w:r w:rsidRPr="00395638">
              <w:rPr>
                <w:rFonts w:ascii="FangSong_GB2312" w:hAnsi="宋体" w:cs="FangSong_GB2312" w:hint="eastAsia"/>
                <w:sz w:val="24"/>
                <w:szCs w:val="24"/>
              </w:rPr>
              <w:t>丁勇</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参与项目的申报和实施，负责方案的制定</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sz w:val="24"/>
                <w:szCs w:val="24"/>
              </w:rPr>
            </w:pPr>
            <w:r w:rsidRPr="00395638">
              <w:rPr>
                <w:rFonts w:ascii="FangSong_GB2312" w:hAnsi="宋体" w:cs="FangSong_GB2312" w:hint="eastAsia"/>
                <w:sz w:val="24"/>
                <w:szCs w:val="24"/>
              </w:rPr>
              <w:lastRenderedPageBreak/>
              <w:t>刘彤</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负责项目申报和实施</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sz w:val="24"/>
                <w:szCs w:val="24"/>
              </w:rPr>
            </w:pPr>
            <w:r w:rsidRPr="00395638">
              <w:rPr>
                <w:rFonts w:ascii="FangSong_GB2312" w:hAnsi="宋体" w:cs="FangSong_GB2312" w:hint="eastAsia"/>
                <w:sz w:val="24"/>
                <w:szCs w:val="24"/>
              </w:rPr>
              <w:t>孙程鹏</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r w:rsidRPr="00395638">
              <w:rPr>
                <w:rFonts w:ascii="FangSong_GB2312" w:hAnsi="宋体" w:cs="FangSong_GB2312" w:hint="eastAsia"/>
                <w:sz w:val="24"/>
                <w:szCs w:val="24"/>
              </w:rPr>
              <w:t>主管中药师</w:t>
            </w: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大连市农产品质量监测中心</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参与标准制订</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hint="eastAsia"/>
                <w:sz w:val="24"/>
                <w:szCs w:val="24"/>
              </w:rPr>
            </w:pPr>
            <w:r w:rsidRPr="00395638">
              <w:rPr>
                <w:rFonts w:ascii="FangSong_GB2312" w:hAnsi="宋体" w:cs="FangSong_GB2312" w:hint="eastAsia"/>
                <w:sz w:val="24"/>
                <w:szCs w:val="24"/>
              </w:rPr>
              <w:t>尚宏鑫</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参与标准制订</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hint="eastAsia"/>
                <w:sz w:val="24"/>
                <w:szCs w:val="24"/>
              </w:rPr>
            </w:pPr>
            <w:r w:rsidRPr="00395638">
              <w:rPr>
                <w:rFonts w:ascii="FangSong_GB2312" w:hAnsi="宋体" w:cs="FangSong_GB2312" w:hint="eastAsia"/>
                <w:sz w:val="24"/>
                <w:szCs w:val="24"/>
              </w:rPr>
              <w:t>陈颖</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参与标准制订</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hint="eastAsia"/>
                <w:sz w:val="24"/>
                <w:szCs w:val="24"/>
              </w:rPr>
            </w:pPr>
            <w:r w:rsidRPr="00395638">
              <w:rPr>
                <w:rFonts w:ascii="FangSong_GB2312" w:hAnsi="宋体" w:cs="FangSong_GB2312" w:hint="eastAsia"/>
                <w:sz w:val="24"/>
                <w:szCs w:val="24"/>
              </w:rPr>
              <w:t>马琳</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参与标准制订</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hint="eastAsia"/>
                <w:sz w:val="24"/>
                <w:szCs w:val="24"/>
              </w:rPr>
            </w:pPr>
            <w:r w:rsidRPr="00395638">
              <w:rPr>
                <w:rFonts w:ascii="FangSong_GB2312" w:hAnsi="宋体" w:cs="FangSong_GB2312" w:hint="eastAsia"/>
                <w:sz w:val="24"/>
                <w:szCs w:val="24"/>
              </w:rPr>
              <w:t>杨婷婷</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参与标准制订</w:t>
            </w:r>
          </w:p>
        </w:tc>
      </w:tr>
      <w:tr w:rsidR="00F40ADB" w:rsidTr="00290506">
        <w:trPr>
          <w:trHeight w:val="680"/>
        </w:trPr>
        <w:tc>
          <w:tcPr>
            <w:tcW w:w="1260" w:type="dxa"/>
            <w:vAlign w:val="center"/>
          </w:tcPr>
          <w:p w:rsidR="00F40ADB" w:rsidRPr="00395638" w:rsidRDefault="00F40ADB" w:rsidP="00290506">
            <w:pPr>
              <w:spacing w:line="460" w:lineRule="exact"/>
              <w:rPr>
                <w:rFonts w:ascii="FangSong_GB2312" w:hAnsi="宋体" w:cs="FangSong_GB2312" w:hint="eastAsia"/>
                <w:sz w:val="24"/>
                <w:szCs w:val="24"/>
              </w:rPr>
            </w:pPr>
            <w:r w:rsidRPr="00395638">
              <w:rPr>
                <w:rFonts w:ascii="FangSong_GB2312" w:hAnsi="宋体" w:cs="FangSong_GB2312" w:hint="eastAsia"/>
                <w:sz w:val="24"/>
                <w:szCs w:val="24"/>
              </w:rPr>
              <w:t>田斌</w:t>
            </w:r>
          </w:p>
        </w:tc>
        <w:tc>
          <w:tcPr>
            <w:tcW w:w="1455" w:type="dxa"/>
            <w:vAlign w:val="center"/>
          </w:tcPr>
          <w:p w:rsidR="00F40ADB" w:rsidRPr="00395638" w:rsidRDefault="00F40ADB" w:rsidP="00290506">
            <w:pPr>
              <w:spacing w:line="460" w:lineRule="exact"/>
              <w:jc w:val="center"/>
              <w:rPr>
                <w:rFonts w:ascii="FangSong_GB2312" w:hAnsi="宋体" w:cs="FangSong_GB2312"/>
                <w:sz w:val="24"/>
                <w:szCs w:val="24"/>
              </w:rPr>
            </w:pPr>
          </w:p>
        </w:tc>
        <w:tc>
          <w:tcPr>
            <w:tcW w:w="3228" w:type="dxa"/>
            <w:vAlign w:val="center"/>
          </w:tcPr>
          <w:p w:rsidR="00F40ADB" w:rsidRPr="00395638" w:rsidRDefault="00F40ADB" w:rsidP="00290506">
            <w:pPr>
              <w:spacing w:line="460" w:lineRule="exact"/>
              <w:jc w:val="center"/>
              <w:rPr>
                <w:kern w:val="0"/>
                <w:sz w:val="24"/>
                <w:szCs w:val="24"/>
              </w:rPr>
            </w:pPr>
            <w:r w:rsidRPr="00395638">
              <w:rPr>
                <w:rFonts w:ascii="FangSong_GB2312" w:hAnsi="宋体" w:cs="FangSong_GB2312" w:hint="eastAsia"/>
                <w:sz w:val="24"/>
                <w:szCs w:val="24"/>
              </w:rPr>
              <w:t>大连市水产技术推广总站</w:t>
            </w:r>
          </w:p>
        </w:tc>
        <w:tc>
          <w:tcPr>
            <w:tcW w:w="2410" w:type="dxa"/>
            <w:vAlign w:val="center"/>
          </w:tcPr>
          <w:p w:rsidR="00F40ADB" w:rsidRPr="00395638" w:rsidRDefault="00F40ADB" w:rsidP="00290506">
            <w:pPr>
              <w:spacing w:line="460" w:lineRule="exact"/>
              <w:jc w:val="left"/>
              <w:rPr>
                <w:rFonts w:ascii="FangSong_GB2312" w:hAnsi="宋体" w:cs="FangSong_GB2312"/>
                <w:sz w:val="24"/>
                <w:szCs w:val="24"/>
              </w:rPr>
            </w:pPr>
            <w:r w:rsidRPr="00395638">
              <w:rPr>
                <w:rFonts w:ascii="FangSong_GB2312" w:hAnsi="宋体" w:cs="FangSong_GB2312" w:hint="eastAsia"/>
                <w:sz w:val="24"/>
                <w:szCs w:val="24"/>
              </w:rPr>
              <w:t>参与标准制订</w:t>
            </w:r>
          </w:p>
        </w:tc>
      </w:tr>
    </w:tbl>
    <w:p w:rsidR="00F40ADB" w:rsidRDefault="00F40ADB" w:rsidP="00F40ADB">
      <w:pPr>
        <w:ind w:firstLineChars="200" w:firstLine="640"/>
        <w:rPr>
          <w:rFonts w:ascii="黑体" w:eastAsia="黑体" w:hAnsi="黑体" w:cs="FangSong_GB2312"/>
        </w:rPr>
      </w:pPr>
    </w:p>
    <w:p w:rsidR="002F1BE5" w:rsidRPr="005F4F46" w:rsidRDefault="00675E7E" w:rsidP="005F4F46">
      <w:pPr>
        <w:ind w:firstLineChars="200" w:firstLine="640"/>
        <w:rPr>
          <w:rFonts w:ascii="黑体" w:eastAsia="黑体" w:hAnsi="黑体" w:cs="FangSong_GB2312"/>
        </w:rPr>
      </w:pPr>
      <w:r w:rsidRPr="005F4F46">
        <w:rPr>
          <w:rFonts w:ascii="黑体" w:eastAsia="黑体" w:hAnsi="黑体" w:cs="FangSong_GB2312" w:hint="eastAsia"/>
        </w:rPr>
        <w:t>（二）标准编制原则和确定标准主要内容的依据</w:t>
      </w:r>
    </w:p>
    <w:p w:rsidR="00675E7E" w:rsidRPr="005F4F46" w:rsidRDefault="00675E7E" w:rsidP="005F4F46">
      <w:pPr>
        <w:ind w:firstLineChars="200" w:firstLine="643"/>
        <w:rPr>
          <w:rFonts w:ascii="FangSong_GB2312" w:hAnsi="宋体" w:cs="FangSong_GB2312"/>
          <w:b/>
        </w:rPr>
      </w:pPr>
      <w:r w:rsidRPr="005F4F46">
        <w:rPr>
          <w:rFonts w:ascii="FangSong_GB2312" w:hAnsi="宋体" w:cs="FangSong_GB2312" w:hint="eastAsia"/>
          <w:b/>
        </w:rPr>
        <w:t xml:space="preserve">1. </w:t>
      </w:r>
      <w:r w:rsidR="006678A4" w:rsidRPr="005F4F46">
        <w:rPr>
          <w:rFonts w:ascii="FangSong_GB2312" w:hAnsi="宋体" w:cs="FangSong_GB2312" w:hint="eastAsia"/>
          <w:b/>
        </w:rPr>
        <w:t>标准编制原则</w:t>
      </w:r>
    </w:p>
    <w:p w:rsidR="006678A4" w:rsidRPr="005F4F46" w:rsidRDefault="006678A4" w:rsidP="006678A4">
      <w:pPr>
        <w:spacing w:line="360" w:lineRule="auto"/>
        <w:ind w:firstLine="480"/>
        <w:rPr>
          <w:rFonts w:ascii="FangSong_GB2312" w:hAnsi="宋体" w:cs="FangSong_GB2312"/>
        </w:rPr>
      </w:pPr>
      <w:r w:rsidRPr="005F4F46">
        <w:rPr>
          <w:rFonts w:ascii="FangSong_GB2312" w:hAnsi="宋体" w:cs="FangSong_GB2312" w:hint="eastAsia"/>
        </w:rPr>
        <w:t>本标准是按GB/T 1.1-2009《标准化工作导则 第1部分：标准的结构和编写》、GB/T 5009.1-2003《食品卫生检验方法 理化部分 总则》、GB/T 27404-2008《实验室质量控制规范 食品理化检测》和GB/T 20001.4-2015《标准编写规则 第4部分：试验方法标准》的要求编写的。</w:t>
      </w:r>
    </w:p>
    <w:p w:rsidR="006678A4" w:rsidRPr="005F4F46" w:rsidRDefault="006678A4" w:rsidP="006678A4">
      <w:pPr>
        <w:spacing w:line="360" w:lineRule="auto"/>
        <w:ind w:firstLine="480"/>
        <w:rPr>
          <w:rFonts w:ascii="FangSong_GB2312" w:hAnsi="宋体" w:cs="FangSong_GB2312"/>
        </w:rPr>
      </w:pPr>
      <w:r w:rsidRPr="005F4F46">
        <w:rPr>
          <w:rFonts w:ascii="FangSong_GB2312" w:hAnsi="宋体" w:cs="FangSong_GB2312" w:hint="eastAsia"/>
        </w:rPr>
        <w:t>本标准的编写制订过程中，以提高测试方法的选择性、精密度、准确度、分析效率和降低分析成本为总原则，力求反映科学技术的先进成果和先进经验，遵循标准制订过程中的一致性、规范性和适用性的原则。</w:t>
      </w:r>
    </w:p>
    <w:p w:rsidR="006678A4" w:rsidRPr="005F4F46" w:rsidRDefault="006678A4" w:rsidP="006678A4">
      <w:pPr>
        <w:spacing w:line="360" w:lineRule="auto"/>
        <w:ind w:firstLine="480"/>
        <w:rPr>
          <w:rFonts w:ascii="FangSong_GB2312" w:hAnsi="宋体" w:cs="FangSong_GB2312"/>
        </w:rPr>
      </w:pPr>
      <w:r w:rsidRPr="005F4F46">
        <w:rPr>
          <w:rFonts w:ascii="FangSong_GB2312" w:hAnsi="宋体" w:cs="FangSong_GB2312" w:hint="eastAsia"/>
        </w:rPr>
        <w:t>在标准的制订过程中严格遵循国家有关方针、政策、法规和规章，力求做到：技术内容的叙述正确无误；文字表达</w:t>
      </w:r>
      <w:r w:rsidRPr="005F4F46">
        <w:rPr>
          <w:rFonts w:ascii="FangSong_GB2312" w:hAnsi="宋体" w:cs="FangSong_GB2312" w:hint="eastAsia"/>
        </w:rPr>
        <w:lastRenderedPageBreak/>
        <w:t>准确、简明、易懂；标准的构成严谨合理；内容编排、层次划分等符合逻辑与规定。</w:t>
      </w:r>
    </w:p>
    <w:p w:rsidR="006678A4" w:rsidRPr="005F4F46" w:rsidRDefault="003A3FAC" w:rsidP="005F4F46">
      <w:pPr>
        <w:ind w:firstLineChars="200" w:firstLine="643"/>
        <w:rPr>
          <w:rFonts w:ascii="FangSong_GB2312" w:hAnsi="宋体" w:cs="FangSong_GB2312"/>
          <w:b/>
        </w:rPr>
      </w:pPr>
      <w:r w:rsidRPr="005F4F46">
        <w:rPr>
          <w:rFonts w:ascii="FangSong_GB2312" w:hAnsi="宋体" w:cs="FangSong_GB2312" w:hint="eastAsia"/>
          <w:b/>
        </w:rPr>
        <w:t>2. 确定标准主要内容的依据</w:t>
      </w:r>
    </w:p>
    <w:p w:rsidR="0078206A" w:rsidRPr="005F4F46" w:rsidRDefault="0078206A" w:rsidP="00FD0951">
      <w:pPr>
        <w:spacing w:line="360" w:lineRule="auto"/>
        <w:ind w:firstLine="480"/>
        <w:rPr>
          <w:rFonts w:ascii="FangSong_GB2312" w:hAnsi="宋体" w:cs="FangSong_GB2312"/>
        </w:rPr>
      </w:pPr>
      <w:r w:rsidRPr="005F4F46">
        <w:rPr>
          <w:rFonts w:ascii="FangSong_GB2312" w:hAnsi="宋体" w:cs="FangSong_GB2312" w:hint="eastAsia"/>
        </w:rPr>
        <w:t>本标准起草人查阅了相关资料和文献，参考国内外现行的标准，结合实验室现有条件和日常工作重点，建立了养殖水体中扑草净残留量的测定-液相色谱质谱法，对样品前处理过程、液相条件、质谱条件进行了摸索，确定了检出限、回收率、精密度等技术参数。</w:t>
      </w:r>
      <w:r w:rsidR="00FD0951" w:rsidRPr="005F4F46">
        <w:rPr>
          <w:rFonts w:ascii="FangSong_GB2312" w:hAnsi="宋体" w:cs="FangSong_GB2312" w:hint="eastAsia"/>
        </w:rPr>
        <w:t>委托</w:t>
      </w:r>
      <w:r w:rsidR="00A57D74">
        <w:rPr>
          <w:rFonts w:ascii="FangSong_GB2312" w:hAnsi="宋体" w:cs="FangSong_GB2312" w:hint="eastAsia"/>
        </w:rPr>
        <w:t>三</w:t>
      </w:r>
      <w:r w:rsidR="00FD0951" w:rsidRPr="005F4F46">
        <w:rPr>
          <w:rFonts w:ascii="FangSong_GB2312" w:hAnsi="宋体" w:cs="FangSong_GB2312" w:hint="eastAsia"/>
        </w:rPr>
        <w:t>家有资质的检验检测机构，对方法进行验证，</w:t>
      </w:r>
      <w:r w:rsidRPr="005F4F46">
        <w:rPr>
          <w:rFonts w:ascii="FangSong_GB2312" w:hAnsi="宋体" w:cs="FangSong_GB2312" w:hint="eastAsia"/>
        </w:rPr>
        <w:t>结果准确，</w:t>
      </w:r>
      <w:r w:rsidR="00FD0951" w:rsidRPr="005F4F46">
        <w:rPr>
          <w:rFonts w:ascii="FangSong_GB2312" w:hAnsi="宋体" w:cs="FangSong_GB2312" w:hint="eastAsia"/>
        </w:rPr>
        <w:t>回收率、精密度等技术参数均能达到要求</w:t>
      </w:r>
      <w:r w:rsidRPr="005F4F46">
        <w:rPr>
          <w:rFonts w:ascii="FangSong_GB2312" w:hAnsi="宋体" w:cs="FangSong_GB2312" w:hint="eastAsia"/>
        </w:rPr>
        <w:t>，说明该标准方法适用于养殖水体中扑草净残留量的检测。</w:t>
      </w:r>
    </w:p>
    <w:p w:rsidR="0078206A" w:rsidRPr="005F4F46" w:rsidRDefault="0078206A" w:rsidP="005F4F46">
      <w:pPr>
        <w:spacing w:line="360" w:lineRule="auto"/>
        <w:ind w:firstLine="480"/>
        <w:rPr>
          <w:rFonts w:ascii="FangSong_GB2312" w:hAnsi="宋体" w:cs="FangSong_GB2312"/>
        </w:rPr>
      </w:pPr>
      <w:r w:rsidRPr="005F4F46">
        <w:rPr>
          <w:rFonts w:ascii="FangSong_GB2312" w:hAnsi="宋体" w:cs="FangSong_GB2312" w:hint="eastAsia"/>
        </w:rPr>
        <w:t>研究工作包括：研究从水中有效提取扑草净的方法，筛选合理的提取手段，力争提取率达到70%</w:t>
      </w:r>
      <w:r w:rsidR="00D67906" w:rsidRPr="005F4F46">
        <w:rPr>
          <w:rFonts w:ascii="FangSong_GB2312" w:hAnsi="宋体" w:cs="FangSong_GB2312" w:hint="eastAsia"/>
        </w:rPr>
        <w:t>以上；</w:t>
      </w:r>
      <w:r w:rsidRPr="005F4F46">
        <w:rPr>
          <w:rFonts w:ascii="FangSong_GB2312" w:hAnsi="宋体" w:cs="FangSong_GB2312" w:hint="eastAsia"/>
        </w:rPr>
        <w:t>确定分辨率高、重现性好、准确、稳定的色谱和质谱分析条件</w:t>
      </w:r>
      <w:r w:rsidR="00D67906" w:rsidRPr="005F4F46">
        <w:rPr>
          <w:rFonts w:ascii="FangSong_GB2312" w:hAnsi="宋体" w:cs="FangSong_GB2312" w:hint="eastAsia"/>
        </w:rPr>
        <w:t>；</w:t>
      </w:r>
      <w:r w:rsidRPr="005F4F46">
        <w:rPr>
          <w:rFonts w:ascii="FangSong_GB2312" w:hAnsi="宋体" w:cs="FangSong_GB2312" w:hint="eastAsia"/>
        </w:rPr>
        <w:t>通过仪器的信噪比，确定标准的检出限</w:t>
      </w:r>
      <w:r w:rsidR="00D67906" w:rsidRPr="005F4F46">
        <w:rPr>
          <w:rFonts w:ascii="FangSong_GB2312" w:hAnsi="宋体" w:cs="FangSong_GB2312" w:hint="eastAsia"/>
        </w:rPr>
        <w:t>；</w:t>
      </w:r>
      <w:r w:rsidRPr="005F4F46">
        <w:rPr>
          <w:rFonts w:ascii="FangSong_GB2312" w:hAnsi="宋体" w:cs="FangSong_GB2312" w:hint="eastAsia"/>
        </w:rPr>
        <w:t>确定校正曲线线性范围</w:t>
      </w:r>
      <w:r w:rsidR="00D67906" w:rsidRPr="005F4F46">
        <w:rPr>
          <w:rFonts w:ascii="FangSong_GB2312" w:hAnsi="宋体" w:cs="FangSong_GB2312" w:hint="eastAsia"/>
        </w:rPr>
        <w:t>；</w:t>
      </w:r>
      <w:r w:rsidRPr="005F4F46">
        <w:rPr>
          <w:rFonts w:ascii="FangSong_GB2312" w:hAnsi="宋体" w:cs="FangSong_GB2312" w:hint="eastAsia"/>
        </w:rPr>
        <w:t>通过加标回收试验，确定方法回收率、准确度和精密度等技术指标</w:t>
      </w:r>
      <w:r w:rsidR="00D67906" w:rsidRPr="005F4F46">
        <w:rPr>
          <w:rFonts w:ascii="FangSong_GB2312" w:hAnsi="宋体" w:cs="FangSong_GB2312" w:hint="eastAsia"/>
        </w:rPr>
        <w:t>；</w:t>
      </w:r>
      <w:r w:rsidRPr="005F4F46">
        <w:rPr>
          <w:rFonts w:ascii="FangSong_GB2312" w:hAnsi="宋体" w:cs="FangSong_GB2312" w:hint="eastAsia"/>
        </w:rPr>
        <w:t>以实验方法和数据为基础，确定养殖水体中扑草净残留量检测方法的地方标准。</w:t>
      </w:r>
    </w:p>
    <w:p w:rsidR="0078206A" w:rsidRPr="005F4F46" w:rsidRDefault="0078206A" w:rsidP="0078206A">
      <w:pPr>
        <w:spacing w:line="360" w:lineRule="auto"/>
        <w:ind w:firstLine="480"/>
        <w:rPr>
          <w:rFonts w:ascii="FangSong_GB2312" w:hAnsi="宋体" w:cs="FangSong_GB2312"/>
        </w:rPr>
      </w:pPr>
      <w:r w:rsidRPr="005F4F46">
        <w:rPr>
          <w:rFonts w:ascii="FangSong_GB2312" w:hAnsi="宋体" w:cs="FangSong_GB2312" w:hint="eastAsia"/>
        </w:rPr>
        <w:t>本研究采取的技术路线如下：水样过滤、量取</w:t>
      </w:r>
      <w:r w:rsidR="00D67906" w:rsidRPr="005F4F46">
        <w:rPr>
          <w:rFonts w:ascii="FangSong_GB2312" w:hAnsi="宋体" w:cs="FangSong_GB2312" w:hint="eastAsia"/>
        </w:rPr>
        <w:t>；</w:t>
      </w:r>
      <w:r w:rsidR="000C4145" w:rsidRPr="005F4F46">
        <w:rPr>
          <w:rFonts w:ascii="FangSong_GB2312" w:hAnsi="宋体" w:cs="FangSong_GB2312" w:hint="eastAsia"/>
        </w:rPr>
        <w:t>利用全自动固相萃取仪通过</w:t>
      </w:r>
      <w:r w:rsidRPr="005F4F46">
        <w:rPr>
          <w:rFonts w:ascii="FangSong_GB2312" w:hAnsi="宋体" w:cs="FangSong_GB2312" w:hint="eastAsia"/>
        </w:rPr>
        <w:t>HLB固相萃取柱对水样中的扑草净进行富集</w:t>
      </w:r>
      <w:r w:rsidR="000C4145" w:rsidRPr="005F4F46">
        <w:rPr>
          <w:rFonts w:ascii="FangSong_GB2312" w:hAnsi="宋体" w:cs="FangSong_GB2312" w:hint="eastAsia"/>
        </w:rPr>
        <w:t>、</w:t>
      </w:r>
      <w:r w:rsidRPr="005F4F46">
        <w:rPr>
          <w:rFonts w:ascii="FangSong_GB2312" w:hAnsi="宋体" w:cs="FangSong_GB2312" w:hint="eastAsia"/>
        </w:rPr>
        <w:t>净化</w:t>
      </w:r>
      <w:r w:rsidR="00D67906" w:rsidRPr="005F4F46">
        <w:rPr>
          <w:rFonts w:ascii="FangSong_GB2312" w:hAnsi="宋体" w:cs="FangSong_GB2312" w:hint="eastAsia"/>
        </w:rPr>
        <w:t>；</w:t>
      </w:r>
      <w:r w:rsidRPr="005F4F46">
        <w:rPr>
          <w:rFonts w:ascii="FangSong_GB2312" w:hAnsi="宋体" w:cs="FangSong_GB2312" w:hint="eastAsia"/>
        </w:rPr>
        <w:t>用甲醇洗脱</w:t>
      </w:r>
      <w:r w:rsidR="000C4145" w:rsidRPr="005F4F46">
        <w:rPr>
          <w:rFonts w:ascii="FangSong_GB2312" w:hAnsi="宋体" w:cs="FangSong_GB2312" w:hint="eastAsia"/>
        </w:rPr>
        <w:t>萃取柱</w:t>
      </w:r>
      <w:r w:rsidRPr="005F4F46">
        <w:rPr>
          <w:rFonts w:ascii="FangSong_GB2312" w:hAnsi="宋体" w:cs="FangSong_GB2312" w:hint="eastAsia"/>
        </w:rPr>
        <w:t>，并将洗脱液用氮气吹干</w:t>
      </w:r>
      <w:r w:rsidR="00D67906" w:rsidRPr="005F4F46">
        <w:rPr>
          <w:rFonts w:ascii="FangSong_GB2312" w:hAnsi="宋体" w:cs="FangSong_GB2312" w:hint="eastAsia"/>
        </w:rPr>
        <w:t>；</w:t>
      </w:r>
      <w:r w:rsidRPr="005F4F46">
        <w:rPr>
          <w:rFonts w:ascii="FangSong_GB2312" w:hAnsi="宋体" w:cs="FangSong_GB2312" w:hint="eastAsia"/>
        </w:rPr>
        <w:t>用乙腈-水溶液定容</w:t>
      </w:r>
      <w:r w:rsidR="00D67906" w:rsidRPr="005F4F46">
        <w:rPr>
          <w:rFonts w:ascii="FangSong_GB2312" w:hAnsi="宋体" w:cs="FangSong_GB2312" w:hint="eastAsia"/>
        </w:rPr>
        <w:t>；</w:t>
      </w:r>
      <w:r w:rsidRPr="005F4F46">
        <w:rPr>
          <w:rFonts w:ascii="FangSong_GB2312" w:hAnsi="宋体" w:cs="FangSong_GB2312" w:hint="eastAsia"/>
        </w:rPr>
        <w:t>用液质联用仪测定水中扑草净的含量。</w:t>
      </w:r>
    </w:p>
    <w:p w:rsidR="00086B89" w:rsidRPr="005F4F46" w:rsidRDefault="00086B89" w:rsidP="005F4F46">
      <w:pPr>
        <w:ind w:firstLineChars="200" w:firstLine="643"/>
        <w:rPr>
          <w:rFonts w:ascii="FangSong_GB2312" w:hAnsi="宋体" w:cs="FangSong_GB2312"/>
          <w:b/>
        </w:rPr>
      </w:pPr>
      <w:r w:rsidRPr="005F4F46">
        <w:rPr>
          <w:rFonts w:ascii="FangSong_GB2312" w:hAnsi="宋体" w:cs="FangSong_GB2312" w:hint="eastAsia"/>
          <w:b/>
        </w:rPr>
        <w:lastRenderedPageBreak/>
        <w:t>（</w:t>
      </w:r>
      <w:r w:rsidR="00A57D74">
        <w:rPr>
          <w:rFonts w:ascii="FangSong_GB2312" w:hAnsi="宋体" w:cs="FangSong_GB2312" w:hint="eastAsia"/>
          <w:b/>
        </w:rPr>
        <w:t>1</w:t>
      </w:r>
      <w:r w:rsidRPr="005F4F46">
        <w:rPr>
          <w:rFonts w:ascii="FangSong_GB2312" w:hAnsi="宋体" w:cs="FangSong_GB2312" w:hint="eastAsia"/>
          <w:b/>
        </w:rPr>
        <w:t>）固相萃取柱的选择</w:t>
      </w:r>
    </w:p>
    <w:p w:rsidR="00086B89" w:rsidRPr="005F4F46" w:rsidRDefault="00086B89" w:rsidP="005F4F46">
      <w:pPr>
        <w:spacing w:line="360" w:lineRule="auto"/>
        <w:ind w:firstLineChars="200" w:firstLine="640"/>
        <w:rPr>
          <w:rFonts w:ascii="FangSong_GB2312" w:hAnsi="宋体" w:cs="FangSong_GB2312"/>
        </w:rPr>
      </w:pPr>
      <w:r w:rsidRPr="005F4F46">
        <w:rPr>
          <w:rFonts w:ascii="FangSong_GB2312" w:hAnsi="宋体" w:cs="FangSong_GB2312" w:hint="eastAsia"/>
        </w:rPr>
        <w:t>水体中药物残留检测通常属于痕量分析，如果通过液液萃取来实现提取过程，往往需要较大的取样量</w:t>
      </w:r>
      <w:r w:rsidR="00F54037" w:rsidRPr="00D66135">
        <w:rPr>
          <w:rFonts w:ascii="FangSong_GB2312" w:hAnsi="宋体" w:cs="FangSong_GB2312" w:hint="eastAsia"/>
          <w:vertAlign w:val="superscript"/>
        </w:rPr>
        <w:t>[1]</w:t>
      </w:r>
      <w:r w:rsidRPr="005F4F46">
        <w:rPr>
          <w:rFonts w:ascii="FangSong_GB2312" w:hAnsi="宋体" w:cs="FangSong_GB2312" w:hint="eastAsia"/>
        </w:rPr>
        <w:t>，而且要添加更多的有机溶剂、增加更多的萃取次数，以确保较高的萃取效率。本研究利用</w:t>
      </w:r>
      <w:r w:rsidR="00EA35B3" w:rsidRPr="005F4F46">
        <w:rPr>
          <w:rFonts w:ascii="FangSong_GB2312" w:hAnsi="宋体" w:cs="FangSong_GB2312" w:hint="eastAsia"/>
        </w:rPr>
        <w:t>全自动</w:t>
      </w:r>
      <w:r w:rsidRPr="005F4F46">
        <w:rPr>
          <w:rFonts w:ascii="FangSong_GB2312" w:hAnsi="宋体" w:cs="FangSong_GB2312" w:hint="eastAsia"/>
        </w:rPr>
        <w:t>固相萃取</w:t>
      </w:r>
      <w:r w:rsidR="00EA35B3" w:rsidRPr="005F4F46">
        <w:rPr>
          <w:rFonts w:ascii="FangSong_GB2312" w:hAnsi="宋体" w:cs="FangSong_GB2312" w:hint="eastAsia"/>
        </w:rPr>
        <w:t>仪，结合固相萃取柱</w:t>
      </w:r>
      <w:r w:rsidRPr="005F4F46">
        <w:rPr>
          <w:rFonts w:ascii="FangSong_GB2312" w:hAnsi="宋体" w:cs="FangSong_GB2312" w:hint="eastAsia"/>
        </w:rPr>
        <w:t>对水样进行前处理，旨在探索一种更加高效的提取</w:t>
      </w:r>
      <w:r w:rsidR="00EA35B3" w:rsidRPr="005F4F46">
        <w:rPr>
          <w:rFonts w:ascii="FangSong_GB2312" w:hAnsi="宋体" w:cs="FangSong_GB2312" w:hint="eastAsia"/>
        </w:rPr>
        <w:t>、</w:t>
      </w:r>
      <w:r w:rsidR="00ED0228" w:rsidRPr="005F4F46">
        <w:rPr>
          <w:rFonts w:ascii="FangSong_GB2312" w:hAnsi="宋体" w:cs="FangSong_GB2312" w:hint="eastAsia"/>
        </w:rPr>
        <w:t>净化途径，期待利用较少</w:t>
      </w:r>
      <w:r w:rsidR="00B608BA" w:rsidRPr="005F4F46">
        <w:rPr>
          <w:rFonts w:ascii="FangSong_GB2312" w:hAnsi="宋体" w:cs="FangSong_GB2312" w:hint="eastAsia"/>
        </w:rPr>
        <w:t>的有机溶剂，实现</w:t>
      </w:r>
      <w:r w:rsidRPr="005F4F46">
        <w:rPr>
          <w:rFonts w:ascii="FangSong_GB2312" w:hAnsi="宋体" w:cs="FangSong_GB2312" w:hint="eastAsia"/>
        </w:rPr>
        <w:t>更高的萃取效率。</w:t>
      </w:r>
    </w:p>
    <w:p w:rsidR="00086B89" w:rsidRPr="005F4F46" w:rsidRDefault="00086B89" w:rsidP="005F4F46">
      <w:pPr>
        <w:spacing w:line="360" w:lineRule="auto"/>
        <w:ind w:firstLineChars="200" w:firstLine="640"/>
        <w:rPr>
          <w:rFonts w:ascii="FangSong_GB2312" w:hAnsi="宋体" w:cs="FangSong_GB2312"/>
        </w:rPr>
      </w:pPr>
      <w:r w:rsidRPr="005F4F46">
        <w:rPr>
          <w:rFonts w:ascii="FangSong_GB2312" w:hAnsi="宋体" w:cs="FangSong_GB2312" w:hint="eastAsia"/>
        </w:rPr>
        <w:t>本研究对比了HLB和C18两种固相萃取柱的处理效果，结果表明经过二者处理过的水样中，目标化合物的响应值差异不大，考虑到HLB柱是亲水-亲脂型固相萃取柱，其选择性更优</w:t>
      </w:r>
      <w:r w:rsidR="00F54037" w:rsidRPr="00D66135">
        <w:rPr>
          <w:rFonts w:ascii="FangSong_GB2312" w:hAnsi="宋体" w:cs="FangSong_GB2312" w:hint="eastAsia"/>
          <w:vertAlign w:val="superscript"/>
        </w:rPr>
        <w:t>[2]</w:t>
      </w:r>
      <w:r w:rsidRPr="005F4F46">
        <w:rPr>
          <w:rFonts w:ascii="FangSong_GB2312" w:hAnsi="宋体" w:cs="FangSong_GB2312" w:hint="eastAsia"/>
        </w:rPr>
        <w:t>，在处理基质较为复杂的样品时，会表现出更佳的效果。因此，本研究使用HLB固相萃取柱</w:t>
      </w:r>
      <w:r w:rsidR="00FB4DE5" w:rsidRPr="005F4F46">
        <w:rPr>
          <w:rFonts w:ascii="FangSong_GB2312" w:hAnsi="宋体" w:cs="FangSong_GB2312" w:hint="eastAsia"/>
        </w:rPr>
        <w:t>处理水样</w:t>
      </w:r>
      <w:r w:rsidRPr="005F4F46">
        <w:rPr>
          <w:rFonts w:ascii="FangSong_GB2312" w:hAnsi="宋体" w:cs="FangSong_GB2312" w:hint="eastAsia"/>
        </w:rPr>
        <w:t>。</w:t>
      </w:r>
    </w:p>
    <w:p w:rsidR="00086B89" w:rsidRPr="005F4F46" w:rsidRDefault="00086B89" w:rsidP="005F4F46">
      <w:pPr>
        <w:spacing w:line="360" w:lineRule="auto"/>
        <w:ind w:firstLineChars="200" w:firstLine="643"/>
        <w:rPr>
          <w:rFonts w:ascii="FangSong_GB2312" w:hAnsi="宋体" w:cs="FangSong_GB2312"/>
          <w:b/>
        </w:rPr>
      </w:pPr>
      <w:r w:rsidRPr="005F4F46">
        <w:rPr>
          <w:rFonts w:ascii="FangSong_GB2312" w:hAnsi="宋体" w:cs="FangSong_GB2312" w:hint="eastAsia"/>
          <w:b/>
        </w:rPr>
        <w:t>（</w:t>
      </w:r>
      <w:r w:rsidR="00D66135">
        <w:rPr>
          <w:rFonts w:ascii="FangSong_GB2312" w:hAnsi="宋体" w:cs="FangSong_GB2312" w:hint="eastAsia"/>
          <w:b/>
        </w:rPr>
        <w:t>2</w:t>
      </w:r>
      <w:r w:rsidRPr="005F4F46">
        <w:rPr>
          <w:rFonts w:ascii="FangSong_GB2312" w:hAnsi="宋体" w:cs="FangSong_GB2312" w:hint="eastAsia"/>
          <w:b/>
        </w:rPr>
        <w:t>）取样量、过柱流速以及洗脱溶剂的确定</w:t>
      </w:r>
    </w:p>
    <w:p w:rsidR="00086B89" w:rsidRPr="005F4F46" w:rsidRDefault="00477289" w:rsidP="005F4F46">
      <w:pPr>
        <w:spacing w:line="360" w:lineRule="auto"/>
        <w:ind w:firstLineChars="200" w:firstLine="640"/>
        <w:rPr>
          <w:rFonts w:ascii="FangSong_GB2312" w:hAnsi="宋体" w:cs="FangSong_GB2312"/>
        </w:rPr>
      </w:pPr>
      <w:r w:rsidRPr="005F4F46">
        <w:rPr>
          <w:rFonts w:ascii="FangSong_GB2312" w:hAnsi="宋体" w:cs="FangSong_GB2312" w:hint="eastAsia"/>
        </w:rPr>
        <w:t>较大的过柱体积会导致固相萃取柱的填料塌陷，从而会导致萃取结果发生偏差。有研究</w:t>
      </w:r>
      <w:r w:rsidR="00217264" w:rsidRPr="005F4F46">
        <w:rPr>
          <w:rFonts w:ascii="FangSong_GB2312" w:hAnsi="宋体" w:cs="FangSong_GB2312" w:hint="eastAsia"/>
        </w:rPr>
        <w:t>表明，降低过柱体积或者在水样中加入少量甲醇，可以有效改善萃取小柱塌陷的情况</w:t>
      </w:r>
      <w:r w:rsidR="00CA2E2A" w:rsidRPr="00D66135">
        <w:rPr>
          <w:rFonts w:ascii="FangSong_GB2312" w:hAnsi="宋体" w:cs="FangSong_GB2312" w:hint="eastAsia"/>
          <w:vertAlign w:val="superscript"/>
        </w:rPr>
        <w:t>[3]</w:t>
      </w:r>
      <w:r w:rsidR="00957178" w:rsidRPr="005F4F46">
        <w:rPr>
          <w:rFonts w:ascii="FangSong_GB2312" w:hAnsi="宋体" w:cs="FangSong_GB2312" w:hint="eastAsia"/>
        </w:rPr>
        <w:t xml:space="preserve">。考虑到仪器间的差异及大体积水样过柱时可能导致的萃取表面积减少、萃取效率降低等问题，本方法选择样品的过柱体积为100 </w:t>
      </w:r>
      <w:r w:rsidR="00957178" w:rsidRPr="005F4F46">
        <w:rPr>
          <w:rFonts w:ascii="FangSong_GB2312" w:hAnsi="宋体" w:cs="FangSong_GB2312"/>
        </w:rPr>
        <w:t>mL</w:t>
      </w:r>
      <w:r w:rsidR="00957178" w:rsidRPr="005F4F46">
        <w:rPr>
          <w:rFonts w:ascii="FangSong_GB2312" w:hAnsi="宋体" w:cs="FangSong_GB2312" w:hint="eastAsia"/>
        </w:rPr>
        <w:t>，过柱流速为6 mL/min。</w:t>
      </w:r>
      <w:r w:rsidR="00217264" w:rsidRPr="005F4F46">
        <w:rPr>
          <w:rFonts w:ascii="FangSong_GB2312" w:hAnsi="宋体" w:cs="FangSong_GB2312" w:hint="eastAsia"/>
        </w:rPr>
        <w:t>在此基础上，研究了甲醇对样品回收率的影响：</w:t>
      </w:r>
      <w:r w:rsidR="00086B89" w:rsidRPr="005F4F46">
        <w:rPr>
          <w:rFonts w:ascii="FangSong_GB2312" w:hAnsi="宋体" w:cs="FangSong_GB2312" w:hint="eastAsia"/>
        </w:rPr>
        <w:t>向一空白水样中加入5%甲醇，另设一不加甲醇的空白水样，同样萃取条件下，两组对照样品获得的实验结果并无明显区别。</w:t>
      </w:r>
      <w:r w:rsidR="00957178" w:rsidRPr="005F4F46">
        <w:rPr>
          <w:rFonts w:ascii="FangSong_GB2312" w:hAnsi="宋体" w:cs="FangSong_GB2312" w:hint="eastAsia"/>
        </w:rPr>
        <w:t xml:space="preserve">说明，100 </w:t>
      </w:r>
      <w:r w:rsidR="00957178" w:rsidRPr="005F4F46">
        <w:rPr>
          <w:rFonts w:ascii="FangSong_GB2312" w:hAnsi="宋体" w:cs="FangSong_GB2312"/>
        </w:rPr>
        <w:t>mL</w:t>
      </w:r>
      <w:r w:rsidR="00957178" w:rsidRPr="005F4F46">
        <w:rPr>
          <w:rFonts w:ascii="FangSong_GB2312" w:hAnsi="宋体" w:cs="FangSong_GB2312" w:hint="eastAsia"/>
        </w:rPr>
        <w:t>体积的水样，</w:t>
      </w:r>
      <w:r w:rsidR="00957178" w:rsidRPr="005F4F46">
        <w:rPr>
          <w:rFonts w:ascii="FangSong_GB2312" w:hAnsi="宋体" w:cs="FangSong_GB2312" w:hint="eastAsia"/>
        </w:rPr>
        <w:lastRenderedPageBreak/>
        <w:t>不会对萃取柱造成影响，</w:t>
      </w:r>
      <w:r w:rsidR="00086B89" w:rsidRPr="005F4F46">
        <w:rPr>
          <w:rFonts w:ascii="FangSong_GB2312" w:hAnsi="宋体" w:cs="FangSong_GB2312" w:hint="eastAsia"/>
        </w:rPr>
        <w:t>因此本研究</w:t>
      </w:r>
      <w:r w:rsidR="00957178" w:rsidRPr="005F4F46">
        <w:rPr>
          <w:rFonts w:ascii="FangSong_GB2312" w:hAnsi="宋体" w:cs="FangSong_GB2312" w:hint="eastAsia"/>
        </w:rPr>
        <w:t>在前处理过程中，不需要向水样中添加</w:t>
      </w:r>
      <w:r w:rsidR="00086B89" w:rsidRPr="005F4F46">
        <w:rPr>
          <w:rFonts w:ascii="FangSong_GB2312" w:hAnsi="宋体" w:cs="FangSong_GB2312" w:hint="eastAsia"/>
        </w:rPr>
        <w:t>5%甲醇，在满足回收率和重复性的同时还提高了实验的前处理效率。</w:t>
      </w:r>
    </w:p>
    <w:p w:rsidR="00957178" w:rsidRPr="005F4F46" w:rsidRDefault="00086B89" w:rsidP="005F4F46">
      <w:pPr>
        <w:spacing w:line="360" w:lineRule="auto"/>
        <w:ind w:firstLineChars="200" w:firstLine="640"/>
        <w:rPr>
          <w:rFonts w:ascii="FangSong_GB2312" w:hAnsi="宋体" w:cs="FangSong_GB2312"/>
        </w:rPr>
      </w:pPr>
      <w:r w:rsidRPr="005F4F46">
        <w:rPr>
          <w:rFonts w:ascii="FangSong_GB2312" w:hAnsi="宋体" w:cs="FangSong_GB2312" w:hint="eastAsia"/>
        </w:rPr>
        <w:t>扑草净在甲醇和乙</w:t>
      </w:r>
      <w:r w:rsidR="00957178" w:rsidRPr="005F4F46">
        <w:rPr>
          <w:rFonts w:ascii="FangSong_GB2312" w:hAnsi="宋体" w:cs="FangSong_GB2312" w:hint="eastAsia"/>
        </w:rPr>
        <w:t>腈两种有机溶剂中都易溶解，考虑到溶剂的毒性和经济性，本研究选择</w:t>
      </w:r>
      <w:r w:rsidRPr="005F4F46">
        <w:rPr>
          <w:rFonts w:ascii="FangSong_GB2312" w:hAnsi="宋体" w:cs="FangSong_GB2312" w:hint="eastAsia"/>
        </w:rPr>
        <w:t>甲醇作为洗脱溶剂。洗脱溶剂的</w:t>
      </w:r>
      <w:r w:rsidR="00217264" w:rsidRPr="005F4F46">
        <w:rPr>
          <w:rFonts w:ascii="FangSong_GB2312" w:hAnsi="宋体" w:cs="FangSong_GB2312" w:hint="eastAsia"/>
        </w:rPr>
        <w:t>体积越大，需要的吹干时间就越长，体积</w:t>
      </w:r>
      <w:r w:rsidR="006779FE" w:rsidRPr="005F4F46">
        <w:rPr>
          <w:rFonts w:ascii="FangSong_GB2312" w:hAnsi="宋体" w:cs="FangSong_GB2312" w:hint="eastAsia"/>
        </w:rPr>
        <w:t>过小又容易导致洗脱不完全。</w:t>
      </w:r>
      <w:r w:rsidRPr="005F4F46">
        <w:rPr>
          <w:rFonts w:ascii="FangSong_GB2312" w:hAnsi="宋体" w:cs="FangSong_GB2312" w:hint="eastAsia"/>
        </w:rPr>
        <w:t>研究对比了使用5 mL甲醇和8 mL甲醇洗脱的效果，</w:t>
      </w:r>
      <w:r w:rsidR="00E15883" w:rsidRPr="005F4F46">
        <w:rPr>
          <w:rFonts w:ascii="FangSong_GB2312" w:hAnsi="宋体" w:cs="FangSong_GB2312" w:hint="eastAsia"/>
        </w:rPr>
        <w:t>发现</w:t>
      </w:r>
      <w:r w:rsidRPr="005F4F46">
        <w:rPr>
          <w:rFonts w:ascii="FangSong_GB2312" w:hAnsi="宋体" w:cs="FangSong_GB2312" w:hint="eastAsia"/>
        </w:rPr>
        <w:t>在使用5 mL甲醇洗脱后，重复</w:t>
      </w:r>
      <w:r w:rsidR="006779FE" w:rsidRPr="005F4F46">
        <w:rPr>
          <w:rFonts w:ascii="FangSong_GB2312" w:hAnsi="宋体" w:cs="FangSong_GB2312" w:hint="eastAsia"/>
        </w:rPr>
        <w:t>洗脱固相萃取柱时，会洗脱出微量的目标化合物，为确保较高浓度的目标</w:t>
      </w:r>
      <w:r w:rsidRPr="005F4F46">
        <w:rPr>
          <w:rFonts w:ascii="FangSong_GB2312" w:hAnsi="宋体" w:cs="FangSong_GB2312" w:hint="eastAsia"/>
        </w:rPr>
        <w:t>化合物被完全洗脱，</w:t>
      </w:r>
      <w:r w:rsidR="00E15883" w:rsidRPr="005F4F46">
        <w:rPr>
          <w:rFonts w:ascii="FangSong_GB2312" w:hAnsi="宋体" w:cs="FangSong_GB2312" w:hint="eastAsia"/>
        </w:rPr>
        <w:t>同时</w:t>
      </w:r>
      <w:r w:rsidRPr="005F4F46">
        <w:rPr>
          <w:rFonts w:ascii="FangSong_GB2312" w:hAnsi="宋体" w:cs="FangSong_GB2312" w:hint="eastAsia"/>
        </w:rPr>
        <w:t>兼顾效率和回收率，本</w:t>
      </w:r>
      <w:r w:rsidR="006779FE" w:rsidRPr="005F4F46">
        <w:rPr>
          <w:rFonts w:ascii="FangSong_GB2312" w:hAnsi="宋体" w:cs="FangSong_GB2312" w:hint="eastAsia"/>
        </w:rPr>
        <w:t>研究</w:t>
      </w:r>
      <w:r w:rsidRPr="005F4F46">
        <w:rPr>
          <w:rFonts w:ascii="FangSong_GB2312" w:hAnsi="宋体" w:cs="FangSong_GB2312" w:hint="eastAsia"/>
        </w:rPr>
        <w:t>选择的洗脱液甲醇的体积为8 mL。</w:t>
      </w:r>
    </w:p>
    <w:p w:rsidR="00086B89" w:rsidRPr="005F4F46" w:rsidRDefault="00086B89" w:rsidP="005F4F46">
      <w:pPr>
        <w:spacing w:line="360" w:lineRule="auto"/>
        <w:ind w:firstLineChars="200" w:firstLine="643"/>
        <w:rPr>
          <w:rFonts w:ascii="FangSong_GB2312" w:hAnsi="宋体" w:cs="FangSong_GB2312"/>
          <w:b/>
        </w:rPr>
      </w:pPr>
      <w:r w:rsidRPr="005F4F46">
        <w:rPr>
          <w:rFonts w:ascii="FangSong_GB2312" w:hAnsi="宋体" w:cs="FangSong_GB2312" w:hint="eastAsia"/>
          <w:b/>
        </w:rPr>
        <w:t>（</w:t>
      </w:r>
      <w:r w:rsidR="00D66135">
        <w:rPr>
          <w:rFonts w:ascii="FangSong_GB2312" w:hAnsi="宋体" w:cs="FangSong_GB2312" w:hint="eastAsia"/>
          <w:b/>
        </w:rPr>
        <w:t>3</w:t>
      </w:r>
      <w:r w:rsidRPr="005F4F46">
        <w:rPr>
          <w:rFonts w:ascii="FangSong_GB2312" w:hAnsi="宋体" w:cs="FangSong_GB2312" w:hint="eastAsia"/>
          <w:b/>
        </w:rPr>
        <w:t>）甲酸的影响</w:t>
      </w:r>
    </w:p>
    <w:p w:rsidR="00086B89" w:rsidRPr="005F4F46" w:rsidRDefault="00E6053A" w:rsidP="005F4F46">
      <w:pPr>
        <w:spacing w:line="360" w:lineRule="auto"/>
        <w:ind w:firstLineChars="200" w:firstLine="640"/>
        <w:rPr>
          <w:rFonts w:ascii="FangSong_GB2312" w:hAnsi="宋体" w:cs="FangSong_GB2312"/>
        </w:rPr>
      </w:pPr>
      <w:r w:rsidRPr="005F4F46">
        <w:rPr>
          <w:rFonts w:ascii="FangSong_GB2312" w:hAnsi="宋体" w:cs="FangSong_GB2312"/>
        </w:rPr>
        <w:fldChar w:fldCharType="begin"/>
      </w:r>
      <w:r w:rsidR="00086B89" w:rsidRPr="005F4F46">
        <w:rPr>
          <w:rFonts w:ascii="FangSong_GB2312" w:hAnsi="宋体" w:cs="FangSong_GB2312"/>
        </w:rPr>
        <w:instrText xml:space="preserve"> </w:instrText>
      </w:r>
      <w:r w:rsidR="00086B89" w:rsidRPr="005F4F46">
        <w:rPr>
          <w:rFonts w:ascii="FangSong_GB2312" w:hAnsi="宋体" w:cs="FangSong_GB2312" w:hint="eastAsia"/>
        </w:rPr>
        <w:instrText>= 1 \* roman</w:instrText>
      </w:r>
      <w:r w:rsidR="00086B89" w:rsidRPr="005F4F46">
        <w:rPr>
          <w:rFonts w:ascii="FangSong_GB2312" w:hAnsi="宋体" w:cs="FangSong_GB2312"/>
        </w:rPr>
        <w:instrText xml:space="preserve"> </w:instrText>
      </w:r>
      <w:r w:rsidRPr="005F4F46">
        <w:rPr>
          <w:rFonts w:ascii="FangSong_GB2312" w:hAnsi="宋体" w:cs="FangSong_GB2312"/>
        </w:rPr>
        <w:fldChar w:fldCharType="separate"/>
      </w:r>
      <w:r w:rsidR="00086B89" w:rsidRPr="005F4F46">
        <w:rPr>
          <w:rFonts w:ascii="FangSong_GB2312" w:hAnsi="宋体" w:cs="FangSong_GB2312"/>
        </w:rPr>
        <w:t>i</w:t>
      </w:r>
      <w:r w:rsidRPr="005F4F46">
        <w:rPr>
          <w:rFonts w:ascii="FangSong_GB2312" w:hAnsi="宋体" w:cs="FangSong_GB2312"/>
        </w:rPr>
        <w:fldChar w:fldCharType="end"/>
      </w:r>
      <w:r w:rsidR="00086B89" w:rsidRPr="005F4F46">
        <w:rPr>
          <w:rFonts w:ascii="FangSong_GB2312" w:hAnsi="宋体" w:cs="FangSong_GB2312" w:hint="eastAsia"/>
        </w:rPr>
        <w:t>. 流动相中甲酸的影响</w:t>
      </w:r>
    </w:p>
    <w:p w:rsidR="00086B89" w:rsidRPr="005F4F46" w:rsidRDefault="00086B89" w:rsidP="005F4F46">
      <w:pPr>
        <w:spacing w:line="360" w:lineRule="auto"/>
        <w:ind w:firstLineChars="200" w:firstLine="640"/>
        <w:rPr>
          <w:rFonts w:ascii="FangSong_GB2312" w:hAnsi="宋体" w:cs="FangSong_GB2312"/>
        </w:rPr>
      </w:pPr>
      <w:r w:rsidRPr="005F4F46">
        <w:rPr>
          <w:rFonts w:ascii="FangSong_GB2312" w:hAnsi="宋体" w:cs="FangSong_GB2312" w:hint="eastAsia"/>
        </w:rPr>
        <w:t>通常，在液质联用仪的上机过程</w:t>
      </w:r>
      <w:r w:rsidR="006779FE" w:rsidRPr="005F4F46">
        <w:rPr>
          <w:rFonts w:ascii="FangSong_GB2312" w:hAnsi="宋体" w:cs="FangSong_GB2312" w:hint="eastAsia"/>
        </w:rPr>
        <w:t>中，含甲酸的流动相</w:t>
      </w:r>
      <w:r w:rsidRPr="005F4F46">
        <w:rPr>
          <w:rFonts w:ascii="FangSong_GB2312" w:hAnsi="宋体" w:cs="FangSong_GB2312" w:hint="eastAsia"/>
        </w:rPr>
        <w:t>可以促进目标物离子化，</w:t>
      </w:r>
      <w:r w:rsidR="006779FE" w:rsidRPr="005F4F46">
        <w:rPr>
          <w:rFonts w:ascii="FangSong_GB2312" w:hAnsi="宋体" w:cs="FangSong_GB2312" w:hint="eastAsia"/>
        </w:rPr>
        <w:t>因此向流动相中加入甲酸有可能提高目标化合物</w:t>
      </w:r>
      <w:r w:rsidRPr="005F4F46">
        <w:rPr>
          <w:rFonts w:ascii="FangSong_GB2312" w:hAnsi="宋体" w:cs="FangSong_GB2312" w:hint="eastAsia"/>
        </w:rPr>
        <w:t>响应值</w:t>
      </w:r>
      <w:r w:rsidR="006779FE" w:rsidRPr="005F4F46">
        <w:rPr>
          <w:rFonts w:ascii="FangSong_GB2312" w:hAnsi="宋体" w:cs="FangSong_GB2312" w:hint="eastAsia"/>
        </w:rPr>
        <w:t>，从而提高分析方法的灵敏度</w:t>
      </w:r>
      <w:r w:rsidRPr="005F4F46">
        <w:rPr>
          <w:rFonts w:ascii="FangSong_GB2312" w:hAnsi="宋体" w:cs="FangSong_GB2312" w:hint="eastAsia"/>
        </w:rPr>
        <w:t>。</w:t>
      </w:r>
      <w:r w:rsidR="006779FE" w:rsidRPr="005F4F46">
        <w:rPr>
          <w:rFonts w:ascii="FangSong_GB2312" w:hAnsi="宋体" w:cs="FangSong_GB2312" w:hint="eastAsia"/>
        </w:rPr>
        <w:t>本研究对比了</w:t>
      </w:r>
      <w:r w:rsidRPr="005F4F46">
        <w:rPr>
          <w:rFonts w:ascii="FangSong_GB2312" w:hAnsi="宋体" w:cs="FangSong_GB2312" w:hint="eastAsia"/>
        </w:rPr>
        <w:t>无甲酸的流动相和含0.1%甲酸的流动相。结果</w:t>
      </w:r>
      <w:r w:rsidR="006779FE" w:rsidRPr="005F4F46">
        <w:rPr>
          <w:rFonts w:ascii="FangSong_GB2312" w:hAnsi="宋体" w:cs="FangSong_GB2312" w:hint="eastAsia"/>
        </w:rPr>
        <w:t>表明</w:t>
      </w:r>
      <w:r w:rsidRPr="005F4F46">
        <w:rPr>
          <w:rFonts w:ascii="FangSong_GB2312" w:hAnsi="宋体" w:cs="FangSong_GB2312" w:hint="eastAsia"/>
        </w:rPr>
        <w:t>，当流动相中不含甲酸时，扑草净的响应值远高于流动相中含0.1</w:t>
      </w:r>
      <w:r w:rsidR="006779FE" w:rsidRPr="005F4F46">
        <w:rPr>
          <w:rFonts w:ascii="FangSong_GB2312" w:hAnsi="宋体" w:cs="FangSong_GB2312" w:hint="eastAsia"/>
        </w:rPr>
        <w:t>%</w:t>
      </w:r>
      <w:r w:rsidRPr="005F4F46">
        <w:rPr>
          <w:rFonts w:ascii="FangSong_GB2312" w:hAnsi="宋体" w:cs="FangSong_GB2312" w:hint="eastAsia"/>
        </w:rPr>
        <w:t>甲酸的样品，因此在上机过程中，不需要在流动相中引入甲酸。</w:t>
      </w:r>
    </w:p>
    <w:p w:rsidR="002D794E" w:rsidRPr="005F4F46" w:rsidRDefault="002D794E" w:rsidP="00E565DD">
      <w:pPr>
        <w:spacing w:line="360" w:lineRule="auto"/>
        <w:jc w:val="center"/>
        <w:rPr>
          <w:rFonts w:ascii="FangSong_GB2312" w:hAnsi="宋体" w:cs="FangSong_GB2312"/>
        </w:rPr>
      </w:pPr>
      <w:r w:rsidRPr="005F4F46">
        <w:rPr>
          <w:rFonts w:ascii="FangSong_GB2312" w:hAnsi="宋体" w:cs="FangSong_GB2312"/>
        </w:rPr>
        <w:lastRenderedPageBreak/>
        <w:drawing>
          <wp:inline distT="0" distB="0" distL="0" distR="0">
            <wp:extent cx="2978150" cy="15875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65DD" w:rsidRPr="005F4F46" w:rsidRDefault="00E565DD" w:rsidP="00E565DD">
      <w:pPr>
        <w:spacing w:line="360" w:lineRule="auto"/>
        <w:jc w:val="center"/>
        <w:rPr>
          <w:rFonts w:ascii="FangSong_GB2312" w:hAnsi="宋体" w:cs="FangSong_GB2312"/>
        </w:rPr>
      </w:pPr>
      <w:r w:rsidRPr="005F4F46">
        <w:rPr>
          <w:rFonts w:ascii="FangSong_GB2312" w:hAnsi="宋体" w:cs="FangSong_GB2312" w:hint="eastAsia"/>
        </w:rPr>
        <w:t>图1. 流动相中</w:t>
      </w:r>
      <w:r w:rsidR="006779FE" w:rsidRPr="005F4F46">
        <w:rPr>
          <w:rFonts w:ascii="FangSong_GB2312" w:hAnsi="宋体" w:cs="FangSong_GB2312" w:hint="eastAsia"/>
        </w:rPr>
        <w:t>的</w:t>
      </w:r>
      <w:r w:rsidRPr="005F4F46">
        <w:rPr>
          <w:rFonts w:ascii="FangSong_GB2312" w:hAnsi="宋体" w:cs="FangSong_GB2312" w:hint="eastAsia"/>
        </w:rPr>
        <w:t>甲酸对扑草净响应的影响</w:t>
      </w:r>
    </w:p>
    <w:p w:rsidR="00086B89" w:rsidRPr="005F4F46" w:rsidRDefault="00E6053A" w:rsidP="005F4F46">
      <w:pPr>
        <w:spacing w:line="360" w:lineRule="auto"/>
        <w:ind w:firstLineChars="200" w:firstLine="640"/>
        <w:rPr>
          <w:rFonts w:ascii="FangSong_GB2312" w:hAnsi="宋体" w:cs="FangSong_GB2312"/>
        </w:rPr>
      </w:pPr>
      <w:r w:rsidRPr="005F4F46">
        <w:rPr>
          <w:rFonts w:ascii="FangSong_GB2312" w:hAnsi="宋体" w:cs="FangSong_GB2312"/>
        </w:rPr>
        <w:fldChar w:fldCharType="begin"/>
      </w:r>
      <w:r w:rsidR="00086B89" w:rsidRPr="005F4F46">
        <w:rPr>
          <w:rFonts w:ascii="FangSong_GB2312" w:hAnsi="宋体" w:cs="FangSong_GB2312"/>
        </w:rPr>
        <w:instrText xml:space="preserve"> </w:instrText>
      </w:r>
      <w:r w:rsidR="00086B89" w:rsidRPr="005F4F46">
        <w:rPr>
          <w:rFonts w:ascii="FangSong_GB2312" w:hAnsi="宋体" w:cs="FangSong_GB2312" w:hint="eastAsia"/>
        </w:rPr>
        <w:instrText>= 2 \* roman</w:instrText>
      </w:r>
      <w:r w:rsidR="00086B89" w:rsidRPr="005F4F46">
        <w:rPr>
          <w:rFonts w:ascii="FangSong_GB2312" w:hAnsi="宋体" w:cs="FangSong_GB2312"/>
        </w:rPr>
        <w:instrText xml:space="preserve"> </w:instrText>
      </w:r>
      <w:r w:rsidRPr="005F4F46">
        <w:rPr>
          <w:rFonts w:ascii="FangSong_GB2312" w:hAnsi="宋体" w:cs="FangSong_GB2312"/>
        </w:rPr>
        <w:fldChar w:fldCharType="separate"/>
      </w:r>
      <w:r w:rsidR="00086B89" w:rsidRPr="005F4F46">
        <w:rPr>
          <w:rFonts w:ascii="FangSong_GB2312" w:hAnsi="宋体" w:cs="FangSong_GB2312"/>
        </w:rPr>
        <w:t>ii</w:t>
      </w:r>
      <w:r w:rsidRPr="005F4F46">
        <w:rPr>
          <w:rFonts w:ascii="FangSong_GB2312" w:hAnsi="宋体" w:cs="FangSong_GB2312"/>
        </w:rPr>
        <w:fldChar w:fldCharType="end"/>
      </w:r>
      <w:r w:rsidR="00086B89" w:rsidRPr="005F4F46">
        <w:rPr>
          <w:rFonts w:ascii="FangSong_GB2312" w:hAnsi="宋体" w:cs="FangSong_GB2312" w:hint="eastAsia"/>
        </w:rPr>
        <w:t>. 定容试剂中甲酸的影响</w:t>
      </w:r>
    </w:p>
    <w:p w:rsidR="00D4128D" w:rsidRPr="005F4F46" w:rsidRDefault="00086B89" w:rsidP="005F4F46">
      <w:pPr>
        <w:spacing w:line="360" w:lineRule="auto"/>
        <w:ind w:firstLineChars="200" w:firstLine="640"/>
        <w:rPr>
          <w:rFonts w:ascii="FangSong_GB2312" w:hAnsi="宋体" w:cs="FangSong_GB2312"/>
        </w:rPr>
      </w:pPr>
      <w:r w:rsidRPr="005F4F46">
        <w:rPr>
          <w:rFonts w:ascii="FangSong_GB2312" w:hAnsi="宋体" w:cs="FangSong_GB2312" w:hint="eastAsia"/>
        </w:rPr>
        <w:t>定容溶剂中是否含有甲酸</w:t>
      </w:r>
      <w:r w:rsidR="006779FE" w:rsidRPr="005F4F46">
        <w:rPr>
          <w:rFonts w:ascii="FangSong_GB2312" w:hAnsi="宋体" w:cs="FangSong_GB2312" w:hint="eastAsia"/>
        </w:rPr>
        <w:t>也</w:t>
      </w:r>
      <w:r w:rsidRPr="005F4F46">
        <w:rPr>
          <w:rFonts w:ascii="FangSong_GB2312" w:hAnsi="宋体" w:cs="FangSong_GB2312" w:hint="eastAsia"/>
        </w:rPr>
        <w:t>会对目标物</w:t>
      </w:r>
      <w:r w:rsidR="006779FE" w:rsidRPr="005F4F46">
        <w:rPr>
          <w:rFonts w:ascii="FangSong_GB2312" w:hAnsi="宋体" w:cs="FangSong_GB2312" w:hint="eastAsia"/>
        </w:rPr>
        <w:t>的</w:t>
      </w:r>
      <w:r w:rsidRPr="005F4F46">
        <w:rPr>
          <w:rFonts w:ascii="FangSong_GB2312" w:hAnsi="宋体" w:cs="FangSong_GB2312" w:hint="eastAsia"/>
        </w:rPr>
        <w:t>响应产生影响，分别用纯水和含</w:t>
      </w:r>
      <w:r w:rsidR="00074A88" w:rsidRPr="005F4F46">
        <w:rPr>
          <w:rFonts w:ascii="FangSong_GB2312" w:hAnsi="宋体" w:cs="FangSong_GB2312" w:hint="eastAsia"/>
        </w:rPr>
        <w:t>1</w:t>
      </w:r>
      <w:r w:rsidRPr="005F4F46">
        <w:rPr>
          <w:rFonts w:ascii="FangSong_GB2312" w:hAnsi="宋体" w:cs="FangSong_GB2312" w:hint="eastAsia"/>
        </w:rPr>
        <w:t>%甲酸的水溶液定容提取物，结果显示，定容溶剂中是否含有甲酸，对扑草净的响应</w:t>
      </w:r>
      <w:r w:rsidR="00231A5A" w:rsidRPr="005F4F46">
        <w:rPr>
          <w:rFonts w:ascii="FangSong_GB2312" w:hAnsi="宋体" w:cs="FangSong_GB2312" w:hint="eastAsia"/>
        </w:rPr>
        <w:t>值</w:t>
      </w:r>
      <w:r w:rsidRPr="005F4F46">
        <w:rPr>
          <w:rFonts w:ascii="FangSong_GB2312" w:hAnsi="宋体" w:cs="FangSong_GB2312" w:hint="eastAsia"/>
        </w:rPr>
        <w:t>影响很小，为了跟流动相保持一致，我们在定容过程中，选择不含甲酸的溶剂定容提取物。</w:t>
      </w:r>
    </w:p>
    <w:p w:rsidR="00E13250" w:rsidRPr="005F4F46" w:rsidRDefault="00855EB6" w:rsidP="005F4F46">
      <w:pPr>
        <w:spacing w:line="360" w:lineRule="auto"/>
        <w:ind w:firstLineChars="200" w:firstLine="643"/>
        <w:rPr>
          <w:rFonts w:ascii="FangSong_GB2312" w:hAnsi="宋体" w:cs="FangSong_GB2312"/>
          <w:b/>
        </w:rPr>
      </w:pPr>
      <w:r w:rsidRPr="005F4F46">
        <w:rPr>
          <w:rFonts w:ascii="FangSong_GB2312" w:hAnsi="宋体" w:cs="FangSong_GB2312" w:hint="eastAsia"/>
          <w:b/>
        </w:rPr>
        <w:t>（</w:t>
      </w:r>
      <w:r w:rsidR="00D66135">
        <w:rPr>
          <w:rFonts w:ascii="FangSong_GB2312" w:hAnsi="宋体" w:cs="FangSong_GB2312" w:hint="eastAsia"/>
          <w:b/>
        </w:rPr>
        <w:t>4</w:t>
      </w:r>
      <w:r w:rsidRPr="005F4F46">
        <w:rPr>
          <w:rFonts w:ascii="FangSong_GB2312" w:hAnsi="宋体" w:cs="FangSong_GB2312" w:hint="eastAsia"/>
          <w:b/>
        </w:rPr>
        <w:t>）内标法和外标法的比较</w:t>
      </w:r>
    </w:p>
    <w:p w:rsidR="00AB1127" w:rsidRPr="005F4F46" w:rsidRDefault="00AB1127" w:rsidP="005F4F46">
      <w:pPr>
        <w:spacing w:line="360" w:lineRule="auto"/>
        <w:ind w:firstLineChars="200" w:firstLine="640"/>
        <w:rPr>
          <w:rFonts w:ascii="FangSong_GB2312" w:hAnsi="宋体" w:cs="FangSong_GB2312"/>
        </w:rPr>
      </w:pPr>
      <w:r w:rsidRPr="005F4F46">
        <w:rPr>
          <w:rFonts w:ascii="FangSong_GB2312" w:hAnsi="宋体" w:cs="FangSong_GB2312" w:hint="eastAsia"/>
        </w:rPr>
        <w:t>在本标准的制定过程中，对外标法和内标法两种检测方法进行了比较。</w:t>
      </w:r>
      <w:r w:rsidR="00B03D22" w:rsidRPr="005F4F46">
        <w:rPr>
          <w:rFonts w:ascii="FangSong_GB2312" w:hAnsi="宋体" w:cs="FangSong_GB2312" w:hint="eastAsia"/>
        </w:rPr>
        <w:t>外标法检测对前处理过程的要求很高，经过一系列前处理过程后，得到的实验结果往往存在回收率较低的问题。本研究</w:t>
      </w:r>
      <w:r w:rsidRPr="005F4F46">
        <w:rPr>
          <w:rFonts w:ascii="FangSong_GB2312" w:hAnsi="宋体" w:cs="FangSong_GB2312" w:hint="eastAsia"/>
        </w:rPr>
        <w:t>结果发现，虽然两种方法都可以满足水样中扑草净残留的测定，但是利用外标法定量的水样，扑草净的回收率偏低，在70%左右，且相对标准偏差较大。</w:t>
      </w:r>
      <w:r w:rsidR="00B03D22" w:rsidRPr="005F4F46">
        <w:rPr>
          <w:rFonts w:ascii="FangSong_GB2312" w:hAnsi="宋体" w:cs="FangSong_GB2312" w:hint="eastAsia"/>
        </w:rPr>
        <w:t>本研究采用内标法定量</w:t>
      </w:r>
      <w:r w:rsidRPr="005F4F46">
        <w:rPr>
          <w:rFonts w:ascii="FangSong_GB2312" w:hAnsi="宋体" w:cs="FangSong_GB2312" w:hint="eastAsia"/>
        </w:rPr>
        <w:t>，</w:t>
      </w:r>
      <w:r w:rsidR="00B03D22" w:rsidRPr="005F4F46">
        <w:rPr>
          <w:rFonts w:ascii="FangSong_GB2312" w:hAnsi="宋体" w:cs="FangSong_GB2312" w:hint="eastAsia"/>
        </w:rPr>
        <w:t>有效的校正了前处理过程中的误差和样品损失，回收率较高，在</w:t>
      </w:r>
      <w:r w:rsidR="00F71245" w:rsidRPr="005F4F46">
        <w:rPr>
          <w:rFonts w:ascii="FangSong_GB2312" w:hAnsi="宋体" w:cs="FangSong_GB2312" w:hint="eastAsia"/>
        </w:rPr>
        <w:t>8</w:t>
      </w:r>
      <w:r w:rsidR="00B03D22" w:rsidRPr="005F4F46">
        <w:rPr>
          <w:rFonts w:ascii="FangSong_GB2312" w:hAnsi="宋体" w:cs="FangSong_GB2312" w:hint="eastAsia"/>
        </w:rPr>
        <w:t>0%~</w:t>
      </w:r>
      <w:r w:rsidR="00F71245" w:rsidRPr="005F4F46">
        <w:rPr>
          <w:rFonts w:ascii="FangSong_GB2312" w:hAnsi="宋体" w:cs="FangSong_GB2312" w:hint="eastAsia"/>
        </w:rPr>
        <w:t>110%</w:t>
      </w:r>
      <w:r w:rsidR="00B03D22" w:rsidRPr="005F4F46">
        <w:rPr>
          <w:rFonts w:ascii="FangSong_GB2312" w:hAnsi="宋体" w:cs="FangSong_GB2312" w:hint="eastAsia"/>
        </w:rPr>
        <w:t>，相对标准偏差较小。</w:t>
      </w:r>
    </w:p>
    <w:p w:rsidR="00086B89" w:rsidRPr="005F4F46" w:rsidRDefault="00086B89" w:rsidP="005F4F46">
      <w:pPr>
        <w:spacing w:line="360" w:lineRule="auto"/>
        <w:ind w:firstLineChars="200" w:firstLine="643"/>
        <w:rPr>
          <w:rFonts w:ascii="FangSong_GB2312" w:hAnsi="宋体" w:cs="FangSong_GB2312"/>
          <w:b/>
        </w:rPr>
      </w:pPr>
      <w:r w:rsidRPr="005F4F46">
        <w:rPr>
          <w:rFonts w:ascii="FangSong_GB2312" w:hAnsi="宋体" w:cs="FangSong_GB2312" w:hint="eastAsia"/>
          <w:b/>
        </w:rPr>
        <w:t>（</w:t>
      </w:r>
      <w:r w:rsidR="00D66135">
        <w:rPr>
          <w:rFonts w:ascii="FangSong_GB2312" w:hAnsi="宋体" w:cs="FangSong_GB2312" w:hint="eastAsia"/>
          <w:b/>
        </w:rPr>
        <w:t>5</w:t>
      </w:r>
      <w:r w:rsidRPr="005F4F46">
        <w:rPr>
          <w:rFonts w:ascii="FangSong_GB2312" w:hAnsi="宋体" w:cs="FangSong_GB2312" w:hint="eastAsia"/>
          <w:b/>
        </w:rPr>
        <w:t>）仪器条件</w:t>
      </w:r>
    </w:p>
    <w:p w:rsidR="00086B89" w:rsidRPr="005F4F46" w:rsidRDefault="00E6053A" w:rsidP="005F4F46">
      <w:pPr>
        <w:spacing w:line="360" w:lineRule="auto"/>
        <w:ind w:firstLineChars="200" w:firstLine="640"/>
        <w:rPr>
          <w:rFonts w:ascii="FangSong_GB2312" w:hAnsi="宋体" w:cs="FangSong_GB2312"/>
        </w:rPr>
      </w:pPr>
      <w:r w:rsidRPr="005F4F46">
        <w:rPr>
          <w:rFonts w:ascii="FangSong_GB2312" w:hAnsi="宋体" w:cs="FangSong_GB2312"/>
        </w:rPr>
        <w:fldChar w:fldCharType="begin"/>
      </w:r>
      <w:r w:rsidR="00086B89" w:rsidRPr="005F4F46">
        <w:rPr>
          <w:rFonts w:ascii="FangSong_GB2312" w:hAnsi="宋体" w:cs="FangSong_GB2312"/>
        </w:rPr>
        <w:instrText xml:space="preserve"> </w:instrText>
      </w:r>
      <w:r w:rsidR="00086B89" w:rsidRPr="005F4F46">
        <w:rPr>
          <w:rFonts w:ascii="FangSong_GB2312" w:hAnsi="宋体" w:cs="FangSong_GB2312" w:hint="eastAsia"/>
        </w:rPr>
        <w:instrText>= 1 \* roman</w:instrText>
      </w:r>
      <w:r w:rsidR="00086B89" w:rsidRPr="005F4F46">
        <w:rPr>
          <w:rFonts w:ascii="FangSong_GB2312" w:hAnsi="宋体" w:cs="FangSong_GB2312"/>
        </w:rPr>
        <w:instrText xml:space="preserve"> </w:instrText>
      </w:r>
      <w:r w:rsidRPr="005F4F46">
        <w:rPr>
          <w:rFonts w:ascii="FangSong_GB2312" w:hAnsi="宋体" w:cs="FangSong_GB2312"/>
        </w:rPr>
        <w:fldChar w:fldCharType="separate"/>
      </w:r>
      <w:r w:rsidR="00086B89" w:rsidRPr="005F4F46">
        <w:rPr>
          <w:rFonts w:ascii="FangSong_GB2312" w:hAnsi="宋体" w:cs="FangSong_GB2312"/>
        </w:rPr>
        <w:t>i</w:t>
      </w:r>
      <w:r w:rsidRPr="005F4F46">
        <w:rPr>
          <w:rFonts w:ascii="FangSong_GB2312" w:hAnsi="宋体" w:cs="FangSong_GB2312"/>
        </w:rPr>
        <w:fldChar w:fldCharType="end"/>
      </w:r>
      <w:r w:rsidR="00086B89" w:rsidRPr="005F4F46">
        <w:rPr>
          <w:rFonts w:ascii="FangSong_GB2312" w:hAnsi="宋体" w:cs="FangSong_GB2312" w:hint="eastAsia"/>
        </w:rPr>
        <w:t>. 色谱条件</w:t>
      </w:r>
    </w:p>
    <w:p w:rsidR="000F3815" w:rsidRPr="005F4F46" w:rsidRDefault="000F3815" w:rsidP="005F4F46">
      <w:pPr>
        <w:spacing w:line="360" w:lineRule="auto"/>
        <w:ind w:firstLineChars="200" w:firstLine="640"/>
        <w:rPr>
          <w:rFonts w:ascii="FangSong_GB2312" w:hAnsi="宋体" w:cs="FangSong_GB2312"/>
        </w:rPr>
      </w:pPr>
      <w:r w:rsidRPr="005F4F46">
        <w:rPr>
          <w:rFonts w:ascii="FangSong_GB2312" w:hAnsi="宋体" w:cs="FangSong_GB2312" w:hint="eastAsia"/>
        </w:rPr>
        <w:lastRenderedPageBreak/>
        <w:t>参考有关扑草净检测的相关文献</w:t>
      </w:r>
      <w:r w:rsidR="00AD5F18" w:rsidRPr="00D66135">
        <w:rPr>
          <w:rFonts w:ascii="FangSong_GB2312" w:hAnsi="宋体" w:cs="FangSong_GB2312" w:hint="eastAsia"/>
          <w:vertAlign w:val="superscript"/>
        </w:rPr>
        <w:t>[4-5]</w:t>
      </w:r>
      <w:r w:rsidRPr="005F4F46">
        <w:rPr>
          <w:rFonts w:ascii="FangSong_GB2312" w:hAnsi="宋体" w:cs="FangSong_GB2312" w:hint="eastAsia"/>
        </w:rPr>
        <w:t>，并根据自己实验室的检测条件反复摸索，选取乙腈和水为流动相，采用</w:t>
      </w:r>
      <w:r w:rsidR="00744B5E" w:rsidRPr="005F4F46">
        <w:rPr>
          <w:rFonts w:ascii="FangSong_GB2312" w:hAnsi="宋体" w:cs="FangSong_GB2312" w:hint="eastAsia"/>
        </w:rPr>
        <w:t>Waters BEH-</w:t>
      </w:r>
      <w:r w:rsidRPr="005F4F46">
        <w:rPr>
          <w:rFonts w:ascii="FangSong_GB2312" w:hAnsi="宋体" w:cs="FangSong_GB2312" w:hint="eastAsia"/>
        </w:rPr>
        <w:t>C18色谱柱（</w:t>
      </w:r>
      <w:r w:rsidR="00E10E5F" w:rsidRPr="005F4F46">
        <w:rPr>
          <w:rFonts w:ascii="FangSong_GB2312" w:hAnsi="宋体" w:cs="FangSong_GB2312" w:hint="eastAsia"/>
        </w:rPr>
        <w:t xml:space="preserve">50 </w:t>
      </w:r>
      <w:r w:rsidRPr="005F4F46">
        <w:rPr>
          <w:rFonts w:ascii="FangSong_GB2312" w:hAnsi="宋体" w:cs="FangSong_GB2312" w:hint="eastAsia"/>
        </w:rPr>
        <w:t>mm×</w:t>
      </w:r>
      <w:r w:rsidR="00E10E5F" w:rsidRPr="005F4F46">
        <w:rPr>
          <w:rFonts w:ascii="FangSong_GB2312" w:hAnsi="宋体" w:cs="FangSong_GB2312" w:hint="eastAsia"/>
        </w:rPr>
        <w:t>2.1</w:t>
      </w:r>
      <w:r w:rsidRPr="005F4F46">
        <w:rPr>
          <w:rFonts w:ascii="FangSong_GB2312" w:hAnsi="宋体" w:cs="FangSong_GB2312" w:hint="eastAsia"/>
        </w:rPr>
        <w:t xml:space="preserve"> mm，1.7 </w:t>
      </w:r>
      <w:proofErr w:type="spellStart"/>
      <w:r w:rsidRPr="005F4F46">
        <w:rPr>
          <w:rFonts w:ascii="FangSong_GB2312" w:hAnsi="宋体" w:cs="FangSong_GB2312"/>
        </w:rPr>
        <w:t>μ</w:t>
      </w:r>
      <w:r w:rsidRPr="005F4F46">
        <w:rPr>
          <w:rFonts w:ascii="FangSong_GB2312" w:hAnsi="宋体" w:cs="FangSong_GB2312" w:hint="eastAsia"/>
        </w:rPr>
        <w:t>m</w:t>
      </w:r>
      <w:proofErr w:type="spellEnd"/>
      <w:r w:rsidRPr="005F4F46">
        <w:rPr>
          <w:rFonts w:ascii="FangSong_GB2312" w:hAnsi="宋体" w:cs="FangSong_GB2312" w:hint="eastAsia"/>
        </w:rPr>
        <w:t>）,流速为0.40 mL/min，柱温为</w:t>
      </w:r>
      <w:r w:rsidR="00231A5A" w:rsidRPr="005F4F46">
        <w:rPr>
          <w:rFonts w:ascii="FangSong_GB2312" w:hAnsi="宋体" w:cs="FangSong_GB2312" w:hint="eastAsia"/>
        </w:rPr>
        <w:t>40</w:t>
      </w:r>
      <w:r w:rsidRPr="005F4F46">
        <w:rPr>
          <w:rFonts w:ascii="FangSong_GB2312" w:hAnsi="宋体" w:cs="FangSong_GB2312" w:hint="eastAsia"/>
        </w:rPr>
        <w:t>℃，样品室温度为</w:t>
      </w:r>
      <w:r w:rsidR="00231A5A" w:rsidRPr="005F4F46">
        <w:rPr>
          <w:rFonts w:ascii="FangSong_GB2312" w:hAnsi="宋体" w:cs="FangSong_GB2312" w:hint="eastAsia"/>
        </w:rPr>
        <w:t>10</w:t>
      </w:r>
      <w:r w:rsidRPr="005F4F46">
        <w:rPr>
          <w:rFonts w:ascii="FangSong_GB2312" w:hAnsi="宋体" w:cs="FangSong_GB2312" w:hint="eastAsia"/>
        </w:rPr>
        <w:t xml:space="preserve">℃，进样体积为0.1 </w:t>
      </w:r>
      <w:proofErr w:type="spellStart"/>
      <w:r w:rsidRPr="005F4F46">
        <w:rPr>
          <w:rFonts w:ascii="FangSong_GB2312" w:hAnsi="宋体" w:cs="FangSong_GB2312"/>
        </w:rPr>
        <w:t>μ</w:t>
      </w:r>
      <w:r w:rsidRPr="005F4F46">
        <w:rPr>
          <w:rFonts w:ascii="FangSong_GB2312" w:hAnsi="宋体" w:cs="FangSong_GB2312" w:hint="eastAsia"/>
        </w:rPr>
        <w:t>L</w:t>
      </w:r>
      <w:proofErr w:type="spellEnd"/>
      <w:r w:rsidRPr="005F4F46">
        <w:rPr>
          <w:rFonts w:ascii="FangSong_GB2312" w:hAnsi="宋体" w:cs="FangSong_GB2312" w:hint="eastAsia"/>
        </w:rPr>
        <w:t>，梯度洗脱程序见表1。</w:t>
      </w:r>
    </w:p>
    <w:p w:rsidR="000F3815" w:rsidRPr="00BB731A" w:rsidRDefault="000F3815" w:rsidP="000F3815">
      <w:pPr>
        <w:spacing w:line="360" w:lineRule="auto"/>
        <w:jc w:val="center"/>
        <w:rPr>
          <w:rFonts w:eastAsiaTheme="minorEastAsia"/>
          <w:sz w:val="21"/>
          <w:szCs w:val="21"/>
        </w:rPr>
      </w:pPr>
      <w:r w:rsidRPr="00BB731A">
        <w:rPr>
          <w:rFonts w:eastAsiaTheme="minorEastAsia" w:hint="eastAsia"/>
          <w:sz w:val="21"/>
          <w:szCs w:val="21"/>
        </w:rPr>
        <w:t>表</w:t>
      </w:r>
      <w:r w:rsidRPr="00BB731A">
        <w:rPr>
          <w:rFonts w:eastAsiaTheme="minorEastAsia" w:hint="eastAsia"/>
          <w:sz w:val="21"/>
          <w:szCs w:val="21"/>
        </w:rPr>
        <w:t xml:space="preserve">1 </w:t>
      </w:r>
      <w:r w:rsidRPr="00BB731A">
        <w:rPr>
          <w:rFonts w:eastAsiaTheme="minorEastAsia" w:hint="eastAsia"/>
          <w:sz w:val="21"/>
          <w:szCs w:val="21"/>
        </w:rPr>
        <w:t>高效液相色谱梯度洗脱程序</w:t>
      </w:r>
    </w:p>
    <w:tbl>
      <w:tblPr>
        <w:tblStyle w:val="a5"/>
        <w:tblW w:w="0" w:type="auto"/>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tblPr>
      <w:tblGrid>
        <w:gridCol w:w="2130"/>
        <w:gridCol w:w="2130"/>
        <w:gridCol w:w="2131"/>
        <w:gridCol w:w="2131"/>
      </w:tblGrid>
      <w:tr w:rsidR="000F3815" w:rsidRPr="00BB731A" w:rsidTr="002223ED">
        <w:tc>
          <w:tcPr>
            <w:tcW w:w="2130" w:type="dxa"/>
            <w:tcBorders>
              <w:bottom w:val="single" w:sz="4" w:space="0" w:color="000000" w:themeColor="text1"/>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时间（</w:t>
            </w:r>
            <w:r w:rsidRPr="00BB731A">
              <w:rPr>
                <w:rFonts w:eastAsiaTheme="minorEastAsia" w:hint="eastAsia"/>
                <w:sz w:val="24"/>
                <w:szCs w:val="24"/>
              </w:rPr>
              <w:t>min</w:t>
            </w:r>
            <w:r w:rsidRPr="00BB731A">
              <w:rPr>
                <w:rFonts w:eastAsiaTheme="minorEastAsia" w:hint="eastAsia"/>
                <w:sz w:val="24"/>
                <w:szCs w:val="24"/>
              </w:rPr>
              <w:t>）</w:t>
            </w:r>
          </w:p>
        </w:tc>
        <w:tc>
          <w:tcPr>
            <w:tcW w:w="2130" w:type="dxa"/>
            <w:tcBorders>
              <w:bottom w:val="single" w:sz="4" w:space="0" w:color="000000" w:themeColor="text1"/>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水（</w:t>
            </w:r>
            <w:r w:rsidRPr="00BB731A">
              <w:rPr>
                <w:rFonts w:eastAsiaTheme="minorEastAsia" w:hint="eastAsia"/>
                <w:sz w:val="24"/>
                <w:szCs w:val="24"/>
              </w:rPr>
              <w:t>%</w:t>
            </w:r>
            <w:r w:rsidRPr="00BB731A">
              <w:rPr>
                <w:rFonts w:eastAsiaTheme="minorEastAsia" w:hint="eastAsia"/>
                <w:sz w:val="24"/>
                <w:szCs w:val="24"/>
              </w:rPr>
              <w:t>）</w:t>
            </w:r>
          </w:p>
        </w:tc>
        <w:tc>
          <w:tcPr>
            <w:tcW w:w="2131" w:type="dxa"/>
            <w:tcBorders>
              <w:bottom w:val="single" w:sz="4" w:space="0" w:color="000000" w:themeColor="text1"/>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乙腈（</w:t>
            </w:r>
            <w:r w:rsidRPr="00BB731A">
              <w:rPr>
                <w:rFonts w:eastAsiaTheme="minorEastAsia" w:hint="eastAsia"/>
                <w:sz w:val="24"/>
                <w:szCs w:val="24"/>
              </w:rPr>
              <w:t>%</w:t>
            </w:r>
            <w:r w:rsidRPr="00BB731A">
              <w:rPr>
                <w:rFonts w:eastAsiaTheme="minorEastAsia" w:hint="eastAsia"/>
                <w:sz w:val="24"/>
                <w:szCs w:val="24"/>
              </w:rPr>
              <w:t>）</w:t>
            </w:r>
          </w:p>
        </w:tc>
        <w:tc>
          <w:tcPr>
            <w:tcW w:w="2131" w:type="dxa"/>
            <w:tcBorders>
              <w:bottom w:val="single" w:sz="4" w:space="0" w:color="000000" w:themeColor="text1"/>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流速（</w:t>
            </w:r>
            <w:r w:rsidRPr="00BB731A">
              <w:rPr>
                <w:rFonts w:eastAsiaTheme="minorEastAsia" w:hint="eastAsia"/>
                <w:sz w:val="24"/>
                <w:szCs w:val="24"/>
              </w:rPr>
              <w:t>mL/min</w:t>
            </w:r>
            <w:r w:rsidRPr="00BB731A">
              <w:rPr>
                <w:rFonts w:eastAsiaTheme="minorEastAsia" w:hint="eastAsia"/>
                <w:sz w:val="24"/>
                <w:szCs w:val="24"/>
              </w:rPr>
              <w:t>）</w:t>
            </w:r>
          </w:p>
        </w:tc>
      </w:tr>
      <w:tr w:rsidR="000F3815" w:rsidRPr="00BB731A" w:rsidTr="002223ED">
        <w:tc>
          <w:tcPr>
            <w:tcW w:w="2130" w:type="dxa"/>
            <w:tcBorders>
              <w:top w:val="single" w:sz="4" w:space="0" w:color="000000" w:themeColor="text1"/>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0.00</w:t>
            </w:r>
          </w:p>
        </w:tc>
        <w:tc>
          <w:tcPr>
            <w:tcW w:w="2130" w:type="dxa"/>
            <w:tcBorders>
              <w:top w:val="single" w:sz="4" w:space="0" w:color="000000" w:themeColor="text1"/>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95.0</w:t>
            </w:r>
          </w:p>
        </w:tc>
        <w:tc>
          <w:tcPr>
            <w:tcW w:w="2131" w:type="dxa"/>
            <w:tcBorders>
              <w:top w:val="single" w:sz="4" w:space="0" w:color="000000" w:themeColor="text1"/>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5.0</w:t>
            </w:r>
          </w:p>
        </w:tc>
        <w:tc>
          <w:tcPr>
            <w:tcW w:w="2131" w:type="dxa"/>
            <w:tcBorders>
              <w:top w:val="single" w:sz="4" w:space="0" w:color="000000" w:themeColor="text1"/>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0.40</w:t>
            </w:r>
          </w:p>
        </w:tc>
      </w:tr>
      <w:tr w:rsidR="000F3815" w:rsidRPr="00BB731A" w:rsidTr="002223ED">
        <w:tc>
          <w:tcPr>
            <w:tcW w:w="2130"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0.10</w:t>
            </w:r>
          </w:p>
        </w:tc>
        <w:tc>
          <w:tcPr>
            <w:tcW w:w="2130"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95.0</w:t>
            </w:r>
          </w:p>
        </w:tc>
        <w:tc>
          <w:tcPr>
            <w:tcW w:w="2131"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5.0</w:t>
            </w:r>
          </w:p>
        </w:tc>
        <w:tc>
          <w:tcPr>
            <w:tcW w:w="2131"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0.40</w:t>
            </w:r>
          </w:p>
        </w:tc>
      </w:tr>
      <w:tr w:rsidR="000F3815" w:rsidRPr="00BB731A" w:rsidTr="002223ED">
        <w:tc>
          <w:tcPr>
            <w:tcW w:w="2130"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1.40</w:t>
            </w:r>
          </w:p>
        </w:tc>
        <w:tc>
          <w:tcPr>
            <w:tcW w:w="2130"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5.0</w:t>
            </w:r>
          </w:p>
        </w:tc>
        <w:tc>
          <w:tcPr>
            <w:tcW w:w="2131"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95.0</w:t>
            </w:r>
          </w:p>
        </w:tc>
        <w:tc>
          <w:tcPr>
            <w:tcW w:w="2131"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0.40</w:t>
            </w:r>
          </w:p>
        </w:tc>
      </w:tr>
      <w:tr w:rsidR="000F3815" w:rsidRPr="00BB731A" w:rsidTr="002223ED">
        <w:tc>
          <w:tcPr>
            <w:tcW w:w="2130"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2.40</w:t>
            </w:r>
          </w:p>
        </w:tc>
        <w:tc>
          <w:tcPr>
            <w:tcW w:w="2130"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5.0</w:t>
            </w:r>
          </w:p>
        </w:tc>
        <w:tc>
          <w:tcPr>
            <w:tcW w:w="2131"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95.0</w:t>
            </w:r>
          </w:p>
        </w:tc>
        <w:tc>
          <w:tcPr>
            <w:tcW w:w="2131"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0.40</w:t>
            </w:r>
          </w:p>
        </w:tc>
      </w:tr>
      <w:tr w:rsidR="000F3815" w:rsidRPr="00BB731A" w:rsidTr="002223ED">
        <w:tc>
          <w:tcPr>
            <w:tcW w:w="2130"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2.50</w:t>
            </w:r>
          </w:p>
        </w:tc>
        <w:tc>
          <w:tcPr>
            <w:tcW w:w="2130"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95.0</w:t>
            </w:r>
          </w:p>
        </w:tc>
        <w:tc>
          <w:tcPr>
            <w:tcW w:w="2131"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5.0</w:t>
            </w:r>
          </w:p>
        </w:tc>
        <w:tc>
          <w:tcPr>
            <w:tcW w:w="2131" w:type="dxa"/>
            <w:tcBorders>
              <w:top w:val="nil"/>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0.40</w:t>
            </w:r>
          </w:p>
        </w:tc>
      </w:tr>
      <w:tr w:rsidR="000F3815" w:rsidRPr="00BB731A" w:rsidTr="002223ED">
        <w:tc>
          <w:tcPr>
            <w:tcW w:w="2130" w:type="dxa"/>
            <w:tcBorders>
              <w:top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3.50</w:t>
            </w:r>
          </w:p>
        </w:tc>
        <w:tc>
          <w:tcPr>
            <w:tcW w:w="2130" w:type="dxa"/>
            <w:tcBorders>
              <w:top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95.0</w:t>
            </w:r>
          </w:p>
        </w:tc>
        <w:tc>
          <w:tcPr>
            <w:tcW w:w="2131" w:type="dxa"/>
            <w:tcBorders>
              <w:top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5.0</w:t>
            </w:r>
          </w:p>
        </w:tc>
        <w:tc>
          <w:tcPr>
            <w:tcW w:w="2131" w:type="dxa"/>
            <w:tcBorders>
              <w:top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0.40</w:t>
            </w:r>
          </w:p>
        </w:tc>
      </w:tr>
    </w:tbl>
    <w:p w:rsidR="000F3815" w:rsidRPr="00BB731A" w:rsidRDefault="000F3815" w:rsidP="000F3815">
      <w:pPr>
        <w:spacing w:line="360" w:lineRule="auto"/>
        <w:rPr>
          <w:rFonts w:eastAsiaTheme="minorEastAsia"/>
          <w:sz w:val="24"/>
          <w:szCs w:val="24"/>
        </w:rPr>
      </w:pPr>
    </w:p>
    <w:p w:rsidR="00086B89" w:rsidRPr="005F4F46" w:rsidRDefault="00E6053A" w:rsidP="005F4F46">
      <w:pPr>
        <w:spacing w:line="360" w:lineRule="auto"/>
        <w:ind w:firstLineChars="200" w:firstLine="640"/>
        <w:rPr>
          <w:rFonts w:ascii="FangSong_GB2312" w:hAnsi="宋体" w:cs="FangSong_GB2312"/>
        </w:rPr>
      </w:pPr>
      <w:r w:rsidRPr="005F4F46">
        <w:rPr>
          <w:rFonts w:ascii="FangSong_GB2312" w:hAnsi="宋体" w:cs="FangSong_GB2312"/>
        </w:rPr>
        <w:fldChar w:fldCharType="begin"/>
      </w:r>
      <w:r w:rsidR="000F3815" w:rsidRPr="005F4F46">
        <w:rPr>
          <w:rFonts w:ascii="FangSong_GB2312" w:hAnsi="宋体" w:cs="FangSong_GB2312"/>
        </w:rPr>
        <w:instrText xml:space="preserve"> </w:instrText>
      </w:r>
      <w:r w:rsidR="000F3815" w:rsidRPr="005F4F46">
        <w:rPr>
          <w:rFonts w:ascii="FangSong_GB2312" w:hAnsi="宋体" w:cs="FangSong_GB2312" w:hint="eastAsia"/>
        </w:rPr>
        <w:instrText>= 2 \* roman</w:instrText>
      </w:r>
      <w:r w:rsidR="000F3815" w:rsidRPr="005F4F46">
        <w:rPr>
          <w:rFonts w:ascii="FangSong_GB2312" w:hAnsi="宋体" w:cs="FangSong_GB2312"/>
        </w:rPr>
        <w:instrText xml:space="preserve"> </w:instrText>
      </w:r>
      <w:r w:rsidRPr="005F4F46">
        <w:rPr>
          <w:rFonts w:ascii="FangSong_GB2312" w:hAnsi="宋体" w:cs="FangSong_GB2312"/>
        </w:rPr>
        <w:fldChar w:fldCharType="separate"/>
      </w:r>
      <w:r w:rsidR="000F3815" w:rsidRPr="005F4F46">
        <w:rPr>
          <w:rFonts w:ascii="FangSong_GB2312" w:hAnsi="宋体" w:cs="FangSong_GB2312"/>
        </w:rPr>
        <w:t>ii</w:t>
      </w:r>
      <w:r w:rsidRPr="005F4F46">
        <w:rPr>
          <w:rFonts w:ascii="FangSong_GB2312" w:hAnsi="宋体" w:cs="FangSong_GB2312"/>
        </w:rPr>
        <w:fldChar w:fldCharType="end"/>
      </w:r>
      <w:r w:rsidR="000F3815" w:rsidRPr="005F4F46">
        <w:rPr>
          <w:rFonts w:ascii="FangSong_GB2312" w:hAnsi="宋体" w:cs="FangSong_GB2312" w:hint="eastAsia"/>
        </w:rPr>
        <w:t>. 质谱条件</w:t>
      </w:r>
    </w:p>
    <w:p w:rsidR="000F3815" w:rsidRPr="005F4F46" w:rsidRDefault="000F3815" w:rsidP="005F4F46">
      <w:pPr>
        <w:spacing w:line="360" w:lineRule="auto"/>
        <w:ind w:firstLineChars="200" w:firstLine="640"/>
        <w:rPr>
          <w:rFonts w:ascii="FangSong_GB2312" w:hAnsi="宋体" w:cs="FangSong_GB2312"/>
        </w:rPr>
      </w:pPr>
      <w:r w:rsidRPr="005F4F46">
        <w:rPr>
          <w:rFonts w:ascii="FangSong_GB2312" w:hAnsi="宋体" w:cs="FangSong_GB2312" w:hint="eastAsia"/>
        </w:rPr>
        <w:t>本研究采用电喷雾离子源（ESI），正离子模式，离子源温度为</w:t>
      </w:r>
      <w:r w:rsidR="00251939" w:rsidRPr="005F4F46">
        <w:rPr>
          <w:rFonts w:ascii="FangSong_GB2312" w:hAnsi="宋体" w:cs="FangSong_GB2312" w:hint="eastAsia"/>
        </w:rPr>
        <w:t>150</w:t>
      </w:r>
      <w:r w:rsidRPr="005F4F46">
        <w:rPr>
          <w:rFonts w:ascii="FangSong_GB2312" w:hAnsi="宋体" w:cs="FangSong_GB2312" w:hint="eastAsia"/>
        </w:rPr>
        <w:t>℃，毛细管电压为1.00 kV；脱溶剂气（氮气）温度为</w:t>
      </w:r>
      <w:r w:rsidR="00251939" w:rsidRPr="005F4F46">
        <w:rPr>
          <w:rFonts w:ascii="FangSong_GB2312" w:hAnsi="宋体" w:cs="FangSong_GB2312" w:hint="eastAsia"/>
        </w:rPr>
        <w:t>550</w:t>
      </w:r>
      <w:r w:rsidRPr="005F4F46">
        <w:rPr>
          <w:rFonts w:ascii="FangSong_GB2312" w:hAnsi="宋体" w:cs="FangSong_GB2312" w:hint="eastAsia"/>
        </w:rPr>
        <w:t>℃，脱溶剂气流量为1000 L/Hr，碰撞气（氩气）压力为0.15 MPa，脱溶剂气由液氮灌提供，碰撞气由钢瓶提供，纯度均为99.9</w:t>
      </w:r>
      <w:r w:rsidR="00BD6073" w:rsidRPr="005F4F46">
        <w:rPr>
          <w:rFonts w:ascii="FangSong_GB2312" w:hAnsi="宋体" w:cs="FangSong_GB2312" w:hint="eastAsia"/>
        </w:rPr>
        <w:t>9</w:t>
      </w:r>
      <w:r w:rsidRPr="005F4F46">
        <w:rPr>
          <w:rFonts w:ascii="FangSong_GB2312" w:hAnsi="宋体" w:cs="FangSong_GB2312" w:hint="eastAsia"/>
        </w:rPr>
        <w:t>9%。</w:t>
      </w:r>
    </w:p>
    <w:p w:rsidR="000F3815" w:rsidRPr="005F4F46" w:rsidRDefault="000F3815" w:rsidP="005F4F46">
      <w:pPr>
        <w:spacing w:line="360" w:lineRule="auto"/>
        <w:ind w:firstLineChars="200" w:firstLine="640"/>
        <w:rPr>
          <w:rFonts w:ascii="FangSong_GB2312" w:hAnsi="宋体" w:cs="FangSong_GB2312"/>
        </w:rPr>
      </w:pPr>
      <w:r w:rsidRPr="005F4F46">
        <w:rPr>
          <w:rFonts w:ascii="FangSong_GB2312" w:hAnsi="宋体" w:cs="FangSong_GB2312" w:hint="eastAsia"/>
        </w:rPr>
        <w:t>采用多反应监测（MRM）模式，参考相关文献，根据本中心仪器的检测结果，为扑草净选择两个合适的碎片离子，分别作为定量离子和定性离子，根据实验结果，确定其碰撞能量。具体的质谱条件见表2。</w:t>
      </w:r>
    </w:p>
    <w:p w:rsidR="000F3815" w:rsidRPr="00BB731A" w:rsidRDefault="000F3815" w:rsidP="000F3815">
      <w:pPr>
        <w:spacing w:line="360" w:lineRule="auto"/>
        <w:jc w:val="center"/>
        <w:rPr>
          <w:rFonts w:eastAsiaTheme="minorEastAsia"/>
          <w:sz w:val="24"/>
          <w:szCs w:val="24"/>
        </w:rPr>
      </w:pPr>
      <w:r w:rsidRPr="00BB731A">
        <w:rPr>
          <w:rFonts w:eastAsiaTheme="minorEastAsia" w:hint="eastAsia"/>
          <w:sz w:val="24"/>
          <w:szCs w:val="24"/>
        </w:rPr>
        <w:lastRenderedPageBreak/>
        <w:t>表</w:t>
      </w:r>
      <w:r w:rsidRPr="00BB731A">
        <w:rPr>
          <w:rFonts w:eastAsiaTheme="minorEastAsia" w:hint="eastAsia"/>
          <w:sz w:val="24"/>
          <w:szCs w:val="24"/>
        </w:rPr>
        <w:t xml:space="preserve">2 </w:t>
      </w:r>
      <w:r w:rsidRPr="00BB731A">
        <w:rPr>
          <w:rFonts w:eastAsiaTheme="minorEastAsia" w:hint="eastAsia"/>
          <w:sz w:val="24"/>
          <w:szCs w:val="24"/>
        </w:rPr>
        <w:t>扑草净在多反应监测扫描模式（</w:t>
      </w:r>
      <w:r w:rsidRPr="00BB731A">
        <w:rPr>
          <w:rFonts w:eastAsiaTheme="minorEastAsia" w:hint="eastAsia"/>
          <w:sz w:val="24"/>
          <w:szCs w:val="24"/>
        </w:rPr>
        <w:t>MRM</w:t>
      </w:r>
      <w:r w:rsidRPr="00BB731A">
        <w:rPr>
          <w:rFonts w:eastAsiaTheme="minorEastAsia" w:hint="eastAsia"/>
          <w:sz w:val="24"/>
          <w:szCs w:val="24"/>
        </w:rPr>
        <w:t>）下的质谱参数</w:t>
      </w:r>
    </w:p>
    <w:tbl>
      <w:tblPr>
        <w:tblStyle w:val="a5"/>
        <w:tblW w:w="0" w:type="auto"/>
        <w:tblBorders>
          <w:top w:val="single" w:sz="12" w:space="0" w:color="000000" w:themeColor="text1"/>
          <w:left w:val="none" w:sz="0" w:space="0" w:color="auto"/>
          <w:bottom w:val="single" w:sz="12" w:space="0" w:color="000000" w:themeColor="text1"/>
          <w:right w:val="none" w:sz="0" w:space="0" w:color="auto"/>
          <w:insideV w:val="none" w:sz="0" w:space="0" w:color="auto"/>
        </w:tblBorders>
        <w:tblLook w:val="04A0"/>
      </w:tblPr>
      <w:tblGrid>
        <w:gridCol w:w="2130"/>
        <w:gridCol w:w="2130"/>
        <w:gridCol w:w="2131"/>
        <w:gridCol w:w="2131"/>
      </w:tblGrid>
      <w:tr w:rsidR="000F3815" w:rsidRPr="00BB731A" w:rsidTr="00BD6073">
        <w:tc>
          <w:tcPr>
            <w:tcW w:w="2130" w:type="dxa"/>
            <w:tcBorders>
              <w:top w:val="single" w:sz="12" w:space="0" w:color="000000" w:themeColor="text1"/>
              <w:bottom w:val="single" w:sz="4" w:space="0" w:color="000000" w:themeColor="text1"/>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化合物名称</w:t>
            </w:r>
          </w:p>
        </w:tc>
        <w:tc>
          <w:tcPr>
            <w:tcW w:w="2130" w:type="dxa"/>
            <w:tcBorders>
              <w:top w:val="single" w:sz="12" w:space="0" w:color="000000" w:themeColor="text1"/>
              <w:bottom w:val="single" w:sz="4" w:space="0" w:color="000000" w:themeColor="text1"/>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母离子</w:t>
            </w:r>
          </w:p>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w:t>
            </w:r>
            <w:r w:rsidRPr="00BB731A">
              <w:rPr>
                <w:rFonts w:eastAsiaTheme="minorEastAsia" w:hint="eastAsia"/>
                <w:sz w:val="24"/>
                <w:szCs w:val="24"/>
              </w:rPr>
              <w:t>m/z</w:t>
            </w:r>
            <w:r w:rsidRPr="00BB731A">
              <w:rPr>
                <w:rFonts w:eastAsiaTheme="minorEastAsia" w:hint="eastAsia"/>
                <w:sz w:val="24"/>
                <w:szCs w:val="24"/>
              </w:rPr>
              <w:t>）</w:t>
            </w:r>
          </w:p>
        </w:tc>
        <w:tc>
          <w:tcPr>
            <w:tcW w:w="2131" w:type="dxa"/>
            <w:tcBorders>
              <w:top w:val="single" w:sz="12" w:space="0" w:color="000000" w:themeColor="text1"/>
              <w:bottom w:val="single" w:sz="4" w:space="0" w:color="000000" w:themeColor="text1"/>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子离子</w:t>
            </w:r>
          </w:p>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w:t>
            </w:r>
            <w:r w:rsidRPr="00BB731A">
              <w:rPr>
                <w:rFonts w:eastAsiaTheme="minorEastAsia" w:hint="eastAsia"/>
                <w:sz w:val="24"/>
                <w:szCs w:val="24"/>
              </w:rPr>
              <w:t>m/z</w:t>
            </w:r>
            <w:r w:rsidRPr="00BB731A">
              <w:rPr>
                <w:rFonts w:eastAsiaTheme="minorEastAsia" w:hint="eastAsia"/>
                <w:sz w:val="24"/>
                <w:szCs w:val="24"/>
              </w:rPr>
              <w:t>）</w:t>
            </w:r>
          </w:p>
        </w:tc>
        <w:tc>
          <w:tcPr>
            <w:tcW w:w="2131" w:type="dxa"/>
            <w:tcBorders>
              <w:top w:val="single" w:sz="12" w:space="0" w:color="000000" w:themeColor="text1"/>
              <w:bottom w:val="single" w:sz="4" w:space="0" w:color="000000" w:themeColor="text1"/>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碰撞能量</w:t>
            </w:r>
          </w:p>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w:t>
            </w:r>
            <w:r w:rsidRPr="00BB731A">
              <w:rPr>
                <w:rFonts w:eastAsiaTheme="minorEastAsia" w:hint="eastAsia"/>
                <w:sz w:val="24"/>
                <w:szCs w:val="24"/>
              </w:rPr>
              <w:t>V</w:t>
            </w:r>
            <w:r w:rsidRPr="00BB731A">
              <w:rPr>
                <w:rFonts w:eastAsiaTheme="minorEastAsia" w:hint="eastAsia"/>
                <w:sz w:val="24"/>
                <w:szCs w:val="24"/>
              </w:rPr>
              <w:t>）</w:t>
            </w:r>
          </w:p>
        </w:tc>
      </w:tr>
      <w:tr w:rsidR="000F3815" w:rsidRPr="00BB731A" w:rsidTr="00BD6073">
        <w:tc>
          <w:tcPr>
            <w:tcW w:w="2130" w:type="dxa"/>
            <w:tcBorders>
              <w:top w:val="single" w:sz="4" w:space="0" w:color="000000" w:themeColor="text1"/>
              <w:bottom w:val="nil"/>
            </w:tcBorders>
            <w:vAlign w:val="center"/>
          </w:tcPr>
          <w:p w:rsidR="000F3815" w:rsidRPr="00BB731A" w:rsidRDefault="000F3815" w:rsidP="00FC5982">
            <w:pPr>
              <w:spacing w:line="360" w:lineRule="auto"/>
              <w:jc w:val="center"/>
              <w:rPr>
                <w:rFonts w:eastAsiaTheme="minorEastAsia"/>
                <w:sz w:val="24"/>
                <w:szCs w:val="24"/>
              </w:rPr>
            </w:pPr>
            <w:r w:rsidRPr="00BB731A">
              <w:rPr>
                <w:rFonts w:eastAsiaTheme="minorEastAsia" w:hint="eastAsia"/>
                <w:sz w:val="24"/>
                <w:szCs w:val="24"/>
              </w:rPr>
              <w:t>扑草净</w:t>
            </w:r>
          </w:p>
        </w:tc>
        <w:tc>
          <w:tcPr>
            <w:tcW w:w="2130" w:type="dxa"/>
            <w:tcBorders>
              <w:top w:val="single" w:sz="4" w:space="0" w:color="000000" w:themeColor="text1"/>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242</w:t>
            </w:r>
          </w:p>
        </w:tc>
        <w:tc>
          <w:tcPr>
            <w:tcW w:w="2131" w:type="dxa"/>
            <w:tcBorders>
              <w:top w:val="single" w:sz="4" w:space="0" w:color="000000" w:themeColor="text1"/>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200*</w:t>
            </w:r>
          </w:p>
        </w:tc>
        <w:tc>
          <w:tcPr>
            <w:tcW w:w="2131" w:type="dxa"/>
            <w:tcBorders>
              <w:top w:val="single" w:sz="4" w:space="0" w:color="000000" w:themeColor="text1"/>
              <w:bottom w:val="nil"/>
            </w:tcBorders>
            <w:vAlign w:val="center"/>
          </w:tcPr>
          <w:p w:rsidR="000F3815" w:rsidRPr="00BB731A" w:rsidRDefault="000F3815" w:rsidP="002223ED">
            <w:pPr>
              <w:spacing w:line="360" w:lineRule="auto"/>
              <w:jc w:val="center"/>
              <w:rPr>
                <w:rFonts w:eastAsiaTheme="minorEastAsia"/>
                <w:sz w:val="24"/>
                <w:szCs w:val="24"/>
              </w:rPr>
            </w:pPr>
            <w:r w:rsidRPr="00BB731A">
              <w:rPr>
                <w:rFonts w:eastAsiaTheme="minorEastAsia" w:hint="eastAsia"/>
                <w:sz w:val="24"/>
                <w:szCs w:val="24"/>
              </w:rPr>
              <w:t>18</w:t>
            </w:r>
          </w:p>
        </w:tc>
      </w:tr>
      <w:tr w:rsidR="00BD6073" w:rsidRPr="00BB731A" w:rsidTr="00BD6073">
        <w:tc>
          <w:tcPr>
            <w:tcW w:w="2130" w:type="dxa"/>
            <w:tcBorders>
              <w:top w:val="nil"/>
              <w:bottom w:val="nil"/>
            </w:tcBorders>
            <w:vAlign w:val="center"/>
          </w:tcPr>
          <w:p w:rsidR="00BD6073" w:rsidRPr="00BB731A" w:rsidRDefault="00BD6073" w:rsidP="00FC5982">
            <w:pPr>
              <w:spacing w:line="360" w:lineRule="auto"/>
              <w:jc w:val="center"/>
              <w:rPr>
                <w:rFonts w:eastAsiaTheme="minorEastAsia"/>
                <w:sz w:val="24"/>
                <w:szCs w:val="24"/>
              </w:rPr>
            </w:pPr>
            <w:r w:rsidRPr="00BB731A">
              <w:rPr>
                <w:rFonts w:eastAsiaTheme="minorEastAsia" w:hint="eastAsia"/>
                <w:sz w:val="24"/>
                <w:szCs w:val="24"/>
              </w:rPr>
              <w:t>扑草净</w:t>
            </w:r>
          </w:p>
        </w:tc>
        <w:tc>
          <w:tcPr>
            <w:tcW w:w="2130" w:type="dxa"/>
            <w:tcBorders>
              <w:top w:val="nil"/>
              <w:bottom w:val="nil"/>
            </w:tcBorders>
            <w:vAlign w:val="center"/>
          </w:tcPr>
          <w:p w:rsidR="00BD6073" w:rsidRPr="00BB731A" w:rsidRDefault="00BD6073" w:rsidP="0017781B">
            <w:pPr>
              <w:spacing w:line="360" w:lineRule="auto"/>
              <w:jc w:val="center"/>
              <w:rPr>
                <w:rFonts w:eastAsiaTheme="minorEastAsia"/>
                <w:sz w:val="24"/>
                <w:szCs w:val="24"/>
              </w:rPr>
            </w:pPr>
            <w:r w:rsidRPr="00BB731A">
              <w:rPr>
                <w:rFonts w:eastAsiaTheme="minorEastAsia" w:hint="eastAsia"/>
                <w:sz w:val="24"/>
                <w:szCs w:val="24"/>
              </w:rPr>
              <w:t>242</w:t>
            </w:r>
          </w:p>
        </w:tc>
        <w:tc>
          <w:tcPr>
            <w:tcW w:w="2131" w:type="dxa"/>
            <w:tcBorders>
              <w:top w:val="nil"/>
              <w:bottom w:val="nil"/>
            </w:tcBorders>
            <w:vAlign w:val="center"/>
          </w:tcPr>
          <w:p w:rsidR="00BD6073" w:rsidRPr="00BB731A" w:rsidRDefault="00BD6073" w:rsidP="0017781B">
            <w:pPr>
              <w:spacing w:line="360" w:lineRule="auto"/>
              <w:jc w:val="center"/>
              <w:rPr>
                <w:rFonts w:eastAsiaTheme="minorEastAsia"/>
                <w:sz w:val="24"/>
                <w:szCs w:val="24"/>
              </w:rPr>
            </w:pPr>
            <w:r w:rsidRPr="00BB731A">
              <w:rPr>
                <w:rFonts w:eastAsiaTheme="minorEastAsia" w:hint="eastAsia"/>
                <w:sz w:val="24"/>
                <w:szCs w:val="24"/>
              </w:rPr>
              <w:t>158</w:t>
            </w:r>
          </w:p>
        </w:tc>
        <w:tc>
          <w:tcPr>
            <w:tcW w:w="2131" w:type="dxa"/>
            <w:tcBorders>
              <w:top w:val="nil"/>
              <w:bottom w:val="nil"/>
            </w:tcBorders>
            <w:vAlign w:val="center"/>
          </w:tcPr>
          <w:p w:rsidR="00BD6073" w:rsidRPr="00BB731A" w:rsidRDefault="00BD6073" w:rsidP="0017781B">
            <w:pPr>
              <w:spacing w:line="360" w:lineRule="auto"/>
              <w:jc w:val="center"/>
              <w:rPr>
                <w:rFonts w:eastAsiaTheme="minorEastAsia"/>
                <w:sz w:val="24"/>
                <w:szCs w:val="24"/>
              </w:rPr>
            </w:pPr>
            <w:r w:rsidRPr="00BB731A">
              <w:rPr>
                <w:rFonts w:eastAsiaTheme="minorEastAsia" w:hint="eastAsia"/>
                <w:sz w:val="24"/>
                <w:szCs w:val="24"/>
              </w:rPr>
              <w:t>22</w:t>
            </w:r>
          </w:p>
        </w:tc>
      </w:tr>
      <w:tr w:rsidR="00AE621D" w:rsidRPr="00BB731A" w:rsidTr="002223ED">
        <w:tc>
          <w:tcPr>
            <w:tcW w:w="2130" w:type="dxa"/>
            <w:tcBorders>
              <w:top w:val="nil"/>
              <w:bottom w:val="single" w:sz="12" w:space="0" w:color="000000" w:themeColor="text1"/>
            </w:tcBorders>
            <w:vAlign w:val="center"/>
          </w:tcPr>
          <w:p w:rsidR="00AE621D" w:rsidRPr="00BB731A" w:rsidRDefault="00AE621D" w:rsidP="002223ED">
            <w:pPr>
              <w:spacing w:line="360" w:lineRule="auto"/>
              <w:jc w:val="center"/>
              <w:rPr>
                <w:rFonts w:eastAsiaTheme="minorEastAsia"/>
                <w:sz w:val="24"/>
                <w:szCs w:val="24"/>
              </w:rPr>
            </w:pPr>
            <w:r w:rsidRPr="00BB731A">
              <w:rPr>
                <w:rFonts w:eastAsiaTheme="minorEastAsia" w:hint="eastAsia"/>
                <w:sz w:val="24"/>
                <w:szCs w:val="24"/>
              </w:rPr>
              <w:t>氘代扑草净</w:t>
            </w:r>
            <w:r w:rsidRPr="00BB731A">
              <w:rPr>
                <w:rFonts w:eastAsiaTheme="minorEastAsia" w:hint="eastAsia"/>
                <w:sz w:val="24"/>
                <w:szCs w:val="24"/>
              </w:rPr>
              <w:t>-D</w:t>
            </w:r>
            <w:r w:rsidRPr="00BB731A">
              <w:rPr>
                <w:rFonts w:eastAsiaTheme="minorEastAsia" w:hint="eastAsia"/>
                <w:sz w:val="24"/>
                <w:szCs w:val="24"/>
                <w:vertAlign w:val="subscript"/>
              </w:rPr>
              <w:t>6</w:t>
            </w:r>
          </w:p>
        </w:tc>
        <w:tc>
          <w:tcPr>
            <w:tcW w:w="2130" w:type="dxa"/>
            <w:tcBorders>
              <w:top w:val="nil"/>
              <w:bottom w:val="single" w:sz="12" w:space="0" w:color="000000" w:themeColor="text1"/>
            </w:tcBorders>
            <w:vAlign w:val="center"/>
          </w:tcPr>
          <w:p w:rsidR="00AE621D" w:rsidRPr="00BB731A" w:rsidRDefault="00AE621D" w:rsidP="00AB2174">
            <w:pPr>
              <w:spacing w:line="360" w:lineRule="auto"/>
              <w:jc w:val="center"/>
              <w:rPr>
                <w:rFonts w:eastAsiaTheme="minorEastAsia"/>
                <w:sz w:val="24"/>
                <w:szCs w:val="24"/>
              </w:rPr>
            </w:pPr>
            <w:r w:rsidRPr="00BB731A">
              <w:rPr>
                <w:rFonts w:eastAsiaTheme="minorEastAsia" w:hint="eastAsia"/>
                <w:sz w:val="24"/>
                <w:szCs w:val="24"/>
              </w:rPr>
              <w:t>248</w:t>
            </w:r>
          </w:p>
        </w:tc>
        <w:tc>
          <w:tcPr>
            <w:tcW w:w="2131" w:type="dxa"/>
            <w:tcBorders>
              <w:top w:val="nil"/>
              <w:bottom w:val="single" w:sz="12" w:space="0" w:color="000000" w:themeColor="text1"/>
            </w:tcBorders>
            <w:vAlign w:val="center"/>
          </w:tcPr>
          <w:p w:rsidR="00AE621D" w:rsidRPr="00BB731A" w:rsidRDefault="00AE621D" w:rsidP="00AB2174">
            <w:pPr>
              <w:spacing w:line="360" w:lineRule="auto"/>
              <w:jc w:val="center"/>
              <w:rPr>
                <w:rFonts w:eastAsiaTheme="minorEastAsia"/>
                <w:sz w:val="24"/>
                <w:szCs w:val="24"/>
              </w:rPr>
            </w:pPr>
            <w:r w:rsidRPr="00BB731A">
              <w:rPr>
                <w:rFonts w:eastAsiaTheme="minorEastAsia" w:hint="eastAsia"/>
                <w:sz w:val="24"/>
                <w:szCs w:val="24"/>
              </w:rPr>
              <w:t>206</w:t>
            </w:r>
          </w:p>
        </w:tc>
        <w:tc>
          <w:tcPr>
            <w:tcW w:w="2131" w:type="dxa"/>
            <w:tcBorders>
              <w:top w:val="nil"/>
              <w:bottom w:val="single" w:sz="12" w:space="0" w:color="000000" w:themeColor="text1"/>
            </w:tcBorders>
            <w:vAlign w:val="center"/>
          </w:tcPr>
          <w:p w:rsidR="00AE621D" w:rsidRPr="00BB731A" w:rsidRDefault="00AE621D" w:rsidP="00AB2174">
            <w:pPr>
              <w:spacing w:line="360" w:lineRule="auto"/>
              <w:jc w:val="center"/>
              <w:rPr>
                <w:rFonts w:eastAsiaTheme="minorEastAsia"/>
                <w:sz w:val="24"/>
                <w:szCs w:val="24"/>
              </w:rPr>
            </w:pPr>
            <w:r w:rsidRPr="00BB731A">
              <w:rPr>
                <w:rFonts w:eastAsiaTheme="minorEastAsia" w:hint="eastAsia"/>
                <w:sz w:val="24"/>
                <w:szCs w:val="24"/>
              </w:rPr>
              <w:t>18</w:t>
            </w:r>
          </w:p>
        </w:tc>
      </w:tr>
    </w:tbl>
    <w:p w:rsidR="000F3815" w:rsidRPr="00BB731A" w:rsidRDefault="000F3815" w:rsidP="000F3815">
      <w:pPr>
        <w:spacing w:line="360" w:lineRule="auto"/>
        <w:rPr>
          <w:rFonts w:eastAsiaTheme="minorEastAsia"/>
          <w:sz w:val="24"/>
          <w:szCs w:val="24"/>
        </w:rPr>
      </w:pPr>
      <w:r w:rsidRPr="00BB731A">
        <w:rPr>
          <w:rFonts w:eastAsiaTheme="minorEastAsia" w:hint="eastAsia"/>
          <w:sz w:val="24"/>
          <w:szCs w:val="24"/>
        </w:rPr>
        <w:t>注：标注“</w:t>
      </w:r>
      <w:r w:rsidRPr="00BB731A">
        <w:rPr>
          <w:rFonts w:eastAsiaTheme="minorEastAsia" w:hint="eastAsia"/>
          <w:sz w:val="24"/>
          <w:szCs w:val="24"/>
        </w:rPr>
        <w:t>*</w:t>
      </w:r>
      <w:r w:rsidR="0015285C" w:rsidRPr="00BB731A">
        <w:rPr>
          <w:rFonts w:eastAsiaTheme="minorEastAsia" w:hint="eastAsia"/>
          <w:sz w:val="24"/>
          <w:szCs w:val="24"/>
        </w:rPr>
        <w:t>”的离子，为</w:t>
      </w:r>
      <w:r w:rsidRPr="00BB731A">
        <w:rPr>
          <w:rFonts w:eastAsiaTheme="minorEastAsia" w:hint="eastAsia"/>
          <w:sz w:val="24"/>
          <w:szCs w:val="24"/>
        </w:rPr>
        <w:t>本研究使用的定量离子。</w:t>
      </w:r>
    </w:p>
    <w:p w:rsidR="000F3815" w:rsidRPr="005F4F46" w:rsidRDefault="006D751F" w:rsidP="005F4F46">
      <w:pPr>
        <w:spacing w:line="360" w:lineRule="auto"/>
        <w:ind w:firstLineChars="200" w:firstLine="640"/>
        <w:rPr>
          <w:rFonts w:ascii="FangSong_GB2312" w:hAnsi="宋体" w:cs="FangSong_GB2312"/>
        </w:rPr>
      </w:pPr>
      <w:r w:rsidRPr="005F4F46">
        <w:rPr>
          <w:rFonts w:ascii="FangSong_GB2312" w:hAnsi="宋体" w:cs="FangSong_GB2312" w:hint="eastAsia"/>
        </w:rPr>
        <w:t>在以上条件下，扑草净（浓度为：0.5ng/mL）的标准工作溶液的质谱图见2</w:t>
      </w:r>
      <w:r w:rsidR="000F3815" w:rsidRPr="005F4F46">
        <w:rPr>
          <w:rFonts w:ascii="FangSong_GB2312" w:hAnsi="宋体" w:cs="FangSong_GB2312" w:hint="eastAsia"/>
        </w:rPr>
        <w:t>。</w:t>
      </w:r>
    </w:p>
    <w:p w:rsidR="000F3815" w:rsidRPr="00BB731A" w:rsidRDefault="00C901B8" w:rsidP="000F3815">
      <w:pPr>
        <w:spacing w:line="360" w:lineRule="auto"/>
        <w:jc w:val="center"/>
        <w:rPr>
          <w:rFonts w:eastAsiaTheme="minorEastAsia"/>
          <w:sz w:val="24"/>
          <w:szCs w:val="24"/>
        </w:rPr>
      </w:pPr>
      <w:r w:rsidRPr="00BB731A">
        <w:rPr>
          <w:rFonts w:eastAsiaTheme="minorEastAsia"/>
          <w:noProof/>
          <w:sz w:val="24"/>
          <w:szCs w:val="24"/>
        </w:rPr>
        <w:drawing>
          <wp:inline distT="0" distB="0" distL="0" distR="0">
            <wp:extent cx="5274310" cy="3222625"/>
            <wp:effectExtent l="19050" t="0" r="2540" b="0"/>
            <wp:docPr id="2" name="图片 2" descr="Prometr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etryn.jpg"/>
                    <pic:cNvPicPr/>
                  </pic:nvPicPr>
                  <pic:blipFill>
                    <a:blip r:embed="rId9" cstate="print"/>
                    <a:stretch>
                      <a:fillRect/>
                    </a:stretch>
                  </pic:blipFill>
                  <pic:spPr>
                    <a:xfrm>
                      <a:off x="0" y="0"/>
                      <a:ext cx="5274310" cy="3222625"/>
                    </a:xfrm>
                    <a:prstGeom prst="rect">
                      <a:avLst/>
                    </a:prstGeom>
                  </pic:spPr>
                </pic:pic>
              </a:graphicData>
            </a:graphic>
          </wp:inline>
        </w:drawing>
      </w:r>
    </w:p>
    <w:p w:rsidR="000F3815" w:rsidRPr="00BB731A" w:rsidRDefault="000F3815" w:rsidP="000F3815">
      <w:pPr>
        <w:spacing w:line="360" w:lineRule="auto"/>
        <w:jc w:val="center"/>
        <w:rPr>
          <w:rFonts w:eastAsiaTheme="minorEastAsia"/>
          <w:sz w:val="24"/>
          <w:szCs w:val="24"/>
        </w:rPr>
      </w:pPr>
      <w:r w:rsidRPr="00BB731A">
        <w:rPr>
          <w:rFonts w:eastAsiaTheme="minorEastAsia" w:hint="eastAsia"/>
          <w:sz w:val="24"/>
          <w:szCs w:val="24"/>
        </w:rPr>
        <w:t>图</w:t>
      </w:r>
      <w:r w:rsidR="00AF7B16" w:rsidRPr="00BB731A">
        <w:rPr>
          <w:rFonts w:eastAsiaTheme="minorEastAsia" w:hint="eastAsia"/>
          <w:sz w:val="24"/>
          <w:szCs w:val="24"/>
        </w:rPr>
        <w:t>2</w:t>
      </w:r>
      <w:r w:rsidRPr="00BB731A">
        <w:rPr>
          <w:rFonts w:eastAsiaTheme="minorEastAsia" w:hint="eastAsia"/>
          <w:sz w:val="24"/>
          <w:szCs w:val="24"/>
        </w:rPr>
        <w:t xml:space="preserve">. </w:t>
      </w:r>
      <w:r w:rsidRPr="00BB731A">
        <w:rPr>
          <w:rFonts w:eastAsiaTheme="minorEastAsia" w:hint="eastAsia"/>
          <w:sz w:val="24"/>
          <w:szCs w:val="24"/>
        </w:rPr>
        <w:t>扑草净标准工作溶液的特征离子质谱图</w:t>
      </w:r>
    </w:p>
    <w:p w:rsidR="000F3815" w:rsidRPr="005F4F46" w:rsidRDefault="00664894" w:rsidP="005F4F46">
      <w:pPr>
        <w:spacing w:line="360" w:lineRule="auto"/>
        <w:ind w:firstLineChars="200" w:firstLine="643"/>
        <w:rPr>
          <w:rFonts w:ascii="FangSong_GB2312" w:hAnsi="宋体" w:cs="FangSong_GB2312"/>
          <w:b/>
        </w:rPr>
      </w:pPr>
      <w:r w:rsidRPr="005F4F46">
        <w:rPr>
          <w:rFonts w:ascii="FangSong_GB2312" w:hAnsi="宋体" w:cs="FangSong_GB2312" w:hint="eastAsia"/>
          <w:b/>
        </w:rPr>
        <w:t>（</w:t>
      </w:r>
      <w:r w:rsidR="00DE1BC0">
        <w:rPr>
          <w:rFonts w:ascii="FangSong_GB2312" w:hAnsi="宋体" w:cs="FangSong_GB2312" w:hint="eastAsia"/>
          <w:b/>
        </w:rPr>
        <w:t>6</w:t>
      </w:r>
      <w:r w:rsidRPr="005F4F46">
        <w:rPr>
          <w:rFonts w:ascii="FangSong_GB2312" w:hAnsi="宋体" w:cs="FangSong_GB2312" w:hint="eastAsia"/>
          <w:b/>
        </w:rPr>
        <w:t>）方法的线性范围和相关性</w:t>
      </w:r>
    </w:p>
    <w:p w:rsidR="00AF7B16" w:rsidRPr="005F4F46" w:rsidRDefault="00664894" w:rsidP="00664894">
      <w:pPr>
        <w:spacing w:line="360" w:lineRule="auto"/>
        <w:ind w:firstLine="480"/>
        <w:rPr>
          <w:rFonts w:ascii="FangSong_GB2312" w:hAnsi="宋体" w:cs="FangSong_GB2312"/>
        </w:rPr>
      </w:pPr>
      <w:r w:rsidRPr="005F4F46">
        <w:rPr>
          <w:rFonts w:ascii="FangSong_GB2312" w:hAnsi="宋体" w:cs="FangSong_GB2312" w:hint="eastAsia"/>
        </w:rPr>
        <w:t>扑草净的标准溶液系列上机溶液，浓度依次为0.25 ng/mL，0.50 ng/mL，0.75 ng/mL，1.00 ng/mL，2.00 ng/mL，5.00 ng/mL，10.00 n</w:t>
      </w:r>
      <w:r w:rsidRPr="005F4F46">
        <w:rPr>
          <w:rFonts w:ascii="FangSong_GB2312" w:hAnsi="宋体" w:cs="FangSong_GB2312"/>
        </w:rPr>
        <w:t>g</w:t>
      </w:r>
      <w:r w:rsidRPr="005F4F46">
        <w:rPr>
          <w:rFonts w:ascii="FangSong_GB2312" w:hAnsi="宋体" w:cs="FangSong_GB2312" w:hint="eastAsia"/>
        </w:rPr>
        <w:t>/mL</w:t>
      </w:r>
      <w:r w:rsidR="00AF7B16" w:rsidRPr="005F4F46">
        <w:rPr>
          <w:rFonts w:ascii="FangSong_GB2312" w:hAnsi="宋体" w:cs="FangSong_GB2312" w:hint="eastAsia"/>
        </w:rPr>
        <w:t>，此标准系列溶液中，</w:t>
      </w:r>
      <w:r w:rsidR="00651B03" w:rsidRPr="005F4F46">
        <w:rPr>
          <w:rFonts w:ascii="FangSong_GB2312" w:hAnsi="宋体" w:cs="FangSong_GB2312" w:hint="eastAsia"/>
        </w:rPr>
        <w:t>氘代</w:t>
      </w:r>
      <w:r w:rsidR="00AF7B16" w:rsidRPr="005F4F46">
        <w:rPr>
          <w:rFonts w:ascii="FangSong_GB2312" w:hAnsi="宋体" w:cs="FangSong_GB2312" w:hint="eastAsia"/>
        </w:rPr>
        <w:t>扑草净</w:t>
      </w:r>
      <w:r w:rsidR="00651B03" w:rsidRPr="005F4F46">
        <w:rPr>
          <w:rFonts w:ascii="FangSong_GB2312" w:hAnsi="宋体" w:cs="FangSong_GB2312" w:hint="eastAsia"/>
        </w:rPr>
        <w:t>-D6</w:t>
      </w:r>
      <w:r w:rsidR="00AF7B16" w:rsidRPr="005F4F46">
        <w:rPr>
          <w:rFonts w:ascii="FangSong_GB2312" w:hAnsi="宋体" w:cs="FangSong_GB2312" w:hint="eastAsia"/>
        </w:rPr>
        <w:t>的含量为</w:t>
      </w:r>
      <w:r w:rsidR="000B6B16" w:rsidRPr="005F4F46">
        <w:rPr>
          <w:rFonts w:ascii="FangSong_GB2312" w:hAnsi="宋体" w:cs="FangSong_GB2312" w:hint="eastAsia"/>
        </w:rPr>
        <w:t>1.0</w:t>
      </w:r>
      <w:r w:rsidR="00F63DF7" w:rsidRPr="005F4F46">
        <w:rPr>
          <w:rFonts w:ascii="FangSong_GB2312" w:hAnsi="宋体" w:cs="FangSong_GB2312" w:hint="eastAsia"/>
        </w:rPr>
        <w:t>ng/mL</w:t>
      </w:r>
      <w:r w:rsidR="00AF7B16" w:rsidRPr="005F4F46">
        <w:rPr>
          <w:rFonts w:ascii="FangSong_GB2312" w:hAnsi="宋体" w:cs="FangSong_GB2312" w:hint="eastAsia"/>
        </w:rPr>
        <w:t>。</w:t>
      </w:r>
    </w:p>
    <w:p w:rsidR="00664894" w:rsidRPr="005F4F46" w:rsidRDefault="00664894" w:rsidP="00664894">
      <w:pPr>
        <w:spacing w:line="360" w:lineRule="auto"/>
        <w:ind w:firstLine="480"/>
        <w:rPr>
          <w:rFonts w:ascii="FangSong_GB2312" w:hAnsi="宋体" w:cs="FangSong_GB2312"/>
        </w:rPr>
      </w:pPr>
      <w:r w:rsidRPr="005F4F46">
        <w:rPr>
          <w:rFonts w:ascii="FangSong_GB2312" w:hAnsi="宋体" w:cs="FangSong_GB2312" w:hint="eastAsia"/>
        </w:rPr>
        <w:lastRenderedPageBreak/>
        <w:t>按照上述仪器条件，</w:t>
      </w:r>
      <w:r w:rsidR="000B6B16" w:rsidRPr="005F4F46">
        <w:rPr>
          <w:rFonts w:ascii="FangSong_GB2312" w:hAnsi="宋体" w:cs="FangSong_GB2312" w:hint="eastAsia"/>
        </w:rPr>
        <w:t>检测标准系列溶液，取峰面积做线性回归，扑草净的标准曲线方程为扑草净标准曲线方程为y=30365x-414.611，线性相关系数R2为0.99</w:t>
      </w:r>
      <w:r w:rsidR="00DE1BC0">
        <w:rPr>
          <w:rFonts w:ascii="FangSong_GB2312" w:hAnsi="宋体" w:cs="FangSong_GB2312" w:hint="eastAsia"/>
        </w:rPr>
        <w:t>9</w:t>
      </w:r>
      <w:r w:rsidR="000B6B16" w:rsidRPr="005F4F46">
        <w:rPr>
          <w:rFonts w:ascii="FangSong_GB2312" w:hAnsi="宋体" w:cs="FangSong_GB2312" w:hint="eastAsia"/>
        </w:rPr>
        <w:t>，扑草净的线性范围为0 ng/mL~10.00 n</w:t>
      </w:r>
      <w:r w:rsidR="000B6B16" w:rsidRPr="005F4F46">
        <w:rPr>
          <w:rFonts w:ascii="FangSong_GB2312" w:hAnsi="宋体" w:cs="FangSong_GB2312"/>
        </w:rPr>
        <w:t>g</w:t>
      </w:r>
      <w:r w:rsidR="000B6B16" w:rsidRPr="005F4F46">
        <w:rPr>
          <w:rFonts w:ascii="FangSong_GB2312" w:hAnsi="宋体" w:cs="FangSong_GB2312" w:hint="eastAsia"/>
        </w:rPr>
        <w:t>/mL。在检测含有较高浓度扑草净水样时，当其浓度超出上述线性范围，用低浓度系列的标准缺陷不能准确定量时，可以通过以下几种方式来定量：减小样品的取样量；先将样品稀释，再取样检测；以浓度相近的标准溶液单点定量。</w:t>
      </w:r>
    </w:p>
    <w:p w:rsidR="00664894" w:rsidRPr="005F4F46" w:rsidRDefault="00664894" w:rsidP="005F4F46">
      <w:pPr>
        <w:spacing w:line="360" w:lineRule="auto"/>
        <w:ind w:firstLineChars="200" w:firstLine="643"/>
        <w:rPr>
          <w:rFonts w:ascii="FangSong_GB2312" w:hAnsi="宋体" w:cs="FangSong_GB2312"/>
          <w:b/>
        </w:rPr>
      </w:pPr>
      <w:r w:rsidRPr="005F4F46">
        <w:rPr>
          <w:rFonts w:ascii="FangSong_GB2312" w:hAnsi="宋体" w:cs="FangSong_GB2312" w:hint="eastAsia"/>
          <w:b/>
        </w:rPr>
        <w:t>（</w:t>
      </w:r>
      <w:r w:rsidR="00DE1BC0">
        <w:rPr>
          <w:rFonts w:ascii="FangSong_GB2312" w:hAnsi="宋体" w:cs="FangSong_GB2312" w:hint="eastAsia"/>
          <w:b/>
        </w:rPr>
        <w:t>7</w:t>
      </w:r>
      <w:r w:rsidRPr="005F4F46">
        <w:rPr>
          <w:rFonts w:ascii="FangSong_GB2312" w:hAnsi="宋体" w:cs="FangSong_GB2312" w:hint="eastAsia"/>
          <w:b/>
        </w:rPr>
        <w:t>）方法的准确度和精密度</w:t>
      </w:r>
    </w:p>
    <w:p w:rsidR="00664894" w:rsidRPr="005F4F46" w:rsidRDefault="00664894" w:rsidP="00664894">
      <w:pPr>
        <w:spacing w:line="360" w:lineRule="auto"/>
        <w:ind w:firstLine="480"/>
        <w:rPr>
          <w:rFonts w:ascii="FangSong_GB2312" w:hAnsi="宋体" w:cs="FangSong_GB2312"/>
        </w:rPr>
      </w:pPr>
      <w:r w:rsidRPr="005F4F46">
        <w:rPr>
          <w:rFonts w:ascii="FangSong_GB2312" w:hAnsi="宋体" w:cs="FangSong_GB2312" w:hint="eastAsia"/>
        </w:rPr>
        <w:t>准确度为测定平均值与真值得相符程度。即向某一稳定样品中加入不同水平已知量的标准物质（将标准物质的加入量作为真值），称为加标样品，同时测定样品和</w:t>
      </w:r>
      <w:r w:rsidR="00FA29BA" w:rsidRPr="005F4F46">
        <w:rPr>
          <w:rFonts w:ascii="FangSong_GB2312" w:hAnsi="宋体" w:cs="FangSong_GB2312" w:hint="eastAsia"/>
        </w:rPr>
        <w:t>加标样品</w:t>
      </w:r>
      <w:r w:rsidRPr="005F4F46">
        <w:rPr>
          <w:rFonts w:ascii="FangSong_GB2312" w:hAnsi="宋体" w:cs="FangSong_GB2312" w:hint="eastAsia"/>
        </w:rPr>
        <w:t>，加标</w:t>
      </w:r>
      <w:r w:rsidR="00E13250" w:rsidRPr="005F4F46">
        <w:rPr>
          <w:rFonts w:ascii="FangSong_GB2312" w:hAnsi="宋体" w:cs="FangSong_GB2312" w:hint="eastAsia"/>
        </w:rPr>
        <w:t>样品扣除样品值后与标准物质的误差即为该方法的准确度。同一样品的各</w:t>
      </w:r>
      <w:r w:rsidRPr="005F4F46">
        <w:rPr>
          <w:rFonts w:ascii="FangSong_GB2312" w:hAnsi="宋体" w:cs="FangSong_GB2312" w:hint="eastAsia"/>
        </w:rPr>
        <w:t>测定值的符合程度为精密度。在某一实验室，使用同一操作方法，测定同一稳定样品时，允许</w:t>
      </w:r>
      <w:r w:rsidR="00265FC4" w:rsidRPr="005F4F46">
        <w:rPr>
          <w:rFonts w:ascii="FangSong_GB2312" w:hAnsi="宋体" w:cs="FangSong_GB2312" w:hint="eastAsia"/>
        </w:rPr>
        <w:t>变化</w:t>
      </w:r>
      <w:r w:rsidRPr="005F4F46">
        <w:rPr>
          <w:rFonts w:ascii="FangSong_GB2312" w:hAnsi="宋体" w:cs="FangSong_GB2312" w:hint="eastAsia"/>
        </w:rPr>
        <w:t>的因素有操作者、时间、试剂、仪器等，测定值之间的相对偏差即为该方法在实验室内的精密度。本试验通过测定添加回收率的方法来确定标准方法的准确度和精密度。</w:t>
      </w:r>
    </w:p>
    <w:p w:rsidR="00664894" w:rsidRPr="005F4F46" w:rsidRDefault="00664894" w:rsidP="00664894">
      <w:pPr>
        <w:spacing w:line="360" w:lineRule="auto"/>
        <w:ind w:firstLine="480"/>
        <w:rPr>
          <w:rFonts w:ascii="FangSong_GB2312" w:hAnsi="宋体" w:cs="FangSong_GB2312"/>
        </w:rPr>
      </w:pPr>
      <w:r w:rsidRPr="005F4F46">
        <w:rPr>
          <w:rFonts w:ascii="FangSong_GB2312" w:hAnsi="宋体" w:cs="FangSong_GB2312" w:hint="eastAsia"/>
        </w:rPr>
        <w:t>选取不含扑草净的水样</w:t>
      </w:r>
      <w:r w:rsidR="00E32009" w:rsidRPr="005F4F46">
        <w:rPr>
          <w:rFonts w:ascii="FangSong_GB2312" w:hAnsi="宋体" w:cs="FangSong_GB2312" w:hint="eastAsia"/>
        </w:rPr>
        <w:t>作</w:t>
      </w:r>
      <w:r w:rsidRPr="005F4F46">
        <w:rPr>
          <w:rFonts w:ascii="FangSong_GB2312" w:hAnsi="宋体" w:cs="FangSong_GB2312" w:hint="eastAsia"/>
        </w:rPr>
        <w:t>为空白基质进行测试，添加3个浓度的扑草净标准物质，每个加标浓度做6个平行样品，按照上述确定的实验步骤测定各个加标样品的回收率，计算出平均回收率和相对标准偏差（RSD）。实验结果见表3。</w:t>
      </w:r>
    </w:p>
    <w:p w:rsidR="00664894" w:rsidRPr="00BB731A" w:rsidRDefault="00664894" w:rsidP="00664894">
      <w:pPr>
        <w:spacing w:line="360" w:lineRule="auto"/>
        <w:jc w:val="center"/>
        <w:rPr>
          <w:rFonts w:eastAsiaTheme="minorEastAsia"/>
          <w:sz w:val="24"/>
          <w:szCs w:val="24"/>
        </w:rPr>
      </w:pPr>
      <w:r w:rsidRPr="00BB731A">
        <w:rPr>
          <w:rFonts w:eastAsiaTheme="minorEastAsia" w:hint="eastAsia"/>
          <w:sz w:val="24"/>
          <w:szCs w:val="24"/>
        </w:rPr>
        <w:lastRenderedPageBreak/>
        <w:t>表</w:t>
      </w:r>
      <w:r w:rsidRPr="00BB731A">
        <w:rPr>
          <w:rFonts w:eastAsiaTheme="minorEastAsia" w:hint="eastAsia"/>
          <w:sz w:val="24"/>
          <w:szCs w:val="24"/>
        </w:rPr>
        <w:t xml:space="preserve">3 </w:t>
      </w:r>
      <w:r w:rsidRPr="00BB731A">
        <w:rPr>
          <w:rFonts w:eastAsiaTheme="minorEastAsia" w:hint="eastAsia"/>
          <w:sz w:val="24"/>
          <w:szCs w:val="24"/>
        </w:rPr>
        <w:t>水中扑草净检测的回收率和精密度（</w:t>
      </w:r>
      <w:r w:rsidRPr="00BB731A">
        <w:rPr>
          <w:rFonts w:eastAsiaTheme="minorEastAsia" w:hint="eastAsia"/>
          <w:sz w:val="24"/>
          <w:szCs w:val="24"/>
        </w:rPr>
        <w:t>n=6</w:t>
      </w:r>
      <w:r w:rsidRPr="00BB731A">
        <w:rPr>
          <w:rFonts w:eastAsiaTheme="minorEastAsia" w:hint="eastAsia"/>
          <w:sz w:val="24"/>
          <w:szCs w:val="24"/>
        </w:rPr>
        <w:t>）</w:t>
      </w:r>
    </w:p>
    <w:tbl>
      <w:tblPr>
        <w:tblStyle w:val="a5"/>
        <w:tblW w:w="0" w:type="auto"/>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840"/>
        <w:gridCol w:w="2841"/>
        <w:gridCol w:w="2841"/>
      </w:tblGrid>
      <w:tr w:rsidR="00664894" w:rsidRPr="00BB731A" w:rsidTr="002223ED">
        <w:trPr>
          <w:jc w:val="center"/>
        </w:trPr>
        <w:tc>
          <w:tcPr>
            <w:tcW w:w="2840" w:type="dxa"/>
            <w:tcBorders>
              <w:top w:val="single" w:sz="12" w:space="0" w:color="000000" w:themeColor="text1"/>
              <w:bottom w:val="single" w:sz="2" w:space="0" w:color="000000" w:themeColor="text1"/>
            </w:tcBorders>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加标浓度（</w:t>
            </w:r>
            <w:r w:rsidRPr="00BB731A">
              <w:rPr>
                <w:rFonts w:eastAsiaTheme="minorEastAsia" w:hint="eastAsia"/>
                <w:sz w:val="24"/>
                <w:szCs w:val="24"/>
              </w:rPr>
              <w:t>ng/L</w:t>
            </w:r>
            <w:r w:rsidRPr="00BB731A">
              <w:rPr>
                <w:rFonts w:eastAsiaTheme="minorEastAsia" w:hint="eastAsia"/>
                <w:sz w:val="24"/>
                <w:szCs w:val="24"/>
              </w:rPr>
              <w:t>）</w:t>
            </w:r>
          </w:p>
        </w:tc>
        <w:tc>
          <w:tcPr>
            <w:tcW w:w="2841" w:type="dxa"/>
            <w:tcBorders>
              <w:top w:val="single" w:sz="12" w:space="0" w:color="000000" w:themeColor="text1"/>
              <w:bottom w:val="single" w:sz="2" w:space="0" w:color="000000" w:themeColor="text1"/>
            </w:tcBorders>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平均回收率（</w:t>
            </w:r>
            <w:r w:rsidRPr="00BB731A">
              <w:rPr>
                <w:rFonts w:eastAsiaTheme="minorEastAsia" w:hint="eastAsia"/>
                <w:sz w:val="24"/>
                <w:szCs w:val="24"/>
              </w:rPr>
              <w:t>%</w:t>
            </w:r>
            <w:r w:rsidRPr="00BB731A">
              <w:rPr>
                <w:rFonts w:eastAsiaTheme="minorEastAsia" w:hint="eastAsia"/>
                <w:sz w:val="24"/>
                <w:szCs w:val="24"/>
              </w:rPr>
              <w:t>）</w:t>
            </w:r>
          </w:p>
        </w:tc>
        <w:tc>
          <w:tcPr>
            <w:tcW w:w="2841" w:type="dxa"/>
            <w:tcBorders>
              <w:top w:val="single" w:sz="12" w:space="0" w:color="000000" w:themeColor="text1"/>
              <w:bottom w:val="single" w:sz="2" w:space="0" w:color="000000" w:themeColor="text1"/>
            </w:tcBorders>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相对标准偏差（</w:t>
            </w:r>
            <w:r w:rsidRPr="00BB731A">
              <w:rPr>
                <w:rFonts w:eastAsiaTheme="minorEastAsia" w:hint="eastAsia"/>
                <w:sz w:val="24"/>
                <w:szCs w:val="24"/>
              </w:rPr>
              <w:t>%</w:t>
            </w:r>
            <w:r w:rsidRPr="00BB731A">
              <w:rPr>
                <w:rFonts w:eastAsiaTheme="minorEastAsia" w:hint="eastAsia"/>
                <w:sz w:val="24"/>
                <w:szCs w:val="24"/>
              </w:rPr>
              <w:t>）</w:t>
            </w:r>
          </w:p>
        </w:tc>
      </w:tr>
      <w:tr w:rsidR="00664894" w:rsidRPr="00BB731A" w:rsidTr="002223ED">
        <w:trPr>
          <w:jc w:val="center"/>
        </w:trPr>
        <w:tc>
          <w:tcPr>
            <w:tcW w:w="2840" w:type="dxa"/>
            <w:tcBorders>
              <w:top w:val="single" w:sz="2" w:space="0" w:color="000000" w:themeColor="text1"/>
            </w:tcBorders>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5.0</w:t>
            </w:r>
          </w:p>
        </w:tc>
        <w:tc>
          <w:tcPr>
            <w:tcW w:w="2841" w:type="dxa"/>
            <w:tcBorders>
              <w:top w:val="single" w:sz="2" w:space="0" w:color="000000" w:themeColor="text1"/>
            </w:tcBorders>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116</w:t>
            </w:r>
          </w:p>
        </w:tc>
        <w:tc>
          <w:tcPr>
            <w:tcW w:w="2841" w:type="dxa"/>
            <w:tcBorders>
              <w:top w:val="single" w:sz="2" w:space="0" w:color="000000" w:themeColor="text1"/>
            </w:tcBorders>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7.0</w:t>
            </w:r>
          </w:p>
        </w:tc>
      </w:tr>
      <w:tr w:rsidR="00664894" w:rsidRPr="00BB731A" w:rsidTr="002223ED">
        <w:trPr>
          <w:jc w:val="center"/>
        </w:trPr>
        <w:tc>
          <w:tcPr>
            <w:tcW w:w="2840" w:type="dxa"/>
            <w:vAlign w:val="center"/>
          </w:tcPr>
          <w:p w:rsidR="00664894" w:rsidRPr="00BB731A" w:rsidRDefault="00B83054" w:rsidP="002223ED">
            <w:pPr>
              <w:spacing w:line="360" w:lineRule="auto"/>
              <w:jc w:val="center"/>
              <w:rPr>
                <w:rFonts w:eastAsiaTheme="minorEastAsia"/>
                <w:sz w:val="24"/>
                <w:szCs w:val="24"/>
              </w:rPr>
            </w:pPr>
            <w:r w:rsidRPr="00BB731A">
              <w:rPr>
                <w:rFonts w:eastAsiaTheme="minorEastAsia" w:hint="eastAsia"/>
                <w:sz w:val="24"/>
                <w:szCs w:val="24"/>
              </w:rPr>
              <w:t>1</w:t>
            </w:r>
            <w:r w:rsidR="00664894" w:rsidRPr="00BB731A">
              <w:rPr>
                <w:rFonts w:eastAsiaTheme="minorEastAsia" w:hint="eastAsia"/>
                <w:sz w:val="24"/>
                <w:szCs w:val="24"/>
              </w:rPr>
              <w:t>0.0</w:t>
            </w:r>
          </w:p>
        </w:tc>
        <w:tc>
          <w:tcPr>
            <w:tcW w:w="2841" w:type="dxa"/>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88.6</w:t>
            </w:r>
          </w:p>
        </w:tc>
        <w:tc>
          <w:tcPr>
            <w:tcW w:w="2841" w:type="dxa"/>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9.2</w:t>
            </w:r>
          </w:p>
        </w:tc>
      </w:tr>
      <w:tr w:rsidR="00664894" w:rsidRPr="00BB731A" w:rsidTr="002223ED">
        <w:trPr>
          <w:jc w:val="center"/>
        </w:trPr>
        <w:tc>
          <w:tcPr>
            <w:tcW w:w="2840" w:type="dxa"/>
            <w:vAlign w:val="center"/>
          </w:tcPr>
          <w:p w:rsidR="00664894" w:rsidRPr="00BB731A" w:rsidRDefault="00B83054" w:rsidP="002223ED">
            <w:pPr>
              <w:spacing w:line="360" w:lineRule="auto"/>
              <w:jc w:val="center"/>
              <w:rPr>
                <w:rFonts w:eastAsiaTheme="minorEastAsia"/>
                <w:sz w:val="24"/>
                <w:szCs w:val="24"/>
              </w:rPr>
            </w:pPr>
            <w:r w:rsidRPr="00BB731A">
              <w:rPr>
                <w:rFonts w:eastAsiaTheme="minorEastAsia" w:hint="eastAsia"/>
                <w:sz w:val="24"/>
                <w:szCs w:val="24"/>
              </w:rPr>
              <w:t>50</w:t>
            </w:r>
            <w:r w:rsidR="00664894" w:rsidRPr="00BB731A">
              <w:rPr>
                <w:rFonts w:eastAsiaTheme="minorEastAsia" w:hint="eastAsia"/>
                <w:sz w:val="24"/>
                <w:szCs w:val="24"/>
              </w:rPr>
              <w:t>.0</w:t>
            </w:r>
          </w:p>
        </w:tc>
        <w:tc>
          <w:tcPr>
            <w:tcW w:w="2841" w:type="dxa"/>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81.9</w:t>
            </w:r>
          </w:p>
        </w:tc>
        <w:tc>
          <w:tcPr>
            <w:tcW w:w="2841" w:type="dxa"/>
            <w:vAlign w:val="center"/>
          </w:tcPr>
          <w:p w:rsidR="00664894" w:rsidRPr="00BB731A" w:rsidRDefault="00664894" w:rsidP="002223ED">
            <w:pPr>
              <w:spacing w:line="360" w:lineRule="auto"/>
              <w:jc w:val="center"/>
              <w:rPr>
                <w:rFonts w:eastAsiaTheme="minorEastAsia"/>
                <w:sz w:val="24"/>
                <w:szCs w:val="24"/>
              </w:rPr>
            </w:pPr>
            <w:r w:rsidRPr="00BB731A">
              <w:rPr>
                <w:rFonts w:eastAsiaTheme="minorEastAsia" w:hint="eastAsia"/>
                <w:sz w:val="24"/>
                <w:szCs w:val="24"/>
              </w:rPr>
              <w:t>8.9</w:t>
            </w:r>
          </w:p>
        </w:tc>
      </w:tr>
    </w:tbl>
    <w:p w:rsidR="00664894" w:rsidRPr="005F4F46" w:rsidRDefault="00664894" w:rsidP="00664894">
      <w:pPr>
        <w:spacing w:line="360" w:lineRule="auto"/>
        <w:ind w:firstLine="480"/>
        <w:rPr>
          <w:rFonts w:ascii="FangSong_GB2312" w:hAnsi="宋体" w:cs="FangSong_GB2312"/>
        </w:rPr>
      </w:pPr>
      <w:r w:rsidRPr="005F4F46">
        <w:rPr>
          <w:rFonts w:ascii="FangSong_GB2312" w:hAnsi="宋体" w:cs="FangSong_GB2312" w:hint="eastAsia"/>
        </w:rPr>
        <w:t xml:space="preserve">由表3可知，在取样量为100 mL、加标量在5.0 ng/L ~ </w:t>
      </w:r>
      <w:r w:rsidR="00135309" w:rsidRPr="005F4F46">
        <w:rPr>
          <w:rFonts w:ascii="FangSong_GB2312" w:hAnsi="宋体" w:cs="FangSong_GB2312" w:hint="eastAsia"/>
        </w:rPr>
        <w:t>5</w:t>
      </w:r>
      <w:r w:rsidRPr="005F4F46">
        <w:rPr>
          <w:rFonts w:ascii="FangSong_GB2312" w:hAnsi="宋体" w:cs="FangSong_GB2312" w:hint="eastAsia"/>
        </w:rPr>
        <w:t>0.0 ng/L时，扑草净的平均回收率在70</w:t>
      </w:r>
      <w:r w:rsidR="00303DD0" w:rsidRPr="005F4F46">
        <w:rPr>
          <w:rFonts w:ascii="FangSong_GB2312" w:hAnsi="宋体" w:cs="FangSong_GB2312" w:hint="eastAsia"/>
        </w:rPr>
        <w:t xml:space="preserve"> </w:t>
      </w:r>
      <w:r w:rsidRPr="005F4F46">
        <w:rPr>
          <w:rFonts w:ascii="FangSong_GB2312" w:hAnsi="宋体" w:cs="FangSong_GB2312" w:hint="eastAsia"/>
        </w:rPr>
        <w:t>% ~ 120</w:t>
      </w:r>
      <w:r w:rsidR="00303DD0" w:rsidRPr="005F4F46">
        <w:rPr>
          <w:rFonts w:ascii="FangSong_GB2312" w:hAnsi="宋体" w:cs="FangSong_GB2312" w:hint="eastAsia"/>
        </w:rPr>
        <w:t xml:space="preserve"> </w:t>
      </w:r>
      <w:r w:rsidRPr="005F4F46">
        <w:rPr>
          <w:rFonts w:ascii="FangSong_GB2312" w:hAnsi="宋体" w:cs="FangSong_GB2312" w:hint="eastAsia"/>
        </w:rPr>
        <w:t>%之间，相对标准偏差小于15</w:t>
      </w:r>
      <w:r w:rsidR="00303DD0" w:rsidRPr="005F4F46">
        <w:rPr>
          <w:rFonts w:ascii="FangSong_GB2312" w:hAnsi="宋体" w:cs="FangSong_GB2312" w:hint="eastAsia"/>
        </w:rPr>
        <w:t xml:space="preserve"> </w:t>
      </w:r>
      <w:r w:rsidRPr="005F4F46">
        <w:rPr>
          <w:rFonts w:ascii="FangSong_GB2312" w:hAnsi="宋体" w:cs="FangSong_GB2312" w:hint="eastAsia"/>
        </w:rPr>
        <w:t>%，说明分析测试过程无明显的系统误差，满足水中扑草净的检测要求。当水样中加标量为5.0 ng/L时，得到的质谱图如图3。</w:t>
      </w:r>
    </w:p>
    <w:p w:rsidR="00311CAC" w:rsidRPr="00BB731A" w:rsidRDefault="00372274" w:rsidP="00086B89">
      <w:pPr>
        <w:spacing w:line="360" w:lineRule="auto"/>
        <w:ind w:firstLineChars="200" w:firstLine="480"/>
        <w:rPr>
          <w:rFonts w:eastAsiaTheme="minorEastAsia"/>
          <w:sz w:val="24"/>
          <w:szCs w:val="24"/>
        </w:rPr>
      </w:pPr>
      <w:r w:rsidRPr="00BB731A">
        <w:rPr>
          <w:rFonts w:eastAsiaTheme="minorEastAsia" w:hint="eastAsia"/>
          <w:noProof/>
          <w:sz w:val="24"/>
          <w:szCs w:val="24"/>
        </w:rPr>
        <w:lastRenderedPageBreak/>
        <w:drawing>
          <wp:inline distT="0" distB="0" distL="0" distR="0">
            <wp:extent cx="5274310" cy="6078855"/>
            <wp:effectExtent l="19050" t="0" r="2540" b="0"/>
            <wp:docPr id="3" name="图片 2" descr="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jpg"/>
                    <pic:cNvPicPr/>
                  </pic:nvPicPr>
                  <pic:blipFill>
                    <a:blip r:embed="rId10" cstate="print"/>
                    <a:stretch>
                      <a:fillRect/>
                    </a:stretch>
                  </pic:blipFill>
                  <pic:spPr>
                    <a:xfrm>
                      <a:off x="0" y="0"/>
                      <a:ext cx="5274310" cy="6078855"/>
                    </a:xfrm>
                    <a:prstGeom prst="rect">
                      <a:avLst/>
                    </a:prstGeom>
                  </pic:spPr>
                </pic:pic>
              </a:graphicData>
            </a:graphic>
          </wp:inline>
        </w:drawing>
      </w:r>
    </w:p>
    <w:p w:rsidR="00311CAC" w:rsidRPr="00BB731A" w:rsidRDefault="00311CAC" w:rsidP="00311CAC">
      <w:pPr>
        <w:spacing w:line="360" w:lineRule="auto"/>
        <w:ind w:firstLine="480"/>
        <w:rPr>
          <w:rFonts w:eastAsiaTheme="minorEastAsia"/>
          <w:sz w:val="24"/>
          <w:szCs w:val="24"/>
        </w:rPr>
      </w:pPr>
      <w:r w:rsidRPr="00BB731A">
        <w:rPr>
          <w:rFonts w:eastAsiaTheme="minorEastAsia" w:hint="eastAsia"/>
          <w:sz w:val="24"/>
          <w:szCs w:val="24"/>
        </w:rPr>
        <w:t xml:space="preserve">                               </w:t>
      </w:r>
      <w:r w:rsidRPr="00BB731A">
        <w:rPr>
          <w:rFonts w:eastAsiaTheme="minorEastAsia" w:hint="eastAsia"/>
          <w:sz w:val="24"/>
          <w:szCs w:val="24"/>
        </w:rPr>
        <w:t>图</w:t>
      </w:r>
      <w:r w:rsidRPr="00BB731A">
        <w:rPr>
          <w:rFonts w:eastAsiaTheme="minorEastAsia" w:hint="eastAsia"/>
          <w:sz w:val="24"/>
          <w:szCs w:val="24"/>
        </w:rPr>
        <w:t>3</w:t>
      </w:r>
    </w:p>
    <w:p w:rsidR="00311CAC" w:rsidRPr="005F4F46" w:rsidRDefault="00311CAC" w:rsidP="005F4F46">
      <w:pPr>
        <w:spacing w:line="360" w:lineRule="auto"/>
        <w:ind w:firstLineChars="200" w:firstLine="643"/>
        <w:jc w:val="left"/>
        <w:rPr>
          <w:rFonts w:ascii="FangSong_GB2312" w:hAnsi="宋体" w:cs="FangSong_GB2312"/>
          <w:b/>
        </w:rPr>
      </w:pPr>
      <w:r w:rsidRPr="005F4F46">
        <w:rPr>
          <w:rFonts w:ascii="FangSong_GB2312" w:hAnsi="宋体" w:cs="FangSong_GB2312" w:hint="eastAsia"/>
          <w:b/>
        </w:rPr>
        <w:t>（</w:t>
      </w:r>
      <w:r w:rsidR="00DE1BC0">
        <w:rPr>
          <w:rFonts w:ascii="FangSong_GB2312" w:hAnsi="宋体" w:cs="FangSong_GB2312" w:hint="eastAsia"/>
          <w:b/>
        </w:rPr>
        <w:t>8</w:t>
      </w:r>
      <w:r w:rsidRPr="005F4F46">
        <w:rPr>
          <w:rFonts w:ascii="FangSong_GB2312" w:hAnsi="宋体" w:cs="FangSong_GB2312" w:hint="eastAsia"/>
          <w:b/>
        </w:rPr>
        <w:t>）方法的检出限</w:t>
      </w:r>
    </w:p>
    <w:p w:rsidR="00664894" w:rsidRPr="005F4F46" w:rsidRDefault="00664894" w:rsidP="005F4F46">
      <w:pPr>
        <w:spacing w:line="360" w:lineRule="auto"/>
        <w:ind w:firstLineChars="200" w:firstLine="640"/>
        <w:rPr>
          <w:rFonts w:ascii="FangSong_GB2312" w:hAnsi="宋体" w:cs="FangSong_GB2312"/>
        </w:rPr>
      </w:pPr>
      <w:r w:rsidRPr="005F4F46">
        <w:rPr>
          <w:rFonts w:ascii="FangSong_GB2312" w:hAnsi="宋体" w:cs="FangSong_GB2312" w:hint="eastAsia"/>
        </w:rPr>
        <w:t>方法的检出限是指在保证具有一定可靠性（准确度和精密度）的前提下，分析方法</w:t>
      </w:r>
      <w:r w:rsidR="001E0557" w:rsidRPr="005F4F46">
        <w:rPr>
          <w:rFonts w:ascii="FangSong_GB2312" w:hAnsi="宋体" w:cs="FangSong_GB2312" w:hint="eastAsia"/>
        </w:rPr>
        <w:t>能测定出样品中某组分的最低浓度，色谱方法一般是根据信噪比推得。</w:t>
      </w:r>
      <w:r w:rsidRPr="005F4F46">
        <w:rPr>
          <w:rFonts w:ascii="FangSong_GB2312" w:hAnsi="宋体" w:cs="FangSong_GB2312" w:hint="eastAsia"/>
        </w:rPr>
        <w:t>本研究</w:t>
      </w:r>
      <w:r w:rsidR="001E0557" w:rsidRPr="005F4F46">
        <w:rPr>
          <w:rFonts w:ascii="FangSong_GB2312" w:hAnsi="宋体" w:cs="FangSong_GB2312" w:hint="eastAsia"/>
        </w:rPr>
        <w:t>采</w:t>
      </w:r>
      <w:r w:rsidRPr="005F4F46">
        <w:rPr>
          <w:rFonts w:ascii="FangSong_GB2312" w:hAnsi="宋体" w:cs="FangSong_GB2312" w:hint="eastAsia"/>
        </w:rPr>
        <w:t>用空白样品添加低浓度的标准样品，以信噪比S/N≥</w:t>
      </w:r>
      <w:r w:rsidR="007D70BC" w:rsidRPr="005F4F46">
        <w:rPr>
          <w:rFonts w:ascii="FangSong_GB2312" w:hAnsi="宋体" w:cs="FangSong_GB2312" w:hint="eastAsia"/>
        </w:rPr>
        <w:t>10</w:t>
      </w:r>
      <w:r w:rsidRPr="005F4F46">
        <w:rPr>
          <w:rFonts w:ascii="FangSong_GB2312" w:hAnsi="宋体" w:cs="FangSong_GB2312" w:hint="eastAsia"/>
        </w:rPr>
        <w:t>确定本方法的检出限为</w:t>
      </w:r>
      <w:bookmarkStart w:id="0" w:name="OLE_LINK1"/>
      <w:bookmarkStart w:id="1" w:name="OLE_LINK2"/>
      <w:r w:rsidRPr="005F4F46">
        <w:rPr>
          <w:rFonts w:ascii="FangSong_GB2312" w:hAnsi="宋体" w:cs="FangSong_GB2312" w:hint="eastAsia"/>
        </w:rPr>
        <w:t>5.0 ng/L</w:t>
      </w:r>
      <w:bookmarkEnd w:id="0"/>
      <w:bookmarkEnd w:id="1"/>
      <w:r w:rsidRPr="005F4F46">
        <w:rPr>
          <w:rFonts w:ascii="FangSong_GB2312" w:hAnsi="宋体" w:cs="FangSong_GB2312" w:hint="eastAsia"/>
        </w:rPr>
        <w:t>。实验结果表明，本方法线性良好，灵敏度</w:t>
      </w:r>
      <w:r w:rsidRPr="005F4F46">
        <w:rPr>
          <w:rFonts w:ascii="FangSong_GB2312" w:hAnsi="宋体" w:cs="FangSong_GB2312" w:hint="eastAsia"/>
        </w:rPr>
        <w:lastRenderedPageBreak/>
        <w:t>较高，适用于养殖水体中扑草净的</w:t>
      </w:r>
      <w:r w:rsidR="005E672C" w:rsidRPr="005F4F46">
        <w:rPr>
          <w:rFonts w:ascii="FangSong_GB2312" w:hAnsi="宋体" w:cs="FangSong_GB2312" w:hint="eastAsia"/>
        </w:rPr>
        <w:t>检测</w:t>
      </w:r>
      <w:r w:rsidRPr="005F4F46">
        <w:rPr>
          <w:rFonts w:ascii="FangSong_GB2312" w:hAnsi="宋体" w:cs="FangSong_GB2312" w:hint="eastAsia"/>
        </w:rPr>
        <w:t>，当养殖水体中的扑草净浓度在5.0 ng/L以上时，能满足</w:t>
      </w:r>
      <w:r w:rsidR="005E672C" w:rsidRPr="005F4F46">
        <w:rPr>
          <w:rFonts w:ascii="FangSong_GB2312" w:hAnsi="宋体" w:cs="FangSong_GB2312" w:hint="eastAsia"/>
        </w:rPr>
        <w:t>定量</w:t>
      </w:r>
      <w:r w:rsidRPr="005F4F46">
        <w:rPr>
          <w:rFonts w:ascii="FangSong_GB2312" w:hAnsi="宋体" w:cs="FangSong_GB2312" w:hint="eastAsia"/>
        </w:rPr>
        <w:t>检测要求。</w:t>
      </w:r>
    </w:p>
    <w:p w:rsidR="00664894" w:rsidRPr="005F4F46" w:rsidRDefault="004D415C" w:rsidP="005F4F46">
      <w:pPr>
        <w:spacing w:line="360" w:lineRule="auto"/>
        <w:ind w:firstLineChars="200" w:firstLine="640"/>
        <w:jc w:val="left"/>
        <w:rPr>
          <w:rFonts w:ascii="黑体" w:eastAsia="黑体" w:hAnsi="黑体" w:cs="FangSong_GB2312"/>
        </w:rPr>
      </w:pPr>
      <w:r w:rsidRPr="005F4F46">
        <w:rPr>
          <w:rFonts w:ascii="黑体" w:eastAsia="黑体" w:hAnsi="黑体" w:cs="FangSong_GB2312" w:hint="eastAsia"/>
        </w:rPr>
        <w:t>（三）主要试验（或验证）的分析报告、相关技术和经济影响论证、预期的社会经济效益</w:t>
      </w:r>
    </w:p>
    <w:p w:rsidR="004D415C" w:rsidRPr="005F4F46" w:rsidRDefault="00CC5939" w:rsidP="005F4F46">
      <w:pPr>
        <w:spacing w:line="360" w:lineRule="auto"/>
        <w:ind w:firstLineChars="200" w:firstLine="643"/>
        <w:jc w:val="left"/>
        <w:rPr>
          <w:rFonts w:ascii="FangSong_GB2312" w:hAnsi="宋体" w:cs="FangSong_GB2312"/>
          <w:b/>
        </w:rPr>
      </w:pPr>
      <w:r w:rsidRPr="005F4F46">
        <w:rPr>
          <w:rFonts w:ascii="FangSong_GB2312" w:hAnsi="宋体" w:cs="FangSong_GB2312" w:hint="eastAsia"/>
          <w:b/>
        </w:rPr>
        <w:t>1. 主要试验（或验证）的分析报告</w:t>
      </w:r>
    </w:p>
    <w:p w:rsidR="00F1445B" w:rsidRPr="005F4F46" w:rsidRDefault="00F1445B" w:rsidP="005F4F46">
      <w:pPr>
        <w:spacing w:line="360" w:lineRule="auto"/>
        <w:ind w:firstLineChars="200" w:firstLine="640"/>
        <w:rPr>
          <w:rFonts w:ascii="FangSong_GB2312" w:hAnsi="宋体" w:cs="FangSong_GB2312"/>
        </w:rPr>
      </w:pPr>
      <w:r w:rsidRPr="005F4F46">
        <w:rPr>
          <w:rFonts w:ascii="FangSong_GB2312" w:hAnsi="宋体" w:cs="FangSong_GB2312" w:hint="eastAsia"/>
        </w:rPr>
        <w:t>标准起草单位按照规定，委托</w:t>
      </w:r>
      <w:r w:rsidR="000712A8" w:rsidRPr="005F4F46">
        <w:rPr>
          <w:rFonts w:ascii="FangSong_GB2312" w:hAnsi="宋体" w:cs="FangSong_GB2312" w:hint="eastAsia"/>
        </w:rPr>
        <w:t>三</w:t>
      </w:r>
      <w:r w:rsidRPr="005F4F46">
        <w:rPr>
          <w:rFonts w:ascii="FangSong_GB2312" w:hAnsi="宋体" w:cs="FangSong_GB2312" w:hint="eastAsia"/>
        </w:rPr>
        <w:t>家有资质的检测中心：</w:t>
      </w:r>
      <w:r w:rsidR="009206B6" w:rsidRPr="005F4F46">
        <w:rPr>
          <w:rFonts w:ascii="FangSong_GB2312" w:hAnsi="宋体" w:cs="FangSong_GB2312" w:hint="eastAsia"/>
        </w:rPr>
        <w:t>国家海洋环境监测中心</w:t>
      </w:r>
      <w:r w:rsidR="00F463B4" w:rsidRPr="005F4F46">
        <w:rPr>
          <w:rFonts w:ascii="FangSong_GB2312" w:hAnsi="宋体" w:cs="FangSong_GB2312" w:hint="eastAsia"/>
        </w:rPr>
        <w:t>、</w:t>
      </w:r>
      <w:r w:rsidR="009206B6" w:rsidRPr="005F4F46">
        <w:rPr>
          <w:rFonts w:ascii="FangSong_GB2312" w:hAnsi="宋体" w:cs="FangSong_GB2312" w:hint="eastAsia"/>
        </w:rPr>
        <w:t>辽宁省海洋水产科学研究院</w:t>
      </w:r>
      <w:r w:rsidRPr="005F4F46">
        <w:rPr>
          <w:rFonts w:ascii="FangSong_GB2312" w:hAnsi="宋体" w:cs="FangSong_GB2312" w:hint="eastAsia"/>
        </w:rPr>
        <w:t>和</w:t>
      </w:r>
      <w:r w:rsidR="00684EDF" w:rsidRPr="005F4F46">
        <w:rPr>
          <w:rFonts w:ascii="FangSong_GB2312" w:hAnsi="宋体" w:cs="FangSong_GB2312" w:hint="eastAsia"/>
        </w:rPr>
        <w:t>大连市农产品质量</w:t>
      </w:r>
      <w:r w:rsidR="005E234F" w:rsidRPr="005F4F46">
        <w:rPr>
          <w:rFonts w:ascii="FangSong_GB2312" w:hAnsi="宋体" w:cs="FangSong_GB2312" w:hint="eastAsia"/>
        </w:rPr>
        <w:t>监</w:t>
      </w:r>
      <w:r w:rsidR="00684EDF" w:rsidRPr="005F4F46">
        <w:rPr>
          <w:rFonts w:ascii="FangSong_GB2312" w:hAnsi="宋体" w:cs="FangSong_GB2312" w:hint="eastAsia"/>
        </w:rPr>
        <w:t>测中心</w:t>
      </w:r>
      <w:r w:rsidRPr="005F4F46">
        <w:rPr>
          <w:rFonts w:ascii="FangSong_GB2312" w:hAnsi="宋体" w:cs="FangSong_GB2312" w:hint="eastAsia"/>
        </w:rPr>
        <w:t>按标准的征求意见稿对方法进行了验证</w:t>
      </w:r>
      <w:r w:rsidR="0051676D" w:rsidRPr="005F4F46">
        <w:rPr>
          <w:rFonts w:ascii="FangSong_GB2312" w:hAnsi="宋体" w:cs="FangSong_GB2312" w:hint="eastAsia"/>
        </w:rPr>
        <w:t>，验证结果见方法验证报告</w:t>
      </w:r>
      <w:r w:rsidRPr="005F4F46">
        <w:rPr>
          <w:rFonts w:ascii="FangSong_GB2312" w:hAnsi="宋体" w:cs="FangSong_GB2312" w:hint="eastAsia"/>
        </w:rPr>
        <w:t>。</w:t>
      </w:r>
    </w:p>
    <w:p w:rsidR="00F1445B" w:rsidRPr="005F4F46" w:rsidRDefault="00F1445B" w:rsidP="005F4F46">
      <w:pPr>
        <w:spacing w:line="360" w:lineRule="auto"/>
        <w:ind w:firstLineChars="200" w:firstLine="640"/>
        <w:rPr>
          <w:rFonts w:ascii="FangSong_GB2312" w:hAnsi="宋体" w:cs="FangSong_GB2312"/>
        </w:rPr>
      </w:pPr>
      <w:r w:rsidRPr="005F4F46">
        <w:rPr>
          <w:rFonts w:ascii="FangSong_GB2312" w:hAnsi="宋体" w:cs="FangSong_GB2312" w:hint="eastAsia"/>
        </w:rPr>
        <w:t>验证结论符合标准的技术参数，灵敏度、准确度和精密度均一致，说明</w:t>
      </w:r>
      <w:r w:rsidR="003C2712" w:rsidRPr="005F4F46">
        <w:rPr>
          <w:rFonts w:ascii="FangSong_GB2312" w:hAnsi="宋体" w:cs="FangSong_GB2312" w:hint="eastAsia"/>
        </w:rPr>
        <w:t>本</w:t>
      </w:r>
      <w:r w:rsidRPr="005F4F46">
        <w:rPr>
          <w:rFonts w:ascii="FangSong_GB2312" w:hAnsi="宋体" w:cs="FangSong_GB2312" w:hint="eastAsia"/>
        </w:rPr>
        <w:t>标准方法具有较好的重复性和再现性。</w:t>
      </w:r>
    </w:p>
    <w:p w:rsidR="00CC5939" w:rsidRPr="005F4F46" w:rsidRDefault="001F0846" w:rsidP="005F4F46">
      <w:pPr>
        <w:spacing w:line="360" w:lineRule="auto"/>
        <w:ind w:firstLineChars="200" w:firstLine="643"/>
        <w:jc w:val="left"/>
        <w:rPr>
          <w:rFonts w:ascii="FangSong_GB2312" w:hAnsi="宋体" w:cs="FangSong_GB2312"/>
          <w:b/>
        </w:rPr>
      </w:pPr>
      <w:r w:rsidRPr="005F4F46">
        <w:rPr>
          <w:rFonts w:ascii="FangSong_GB2312" w:hAnsi="宋体" w:cs="FangSong_GB2312" w:hint="eastAsia"/>
          <w:b/>
        </w:rPr>
        <w:t>2. 相关技术和经济影响论证</w:t>
      </w:r>
      <w:bookmarkStart w:id="2" w:name="_GoBack"/>
      <w:bookmarkEnd w:id="2"/>
    </w:p>
    <w:p w:rsidR="003654E5" w:rsidRPr="00BB731A" w:rsidRDefault="003654E5" w:rsidP="005F4F46">
      <w:pPr>
        <w:spacing w:line="360" w:lineRule="auto"/>
        <w:ind w:firstLineChars="200" w:firstLine="640"/>
        <w:rPr>
          <w:rFonts w:eastAsiaTheme="minorEastAsia"/>
          <w:sz w:val="24"/>
          <w:szCs w:val="24"/>
        </w:rPr>
      </w:pPr>
      <w:r w:rsidRPr="005F4F46">
        <w:rPr>
          <w:rFonts w:ascii="FangSong_GB2312" w:hAnsi="宋体" w:cs="FangSong_GB2312" w:hint="eastAsia"/>
        </w:rPr>
        <w:t>扑草净，又称扑草净胺，别名捕草净、割草佳、扑蔓尽，为均三嗪类选择性除草剂，化学名称为4,6-双异丙胺基-2-甲硫基-1,3,5-三嗪，分子式为C10H19N5S</w:t>
      </w:r>
      <w:r w:rsidR="00AD5F18" w:rsidRPr="00DE1BC0">
        <w:rPr>
          <w:rFonts w:ascii="FangSong_GB2312" w:hAnsi="宋体" w:cs="FangSong_GB2312" w:hint="eastAsia"/>
          <w:vertAlign w:val="superscript"/>
        </w:rPr>
        <w:t>[6</w:t>
      </w:r>
      <w:r w:rsidRPr="00DE1BC0">
        <w:rPr>
          <w:rFonts w:ascii="FangSong_GB2312" w:hAnsi="宋体" w:cs="FangSong_GB2312" w:hint="eastAsia"/>
          <w:vertAlign w:val="superscript"/>
        </w:rPr>
        <w:t>]</w:t>
      </w:r>
      <w:r w:rsidRPr="005F4F46">
        <w:rPr>
          <w:rFonts w:ascii="FangSong_GB2312" w:hAnsi="宋体" w:cs="FangSong_GB2312" w:hint="eastAsia"/>
        </w:rPr>
        <w:t>。扑草净具有类似苯环的结构，化学性质较为稳定，可长期存在于环境及生物体中。虽然在我国发布的中华人民共和国农业部1435号公告中已将扑草净列入《兽药试行标准废止目录》，但由于其除草效果显著，某些地区在水产养殖业中仍将其作为“水质改良剂”使用，直接导致了水产品中的扑草净残留</w:t>
      </w:r>
      <w:r w:rsidR="00AD5F18" w:rsidRPr="00DE1BC0">
        <w:rPr>
          <w:rFonts w:ascii="FangSong_GB2312" w:hAnsi="宋体" w:cs="FangSong_GB2312" w:hint="eastAsia"/>
          <w:vertAlign w:val="superscript"/>
        </w:rPr>
        <w:t>[7</w:t>
      </w:r>
      <w:r w:rsidRPr="00DE1BC0">
        <w:rPr>
          <w:rFonts w:ascii="FangSong_GB2312" w:hAnsi="宋体" w:cs="FangSong_GB2312" w:hint="eastAsia"/>
          <w:vertAlign w:val="superscript"/>
        </w:rPr>
        <w:t>]</w:t>
      </w:r>
      <w:r w:rsidRPr="005F4F46">
        <w:rPr>
          <w:rFonts w:ascii="FangSong_GB2312" w:hAnsi="宋体" w:cs="FangSong_GB2312" w:hint="eastAsia"/>
        </w:rPr>
        <w:t>。另外，投入到农田的扑草净仅有少部分被植物吸收，其作用于靶标植物的量不超过1%，而剩余99%则通过吸附作用、地表</w:t>
      </w:r>
      <w:r w:rsidRPr="005F4F46">
        <w:rPr>
          <w:rFonts w:ascii="FangSong_GB2312" w:hAnsi="宋体" w:cs="FangSong_GB2312" w:hint="eastAsia"/>
        </w:rPr>
        <w:lastRenderedPageBreak/>
        <w:t>径流和雨水冲刷等方式进入水体环境，造成水体污染的同时，也间接影响着水生动物的生长繁殖</w:t>
      </w:r>
      <w:r w:rsidR="00AD5F18" w:rsidRPr="00DE1BC0">
        <w:rPr>
          <w:rFonts w:ascii="FangSong_GB2312" w:hAnsi="宋体" w:cs="FangSong_GB2312" w:hint="eastAsia"/>
          <w:vertAlign w:val="superscript"/>
        </w:rPr>
        <w:t>[8</w:t>
      </w:r>
      <w:r w:rsidRPr="00DE1BC0">
        <w:rPr>
          <w:rFonts w:ascii="FangSong_GB2312" w:hAnsi="宋体" w:cs="FangSong_GB2312" w:hint="eastAsia"/>
          <w:vertAlign w:val="superscript"/>
        </w:rPr>
        <w:t>]</w:t>
      </w:r>
      <w:r w:rsidRPr="005F4F46">
        <w:rPr>
          <w:rFonts w:ascii="FangSong_GB2312" w:hAnsi="宋体" w:cs="FangSong_GB2312" w:hint="eastAsia"/>
        </w:rPr>
        <w:t>。</w:t>
      </w:r>
    </w:p>
    <w:p w:rsidR="003654E5" w:rsidRPr="00A81E16" w:rsidRDefault="003654E5" w:rsidP="00A81E16">
      <w:pPr>
        <w:spacing w:line="360" w:lineRule="auto"/>
        <w:ind w:firstLineChars="200" w:firstLine="640"/>
        <w:rPr>
          <w:rFonts w:ascii="FangSong_GB2312" w:hAnsi="宋体" w:cs="FangSong_GB2312"/>
        </w:rPr>
      </w:pPr>
      <w:r w:rsidRPr="00A81E16">
        <w:rPr>
          <w:rFonts w:ascii="FangSong_GB2312" w:hAnsi="宋体" w:cs="FangSong_GB2312" w:hint="eastAsia"/>
        </w:rPr>
        <w:t>2012年4~8月，日本查出从我国进口的3种贝类产品中农药扑草净残留超标，共计14批次，日本对上述贝类产品中扑草净超标部分采取了废弃或退货（全部监管）措施。2012年，日本对中国出口的贝类产品发布了3次命令检查通报，这在中日水产品出口贸易中尚属首次</w:t>
      </w:r>
      <w:r w:rsidRPr="00DE1BC0">
        <w:rPr>
          <w:rFonts w:ascii="FangSong_GB2312" w:hAnsi="宋体" w:cs="FangSong_GB2312" w:hint="eastAsia"/>
          <w:vertAlign w:val="superscript"/>
        </w:rPr>
        <w:t>[</w:t>
      </w:r>
      <w:r w:rsidR="00AD5F18" w:rsidRPr="00DE1BC0">
        <w:rPr>
          <w:rFonts w:ascii="FangSong_GB2312" w:hAnsi="宋体" w:cs="FangSong_GB2312" w:hint="eastAsia"/>
          <w:vertAlign w:val="superscript"/>
        </w:rPr>
        <w:t>9</w:t>
      </w:r>
      <w:r w:rsidRPr="00DE1BC0">
        <w:rPr>
          <w:rFonts w:ascii="FangSong_GB2312" w:hAnsi="宋体" w:cs="FangSong_GB2312" w:hint="eastAsia"/>
          <w:vertAlign w:val="superscript"/>
        </w:rPr>
        <w:t>]</w:t>
      </w:r>
      <w:r w:rsidRPr="00A81E16">
        <w:rPr>
          <w:rFonts w:ascii="FangSong_GB2312" w:hAnsi="宋体" w:cs="FangSong_GB2312" w:hint="eastAsia"/>
        </w:rPr>
        <w:t>。根据日本的检测结果显示，我国扑草净残留超标的贝类产品主要产自辽宁、山东、江苏、福建等沿海地区。由此可见，扑草净作为水产养殖中“水质改良剂”使用，可能会造成水产品中扑草净残留超标，影响我国贝类、鱼类及虾类水产品对外出口</w:t>
      </w:r>
      <w:r w:rsidR="00074A88" w:rsidRPr="00A81E16">
        <w:rPr>
          <w:rFonts w:ascii="FangSong_GB2312" w:hAnsi="宋体" w:cs="FangSong_GB2312" w:hint="eastAsia"/>
        </w:rPr>
        <w:t>，亟待开发一个科学、高效的检测方法，为养殖水体中的扑草净残留检测提供依据</w:t>
      </w:r>
      <w:r w:rsidRPr="00A81E16">
        <w:rPr>
          <w:rFonts w:ascii="FangSong_GB2312" w:hAnsi="宋体" w:cs="FangSong_GB2312" w:hint="eastAsia"/>
        </w:rPr>
        <w:t>。</w:t>
      </w:r>
    </w:p>
    <w:p w:rsidR="001F0846" w:rsidRPr="00A81E16" w:rsidRDefault="003654E5" w:rsidP="00A81E16">
      <w:pPr>
        <w:spacing w:line="360" w:lineRule="auto"/>
        <w:ind w:firstLineChars="200" w:firstLine="640"/>
        <w:rPr>
          <w:rFonts w:ascii="FangSong_GB2312" w:hAnsi="宋体" w:cs="FangSong_GB2312"/>
        </w:rPr>
      </w:pPr>
      <w:r w:rsidRPr="00A81E16">
        <w:rPr>
          <w:rFonts w:ascii="FangSong_GB2312" w:hAnsi="宋体" w:cs="FangSong_GB2312" w:hint="eastAsia"/>
        </w:rPr>
        <w:t>文献报道中关于扑草净残留量测定的常用检测方法包括气相色谱法</w:t>
      </w:r>
      <w:r w:rsidRPr="00DE1BC0">
        <w:rPr>
          <w:rFonts w:ascii="FangSong_GB2312" w:hAnsi="宋体" w:cs="FangSong_GB2312" w:hint="eastAsia"/>
          <w:vertAlign w:val="superscript"/>
        </w:rPr>
        <w:t>[</w:t>
      </w:r>
      <w:r w:rsidR="00AD5F18" w:rsidRPr="00DE1BC0">
        <w:rPr>
          <w:rFonts w:ascii="FangSong_GB2312" w:hAnsi="宋体" w:cs="FangSong_GB2312" w:hint="eastAsia"/>
          <w:vertAlign w:val="superscript"/>
        </w:rPr>
        <w:t>10</w:t>
      </w:r>
      <w:r w:rsidRPr="00DE1BC0">
        <w:rPr>
          <w:rFonts w:ascii="FangSong_GB2312" w:hAnsi="宋体" w:cs="FangSong_GB2312" w:hint="eastAsia"/>
          <w:vertAlign w:val="superscript"/>
        </w:rPr>
        <w:t>]</w:t>
      </w:r>
      <w:r w:rsidRPr="00A81E16">
        <w:rPr>
          <w:rFonts w:ascii="FangSong_GB2312" w:hAnsi="宋体" w:cs="FangSong_GB2312" w:hint="eastAsia"/>
        </w:rPr>
        <w:t>、气相色谱-质谱法</w:t>
      </w:r>
      <w:r w:rsidR="00AD5F18" w:rsidRPr="00DE1BC0">
        <w:rPr>
          <w:rFonts w:ascii="FangSong_GB2312" w:hAnsi="宋体" w:cs="FangSong_GB2312" w:hint="eastAsia"/>
          <w:vertAlign w:val="superscript"/>
        </w:rPr>
        <w:t>[11</w:t>
      </w:r>
      <w:r w:rsidRPr="00DE1BC0">
        <w:rPr>
          <w:rFonts w:ascii="FangSong_GB2312" w:hAnsi="宋体" w:cs="FangSong_GB2312" w:hint="eastAsia"/>
          <w:vertAlign w:val="superscript"/>
        </w:rPr>
        <w:t>]</w:t>
      </w:r>
      <w:r w:rsidRPr="00A81E16">
        <w:rPr>
          <w:rFonts w:ascii="FangSong_GB2312" w:hAnsi="宋体" w:cs="FangSong_GB2312" w:hint="eastAsia"/>
        </w:rPr>
        <w:t>、液相色谱-质谱法</w:t>
      </w:r>
      <w:r w:rsidR="00AD5F18" w:rsidRPr="00DE1BC0">
        <w:rPr>
          <w:rFonts w:ascii="FangSong_GB2312" w:hAnsi="宋体" w:cs="FangSong_GB2312" w:hint="eastAsia"/>
          <w:vertAlign w:val="superscript"/>
        </w:rPr>
        <w:t>[12</w:t>
      </w:r>
      <w:r w:rsidRPr="00DE1BC0">
        <w:rPr>
          <w:rFonts w:ascii="FangSong_GB2312" w:hAnsi="宋体" w:cs="FangSong_GB2312" w:hint="eastAsia"/>
          <w:vertAlign w:val="superscript"/>
        </w:rPr>
        <w:t>]</w:t>
      </w:r>
      <w:r w:rsidRPr="00A81E16">
        <w:rPr>
          <w:rFonts w:ascii="FangSong_GB2312" w:hAnsi="宋体" w:cs="FangSong_GB2312" w:hint="eastAsia"/>
        </w:rPr>
        <w:t>等，其中液相色谱-质谱法由于其高灵敏度、高稳定性、高选择性等特点在众多检测方法中脱颖而出</w:t>
      </w:r>
      <w:r w:rsidRPr="00DE1BC0">
        <w:rPr>
          <w:rFonts w:ascii="FangSong_GB2312" w:hAnsi="宋体" w:cs="FangSong_GB2312" w:hint="eastAsia"/>
          <w:vertAlign w:val="superscript"/>
        </w:rPr>
        <w:t>[</w:t>
      </w:r>
      <w:r w:rsidR="005511A4" w:rsidRPr="00DE1BC0">
        <w:rPr>
          <w:rFonts w:ascii="FangSong_GB2312" w:hAnsi="宋体" w:cs="FangSong_GB2312" w:hint="eastAsia"/>
          <w:vertAlign w:val="superscript"/>
        </w:rPr>
        <w:t>4-5,</w:t>
      </w:r>
      <w:r w:rsidR="00AD5F18" w:rsidRPr="00DE1BC0">
        <w:rPr>
          <w:rFonts w:ascii="FangSong_GB2312" w:hAnsi="宋体" w:cs="FangSong_GB2312" w:hint="eastAsia"/>
          <w:vertAlign w:val="superscript"/>
        </w:rPr>
        <w:t>13</w:t>
      </w:r>
      <w:r w:rsidR="005511A4" w:rsidRPr="00DE1BC0">
        <w:rPr>
          <w:rFonts w:ascii="FangSong_GB2312" w:hAnsi="宋体" w:cs="FangSong_GB2312" w:hint="eastAsia"/>
          <w:vertAlign w:val="superscript"/>
        </w:rPr>
        <w:t>-</w:t>
      </w:r>
      <w:r w:rsidR="00B41DDA" w:rsidRPr="00DE1BC0">
        <w:rPr>
          <w:rFonts w:ascii="FangSong_GB2312" w:hAnsi="宋体" w:cs="FangSong_GB2312" w:hint="eastAsia"/>
          <w:vertAlign w:val="superscript"/>
        </w:rPr>
        <w:t>16</w:t>
      </w:r>
      <w:r w:rsidRPr="00DE1BC0">
        <w:rPr>
          <w:rFonts w:ascii="FangSong_GB2312" w:hAnsi="宋体" w:cs="FangSong_GB2312" w:hint="eastAsia"/>
          <w:vertAlign w:val="superscript"/>
        </w:rPr>
        <w:t>]</w:t>
      </w:r>
      <w:r w:rsidRPr="00A81E16">
        <w:rPr>
          <w:rFonts w:ascii="FangSong_GB2312" w:hAnsi="宋体" w:cs="FangSong_GB2312" w:hint="eastAsia"/>
        </w:rPr>
        <w:t>。</w:t>
      </w:r>
      <w:r w:rsidR="00DE1BC0" w:rsidRPr="000C299B">
        <w:rPr>
          <w:rFonts w:hint="eastAsia"/>
        </w:rPr>
        <w:t>液相色谱</w:t>
      </w:r>
      <w:r w:rsidR="00DE1BC0" w:rsidRPr="000C299B">
        <w:rPr>
          <w:rFonts w:hint="eastAsia"/>
        </w:rPr>
        <w:t>-</w:t>
      </w:r>
      <w:r w:rsidR="00DE1BC0">
        <w:rPr>
          <w:rFonts w:hint="eastAsia"/>
        </w:rPr>
        <w:t>串联质谱</w:t>
      </w:r>
      <w:r w:rsidRPr="00A81E16">
        <w:rPr>
          <w:rFonts w:ascii="FangSong_GB2312" w:hAnsi="宋体" w:cs="FangSong_GB2312" w:hint="eastAsia"/>
        </w:rPr>
        <w:t>法不仅检测限低、选择性好，而且可以克服仅以保留时间定性时易出现的假阳性结果。综合现有文献报道以及前期工作基础，本研究选择</w:t>
      </w:r>
      <w:r w:rsidR="00885468" w:rsidRPr="000C299B">
        <w:rPr>
          <w:rFonts w:hint="eastAsia"/>
        </w:rPr>
        <w:t>液相色谱</w:t>
      </w:r>
      <w:r w:rsidR="00885468" w:rsidRPr="000C299B">
        <w:rPr>
          <w:rFonts w:hint="eastAsia"/>
        </w:rPr>
        <w:t>-</w:t>
      </w:r>
      <w:r w:rsidR="00885468">
        <w:rPr>
          <w:rFonts w:hint="eastAsia"/>
        </w:rPr>
        <w:t>串联质谱</w:t>
      </w:r>
      <w:r w:rsidRPr="00A81E16">
        <w:rPr>
          <w:rFonts w:ascii="FangSong_GB2312" w:hAnsi="宋体" w:cs="FangSong_GB2312" w:hint="eastAsia"/>
        </w:rPr>
        <w:t>法测定养殖水体中扑草净的残留量。</w:t>
      </w:r>
    </w:p>
    <w:p w:rsidR="003654E5" w:rsidRPr="00A81E16" w:rsidRDefault="003654E5" w:rsidP="003654E5">
      <w:pPr>
        <w:spacing w:line="360" w:lineRule="auto"/>
        <w:rPr>
          <w:rFonts w:ascii="FangSong_GB2312" w:hAnsi="宋体" w:cs="FangSong_GB2312"/>
          <w:b/>
        </w:rPr>
      </w:pPr>
      <w:r w:rsidRPr="00A81E16">
        <w:rPr>
          <w:rFonts w:ascii="FangSong_GB2312" w:hAnsi="宋体" w:cs="FangSong_GB2312" w:hint="eastAsia"/>
          <w:b/>
        </w:rPr>
        <w:t>3. 预期的社会经济效益</w:t>
      </w:r>
    </w:p>
    <w:p w:rsidR="003654E5" w:rsidRPr="00A81E16" w:rsidRDefault="003654E5" w:rsidP="00A81E16">
      <w:pPr>
        <w:spacing w:line="360" w:lineRule="auto"/>
        <w:ind w:firstLineChars="200" w:firstLine="640"/>
        <w:rPr>
          <w:rFonts w:ascii="FangSong_GB2312" w:hAnsi="宋体" w:cs="FangSong_GB2312"/>
        </w:rPr>
      </w:pPr>
      <w:r w:rsidRPr="00A81E16">
        <w:rPr>
          <w:rFonts w:ascii="FangSong_GB2312" w:hAnsi="宋体" w:cs="FangSong_GB2312" w:hint="eastAsia"/>
        </w:rPr>
        <w:lastRenderedPageBreak/>
        <w:t>本标准为养殖水体中扑草净残留量的检测提供了一个更加科学、高效的方法，为实现扑草净的源头监管提供依据，使相关部门的依据更加可靠，确保渔业无害养殖，为水产品的质量安全提供了技术保证。</w:t>
      </w:r>
    </w:p>
    <w:p w:rsidR="003654E5" w:rsidRPr="00A81E16" w:rsidRDefault="003654E5" w:rsidP="00A81E16">
      <w:pPr>
        <w:spacing w:line="360" w:lineRule="auto"/>
        <w:ind w:firstLineChars="200" w:firstLine="640"/>
        <w:rPr>
          <w:rFonts w:ascii="FangSong_GB2312" w:hAnsi="宋体" w:cs="FangSong_GB2312"/>
        </w:rPr>
      </w:pPr>
      <w:r w:rsidRPr="00A81E16">
        <w:rPr>
          <w:rFonts w:ascii="FangSong_GB2312" w:hAnsi="宋体" w:cs="FangSong_GB2312" w:hint="eastAsia"/>
        </w:rPr>
        <w:t>本标准在前处理过程中，利用</w:t>
      </w:r>
      <w:r w:rsidR="00074A88" w:rsidRPr="00A81E16">
        <w:rPr>
          <w:rFonts w:ascii="FangSong_GB2312" w:hAnsi="宋体" w:cs="FangSong_GB2312" w:hint="eastAsia"/>
        </w:rPr>
        <w:t>全自动固相萃取仪，结合</w:t>
      </w:r>
      <w:r w:rsidRPr="00A81E16">
        <w:rPr>
          <w:rFonts w:ascii="FangSong_GB2312" w:hAnsi="宋体" w:cs="FangSong_GB2312" w:hint="eastAsia"/>
        </w:rPr>
        <w:t>固相萃取柱直接富集并净化水中的扑草净，而非通过间接的液液萃取过程，不仅步骤少、试剂消耗少，而且目标化合物的损失也少，经济环保，快速高效。</w:t>
      </w:r>
    </w:p>
    <w:p w:rsidR="003654E5" w:rsidRPr="00A81E16" w:rsidRDefault="00C578C8" w:rsidP="003654E5">
      <w:pPr>
        <w:spacing w:line="360" w:lineRule="auto"/>
        <w:rPr>
          <w:rFonts w:ascii="黑体" w:eastAsia="黑体" w:hAnsi="黑体" w:cs="FangSong_GB2312"/>
        </w:rPr>
      </w:pPr>
      <w:r w:rsidRPr="00A81E16">
        <w:rPr>
          <w:rFonts w:ascii="黑体" w:eastAsia="黑体" w:hAnsi="黑体" w:cs="FangSong_GB2312" w:hint="eastAsia"/>
        </w:rPr>
        <w:t>（四）与有关的现行法律、法规和国家标准、行业标准、地方标准的关系</w:t>
      </w:r>
    </w:p>
    <w:p w:rsidR="00374632" w:rsidRPr="00BB731A" w:rsidRDefault="00374632" w:rsidP="00A81E16">
      <w:pPr>
        <w:spacing w:line="360" w:lineRule="auto"/>
        <w:ind w:firstLineChars="200" w:firstLine="640"/>
        <w:rPr>
          <w:rFonts w:eastAsiaTheme="minorEastAsia"/>
          <w:sz w:val="24"/>
          <w:szCs w:val="24"/>
        </w:rPr>
      </w:pPr>
      <w:r w:rsidRPr="00A81E16">
        <w:rPr>
          <w:rFonts w:ascii="FangSong_GB2312" w:hAnsi="宋体" w:cs="FangSong_GB2312" w:hint="eastAsia"/>
        </w:rPr>
        <w:t>目前，欧盟禁止销售和使用扑草净，美、日两国均将扑草净作为除草剂使用，从未将扑草净用于水产养殖中，对水产动物类食品中的最大限量未做规定。我国曾允许扑草净用于水产养殖。2006年3月14日《中华人民共和国农业部公告第627号》</w:t>
      </w:r>
      <w:r w:rsidR="00B41DDA" w:rsidRPr="00885468">
        <w:rPr>
          <w:rFonts w:ascii="FangSong_GB2312" w:hAnsi="宋体" w:cs="FangSong_GB2312" w:hint="eastAsia"/>
          <w:vertAlign w:val="superscript"/>
        </w:rPr>
        <w:t>[17</w:t>
      </w:r>
      <w:r w:rsidRPr="00885468">
        <w:rPr>
          <w:rFonts w:ascii="FangSong_GB2312" w:hAnsi="宋体" w:cs="FangSong_GB2312" w:hint="eastAsia"/>
          <w:vertAlign w:val="superscript"/>
        </w:rPr>
        <w:t>]</w:t>
      </w:r>
      <w:r w:rsidRPr="00A81E16">
        <w:rPr>
          <w:rFonts w:ascii="FangSong_GB2312" w:hAnsi="宋体" w:cs="FangSong_GB2312" w:hint="eastAsia"/>
        </w:rPr>
        <w:t>中，扑草净被列入《水产用兽药地方标准升国家标准</w:t>
      </w:r>
      <w:r w:rsidR="00581D21" w:rsidRPr="00A81E16">
        <w:rPr>
          <w:rFonts w:ascii="FangSong_GB2312" w:hAnsi="宋体" w:cs="FangSong_GB2312" w:hint="eastAsia"/>
        </w:rPr>
        <w:t>受理</w:t>
      </w:r>
      <w:r w:rsidRPr="00A81E16">
        <w:rPr>
          <w:rFonts w:ascii="FangSong_GB2312" w:hAnsi="宋体" w:cs="FangSong_GB2312" w:hint="eastAsia"/>
        </w:rPr>
        <w:t>目录》，但未制定限量标准。2010年7月31日，农业部发布《中华人民共和国农业部公告1435号》中表示，因扑草净在鱼体内代谢情况不明，无法对食品安全性进行评价，因此扑草净被列《废止标准目录》</w:t>
      </w:r>
      <w:r w:rsidRPr="00885468">
        <w:rPr>
          <w:rFonts w:ascii="FangSong_GB2312" w:hAnsi="宋体" w:cs="FangSong_GB2312" w:hint="eastAsia"/>
          <w:vertAlign w:val="superscript"/>
        </w:rPr>
        <w:t>[</w:t>
      </w:r>
      <w:r w:rsidR="00AD5F18" w:rsidRPr="00885468">
        <w:rPr>
          <w:rFonts w:ascii="FangSong_GB2312" w:hAnsi="宋体" w:cs="FangSong_GB2312" w:hint="eastAsia"/>
          <w:vertAlign w:val="superscript"/>
        </w:rPr>
        <w:t>7</w:t>
      </w:r>
      <w:r w:rsidRPr="00885468">
        <w:rPr>
          <w:rFonts w:ascii="FangSong_GB2312" w:hAnsi="宋体" w:cs="FangSong_GB2312" w:hint="eastAsia"/>
          <w:vertAlign w:val="superscript"/>
        </w:rPr>
        <w:t>]</w:t>
      </w:r>
      <w:r w:rsidRPr="00A81E16">
        <w:rPr>
          <w:rFonts w:ascii="FangSong_GB2312" w:hAnsi="宋体" w:cs="FangSong_GB2312" w:hint="eastAsia"/>
        </w:rPr>
        <w:t>。</w:t>
      </w:r>
    </w:p>
    <w:p w:rsidR="00374632" w:rsidRPr="00A81E16" w:rsidRDefault="00374632" w:rsidP="00A81E16">
      <w:pPr>
        <w:spacing w:line="360" w:lineRule="auto"/>
        <w:ind w:firstLineChars="200" w:firstLine="640"/>
        <w:rPr>
          <w:rFonts w:ascii="FangSong_GB2312" w:hAnsi="宋体" w:cs="FangSong_GB2312"/>
        </w:rPr>
      </w:pPr>
      <w:r w:rsidRPr="00A81E16">
        <w:rPr>
          <w:rFonts w:ascii="FangSong_GB2312" w:hAnsi="宋体" w:cs="FangSong_GB2312" w:hint="eastAsia"/>
        </w:rPr>
        <w:t>我国针对养殖水体中扑草净检测的标准方法是《水产养殖环境中扑草净的测定 气相色谱法》（SC/T 9412-2014）</w:t>
      </w:r>
      <w:r w:rsidR="00B41DDA" w:rsidRPr="00885468">
        <w:rPr>
          <w:rFonts w:ascii="FangSong_GB2312" w:hAnsi="宋体" w:cs="FangSong_GB2312" w:hint="eastAsia"/>
          <w:vertAlign w:val="superscript"/>
        </w:rPr>
        <w:t>[18]</w:t>
      </w:r>
      <w:r w:rsidRPr="00A81E16">
        <w:rPr>
          <w:rFonts w:ascii="FangSong_GB2312" w:hAnsi="宋体" w:cs="FangSong_GB2312" w:hint="eastAsia"/>
        </w:rPr>
        <w:t>，该法规定使用气相色谱法，而气相色谱法的分辨能力有限</w:t>
      </w:r>
      <w:r w:rsidR="0038220D" w:rsidRPr="00A81E16">
        <w:rPr>
          <w:rFonts w:ascii="FangSong_GB2312" w:hAnsi="宋体" w:cs="FangSong_GB2312" w:hint="eastAsia"/>
        </w:rPr>
        <w:t>，</w:t>
      </w:r>
      <w:r w:rsidR="0038220D" w:rsidRPr="00A81E16">
        <w:rPr>
          <w:rFonts w:ascii="FangSong_GB2312" w:hAnsi="宋体" w:cs="FangSong_GB2312" w:hint="eastAsia"/>
        </w:rPr>
        <w:lastRenderedPageBreak/>
        <w:t>检出限也较高，较难达到低浓度残留水样的检测要求</w:t>
      </w:r>
      <w:r w:rsidRPr="00A81E16">
        <w:rPr>
          <w:rFonts w:ascii="FangSong_GB2312" w:hAnsi="宋体" w:cs="FangSong_GB2312" w:hint="eastAsia"/>
        </w:rPr>
        <w:t>。</w:t>
      </w:r>
    </w:p>
    <w:p w:rsidR="00374632" w:rsidRPr="00A81E16" w:rsidRDefault="00374632" w:rsidP="00A81E16">
      <w:pPr>
        <w:spacing w:line="360" w:lineRule="auto"/>
        <w:ind w:firstLineChars="200" w:firstLine="640"/>
        <w:rPr>
          <w:rFonts w:ascii="FangSong_GB2312" w:hAnsi="宋体" w:cs="FangSong_GB2312"/>
        </w:rPr>
      </w:pPr>
      <w:r w:rsidRPr="00A81E16">
        <w:rPr>
          <w:rFonts w:ascii="FangSong_GB2312" w:hAnsi="宋体" w:cs="FangSong_GB2312" w:hint="eastAsia"/>
        </w:rPr>
        <w:t>本标准为检测方法标准，与现行的法律、法规没有抵触。</w:t>
      </w:r>
    </w:p>
    <w:p w:rsidR="00C578C8" w:rsidRPr="00A81E16" w:rsidRDefault="00374632" w:rsidP="003654E5">
      <w:pPr>
        <w:spacing w:line="360" w:lineRule="auto"/>
        <w:rPr>
          <w:rFonts w:ascii="黑体" w:eastAsia="黑体" w:hAnsi="黑体" w:cs="FangSong_GB2312"/>
        </w:rPr>
      </w:pPr>
      <w:r w:rsidRPr="00A81E16">
        <w:rPr>
          <w:rFonts w:ascii="黑体" w:eastAsia="黑体" w:hAnsi="黑体" w:cs="FangSong_GB2312" w:hint="eastAsia"/>
        </w:rPr>
        <w:t>（五）重大意见分歧的处理结果和依据</w:t>
      </w:r>
    </w:p>
    <w:p w:rsidR="00374632" w:rsidRPr="00A81E16" w:rsidRDefault="00374632" w:rsidP="00A81E16">
      <w:pPr>
        <w:spacing w:line="360" w:lineRule="auto"/>
        <w:ind w:firstLineChars="200" w:firstLine="640"/>
        <w:rPr>
          <w:rFonts w:ascii="FangSong_GB2312" w:hAnsi="宋体" w:cs="FangSong_GB2312"/>
        </w:rPr>
      </w:pPr>
      <w:r w:rsidRPr="00A81E16">
        <w:rPr>
          <w:rFonts w:ascii="FangSong_GB2312" w:hAnsi="宋体" w:cs="FangSong_GB2312" w:hint="eastAsia"/>
        </w:rPr>
        <w:t>本标准广泛征求了有关专家、养殖企业和相关部门的意见，并根据标准制定原则，采纳了合理的意见和建议，本标准为检测方法标准，经多次重复试验结果准确可靠，不存在重大的意见分歧。</w:t>
      </w:r>
    </w:p>
    <w:p w:rsidR="00675E7E" w:rsidRPr="00A81E16" w:rsidRDefault="0008280F" w:rsidP="002F1BE5">
      <w:pPr>
        <w:spacing w:line="360" w:lineRule="auto"/>
        <w:rPr>
          <w:rFonts w:ascii="黑体" w:eastAsia="黑体" w:hAnsi="黑体" w:cs="FangSong_GB2312"/>
        </w:rPr>
      </w:pPr>
      <w:r w:rsidRPr="00A81E16">
        <w:rPr>
          <w:rFonts w:ascii="黑体" w:eastAsia="黑体" w:hAnsi="黑体" w:cs="FangSong_GB2312" w:hint="eastAsia"/>
        </w:rPr>
        <w:t>（六）作为强制性地方标准或推荐性地方标准的建议及理由</w:t>
      </w:r>
    </w:p>
    <w:p w:rsidR="0008280F" w:rsidRPr="00BB731A" w:rsidRDefault="0008280F" w:rsidP="00A81E16">
      <w:pPr>
        <w:spacing w:line="360" w:lineRule="auto"/>
        <w:ind w:firstLineChars="200" w:firstLine="640"/>
        <w:rPr>
          <w:rFonts w:eastAsiaTheme="minorEastAsia"/>
          <w:sz w:val="24"/>
          <w:szCs w:val="24"/>
        </w:rPr>
      </w:pPr>
      <w:r w:rsidRPr="00A81E16">
        <w:rPr>
          <w:rFonts w:ascii="FangSong_GB2312" w:hAnsi="宋体" w:cs="FangSong_GB2312" w:hint="eastAsia"/>
        </w:rPr>
        <w:t>本标准制定了养殖水体中扑草净残留量的检测方法，为实现扑草净的源头监管提供技术支持。但是由于实验仪器、实验技术和地区差异等因素，建议以推荐性标准予以颁布实施。</w:t>
      </w:r>
    </w:p>
    <w:p w:rsidR="0008280F" w:rsidRPr="00A81E16" w:rsidRDefault="00B72744" w:rsidP="002F1BE5">
      <w:pPr>
        <w:spacing w:line="360" w:lineRule="auto"/>
        <w:rPr>
          <w:rFonts w:ascii="黑体" w:eastAsia="黑体" w:hAnsi="黑体" w:cs="FangSong_GB2312"/>
        </w:rPr>
      </w:pPr>
      <w:r w:rsidRPr="00A81E16">
        <w:rPr>
          <w:rFonts w:ascii="黑体" w:eastAsia="黑体" w:hAnsi="黑体" w:cs="FangSong_GB2312" w:hint="eastAsia"/>
        </w:rPr>
        <w:t>（七）提出标准实施的建议</w:t>
      </w:r>
    </w:p>
    <w:p w:rsidR="00B72744" w:rsidRPr="00A81E16" w:rsidRDefault="00B72744" w:rsidP="00A81E16">
      <w:pPr>
        <w:spacing w:line="360" w:lineRule="auto"/>
        <w:ind w:firstLineChars="200" w:firstLine="640"/>
        <w:rPr>
          <w:rFonts w:ascii="FangSong_GB2312" w:hAnsi="宋体" w:cs="FangSong_GB2312"/>
        </w:rPr>
      </w:pPr>
      <w:r w:rsidRPr="00A81E16">
        <w:rPr>
          <w:rFonts w:ascii="FangSong_GB2312" w:hAnsi="宋体" w:cs="FangSong_GB2312" w:hint="eastAsia"/>
        </w:rPr>
        <w:t>本标准的建立，为养殖水体中扑草净的痕量检测提供了更有效的方法。在标准发布实施后，建议相关部门组织检测人员进行培训和交流，使其熟练掌握水中扑草净残留量的检测方法，在养殖水体的检测工作中加以应用。</w:t>
      </w:r>
    </w:p>
    <w:p w:rsidR="00B72744" w:rsidRPr="00A81E16" w:rsidRDefault="00B72744" w:rsidP="002F1BE5">
      <w:pPr>
        <w:spacing w:line="360" w:lineRule="auto"/>
        <w:rPr>
          <w:rFonts w:ascii="黑体" w:eastAsia="黑体" w:hAnsi="黑体" w:cs="FangSong_GB2312"/>
        </w:rPr>
      </w:pPr>
      <w:r w:rsidRPr="00A81E16">
        <w:rPr>
          <w:rFonts w:ascii="黑体" w:eastAsia="黑体" w:hAnsi="黑体" w:cs="FangSong_GB2312" w:hint="eastAsia"/>
        </w:rPr>
        <w:t>（八）其他应予说明的事项</w:t>
      </w:r>
    </w:p>
    <w:p w:rsidR="00675E7E" w:rsidRPr="00A81E16" w:rsidRDefault="00B72744" w:rsidP="00A81E16">
      <w:pPr>
        <w:spacing w:line="360" w:lineRule="auto"/>
        <w:ind w:firstLineChars="200" w:firstLine="640"/>
        <w:rPr>
          <w:rFonts w:ascii="FangSong_GB2312" w:hAnsi="宋体" w:cs="FangSong_GB2312"/>
        </w:rPr>
      </w:pPr>
      <w:r w:rsidRPr="00A81E16">
        <w:rPr>
          <w:rFonts w:ascii="FangSong_GB2312" w:hAnsi="宋体" w:cs="FangSong_GB2312" w:hint="eastAsia"/>
        </w:rPr>
        <w:t>无。</w:t>
      </w:r>
    </w:p>
    <w:p w:rsidR="00675E7E" w:rsidRPr="00BB731A" w:rsidRDefault="00675E7E" w:rsidP="002F1BE5">
      <w:pPr>
        <w:spacing w:line="360" w:lineRule="auto"/>
        <w:rPr>
          <w:rFonts w:eastAsiaTheme="minorEastAsia"/>
          <w:sz w:val="24"/>
          <w:szCs w:val="24"/>
        </w:rPr>
      </w:pPr>
    </w:p>
    <w:p w:rsidR="00F54037" w:rsidRPr="00BB731A" w:rsidRDefault="00B72744" w:rsidP="00F54037">
      <w:pPr>
        <w:spacing w:line="360" w:lineRule="auto"/>
        <w:jc w:val="center"/>
        <w:rPr>
          <w:rFonts w:eastAsiaTheme="minorEastAsia"/>
          <w:b/>
          <w:sz w:val="24"/>
          <w:szCs w:val="24"/>
        </w:rPr>
      </w:pPr>
      <w:r w:rsidRPr="00BB731A">
        <w:rPr>
          <w:rFonts w:eastAsiaTheme="minorEastAsia" w:hint="eastAsia"/>
          <w:b/>
          <w:sz w:val="24"/>
          <w:szCs w:val="24"/>
        </w:rPr>
        <w:t>参考文献</w:t>
      </w:r>
    </w:p>
    <w:p w:rsidR="00F54037" w:rsidRPr="00BB731A" w:rsidRDefault="00F54037" w:rsidP="00B72744">
      <w:pPr>
        <w:pStyle w:val="a7"/>
        <w:numPr>
          <w:ilvl w:val="0"/>
          <w:numId w:val="1"/>
        </w:numPr>
        <w:spacing w:line="360" w:lineRule="auto"/>
        <w:ind w:firstLineChars="0"/>
        <w:rPr>
          <w:rFonts w:eastAsiaTheme="minorEastAsia"/>
          <w:sz w:val="21"/>
          <w:szCs w:val="21"/>
        </w:rPr>
      </w:pPr>
      <w:r w:rsidRPr="00BB731A">
        <w:rPr>
          <w:rFonts w:eastAsiaTheme="minorEastAsia" w:hint="eastAsia"/>
          <w:sz w:val="21"/>
          <w:szCs w:val="21"/>
        </w:rPr>
        <w:t>仇秀梅</w:t>
      </w:r>
      <w:r w:rsidRPr="00BB731A">
        <w:rPr>
          <w:rFonts w:eastAsiaTheme="minorEastAsia" w:hint="eastAsia"/>
          <w:sz w:val="21"/>
          <w:szCs w:val="21"/>
        </w:rPr>
        <w:t xml:space="preserve">, </w:t>
      </w:r>
      <w:r w:rsidRPr="00BB731A">
        <w:rPr>
          <w:rFonts w:eastAsiaTheme="minorEastAsia" w:hint="eastAsia"/>
          <w:sz w:val="21"/>
          <w:szCs w:val="21"/>
        </w:rPr>
        <w:t>董学林</w:t>
      </w:r>
      <w:r w:rsidRPr="00BB731A">
        <w:rPr>
          <w:rFonts w:eastAsiaTheme="minorEastAsia" w:hint="eastAsia"/>
          <w:sz w:val="21"/>
          <w:szCs w:val="21"/>
        </w:rPr>
        <w:t xml:space="preserve">, </w:t>
      </w:r>
      <w:r w:rsidRPr="00BB731A">
        <w:rPr>
          <w:rFonts w:eastAsiaTheme="minorEastAsia" w:hint="eastAsia"/>
          <w:sz w:val="21"/>
          <w:szCs w:val="21"/>
        </w:rPr>
        <w:t>刘亚东</w:t>
      </w:r>
      <w:r w:rsidRPr="00BB731A">
        <w:rPr>
          <w:rFonts w:eastAsiaTheme="minorEastAsia" w:hint="eastAsia"/>
          <w:sz w:val="21"/>
          <w:szCs w:val="21"/>
        </w:rPr>
        <w:t xml:space="preserve">, </w:t>
      </w:r>
      <w:r w:rsidRPr="00BB731A">
        <w:rPr>
          <w:rFonts w:eastAsiaTheme="minorEastAsia" w:hint="eastAsia"/>
          <w:sz w:val="21"/>
          <w:szCs w:val="21"/>
        </w:rPr>
        <w:t>等</w:t>
      </w:r>
      <w:r w:rsidRPr="00BB731A">
        <w:rPr>
          <w:rFonts w:eastAsiaTheme="minorEastAsia" w:hint="eastAsia"/>
          <w:sz w:val="21"/>
          <w:szCs w:val="21"/>
        </w:rPr>
        <w:t xml:space="preserve">. </w:t>
      </w:r>
      <w:r w:rsidRPr="00BB731A">
        <w:rPr>
          <w:rFonts w:eastAsiaTheme="minorEastAsia" w:hint="eastAsia"/>
          <w:sz w:val="21"/>
          <w:szCs w:val="21"/>
        </w:rPr>
        <w:t>液液萃取</w:t>
      </w:r>
      <w:r w:rsidRPr="00BB731A">
        <w:rPr>
          <w:rFonts w:eastAsiaTheme="minorEastAsia" w:hint="eastAsia"/>
          <w:sz w:val="21"/>
          <w:szCs w:val="21"/>
        </w:rPr>
        <w:t>-</w:t>
      </w:r>
      <w:r w:rsidRPr="00BB731A">
        <w:rPr>
          <w:rFonts w:eastAsiaTheme="minorEastAsia" w:hint="eastAsia"/>
          <w:sz w:val="21"/>
          <w:szCs w:val="21"/>
        </w:rPr>
        <w:t>气相色谱法同时测定地下水中</w:t>
      </w:r>
      <w:r w:rsidRPr="00BB731A">
        <w:rPr>
          <w:rFonts w:eastAsiaTheme="minorEastAsia" w:hint="eastAsia"/>
          <w:sz w:val="21"/>
          <w:szCs w:val="21"/>
        </w:rPr>
        <w:t>16</w:t>
      </w:r>
      <w:r w:rsidRPr="00BB731A">
        <w:rPr>
          <w:rFonts w:eastAsiaTheme="minorEastAsia" w:hint="eastAsia"/>
          <w:sz w:val="21"/>
          <w:szCs w:val="21"/>
        </w:rPr>
        <w:t>种有机氯农药</w:t>
      </w:r>
      <w:r w:rsidRPr="00BB731A">
        <w:rPr>
          <w:rFonts w:eastAsiaTheme="minorEastAsia" w:hint="eastAsia"/>
          <w:sz w:val="21"/>
          <w:szCs w:val="21"/>
        </w:rPr>
        <w:t xml:space="preserve">[J]. </w:t>
      </w:r>
      <w:r w:rsidRPr="00BB731A">
        <w:rPr>
          <w:rFonts w:eastAsiaTheme="minorEastAsia" w:hint="eastAsia"/>
          <w:sz w:val="21"/>
          <w:szCs w:val="21"/>
        </w:rPr>
        <w:t>环境污染与防治</w:t>
      </w:r>
      <w:r w:rsidRPr="00BB731A">
        <w:rPr>
          <w:rFonts w:eastAsiaTheme="minorEastAsia" w:hint="eastAsia"/>
          <w:sz w:val="21"/>
          <w:szCs w:val="21"/>
        </w:rPr>
        <w:t>, 2016, 38</w:t>
      </w:r>
      <w:r w:rsidR="009C611B" w:rsidRPr="00BB731A">
        <w:rPr>
          <w:rFonts w:eastAsiaTheme="minorEastAsia" w:hint="eastAsia"/>
          <w:sz w:val="21"/>
          <w:szCs w:val="21"/>
        </w:rPr>
        <w:t>(11)</w:t>
      </w:r>
      <w:r w:rsidRPr="00BB731A">
        <w:rPr>
          <w:rFonts w:eastAsiaTheme="minorEastAsia" w:hint="eastAsia"/>
          <w:sz w:val="21"/>
          <w:szCs w:val="21"/>
        </w:rPr>
        <w:t>:</w:t>
      </w:r>
      <w:r w:rsidR="009C611B" w:rsidRPr="00BB731A">
        <w:rPr>
          <w:rFonts w:eastAsiaTheme="minorEastAsia" w:hint="eastAsia"/>
          <w:sz w:val="21"/>
          <w:szCs w:val="21"/>
        </w:rPr>
        <w:t xml:space="preserve"> 72-78. </w:t>
      </w:r>
    </w:p>
    <w:p w:rsidR="00F54037" w:rsidRPr="00BB731A" w:rsidRDefault="00F54037" w:rsidP="00B72744">
      <w:pPr>
        <w:pStyle w:val="a7"/>
        <w:numPr>
          <w:ilvl w:val="0"/>
          <w:numId w:val="1"/>
        </w:numPr>
        <w:spacing w:line="360" w:lineRule="auto"/>
        <w:ind w:firstLineChars="0"/>
        <w:rPr>
          <w:rFonts w:eastAsiaTheme="minorEastAsia"/>
          <w:sz w:val="21"/>
          <w:szCs w:val="21"/>
        </w:rPr>
      </w:pPr>
      <w:r w:rsidRPr="00BB731A">
        <w:rPr>
          <w:rFonts w:eastAsiaTheme="minorEastAsia" w:hint="eastAsia"/>
          <w:sz w:val="21"/>
          <w:szCs w:val="21"/>
        </w:rPr>
        <w:lastRenderedPageBreak/>
        <w:t>宋伟</w:t>
      </w:r>
      <w:r w:rsidRPr="00BB731A">
        <w:rPr>
          <w:rFonts w:eastAsiaTheme="minorEastAsia" w:hint="eastAsia"/>
          <w:sz w:val="21"/>
          <w:szCs w:val="21"/>
        </w:rPr>
        <w:t xml:space="preserve">, </w:t>
      </w:r>
      <w:r w:rsidRPr="00BB731A">
        <w:rPr>
          <w:rFonts w:eastAsiaTheme="minorEastAsia" w:hint="eastAsia"/>
          <w:sz w:val="21"/>
          <w:szCs w:val="21"/>
        </w:rPr>
        <w:t>林姗姗</w:t>
      </w:r>
      <w:r w:rsidRPr="00BB731A">
        <w:rPr>
          <w:rFonts w:eastAsiaTheme="minorEastAsia" w:hint="eastAsia"/>
          <w:sz w:val="21"/>
          <w:szCs w:val="21"/>
        </w:rPr>
        <w:t xml:space="preserve">, </w:t>
      </w:r>
      <w:r w:rsidRPr="00BB731A">
        <w:rPr>
          <w:rFonts w:eastAsiaTheme="minorEastAsia" w:hint="eastAsia"/>
          <w:sz w:val="21"/>
          <w:szCs w:val="21"/>
        </w:rPr>
        <w:t>孙广大</w:t>
      </w:r>
      <w:r w:rsidRPr="00BB731A">
        <w:rPr>
          <w:rFonts w:eastAsiaTheme="minorEastAsia" w:hint="eastAsia"/>
          <w:sz w:val="21"/>
          <w:szCs w:val="21"/>
        </w:rPr>
        <w:t xml:space="preserve">, </w:t>
      </w:r>
      <w:r w:rsidRPr="00BB731A">
        <w:rPr>
          <w:rFonts w:eastAsiaTheme="minorEastAsia" w:hint="eastAsia"/>
          <w:sz w:val="21"/>
          <w:szCs w:val="21"/>
        </w:rPr>
        <w:t>等</w:t>
      </w:r>
      <w:r w:rsidRPr="00BB731A">
        <w:rPr>
          <w:rFonts w:eastAsiaTheme="minorEastAsia" w:hint="eastAsia"/>
          <w:sz w:val="21"/>
          <w:szCs w:val="21"/>
        </w:rPr>
        <w:t xml:space="preserve">. </w:t>
      </w:r>
      <w:r w:rsidRPr="00BB731A">
        <w:rPr>
          <w:rFonts w:eastAsiaTheme="minorEastAsia" w:hint="eastAsia"/>
          <w:sz w:val="21"/>
          <w:szCs w:val="21"/>
        </w:rPr>
        <w:t>固相萃取</w:t>
      </w:r>
      <w:r w:rsidRPr="00BB731A">
        <w:rPr>
          <w:rFonts w:eastAsiaTheme="minorEastAsia" w:hint="eastAsia"/>
          <w:sz w:val="21"/>
          <w:szCs w:val="21"/>
        </w:rPr>
        <w:t>-</w:t>
      </w:r>
      <w:r w:rsidRPr="00BB731A">
        <w:rPr>
          <w:rFonts w:eastAsiaTheme="minorEastAsia" w:hint="eastAsia"/>
          <w:sz w:val="21"/>
          <w:szCs w:val="21"/>
        </w:rPr>
        <w:t>气相色谱</w:t>
      </w:r>
      <w:r w:rsidRPr="00BB731A">
        <w:rPr>
          <w:rFonts w:eastAsiaTheme="minorEastAsia" w:hint="eastAsia"/>
          <w:sz w:val="21"/>
          <w:szCs w:val="21"/>
        </w:rPr>
        <w:t>-</w:t>
      </w:r>
      <w:r w:rsidRPr="00BB731A">
        <w:rPr>
          <w:rFonts w:eastAsiaTheme="minorEastAsia" w:hint="eastAsia"/>
          <w:sz w:val="21"/>
          <w:szCs w:val="21"/>
        </w:rPr>
        <w:t>质谱联用同时测定河水和海水中</w:t>
      </w:r>
      <w:r w:rsidRPr="00BB731A">
        <w:rPr>
          <w:rFonts w:eastAsiaTheme="minorEastAsia" w:hint="eastAsia"/>
          <w:sz w:val="21"/>
          <w:szCs w:val="21"/>
        </w:rPr>
        <w:t>87</w:t>
      </w:r>
      <w:r w:rsidRPr="00BB731A">
        <w:rPr>
          <w:rFonts w:eastAsiaTheme="minorEastAsia" w:hint="eastAsia"/>
          <w:sz w:val="21"/>
          <w:szCs w:val="21"/>
        </w:rPr>
        <w:t>种农药</w:t>
      </w:r>
      <w:r w:rsidRPr="00BB731A">
        <w:rPr>
          <w:rFonts w:eastAsiaTheme="minorEastAsia" w:hint="eastAsia"/>
          <w:sz w:val="21"/>
          <w:szCs w:val="21"/>
        </w:rPr>
        <w:t xml:space="preserve">[J]. </w:t>
      </w:r>
      <w:r w:rsidRPr="00BB731A">
        <w:rPr>
          <w:rFonts w:eastAsiaTheme="minorEastAsia" w:hint="eastAsia"/>
          <w:sz w:val="21"/>
          <w:szCs w:val="21"/>
        </w:rPr>
        <w:t>色谱</w:t>
      </w:r>
      <w:r w:rsidRPr="00BB731A">
        <w:rPr>
          <w:rFonts w:eastAsiaTheme="minorEastAsia" w:hint="eastAsia"/>
          <w:sz w:val="21"/>
          <w:szCs w:val="21"/>
        </w:rPr>
        <w:t>, 2012, 30(3):318-326.</w:t>
      </w:r>
    </w:p>
    <w:p w:rsidR="00CA2E2A" w:rsidRPr="00BB731A" w:rsidRDefault="00CA2E2A" w:rsidP="00B72744">
      <w:pPr>
        <w:pStyle w:val="a7"/>
        <w:numPr>
          <w:ilvl w:val="0"/>
          <w:numId w:val="1"/>
        </w:numPr>
        <w:spacing w:line="360" w:lineRule="auto"/>
        <w:ind w:firstLineChars="0"/>
        <w:rPr>
          <w:rFonts w:eastAsiaTheme="minorEastAsia"/>
          <w:sz w:val="21"/>
          <w:szCs w:val="21"/>
        </w:rPr>
      </w:pPr>
      <w:r w:rsidRPr="00BB731A">
        <w:rPr>
          <w:rFonts w:eastAsiaTheme="minorEastAsia" w:hint="eastAsia"/>
          <w:sz w:val="21"/>
          <w:szCs w:val="21"/>
        </w:rPr>
        <w:t>韩典峰</w:t>
      </w:r>
      <w:r w:rsidRPr="00BB731A">
        <w:rPr>
          <w:rFonts w:eastAsiaTheme="minorEastAsia" w:hint="eastAsia"/>
          <w:sz w:val="21"/>
          <w:szCs w:val="21"/>
        </w:rPr>
        <w:t xml:space="preserve">, </w:t>
      </w:r>
      <w:r w:rsidRPr="00BB731A">
        <w:rPr>
          <w:rFonts w:eastAsiaTheme="minorEastAsia" w:hint="eastAsia"/>
          <w:sz w:val="21"/>
          <w:szCs w:val="21"/>
        </w:rPr>
        <w:t>宫向红</w:t>
      </w:r>
      <w:r w:rsidRPr="00BB731A">
        <w:rPr>
          <w:rFonts w:eastAsiaTheme="minorEastAsia" w:hint="eastAsia"/>
          <w:sz w:val="21"/>
          <w:szCs w:val="21"/>
        </w:rPr>
        <w:t xml:space="preserve">, </w:t>
      </w:r>
      <w:r w:rsidRPr="00BB731A">
        <w:rPr>
          <w:rFonts w:eastAsiaTheme="minorEastAsia" w:hint="eastAsia"/>
          <w:sz w:val="21"/>
          <w:szCs w:val="21"/>
        </w:rPr>
        <w:t>刘小静</w:t>
      </w:r>
      <w:r w:rsidRPr="00BB731A">
        <w:rPr>
          <w:rFonts w:eastAsiaTheme="minorEastAsia" w:hint="eastAsia"/>
          <w:sz w:val="21"/>
          <w:szCs w:val="21"/>
        </w:rPr>
        <w:t xml:space="preserve">, </w:t>
      </w:r>
      <w:r w:rsidRPr="00BB731A">
        <w:rPr>
          <w:rFonts w:eastAsiaTheme="minorEastAsia" w:hint="eastAsia"/>
          <w:sz w:val="21"/>
          <w:szCs w:val="21"/>
        </w:rPr>
        <w:t>等</w:t>
      </w:r>
      <w:r w:rsidRPr="00BB731A">
        <w:rPr>
          <w:rFonts w:eastAsiaTheme="minorEastAsia" w:hint="eastAsia"/>
          <w:sz w:val="21"/>
          <w:szCs w:val="21"/>
        </w:rPr>
        <w:t xml:space="preserve">. </w:t>
      </w:r>
      <w:r w:rsidRPr="00BB731A">
        <w:rPr>
          <w:rFonts w:eastAsiaTheme="minorEastAsia" w:hint="eastAsia"/>
          <w:sz w:val="21"/>
          <w:szCs w:val="21"/>
        </w:rPr>
        <w:t>固相萃取</w:t>
      </w:r>
      <w:r w:rsidRPr="00BB731A">
        <w:rPr>
          <w:rFonts w:eastAsiaTheme="minorEastAsia" w:hint="eastAsia"/>
          <w:sz w:val="21"/>
          <w:szCs w:val="21"/>
        </w:rPr>
        <w:t>/</w:t>
      </w:r>
      <w:r w:rsidRPr="00BB731A">
        <w:rPr>
          <w:rFonts w:eastAsiaTheme="minorEastAsia" w:hint="eastAsia"/>
          <w:sz w:val="21"/>
          <w:szCs w:val="21"/>
        </w:rPr>
        <w:t>气相色谱</w:t>
      </w:r>
      <w:r w:rsidRPr="00BB731A">
        <w:rPr>
          <w:rFonts w:eastAsiaTheme="minorEastAsia" w:hint="eastAsia"/>
          <w:sz w:val="21"/>
          <w:szCs w:val="21"/>
        </w:rPr>
        <w:t>-</w:t>
      </w:r>
      <w:r w:rsidRPr="00BB731A">
        <w:rPr>
          <w:rFonts w:eastAsiaTheme="minorEastAsia" w:hint="eastAsia"/>
          <w:sz w:val="21"/>
          <w:szCs w:val="21"/>
        </w:rPr>
        <w:t>质谱法测定海水中</w:t>
      </w:r>
      <w:r w:rsidRPr="00BB731A">
        <w:rPr>
          <w:rFonts w:eastAsiaTheme="minorEastAsia" w:hint="eastAsia"/>
          <w:sz w:val="21"/>
          <w:szCs w:val="21"/>
        </w:rPr>
        <w:t>16</w:t>
      </w:r>
      <w:r w:rsidRPr="00BB731A">
        <w:rPr>
          <w:rFonts w:eastAsiaTheme="minorEastAsia" w:hint="eastAsia"/>
          <w:sz w:val="21"/>
          <w:szCs w:val="21"/>
        </w:rPr>
        <w:t>种除草剂</w:t>
      </w:r>
      <w:r w:rsidRPr="00BB731A">
        <w:rPr>
          <w:rFonts w:eastAsiaTheme="minorEastAsia" w:hint="eastAsia"/>
          <w:sz w:val="21"/>
          <w:szCs w:val="21"/>
        </w:rPr>
        <w:t xml:space="preserve">[J]. </w:t>
      </w:r>
      <w:r w:rsidRPr="00BB731A">
        <w:rPr>
          <w:rFonts w:eastAsiaTheme="minorEastAsia" w:hint="eastAsia"/>
          <w:sz w:val="21"/>
          <w:szCs w:val="21"/>
        </w:rPr>
        <w:t>分析测试学报</w:t>
      </w:r>
      <w:r w:rsidRPr="00BB731A">
        <w:rPr>
          <w:rFonts w:eastAsiaTheme="minorEastAsia" w:hint="eastAsia"/>
          <w:sz w:val="21"/>
          <w:szCs w:val="21"/>
        </w:rPr>
        <w:t xml:space="preserve">, 2016, 35(7):839-843. </w:t>
      </w:r>
    </w:p>
    <w:p w:rsidR="00FC5982" w:rsidRPr="00BB731A" w:rsidRDefault="00FC5982" w:rsidP="00B72744">
      <w:pPr>
        <w:pStyle w:val="a7"/>
        <w:numPr>
          <w:ilvl w:val="0"/>
          <w:numId w:val="1"/>
        </w:numPr>
        <w:spacing w:line="360" w:lineRule="auto"/>
        <w:ind w:firstLineChars="0"/>
        <w:rPr>
          <w:rFonts w:eastAsiaTheme="minorEastAsia"/>
          <w:sz w:val="21"/>
          <w:szCs w:val="21"/>
        </w:rPr>
      </w:pPr>
      <w:r w:rsidRPr="00BB731A">
        <w:rPr>
          <w:rFonts w:eastAsiaTheme="minorEastAsia" w:hint="eastAsia"/>
          <w:sz w:val="21"/>
          <w:szCs w:val="21"/>
        </w:rPr>
        <w:t>宗万里</w:t>
      </w:r>
      <w:r w:rsidRPr="00BB731A">
        <w:rPr>
          <w:rFonts w:eastAsiaTheme="minorEastAsia" w:hint="eastAsia"/>
          <w:sz w:val="21"/>
          <w:szCs w:val="21"/>
        </w:rPr>
        <w:t xml:space="preserve">, </w:t>
      </w:r>
      <w:r w:rsidRPr="00BB731A">
        <w:rPr>
          <w:rFonts w:eastAsiaTheme="minorEastAsia" w:hint="eastAsia"/>
          <w:sz w:val="21"/>
          <w:szCs w:val="21"/>
        </w:rPr>
        <w:t>刘新才</w:t>
      </w:r>
      <w:r w:rsidRPr="00BB731A">
        <w:rPr>
          <w:rFonts w:eastAsiaTheme="minorEastAsia" w:hint="eastAsia"/>
          <w:sz w:val="21"/>
          <w:szCs w:val="21"/>
        </w:rPr>
        <w:t xml:space="preserve">, </w:t>
      </w:r>
      <w:r w:rsidRPr="00BB731A">
        <w:rPr>
          <w:rFonts w:eastAsiaTheme="minorEastAsia" w:hint="eastAsia"/>
          <w:sz w:val="21"/>
          <w:szCs w:val="21"/>
        </w:rPr>
        <w:t>宋业萍</w:t>
      </w:r>
      <w:r w:rsidRPr="00BB731A">
        <w:rPr>
          <w:rFonts w:eastAsiaTheme="minorEastAsia" w:hint="eastAsia"/>
          <w:sz w:val="21"/>
          <w:szCs w:val="21"/>
        </w:rPr>
        <w:t xml:space="preserve">. </w:t>
      </w:r>
      <w:r w:rsidRPr="00BB731A">
        <w:rPr>
          <w:rFonts w:eastAsiaTheme="minorEastAsia" w:hint="eastAsia"/>
          <w:sz w:val="21"/>
          <w:szCs w:val="21"/>
        </w:rPr>
        <w:t>液相色谱</w:t>
      </w:r>
      <w:r w:rsidRPr="00BB731A">
        <w:rPr>
          <w:rFonts w:eastAsiaTheme="minorEastAsia" w:hint="eastAsia"/>
          <w:sz w:val="21"/>
          <w:szCs w:val="21"/>
        </w:rPr>
        <w:t>-</w:t>
      </w:r>
      <w:r w:rsidRPr="00BB731A">
        <w:rPr>
          <w:rFonts w:eastAsiaTheme="minorEastAsia" w:hint="eastAsia"/>
          <w:sz w:val="21"/>
          <w:szCs w:val="21"/>
        </w:rPr>
        <w:t>串联质谱法测定花蛤中扑草净残留量</w:t>
      </w:r>
      <w:r w:rsidRPr="00BB731A">
        <w:rPr>
          <w:rFonts w:eastAsiaTheme="minorEastAsia" w:hint="eastAsia"/>
          <w:sz w:val="21"/>
          <w:szCs w:val="21"/>
        </w:rPr>
        <w:t xml:space="preserve">[J]. </w:t>
      </w:r>
      <w:r w:rsidRPr="00BB731A">
        <w:rPr>
          <w:rFonts w:eastAsiaTheme="minorEastAsia" w:hint="eastAsia"/>
          <w:sz w:val="21"/>
          <w:szCs w:val="21"/>
        </w:rPr>
        <w:t>农产品质量与安全</w:t>
      </w:r>
      <w:r w:rsidRPr="00BB731A">
        <w:rPr>
          <w:rFonts w:eastAsiaTheme="minorEastAsia" w:hint="eastAsia"/>
          <w:sz w:val="21"/>
          <w:szCs w:val="21"/>
        </w:rPr>
        <w:t>, 2014</w:t>
      </w:r>
      <w:r w:rsidR="00AD5F18" w:rsidRPr="00BB731A">
        <w:rPr>
          <w:rFonts w:eastAsiaTheme="minorEastAsia" w:hint="eastAsia"/>
          <w:sz w:val="21"/>
          <w:szCs w:val="21"/>
        </w:rPr>
        <w:t>, (</w:t>
      </w:r>
      <w:r w:rsidRPr="00BB731A">
        <w:rPr>
          <w:rFonts w:eastAsiaTheme="minorEastAsia" w:hint="eastAsia"/>
          <w:sz w:val="21"/>
          <w:szCs w:val="21"/>
        </w:rPr>
        <w:t>4</w:t>
      </w:r>
      <w:r w:rsidR="00AD5F18" w:rsidRPr="00BB731A">
        <w:rPr>
          <w:rFonts w:eastAsiaTheme="minorEastAsia" w:hint="eastAsia"/>
          <w:sz w:val="21"/>
          <w:szCs w:val="21"/>
        </w:rPr>
        <w:t>)</w:t>
      </w:r>
      <w:r w:rsidRPr="00BB731A">
        <w:rPr>
          <w:rFonts w:eastAsiaTheme="minorEastAsia" w:hint="eastAsia"/>
          <w:sz w:val="21"/>
          <w:szCs w:val="21"/>
        </w:rPr>
        <w:t>:52-55.</w:t>
      </w:r>
    </w:p>
    <w:p w:rsidR="00AD5F18" w:rsidRPr="00BB731A" w:rsidRDefault="00AD5F18" w:rsidP="00B72744">
      <w:pPr>
        <w:pStyle w:val="a7"/>
        <w:numPr>
          <w:ilvl w:val="0"/>
          <w:numId w:val="1"/>
        </w:numPr>
        <w:spacing w:line="360" w:lineRule="auto"/>
        <w:ind w:firstLineChars="0"/>
        <w:rPr>
          <w:rFonts w:eastAsiaTheme="minorEastAsia"/>
          <w:sz w:val="21"/>
          <w:szCs w:val="21"/>
        </w:rPr>
      </w:pPr>
      <w:r w:rsidRPr="00BB731A">
        <w:rPr>
          <w:rFonts w:eastAsiaTheme="minorEastAsia" w:hint="eastAsia"/>
          <w:sz w:val="21"/>
          <w:szCs w:val="21"/>
        </w:rPr>
        <w:t>陈溪</w:t>
      </w:r>
      <w:r w:rsidRPr="00BB731A">
        <w:rPr>
          <w:rFonts w:eastAsiaTheme="minorEastAsia" w:hint="eastAsia"/>
          <w:sz w:val="21"/>
          <w:szCs w:val="21"/>
        </w:rPr>
        <w:t xml:space="preserve">, </w:t>
      </w:r>
      <w:r w:rsidRPr="00BB731A">
        <w:rPr>
          <w:rFonts w:eastAsiaTheme="minorEastAsia" w:hint="eastAsia"/>
          <w:sz w:val="21"/>
          <w:szCs w:val="21"/>
        </w:rPr>
        <w:t>刘梦遥</w:t>
      </w:r>
      <w:r w:rsidRPr="00BB731A">
        <w:rPr>
          <w:rFonts w:eastAsiaTheme="minorEastAsia" w:hint="eastAsia"/>
          <w:sz w:val="21"/>
          <w:szCs w:val="21"/>
        </w:rPr>
        <w:t xml:space="preserve">, </w:t>
      </w:r>
      <w:r w:rsidRPr="00BB731A">
        <w:rPr>
          <w:rFonts w:eastAsiaTheme="minorEastAsia" w:hint="eastAsia"/>
          <w:sz w:val="21"/>
          <w:szCs w:val="21"/>
        </w:rPr>
        <w:t>曲世超</w:t>
      </w:r>
      <w:r w:rsidRPr="00BB731A">
        <w:rPr>
          <w:rFonts w:eastAsiaTheme="minorEastAsia" w:hint="eastAsia"/>
          <w:sz w:val="21"/>
          <w:szCs w:val="21"/>
        </w:rPr>
        <w:t xml:space="preserve">, </w:t>
      </w:r>
      <w:r w:rsidRPr="00BB731A">
        <w:rPr>
          <w:rFonts w:eastAsiaTheme="minorEastAsia" w:hint="eastAsia"/>
          <w:sz w:val="21"/>
          <w:szCs w:val="21"/>
        </w:rPr>
        <w:t>等</w:t>
      </w:r>
      <w:r w:rsidRPr="00BB731A">
        <w:rPr>
          <w:rFonts w:eastAsiaTheme="minorEastAsia" w:hint="eastAsia"/>
          <w:sz w:val="21"/>
          <w:szCs w:val="21"/>
        </w:rPr>
        <w:t xml:space="preserve">. </w:t>
      </w:r>
      <w:r w:rsidRPr="00BB731A">
        <w:rPr>
          <w:rFonts w:eastAsiaTheme="minorEastAsia" w:hint="eastAsia"/>
          <w:sz w:val="21"/>
          <w:szCs w:val="21"/>
        </w:rPr>
        <w:t>海产品、底泥、海水中扑草净药物残留量的液相色谱</w:t>
      </w:r>
      <w:r w:rsidRPr="00BB731A">
        <w:rPr>
          <w:rFonts w:eastAsiaTheme="minorEastAsia" w:hint="eastAsia"/>
          <w:sz w:val="21"/>
          <w:szCs w:val="21"/>
        </w:rPr>
        <w:t>-</w:t>
      </w:r>
      <w:r w:rsidRPr="00BB731A">
        <w:rPr>
          <w:rFonts w:eastAsiaTheme="minorEastAsia" w:hint="eastAsia"/>
          <w:sz w:val="21"/>
          <w:szCs w:val="21"/>
        </w:rPr>
        <w:t>串联质谱检测</w:t>
      </w:r>
      <w:r w:rsidRPr="00BB731A">
        <w:rPr>
          <w:rFonts w:eastAsiaTheme="minorEastAsia" w:hint="eastAsia"/>
          <w:sz w:val="21"/>
          <w:szCs w:val="21"/>
        </w:rPr>
        <w:t>[J].</w:t>
      </w:r>
      <w:r w:rsidR="00335C67" w:rsidRPr="00BB731A">
        <w:rPr>
          <w:rFonts w:eastAsiaTheme="minorEastAsia" w:hint="eastAsia"/>
          <w:sz w:val="21"/>
          <w:szCs w:val="21"/>
        </w:rPr>
        <w:t xml:space="preserve"> </w:t>
      </w:r>
      <w:r w:rsidRPr="00BB731A">
        <w:rPr>
          <w:rFonts w:eastAsiaTheme="minorEastAsia" w:hint="eastAsia"/>
          <w:sz w:val="21"/>
          <w:szCs w:val="21"/>
        </w:rPr>
        <w:t>化学通报</w:t>
      </w:r>
      <w:r w:rsidRPr="00BB731A">
        <w:rPr>
          <w:rFonts w:eastAsiaTheme="minorEastAsia" w:hint="eastAsia"/>
          <w:sz w:val="21"/>
          <w:szCs w:val="21"/>
        </w:rPr>
        <w:t>, 2013, 76(2): 183-186.</w:t>
      </w:r>
    </w:p>
    <w:p w:rsidR="00AD5F18" w:rsidRPr="00BB731A" w:rsidRDefault="00B72744" w:rsidP="00AD5F18">
      <w:pPr>
        <w:pStyle w:val="a7"/>
        <w:numPr>
          <w:ilvl w:val="0"/>
          <w:numId w:val="1"/>
        </w:numPr>
        <w:spacing w:line="360" w:lineRule="auto"/>
        <w:ind w:firstLineChars="0"/>
        <w:rPr>
          <w:rFonts w:eastAsiaTheme="minorEastAsia"/>
          <w:sz w:val="21"/>
          <w:szCs w:val="21"/>
        </w:rPr>
      </w:pPr>
      <w:r w:rsidRPr="00BB731A">
        <w:rPr>
          <w:rFonts w:eastAsiaTheme="minorEastAsia" w:hint="eastAsia"/>
          <w:sz w:val="21"/>
          <w:szCs w:val="21"/>
        </w:rPr>
        <w:t>施德</w:t>
      </w:r>
      <w:r w:rsidRPr="00BB731A">
        <w:rPr>
          <w:rFonts w:eastAsiaTheme="minorEastAsia" w:hint="eastAsia"/>
          <w:sz w:val="21"/>
          <w:szCs w:val="21"/>
        </w:rPr>
        <w:t xml:space="preserve">. </w:t>
      </w:r>
      <w:r w:rsidRPr="00BB731A">
        <w:rPr>
          <w:rFonts w:eastAsiaTheme="minorEastAsia" w:hint="eastAsia"/>
          <w:sz w:val="21"/>
          <w:szCs w:val="21"/>
        </w:rPr>
        <w:t>农药应用大全</w:t>
      </w:r>
      <w:r w:rsidRPr="00BB731A">
        <w:rPr>
          <w:rFonts w:eastAsiaTheme="minorEastAsia" w:hint="eastAsia"/>
          <w:sz w:val="21"/>
          <w:szCs w:val="21"/>
        </w:rPr>
        <w:t xml:space="preserve">[M]. </w:t>
      </w:r>
      <w:r w:rsidR="00CA2E2A" w:rsidRPr="00BB731A">
        <w:rPr>
          <w:rFonts w:eastAsiaTheme="minorEastAsia" w:hint="eastAsia"/>
          <w:sz w:val="21"/>
          <w:szCs w:val="21"/>
        </w:rPr>
        <w:t>北京</w:t>
      </w:r>
      <w:r w:rsidR="00CA2E2A" w:rsidRPr="00BB731A">
        <w:rPr>
          <w:rFonts w:eastAsiaTheme="minorEastAsia" w:hint="eastAsia"/>
          <w:sz w:val="21"/>
          <w:szCs w:val="21"/>
        </w:rPr>
        <w:t xml:space="preserve">: </w:t>
      </w:r>
      <w:r w:rsidRPr="00BB731A">
        <w:rPr>
          <w:rFonts w:eastAsiaTheme="minorEastAsia" w:hint="eastAsia"/>
          <w:sz w:val="21"/>
          <w:szCs w:val="21"/>
        </w:rPr>
        <w:t>中国农业出版社</w:t>
      </w:r>
      <w:r w:rsidRPr="00BB731A">
        <w:rPr>
          <w:rFonts w:eastAsiaTheme="minorEastAsia" w:hint="eastAsia"/>
          <w:sz w:val="21"/>
          <w:szCs w:val="21"/>
        </w:rPr>
        <w:t>, 2008.</w:t>
      </w:r>
    </w:p>
    <w:p w:rsidR="00B72744" w:rsidRPr="00BB731A" w:rsidRDefault="00B72744" w:rsidP="00AD5F18">
      <w:pPr>
        <w:pStyle w:val="a7"/>
        <w:numPr>
          <w:ilvl w:val="0"/>
          <w:numId w:val="1"/>
        </w:numPr>
        <w:spacing w:line="360" w:lineRule="auto"/>
        <w:ind w:firstLineChars="0"/>
        <w:rPr>
          <w:rFonts w:eastAsiaTheme="minorEastAsia"/>
          <w:sz w:val="21"/>
          <w:szCs w:val="21"/>
        </w:rPr>
      </w:pPr>
      <w:r w:rsidRPr="00BB731A">
        <w:rPr>
          <w:rFonts w:eastAsiaTheme="minorEastAsia" w:hint="eastAsia"/>
          <w:sz w:val="21"/>
          <w:szCs w:val="21"/>
        </w:rPr>
        <w:t>农业部</w:t>
      </w:r>
      <w:r w:rsidRPr="00BB731A">
        <w:rPr>
          <w:rFonts w:eastAsiaTheme="minorEastAsia" w:hint="eastAsia"/>
          <w:sz w:val="21"/>
          <w:szCs w:val="21"/>
        </w:rPr>
        <w:t xml:space="preserve">. </w:t>
      </w:r>
      <w:r w:rsidRPr="00BB731A">
        <w:rPr>
          <w:rFonts w:eastAsiaTheme="minorEastAsia" w:hint="eastAsia"/>
          <w:sz w:val="21"/>
          <w:szCs w:val="21"/>
        </w:rPr>
        <w:t>中华人民共和国农业部公告</w:t>
      </w:r>
      <w:r w:rsidRPr="00BB731A">
        <w:rPr>
          <w:rFonts w:eastAsiaTheme="minorEastAsia" w:hint="eastAsia"/>
          <w:sz w:val="21"/>
          <w:szCs w:val="21"/>
        </w:rPr>
        <w:t>1435</w:t>
      </w:r>
      <w:r w:rsidRPr="00BB731A">
        <w:rPr>
          <w:rFonts w:eastAsiaTheme="minorEastAsia" w:hint="eastAsia"/>
          <w:sz w:val="21"/>
          <w:szCs w:val="21"/>
        </w:rPr>
        <w:t>号</w:t>
      </w:r>
      <w:r w:rsidRPr="00BB731A">
        <w:rPr>
          <w:rFonts w:eastAsiaTheme="minorEastAsia" w:hint="eastAsia"/>
          <w:sz w:val="21"/>
          <w:szCs w:val="21"/>
        </w:rPr>
        <w:t>[EB/OL]. http://www.foodmate.net/law/shipin/164493/html, 2010-07-30.</w:t>
      </w:r>
    </w:p>
    <w:p w:rsidR="00B72744" w:rsidRPr="00BB731A" w:rsidRDefault="00B72744" w:rsidP="00B72744">
      <w:pPr>
        <w:pStyle w:val="a7"/>
        <w:numPr>
          <w:ilvl w:val="0"/>
          <w:numId w:val="1"/>
        </w:numPr>
        <w:spacing w:line="360" w:lineRule="auto"/>
        <w:ind w:firstLineChars="0"/>
        <w:rPr>
          <w:rFonts w:eastAsiaTheme="minorEastAsia"/>
          <w:sz w:val="21"/>
          <w:szCs w:val="21"/>
        </w:rPr>
      </w:pPr>
      <w:r w:rsidRPr="00BB731A">
        <w:rPr>
          <w:rFonts w:eastAsiaTheme="minorEastAsia" w:hint="eastAsia"/>
          <w:sz w:val="21"/>
          <w:szCs w:val="21"/>
        </w:rPr>
        <w:t>张骞月</w:t>
      </w:r>
      <w:r w:rsidRPr="00BB731A">
        <w:rPr>
          <w:rFonts w:eastAsiaTheme="minorEastAsia" w:hint="eastAsia"/>
          <w:sz w:val="21"/>
          <w:szCs w:val="21"/>
        </w:rPr>
        <w:t xml:space="preserve">, </w:t>
      </w:r>
      <w:r w:rsidRPr="00BB731A">
        <w:rPr>
          <w:rFonts w:eastAsiaTheme="minorEastAsia" w:hint="eastAsia"/>
          <w:sz w:val="21"/>
          <w:szCs w:val="21"/>
        </w:rPr>
        <w:t>吴伟</w:t>
      </w:r>
      <w:r w:rsidRPr="00BB731A">
        <w:rPr>
          <w:rFonts w:eastAsiaTheme="minorEastAsia" w:hint="eastAsia"/>
          <w:sz w:val="21"/>
          <w:szCs w:val="21"/>
        </w:rPr>
        <w:t xml:space="preserve">. </w:t>
      </w:r>
      <w:r w:rsidRPr="00BB731A">
        <w:rPr>
          <w:rFonts w:eastAsiaTheme="minorEastAsia" w:hint="eastAsia"/>
          <w:sz w:val="21"/>
          <w:szCs w:val="21"/>
        </w:rPr>
        <w:t>扑草净在养殖水体中的生态毒理效应及其微生物降解的研究进展</w:t>
      </w:r>
      <w:r w:rsidRPr="00BB731A">
        <w:rPr>
          <w:rFonts w:eastAsiaTheme="minorEastAsia" w:hint="eastAsia"/>
          <w:sz w:val="21"/>
          <w:szCs w:val="21"/>
        </w:rPr>
        <w:t xml:space="preserve">[J]. </w:t>
      </w:r>
      <w:r w:rsidRPr="00BB731A">
        <w:rPr>
          <w:rFonts w:eastAsiaTheme="minorEastAsia" w:hint="eastAsia"/>
          <w:sz w:val="21"/>
          <w:szCs w:val="21"/>
        </w:rPr>
        <w:t>生物灾害科学</w:t>
      </w:r>
      <w:r w:rsidRPr="00BB731A">
        <w:rPr>
          <w:rFonts w:eastAsiaTheme="minorEastAsia" w:hint="eastAsia"/>
          <w:sz w:val="21"/>
          <w:szCs w:val="21"/>
        </w:rPr>
        <w:t>, 2014, 37(1): 64-69.</w:t>
      </w:r>
    </w:p>
    <w:p w:rsidR="00B72744" w:rsidRPr="00BB731A" w:rsidRDefault="00B72744" w:rsidP="00B72744">
      <w:pPr>
        <w:pStyle w:val="a7"/>
        <w:numPr>
          <w:ilvl w:val="0"/>
          <w:numId w:val="1"/>
        </w:numPr>
        <w:spacing w:line="360" w:lineRule="auto"/>
        <w:ind w:firstLineChars="0"/>
        <w:rPr>
          <w:rFonts w:eastAsiaTheme="minorEastAsia"/>
          <w:sz w:val="21"/>
          <w:szCs w:val="21"/>
        </w:rPr>
      </w:pPr>
      <w:r w:rsidRPr="00BB731A">
        <w:rPr>
          <w:rFonts w:eastAsiaTheme="minorEastAsia" w:hint="eastAsia"/>
          <w:sz w:val="21"/>
          <w:szCs w:val="21"/>
        </w:rPr>
        <w:t>李庆鹏</w:t>
      </w:r>
      <w:r w:rsidRPr="00BB731A">
        <w:rPr>
          <w:rFonts w:eastAsiaTheme="minorEastAsia" w:hint="eastAsia"/>
          <w:sz w:val="21"/>
          <w:szCs w:val="21"/>
        </w:rPr>
        <w:t xml:space="preserve">, </w:t>
      </w:r>
      <w:r w:rsidRPr="00BB731A">
        <w:rPr>
          <w:rFonts w:eastAsiaTheme="minorEastAsia" w:hint="eastAsia"/>
          <w:sz w:val="21"/>
          <w:szCs w:val="21"/>
        </w:rPr>
        <w:t>秦达</w:t>
      </w:r>
      <w:r w:rsidRPr="00BB731A">
        <w:rPr>
          <w:rFonts w:eastAsiaTheme="minorEastAsia" w:hint="eastAsia"/>
          <w:sz w:val="21"/>
          <w:szCs w:val="21"/>
        </w:rPr>
        <w:t xml:space="preserve">, </w:t>
      </w:r>
      <w:r w:rsidRPr="00BB731A">
        <w:rPr>
          <w:rFonts w:eastAsiaTheme="minorEastAsia" w:hint="eastAsia"/>
          <w:sz w:val="21"/>
          <w:szCs w:val="21"/>
        </w:rPr>
        <w:t>崔文慧</w:t>
      </w:r>
      <w:r w:rsidRPr="00BB731A">
        <w:rPr>
          <w:rFonts w:eastAsiaTheme="minorEastAsia" w:hint="eastAsia"/>
          <w:sz w:val="21"/>
          <w:szCs w:val="21"/>
        </w:rPr>
        <w:t xml:space="preserve">, </w:t>
      </w:r>
      <w:r w:rsidRPr="00BB731A">
        <w:rPr>
          <w:rFonts w:eastAsiaTheme="minorEastAsia" w:hint="eastAsia"/>
          <w:sz w:val="21"/>
          <w:szCs w:val="21"/>
        </w:rPr>
        <w:t>等</w:t>
      </w:r>
      <w:r w:rsidRPr="00BB731A">
        <w:rPr>
          <w:rFonts w:eastAsiaTheme="minorEastAsia" w:hint="eastAsia"/>
          <w:sz w:val="21"/>
          <w:szCs w:val="21"/>
        </w:rPr>
        <w:t xml:space="preserve">. </w:t>
      </w:r>
      <w:r w:rsidRPr="00BB731A">
        <w:rPr>
          <w:rFonts w:eastAsiaTheme="minorEastAsia" w:hint="eastAsia"/>
          <w:sz w:val="21"/>
          <w:szCs w:val="21"/>
        </w:rPr>
        <w:t>我国水产品中农药扑草净残留超标的警示分析</w:t>
      </w:r>
      <w:r w:rsidRPr="00BB731A">
        <w:rPr>
          <w:rFonts w:eastAsiaTheme="minorEastAsia" w:hint="eastAsia"/>
          <w:sz w:val="21"/>
          <w:szCs w:val="21"/>
        </w:rPr>
        <w:t xml:space="preserve">[J]. </w:t>
      </w:r>
      <w:r w:rsidRPr="00BB731A">
        <w:rPr>
          <w:rFonts w:eastAsiaTheme="minorEastAsia" w:hint="eastAsia"/>
          <w:sz w:val="21"/>
          <w:szCs w:val="21"/>
        </w:rPr>
        <w:t>食品安全质量检测学报</w:t>
      </w:r>
      <w:r w:rsidRPr="00BB731A">
        <w:rPr>
          <w:rFonts w:eastAsiaTheme="minorEastAsia" w:hint="eastAsia"/>
          <w:sz w:val="21"/>
          <w:szCs w:val="21"/>
        </w:rPr>
        <w:t>, 2014, 5(1): 108-112.</w:t>
      </w:r>
    </w:p>
    <w:p w:rsidR="00B72744" w:rsidRPr="00BB731A" w:rsidRDefault="00B72744" w:rsidP="00B72744">
      <w:pPr>
        <w:pStyle w:val="a7"/>
        <w:numPr>
          <w:ilvl w:val="0"/>
          <w:numId w:val="1"/>
        </w:numPr>
        <w:spacing w:line="360" w:lineRule="auto"/>
        <w:ind w:firstLineChars="0"/>
        <w:rPr>
          <w:rFonts w:eastAsiaTheme="minorEastAsia"/>
          <w:sz w:val="21"/>
          <w:szCs w:val="21"/>
        </w:rPr>
      </w:pPr>
      <w:r w:rsidRPr="00BB731A">
        <w:rPr>
          <w:rFonts w:eastAsia="宋体" w:hint="eastAsia"/>
          <w:sz w:val="21"/>
          <w:szCs w:val="21"/>
        </w:rPr>
        <w:t>宋业萍</w:t>
      </w:r>
      <w:r w:rsidRPr="00BB731A">
        <w:rPr>
          <w:rFonts w:eastAsia="宋体" w:hint="eastAsia"/>
          <w:sz w:val="21"/>
          <w:szCs w:val="21"/>
        </w:rPr>
        <w:t xml:space="preserve">, </w:t>
      </w:r>
      <w:r w:rsidRPr="00BB731A">
        <w:rPr>
          <w:rFonts w:eastAsia="宋体" w:hint="eastAsia"/>
          <w:sz w:val="21"/>
          <w:szCs w:val="21"/>
        </w:rPr>
        <w:t>宗万里</w:t>
      </w:r>
      <w:r w:rsidRPr="00BB731A">
        <w:rPr>
          <w:rFonts w:eastAsia="宋体" w:hint="eastAsia"/>
          <w:sz w:val="21"/>
          <w:szCs w:val="21"/>
        </w:rPr>
        <w:t xml:space="preserve">, </w:t>
      </w:r>
      <w:r w:rsidRPr="00BB731A">
        <w:rPr>
          <w:rFonts w:eastAsia="宋体" w:hint="eastAsia"/>
          <w:sz w:val="21"/>
          <w:szCs w:val="21"/>
        </w:rPr>
        <w:t>于忠飞</w:t>
      </w:r>
      <w:r w:rsidRPr="00BB731A">
        <w:rPr>
          <w:rFonts w:eastAsia="宋体" w:hint="eastAsia"/>
          <w:sz w:val="21"/>
          <w:szCs w:val="21"/>
        </w:rPr>
        <w:t xml:space="preserve">, </w:t>
      </w:r>
      <w:r w:rsidRPr="00BB731A">
        <w:rPr>
          <w:rFonts w:eastAsia="宋体" w:hint="eastAsia"/>
          <w:sz w:val="21"/>
          <w:szCs w:val="21"/>
        </w:rPr>
        <w:t>等</w:t>
      </w:r>
      <w:r w:rsidRPr="00BB731A">
        <w:rPr>
          <w:rFonts w:eastAsia="宋体" w:hint="eastAsia"/>
          <w:sz w:val="21"/>
          <w:szCs w:val="21"/>
        </w:rPr>
        <w:t xml:space="preserve">. </w:t>
      </w:r>
      <w:r w:rsidRPr="00BB731A">
        <w:rPr>
          <w:rFonts w:eastAsia="宋体" w:hint="eastAsia"/>
          <w:sz w:val="21"/>
          <w:szCs w:val="21"/>
        </w:rPr>
        <w:t>气相色谱法测定贝类中扑草净的残留量</w:t>
      </w:r>
      <w:r w:rsidRPr="00BB731A">
        <w:rPr>
          <w:rFonts w:eastAsia="宋体" w:hint="eastAsia"/>
          <w:sz w:val="21"/>
          <w:szCs w:val="21"/>
        </w:rPr>
        <w:t xml:space="preserve">[J]. </w:t>
      </w:r>
      <w:r w:rsidRPr="00BB731A">
        <w:rPr>
          <w:rFonts w:eastAsia="宋体" w:hint="eastAsia"/>
          <w:sz w:val="21"/>
          <w:szCs w:val="21"/>
        </w:rPr>
        <w:t>卫生研究</w:t>
      </w:r>
      <w:r w:rsidRPr="00BB731A">
        <w:rPr>
          <w:rFonts w:eastAsia="宋体" w:hint="eastAsia"/>
          <w:sz w:val="21"/>
          <w:szCs w:val="21"/>
        </w:rPr>
        <w:t>, 2014, 43(5): 790-792.</w:t>
      </w:r>
    </w:p>
    <w:p w:rsidR="00B72744" w:rsidRPr="00BB731A" w:rsidRDefault="00B72744" w:rsidP="00B72744">
      <w:pPr>
        <w:pStyle w:val="a7"/>
        <w:numPr>
          <w:ilvl w:val="0"/>
          <w:numId w:val="1"/>
        </w:numPr>
        <w:spacing w:line="360" w:lineRule="auto"/>
        <w:ind w:firstLineChars="0"/>
        <w:rPr>
          <w:rFonts w:eastAsiaTheme="minorEastAsia"/>
          <w:sz w:val="21"/>
          <w:szCs w:val="21"/>
        </w:rPr>
      </w:pPr>
      <w:r w:rsidRPr="00BB731A">
        <w:rPr>
          <w:rFonts w:eastAsia="宋体" w:hint="eastAsia"/>
          <w:sz w:val="21"/>
          <w:szCs w:val="21"/>
        </w:rPr>
        <w:t>中华人民共和国国家质量监督检验检疫总局</w:t>
      </w:r>
      <w:r w:rsidRPr="00BB731A">
        <w:rPr>
          <w:rFonts w:eastAsia="宋体" w:hint="eastAsia"/>
          <w:sz w:val="21"/>
          <w:szCs w:val="21"/>
        </w:rPr>
        <w:t xml:space="preserve">. </w:t>
      </w:r>
      <w:r w:rsidRPr="00BB731A">
        <w:rPr>
          <w:rFonts w:eastAsia="宋体"/>
          <w:sz w:val="21"/>
          <w:szCs w:val="21"/>
        </w:rPr>
        <w:t>SN/T</w:t>
      </w:r>
      <w:r w:rsidRPr="00BB731A">
        <w:rPr>
          <w:rFonts w:eastAsia="宋体" w:hint="eastAsia"/>
          <w:sz w:val="21"/>
          <w:szCs w:val="21"/>
        </w:rPr>
        <w:t xml:space="preserve"> </w:t>
      </w:r>
      <w:r w:rsidRPr="00BB731A">
        <w:rPr>
          <w:rFonts w:eastAsia="宋体"/>
          <w:sz w:val="21"/>
          <w:szCs w:val="21"/>
        </w:rPr>
        <w:t>1968-2007</w:t>
      </w:r>
      <w:r w:rsidRPr="00BB731A">
        <w:rPr>
          <w:rFonts w:eastAsia="宋体" w:hint="eastAsia"/>
          <w:sz w:val="21"/>
          <w:szCs w:val="21"/>
        </w:rPr>
        <w:t xml:space="preserve">, </w:t>
      </w:r>
      <w:r w:rsidRPr="00BB731A">
        <w:rPr>
          <w:rFonts w:eastAsia="宋体"/>
          <w:sz w:val="21"/>
          <w:szCs w:val="21"/>
        </w:rPr>
        <w:t>进出口食品中扑草净残留量检测方法</w:t>
      </w:r>
      <w:r w:rsidRPr="00BB731A">
        <w:rPr>
          <w:rFonts w:eastAsia="宋体" w:hint="eastAsia"/>
          <w:sz w:val="21"/>
          <w:szCs w:val="21"/>
        </w:rPr>
        <w:t xml:space="preserve">[S]. </w:t>
      </w:r>
      <w:r w:rsidRPr="00BB731A">
        <w:rPr>
          <w:rFonts w:eastAsia="宋体" w:hint="eastAsia"/>
          <w:sz w:val="21"/>
          <w:szCs w:val="21"/>
        </w:rPr>
        <w:t>北京</w:t>
      </w:r>
      <w:r w:rsidRPr="00BB731A">
        <w:rPr>
          <w:rFonts w:eastAsia="宋体" w:hint="eastAsia"/>
          <w:sz w:val="21"/>
          <w:szCs w:val="21"/>
        </w:rPr>
        <w:t xml:space="preserve">: </w:t>
      </w:r>
      <w:r w:rsidRPr="00BB731A">
        <w:rPr>
          <w:rFonts w:eastAsia="宋体" w:hint="eastAsia"/>
          <w:sz w:val="21"/>
          <w:szCs w:val="21"/>
        </w:rPr>
        <w:t>中国标准出版社</w:t>
      </w:r>
      <w:r w:rsidRPr="00BB731A">
        <w:rPr>
          <w:rFonts w:eastAsia="宋体" w:hint="eastAsia"/>
          <w:sz w:val="21"/>
          <w:szCs w:val="21"/>
        </w:rPr>
        <w:t>, 2007.</w:t>
      </w:r>
    </w:p>
    <w:p w:rsidR="00B72744" w:rsidRPr="00BB731A" w:rsidRDefault="00B72744" w:rsidP="00B72744">
      <w:pPr>
        <w:pStyle w:val="a7"/>
        <w:numPr>
          <w:ilvl w:val="0"/>
          <w:numId w:val="1"/>
        </w:numPr>
        <w:spacing w:line="360" w:lineRule="auto"/>
        <w:ind w:firstLineChars="0"/>
        <w:rPr>
          <w:rFonts w:eastAsia="宋体"/>
          <w:sz w:val="21"/>
          <w:szCs w:val="21"/>
        </w:rPr>
      </w:pPr>
      <w:r w:rsidRPr="00BB731A">
        <w:rPr>
          <w:rFonts w:eastAsia="宋体" w:hint="eastAsia"/>
          <w:sz w:val="21"/>
          <w:szCs w:val="21"/>
        </w:rPr>
        <w:t>田秀慧</w:t>
      </w:r>
      <w:r w:rsidRPr="00BB731A">
        <w:rPr>
          <w:rFonts w:eastAsia="宋体" w:hint="eastAsia"/>
          <w:sz w:val="21"/>
          <w:szCs w:val="21"/>
        </w:rPr>
        <w:t xml:space="preserve">, </w:t>
      </w:r>
      <w:r w:rsidRPr="00BB731A">
        <w:rPr>
          <w:rFonts w:eastAsia="宋体" w:hint="eastAsia"/>
          <w:sz w:val="21"/>
          <w:szCs w:val="21"/>
        </w:rPr>
        <w:t>宫向红</w:t>
      </w:r>
      <w:r w:rsidRPr="00BB731A">
        <w:rPr>
          <w:rFonts w:eastAsia="宋体" w:hint="eastAsia"/>
          <w:sz w:val="21"/>
          <w:szCs w:val="21"/>
        </w:rPr>
        <w:t xml:space="preserve">, </w:t>
      </w:r>
      <w:r w:rsidRPr="00BB731A">
        <w:rPr>
          <w:rFonts w:eastAsia="宋体" w:hint="eastAsia"/>
          <w:sz w:val="21"/>
          <w:szCs w:val="21"/>
        </w:rPr>
        <w:t>徐英江</w:t>
      </w:r>
      <w:r w:rsidRPr="00BB731A">
        <w:rPr>
          <w:rFonts w:eastAsia="宋体" w:hint="eastAsia"/>
          <w:sz w:val="21"/>
          <w:szCs w:val="21"/>
        </w:rPr>
        <w:t xml:space="preserve">, </w:t>
      </w:r>
      <w:r w:rsidRPr="00BB731A">
        <w:rPr>
          <w:rFonts w:eastAsia="宋体" w:hint="eastAsia"/>
          <w:sz w:val="21"/>
          <w:szCs w:val="21"/>
        </w:rPr>
        <w:t>等</w:t>
      </w:r>
      <w:r w:rsidRPr="00BB731A">
        <w:rPr>
          <w:rFonts w:eastAsia="宋体" w:hint="eastAsia"/>
          <w:sz w:val="21"/>
          <w:szCs w:val="21"/>
        </w:rPr>
        <w:t xml:space="preserve">. </w:t>
      </w:r>
      <w:r w:rsidRPr="00BB731A">
        <w:rPr>
          <w:rFonts w:eastAsia="宋体" w:hint="eastAsia"/>
          <w:sz w:val="21"/>
          <w:szCs w:val="21"/>
        </w:rPr>
        <w:t>除草剂扑草净在海参中的生物富集与消除效应研究</w:t>
      </w:r>
      <w:r w:rsidRPr="00BB731A">
        <w:rPr>
          <w:rFonts w:eastAsia="宋体" w:hint="eastAsia"/>
          <w:sz w:val="21"/>
          <w:szCs w:val="21"/>
        </w:rPr>
        <w:t xml:space="preserve">[J]. </w:t>
      </w:r>
      <w:r w:rsidRPr="00BB731A">
        <w:rPr>
          <w:rFonts w:eastAsia="宋体" w:hint="eastAsia"/>
          <w:sz w:val="21"/>
          <w:szCs w:val="21"/>
        </w:rPr>
        <w:t>现代食品科技</w:t>
      </w:r>
      <w:r w:rsidRPr="00BB731A">
        <w:rPr>
          <w:rFonts w:eastAsia="宋体" w:hint="eastAsia"/>
          <w:sz w:val="21"/>
          <w:szCs w:val="21"/>
        </w:rPr>
        <w:t>, 2013, 29(7): 1580-1585.</w:t>
      </w:r>
    </w:p>
    <w:p w:rsidR="00B72744" w:rsidRPr="00BB731A" w:rsidRDefault="00B72744" w:rsidP="00B72744">
      <w:pPr>
        <w:pStyle w:val="a7"/>
        <w:numPr>
          <w:ilvl w:val="0"/>
          <w:numId w:val="1"/>
        </w:numPr>
        <w:spacing w:line="360" w:lineRule="auto"/>
        <w:ind w:firstLineChars="0"/>
        <w:rPr>
          <w:rFonts w:eastAsiaTheme="minorEastAsia"/>
          <w:sz w:val="21"/>
          <w:szCs w:val="21"/>
        </w:rPr>
      </w:pPr>
      <w:r w:rsidRPr="00BB731A">
        <w:rPr>
          <w:rFonts w:eastAsia="宋体" w:hint="eastAsia"/>
          <w:sz w:val="21"/>
          <w:szCs w:val="21"/>
        </w:rPr>
        <w:t>王晓春</w:t>
      </w:r>
      <w:r w:rsidRPr="00BB731A">
        <w:rPr>
          <w:rFonts w:eastAsia="宋体" w:hint="eastAsia"/>
          <w:sz w:val="21"/>
          <w:szCs w:val="21"/>
        </w:rPr>
        <w:t xml:space="preserve">, </w:t>
      </w:r>
      <w:r w:rsidRPr="00BB731A">
        <w:rPr>
          <w:rFonts w:eastAsia="宋体" w:hint="eastAsia"/>
          <w:sz w:val="21"/>
          <w:szCs w:val="21"/>
        </w:rPr>
        <w:t>王广</w:t>
      </w:r>
      <w:r w:rsidRPr="00BB731A">
        <w:rPr>
          <w:rFonts w:eastAsia="宋体" w:hint="eastAsia"/>
          <w:sz w:val="21"/>
          <w:szCs w:val="21"/>
        </w:rPr>
        <w:t xml:space="preserve">, </w:t>
      </w:r>
      <w:r w:rsidRPr="00BB731A">
        <w:rPr>
          <w:rFonts w:eastAsia="宋体" w:hint="eastAsia"/>
          <w:sz w:val="21"/>
          <w:szCs w:val="21"/>
        </w:rPr>
        <w:t>焦杏春</w:t>
      </w:r>
      <w:r w:rsidRPr="00BB731A">
        <w:rPr>
          <w:rFonts w:eastAsia="宋体" w:hint="eastAsia"/>
          <w:sz w:val="21"/>
          <w:szCs w:val="21"/>
        </w:rPr>
        <w:t xml:space="preserve">. </w:t>
      </w:r>
      <w:r w:rsidRPr="00BB731A">
        <w:rPr>
          <w:rFonts w:eastAsia="宋体" w:hint="eastAsia"/>
          <w:sz w:val="21"/>
          <w:szCs w:val="21"/>
        </w:rPr>
        <w:t>三嗪类除草剂分析方法研究进展</w:t>
      </w:r>
      <w:r w:rsidRPr="00BB731A">
        <w:rPr>
          <w:rFonts w:eastAsia="宋体" w:hint="eastAsia"/>
          <w:sz w:val="21"/>
          <w:szCs w:val="21"/>
        </w:rPr>
        <w:t xml:space="preserve">[J]. </w:t>
      </w:r>
      <w:r w:rsidRPr="00BB731A">
        <w:rPr>
          <w:rFonts w:eastAsia="宋体" w:hint="eastAsia"/>
          <w:sz w:val="21"/>
          <w:szCs w:val="21"/>
        </w:rPr>
        <w:t>农药</w:t>
      </w:r>
      <w:r w:rsidRPr="00BB731A">
        <w:rPr>
          <w:rFonts w:eastAsia="宋体" w:hint="eastAsia"/>
          <w:sz w:val="21"/>
          <w:szCs w:val="21"/>
        </w:rPr>
        <w:t>, 2011, 50(5): 320-324.</w:t>
      </w:r>
    </w:p>
    <w:p w:rsidR="005511A4" w:rsidRPr="00BB731A" w:rsidRDefault="005511A4" w:rsidP="00B72744">
      <w:pPr>
        <w:pStyle w:val="a7"/>
        <w:numPr>
          <w:ilvl w:val="0"/>
          <w:numId w:val="1"/>
        </w:numPr>
        <w:spacing w:line="360" w:lineRule="auto"/>
        <w:ind w:firstLineChars="0"/>
        <w:rPr>
          <w:rFonts w:eastAsiaTheme="minorEastAsia"/>
          <w:sz w:val="21"/>
          <w:szCs w:val="21"/>
        </w:rPr>
      </w:pPr>
      <w:proofErr w:type="spellStart"/>
      <w:r w:rsidRPr="00BB731A">
        <w:rPr>
          <w:rFonts w:eastAsia="宋体" w:hint="eastAsia"/>
          <w:sz w:val="21"/>
          <w:szCs w:val="21"/>
        </w:rPr>
        <w:t>QuEChERS</w:t>
      </w:r>
      <w:proofErr w:type="spellEnd"/>
      <w:r w:rsidRPr="00BB731A">
        <w:rPr>
          <w:rFonts w:eastAsia="宋体" w:hint="eastAsia"/>
          <w:sz w:val="21"/>
          <w:szCs w:val="21"/>
        </w:rPr>
        <w:t>/</w:t>
      </w:r>
      <w:r w:rsidRPr="00BB731A">
        <w:rPr>
          <w:rFonts w:eastAsia="宋体" w:hint="eastAsia"/>
          <w:sz w:val="21"/>
          <w:szCs w:val="21"/>
        </w:rPr>
        <w:t>超高效液相色谱</w:t>
      </w:r>
      <w:r w:rsidRPr="00BB731A">
        <w:rPr>
          <w:rFonts w:eastAsia="宋体" w:hint="eastAsia"/>
          <w:sz w:val="21"/>
          <w:szCs w:val="21"/>
        </w:rPr>
        <w:t>-</w:t>
      </w:r>
      <w:r w:rsidRPr="00BB731A">
        <w:rPr>
          <w:rFonts w:eastAsia="宋体" w:hint="eastAsia"/>
          <w:sz w:val="21"/>
          <w:szCs w:val="21"/>
        </w:rPr>
        <w:t>串联质谱法测定果蔬中</w:t>
      </w:r>
      <w:r w:rsidRPr="00BB731A">
        <w:rPr>
          <w:rFonts w:eastAsia="宋体" w:hint="eastAsia"/>
          <w:sz w:val="21"/>
          <w:szCs w:val="21"/>
        </w:rPr>
        <w:t>122</w:t>
      </w:r>
      <w:r w:rsidRPr="00BB731A">
        <w:rPr>
          <w:rFonts w:eastAsia="宋体" w:hint="eastAsia"/>
          <w:sz w:val="21"/>
          <w:szCs w:val="21"/>
        </w:rPr>
        <w:t>种香港规例农药残留</w:t>
      </w:r>
      <w:r w:rsidRPr="00BB731A">
        <w:rPr>
          <w:rFonts w:eastAsia="宋体" w:hint="eastAsia"/>
          <w:sz w:val="21"/>
          <w:szCs w:val="21"/>
        </w:rPr>
        <w:t xml:space="preserve">[J]. </w:t>
      </w:r>
      <w:r w:rsidRPr="00BB731A">
        <w:rPr>
          <w:rFonts w:eastAsia="宋体" w:hint="eastAsia"/>
          <w:sz w:val="21"/>
          <w:szCs w:val="21"/>
        </w:rPr>
        <w:t>分析测试学报</w:t>
      </w:r>
      <w:r w:rsidRPr="00BB731A">
        <w:rPr>
          <w:rFonts w:eastAsia="宋体" w:hint="eastAsia"/>
          <w:sz w:val="21"/>
          <w:szCs w:val="21"/>
        </w:rPr>
        <w:t>, 2017, 36(7): 849-857.</w:t>
      </w:r>
    </w:p>
    <w:p w:rsidR="005511A4" w:rsidRPr="00BB731A" w:rsidRDefault="005511A4" w:rsidP="00B72744">
      <w:pPr>
        <w:pStyle w:val="a7"/>
        <w:numPr>
          <w:ilvl w:val="0"/>
          <w:numId w:val="1"/>
        </w:numPr>
        <w:spacing w:line="360" w:lineRule="auto"/>
        <w:ind w:firstLineChars="0"/>
        <w:rPr>
          <w:rFonts w:eastAsiaTheme="minorEastAsia"/>
          <w:sz w:val="21"/>
          <w:szCs w:val="21"/>
        </w:rPr>
      </w:pPr>
      <w:r w:rsidRPr="00BB731A">
        <w:rPr>
          <w:rFonts w:eastAsia="宋体" w:hint="eastAsia"/>
          <w:sz w:val="21"/>
          <w:szCs w:val="21"/>
        </w:rPr>
        <w:t>刘慧</w:t>
      </w:r>
      <w:r w:rsidRPr="00BB731A">
        <w:rPr>
          <w:rFonts w:eastAsia="宋体" w:hint="eastAsia"/>
          <w:sz w:val="21"/>
          <w:szCs w:val="21"/>
        </w:rPr>
        <w:t xml:space="preserve">, </w:t>
      </w:r>
      <w:r w:rsidRPr="00BB731A">
        <w:rPr>
          <w:rFonts w:eastAsia="宋体" w:hint="eastAsia"/>
          <w:sz w:val="21"/>
          <w:szCs w:val="21"/>
        </w:rPr>
        <w:t>卢加文</w:t>
      </w:r>
      <w:r w:rsidRPr="00BB731A">
        <w:rPr>
          <w:rFonts w:eastAsia="宋体" w:hint="eastAsia"/>
          <w:sz w:val="21"/>
          <w:szCs w:val="21"/>
        </w:rPr>
        <w:t xml:space="preserve">, </w:t>
      </w:r>
      <w:r w:rsidRPr="00BB731A">
        <w:rPr>
          <w:rFonts w:eastAsia="宋体" w:hint="eastAsia"/>
          <w:sz w:val="21"/>
          <w:szCs w:val="21"/>
        </w:rPr>
        <w:t>赵艳</w:t>
      </w:r>
      <w:r w:rsidRPr="00BB731A">
        <w:rPr>
          <w:rFonts w:eastAsia="宋体" w:hint="eastAsia"/>
          <w:sz w:val="21"/>
          <w:szCs w:val="21"/>
        </w:rPr>
        <w:t xml:space="preserve">, </w:t>
      </w:r>
      <w:r w:rsidRPr="00BB731A">
        <w:rPr>
          <w:rFonts w:eastAsia="宋体" w:hint="eastAsia"/>
          <w:sz w:val="21"/>
          <w:szCs w:val="21"/>
        </w:rPr>
        <w:t>等</w:t>
      </w:r>
      <w:r w:rsidRPr="00BB731A">
        <w:rPr>
          <w:rFonts w:eastAsia="宋体" w:hint="eastAsia"/>
          <w:sz w:val="21"/>
          <w:szCs w:val="21"/>
        </w:rPr>
        <w:t xml:space="preserve">. </w:t>
      </w:r>
      <w:r w:rsidRPr="00BB731A">
        <w:rPr>
          <w:rFonts w:eastAsia="宋体" w:hint="eastAsia"/>
          <w:sz w:val="21"/>
          <w:szCs w:val="21"/>
        </w:rPr>
        <w:t>凝胶渗透色谱净化</w:t>
      </w:r>
      <w:r w:rsidRPr="00BB731A">
        <w:rPr>
          <w:rFonts w:eastAsia="宋体" w:hint="eastAsia"/>
          <w:sz w:val="21"/>
          <w:szCs w:val="21"/>
        </w:rPr>
        <w:t>-</w:t>
      </w:r>
      <w:r w:rsidRPr="00BB731A">
        <w:rPr>
          <w:rFonts w:eastAsia="宋体" w:hint="eastAsia"/>
          <w:sz w:val="21"/>
          <w:szCs w:val="21"/>
        </w:rPr>
        <w:t>超高效液相色谱</w:t>
      </w:r>
      <w:r w:rsidRPr="00BB731A">
        <w:rPr>
          <w:rFonts w:eastAsia="宋体" w:hint="eastAsia"/>
          <w:sz w:val="21"/>
          <w:szCs w:val="21"/>
        </w:rPr>
        <w:t>-</w:t>
      </w:r>
      <w:r w:rsidRPr="00BB731A">
        <w:rPr>
          <w:rFonts w:eastAsia="宋体" w:hint="eastAsia"/>
          <w:sz w:val="21"/>
          <w:szCs w:val="21"/>
        </w:rPr>
        <w:t>串联质谱法测定海带中扑草净残留量</w:t>
      </w:r>
      <w:r w:rsidRPr="00BB731A">
        <w:rPr>
          <w:rFonts w:eastAsia="宋体" w:hint="eastAsia"/>
          <w:sz w:val="21"/>
          <w:szCs w:val="21"/>
        </w:rPr>
        <w:t xml:space="preserve">[J]. </w:t>
      </w:r>
      <w:r w:rsidRPr="00BB731A">
        <w:rPr>
          <w:rFonts w:eastAsia="宋体" w:hint="eastAsia"/>
          <w:sz w:val="21"/>
          <w:szCs w:val="21"/>
        </w:rPr>
        <w:t>食品安全质量检测学报</w:t>
      </w:r>
      <w:r w:rsidRPr="00BB731A">
        <w:rPr>
          <w:rFonts w:eastAsia="宋体" w:hint="eastAsia"/>
          <w:sz w:val="21"/>
          <w:szCs w:val="21"/>
        </w:rPr>
        <w:t>, 2018. 9(20): 5340-5345.</w:t>
      </w:r>
    </w:p>
    <w:p w:rsidR="005511A4" w:rsidRPr="00BB731A" w:rsidRDefault="005511A4" w:rsidP="00B72744">
      <w:pPr>
        <w:pStyle w:val="a7"/>
        <w:numPr>
          <w:ilvl w:val="0"/>
          <w:numId w:val="1"/>
        </w:numPr>
        <w:spacing w:line="360" w:lineRule="auto"/>
        <w:ind w:firstLineChars="0"/>
        <w:rPr>
          <w:rFonts w:eastAsiaTheme="minorEastAsia"/>
          <w:sz w:val="21"/>
          <w:szCs w:val="21"/>
        </w:rPr>
      </w:pPr>
      <w:r w:rsidRPr="00BB731A">
        <w:rPr>
          <w:rFonts w:eastAsia="宋体" w:hint="eastAsia"/>
          <w:sz w:val="21"/>
          <w:szCs w:val="21"/>
        </w:rPr>
        <w:t>李永库</w:t>
      </w:r>
      <w:r w:rsidRPr="00BB731A">
        <w:rPr>
          <w:rFonts w:eastAsia="宋体" w:hint="eastAsia"/>
          <w:sz w:val="21"/>
          <w:szCs w:val="21"/>
        </w:rPr>
        <w:t xml:space="preserve">. </w:t>
      </w:r>
      <w:r w:rsidRPr="00BB731A">
        <w:rPr>
          <w:rFonts w:eastAsia="宋体" w:hint="eastAsia"/>
          <w:sz w:val="21"/>
          <w:szCs w:val="21"/>
        </w:rPr>
        <w:t>高效液相色谱</w:t>
      </w:r>
      <w:r w:rsidRPr="00BB731A">
        <w:rPr>
          <w:rFonts w:eastAsia="宋体" w:hint="eastAsia"/>
          <w:sz w:val="21"/>
          <w:szCs w:val="21"/>
        </w:rPr>
        <w:t>-</w:t>
      </w:r>
      <w:r w:rsidRPr="00BB731A">
        <w:rPr>
          <w:rFonts w:eastAsia="宋体" w:hint="eastAsia"/>
          <w:sz w:val="21"/>
          <w:szCs w:val="21"/>
        </w:rPr>
        <w:t>质谱联用技术在农药残留分析中的应用研究</w:t>
      </w:r>
      <w:r w:rsidR="00B41DDA" w:rsidRPr="00BB731A">
        <w:rPr>
          <w:rFonts w:eastAsia="宋体" w:hint="eastAsia"/>
          <w:sz w:val="21"/>
          <w:szCs w:val="21"/>
        </w:rPr>
        <w:t>[</w:t>
      </w:r>
      <w:r w:rsidR="001D48A3" w:rsidRPr="00BB731A">
        <w:rPr>
          <w:rFonts w:eastAsia="宋体" w:hint="eastAsia"/>
          <w:sz w:val="21"/>
          <w:szCs w:val="21"/>
        </w:rPr>
        <w:t>D</w:t>
      </w:r>
      <w:r w:rsidR="00B41DDA" w:rsidRPr="00BB731A">
        <w:rPr>
          <w:rFonts w:eastAsia="宋体" w:hint="eastAsia"/>
          <w:sz w:val="21"/>
          <w:szCs w:val="21"/>
        </w:rPr>
        <w:t>]</w:t>
      </w:r>
      <w:r w:rsidRPr="00BB731A">
        <w:rPr>
          <w:rFonts w:eastAsia="宋体" w:hint="eastAsia"/>
          <w:sz w:val="21"/>
          <w:szCs w:val="21"/>
        </w:rPr>
        <w:t xml:space="preserve">. </w:t>
      </w:r>
      <w:r w:rsidR="00B41DDA" w:rsidRPr="00BB731A">
        <w:rPr>
          <w:rFonts w:eastAsia="宋体" w:hint="eastAsia"/>
          <w:sz w:val="21"/>
          <w:szCs w:val="21"/>
        </w:rPr>
        <w:t>广西：广西大学</w:t>
      </w:r>
      <w:r w:rsidR="00B41DDA" w:rsidRPr="00BB731A">
        <w:rPr>
          <w:rFonts w:eastAsia="宋体" w:hint="eastAsia"/>
          <w:sz w:val="21"/>
          <w:szCs w:val="21"/>
        </w:rPr>
        <w:t>, 2006.</w:t>
      </w:r>
    </w:p>
    <w:p w:rsidR="00675E7E" w:rsidRPr="00BB731A" w:rsidRDefault="00B72744" w:rsidP="002F1BE5">
      <w:pPr>
        <w:pStyle w:val="a7"/>
        <w:numPr>
          <w:ilvl w:val="0"/>
          <w:numId w:val="1"/>
        </w:numPr>
        <w:spacing w:line="360" w:lineRule="auto"/>
        <w:ind w:firstLineChars="0"/>
        <w:rPr>
          <w:rFonts w:eastAsia="宋体"/>
          <w:sz w:val="21"/>
          <w:szCs w:val="21"/>
        </w:rPr>
      </w:pPr>
      <w:r w:rsidRPr="00BB731A">
        <w:rPr>
          <w:rFonts w:eastAsiaTheme="minorEastAsia" w:hint="eastAsia"/>
          <w:sz w:val="21"/>
          <w:szCs w:val="21"/>
        </w:rPr>
        <w:t>农业部</w:t>
      </w:r>
      <w:r w:rsidRPr="00BB731A">
        <w:rPr>
          <w:rFonts w:eastAsiaTheme="minorEastAsia" w:hint="eastAsia"/>
          <w:sz w:val="21"/>
          <w:szCs w:val="21"/>
        </w:rPr>
        <w:t xml:space="preserve">. </w:t>
      </w:r>
      <w:r w:rsidRPr="00BB731A">
        <w:rPr>
          <w:rFonts w:eastAsiaTheme="minorEastAsia" w:hint="eastAsia"/>
          <w:sz w:val="21"/>
          <w:szCs w:val="21"/>
        </w:rPr>
        <w:t>中华人民共和国农业部公告第</w:t>
      </w:r>
      <w:r w:rsidRPr="00BB731A">
        <w:rPr>
          <w:rFonts w:eastAsiaTheme="minorEastAsia" w:hint="eastAsia"/>
          <w:sz w:val="21"/>
          <w:szCs w:val="21"/>
        </w:rPr>
        <w:t>627</w:t>
      </w:r>
      <w:r w:rsidRPr="00BB731A">
        <w:rPr>
          <w:rFonts w:eastAsiaTheme="minorEastAsia" w:hint="eastAsia"/>
          <w:sz w:val="21"/>
          <w:szCs w:val="21"/>
        </w:rPr>
        <w:t>号</w:t>
      </w:r>
      <w:r w:rsidRPr="00BB731A">
        <w:rPr>
          <w:rFonts w:eastAsiaTheme="minorEastAsia" w:hint="eastAsia"/>
          <w:sz w:val="21"/>
          <w:szCs w:val="21"/>
        </w:rPr>
        <w:t xml:space="preserve">[EB/OL]. </w:t>
      </w:r>
      <w:r w:rsidRPr="00BB731A">
        <w:rPr>
          <w:rFonts w:eastAsia="宋体" w:hint="eastAsia"/>
          <w:sz w:val="21"/>
          <w:szCs w:val="21"/>
        </w:rPr>
        <w:t>http://www.law-lib.com/law/law_view.asp?id=15117, 2006-06-14.</w:t>
      </w:r>
    </w:p>
    <w:p w:rsidR="00B41DDA" w:rsidRPr="00BB731A" w:rsidRDefault="00B41DDA" w:rsidP="002F1BE5">
      <w:pPr>
        <w:pStyle w:val="a7"/>
        <w:numPr>
          <w:ilvl w:val="0"/>
          <w:numId w:val="1"/>
        </w:numPr>
        <w:spacing w:line="360" w:lineRule="auto"/>
        <w:ind w:firstLineChars="0"/>
        <w:rPr>
          <w:rFonts w:eastAsia="宋体"/>
          <w:sz w:val="21"/>
          <w:szCs w:val="21"/>
        </w:rPr>
      </w:pPr>
      <w:r w:rsidRPr="00BB731A">
        <w:rPr>
          <w:rFonts w:eastAsia="宋体" w:hint="eastAsia"/>
          <w:sz w:val="21"/>
          <w:szCs w:val="21"/>
        </w:rPr>
        <w:lastRenderedPageBreak/>
        <w:t>SC/T 9412-2014</w:t>
      </w:r>
      <w:r w:rsidRPr="00BB731A">
        <w:rPr>
          <w:rFonts w:eastAsia="宋体" w:hint="eastAsia"/>
          <w:sz w:val="21"/>
          <w:szCs w:val="21"/>
        </w:rPr>
        <w:t>水产养殖环境中扑草净的测定</w:t>
      </w:r>
      <w:r w:rsidRPr="00BB731A">
        <w:rPr>
          <w:rFonts w:eastAsia="宋体" w:hint="eastAsia"/>
          <w:sz w:val="21"/>
          <w:szCs w:val="21"/>
        </w:rPr>
        <w:t xml:space="preserve"> </w:t>
      </w:r>
      <w:r w:rsidRPr="00BB731A">
        <w:rPr>
          <w:rFonts w:eastAsia="宋体" w:hint="eastAsia"/>
          <w:sz w:val="21"/>
          <w:szCs w:val="21"/>
        </w:rPr>
        <w:t>气相色谱法</w:t>
      </w:r>
      <w:r w:rsidRPr="00BB731A">
        <w:rPr>
          <w:rFonts w:eastAsia="宋体" w:hint="eastAsia"/>
          <w:sz w:val="21"/>
          <w:szCs w:val="21"/>
        </w:rPr>
        <w:t>[S].</w:t>
      </w:r>
    </w:p>
    <w:sectPr w:rsidR="00B41DDA" w:rsidRPr="00BB731A" w:rsidSect="00905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8B" w:rsidRDefault="0070418B" w:rsidP="000B5983">
      <w:r>
        <w:separator/>
      </w:r>
    </w:p>
  </w:endnote>
  <w:endnote w:type="continuationSeparator" w:id="0">
    <w:p w:rsidR="0070418B" w:rsidRDefault="0070418B" w:rsidP="000B5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8B" w:rsidRDefault="0070418B" w:rsidP="000B5983">
      <w:r>
        <w:separator/>
      </w:r>
    </w:p>
  </w:footnote>
  <w:footnote w:type="continuationSeparator" w:id="0">
    <w:p w:rsidR="0070418B" w:rsidRDefault="0070418B" w:rsidP="000B5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E6FD2"/>
    <w:multiLevelType w:val="hybridMultilevel"/>
    <w:tmpl w:val="4E2A3B40"/>
    <w:lvl w:ilvl="0" w:tplc="077EAA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5983"/>
    <w:rsid w:val="0006657A"/>
    <w:rsid w:val="000712A8"/>
    <w:rsid w:val="00074A88"/>
    <w:rsid w:val="0008280F"/>
    <w:rsid w:val="00086B89"/>
    <w:rsid w:val="000B0BDC"/>
    <w:rsid w:val="000B5983"/>
    <w:rsid w:val="000B6B16"/>
    <w:rsid w:val="000C4145"/>
    <w:rsid w:val="000E5BFB"/>
    <w:rsid w:val="000F3815"/>
    <w:rsid w:val="00106EE2"/>
    <w:rsid w:val="001106C1"/>
    <w:rsid w:val="00113534"/>
    <w:rsid w:val="00126888"/>
    <w:rsid w:val="00134247"/>
    <w:rsid w:val="00135309"/>
    <w:rsid w:val="0015285C"/>
    <w:rsid w:val="00156236"/>
    <w:rsid w:val="001630A5"/>
    <w:rsid w:val="0017216A"/>
    <w:rsid w:val="001736EE"/>
    <w:rsid w:val="00175184"/>
    <w:rsid w:val="00180F01"/>
    <w:rsid w:val="001A2A89"/>
    <w:rsid w:val="001B4015"/>
    <w:rsid w:val="001C073A"/>
    <w:rsid w:val="001C1803"/>
    <w:rsid w:val="001D48A3"/>
    <w:rsid w:val="001E0557"/>
    <w:rsid w:val="001E2740"/>
    <w:rsid w:val="001E719E"/>
    <w:rsid w:val="001F0846"/>
    <w:rsid w:val="00217264"/>
    <w:rsid w:val="002254C2"/>
    <w:rsid w:val="00231A5A"/>
    <w:rsid w:val="002475F8"/>
    <w:rsid w:val="00251939"/>
    <w:rsid w:val="00251F75"/>
    <w:rsid w:val="00265FC4"/>
    <w:rsid w:val="00270C84"/>
    <w:rsid w:val="002B5B9F"/>
    <w:rsid w:val="002D27C0"/>
    <w:rsid w:val="002D794E"/>
    <w:rsid w:val="002F1BE5"/>
    <w:rsid w:val="002F35C3"/>
    <w:rsid w:val="00303DD0"/>
    <w:rsid w:val="00311CAC"/>
    <w:rsid w:val="00314C4E"/>
    <w:rsid w:val="003261BD"/>
    <w:rsid w:val="00335C67"/>
    <w:rsid w:val="00347F5B"/>
    <w:rsid w:val="00361527"/>
    <w:rsid w:val="003631FC"/>
    <w:rsid w:val="003654E5"/>
    <w:rsid w:val="00372274"/>
    <w:rsid w:val="00374632"/>
    <w:rsid w:val="00376B9F"/>
    <w:rsid w:val="0038220D"/>
    <w:rsid w:val="00386502"/>
    <w:rsid w:val="00386E64"/>
    <w:rsid w:val="003915D3"/>
    <w:rsid w:val="0039359F"/>
    <w:rsid w:val="003A3FAC"/>
    <w:rsid w:val="003A5E93"/>
    <w:rsid w:val="003C2712"/>
    <w:rsid w:val="0040224A"/>
    <w:rsid w:val="00403789"/>
    <w:rsid w:val="00476ADC"/>
    <w:rsid w:val="00477289"/>
    <w:rsid w:val="004A402F"/>
    <w:rsid w:val="004C6CA8"/>
    <w:rsid w:val="004D415C"/>
    <w:rsid w:val="004E0664"/>
    <w:rsid w:val="004F2458"/>
    <w:rsid w:val="005137A6"/>
    <w:rsid w:val="0051676D"/>
    <w:rsid w:val="005511A4"/>
    <w:rsid w:val="00552CC0"/>
    <w:rsid w:val="00581D21"/>
    <w:rsid w:val="005B7C48"/>
    <w:rsid w:val="005C3C4B"/>
    <w:rsid w:val="005D6446"/>
    <w:rsid w:val="005E234F"/>
    <w:rsid w:val="005E25B2"/>
    <w:rsid w:val="005E672C"/>
    <w:rsid w:val="005F3629"/>
    <w:rsid w:val="005F4F46"/>
    <w:rsid w:val="00624EB6"/>
    <w:rsid w:val="00651B03"/>
    <w:rsid w:val="00664894"/>
    <w:rsid w:val="006678A4"/>
    <w:rsid w:val="00670BDE"/>
    <w:rsid w:val="00675E7E"/>
    <w:rsid w:val="006779FE"/>
    <w:rsid w:val="00680CDE"/>
    <w:rsid w:val="00684EDF"/>
    <w:rsid w:val="006A24E2"/>
    <w:rsid w:val="006B7800"/>
    <w:rsid w:val="006D751F"/>
    <w:rsid w:val="0070418B"/>
    <w:rsid w:val="00733EDD"/>
    <w:rsid w:val="00744B5E"/>
    <w:rsid w:val="00747CDD"/>
    <w:rsid w:val="00754574"/>
    <w:rsid w:val="00755AC7"/>
    <w:rsid w:val="00780DB4"/>
    <w:rsid w:val="0078206A"/>
    <w:rsid w:val="00784FB0"/>
    <w:rsid w:val="007A4258"/>
    <w:rsid w:val="007B03B8"/>
    <w:rsid w:val="007D70BC"/>
    <w:rsid w:val="007F1890"/>
    <w:rsid w:val="008127BA"/>
    <w:rsid w:val="00824396"/>
    <w:rsid w:val="00854B5C"/>
    <w:rsid w:val="00855EB6"/>
    <w:rsid w:val="00885468"/>
    <w:rsid w:val="008D7A3F"/>
    <w:rsid w:val="00901C7A"/>
    <w:rsid w:val="009052DE"/>
    <w:rsid w:val="009110EE"/>
    <w:rsid w:val="009206B6"/>
    <w:rsid w:val="00957178"/>
    <w:rsid w:val="00957B43"/>
    <w:rsid w:val="0097761A"/>
    <w:rsid w:val="009C611B"/>
    <w:rsid w:val="009D01C4"/>
    <w:rsid w:val="00A30A66"/>
    <w:rsid w:val="00A57D74"/>
    <w:rsid w:val="00A73A97"/>
    <w:rsid w:val="00A743AB"/>
    <w:rsid w:val="00A81E16"/>
    <w:rsid w:val="00A82247"/>
    <w:rsid w:val="00A90487"/>
    <w:rsid w:val="00AA015A"/>
    <w:rsid w:val="00AA5CAC"/>
    <w:rsid w:val="00AB1127"/>
    <w:rsid w:val="00AD4CAA"/>
    <w:rsid w:val="00AD5F18"/>
    <w:rsid w:val="00AE621D"/>
    <w:rsid w:val="00AF7B16"/>
    <w:rsid w:val="00B03D22"/>
    <w:rsid w:val="00B25BFF"/>
    <w:rsid w:val="00B41DDA"/>
    <w:rsid w:val="00B45F61"/>
    <w:rsid w:val="00B608BA"/>
    <w:rsid w:val="00B72744"/>
    <w:rsid w:val="00B83054"/>
    <w:rsid w:val="00BA3EB0"/>
    <w:rsid w:val="00BB731A"/>
    <w:rsid w:val="00BC280E"/>
    <w:rsid w:val="00BC45F1"/>
    <w:rsid w:val="00BD0737"/>
    <w:rsid w:val="00BD2065"/>
    <w:rsid w:val="00BD5D3D"/>
    <w:rsid w:val="00BD6073"/>
    <w:rsid w:val="00C578C8"/>
    <w:rsid w:val="00C73F5F"/>
    <w:rsid w:val="00C90139"/>
    <w:rsid w:val="00C901B8"/>
    <w:rsid w:val="00C952F7"/>
    <w:rsid w:val="00C95621"/>
    <w:rsid w:val="00CA0121"/>
    <w:rsid w:val="00CA2E2A"/>
    <w:rsid w:val="00CC0376"/>
    <w:rsid w:val="00CC1106"/>
    <w:rsid w:val="00CC12AF"/>
    <w:rsid w:val="00CC31C3"/>
    <w:rsid w:val="00CC5939"/>
    <w:rsid w:val="00CE62B2"/>
    <w:rsid w:val="00D4128D"/>
    <w:rsid w:val="00D565AE"/>
    <w:rsid w:val="00D66135"/>
    <w:rsid w:val="00D67906"/>
    <w:rsid w:val="00D703D6"/>
    <w:rsid w:val="00DE1BC0"/>
    <w:rsid w:val="00E10E5F"/>
    <w:rsid w:val="00E13250"/>
    <w:rsid w:val="00E15883"/>
    <w:rsid w:val="00E32009"/>
    <w:rsid w:val="00E565DD"/>
    <w:rsid w:val="00E5671C"/>
    <w:rsid w:val="00E6053A"/>
    <w:rsid w:val="00E61502"/>
    <w:rsid w:val="00E64152"/>
    <w:rsid w:val="00E71B71"/>
    <w:rsid w:val="00EA0410"/>
    <w:rsid w:val="00EA2BC4"/>
    <w:rsid w:val="00EA35B3"/>
    <w:rsid w:val="00ED0228"/>
    <w:rsid w:val="00ED3D0D"/>
    <w:rsid w:val="00EE3669"/>
    <w:rsid w:val="00F06B7D"/>
    <w:rsid w:val="00F13F40"/>
    <w:rsid w:val="00F1445B"/>
    <w:rsid w:val="00F160FA"/>
    <w:rsid w:val="00F16F9D"/>
    <w:rsid w:val="00F212A7"/>
    <w:rsid w:val="00F40ADB"/>
    <w:rsid w:val="00F4153A"/>
    <w:rsid w:val="00F4497D"/>
    <w:rsid w:val="00F463B4"/>
    <w:rsid w:val="00F54037"/>
    <w:rsid w:val="00F56C5A"/>
    <w:rsid w:val="00F63DF7"/>
    <w:rsid w:val="00F71245"/>
    <w:rsid w:val="00F81858"/>
    <w:rsid w:val="00FA29BA"/>
    <w:rsid w:val="00FB0A15"/>
    <w:rsid w:val="00FB4DE5"/>
    <w:rsid w:val="00FC5982"/>
    <w:rsid w:val="00FD0951"/>
    <w:rsid w:val="00FD1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83"/>
    <w:pPr>
      <w:widowControl w:val="0"/>
      <w:jc w:val="both"/>
    </w:pPr>
    <w:rPr>
      <w:rFonts w:ascii="Times New Roman" w:eastAsia="FangSong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5983"/>
    <w:rPr>
      <w:sz w:val="18"/>
      <w:szCs w:val="18"/>
    </w:rPr>
  </w:style>
  <w:style w:type="paragraph" w:styleId="a4">
    <w:name w:val="footer"/>
    <w:basedOn w:val="a"/>
    <w:link w:val="Char0"/>
    <w:uiPriority w:val="99"/>
    <w:unhideWhenUsed/>
    <w:rsid w:val="000B5983"/>
    <w:pPr>
      <w:tabs>
        <w:tab w:val="center" w:pos="4153"/>
        <w:tab w:val="right" w:pos="8306"/>
      </w:tabs>
      <w:snapToGrid w:val="0"/>
      <w:jc w:val="left"/>
    </w:pPr>
    <w:rPr>
      <w:sz w:val="18"/>
      <w:szCs w:val="18"/>
    </w:rPr>
  </w:style>
  <w:style w:type="character" w:customStyle="1" w:styleId="Char0">
    <w:name w:val="页脚 Char"/>
    <w:basedOn w:val="a0"/>
    <w:link w:val="a4"/>
    <w:uiPriority w:val="99"/>
    <w:rsid w:val="000B5983"/>
    <w:rPr>
      <w:sz w:val="18"/>
      <w:szCs w:val="18"/>
    </w:rPr>
  </w:style>
  <w:style w:type="table" w:styleId="a5">
    <w:name w:val="Table Grid"/>
    <w:basedOn w:val="a1"/>
    <w:uiPriority w:val="59"/>
    <w:rsid w:val="000F38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F3815"/>
    <w:rPr>
      <w:sz w:val="18"/>
      <w:szCs w:val="18"/>
    </w:rPr>
  </w:style>
  <w:style w:type="character" w:customStyle="1" w:styleId="Char1">
    <w:name w:val="批注框文本 Char"/>
    <w:basedOn w:val="a0"/>
    <w:link w:val="a6"/>
    <w:uiPriority w:val="99"/>
    <w:semiHidden/>
    <w:rsid w:val="000F3815"/>
    <w:rPr>
      <w:rFonts w:ascii="Times New Roman" w:eastAsia="FangSong_GB2312" w:hAnsi="Times New Roman" w:cs="Times New Roman"/>
      <w:sz w:val="18"/>
      <w:szCs w:val="18"/>
    </w:rPr>
  </w:style>
  <w:style w:type="paragraph" w:styleId="a7">
    <w:name w:val="List Paragraph"/>
    <w:basedOn w:val="a"/>
    <w:uiPriority w:val="34"/>
    <w:qFormat/>
    <w:rsid w:val="00B7274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83"/>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5983"/>
    <w:rPr>
      <w:sz w:val="18"/>
      <w:szCs w:val="18"/>
    </w:rPr>
  </w:style>
  <w:style w:type="paragraph" w:styleId="a4">
    <w:name w:val="footer"/>
    <w:basedOn w:val="a"/>
    <w:link w:val="Char0"/>
    <w:uiPriority w:val="99"/>
    <w:unhideWhenUsed/>
    <w:rsid w:val="000B5983"/>
    <w:pPr>
      <w:tabs>
        <w:tab w:val="center" w:pos="4153"/>
        <w:tab w:val="right" w:pos="8306"/>
      </w:tabs>
      <w:snapToGrid w:val="0"/>
      <w:jc w:val="left"/>
    </w:pPr>
    <w:rPr>
      <w:sz w:val="18"/>
      <w:szCs w:val="18"/>
    </w:rPr>
  </w:style>
  <w:style w:type="character" w:customStyle="1" w:styleId="Char0">
    <w:name w:val="页脚 Char"/>
    <w:basedOn w:val="a0"/>
    <w:link w:val="a4"/>
    <w:uiPriority w:val="99"/>
    <w:rsid w:val="000B5983"/>
    <w:rPr>
      <w:sz w:val="18"/>
      <w:szCs w:val="18"/>
    </w:rPr>
  </w:style>
  <w:style w:type="table" w:styleId="a5">
    <w:name w:val="Table Grid"/>
    <w:basedOn w:val="a1"/>
    <w:uiPriority w:val="59"/>
    <w:rsid w:val="000F38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0F3815"/>
    <w:rPr>
      <w:sz w:val="18"/>
      <w:szCs w:val="18"/>
    </w:rPr>
  </w:style>
  <w:style w:type="character" w:customStyle="1" w:styleId="Char1">
    <w:name w:val="批注框文本 Char"/>
    <w:basedOn w:val="a0"/>
    <w:link w:val="a6"/>
    <w:uiPriority w:val="99"/>
    <w:semiHidden/>
    <w:rsid w:val="000F3815"/>
    <w:rPr>
      <w:rFonts w:ascii="Times New Roman" w:eastAsia="仿宋_GB2312" w:hAnsi="Times New Roman" w:cs="Times New Roman"/>
      <w:sz w:val="18"/>
      <w:szCs w:val="18"/>
    </w:rPr>
  </w:style>
  <w:style w:type="paragraph" w:styleId="a7">
    <w:name w:val="List Paragraph"/>
    <w:basedOn w:val="a"/>
    <w:uiPriority w:val="34"/>
    <w:qFormat/>
    <w:rsid w:val="00B7274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F:\&#25512;&#24191;&#31449;\&#25169;&#33609;&#20928;\&#26465;&#20214;&#25720;&#32034;\&#25169;&#33609;&#20928;&#26465;&#20214;&#25720;&#3203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4436111111111141"/>
          <c:y val="7.4074074074074084E-2"/>
          <c:w val="0.83063888888889381"/>
          <c:h val="0.79643518518518519"/>
        </c:manualLayout>
      </c:layout>
      <c:barChart>
        <c:barDir val="col"/>
        <c:grouping val="clustered"/>
        <c:ser>
          <c:idx val="0"/>
          <c:order val="0"/>
          <c:tx>
            <c:strRef>
              <c:f>扑草净产品!$C$29</c:f>
              <c:strCache>
                <c:ptCount val="1"/>
                <c:pt idx="0">
                  <c:v>扑草净峰面积</c:v>
                </c:pt>
              </c:strCache>
            </c:strRef>
          </c:tx>
          <c:spPr>
            <a:solidFill>
              <a:schemeClr val="bg1">
                <a:lumMod val="50000"/>
              </a:schemeClr>
            </a:solidFill>
          </c:spPr>
          <c:cat>
            <c:strRef>
              <c:f>扑草净产品!$B$30:$B$31</c:f>
              <c:strCache>
                <c:ptCount val="2"/>
                <c:pt idx="0">
                  <c:v>0.1%甲酸流动相</c:v>
                </c:pt>
                <c:pt idx="1">
                  <c:v>无甲酸流动相</c:v>
                </c:pt>
              </c:strCache>
            </c:strRef>
          </c:cat>
          <c:val>
            <c:numRef>
              <c:f>扑草净产品!$C$30:$C$31</c:f>
              <c:numCache>
                <c:formatCode>General</c:formatCode>
                <c:ptCount val="2"/>
                <c:pt idx="0">
                  <c:v>114413</c:v>
                </c:pt>
                <c:pt idx="1">
                  <c:v>307610</c:v>
                </c:pt>
              </c:numCache>
            </c:numRef>
          </c:val>
        </c:ser>
        <c:axId val="124286848"/>
        <c:axId val="126446592"/>
      </c:barChart>
      <c:catAx>
        <c:axId val="124286848"/>
        <c:scaling>
          <c:orientation val="minMax"/>
        </c:scaling>
        <c:axPos val="b"/>
        <c:tickLblPos val="nextTo"/>
        <c:txPr>
          <a:bodyPr/>
          <a:lstStyle/>
          <a:p>
            <a:pPr>
              <a:defRPr baseline="0">
                <a:latin typeface="Times New Roman" pitchFamily="18" charset="0"/>
              </a:defRPr>
            </a:pPr>
            <a:endParaRPr lang="zh-CN"/>
          </a:p>
        </c:txPr>
        <c:crossAx val="126446592"/>
        <c:crosses val="autoZero"/>
        <c:auto val="1"/>
        <c:lblAlgn val="ctr"/>
        <c:lblOffset val="100"/>
      </c:catAx>
      <c:valAx>
        <c:axId val="126446592"/>
        <c:scaling>
          <c:orientation val="minMax"/>
        </c:scaling>
        <c:axPos val="l"/>
        <c:majorGridlines/>
        <c:numFmt formatCode="General" sourceLinked="1"/>
        <c:tickLblPos val="nextTo"/>
        <c:txPr>
          <a:bodyPr/>
          <a:lstStyle/>
          <a:p>
            <a:pPr>
              <a:defRPr baseline="0">
                <a:latin typeface="Times New Roman" pitchFamily="18" charset="0"/>
              </a:defRPr>
            </a:pPr>
            <a:endParaRPr lang="zh-CN"/>
          </a:p>
        </c:txPr>
        <c:crossAx val="124286848"/>
        <c:crosses val="autoZero"/>
        <c:crossBetween val="between"/>
      </c:valAx>
    </c:plotArea>
    <c:plotVisOnly val="1"/>
    <c:dispBlanksAs val="gap"/>
  </c:chart>
  <c:spPr>
    <a:noFill/>
    <a:ln>
      <a:noFill/>
    </a:ln>
    <a:effectLst>
      <a:outerShdw blurRad="50800" dist="50800" dir="5400000" algn="ctr" rotWithShape="0">
        <a:schemeClr val="bg1">
          <a:lumMod val="50000"/>
        </a:schemeClr>
      </a:outerShdw>
    </a:effectLst>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A97B-5088-4EDF-A5EA-8BB531D4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1199</Words>
  <Characters>6835</Characters>
  <Application>Microsoft Office Word</Application>
  <DocSecurity>0</DocSecurity>
  <Lines>56</Lines>
  <Paragraphs>16</Paragraphs>
  <ScaleCrop>false</ScaleCrop>
  <Company>Microsoft</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7</cp:revision>
  <dcterms:created xsi:type="dcterms:W3CDTF">2019-10-25T06:08:00Z</dcterms:created>
  <dcterms:modified xsi:type="dcterms:W3CDTF">2019-10-25T06:33:00Z</dcterms:modified>
</cp:coreProperties>
</file>