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8"/>
      </w:pPr>
      <w:r>
        <w:rPr>
          <w:rFonts w:ascii="Times New Roman"/>
        </w:rPr>
        <w:t>ICS</w:t>
      </w:r>
      <w:r>
        <w:rPr>
          <w:rFonts w:hint="eastAsia" w:ascii="MS Mincho" w:hAnsi="MS Mincho" w:eastAsia="MS Mincho" w:cs="MS Mincho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67.080.20</w:t>
      </w:r>
      <w:r>
        <w:fldChar w:fldCharType="end"/>
      </w:r>
      <w:bookmarkEnd w:id="0"/>
    </w:p>
    <w:p>
      <w:pPr>
        <w:pStyle w:val="118"/>
      </w:pPr>
      <w:bookmarkStart w:id="1" w:name="WXFLH"/>
      <w:r>
        <w:fldChar w:fldCharType="begin">
          <w:ffData>
            <w:name w:val="WXFLH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B 31</w:t>
      </w:r>
      <w:r>
        <w:fldChar w:fldCharType="end"/>
      </w:r>
      <w:bookmarkEnd w:id="1"/>
    </w:p>
    <w:tbl>
      <w:tblPr>
        <w:tblStyle w:val="34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8"/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9525" b="11430"/>
                      <wp:wrapNone/>
                      <wp:docPr id="4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8240;mso-width-relative:page;mso-height-relative:page;" fillcolor="#FFFFFF" filled="t" stroked="f" coordsize="21600,216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Iri/s1QAAAAcBAAAPAAAAAAAAAAEA&#10;IAAAACIAAABkcnMvZG93bnJldi54bWxQSwECFAAUAAAACACHTuJAkbCug6ABAAAwAwAADgAAAAAA&#10;AAABACAAAAAkAQAAZHJzL2Uyb0RvYy54bWxQSwUGAAAAAAYABgBZAQAANg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Start w:id="2" w:name="BAH"/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"/>
          </w:p>
        </w:tc>
      </w:tr>
    </w:tbl>
    <w:p>
      <w:pPr>
        <w:pStyle w:val="104"/>
      </w:pPr>
      <w:r>
        <w:t>DB</w:t>
      </w:r>
      <w:bookmarkStart w:id="3" w:name="c3"/>
      <w:r>
        <w:fldChar w:fldCharType="begin">
          <w:ffData>
            <w:name w:val="c3"/>
            <w:enabled/>
            <w:calcOnExit w:val="0"/>
            <w:entryMacro w:val="ShowHelp16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36</w:t>
      </w:r>
      <w:r>
        <w:fldChar w:fldCharType="end"/>
      </w:r>
      <w:bookmarkEnd w:id="3"/>
    </w:p>
    <w:p>
      <w:pPr>
        <w:pStyle w:val="125"/>
      </w:pPr>
      <w:bookmarkStart w:id="4" w:name="c4"/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江西省</w:t>
      </w:r>
      <w:r>
        <w:fldChar w:fldCharType="end"/>
      </w:r>
      <w:bookmarkEnd w:id="4"/>
      <w:r>
        <w:rPr>
          <w:rFonts w:hint="eastAsia"/>
        </w:rPr>
        <w:t>地方标准</w:t>
      </w:r>
    </w:p>
    <w:p>
      <w:pPr>
        <w:pStyle w:val="96"/>
        <w:rPr>
          <w:rFonts w:hAnsi="黑体"/>
        </w:rPr>
      </w:pPr>
      <w:r>
        <w:rPr>
          <w:rFonts w:ascii="Times New Roman"/>
        </w:rPr>
        <w:t xml:space="preserve">DB </w:t>
      </w:r>
      <w:bookmarkStart w:id="5" w:name="StdNo0"/>
      <w:r>
        <w:rPr>
          <w:rFonts w:hAnsi="黑体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36</w:t>
      </w:r>
      <w:r>
        <w:rPr>
          <w:rFonts w:hAnsi="黑体"/>
        </w:rPr>
        <w:fldChar w:fldCharType="end"/>
      </w:r>
      <w:bookmarkEnd w:id="5"/>
      <w:r>
        <w:rPr>
          <w:rFonts w:hAnsi="黑体"/>
        </w:rPr>
        <w:t xml:space="preserve">/ </w:t>
      </w:r>
      <w:bookmarkStart w:id="6" w:name="StdNo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T819</w:t>
      </w:r>
      <w:r>
        <w:rPr>
          <w:rFonts w:hAnsi="黑体"/>
        </w:rPr>
        <w:fldChar w:fldCharType="end"/>
      </w:r>
      <w:bookmarkEnd w:id="6"/>
      <w:r>
        <w:rPr>
          <w:rFonts w:hAnsi="黑体"/>
        </w:rPr>
        <w:t>—</w:t>
      </w:r>
      <w:bookmarkStart w:id="7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XXXX</w:t>
      </w:r>
      <w:r>
        <w:rPr>
          <w:rFonts w:hAnsi="黑体"/>
        </w:rPr>
        <w:fldChar w:fldCharType="end"/>
      </w:r>
      <w:bookmarkEnd w:id="7"/>
    </w:p>
    <w:tbl>
      <w:tblPr>
        <w:tblStyle w:val="34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0"/>
            </w:pPr>
            <w:bookmarkStart w:id="8" w:name="DT"/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8"/>
          </w:p>
        </w:tc>
      </w:tr>
    </w:tbl>
    <w:p>
      <w:pPr>
        <w:pStyle w:val="96"/>
        <w:rPr>
          <w:rFonts w:hAnsi="黑体"/>
        </w:rPr>
      </w:pPr>
    </w:p>
    <w:p>
      <w:pPr>
        <w:pStyle w:val="96"/>
        <w:rPr>
          <w:rFonts w:hAnsi="黑体"/>
        </w:rPr>
      </w:pPr>
    </w:p>
    <w:p>
      <w:pPr>
        <w:pStyle w:val="45"/>
      </w:pPr>
      <w:bookmarkStart w:id="9" w:name="StdName"/>
      <w:r>
        <w:fldChar w:fldCharType="begin">
          <w:ffData>
            <w:name w:val="StdName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茶树菇</w:t>
      </w:r>
      <w:r>
        <w:fldChar w:fldCharType="end"/>
      </w:r>
      <w:bookmarkEnd w:id="9"/>
    </w:p>
    <w:p>
      <w:pPr>
        <w:pStyle w:val="44"/>
      </w:pPr>
      <w:bookmarkStart w:id="10" w:name="StdEnglishName"/>
      <w:r>
        <w:fldChar w:fldCharType="begin">
          <w:ffData>
            <w:name w:val="StdEnglishName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Agrocybe Aegerita</w:t>
      </w:r>
      <w:r>
        <w:fldChar w:fldCharType="end"/>
      </w:r>
      <w:bookmarkEnd w:id="10"/>
    </w:p>
    <w:p>
      <w:pPr>
        <w:pStyle w:val="70"/>
      </w:pPr>
      <w:bookmarkStart w:id="11" w:name="YZBS"/>
      <w:r>
        <w:fldChar w:fldCharType="begin">
          <w:ffData>
            <w:name w:val="YZBS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点击此处添加与国际标准一致性程度的标识</w:t>
      </w:r>
      <w:r>
        <w:fldChar w:fldCharType="end"/>
      </w:r>
      <w:bookmarkEnd w:id="11"/>
    </w:p>
    <w:tbl>
      <w:tblPr>
        <w:tblStyle w:val="34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2"/>
            </w:pPr>
            <w:r>
              <mc:AlternateContent>
                <mc:Choice Requires="wps">
                  <w:drawing>
                    <wp:anchor distT="0" distB="0" distL="114300" distR="114300" simplePos="0" relativeHeight="251657216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4281805</wp:posOffset>
                      </wp:positionV>
                      <wp:extent cx="1905000" cy="254000"/>
                      <wp:effectExtent l="0" t="0" r="0" b="12700"/>
                      <wp:wrapNone/>
                      <wp:docPr id="3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337.15pt;height:20pt;width:150pt;z-index:-251659264;mso-width-relative:page;mso-height-relative:page;" fillcolor="#FFFFFF" filled="t" stroked="f" coordsize="21600,21600" o:gfxdata="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N/X9+DXAAAACwEAAA8AAAAAAAAAAQAgAAAA&#10;IgAAAGRycy9kb3ducmV2LnhtbFBLAQIUABQAAAAIAIdO4kCgP0I/mgEAADADAAAOAAAAAAAAAAEA&#10;IAAAACYBAABkcnMvZTJvRG9jLnhtbFBLBQYAAAAABgAGAFkBAAAyBQAAAAA=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bookmarkStart w:id="12" w:name="LB"/>
            <w:r>
              <w:fldChar w:fldCharType="begin">
                <w:ffData>
                  <w:name w:val="LB"/>
                  <w:enabled/>
                  <w:calcOnExit w:val="0"/>
                  <w:ddList/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2"/>
            </w:pPr>
            <w:bookmarkStart w:id="13" w:name="WCRQ"/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3"/>
          </w:p>
        </w:tc>
      </w:tr>
    </w:tbl>
    <w:p>
      <w:pPr>
        <w:pStyle w:val="51"/>
      </w:pPr>
      <w:bookmarkStart w:id="14" w:name="FY"/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4"/>
      <w:r>
        <w:rPr>
          <w:rFonts w:ascii="黑体"/>
        </w:rPr>
        <w:t>-</w:t>
      </w:r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rPr>
          <w:rFonts w:ascii="黑体"/>
        </w:rPr>
        <w:t>-</w:t>
      </w:r>
      <w:bookmarkStart w:id="15" w:name="FD"/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5"/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5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0.05pt;margin-top:728.5pt;height:0pt;width:481.9pt;mso-position-vertical-relative:page;z-index:251659264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JYdrPNYAAAALAQAADwAAAAAAAAABACAAAAAiAAAA&#10;ZHJzL2Rvd25yZXYueG1sUEsBAhQAFAAAAAgAh07iQMKPts7QAQAAnAMAAA4AAAAAAAAAAQAgAAAA&#10;JQ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33"/>
      </w:pPr>
      <w:bookmarkStart w:id="16" w:name="SY"/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6"/>
      <w:r>
        <w:rPr>
          <w:rFonts w:ascii="黑体"/>
        </w:rPr>
        <w:t>-</w:t>
      </w:r>
      <w:bookmarkStart w:id="17" w:name="SM"/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7"/>
      <w:r>
        <w:rPr>
          <w:rFonts w:ascii="黑体"/>
        </w:rPr>
        <w:t>-</w:t>
      </w:r>
      <w:bookmarkStart w:id="18" w:name="SD"/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8"/>
      <w:r>
        <w:rPr>
          <w:rFonts w:hint="eastAsia"/>
        </w:rPr>
        <w:t>实施</w:t>
      </w:r>
    </w:p>
    <w:p>
      <w:pPr>
        <w:pStyle w:val="126"/>
      </w:pPr>
      <w:bookmarkStart w:id="19" w:name="fm"/>
      <w:r>
        <w:rPr>
          <w:w w:val="10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-3942715</wp:posOffset>
                </wp:positionV>
                <wp:extent cx="1270000" cy="304800"/>
                <wp:effectExtent l="0" t="0" r="6350" b="0"/>
                <wp:wrapNone/>
                <wp:docPr id="2" name="LB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LB" o:spid="_x0000_s1026" o:spt="1" style="position:absolute;left:0pt;margin-left:142.55pt;margin-top:-310.45pt;height:24pt;width:100pt;z-index:-251660288;mso-width-relative:page;mso-height-relative:page;" fillcolor="#FFFFFF" filled="t" stroked="f" coordsize="21600,21600" o:gfxdata="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+bXu1tkAAAANAQAADwAAAAAAAAABACAA&#10;AAAiAAAAZHJzL2Rvd25yZXYueG1sUEsBAhQAFAAAAAgAh07iQJtULU+aAQAAMAMAAA4AAAAAAAAA&#10;AQAgAAAAKAEAAGRycy9lMm9Eb2MueG1sUEsFBgAAAAAGAAYAWQEAADQ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w w:val="10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-7435215</wp:posOffset>
                </wp:positionV>
                <wp:extent cx="1143000" cy="228600"/>
                <wp:effectExtent l="0" t="0" r="0" b="0"/>
                <wp:wrapNone/>
                <wp:docPr id="1" name="D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DT" o:spid="_x0000_s1026" o:spt="1" style="position:absolute;left:0pt;margin-left:347.55pt;margin-top:-585.45pt;height:18pt;width:90pt;z-index:-251661312;mso-width-relative:page;mso-height-relative:page;" fillcolor="#FFFFFF" filled="t" stroked="f" coordsize="21600,21600" o:gfxdata="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N/JihHaAAAADwEAAA8AAAAAAAAAAQAg&#10;AAAAIgAAAGRycy9kb3ducmV2LnhtbFBLAQIUABQAAAAIAIdO4kCTCtBcmgEAADADAAAOAAAAAAAA&#10;AAEAIAAAACkBAABkcnMvZTJvRG9jLnhtbFBLBQYAAAAABgAGAFkBAAA1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w w:val="1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-7021195</wp:posOffset>
                </wp:positionV>
                <wp:extent cx="6120130" cy="0"/>
                <wp:effectExtent l="0" t="0" r="0" b="0"/>
                <wp:wrapNone/>
                <wp:docPr id="6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36.6pt;margin-top:-552.85pt;height:0pt;width:481.9pt;z-index:251660288;mso-width-relative:page;mso-height-relative:page;" filled="f" stroked="t" coordsize="21600,21600" o:gfxdata="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slkaDYAAAADwEAAA8AAAAAAAAAAQAgAAAA&#10;IgAAAGRycy9kb3ducmV2LnhtbFBLAQIUABQAAAAIAIdO4kB/+3RC0gEAAJwDAAAOAAAAAAAAAAEA&#10;IAAAACc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江西省质量技术监督局</w:t>
      </w:r>
      <w:r>
        <w:fldChar w:fldCharType="end"/>
      </w:r>
      <w:bookmarkEnd w:id="19"/>
      <w:r>
        <w:rPr>
          <w:rFonts w:hint="eastAsia" w:hAnsi="黑体"/>
        </w:rPr>
        <w:t>   </w:t>
      </w:r>
      <w:r>
        <w:rPr>
          <w:rStyle w:val="134"/>
          <w:rFonts w:hint="eastAsia"/>
        </w:rPr>
        <w:t>发布</w:t>
      </w:r>
    </w:p>
    <w:p>
      <w:pPr>
        <w:pStyle w:val="20"/>
        <w:sectPr>
          <w:pgSz w:w="11906" w:h="16838"/>
          <w:pgMar w:top="567" w:right="850" w:bottom="1134" w:left="1418" w:header="0" w:footer="0" w:gutter="0"/>
          <w:pgNumType w:start="1"/>
          <w:cols w:space="720" w:num="1"/>
          <w:docGrid w:type="lines" w:linePitch="312" w:charSpace="0"/>
        </w:sectPr>
      </w:pPr>
    </w:p>
    <w:p>
      <w:pPr>
        <w:pStyle w:val="86"/>
      </w:pPr>
      <w:bookmarkStart w:id="20" w:name="_Toc486532775"/>
      <w:r>
        <w:rPr>
          <w:rFonts w:hint="eastAsia"/>
        </w:rPr>
        <w:t>目</w:t>
      </w:r>
      <w:bookmarkStart w:id="21" w:name="BKML"/>
      <w:r>
        <w:rPr>
          <w:rFonts w:hint="eastAsia" w:hAnsi="黑体"/>
        </w:rPr>
        <w:t>  </w:t>
      </w:r>
      <w:r>
        <w:rPr>
          <w:rFonts w:hint="eastAsia"/>
        </w:rPr>
        <w:t>次</w:t>
      </w:r>
      <w:bookmarkEnd w:id="21"/>
    </w:p>
    <w:p>
      <w:pPr>
        <w:pStyle w:val="16"/>
        <w:spacing w:before="78" w:after="78"/>
        <w:rPr>
          <w:rFonts w:ascii="Times New Roman"/>
          <w:szCs w:val="24"/>
        </w:rPr>
      </w:pPr>
      <w:r>
        <w:fldChar w:fldCharType="begin" w:fldLock="1"/>
      </w:r>
      <w:r>
        <w:instrText xml:space="preserve"> TOC \h \z \t"</w:instrText>
      </w:r>
      <w:r>
        <w:rPr>
          <w:rFonts w:hint="eastAsia"/>
        </w:rPr>
        <w:instrText xml:space="preserve">前言、引言标题</w:instrText>
      </w:r>
      <w:r>
        <w:instrText xml:space="preserve">,1,</w:instrText>
      </w:r>
      <w:r>
        <w:rPr>
          <w:rFonts w:hint="eastAsia"/>
        </w:rPr>
        <w:instrText xml:space="preserve">参考文献、索引标题</w:instrText>
      </w:r>
      <w:r>
        <w:instrText xml:space="preserve">,1,</w:instrText>
      </w:r>
      <w:r>
        <w:rPr>
          <w:rFonts w:hint="eastAsia"/>
        </w:rPr>
        <w:instrText xml:space="preserve">章标题</w:instrText>
      </w:r>
      <w:r>
        <w:instrText xml:space="preserve">,1,</w:instrText>
      </w:r>
      <w:r>
        <w:rPr>
          <w:rFonts w:hint="eastAsia"/>
        </w:rPr>
        <w:instrText xml:space="preserve">参考文献</w:instrText>
      </w:r>
      <w:r>
        <w:instrText xml:space="preserve">,1,</w:instrText>
      </w:r>
      <w:r>
        <w:rPr>
          <w:rFonts w:hint="eastAsia"/>
        </w:rPr>
        <w:instrText xml:space="preserve">附录标识</w:instrText>
      </w:r>
      <w:r>
        <w:instrText xml:space="preserve">,1" \* MERGEFORMAT </w:instrText>
      </w:r>
      <w:r>
        <w:fldChar w:fldCharType="separate"/>
      </w:r>
      <w:r>
        <w:fldChar w:fldCharType="begin"/>
      </w:r>
      <w:r>
        <w:instrText xml:space="preserve"> HYPERLINK \l "_Toc519581777" </w:instrText>
      </w:r>
      <w:r>
        <w:fldChar w:fldCharType="separate"/>
      </w:r>
      <w:r>
        <w:rPr>
          <w:rStyle w:val="32"/>
          <w:rFonts w:hint="eastAsia"/>
        </w:rPr>
        <w:t>前言</w:t>
      </w:r>
      <w:r>
        <w:tab/>
      </w:r>
      <w:r>
        <w:fldChar w:fldCharType="begin" w:fldLock="1"/>
      </w:r>
      <w:r>
        <w:instrText xml:space="preserve"> PAGEREF _Toc519581777 \h </w:instrText>
      </w:r>
      <w:r>
        <w:fldChar w:fldCharType="separate"/>
      </w:r>
      <w:r>
        <w:t>I</w:t>
      </w:r>
      <w:r>
        <w:fldChar w:fldCharType="end"/>
      </w:r>
      <w:r>
        <w:fldChar w:fldCharType="end"/>
      </w:r>
      <w:r>
        <w:fldChar w:fldCharType="begin" w:fldLock="1"/>
      </w:r>
      <w:r>
        <w:instrText xml:space="preserve"> PAGEREF _Toc519581777 \h </w:instrText>
      </w:r>
      <w:r>
        <w:fldChar w:fldCharType="separate"/>
      </w:r>
      <w:r>
        <w:t>I</w:t>
      </w:r>
      <w:r>
        <w:fldChar w:fldCharType="end"/>
      </w:r>
    </w:p>
    <w:p>
      <w:pPr>
        <w:pStyle w:val="16"/>
        <w:spacing w:before="78" w:after="78"/>
        <w:rPr>
          <w:rFonts w:ascii="Times New Roman"/>
          <w:szCs w:val="24"/>
        </w:rPr>
      </w:pPr>
      <w:r>
        <w:fldChar w:fldCharType="begin"/>
      </w:r>
      <w:r>
        <w:instrText xml:space="preserve"> HYPERLINK \l "_Toc519581778" </w:instrText>
      </w:r>
      <w:r>
        <w:fldChar w:fldCharType="separate"/>
      </w:r>
      <w:r>
        <w:rPr>
          <w:rStyle w:val="32"/>
        </w:rPr>
        <w:t>1</w:t>
      </w:r>
      <w:r>
        <w:rPr>
          <w:rStyle w:val="32"/>
          <w:rFonts w:hint="eastAsia"/>
        </w:rPr>
        <w:t>　范围</w:t>
      </w:r>
      <w:r>
        <w:tab/>
      </w:r>
      <w:r>
        <w:fldChar w:fldCharType="begin" w:fldLock="1"/>
      </w:r>
      <w:r>
        <w:instrText xml:space="preserve"> PAGEREF _Toc519581778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spacing w:before="78" w:after="78"/>
        <w:rPr>
          <w:rFonts w:ascii="Times New Roman"/>
          <w:szCs w:val="24"/>
        </w:rPr>
      </w:pPr>
      <w:r>
        <w:fldChar w:fldCharType="begin"/>
      </w:r>
      <w:r>
        <w:instrText xml:space="preserve"> HYPERLINK \l "_Toc519581779" </w:instrText>
      </w:r>
      <w:r>
        <w:fldChar w:fldCharType="separate"/>
      </w:r>
      <w:r>
        <w:rPr>
          <w:rStyle w:val="32"/>
        </w:rPr>
        <w:t>2</w:t>
      </w:r>
      <w:r>
        <w:rPr>
          <w:rStyle w:val="32"/>
          <w:rFonts w:hint="eastAsia"/>
        </w:rPr>
        <w:t>　规范性引用文件</w:t>
      </w:r>
      <w:r>
        <w:tab/>
      </w:r>
      <w:r>
        <w:fldChar w:fldCharType="begin" w:fldLock="1"/>
      </w:r>
      <w:r>
        <w:instrText xml:space="preserve"> PAGEREF _Toc519581779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spacing w:before="78" w:after="78"/>
        <w:rPr>
          <w:rFonts w:ascii="Times New Roman"/>
          <w:szCs w:val="24"/>
        </w:rPr>
      </w:pPr>
      <w:r>
        <w:fldChar w:fldCharType="begin"/>
      </w:r>
      <w:r>
        <w:instrText xml:space="preserve"> HYPERLINK \l "_Toc519581780" </w:instrText>
      </w:r>
      <w:r>
        <w:fldChar w:fldCharType="separate"/>
      </w:r>
      <w:r>
        <w:rPr>
          <w:rStyle w:val="32"/>
        </w:rPr>
        <w:t>3</w:t>
      </w:r>
      <w:r>
        <w:rPr>
          <w:rStyle w:val="32"/>
          <w:rFonts w:hint="eastAsia"/>
        </w:rPr>
        <w:t>　术语和定义</w:t>
      </w:r>
      <w:r>
        <w:tab/>
      </w:r>
      <w:r>
        <w:fldChar w:fldCharType="begin" w:fldLock="1"/>
      </w:r>
      <w:r>
        <w:instrText xml:space="preserve"> PAGEREF _Toc519581780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spacing w:before="78" w:after="78"/>
        <w:rPr>
          <w:rFonts w:ascii="Times New Roman"/>
          <w:szCs w:val="24"/>
        </w:rPr>
      </w:pPr>
      <w:r>
        <w:fldChar w:fldCharType="begin"/>
      </w:r>
      <w:r>
        <w:instrText xml:space="preserve"> HYPERLINK \l "_Toc519581781" </w:instrText>
      </w:r>
      <w:r>
        <w:fldChar w:fldCharType="separate"/>
      </w:r>
      <w:r>
        <w:rPr>
          <w:rStyle w:val="32"/>
        </w:rPr>
        <w:t>4</w:t>
      </w:r>
      <w:r>
        <w:rPr>
          <w:rStyle w:val="32"/>
          <w:rFonts w:hint="eastAsia"/>
        </w:rPr>
        <w:t>　产品分类</w:t>
      </w:r>
      <w:r>
        <w:tab/>
      </w:r>
      <w:r>
        <w:fldChar w:fldCharType="begin" w:fldLock="1"/>
      </w:r>
      <w:r>
        <w:instrText xml:space="preserve"> PAGEREF _Toc519581781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spacing w:before="78" w:after="78"/>
        <w:rPr>
          <w:rFonts w:ascii="Times New Roman"/>
          <w:szCs w:val="24"/>
        </w:rPr>
      </w:pPr>
      <w:r>
        <w:fldChar w:fldCharType="begin"/>
      </w:r>
      <w:r>
        <w:instrText xml:space="preserve"> HYPERLINK \l "_Toc519581782" </w:instrText>
      </w:r>
      <w:r>
        <w:fldChar w:fldCharType="separate"/>
      </w:r>
      <w:r>
        <w:rPr>
          <w:rStyle w:val="32"/>
        </w:rPr>
        <w:t>5</w:t>
      </w:r>
      <w:r>
        <w:rPr>
          <w:rStyle w:val="32"/>
          <w:rFonts w:hint="eastAsia"/>
        </w:rPr>
        <w:t>　产品分级</w:t>
      </w:r>
      <w:r>
        <w:tab/>
      </w:r>
      <w:r>
        <w:fldChar w:fldCharType="begin" w:fldLock="1"/>
      </w:r>
      <w:r>
        <w:instrText xml:space="preserve"> PAGEREF _Toc519581782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spacing w:before="78" w:after="78"/>
        <w:rPr>
          <w:rFonts w:ascii="Times New Roman"/>
          <w:szCs w:val="24"/>
        </w:rPr>
      </w:pPr>
      <w:r>
        <w:fldChar w:fldCharType="begin"/>
      </w:r>
      <w:r>
        <w:instrText xml:space="preserve"> HYPERLINK \l "_Toc519581783" </w:instrText>
      </w:r>
      <w:r>
        <w:fldChar w:fldCharType="separate"/>
      </w:r>
      <w:r>
        <w:rPr>
          <w:rStyle w:val="32"/>
        </w:rPr>
        <w:t>6</w:t>
      </w:r>
      <w:r>
        <w:rPr>
          <w:rStyle w:val="32"/>
          <w:rFonts w:hint="eastAsia"/>
        </w:rPr>
        <w:t>　质量要求</w:t>
      </w:r>
      <w:r>
        <w:tab/>
      </w:r>
      <w:r>
        <w:fldChar w:fldCharType="begin" w:fldLock="1"/>
      </w:r>
      <w:r>
        <w:instrText xml:space="preserve"> PAGEREF _Toc519581783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spacing w:before="78" w:after="78"/>
        <w:rPr>
          <w:rFonts w:ascii="Times New Roman"/>
          <w:szCs w:val="24"/>
        </w:rPr>
      </w:pPr>
      <w:r>
        <w:fldChar w:fldCharType="begin"/>
      </w:r>
      <w:r>
        <w:instrText xml:space="preserve"> HYPERLINK \l "_Toc519581784" </w:instrText>
      </w:r>
      <w:r>
        <w:fldChar w:fldCharType="separate"/>
      </w:r>
      <w:r>
        <w:rPr>
          <w:rStyle w:val="32"/>
        </w:rPr>
        <w:t>7</w:t>
      </w:r>
      <w:r>
        <w:rPr>
          <w:rStyle w:val="32"/>
          <w:rFonts w:hint="eastAsia"/>
        </w:rPr>
        <w:t>　检验规则</w:t>
      </w:r>
      <w:r>
        <w:tab/>
      </w:r>
      <w:r>
        <w:fldChar w:fldCharType="begin" w:fldLock="1"/>
      </w:r>
      <w:r>
        <w:instrText xml:space="preserve"> PAGEREF _Toc519581784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spacing w:before="78" w:after="78"/>
        <w:rPr>
          <w:rFonts w:ascii="Times New Roman"/>
          <w:szCs w:val="24"/>
        </w:rPr>
      </w:pPr>
      <w:r>
        <w:fldChar w:fldCharType="begin"/>
      </w:r>
      <w:r>
        <w:instrText xml:space="preserve"> HYPERLINK \l "_Toc519581785" </w:instrText>
      </w:r>
      <w:r>
        <w:fldChar w:fldCharType="separate"/>
      </w:r>
      <w:r>
        <w:rPr>
          <w:rStyle w:val="32"/>
        </w:rPr>
        <w:t>8</w:t>
      </w:r>
      <w:r>
        <w:rPr>
          <w:rStyle w:val="32"/>
          <w:rFonts w:hint="eastAsia"/>
        </w:rPr>
        <w:t>　标识、包装、运输、贮存、保质期</w:t>
      </w:r>
      <w:r>
        <w:tab/>
      </w:r>
      <w:r>
        <w:fldChar w:fldCharType="begin" w:fldLock="1"/>
      </w:r>
      <w:r>
        <w:instrText xml:space="preserve"> PAGEREF _Toc519581785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spacing w:before="78" w:after="78"/>
        <w:rPr>
          <w:rFonts w:ascii="Times New Roman"/>
          <w:szCs w:val="24"/>
        </w:rPr>
      </w:pPr>
      <w:r>
        <w:fldChar w:fldCharType="begin"/>
      </w:r>
      <w:r>
        <w:instrText xml:space="preserve"> HYPERLINK \l "_Toc519581786" </w:instrText>
      </w:r>
      <w:r>
        <w:fldChar w:fldCharType="separate"/>
      </w:r>
      <w:r>
        <w:rPr>
          <w:rStyle w:val="32"/>
          <w:rFonts w:hint="eastAsia"/>
        </w:rPr>
        <w:t>附录</w:t>
      </w:r>
      <w:r>
        <w:rPr>
          <w:rStyle w:val="32"/>
        </w:rPr>
        <w:t>A</w:t>
      </w:r>
      <w:r>
        <w:rPr>
          <w:rStyle w:val="32"/>
          <w:rFonts w:hint="eastAsia"/>
        </w:rPr>
        <w:t>　（资料性附录）　虫蛀菇率、碎菇体率和杂质含量的测定方法</w:t>
      </w:r>
      <w:r>
        <w:tab/>
      </w:r>
      <w:r>
        <w:fldChar w:fldCharType="begin" w:fldLock="1"/>
      </w:r>
      <w:r>
        <w:instrText xml:space="preserve"> PAGEREF _Toc519581786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0"/>
      </w:pPr>
      <w:r>
        <w:fldChar w:fldCharType="end"/>
      </w:r>
    </w:p>
    <w:p>
      <w:pPr>
        <w:pStyle w:val="111"/>
      </w:pPr>
      <w:bookmarkStart w:id="22" w:name="_Toc519581777"/>
      <w:r>
        <w:rPr>
          <w:rFonts w:hint="eastAsia"/>
        </w:rPr>
        <w:t>前</w:t>
      </w:r>
      <w:bookmarkStart w:id="23" w:name="BKQY"/>
      <w:r>
        <w:rPr>
          <w:rFonts w:hint="eastAsia" w:hAnsi="黑体"/>
        </w:rPr>
        <w:t>  </w:t>
      </w:r>
      <w:r>
        <w:rPr>
          <w:rFonts w:hint="eastAsia"/>
        </w:rPr>
        <w:t>言</w:t>
      </w:r>
      <w:bookmarkEnd w:id="20"/>
      <w:bookmarkEnd w:id="22"/>
      <w:bookmarkEnd w:id="23"/>
    </w:p>
    <w:p>
      <w:pPr>
        <w:pStyle w:val="20"/>
        <w:rPr>
          <w:szCs w:val="22"/>
        </w:rPr>
      </w:pPr>
      <w:r>
        <w:rPr>
          <w:rFonts w:hint="eastAsia"/>
          <w:szCs w:val="22"/>
        </w:rPr>
        <w:t>本标准按照</w:t>
      </w:r>
      <w:r>
        <w:rPr>
          <w:szCs w:val="22"/>
        </w:rPr>
        <w:t>GB/T 1.1-2009</w:t>
      </w:r>
      <w:r>
        <w:rPr>
          <w:rFonts w:hint="eastAsia"/>
          <w:szCs w:val="22"/>
        </w:rPr>
        <w:t>给出的规则修订。</w:t>
      </w:r>
    </w:p>
    <w:p>
      <w:pPr>
        <w:pStyle w:val="20"/>
        <w:rPr>
          <w:szCs w:val="22"/>
        </w:rPr>
      </w:pPr>
      <w:r>
        <w:rPr>
          <w:rFonts w:hint="eastAsia"/>
          <w:szCs w:val="22"/>
        </w:rPr>
        <w:t>本标准是在</w:t>
      </w:r>
      <w:r>
        <w:rPr>
          <w:szCs w:val="22"/>
        </w:rPr>
        <w:t>DB 36/T 819-2015</w:t>
      </w:r>
      <w:r>
        <w:rPr>
          <w:rFonts w:hint="eastAsia"/>
          <w:szCs w:val="22"/>
        </w:rPr>
        <w:t>基础上进行修订。对原标准的引用文件、检测方法、安全指标、检验规则和保质期等章节内容进行了修改。</w:t>
      </w:r>
    </w:p>
    <w:p>
      <w:pPr>
        <w:pStyle w:val="20"/>
      </w:pPr>
      <w:r>
        <w:rPr>
          <w:rFonts w:hint="eastAsia"/>
        </w:rPr>
        <w:t>本标准修订由江西省农业厅提出并归口。</w:t>
      </w:r>
    </w:p>
    <w:p>
      <w:pPr>
        <w:pStyle w:val="20"/>
      </w:pPr>
      <w:r>
        <w:rPr>
          <w:rFonts w:hint="eastAsia"/>
        </w:rPr>
        <w:t>本标准主要修订单位：江西省农业科学院农业应用微生物研究所。</w:t>
      </w:r>
    </w:p>
    <w:p>
      <w:pPr>
        <w:pStyle w:val="20"/>
      </w:pPr>
      <w:r>
        <w:rPr>
          <w:rFonts w:hint="eastAsia"/>
        </w:rPr>
        <w:t>本标准主要修订人：魏云辉、王洪秀、安颖、胡佳、李菁、戴朝阳、万鹏。</w:t>
      </w:r>
    </w:p>
    <w:p>
      <w:pPr>
        <w:pStyle w:val="20"/>
        <w:sectPr>
          <w:headerReference r:id="rId3" w:type="default"/>
          <w:footerReference r:id="rId4" w:type="default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</w:p>
    <w:p>
      <w:pPr>
        <w:pStyle w:val="86"/>
      </w:pPr>
      <w:r>
        <w:rPr>
          <w:rFonts w:hint="eastAsia"/>
        </w:rPr>
        <w:t>茶</w:t>
      </w:r>
      <w:bookmarkStart w:id="24" w:name="StandardName"/>
      <w:r>
        <w:rPr>
          <w:rFonts w:hint="eastAsia"/>
        </w:rPr>
        <w:t>树菇</w:t>
      </w:r>
      <w:bookmarkEnd w:id="24"/>
    </w:p>
    <w:p>
      <w:pPr>
        <w:pStyle w:val="66"/>
        <w:spacing w:before="312" w:after="312"/>
      </w:pPr>
      <w:bookmarkStart w:id="25" w:name="_Toc486532776"/>
      <w:bookmarkStart w:id="26" w:name="_Toc519581778"/>
      <w:bookmarkStart w:id="27" w:name="_Toc486531113"/>
      <w:r>
        <w:rPr>
          <w:rFonts w:hint="eastAsia"/>
        </w:rPr>
        <w:t>范围</w:t>
      </w:r>
      <w:bookmarkEnd w:id="25"/>
      <w:bookmarkEnd w:id="26"/>
      <w:bookmarkEnd w:id="27"/>
    </w:p>
    <w:p>
      <w:pPr>
        <w:pStyle w:val="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本标准规定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了茶树菇的术语和定义、产品分类、产品分级、质量要求、检验方法、检验规则、标识、包装、运输、贮存、保质期。</w:t>
      </w:r>
    </w:p>
    <w:p>
      <w:pPr>
        <w:pStyle w:val="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本标准适用于茶树菇的鲜茶树菇（鲜品）和干茶树菇（干品）。</w:t>
      </w:r>
    </w:p>
    <w:p>
      <w:pPr>
        <w:pStyle w:val="66"/>
        <w:spacing w:before="312" w:after="312"/>
      </w:pPr>
      <w:bookmarkStart w:id="28" w:name="_Toc486532777"/>
      <w:bookmarkStart w:id="29" w:name="_Toc486531114"/>
      <w:bookmarkStart w:id="30" w:name="_Toc519581779"/>
      <w:r>
        <w:rPr>
          <w:rFonts w:hint="eastAsia"/>
        </w:rPr>
        <w:t>规范性引用文件</w:t>
      </w:r>
      <w:bookmarkEnd w:id="28"/>
      <w:bookmarkEnd w:id="29"/>
      <w:bookmarkEnd w:id="30"/>
    </w:p>
    <w:p>
      <w:pPr>
        <w:pStyle w:val="20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下列文件对于本文件的应用是必不可少的。凡是注日期的引用文件，仅所注日期的版本适用于本文件。凡是不注日期的引用文件，其最新版本（包括所有的修改单）适用于本标准。</w:t>
      </w:r>
    </w:p>
    <w:p>
      <w:pPr>
        <w:pStyle w:val="20"/>
      </w:pPr>
      <w:r>
        <w:t xml:space="preserve">GB 2760 </w:t>
      </w:r>
      <w:r>
        <w:rPr>
          <w:rFonts w:hint="eastAsia"/>
        </w:rPr>
        <w:t>食品安全国家标准食品添加剂使用标准</w:t>
      </w:r>
    </w:p>
    <w:p>
      <w:pPr>
        <w:pStyle w:val="20"/>
      </w:pPr>
      <w:r>
        <w:t xml:space="preserve">GB 2762 </w:t>
      </w:r>
      <w:r>
        <w:rPr>
          <w:rFonts w:hint="eastAsia"/>
        </w:rPr>
        <w:t>食品安全国家标准食品中污染物限量</w:t>
      </w:r>
    </w:p>
    <w:p>
      <w:pPr>
        <w:pStyle w:val="20"/>
      </w:pPr>
      <w:r>
        <w:t xml:space="preserve">GB 2763 </w:t>
      </w:r>
      <w:r>
        <w:rPr>
          <w:rFonts w:hint="eastAsia"/>
        </w:rPr>
        <w:t>食品中农药最大残留限量</w:t>
      </w:r>
    </w:p>
    <w:p>
      <w:pPr>
        <w:pStyle w:val="20"/>
      </w:pPr>
      <w:r>
        <w:t xml:space="preserve">GB 5009.3 </w:t>
      </w:r>
      <w:r>
        <w:rPr>
          <w:rFonts w:hint="eastAsia"/>
        </w:rPr>
        <w:t>食品中水分的测定</w:t>
      </w:r>
    </w:p>
    <w:p>
      <w:pPr>
        <w:pStyle w:val="20"/>
        <w:rPr>
          <w:szCs w:val="22"/>
        </w:rPr>
      </w:pPr>
      <w:r>
        <w:rPr>
          <w:szCs w:val="22"/>
        </w:rPr>
        <w:t xml:space="preserve">GB 5009.4 </w:t>
      </w:r>
      <w:r>
        <w:rPr>
          <w:rFonts w:hint="eastAsia"/>
          <w:szCs w:val="22"/>
        </w:rPr>
        <w:t>食品安全国家标准食品中灰分的测定</w:t>
      </w:r>
    </w:p>
    <w:p>
      <w:pPr>
        <w:pStyle w:val="20"/>
        <w:rPr>
          <w:szCs w:val="22"/>
        </w:rPr>
      </w:pPr>
      <w:r>
        <w:rPr>
          <w:szCs w:val="22"/>
        </w:rPr>
        <w:t xml:space="preserve">GB 5009.5 </w:t>
      </w:r>
      <w:r>
        <w:rPr>
          <w:rFonts w:hint="eastAsia"/>
          <w:szCs w:val="22"/>
        </w:rPr>
        <w:t xml:space="preserve">食品安全国家标准食品中蛋白质的测定 </w:t>
      </w:r>
    </w:p>
    <w:p>
      <w:pPr>
        <w:ind w:firstLine="420" w:firstLineChars="200"/>
      </w:pPr>
      <w:bookmarkStart w:id="31" w:name="OLE_LINK16"/>
      <w:r>
        <w:rPr>
          <w:rFonts w:ascii="宋体"/>
          <w:kern w:val="0"/>
          <w:szCs w:val="22"/>
        </w:rPr>
        <w:t>GB 9683</w:t>
      </w:r>
      <w:bookmarkEnd w:id="31"/>
      <w:r>
        <w:rPr>
          <w:rFonts w:ascii="宋体"/>
          <w:kern w:val="0"/>
          <w:szCs w:val="22"/>
        </w:rPr>
        <w:t xml:space="preserve"> </w:t>
      </w:r>
      <w:r>
        <w:rPr>
          <w:rFonts w:hint="eastAsia"/>
        </w:rPr>
        <w:t>复合食品包装袋卫生标准</w:t>
      </w:r>
    </w:p>
    <w:p>
      <w:pPr>
        <w:pStyle w:val="20"/>
      </w:pPr>
      <w:r>
        <w:rPr>
          <w:szCs w:val="22"/>
        </w:rPr>
        <w:t xml:space="preserve">GB 21302 </w:t>
      </w:r>
      <w:r>
        <w:rPr>
          <w:rFonts w:hint="eastAsia"/>
        </w:rPr>
        <w:t>包装用复合膜、袋通则</w:t>
      </w:r>
    </w:p>
    <w:p>
      <w:pPr>
        <w:pStyle w:val="20"/>
      </w:pPr>
      <w:r>
        <w:t xml:space="preserve">GB/T 5009.10 </w:t>
      </w:r>
      <w:r>
        <w:rPr>
          <w:rFonts w:hint="eastAsia"/>
        </w:rPr>
        <w:t>植物类食品中粗纤维的测定</w:t>
      </w:r>
    </w:p>
    <w:p>
      <w:pPr>
        <w:pStyle w:val="20"/>
      </w:pPr>
      <w:r>
        <w:t xml:space="preserve">GB/T 8855 </w:t>
      </w:r>
      <w:r>
        <w:rPr>
          <w:rFonts w:hint="eastAsia"/>
        </w:rPr>
        <w:t>新鲜水果和蔬菜取样方法</w:t>
      </w:r>
    </w:p>
    <w:p>
      <w:pPr>
        <w:pStyle w:val="20"/>
      </w:pPr>
      <w:r>
        <w:t xml:space="preserve">GB 9683 </w:t>
      </w:r>
      <w:r>
        <w:rPr>
          <w:rFonts w:hint="eastAsia"/>
        </w:rPr>
        <w:t>复合食品包装袋卫生标准</w:t>
      </w:r>
    </w:p>
    <w:p>
      <w:pPr>
        <w:pStyle w:val="66"/>
        <w:spacing w:before="312" w:after="312"/>
      </w:pPr>
      <w:bookmarkStart w:id="32" w:name="_Toc486531115"/>
      <w:bookmarkEnd w:id="32"/>
      <w:bookmarkStart w:id="33" w:name="_Toc485915999"/>
      <w:bookmarkStart w:id="34" w:name="_Toc519581780"/>
      <w:bookmarkStart w:id="35" w:name="_Toc486532778"/>
      <w:r>
        <w:rPr>
          <w:rFonts w:hint="eastAsia"/>
        </w:rPr>
        <w:t>术语和定义</w:t>
      </w:r>
      <w:bookmarkEnd w:id="33"/>
      <w:bookmarkEnd w:id="34"/>
      <w:bookmarkEnd w:id="35"/>
    </w:p>
    <w:p>
      <w:pPr>
        <w:pStyle w:val="50"/>
        <w:spacing w:before="156" w:after="156"/>
      </w:pPr>
      <w:bookmarkStart w:id="36" w:name="_Toc485916000"/>
      <w:bookmarkStart w:id="37" w:name="_Toc486532779"/>
    </w:p>
    <w:p>
      <w:pPr>
        <w:pStyle w:val="50"/>
        <w:numPr>
          <w:ilvl w:val="1"/>
          <w:numId w:val="0"/>
        </w:numPr>
        <w:spacing w:before="156" w:after="156"/>
        <w:ind w:firstLine="420" w:firstLineChars="200"/>
      </w:pPr>
      <w:r>
        <w:rPr>
          <w:rFonts w:hint="eastAsia"/>
        </w:rPr>
        <w:t>茶树菇（</w:t>
      </w:r>
      <w:r>
        <w:rPr>
          <w:rFonts w:hint="eastAsia"/>
          <w:i/>
          <w:iCs/>
        </w:rPr>
        <w:t>A</w:t>
      </w:r>
      <w:r>
        <w:rPr>
          <w:i/>
          <w:iCs/>
        </w:rPr>
        <w:t xml:space="preserve">grocybe </w:t>
      </w:r>
      <w:r>
        <w:rPr>
          <w:rFonts w:hint="eastAsia"/>
          <w:i/>
          <w:iCs/>
        </w:rPr>
        <w:t>a</w:t>
      </w:r>
      <w:r>
        <w:rPr>
          <w:i/>
          <w:iCs/>
        </w:rPr>
        <w:t>egerita</w:t>
      </w:r>
      <w:r>
        <w:rPr>
          <w:rFonts w:hint="eastAsia"/>
        </w:rPr>
        <w:t>）</w:t>
      </w:r>
      <w:bookmarkEnd w:id="36"/>
      <w:bookmarkEnd w:id="37"/>
    </w:p>
    <w:p>
      <w:pPr>
        <w:pStyle w:val="20"/>
      </w:pPr>
      <w:r>
        <w:rPr>
          <w:rFonts w:hint="eastAsia"/>
        </w:rPr>
        <w:t>茶树菇隶属真菌门、担子菌纲、伞菌目、粪锈伞科、田头菇属。子实体单生、双生或丛生，菌肉白色肥厚。菌盖表面平滑或浅皱纹，初暗红褐色；菌膜膜质，开伞后菌环留在菌柄上部或沾附于菌盖边缘或自动脱落。菌褶与菌柄成直生或不明显隔生；菌柄中实致密呈纤维状，表面浅黄褐色，内近白色。</w:t>
      </w:r>
    </w:p>
    <w:p>
      <w:pPr>
        <w:pStyle w:val="50"/>
        <w:spacing w:before="156" w:after="156"/>
      </w:pPr>
      <w:bookmarkStart w:id="38" w:name="_Toc486532780"/>
      <w:bookmarkStart w:id="39" w:name="_Toc485916001"/>
    </w:p>
    <w:p>
      <w:pPr>
        <w:pStyle w:val="50"/>
        <w:numPr>
          <w:ilvl w:val="1"/>
          <w:numId w:val="0"/>
        </w:numPr>
        <w:spacing w:before="156" w:after="156"/>
        <w:ind w:firstLine="420" w:firstLineChars="200"/>
      </w:pPr>
      <w:r>
        <w:rPr>
          <w:rFonts w:hint="eastAsia"/>
        </w:rPr>
        <w:t>异味</w:t>
      </w:r>
      <w:bookmarkEnd w:id="38"/>
      <w:bookmarkEnd w:id="39"/>
    </w:p>
    <w:p>
      <w:pPr>
        <w:pStyle w:val="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茶树菇本身的特有气味之外的其它气味。</w:t>
      </w:r>
      <w:bookmarkStart w:id="222" w:name="_GoBack"/>
      <w:bookmarkEnd w:id="222"/>
    </w:p>
    <w:p>
      <w:pPr>
        <w:pStyle w:val="50"/>
        <w:spacing w:before="156" w:after="156"/>
      </w:pPr>
      <w:bookmarkStart w:id="40" w:name="_Toc486532781"/>
      <w:bookmarkStart w:id="41" w:name="_Toc485916002"/>
    </w:p>
    <w:p>
      <w:pPr>
        <w:pStyle w:val="50"/>
        <w:numPr>
          <w:ilvl w:val="1"/>
          <w:numId w:val="0"/>
        </w:numPr>
        <w:spacing w:before="156" w:after="156"/>
        <w:ind w:firstLine="420" w:firstLineChars="200"/>
      </w:pPr>
      <w:r>
        <w:rPr>
          <w:rFonts w:hint="eastAsia"/>
        </w:rPr>
        <w:t>虫蛀菇</w:t>
      </w:r>
      <w:bookmarkEnd w:id="40"/>
      <w:bookmarkEnd w:id="41"/>
    </w:p>
    <w:p>
      <w:pPr>
        <w:pStyle w:val="20"/>
        <w:rPr>
          <w:color w:val="000000"/>
        </w:rPr>
      </w:pPr>
      <w:r>
        <w:rPr>
          <w:rFonts w:hint="eastAsia"/>
          <w:color w:val="000000"/>
        </w:rPr>
        <w:t>被虫蛀或被昆虫咬过的茶树菇菇体。</w:t>
      </w:r>
    </w:p>
    <w:p>
      <w:pPr>
        <w:pStyle w:val="50"/>
        <w:spacing w:before="156" w:after="156"/>
      </w:pPr>
      <w:bookmarkStart w:id="42" w:name="_Toc485916003"/>
      <w:bookmarkStart w:id="43" w:name="_Toc486532782"/>
    </w:p>
    <w:p>
      <w:pPr>
        <w:pStyle w:val="50"/>
        <w:numPr>
          <w:ilvl w:val="1"/>
          <w:numId w:val="0"/>
        </w:numPr>
        <w:spacing w:before="156" w:after="156"/>
        <w:ind w:firstLine="420" w:firstLineChars="200"/>
      </w:pPr>
      <w:r>
        <w:rPr>
          <w:rFonts w:hint="eastAsia"/>
        </w:rPr>
        <w:t>一般杂质</w:t>
      </w:r>
      <w:bookmarkEnd w:id="42"/>
      <w:bookmarkEnd w:id="43"/>
    </w:p>
    <w:p>
      <w:pPr>
        <w:pStyle w:val="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附着在茶树菇菇体上的沙石、泥土和培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养基残渣物质。</w:t>
      </w:r>
    </w:p>
    <w:p>
      <w:pPr>
        <w:pStyle w:val="50"/>
        <w:spacing w:before="156" w:after="156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44" w:name="_Toc485916004"/>
      <w:bookmarkStart w:id="45" w:name="_Toc486532783"/>
    </w:p>
    <w:p>
      <w:pPr>
        <w:pStyle w:val="50"/>
        <w:numPr>
          <w:ilvl w:val="1"/>
          <w:numId w:val="0"/>
        </w:numPr>
        <w:spacing w:before="156" w:after="156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有害杂质</w:t>
      </w:r>
      <w:bookmarkEnd w:id="44"/>
      <w:bookmarkEnd w:id="45"/>
    </w:p>
    <w:p>
      <w:pPr>
        <w:pStyle w:val="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影响茶树菇食用菌质量安全的物质，如塑料碎屑、碎玻璃和毛发等。</w:t>
      </w:r>
    </w:p>
    <w:p>
      <w:pPr>
        <w:pStyle w:val="50"/>
        <w:spacing w:before="156" w:after="156"/>
      </w:pPr>
      <w:bookmarkStart w:id="46" w:name="_Toc485916005"/>
      <w:bookmarkStart w:id="47" w:name="_Toc486532784"/>
    </w:p>
    <w:p>
      <w:pPr>
        <w:pStyle w:val="50"/>
        <w:numPr>
          <w:ilvl w:val="1"/>
          <w:numId w:val="0"/>
        </w:numPr>
        <w:spacing w:before="156" w:after="156"/>
        <w:ind w:firstLine="420" w:firstLineChars="200"/>
      </w:pPr>
      <w:r>
        <w:rPr>
          <w:rFonts w:hint="eastAsia"/>
        </w:rPr>
        <w:t>霉变菇</w:t>
      </w:r>
      <w:bookmarkEnd w:id="46"/>
      <w:bookmarkEnd w:id="47"/>
    </w:p>
    <w:p>
      <w:pPr>
        <w:pStyle w:val="20"/>
      </w:pPr>
      <w:r>
        <w:rPr>
          <w:rFonts w:hint="eastAsia"/>
        </w:rPr>
        <w:t>发霉变质的茶树菇菇体。</w:t>
      </w:r>
    </w:p>
    <w:p>
      <w:pPr>
        <w:pStyle w:val="50"/>
        <w:spacing w:before="156" w:after="156"/>
      </w:pPr>
      <w:bookmarkStart w:id="48" w:name="_Toc486532785"/>
      <w:bookmarkStart w:id="49" w:name="_Toc485916006"/>
    </w:p>
    <w:p>
      <w:pPr>
        <w:pStyle w:val="50"/>
        <w:numPr>
          <w:ilvl w:val="1"/>
          <w:numId w:val="0"/>
        </w:numPr>
        <w:spacing w:before="156" w:after="156"/>
        <w:ind w:firstLine="420" w:firstLineChars="200"/>
      </w:pPr>
      <w:r>
        <w:rPr>
          <w:rFonts w:hint="eastAsia"/>
        </w:rPr>
        <w:t>破碎菇</w:t>
      </w:r>
      <w:bookmarkEnd w:id="48"/>
      <w:bookmarkEnd w:id="49"/>
    </w:p>
    <w:p>
      <w:pPr>
        <w:pStyle w:val="20"/>
        <w:rPr>
          <w:color w:val="000000"/>
        </w:rPr>
      </w:pPr>
      <w:r>
        <w:rPr>
          <w:rFonts w:hint="eastAsia"/>
          <w:color w:val="000000"/>
        </w:rPr>
        <w:t>破碎后的茶树菇菇体。</w:t>
      </w:r>
    </w:p>
    <w:p>
      <w:pPr>
        <w:pStyle w:val="50"/>
        <w:spacing w:before="156" w:after="156"/>
        <w:rPr>
          <w:rFonts w:hAnsi="黑体"/>
        </w:rPr>
      </w:pPr>
      <w:bookmarkStart w:id="50" w:name="_Toc485916007"/>
      <w:bookmarkStart w:id="51" w:name="_Toc486532786"/>
    </w:p>
    <w:p>
      <w:pPr>
        <w:pStyle w:val="50"/>
        <w:numPr>
          <w:ilvl w:val="1"/>
          <w:numId w:val="0"/>
        </w:numPr>
        <w:spacing w:before="156" w:after="156"/>
        <w:ind w:firstLine="420" w:firstLineChars="200"/>
        <w:rPr>
          <w:rFonts w:hAnsi="黑体"/>
        </w:rPr>
      </w:pPr>
      <w:r>
        <w:rPr>
          <w:rFonts w:hint="eastAsia" w:hAnsi="黑体"/>
        </w:rPr>
        <w:t>鲜茶树菇（鲜品）</w:t>
      </w:r>
      <w:bookmarkEnd w:id="50"/>
      <w:bookmarkEnd w:id="51"/>
    </w:p>
    <w:p>
      <w:pPr>
        <w:pStyle w:val="20"/>
        <w:rPr>
          <w:color w:val="000000"/>
        </w:rPr>
      </w:pPr>
      <w:r>
        <w:rPr>
          <w:rFonts w:hint="eastAsia"/>
          <w:color w:val="000000"/>
        </w:rPr>
        <w:t>采收后未经脱水烘干的茶树菇。</w:t>
      </w:r>
    </w:p>
    <w:p>
      <w:pPr>
        <w:pStyle w:val="50"/>
        <w:spacing w:before="156" w:after="156"/>
        <w:rPr>
          <w:rFonts w:hAnsi="黑体"/>
        </w:rPr>
      </w:pPr>
      <w:bookmarkStart w:id="52" w:name="_Toc486532787"/>
      <w:bookmarkStart w:id="53" w:name="_Toc485916008"/>
    </w:p>
    <w:p>
      <w:pPr>
        <w:pStyle w:val="50"/>
        <w:numPr>
          <w:ilvl w:val="1"/>
          <w:numId w:val="0"/>
        </w:numPr>
        <w:spacing w:before="156" w:after="156"/>
        <w:ind w:firstLine="420" w:firstLineChars="200"/>
        <w:rPr>
          <w:rFonts w:hAnsi="黑体"/>
        </w:rPr>
      </w:pPr>
      <w:r>
        <w:rPr>
          <w:rFonts w:hint="eastAsia" w:hAnsi="黑体"/>
        </w:rPr>
        <w:t>干茶树菇（干品）</w:t>
      </w:r>
      <w:bookmarkEnd w:id="52"/>
      <w:bookmarkEnd w:id="53"/>
    </w:p>
    <w:p>
      <w:pPr>
        <w:pStyle w:val="20"/>
        <w:rPr>
          <w:color w:val="000000"/>
        </w:rPr>
      </w:pPr>
      <w:r>
        <w:rPr>
          <w:rFonts w:hint="eastAsia"/>
          <w:color w:val="000000"/>
        </w:rPr>
        <w:t>采收后经烘干脱水的茶树菇。</w:t>
      </w:r>
    </w:p>
    <w:p>
      <w:pPr>
        <w:pStyle w:val="66"/>
        <w:spacing w:before="312" w:after="312"/>
      </w:pPr>
      <w:bookmarkStart w:id="54" w:name="_Toc402698250"/>
      <w:bookmarkStart w:id="55" w:name="_Toc409019440"/>
      <w:bookmarkStart w:id="56" w:name="_Toc408140757"/>
      <w:bookmarkStart w:id="57" w:name="_Toc406517516"/>
      <w:bookmarkStart w:id="58" w:name="_Toc396807004"/>
      <w:bookmarkStart w:id="59" w:name="_Toc396756473"/>
      <w:bookmarkStart w:id="60" w:name="_Toc409164869"/>
      <w:bookmarkStart w:id="61" w:name="_Toc406429845"/>
      <w:bookmarkStart w:id="62" w:name="_Toc407454803"/>
      <w:bookmarkStart w:id="63" w:name="_Toc402698414"/>
      <w:bookmarkStart w:id="64" w:name="_Toc485916009"/>
      <w:bookmarkStart w:id="65" w:name="_Toc519581781"/>
      <w:bookmarkStart w:id="66" w:name="_Toc486532788"/>
      <w:r>
        <w:rPr>
          <w:rFonts w:hint="eastAsia"/>
        </w:rPr>
        <w:t>产品分类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>
      <w:pPr>
        <w:pStyle w:val="20"/>
      </w:pPr>
      <w:r>
        <w:rPr>
          <w:rFonts w:hint="eastAsia"/>
        </w:rPr>
        <w:t>茶树菇按菇体颜色分为褐色茶树菇和白色茶树菇。</w:t>
      </w:r>
    </w:p>
    <w:p>
      <w:pPr>
        <w:pStyle w:val="66"/>
        <w:spacing w:before="312" w:after="312"/>
      </w:pPr>
      <w:bookmarkStart w:id="67" w:name="_Toc519581782"/>
      <w:bookmarkStart w:id="68" w:name="_Toc485916010"/>
      <w:bookmarkStart w:id="69" w:name="_Toc486532789"/>
      <w:r>
        <w:rPr>
          <w:rFonts w:hint="eastAsia"/>
        </w:rPr>
        <w:t>产品分级</w:t>
      </w:r>
      <w:bookmarkEnd w:id="67"/>
      <w:bookmarkEnd w:id="68"/>
      <w:bookmarkEnd w:id="69"/>
    </w:p>
    <w:p>
      <w:pPr>
        <w:pStyle w:val="20"/>
      </w:pPr>
      <w:r>
        <w:rPr>
          <w:rFonts w:hint="eastAsia"/>
        </w:rPr>
        <w:t>茶树菇按感官指标分为特级菇、一级菇和二级菇。</w:t>
      </w:r>
    </w:p>
    <w:p>
      <w:pPr>
        <w:pStyle w:val="66"/>
        <w:spacing w:before="312" w:after="312"/>
        <w:rPr>
          <w:color w:val="000000"/>
        </w:rPr>
      </w:pPr>
      <w:bookmarkStart w:id="70" w:name="_Toc396807006"/>
      <w:bookmarkStart w:id="71" w:name="_Toc396756477"/>
      <w:bookmarkStart w:id="72" w:name="_Toc485916011"/>
      <w:bookmarkStart w:id="73" w:name="_Toc406429847"/>
      <w:bookmarkStart w:id="74" w:name="_Toc402698252"/>
      <w:bookmarkStart w:id="75" w:name="_Toc402698416"/>
      <w:bookmarkStart w:id="76" w:name="_Toc408140759"/>
      <w:bookmarkStart w:id="77" w:name="_Toc407454805"/>
      <w:bookmarkStart w:id="78" w:name="_Toc409164871"/>
      <w:bookmarkStart w:id="79" w:name="_Toc409019442"/>
      <w:bookmarkStart w:id="80" w:name="_Toc486532790"/>
      <w:bookmarkStart w:id="81" w:name="_Toc406517518"/>
      <w:bookmarkStart w:id="82" w:name="_Toc519581783"/>
      <w:r>
        <w:rPr>
          <w:rFonts w:hint="eastAsia"/>
          <w:color w:val="000000"/>
        </w:rPr>
        <w:t>质量</w:t>
      </w:r>
      <w:bookmarkEnd w:id="70"/>
      <w:bookmarkEnd w:id="71"/>
      <w:r>
        <w:rPr>
          <w:rFonts w:hint="eastAsia"/>
          <w:color w:val="000000"/>
        </w:rPr>
        <w:t>要求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>
      <w:pPr>
        <w:pStyle w:val="50"/>
        <w:spacing w:before="156" w:after="156"/>
      </w:pPr>
      <w:bookmarkStart w:id="83" w:name="_Toc396807007"/>
      <w:bookmarkStart w:id="84" w:name="_Toc406429848"/>
      <w:bookmarkStart w:id="85" w:name="_Toc406517519"/>
      <w:bookmarkStart w:id="86" w:name="_Toc486532791"/>
      <w:bookmarkStart w:id="87" w:name="_Toc402698253"/>
      <w:bookmarkStart w:id="88" w:name="_Toc396756478"/>
      <w:bookmarkStart w:id="89" w:name="_Toc402698417"/>
      <w:bookmarkStart w:id="90" w:name="_Toc485916012"/>
      <w:bookmarkStart w:id="91" w:name="_Toc408140760"/>
      <w:bookmarkStart w:id="92" w:name="_Toc407454806"/>
      <w:r>
        <w:rPr>
          <w:rFonts w:hint="eastAsia"/>
        </w:rPr>
        <w:t>感官指标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>
      <w:pPr>
        <w:pStyle w:val="49"/>
        <w:spacing w:before="156" w:after="156"/>
      </w:pPr>
      <w:bookmarkStart w:id="93" w:name="_Toc485916013"/>
      <w:bookmarkStart w:id="94" w:name="_Toc486532792"/>
      <w:bookmarkStart w:id="95" w:name="_Toc408140761"/>
      <w:bookmarkStart w:id="96" w:name="_Toc407454807"/>
      <w:bookmarkStart w:id="97" w:name="_Toc402698254"/>
      <w:bookmarkStart w:id="98" w:name="_Toc406429849"/>
      <w:bookmarkStart w:id="99" w:name="_Toc402698418"/>
      <w:bookmarkStart w:id="100" w:name="_Toc406517520"/>
      <w:r>
        <w:rPr>
          <w:rFonts w:hint="eastAsia"/>
        </w:rPr>
        <w:t>鲜茶树菇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>
      <w:pPr>
        <w:pStyle w:val="20"/>
      </w:pPr>
      <w:r>
        <w:rPr>
          <w:rFonts w:hint="eastAsia"/>
        </w:rPr>
        <w:t>在自然光照、通风条件下进行感官指标的检测，感官指标应符合表</w:t>
      </w:r>
      <w:r>
        <w:t>1</w:t>
      </w:r>
      <w:r>
        <w:rPr>
          <w:rFonts w:hint="eastAsia"/>
        </w:rPr>
        <w:t>的规定。</w:t>
      </w:r>
    </w:p>
    <w:p>
      <w:pPr>
        <w:pStyle w:val="132"/>
        <w:spacing w:before="156" w:after="156"/>
      </w:pPr>
      <w:r>
        <w:rPr>
          <w:rFonts w:hint="eastAsia"/>
        </w:rPr>
        <w:t>鲜茶树菇感官指标</w:t>
      </w:r>
    </w:p>
    <w:tbl>
      <w:tblPr>
        <w:tblStyle w:val="34"/>
        <w:tblpPr w:leftFromText="180" w:rightFromText="180" w:vertAnchor="text" w:horzAnchor="margin" w:tblpY="56"/>
        <w:tblW w:w="957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276"/>
        <w:gridCol w:w="1922"/>
        <w:gridCol w:w="1922"/>
        <w:gridCol w:w="1923"/>
        <w:gridCol w:w="15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Calibri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7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Calibri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59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Calibri"/>
                <w:color w:val="000000"/>
                <w:kern w:val="0"/>
                <w:sz w:val="18"/>
                <w:szCs w:val="18"/>
              </w:rPr>
              <w:t>检测方法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Calibri"/>
                <w:color w:val="000000"/>
                <w:kern w:val="0"/>
                <w:sz w:val="18"/>
                <w:szCs w:val="18"/>
              </w:rPr>
              <w:t>特级</w:t>
            </w:r>
          </w:p>
        </w:tc>
        <w:tc>
          <w:tcPr>
            <w:tcW w:w="192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Calibri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192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Calibri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Calibri"/>
                <w:color w:val="000000"/>
                <w:kern w:val="0"/>
                <w:sz w:val="18"/>
                <w:szCs w:val="18"/>
              </w:rPr>
              <w:t>形态</w:t>
            </w:r>
          </w:p>
        </w:tc>
        <w:tc>
          <w:tcPr>
            <w:tcW w:w="1922" w:type="dxa"/>
          </w:tcPr>
          <w:p>
            <w:pPr>
              <w:pStyle w:val="127"/>
              <w:jc w:val="both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</w:rPr>
              <w:t>菌盖呈半球形，菌膜完好，菇柄直，整丛菇体长度、体形较一致。</w:t>
            </w:r>
          </w:p>
        </w:tc>
        <w:tc>
          <w:tcPr>
            <w:tcW w:w="1922" w:type="dxa"/>
          </w:tcPr>
          <w:p>
            <w:pPr>
              <w:pStyle w:val="127"/>
              <w:jc w:val="both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</w:rPr>
              <w:t>菌盖呈半球形，菌膜基本完好</w:t>
            </w:r>
            <w:r>
              <w:rPr>
                <w:rFonts w:ascii="宋体" w:eastAsia="宋体" w:cs="Times New Roman"/>
                <w:sz w:val="18"/>
                <w:szCs w:val="18"/>
              </w:rPr>
              <w:t>,</w:t>
            </w:r>
            <w:r>
              <w:rPr>
                <w:rFonts w:hint="eastAsia" w:ascii="宋体" w:eastAsia="宋体" w:cs="Times New Roman"/>
                <w:sz w:val="18"/>
                <w:szCs w:val="18"/>
              </w:rPr>
              <w:t>菇柄稍弯曲，整丛菇体长度和体形较不一致。</w:t>
            </w:r>
          </w:p>
        </w:tc>
        <w:tc>
          <w:tcPr>
            <w:tcW w:w="1923" w:type="dxa"/>
          </w:tcPr>
          <w:p>
            <w:pPr>
              <w:pStyle w:val="127"/>
              <w:jc w:val="both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</w:rPr>
              <w:t>菌盖稍平展，菌膜部分破裂，菇柄较弯曲，整丛菇体长度和体形不一致。</w:t>
            </w:r>
          </w:p>
        </w:tc>
        <w:tc>
          <w:tcPr>
            <w:tcW w:w="1595" w:type="dxa"/>
            <w:vMerge w:val="restart"/>
          </w:tcPr>
          <w:p>
            <w:pPr>
              <w:pStyle w:val="20"/>
              <w:tabs>
                <w:tab w:val="center" w:pos="2307"/>
              </w:tabs>
              <w:spacing w:before="60" w:after="60"/>
              <w:ind w:firstLine="0" w:firstLineChars="0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取</w:t>
            </w:r>
            <w:r>
              <w:rPr>
                <w:rFonts w:hAnsi="Calibri"/>
                <w:color w:val="000000"/>
                <w:sz w:val="18"/>
                <w:szCs w:val="18"/>
              </w:rPr>
              <w:t>500g</w:t>
            </w:r>
            <w:r>
              <w:rPr>
                <w:rFonts w:hint="eastAsia" w:hAnsi="Calibri"/>
                <w:color w:val="000000"/>
                <w:sz w:val="18"/>
                <w:szCs w:val="18"/>
              </w:rPr>
              <w:t>鲜菇样品置于白色瓷盘中，在自然光下用眼观察样品形态和色泽，用鼻嗅样品气味，用眼睛观测是否有破碎、虫蛀、霉变和杂质。用游标卡尺测量菌盖直径和菌柄长度。破碎菇率、虫蛀菇率和一般杂质检测方法参照附录</w:t>
            </w:r>
            <w:r>
              <w:rPr>
                <w:rFonts w:hAnsi="Calibri"/>
                <w:color w:val="000000"/>
                <w:sz w:val="18"/>
                <w:szCs w:val="18"/>
              </w:rPr>
              <w:t>A</w:t>
            </w:r>
            <w:r>
              <w:rPr>
                <w:rFonts w:hint="eastAsia" w:hAnsi="Calibri"/>
                <w:color w:val="00000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Calibri"/>
                <w:color w:val="000000"/>
                <w:kern w:val="0"/>
                <w:sz w:val="18"/>
                <w:szCs w:val="18"/>
              </w:rPr>
              <w:t>色泽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  <w:spacing w:before="60" w:after="60"/>
              <w:ind w:firstLine="0" w:firstLineChars="0"/>
              <w:jc w:val="center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褐色茶树菇</w:t>
            </w:r>
          </w:p>
        </w:tc>
        <w:tc>
          <w:tcPr>
            <w:tcW w:w="1922" w:type="dxa"/>
          </w:tcPr>
          <w:p>
            <w:pPr>
              <w:pStyle w:val="20"/>
              <w:spacing w:before="60" w:after="60"/>
              <w:ind w:firstLine="0" w:firstLineChars="0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菇盖：黑褐色至暗红褐色；菇柄：浅棕色。菇盖、菇柄色泽均匀一致。</w:t>
            </w:r>
          </w:p>
        </w:tc>
        <w:tc>
          <w:tcPr>
            <w:tcW w:w="1922" w:type="dxa"/>
          </w:tcPr>
          <w:p>
            <w:pPr>
              <w:pStyle w:val="20"/>
              <w:spacing w:before="60" w:after="60"/>
              <w:ind w:firstLine="0" w:firstLineChars="0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菇盖：浅土黄色至暗红褐色；菇柄：浅棕色。菇盖、菇柄色泽基本一致。</w:t>
            </w:r>
          </w:p>
        </w:tc>
        <w:tc>
          <w:tcPr>
            <w:tcW w:w="1923" w:type="dxa"/>
          </w:tcPr>
          <w:p>
            <w:pPr>
              <w:pStyle w:val="20"/>
              <w:spacing w:before="60" w:after="60"/>
              <w:ind w:firstLine="0" w:firstLineChars="0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菇盖：浅土黄色；菇柄：浅棕色。菇盖、菇柄色泽比较一致。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0"/>
              <w:spacing w:before="60" w:after="6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白色茶树菇</w:t>
            </w:r>
          </w:p>
        </w:tc>
        <w:tc>
          <w:tcPr>
            <w:tcW w:w="1922" w:type="dxa"/>
          </w:tcPr>
          <w:p>
            <w:pPr>
              <w:pStyle w:val="20"/>
              <w:spacing w:before="60" w:after="60"/>
              <w:ind w:firstLine="0" w:firstLineChars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菇盖乳白色；菇柄近白色。菇盖、菇柄色泽一致。</w:t>
            </w:r>
          </w:p>
        </w:tc>
        <w:tc>
          <w:tcPr>
            <w:tcW w:w="1922" w:type="dxa"/>
          </w:tcPr>
          <w:p>
            <w:pPr>
              <w:pStyle w:val="20"/>
              <w:spacing w:before="60" w:after="60"/>
              <w:ind w:firstLine="0" w:firstLineChars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菇盖乳白色；菇柄近白色。菇盖、菇柄色泽基本一致。</w:t>
            </w:r>
          </w:p>
        </w:tc>
        <w:tc>
          <w:tcPr>
            <w:tcW w:w="1923" w:type="dxa"/>
          </w:tcPr>
          <w:p>
            <w:pPr>
              <w:pStyle w:val="41"/>
              <w:jc w:val="both"/>
              <w:rPr>
                <w:color w:val="000000"/>
                <w:sz w:val="18"/>
              </w:rPr>
            </w:pPr>
            <w:r>
              <w:rPr>
                <w:rFonts w:hint="eastAsia" w:ascii="宋体" w:hAnsi="Calibri" w:eastAsia="宋体"/>
                <w:color w:val="000000"/>
                <w:sz w:val="18"/>
                <w:szCs w:val="18"/>
              </w:rPr>
              <w:t>菇盖乳白色；菇柄近白色。菇盖、菇柄色泽比较一致。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gridSpan w:val="2"/>
            <w:vAlign w:val="center"/>
          </w:tcPr>
          <w:p>
            <w:pPr>
              <w:pStyle w:val="20"/>
              <w:spacing w:before="60" w:after="6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气味</w:t>
            </w:r>
          </w:p>
        </w:tc>
        <w:tc>
          <w:tcPr>
            <w:tcW w:w="1922" w:type="dxa"/>
          </w:tcPr>
          <w:p>
            <w:pPr>
              <w:pStyle w:val="20"/>
              <w:spacing w:before="60" w:after="60"/>
              <w:ind w:firstLine="0" w:firstLineChars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具有浓郁的茶树菇特有的香味。</w:t>
            </w:r>
          </w:p>
        </w:tc>
        <w:tc>
          <w:tcPr>
            <w:tcW w:w="1922" w:type="dxa"/>
          </w:tcPr>
          <w:p>
            <w:pPr>
              <w:pStyle w:val="20"/>
              <w:spacing w:before="60" w:after="60"/>
              <w:ind w:firstLine="0" w:firstLineChars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具有比较浓郁的茶树菇特有的香味。</w:t>
            </w:r>
          </w:p>
        </w:tc>
        <w:tc>
          <w:tcPr>
            <w:tcW w:w="1923" w:type="dxa"/>
            <w:vAlign w:val="center"/>
          </w:tcPr>
          <w:p>
            <w:pPr>
              <w:pStyle w:val="20"/>
              <w:spacing w:before="60" w:after="60"/>
              <w:ind w:firstLine="0" w:firstLineChars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具有茶树菇特有的香味。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gridSpan w:val="2"/>
            <w:vAlign w:val="center"/>
          </w:tcPr>
          <w:p>
            <w:pPr>
              <w:pStyle w:val="20"/>
              <w:spacing w:before="60" w:after="6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菇盖直径</w:t>
            </w:r>
            <w:r>
              <w:rPr>
                <w:color w:val="000000"/>
                <w:sz w:val="18"/>
                <w:szCs w:val="18"/>
              </w:rPr>
              <w:t xml:space="preserve"> mm</w:t>
            </w:r>
          </w:p>
        </w:tc>
        <w:tc>
          <w:tcPr>
            <w:tcW w:w="1922" w:type="dxa"/>
          </w:tcPr>
          <w:p>
            <w:pPr>
              <w:pStyle w:val="20"/>
              <w:spacing w:before="60" w:after="60"/>
              <w:ind w:firstLine="0" w:firstLineChars="0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d</w:t>
            </w: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922" w:type="dxa"/>
          </w:tcPr>
          <w:p>
            <w:pPr>
              <w:pStyle w:val="20"/>
              <w:spacing w:before="60" w:after="60"/>
              <w:ind w:firstLine="0" w:firstLineChars="0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＜</w:t>
            </w:r>
            <w:r>
              <w:rPr>
                <w:color w:val="000000"/>
                <w:sz w:val="18"/>
                <w:szCs w:val="18"/>
              </w:rPr>
              <w:t>d</w:t>
            </w: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923" w:type="dxa"/>
          </w:tcPr>
          <w:p>
            <w:pPr>
              <w:pStyle w:val="20"/>
              <w:spacing w:before="60" w:after="60"/>
              <w:ind w:firstLine="0" w:firstLineChars="0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＜</w:t>
            </w:r>
            <w:r>
              <w:rPr>
                <w:color w:val="000000"/>
                <w:sz w:val="18"/>
                <w:szCs w:val="18"/>
              </w:rPr>
              <w:t>d</w:t>
            </w: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gridSpan w:val="2"/>
            <w:vAlign w:val="center"/>
          </w:tcPr>
          <w:p>
            <w:pPr>
              <w:pStyle w:val="20"/>
              <w:spacing w:before="60" w:after="6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菇柄长度</w:t>
            </w:r>
            <w:r>
              <w:rPr>
                <w:color w:val="000000"/>
                <w:sz w:val="18"/>
                <w:szCs w:val="18"/>
              </w:rPr>
              <w:t xml:space="preserve"> mm</w:t>
            </w:r>
          </w:p>
        </w:tc>
        <w:tc>
          <w:tcPr>
            <w:tcW w:w="1922" w:type="dxa"/>
          </w:tcPr>
          <w:p>
            <w:pPr>
              <w:pStyle w:val="20"/>
              <w:spacing w:before="60" w:after="6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d</w:t>
            </w: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922" w:type="dxa"/>
          </w:tcPr>
          <w:p>
            <w:pPr>
              <w:pStyle w:val="20"/>
              <w:spacing w:before="60" w:after="6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  <w:r>
              <w:rPr>
                <w:rFonts w:hint="eastAsia"/>
                <w:color w:val="000000"/>
                <w:sz w:val="18"/>
                <w:szCs w:val="18"/>
              </w:rPr>
              <w:t>＜</w:t>
            </w:r>
            <w:r>
              <w:rPr>
                <w:color w:val="000000"/>
                <w:sz w:val="18"/>
                <w:szCs w:val="18"/>
              </w:rPr>
              <w:t>d</w:t>
            </w: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923" w:type="dxa"/>
          </w:tcPr>
          <w:p>
            <w:pPr>
              <w:pStyle w:val="20"/>
              <w:spacing w:before="60" w:after="6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</w:t>
            </w:r>
            <w:r>
              <w:rPr>
                <w:rFonts w:hint="eastAsia"/>
                <w:color w:val="000000"/>
                <w:sz w:val="18"/>
                <w:szCs w:val="18"/>
              </w:rPr>
              <w:t>＜</w:t>
            </w:r>
            <w:r>
              <w:rPr>
                <w:color w:val="000000"/>
                <w:sz w:val="18"/>
                <w:szCs w:val="18"/>
              </w:rPr>
              <w:t>d</w:t>
            </w: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gridSpan w:val="2"/>
            <w:vAlign w:val="center"/>
          </w:tcPr>
          <w:p>
            <w:pPr>
              <w:pStyle w:val="20"/>
              <w:spacing w:before="60" w:after="6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破碎菇率</w:t>
            </w:r>
            <w:r>
              <w:rPr>
                <w:color w:val="000000"/>
                <w:sz w:val="18"/>
                <w:szCs w:val="18"/>
              </w:rPr>
              <w:t xml:space="preserve"> % </w:t>
            </w:r>
            <w:r>
              <w:rPr>
                <w:rFonts w:hint="eastAsia"/>
                <w:color w:val="000000"/>
                <w:sz w:val="18"/>
                <w:szCs w:val="18"/>
              </w:rPr>
              <w:t>（质量分数）</w:t>
            </w:r>
          </w:p>
        </w:tc>
        <w:tc>
          <w:tcPr>
            <w:tcW w:w="1922" w:type="dxa"/>
          </w:tcPr>
          <w:p>
            <w:pPr>
              <w:pStyle w:val="20"/>
              <w:spacing w:before="60" w:after="6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1922" w:type="dxa"/>
          </w:tcPr>
          <w:p>
            <w:pPr>
              <w:pStyle w:val="20"/>
              <w:spacing w:before="60" w:after="6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23" w:type="dxa"/>
          </w:tcPr>
          <w:p>
            <w:pPr>
              <w:pStyle w:val="20"/>
              <w:spacing w:before="60" w:after="6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2.0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gridSpan w:val="2"/>
            <w:vAlign w:val="center"/>
          </w:tcPr>
          <w:p>
            <w:pPr>
              <w:pStyle w:val="20"/>
              <w:spacing w:before="60" w:after="6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虫蛀菇率</w:t>
            </w:r>
            <w:r>
              <w:rPr>
                <w:color w:val="000000"/>
                <w:sz w:val="18"/>
                <w:szCs w:val="18"/>
              </w:rPr>
              <w:t xml:space="preserve"> %</w:t>
            </w:r>
            <w:r>
              <w:rPr>
                <w:rFonts w:hint="eastAsia"/>
                <w:color w:val="000000"/>
                <w:sz w:val="18"/>
                <w:szCs w:val="18"/>
              </w:rPr>
              <w:t>（质量分数）</w:t>
            </w:r>
          </w:p>
        </w:tc>
        <w:tc>
          <w:tcPr>
            <w:tcW w:w="1922" w:type="dxa"/>
          </w:tcPr>
          <w:p>
            <w:pPr>
              <w:pStyle w:val="20"/>
              <w:spacing w:before="60" w:after="6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922" w:type="dxa"/>
          </w:tcPr>
          <w:p>
            <w:pPr>
              <w:pStyle w:val="20"/>
              <w:spacing w:before="60" w:after="6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1923" w:type="dxa"/>
          </w:tcPr>
          <w:p>
            <w:pPr>
              <w:pStyle w:val="20"/>
              <w:spacing w:before="60" w:after="6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gridSpan w:val="2"/>
            <w:vAlign w:val="center"/>
          </w:tcPr>
          <w:p>
            <w:pPr>
              <w:pStyle w:val="20"/>
              <w:spacing w:before="60" w:after="6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霉变菇率</w:t>
            </w:r>
            <w:r>
              <w:rPr>
                <w:color w:val="000000"/>
                <w:sz w:val="18"/>
                <w:szCs w:val="18"/>
              </w:rPr>
              <w:t xml:space="preserve"> %</w:t>
            </w:r>
            <w:r>
              <w:rPr>
                <w:rFonts w:hint="eastAsia"/>
                <w:color w:val="000000"/>
                <w:sz w:val="18"/>
                <w:szCs w:val="18"/>
              </w:rPr>
              <w:t>（质量分数）</w:t>
            </w:r>
          </w:p>
        </w:tc>
        <w:tc>
          <w:tcPr>
            <w:tcW w:w="1922" w:type="dxa"/>
          </w:tcPr>
          <w:p>
            <w:pPr>
              <w:pStyle w:val="20"/>
              <w:spacing w:before="60" w:after="6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922" w:type="dxa"/>
          </w:tcPr>
          <w:p>
            <w:pPr>
              <w:pStyle w:val="20"/>
              <w:spacing w:before="60" w:after="6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923" w:type="dxa"/>
          </w:tcPr>
          <w:p>
            <w:pPr>
              <w:pStyle w:val="20"/>
              <w:spacing w:before="60" w:after="6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gridSpan w:val="2"/>
            <w:vAlign w:val="center"/>
          </w:tcPr>
          <w:p>
            <w:pPr>
              <w:pStyle w:val="20"/>
              <w:spacing w:before="60" w:after="6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一般杂质率</w:t>
            </w:r>
            <w:r>
              <w:rPr>
                <w:color w:val="000000"/>
                <w:sz w:val="18"/>
                <w:szCs w:val="18"/>
              </w:rPr>
              <w:t xml:space="preserve"> %</w:t>
            </w:r>
            <w:r>
              <w:rPr>
                <w:rFonts w:hint="eastAsia"/>
                <w:color w:val="000000"/>
                <w:sz w:val="18"/>
                <w:szCs w:val="18"/>
              </w:rPr>
              <w:t>（质量分数）</w:t>
            </w:r>
          </w:p>
        </w:tc>
        <w:tc>
          <w:tcPr>
            <w:tcW w:w="1922" w:type="dxa"/>
          </w:tcPr>
          <w:p>
            <w:pPr>
              <w:pStyle w:val="20"/>
              <w:spacing w:before="60" w:after="6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922" w:type="dxa"/>
          </w:tcPr>
          <w:p>
            <w:pPr>
              <w:pStyle w:val="20"/>
              <w:spacing w:before="60" w:after="6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923" w:type="dxa"/>
          </w:tcPr>
          <w:p>
            <w:pPr>
              <w:pStyle w:val="20"/>
              <w:spacing w:before="60" w:after="6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20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pStyle w:val="20"/>
              <w:spacing w:before="60" w:after="6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有害杂质</w:t>
            </w:r>
          </w:p>
        </w:tc>
        <w:tc>
          <w:tcPr>
            <w:tcW w:w="1922" w:type="dxa"/>
            <w:tcBorders>
              <w:bottom w:val="single" w:color="auto" w:sz="8" w:space="0"/>
            </w:tcBorders>
            <w:vAlign w:val="center"/>
          </w:tcPr>
          <w:p>
            <w:pPr>
              <w:pStyle w:val="4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无</w:t>
            </w:r>
          </w:p>
        </w:tc>
        <w:tc>
          <w:tcPr>
            <w:tcW w:w="1922" w:type="dxa"/>
            <w:tcBorders>
              <w:bottom w:val="single" w:color="auto" w:sz="8" w:space="0"/>
            </w:tcBorders>
            <w:vAlign w:val="center"/>
          </w:tcPr>
          <w:p>
            <w:pPr>
              <w:pStyle w:val="4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无</w:t>
            </w:r>
          </w:p>
        </w:tc>
        <w:tc>
          <w:tcPr>
            <w:tcW w:w="1923" w:type="dxa"/>
            <w:tcBorders>
              <w:bottom w:val="single" w:color="auto" w:sz="8" w:space="0"/>
            </w:tcBorders>
            <w:vAlign w:val="center"/>
          </w:tcPr>
          <w:p>
            <w:pPr>
              <w:pStyle w:val="4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无</w:t>
            </w:r>
          </w:p>
        </w:tc>
        <w:tc>
          <w:tcPr>
            <w:tcW w:w="159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</w:tbl>
    <w:p>
      <w:pPr>
        <w:pStyle w:val="49"/>
        <w:spacing w:before="156" w:after="156"/>
      </w:pPr>
      <w:bookmarkStart w:id="101" w:name="_Toc486532793"/>
      <w:bookmarkStart w:id="102" w:name="_Toc485916014"/>
      <w:r>
        <w:rPr>
          <w:rFonts w:hint="eastAsia"/>
        </w:rPr>
        <w:t>干茶树菇</w:t>
      </w:r>
      <w:bookmarkEnd w:id="101"/>
      <w:bookmarkEnd w:id="102"/>
    </w:p>
    <w:p>
      <w:pPr>
        <w:pStyle w:val="20"/>
      </w:pPr>
      <w:r>
        <w:rPr>
          <w:rFonts w:hint="eastAsia"/>
        </w:rPr>
        <w:t>在自然光照、通风条件下进行感官指标的检测，感官指标应符合表</w:t>
      </w:r>
      <w:r>
        <w:t>2</w:t>
      </w:r>
      <w:r>
        <w:rPr>
          <w:rFonts w:hint="eastAsia"/>
        </w:rPr>
        <w:t>的规定。</w:t>
      </w:r>
    </w:p>
    <w:p>
      <w:pPr>
        <w:pStyle w:val="132"/>
        <w:spacing w:before="156" w:after="156"/>
      </w:pPr>
      <w:r>
        <w:rPr>
          <w:rFonts w:hint="eastAsia"/>
        </w:rPr>
        <w:t>干茶树菇感官指标</w:t>
      </w:r>
    </w:p>
    <w:tbl>
      <w:tblPr>
        <w:tblStyle w:val="34"/>
        <w:tblpPr w:leftFromText="180" w:rightFromText="180" w:vertAnchor="text" w:horzAnchor="margin" w:tblpY="56"/>
        <w:tblW w:w="957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590"/>
        <w:gridCol w:w="1650"/>
        <w:gridCol w:w="2175"/>
        <w:gridCol w:w="1778"/>
        <w:gridCol w:w="15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Calibri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5603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Calibri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59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Calibri"/>
                <w:color w:val="000000"/>
                <w:kern w:val="0"/>
                <w:sz w:val="18"/>
                <w:szCs w:val="18"/>
              </w:rPr>
              <w:t>检测方法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Calibri"/>
                <w:color w:val="000000"/>
                <w:kern w:val="0"/>
                <w:sz w:val="18"/>
                <w:szCs w:val="18"/>
              </w:rPr>
              <w:t>特级</w:t>
            </w:r>
          </w:p>
        </w:tc>
        <w:tc>
          <w:tcPr>
            <w:tcW w:w="217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Calibri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17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Calibri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2372" w:type="dxa"/>
            <w:gridSpan w:val="2"/>
            <w:vAlign w:val="center"/>
          </w:tcPr>
          <w:p>
            <w:pPr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Calibri"/>
                <w:color w:val="000000"/>
                <w:kern w:val="0"/>
                <w:sz w:val="18"/>
                <w:szCs w:val="18"/>
              </w:rPr>
              <w:t>形态</w:t>
            </w:r>
          </w:p>
        </w:tc>
        <w:tc>
          <w:tcPr>
            <w:tcW w:w="1650" w:type="dxa"/>
          </w:tcPr>
          <w:p>
            <w:pPr>
              <w:pStyle w:val="127"/>
              <w:jc w:val="both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</w:rPr>
              <w:t>菌盖呈半球形，菌膜完好，菇柄直，整丛菇体长度、体形较一致。</w:t>
            </w:r>
          </w:p>
          <w:p>
            <w:pPr>
              <w:pStyle w:val="127"/>
              <w:jc w:val="both"/>
              <w:rPr>
                <w:rFonts w:ascii="宋体" w:eastAsia="宋体" w:cs="Times New Roman"/>
                <w:sz w:val="18"/>
                <w:szCs w:val="18"/>
              </w:rPr>
            </w:pPr>
          </w:p>
        </w:tc>
        <w:tc>
          <w:tcPr>
            <w:tcW w:w="2175" w:type="dxa"/>
          </w:tcPr>
          <w:p>
            <w:pPr>
              <w:pStyle w:val="127"/>
              <w:jc w:val="both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</w:rPr>
              <w:t>菌盖呈半球形，菌膜基本完好，菌膜基本完好，菇柄稍弯曲，整丛菇体长度、体形较不一致。</w:t>
            </w:r>
          </w:p>
        </w:tc>
        <w:tc>
          <w:tcPr>
            <w:tcW w:w="1778" w:type="dxa"/>
          </w:tcPr>
          <w:p>
            <w:pPr>
              <w:pStyle w:val="127"/>
              <w:jc w:val="both"/>
              <w:rPr>
                <w:rFonts w:ascii="宋体" w:eastAsia="宋体" w:cs="Times New Roman"/>
                <w:sz w:val="18"/>
                <w:szCs w:val="18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</w:rPr>
              <w:t>菌盖稍平展，菌膜部分破裂，菇柄较弯曲，整丛菇体长度、体形不一致。</w:t>
            </w:r>
          </w:p>
        </w:tc>
        <w:tc>
          <w:tcPr>
            <w:tcW w:w="1595" w:type="dxa"/>
            <w:vMerge w:val="restart"/>
          </w:tcPr>
          <w:p>
            <w:pPr>
              <w:pStyle w:val="20"/>
              <w:ind w:firstLine="0" w:firstLineChars="0"/>
              <w:rPr>
                <w:rFonts w:hAnsi="Calibri"/>
                <w:color w:val="000000"/>
                <w:sz w:val="18"/>
                <w:szCs w:val="18"/>
              </w:rPr>
            </w:pPr>
            <w:r>
              <w:rPr>
                <w:rFonts w:hint="eastAsia" w:hAnsi="Calibri"/>
                <w:color w:val="000000"/>
                <w:sz w:val="18"/>
                <w:szCs w:val="18"/>
              </w:rPr>
              <w:t>取</w:t>
            </w:r>
            <w:r>
              <w:rPr>
                <w:rFonts w:hAnsi="Calibri"/>
                <w:color w:val="000000"/>
                <w:sz w:val="18"/>
                <w:szCs w:val="18"/>
              </w:rPr>
              <w:t>100g</w:t>
            </w:r>
            <w:r>
              <w:rPr>
                <w:rFonts w:hint="eastAsia" w:hAnsi="Calibri"/>
                <w:color w:val="000000"/>
                <w:sz w:val="18"/>
                <w:szCs w:val="18"/>
              </w:rPr>
              <w:t>干菇样品置于白色瓷盘中，在自然光下用眼观察样品色泽，用鼻子嗅样品气味，用眼睛观测是否有霉烂、虫蛀。用游标卡尺测量菌盖直径和菌柄长度。破碎菇体率、虫蛀菇率和一般杂质检测方法参照附录</w:t>
            </w:r>
            <w:r>
              <w:rPr>
                <w:rFonts w:hAnsi="Calibri"/>
                <w:color w:val="000000"/>
                <w:sz w:val="18"/>
                <w:szCs w:val="18"/>
              </w:rPr>
              <w:t>A</w:t>
            </w:r>
            <w:r>
              <w:rPr>
                <w:rFonts w:hint="eastAsia" w:hAnsi="Calibri"/>
                <w:color w:val="00000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Merge w:val="restart"/>
            <w:vAlign w:val="center"/>
          </w:tcPr>
          <w:p>
            <w:pPr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Calibri"/>
                <w:color w:val="000000"/>
                <w:kern w:val="0"/>
                <w:sz w:val="18"/>
                <w:szCs w:val="18"/>
              </w:rPr>
              <w:t>色泽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Calibri"/>
                <w:color w:val="000000"/>
                <w:kern w:val="0"/>
                <w:sz w:val="18"/>
                <w:szCs w:val="18"/>
              </w:rPr>
              <w:t>褐色茶树菇</w:t>
            </w:r>
          </w:p>
        </w:tc>
        <w:tc>
          <w:tcPr>
            <w:tcW w:w="1650" w:type="dxa"/>
          </w:tcPr>
          <w:p>
            <w:pPr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Calibri"/>
                <w:color w:val="000000"/>
                <w:kern w:val="0"/>
                <w:sz w:val="18"/>
                <w:szCs w:val="18"/>
              </w:rPr>
              <w:t>菇盖：黑褐色至暗红褐色；菇柄：浅棕色。菇盖、菇柄色泽均匀一致。</w:t>
            </w:r>
          </w:p>
        </w:tc>
        <w:tc>
          <w:tcPr>
            <w:tcW w:w="2175" w:type="dxa"/>
          </w:tcPr>
          <w:p>
            <w:pPr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Calibri"/>
                <w:color w:val="000000"/>
                <w:kern w:val="0"/>
                <w:sz w:val="18"/>
                <w:szCs w:val="18"/>
              </w:rPr>
              <w:t>菇盖：浅土黄色至暗红褐色；菇柄：浅棕色。菇盖、菇柄色泽基本一致。</w:t>
            </w:r>
          </w:p>
        </w:tc>
        <w:tc>
          <w:tcPr>
            <w:tcW w:w="1778" w:type="dxa"/>
          </w:tcPr>
          <w:p>
            <w:pPr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Calibri"/>
                <w:color w:val="000000"/>
                <w:kern w:val="0"/>
                <w:sz w:val="18"/>
                <w:szCs w:val="18"/>
              </w:rPr>
              <w:t>菇盖：浅土黄色；菇柄：浅棕色。菇盖、菇柄色泽比较一致。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Calibri"/>
                <w:color w:val="000000"/>
                <w:kern w:val="0"/>
                <w:sz w:val="18"/>
                <w:szCs w:val="18"/>
              </w:rPr>
              <w:t>白色茶树菇</w:t>
            </w:r>
          </w:p>
        </w:tc>
        <w:tc>
          <w:tcPr>
            <w:tcW w:w="1650" w:type="dxa"/>
          </w:tcPr>
          <w:p>
            <w:pPr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Calibri"/>
                <w:color w:val="000000"/>
                <w:kern w:val="0"/>
                <w:sz w:val="18"/>
                <w:szCs w:val="18"/>
              </w:rPr>
              <w:t>菇盖：乳白色；菇柄：近白色。菇盖、菇柄色泽一致。</w:t>
            </w:r>
          </w:p>
        </w:tc>
        <w:tc>
          <w:tcPr>
            <w:tcW w:w="2175" w:type="dxa"/>
          </w:tcPr>
          <w:p>
            <w:pPr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Calibri"/>
                <w:color w:val="000000"/>
                <w:kern w:val="0"/>
                <w:sz w:val="18"/>
                <w:szCs w:val="18"/>
              </w:rPr>
              <w:t>菇盖：乳白色；菇柄：近白色。菇盖、菇柄色泽基本一致。</w:t>
            </w:r>
          </w:p>
        </w:tc>
        <w:tc>
          <w:tcPr>
            <w:tcW w:w="1778" w:type="dxa"/>
          </w:tcPr>
          <w:p>
            <w:pPr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Calibri"/>
                <w:color w:val="000000"/>
                <w:kern w:val="0"/>
                <w:sz w:val="18"/>
                <w:szCs w:val="18"/>
              </w:rPr>
              <w:t>菇盖：乳白色；菇柄：近白色。菇盖、菇柄色泽比较一致。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gridSpan w:val="2"/>
            <w:vAlign w:val="center"/>
          </w:tcPr>
          <w:p>
            <w:pPr>
              <w:pStyle w:val="20"/>
              <w:ind w:firstLine="0" w:firstLineChars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气味</w:t>
            </w:r>
          </w:p>
        </w:tc>
        <w:tc>
          <w:tcPr>
            <w:tcW w:w="1650" w:type="dxa"/>
          </w:tcPr>
          <w:p>
            <w:pPr>
              <w:pStyle w:val="20"/>
              <w:ind w:firstLine="0" w:firstLineChars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具有浓郁的茶树菇特有的香味。</w:t>
            </w:r>
          </w:p>
        </w:tc>
        <w:tc>
          <w:tcPr>
            <w:tcW w:w="2175" w:type="dxa"/>
          </w:tcPr>
          <w:p>
            <w:pPr>
              <w:pStyle w:val="20"/>
              <w:ind w:firstLine="0" w:firstLineChars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具有比较浓郁的茶树菇特有的香味。</w:t>
            </w:r>
          </w:p>
        </w:tc>
        <w:tc>
          <w:tcPr>
            <w:tcW w:w="1778" w:type="dxa"/>
          </w:tcPr>
          <w:p>
            <w:pPr>
              <w:pStyle w:val="20"/>
              <w:ind w:firstLine="0" w:firstLineChars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具有茶树菇特有的香味。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372" w:type="dxa"/>
            <w:gridSpan w:val="2"/>
            <w:vAlign w:val="center"/>
          </w:tcPr>
          <w:p>
            <w:pPr>
              <w:pStyle w:val="20"/>
              <w:ind w:firstLine="0" w:firstLineChars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菇盖直径</w:t>
            </w:r>
            <w:r>
              <w:rPr>
                <w:color w:val="000000"/>
                <w:sz w:val="18"/>
                <w:szCs w:val="18"/>
              </w:rPr>
              <w:t xml:space="preserve"> mm</w:t>
            </w:r>
          </w:p>
        </w:tc>
        <w:tc>
          <w:tcPr>
            <w:tcW w:w="1650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d</w:t>
            </w: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175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＜</w:t>
            </w:r>
            <w:r>
              <w:rPr>
                <w:color w:val="000000"/>
                <w:sz w:val="18"/>
                <w:szCs w:val="18"/>
              </w:rPr>
              <w:t>d</w:t>
            </w: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78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＜</w:t>
            </w:r>
            <w:r>
              <w:rPr>
                <w:color w:val="000000"/>
                <w:sz w:val="18"/>
                <w:szCs w:val="18"/>
              </w:rPr>
              <w:t>d</w:t>
            </w: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372" w:type="dxa"/>
            <w:gridSpan w:val="2"/>
            <w:vAlign w:val="center"/>
          </w:tcPr>
          <w:p>
            <w:pPr>
              <w:pStyle w:val="20"/>
              <w:ind w:firstLine="0" w:firstLineChars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菇柄长度</w:t>
            </w:r>
            <w:r>
              <w:rPr>
                <w:color w:val="000000"/>
                <w:sz w:val="18"/>
                <w:szCs w:val="18"/>
              </w:rPr>
              <w:t xml:space="preserve"> mm</w:t>
            </w:r>
          </w:p>
        </w:tc>
        <w:tc>
          <w:tcPr>
            <w:tcW w:w="1650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d</w:t>
            </w: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75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>
              <w:rPr>
                <w:rFonts w:hint="eastAsia"/>
                <w:color w:val="000000"/>
                <w:sz w:val="18"/>
                <w:szCs w:val="18"/>
              </w:rPr>
              <w:t>＜</w:t>
            </w:r>
            <w:r>
              <w:rPr>
                <w:color w:val="000000"/>
                <w:sz w:val="18"/>
                <w:szCs w:val="18"/>
              </w:rPr>
              <w:t>d</w:t>
            </w: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778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  <w:r>
              <w:rPr>
                <w:rFonts w:hint="eastAsia"/>
                <w:color w:val="000000"/>
                <w:sz w:val="18"/>
                <w:szCs w:val="18"/>
              </w:rPr>
              <w:t>＜</w:t>
            </w:r>
            <w:r>
              <w:rPr>
                <w:color w:val="000000"/>
                <w:sz w:val="18"/>
                <w:szCs w:val="18"/>
              </w:rPr>
              <w:t>d</w:t>
            </w: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372" w:type="dxa"/>
            <w:gridSpan w:val="2"/>
            <w:vAlign w:val="center"/>
          </w:tcPr>
          <w:p>
            <w:pPr>
              <w:pStyle w:val="20"/>
              <w:ind w:firstLine="0" w:firstLineChars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破碎菇率</w:t>
            </w:r>
            <w:r>
              <w:rPr>
                <w:color w:val="000000"/>
                <w:sz w:val="18"/>
                <w:szCs w:val="18"/>
              </w:rPr>
              <w:t xml:space="preserve"> % </w:t>
            </w:r>
            <w:r>
              <w:rPr>
                <w:rFonts w:hint="eastAsia"/>
                <w:color w:val="000000"/>
                <w:sz w:val="18"/>
                <w:szCs w:val="18"/>
              </w:rPr>
              <w:t>（质量分数）</w:t>
            </w:r>
          </w:p>
        </w:tc>
        <w:tc>
          <w:tcPr>
            <w:tcW w:w="1650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5.0</w:t>
            </w:r>
          </w:p>
        </w:tc>
        <w:tc>
          <w:tcPr>
            <w:tcW w:w="2175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8.0</w:t>
            </w:r>
          </w:p>
        </w:tc>
        <w:tc>
          <w:tcPr>
            <w:tcW w:w="1778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372" w:type="dxa"/>
            <w:gridSpan w:val="2"/>
            <w:vAlign w:val="center"/>
          </w:tcPr>
          <w:p>
            <w:pPr>
              <w:pStyle w:val="20"/>
              <w:ind w:firstLine="0" w:firstLineChars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虫孔菇率</w:t>
            </w:r>
            <w:r>
              <w:rPr>
                <w:color w:val="000000"/>
                <w:sz w:val="18"/>
                <w:szCs w:val="18"/>
              </w:rPr>
              <w:t xml:space="preserve"> %</w:t>
            </w:r>
            <w:r>
              <w:rPr>
                <w:rFonts w:hint="eastAsia"/>
                <w:color w:val="000000"/>
                <w:sz w:val="18"/>
                <w:szCs w:val="18"/>
              </w:rPr>
              <w:t>（质量分数）</w:t>
            </w:r>
          </w:p>
        </w:tc>
        <w:tc>
          <w:tcPr>
            <w:tcW w:w="1650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2175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1778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372" w:type="dxa"/>
            <w:gridSpan w:val="2"/>
            <w:vAlign w:val="center"/>
          </w:tcPr>
          <w:p>
            <w:pPr>
              <w:pStyle w:val="20"/>
              <w:ind w:firstLine="0" w:firstLineChars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霉变菇率</w:t>
            </w:r>
            <w:r>
              <w:rPr>
                <w:color w:val="000000"/>
                <w:sz w:val="18"/>
                <w:szCs w:val="18"/>
              </w:rPr>
              <w:t xml:space="preserve"> %</w:t>
            </w:r>
            <w:r>
              <w:rPr>
                <w:rFonts w:hint="eastAsia"/>
                <w:color w:val="000000"/>
                <w:sz w:val="18"/>
                <w:szCs w:val="18"/>
              </w:rPr>
              <w:t>（质量分数）</w:t>
            </w:r>
          </w:p>
        </w:tc>
        <w:tc>
          <w:tcPr>
            <w:tcW w:w="1650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2175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778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372" w:type="dxa"/>
            <w:gridSpan w:val="2"/>
            <w:vAlign w:val="center"/>
          </w:tcPr>
          <w:p>
            <w:pPr>
              <w:pStyle w:val="20"/>
              <w:ind w:firstLine="0" w:firstLineChars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一般杂质率</w:t>
            </w:r>
            <w:r>
              <w:rPr>
                <w:color w:val="000000"/>
                <w:sz w:val="18"/>
                <w:szCs w:val="18"/>
              </w:rPr>
              <w:t xml:space="preserve"> %</w:t>
            </w:r>
            <w:r>
              <w:rPr>
                <w:rFonts w:hint="eastAsia"/>
                <w:color w:val="000000"/>
                <w:sz w:val="18"/>
                <w:szCs w:val="18"/>
              </w:rPr>
              <w:t>（质量分数）</w:t>
            </w:r>
          </w:p>
        </w:tc>
        <w:tc>
          <w:tcPr>
            <w:tcW w:w="1650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2175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778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≤</w:t>
            </w:r>
            <w:r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37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pStyle w:val="20"/>
              <w:ind w:firstLine="0" w:firstLineChars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有害杂质</w:t>
            </w:r>
          </w:p>
        </w:tc>
        <w:tc>
          <w:tcPr>
            <w:tcW w:w="1650" w:type="dxa"/>
            <w:tcBorders>
              <w:bottom w:val="single" w:color="auto" w:sz="8" w:space="0"/>
            </w:tcBorders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2175" w:type="dxa"/>
            <w:tcBorders>
              <w:bottom w:val="single" w:color="auto" w:sz="8" w:space="0"/>
            </w:tcBorders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778" w:type="dxa"/>
            <w:tcBorders>
              <w:bottom w:val="single" w:color="auto" w:sz="8" w:space="0"/>
            </w:tcBorders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59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</w:tbl>
    <w:p>
      <w:pPr>
        <w:pStyle w:val="50"/>
        <w:spacing w:before="156" w:after="156"/>
      </w:pPr>
      <w:bookmarkStart w:id="103" w:name="_Toc486532794"/>
      <w:r>
        <w:rPr>
          <w:rFonts w:hint="eastAsia"/>
        </w:rPr>
        <w:t>理化指标</w:t>
      </w:r>
      <w:bookmarkEnd w:id="103"/>
    </w:p>
    <w:p>
      <w:pPr>
        <w:pStyle w:val="20"/>
      </w:pPr>
      <w:r>
        <w:rPr>
          <w:rFonts w:hint="eastAsia"/>
        </w:rPr>
        <w:t>理化指标应符合表</w:t>
      </w:r>
      <w:r>
        <w:t>3</w:t>
      </w:r>
      <w:r>
        <w:rPr>
          <w:rFonts w:hint="eastAsia"/>
        </w:rPr>
        <w:t>的规定。</w:t>
      </w:r>
    </w:p>
    <w:p>
      <w:pPr>
        <w:pStyle w:val="132"/>
        <w:spacing w:before="156" w:after="156"/>
      </w:pPr>
      <w:r>
        <w:rPr>
          <w:rFonts w:hint="eastAsia"/>
        </w:rPr>
        <w:t>理化指标</w:t>
      </w:r>
    </w:p>
    <w:tbl>
      <w:tblPr>
        <w:tblStyle w:val="34"/>
        <w:tblW w:w="85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1"/>
        <w:gridCol w:w="1800"/>
        <w:gridCol w:w="1839"/>
        <w:gridCol w:w="1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051" w:type="dxa"/>
            <w:vMerge w:val="restart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rFonts w:hint="eastAsia"/>
                <w:color w:val="000000"/>
                <w:sz w:val="18"/>
                <w:szCs w:val="22"/>
              </w:rPr>
              <w:t>项目</w:t>
            </w:r>
          </w:p>
        </w:tc>
        <w:tc>
          <w:tcPr>
            <w:tcW w:w="3639" w:type="dxa"/>
            <w:gridSpan w:val="2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rFonts w:hint="eastAsia"/>
                <w:color w:val="000000"/>
                <w:sz w:val="18"/>
                <w:szCs w:val="22"/>
              </w:rPr>
              <w:t>指标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rFonts w:hint="eastAsia"/>
                <w:color w:val="000000"/>
                <w:sz w:val="18"/>
                <w:szCs w:val="22"/>
              </w:rPr>
              <w:t>检测方法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051" w:type="dxa"/>
            <w:vMerge w:val="continue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rFonts w:hint="eastAsia"/>
                <w:color w:val="000000"/>
                <w:sz w:val="18"/>
                <w:szCs w:val="22"/>
              </w:rPr>
              <w:t>鲜茶树菇</w:t>
            </w:r>
          </w:p>
        </w:tc>
        <w:tc>
          <w:tcPr>
            <w:tcW w:w="1839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rFonts w:hint="eastAsia"/>
                <w:color w:val="000000"/>
                <w:sz w:val="18"/>
                <w:szCs w:val="22"/>
              </w:rPr>
              <w:t>干茶树菇</w:t>
            </w:r>
          </w:p>
        </w:tc>
        <w:tc>
          <w:tcPr>
            <w:tcW w:w="1830" w:type="dxa"/>
            <w:vMerge w:val="continue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051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rFonts w:hint="eastAsia"/>
                <w:color w:val="000000"/>
                <w:sz w:val="18"/>
                <w:szCs w:val="22"/>
              </w:rPr>
              <w:t>水分</w:t>
            </w:r>
            <w:r>
              <w:rPr>
                <w:color w:val="000000"/>
                <w:sz w:val="18"/>
                <w:szCs w:val="22"/>
              </w:rPr>
              <w:t xml:space="preserve"> % </w:t>
            </w:r>
            <w:r>
              <w:rPr>
                <w:rFonts w:hint="eastAsia"/>
                <w:color w:val="000000"/>
                <w:sz w:val="18"/>
                <w:szCs w:val="22"/>
              </w:rPr>
              <w:t>（质量分数）</w:t>
            </w:r>
          </w:p>
        </w:tc>
        <w:tc>
          <w:tcPr>
            <w:tcW w:w="1800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rFonts w:hint="eastAsia"/>
                <w:color w:val="000000"/>
                <w:sz w:val="18"/>
                <w:szCs w:val="22"/>
              </w:rPr>
              <w:t>≤</w:t>
            </w:r>
            <w:r>
              <w:rPr>
                <w:color w:val="000000"/>
                <w:sz w:val="18"/>
                <w:szCs w:val="22"/>
              </w:rPr>
              <w:t>92.0</w:t>
            </w:r>
          </w:p>
        </w:tc>
        <w:tc>
          <w:tcPr>
            <w:tcW w:w="1839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rFonts w:hint="eastAsia"/>
                <w:color w:val="000000"/>
                <w:sz w:val="18"/>
                <w:szCs w:val="22"/>
              </w:rPr>
              <w:t>≤</w:t>
            </w:r>
            <w:r>
              <w:rPr>
                <w:color w:val="000000"/>
                <w:sz w:val="18"/>
                <w:szCs w:val="22"/>
              </w:rPr>
              <w:t>14.0</w:t>
            </w:r>
          </w:p>
        </w:tc>
        <w:tc>
          <w:tcPr>
            <w:tcW w:w="1830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rFonts w:hAnsi="宋体"/>
                <w:szCs w:val="21"/>
              </w:rPr>
              <w:t>GB 5009.3-2016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051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rFonts w:hint="eastAsia"/>
                <w:color w:val="000000"/>
                <w:sz w:val="18"/>
                <w:szCs w:val="22"/>
              </w:rPr>
              <w:t>粗蛋白</w:t>
            </w:r>
            <w:r>
              <w:rPr>
                <w:color w:val="000000"/>
                <w:sz w:val="18"/>
                <w:szCs w:val="22"/>
              </w:rPr>
              <w:t xml:space="preserve"> % </w:t>
            </w:r>
            <w:r>
              <w:rPr>
                <w:rFonts w:hint="eastAsia"/>
                <w:color w:val="000000"/>
                <w:sz w:val="18"/>
                <w:szCs w:val="22"/>
              </w:rPr>
              <w:t>（质量分数）</w:t>
            </w:r>
          </w:p>
        </w:tc>
        <w:tc>
          <w:tcPr>
            <w:tcW w:w="1800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rFonts w:hint="eastAsia"/>
                <w:color w:val="000000"/>
                <w:sz w:val="18"/>
                <w:szCs w:val="22"/>
              </w:rPr>
              <w:t>≥</w:t>
            </w:r>
            <w:r>
              <w:rPr>
                <w:color w:val="000000"/>
                <w:sz w:val="18"/>
                <w:szCs w:val="22"/>
              </w:rPr>
              <w:t>1.2</w:t>
            </w:r>
          </w:p>
        </w:tc>
        <w:tc>
          <w:tcPr>
            <w:tcW w:w="1839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rFonts w:hint="eastAsia"/>
                <w:color w:val="000000"/>
                <w:sz w:val="18"/>
                <w:szCs w:val="22"/>
              </w:rPr>
              <w:t>≥</w:t>
            </w:r>
            <w:r>
              <w:rPr>
                <w:color w:val="000000"/>
                <w:sz w:val="18"/>
                <w:szCs w:val="22"/>
              </w:rPr>
              <w:t>12.0</w:t>
            </w:r>
          </w:p>
        </w:tc>
        <w:tc>
          <w:tcPr>
            <w:tcW w:w="1830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</w:rPr>
              <w:t>GB/ 5009.5-2016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051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rFonts w:hint="eastAsia"/>
                <w:color w:val="000000"/>
                <w:sz w:val="18"/>
                <w:szCs w:val="22"/>
              </w:rPr>
              <w:t>粗纤维</w:t>
            </w:r>
            <w:r>
              <w:rPr>
                <w:color w:val="000000"/>
                <w:sz w:val="18"/>
                <w:szCs w:val="22"/>
              </w:rPr>
              <w:t xml:space="preserve"> % </w:t>
            </w:r>
            <w:r>
              <w:rPr>
                <w:rFonts w:hint="eastAsia"/>
                <w:color w:val="000000"/>
                <w:sz w:val="18"/>
                <w:szCs w:val="22"/>
              </w:rPr>
              <w:t>（质量分数）</w:t>
            </w:r>
          </w:p>
        </w:tc>
        <w:tc>
          <w:tcPr>
            <w:tcW w:w="1800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rFonts w:hint="eastAsia"/>
                <w:color w:val="000000"/>
                <w:sz w:val="18"/>
                <w:szCs w:val="22"/>
              </w:rPr>
              <w:t>≤</w:t>
            </w:r>
            <w:r>
              <w:rPr>
                <w:color w:val="000000"/>
                <w:sz w:val="18"/>
                <w:szCs w:val="22"/>
              </w:rPr>
              <w:t>1.5</w:t>
            </w:r>
          </w:p>
        </w:tc>
        <w:tc>
          <w:tcPr>
            <w:tcW w:w="1839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rFonts w:hint="eastAsia"/>
                <w:color w:val="000000"/>
                <w:sz w:val="18"/>
                <w:szCs w:val="22"/>
              </w:rPr>
              <w:t>≤</w:t>
            </w:r>
            <w:r>
              <w:rPr>
                <w:color w:val="000000"/>
                <w:sz w:val="18"/>
                <w:szCs w:val="22"/>
              </w:rPr>
              <w:t>10.0</w:t>
            </w:r>
          </w:p>
        </w:tc>
        <w:tc>
          <w:tcPr>
            <w:tcW w:w="1830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rFonts w:hAnsi="宋体"/>
                <w:color w:val="000000"/>
                <w:szCs w:val="21"/>
              </w:rPr>
              <w:t>GB/T 5009.10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051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rFonts w:hint="eastAsia"/>
                <w:color w:val="000000"/>
                <w:sz w:val="18"/>
                <w:szCs w:val="22"/>
              </w:rPr>
              <w:t>灰分</w:t>
            </w:r>
            <w:r>
              <w:rPr>
                <w:color w:val="000000"/>
                <w:sz w:val="18"/>
                <w:szCs w:val="22"/>
              </w:rPr>
              <w:t xml:space="preserve"> % </w:t>
            </w:r>
            <w:r>
              <w:rPr>
                <w:rFonts w:hint="eastAsia"/>
                <w:color w:val="000000"/>
                <w:sz w:val="18"/>
                <w:szCs w:val="22"/>
              </w:rPr>
              <w:t>（质量分数）</w:t>
            </w:r>
          </w:p>
        </w:tc>
        <w:tc>
          <w:tcPr>
            <w:tcW w:w="1800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rFonts w:hint="eastAsia"/>
                <w:color w:val="000000"/>
                <w:sz w:val="18"/>
                <w:szCs w:val="22"/>
              </w:rPr>
              <w:t>≤</w:t>
            </w:r>
            <w:r>
              <w:rPr>
                <w:color w:val="000000"/>
                <w:sz w:val="18"/>
                <w:szCs w:val="22"/>
              </w:rPr>
              <w:t>0.75</w:t>
            </w:r>
          </w:p>
        </w:tc>
        <w:tc>
          <w:tcPr>
            <w:tcW w:w="1839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rFonts w:hint="eastAsia"/>
                <w:color w:val="000000"/>
                <w:sz w:val="18"/>
                <w:szCs w:val="22"/>
              </w:rPr>
              <w:t>≤</w:t>
            </w:r>
            <w:r>
              <w:rPr>
                <w:color w:val="000000"/>
                <w:sz w:val="18"/>
                <w:szCs w:val="22"/>
              </w:rPr>
              <w:t>8.50</w:t>
            </w:r>
          </w:p>
        </w:tc>
        <w:tc>
          <w:tcPr>
            <w:tcW w:w="1830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</w:rPr>
              <w:t>GB/ 5009.4-2016</w:t>
            </w:r>
          </w:p>
        </w:tc>
      </w:tr>
    </w:tbl>
    <w:p>
      <w:pPr>
        <w:pStyle w:val="50"/>
        <w:spacing w:before="156" w:after="156"/>
      </w:pPr>
      <w:bookmarkStart w:id="104" w:name="_Toc486532795"/>
      <w:r>
        <w:rPr>
          <w:rFonts w:hint="eastAsia"/>
        </w:rPr>
        <w:t>安全指标</w:t>
      </w:r>
      <w:bookmarkEnd w:id="104"/>
    </w:p>
    <w:p>
      <w:pPr>
        <w:pStyle w:val="20"/>
      </w:pPr>
      <w:r>
        <w:rPr>
          <w:rFonts w:hint="eastAsia"/>
        </w:rPr>
        <w:t>食品添加剂、污染物、农药残留限量应分别符合</w:t>
      </w:r>
      <w:r>
        <w:t>GB2760</w:t>
      </w:r>
      <w:r>
        <w:rPr>
          <w:rFonts w:hint="eastAsia"/>
        </w:rPr>
        <w:t>、</w:t>
      </w:r>
      <w:r>
        <w:t>GB2762</w:t>
      </w:r>
      <w:r>
        <w:rPr>
          <w:rFonts w:hint="eastAsia"/>
        </w:rPr>
        <w:t>、</w:t>
      </w:r>
      <w:r>
        <w:t>GB2763</w:t>
      </w:r>
      <w:r>
        <w:rPr>
          <w:rFonts w:hint="eastAsia"/>
        </w:rPr>
        <w:t>的规定。</w:t>
      </w:r>
    </w:p>
    <w:p>
      <w:pPr>
        <w:pStyle w:val="66"/>
        <w:spacing w:before="312" w:after="312"/>
      </w:pPr>
      <w:bookmarkStart w:id="105" w:name="_Toc396756486"/>
      <w:bookmarkStart w:id="106" w:name="_Toc406429877"/>
      <w:bookmarkStart w:id="107" w:name="_Toc409019444"/>
      <w:bookmarkStart w:id="108" w:name="_Toc407454835"/>
      <w:bookmarkStart w:id="109" w:name="_Toc519581784"/>
      <w:bookmarkStart w:id="110" w:name="_Toc486532796"/>
      <w:bookmarkStart w:id="111" w:name="_Toc408140788"/>
      <w:bookmarkStart w:id="112" w:name="_Toc402698444"/>
      <w:bookmarkStart w:id="113" w:name="_Toc485916017"/>
      <w:bookmarkStart w:id="114" w:name="_Toc402698280"/>
      <w:bookmarkStart w:id="115" w:name="_Toc409164873"/>
      <w:bookmarkStart w:id="116" w:name="_Toc406517547"/>
      <w:bookmarkStart w:id="117" w:name="_Toc396807015"/>
      <w:r>
        <w:rPr>
          <w:rFonts w:hint="eastAsia"/>
        </w:rPr>
        <w:t>检验规则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>
      <w:pPr>
        <w:pStyle w:val="50"/>
        <w:spacing w:before="156" w:after="156"/>
      </w:pPr>
      <w:bookmarkStart w:id="118" w:name="_Toc486532797"/>
      <w:bookmarkStart w:id="119" w:name="_Toc485916023"/>
      <w:r>
        <w:rPr>
          <w:rFonts w:hint="eastAsia"/>
        </w:rPr>
        <w:t>组批</w:t>
      </w:r>
      <w:bookmarkEnd w:id="118"/>
      <w:bookmarkEnd w:id="119"/>
    </w:p>
    <w:p>
      <w:pPr>
        <w:pStyle w:val="20"/>
        <w:rPr>
          <w:color w:val="000000"/>
        </w:rPr>
      </w:pPr>
      <w:r>
        <w:rPr>
          <w:rFonts w:hint="eastAsia"/>
          <w:color w:val="000000"/>
        </w:rPr>
        <w:t>产地抽样以同一产地、同一品种、同一批次、同时采收、同等级的茶树菇作为一个检验批次，市场抽样以同一产地的茶树菇作为一个检验批次。</w:t>
      </w:r>
    </w:p>
    <w:p>
      <w:pPr>
        <w:pStyle w:val="50"/>
        <w:spacing w:before="156" w:after="156"/>
      </w:pPr>
      <w:bookmarkStart w:id="120" w:name="_Toc407454842"/>
      <w:bookmarkStart w:id="121" w:name="_Toc396756489"/>
      <w:bookmarkStart w:id="122" w:name="_Toc402698451"/>
      <w:bookmarkStart w:id="123" w:name="_Toc396807018"/>
      <w:bookmarkStart w:id="124" w:name="_Toc485916024"/>
      <w:bookmarkStart w:id="125" w:name="_Toc406517554"/>
      <w:bookmarkStart w:id="126" w:name="_Toc406429884"/>
      <w:bookmarkStart w:id="127" w:name="_Toc486532798"/>
      <w:bookmarkStart w:id="128" w:name="_Toc408140795"/>
      <w:bookmarkStart w:id="129" w:name="_Toc402698287"/>
      <w:r>
        <w:rPr>
          <w:rFonts w:hint="eastAsia"/>
        </w:rPr>
        <w:t>取样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>
      <w:pPr>
        <w:pStyle w:val="20"/>
      </w:pPr>
      <w:r>
        <w:rPr>
          <w:rFonts w:hint="eastAsia"/>
        </w:rPr>
        <w:t>取样应符合</w:t>
      </w:r>
      <w:r>
        <w:t>GB/T 8855</w:t>
      </w:r>
      <w:r>
        <w:rPr>
          <w:rFonts w:hint="eastAsia"/>
        </w:rPr>
        <w:t>的规定，</w:t>
      </w:r>
      <w:r>
        <w:rPr>
          <w:rFonts w:hint="eastAsia" w:ascii="Times New Roman"/>
          <w:szCs w:val="21"/>
        </w:rPr>
        <w:t>每批产品随机抽取，抽样量应为检验所需量的</w:t>
      </w:r>
      <w:r>
        <w:rPr>
          <w:rFonts w:ascii="Times New Roman"/>
          <w:szCs w:val="21"/>
        </w:rPr>
        <w:t>3</w:t>
      </w:r>
      <w:r>
        <w:rPr>
          <w:rFonts w:hint="eastAsia" w:ascii="Times New Roman"/>
          <w:szCs w:val="21"/>
        </w:rPr>
        <w:t>倍，作为检验及留样</w:t>
      </w:r>
      <w:r>
        <w:rPr>
          <w:rFonts w:hint="eastAsia"/>
          <w:color w:val="000000"/>
        </w:rPr>
        <w:t>。</w:t>
      </w:r>
    </w:p>
    <w:p>
      <w:pPr>
        <w:pStyle w:val="50"/>
        <w:spacing w:before="156" w:after="156"/>
      </w:pPr>
      <w:bookmarkStart w:id="130" w:name="_Toc408140789"/>
      <w:bookmarkStart w:id="131" w:name="_Toc406517548"/>
      <w:bookmarkStart w:id="132" w:name="_Toc407454836"/>
      <w:bookmarkStart w:id="133" w:name="_Toc485916018"/>
      <w:bookmarkStart w:id="134" w:name="_Toc402698445"/>
      <w:bookmarkStart w:id="135" w:name="_Toc396756487"/>
      <w:bookmarkStart w:id="136" w:name="_Toc486532799"/>
      <w:bookmarkStart w:id="137" w:name="_Toc396807016"/>
      <w:bookmarkStart w:id="138" w:name="_Toc402698281"/>
      <w:bookmarkStart w:id="139" w:name="_Toc406429878"/>
      <w:r>
        <w:rPr>
          <w:rFonts w:hint="eastAsia"/>
        </w:rPr>
        <w:t>检验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>
      <w:pPr>
        <w:pStyle w:val="49"/>
        <w:spacing w:before="156" w:after="156"/>
      </w:pPr>
      <w:bookmarkStart w:id="140" w:name="_Toc406517549"/>
      <w:bookmarkStart w:id="141" w:name="_Toc406429879"/>
      <w:bookmarkStart w:id="142" w:name="_Toc402698446"/>
      <w:bookmarkStart w:id="143" w:name="_Toc486532800"/>
      <w:bookmarkStart w:id="144" w:name="_Toc408140790"/>
      <w:bookmarkStart w:id="145" w:name="_Toc407454837"/>
      <w:bookmarkStart w:id="146" w:name="_Toc485916019"/>
      <w:bookmarkStart w:id="147" w:name="_Toc402698282"/>
      <w:r>
        <w:rPr>
          <w:rFonts w:hint="eastAsia"/>
        </w:rPr>
        <w:t>出厂检验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>
      <w:pPr>
        <w:pStyle w:val="20"/>
      </w:pPr>
      <w:r>
        <w:rPr>
          <w:rFonts w:hint="eastAsia"/>
          <w:color w:val="000000"/>
        </w:rPr>
        <w:t>每批产品出厂前按分类指标进行感官、水分、灰分检验，合格后签署产品合格证出厂。</w:t>
      </w:r>
    </w:p>
    <w:p>
      <w:pPr>
        <w:pStyle w:val="49"/>
        <w:spacing w:before="156" w:after="156"/>
      </w:pPr>
      <w:bookmarkStart w:id="148" w:name="_Toc486532801"/>
      <w:r>
        <w:rPr>
          <w:rFonts w:hint="eastAsia"/>
        </w:rPr>
        <w:t>型式检验</w:t>
      </w:r>
      <w:bookmarkEnd w:id="148"/>
    </w:p>
    <w:p>
      <w:pPr>
        <w:pStyle w:val="20"/>
      </w:pPr>
      <w:r>
        <w:rPr>
          <w:rFonts w:hint="eastAsia"/>
        </w:rPr>
        <w:t>型式检验为本标准的全项目检验。正常情况为每半年进行一次，发现下列情况之一时也应进行：</w:t>
      </w:r>
    </w:p>
    <w:p>
      <w:pPr>
        <w:pStyle w:val="81"/>
        <w:rPr>
          <w:rFonts w:ascii="Times New Roman"/>
        </w:rPr>
      </w:pPr>
      <w:r>
        <w:rPr>
          <w:rFonts w:hint="eastAsia" w:ascii="Times New Roman"/>
        </w:rPr>
        <w:t>停产</w:t>
      </w:r>
      <w:r>
        <w:rPr>
          <w:rFonts w:ascii="Times New Roman"/>
        </w:rPr>
        <w:t>3</w:t>
      </w:r>
      <w:r>
        <w:rPr>
          <w:rFonts w:hint="eastAsia" w:ascii="Times New Roman"/>
        </w:rPr>
        <w:t>个月以上再恢复生产时；</w:t>
      </w:r>
    </w:p>
    <w:p>
      <w:pPr>
        <w:pStyle w:val="81"/>
        <w:rPr>
          <w:rFonts w:ascii="Times New Roman"/>
        </w:rPr>
      </w:pPr>
      <w:r>
        <w:rPr>
          <w:rFonts w:hint="eastAsia" w:ascii="Times New Roman"/>
        </w:rPr>
        <w:t>原、辅料来源发生变化时；</w:t>
      </w:r>
    </w:p>
    <w:p>
      <w:pPr>
        <w:pStyle w:val="81"/>
        <w:rPr>
          <w:rFonts w:ascii="Times New Roman"/>
        </w:rPr>
      </w:pPr>
      <w:r>
        <w:rPr>
          <w:rFonts w:hint="eastAsia" w:ascii="Times New Roman"/>
        </w:rPr>
        <w:t>本次检验结果与上次检验结果发生较大差异时；</w:t>
      </w:r>
    </w:p>
    <w:p>
      <w:pPr>
        <w:pStyle w:val="81"/>
        <w:rPr>
          <w:color w:val="000000"/>
        </w:rPr>
      </w:pPr>
      <w:r>
        <w:rPr>
          <w:rFonts w:hint="eastAsia" w:ascii="Times New Roman"/>
        </w:rPr>
        <w:t>更换主要生产设备时。</w:t>
      </w:r>
    </w:p>
    <w:p>
      <w:pPr>
        <w:pStyle w:val="49"/>
        <w:spacing w:before="156" w:after="156"/>
      </w:pPr>
      <w:bookmarkStart w:id="149" w:name="_Toc408140793"/>
      <w:bookmarkStart w:id="150" w:name="_Toc406429882"/>
      <w:bookmarkStart w:id="151" w:name="_Toc402698285"/>
      <w:bookmarkStart w:id="152" w:name="_Toc407454840"/>
      <w:bookmarkStart w:id="153" w:name="_Toc406517552"/>
      <w:bookmarkStart w:id="154" w:name="_Toc402698449"/>
      <w:bookmarkStart w:id="155" w:name="_Toc485916022"/>
      <w:bookmarkStart w:id="156" w:name="_Toc486532802"/>
      <w:r>
        <w:rPr>
          <w:rFonts w:hint="eastAsia"/>
        </w:rPr>
        <w:t>仲裁检验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>
      <w:pPr>
        <w:pStyle w:val="20"/>
        <w:rPr>
          <w:color w:val="000000"/>
        </w:rPr>
      </w:pPr>
      <w:r>
        <w:rPr>
          <w:rFonts w:hint="eastAsia"/>
          <w:color w:val="000000"/>
        </w:rPr>
        <w:t>交收双方发生争议时，可由有关各方协商解决或委托法定检验机构进行仲裁检验，检验结果作为最后判定依据。</w:t>
      </w:r>
    </w:p>
    <w:p>
      <w:pPr>
        <w:pStyle w:val="50"/>
        <w:spacing w:before="156" w:after="156"/>
      </w:pPr>
      <w:bookmarkStart w:id="157" w:name="_Toc406429885"/>
      <w:bookmarkStart w:id="158" w:name="_Toc396756490"/>
      <w:bookmarkStart w:id="159" w:name="_Toc396807019"/>
      <w:bookmarkStart w:id="160" w:name="_Toc486532803"/>
      <w:bookmarkStart w:id="161" w:name="_Toc408140796"/>
      <w:bookmarkStart w:id="162" w:name="_Toc407454843"/>
      <w:bookmarkStart w:id="163" w:name="_Toc402698288"/>
      <w:bookmarkStart w:id="164" w:name="_Toc402698452"/>
      <w:bookmarkStart w:id="165" w:name="_Toc406517555"/>
      <w:bookmarkStart w:id="166" w:name="_Toc485916025"/>
      <w:r>
        <w:rPr>
          <w:rFonts w:hint="eastAsia"/>
        </w:rPr>
        <w:t>判定规则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>
      <w:pPr>
        <w:pStyle w:val="20"/>
      </w:pPr>
      <w:r>
        <w:rPr>
          <w:rFonts w:hint="eastAsia"/>
        </w:rPr>
        <w:t>检验结果中有一项或一项以上指标不符合本标准规定时，应在同一批产品中重新加倍抽样</w:t>
      </w:r>
      <w:r>
        <w:rPr>
          <w:rFonts w:hint="eastAsia"/>
          <w:color w:val="0070C0"/>
        </w:rPr>
        <w:t>，</w:t>
      </w:r>
      <w:r>
        <w:rPr>
          <w:rFonts w:hint="eastAsia"/>
        </w:rPr>
        <w:t>对不合格项目进行复验，若仍有一项不符合时，则该批产品判为不合格。</w:t>
      </w:r>
    </w:p>
    <w:p>
      <w:pPr>
        <w:pStyle w:val="66"/>
        <w:spacing w:before="312" w:after="312"/>
        <w:rPr>
          <w:color w:val="000000"/>
        </w:rPr>
      </w:pPr>
      <w:bookmarkStart w:id="167" w:name="_Toc396756491"/>
      <w:bookmarkStart w:id="168" w:name="_Toc396807020"/>
      <w:bookmarkStart w:id="169" w:name="_Toc402698453"/>
      <w:bookmarkStart w:id="170" w:name="_Toc406429886"/>
      <w:bookmarkStart w:id="171" w:name="_Toc485916026"/>
      <w:bookmarkStart w:id="172" w:name="_Toc409019445"/>
      <w:bookmarkStart w:id="173" w:name="_Toc407454844"/>
      <w:bookmarkStart w:id="174" w:name="_Toc406517556"/>
      <w:bookmarkStart w:id="175" w:name="_Toc486532804"/>
      <w:bookmarkStart w:id="176" w:name="_Toc408140797"/>
      <w:bookmarkStart w:id="177" w:name="_Toc402698289"/>
      <w:bookmarkStart w:id="178" w:name="_Toc409164874"/>
      <w:bookmarkStart w:id="179" w:name="_Toc519581785"/>
      <w:r>
        <w:rPr>
          <w:rFonts w:hint="eastAsia"/>
          <w:color w:val="000000"/>
        </w:rPr>
        <w:t>标识、包装、运输、贮存</w:t>
      </w:r>
      <w:bookmarkEnd w:id="167"/>
      <w:bookmarkEnd w:id="168"/>
      <w:r>
        <w:rPr>
          <w:rFonts w:hint="eastAsia"/>
          <w:color w:val="000000"/>
        </w:rPr>
        <w:t>、保质期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>
      <w:pPr>
        <w:pStyle w:val="50"/>
        <w:spacing w:before="156" w:after="156"/>
      </w:pPr>
      <w:bookmarkStart w:id="180" w:name="_Toc406517557"/>
      <w:bookmarkStart w:id="181" w:name="_Toc486532805"/>
      <w:bookmarkStart w:id="182" w:name="_Toc407454845"/>
      <w:bookmarkStart w:id="183" w:name="_Toc485916027"/>
      <w:bookmarkStart w:id="184" w:name="_Toc396756492"/>
      <w:bookmarkStart w:id="185" w:name="_Toc402698290"/>
      <w:bookmarkStart w:id="186" w:name="_Toc402698454"/>
      <w:bookmarkStart w:id="187" w:name="_Toc396807021"/>
      <w:bookmarkStart w:id="188" w:name="_Toc408140798"/>
      <w:bookmarkStart w:id="189" w:name="_Toc406429887"/>
      <w:r>
        <w:rPr>
          <w:rFonts w:hint="eastAsia"/>
        </w:rPr>
        <w:t>标识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>
      <w:pPr>
        <w:pStyle w:val="20"/>
        <w:rPr>
          <w:color w:val="000000"/>
        </w:rPr>
      </w:pPr>
      <w:r>
        <w:rPr>
          <w:rFonts w:hint="eastAsia"/>
          <w:color w:val="000000"/>
        </w:rPr>
        <w:t>产品标识内容包括产品名称、产品执行标准、产地、生产厂家及详细地址、等级、净含量、联系方式。</w:t>
      </w:r>
    </w:p>
    <w:p>
      <w:pPr>
        <w:pStyle w:val="50"/>
        <w:spacing w:before="156" w:after="156"/>
      </w:pPr>
      <w:bookmarkStart w:id="190" w:name="_Toc486532806"/>
      <w:bookmarkStart w:id="191" w:name="_Toc485916028"/>
      <w:r>
        <w:rPr>
          <w:rFonts w:hint="eastAsia"/>
        </w:rPr>
        <w:t>包装</w:t>
      </w:r>
      <w:bookmarkEnd w:id="190"/>
      <w:bookmarkEnd w:id="191"/>
    </w:p>
    <w:p>
      <w:pPr>
        <w:pStyle w:val="20"/>
      </w:pPr>
      <w:r>
        <w:rPr>
          <w:rFonts w:hint="eastAsia"/>
          <w:szCs w:val="22"/>
        </w:rPr>
        <w:t>包装材料应符合</w:t>
      </w:r>
      <w:r>
        <w:rPr>
          <w:rFonts w:ascii="Times New Roman"/>
        </w:rPr>
        <w:t>GB 9683</w:t>
      </w:r>
      <w:r>
        <w:rPr>
          <w:rFonts w:hint="eastAsia" w:ascii="Times New Roman" w:hAnsi="宋体"/>
        </w:rPr>
        <w:t>和</w:t>
      </w:r>
      <w:r>
        <w:rPr>
          <w:rFonts w:ascii="Times New Roman"/>
        </w:rPr>
        <w:t>GB 21302</w:t>
      </w:r>
      <w:r>
        <w:rPr>
          <w:rFonts w:hint="eastAsia" w:ascii="Times New Roman"/>
        </w:rPr>
        <w:t>的规定。</w:t>
      </w:r>
      <w:r>
        <w:rPr>
          <w:rFonts w:hint="eastAsia"/>
        </w:rPr>
        <w:t>同一包装内的产品必须是同一等级，不允许混等级包装。包装内应附产品合格证，合格证应标明产品等级、检验员编号、检验日期。</w:t>
      </w:r>
    </w:p>
    <w:p>
      <w:pPr>
        <w:pStyle w:val="50"/>
        <w:spacing w:before="156" w:after="156"/>
      </w:pPr>
      <w:bookmarkStart w:id="192" w:name="_Toc407454847"/>
      <w:bookmarkStart w:id="193" w:name="_Toc396807023"/>
      <w:bookmarkStart w:id="194" w:name="_Toc402698456"/>
      <w:bookmarkStart w:id="195" w:name="_Toc486532807"/>
      <w:bookmarkStart w:id="196" w:name="_Toc406517559"/>
      <w:bookmarkStart w:id="197" w:name="_Toc408140800"/>
      <w:bookmarkStart w:id="198" w:name="_Toc406429889"/>
      <w:bookmarkStart w:id="199" w:name="_Toc485916029"/>
      <w:bookmarkStart w:id="200" w:name="_Toc396756494"/>
      <w:bookmarkStart w:id="201" w:name="_Toc402698292"/>
      <w:r>
        <w:rPr>
          <w:rFonts w:hint="eastAsia"/>
        </w:rPr>
        <w:t>运输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p>
      <w:pPr>
        <w:pStyle w:val="20"/>
      </w:pPr>
      <w:r>
        <w:rPr>
          <w:rFonts w:hint="eastAsia"/>
        </w:rPr>
        <w:t>鲜茶树菇应低温冷藏运输，避免挤压，不得与有毒（害）物品、异味物品混运。不得使用有毒（害）或受污染的运输工具运输。干茶树菇运输时应防潮、防雨淋，不得与有毒（害）物品、异味物品混运。不得使用有毒（害）或受污染的运输工具运输。</w:t>
      </w:r>
    </w:p>
    <w:p>
      <w:pPr>
        <w:pStyle w:val="50"/>
        <w:spacing w:before="156" w:after="156"/>
      </w:pPr>
      <w:bookmarkStart w:id="202" w:name="_Toc396756495"/>
      <w:bookmarkStart w:id="203" w:name="_Toc396807024"/>
      <w:bookmarkStart w:id="204" w:name="_Toc402698293"/>
      <w:bookmarkStart w:id="205" w:name="_Toc408140801"/>
      <w:bookmarkStart w:id="206" w:name="_Toc486532808"/>
      <w:bookmarkStart w:id="207" w:name="_Toc485916030"/>
      <w:bookmarkStart w:id="208" w:name="_Toc406429890"/>
      <w:bookmarkStart w:id="209" w:name="_Toc406517560"/>
      <w:bookmarkStart w:id="210" w:name="_Toc407454848"/>
      <w:bookmarkStart w:id="211" w:name="_Toc402698457"/>
      <w:r>
        <w:rPr>
          <w:rFonts w:hint="eastAsia"/>
        </w:rPr>
        <w:t>贮</w:t>
      </w:r>
      <w:bookmarkEnd w:id="202"/>
      <w:bookmarkEnd w:id="203"/>
      <w:r>
        <w:rPr>
          <w:rFonts w:hint="eastAsia"/>
        </w:rPr>
        <w:t>存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>
      <w:pPr>
        <w:pStyle w:val="20"/>
      </w:pPr>
      <w:r>
        <w:rPr>
          <w:rFonts w:hint="eastAsia"/>
        </w:rPr>
        <w:t>鲜茶树菇采后应及时加工、包装，贮存于</w:t>
      </w:r>
      <w:r>
        <w:t>2</w:t>
      </w:r>
      <w:r>
        <w:rPr>
          <w:rFonts w:hint="eastAsia"/>
        </w:rPr>
        <w:t>℃～</w:t>
      </w:r>
      <w:r>
        <w:t>5</w:t>
      </w:r>
      <w:r>
        <w:rPr>
          <w:rFonts w:hint="eastAsia"/>
        </w:rPr>
        <w:t>℃冷库中，干茶树菇应在避光、阴凉干燥处密封贮存。鲜、干茶树菇不得与有毒（害）物品、异味物品混合贮存。</w:t>
      </w:r>
    </w:p>
    <w:p>
      <w:pPr>
        <w:pStyle w:val="50"/>
        <w:spacing w:before="156" w:after="156"/>
      </w:pPr>
      <w:bookmarkStart w:id="212" w:name="_Toc402698294"/>
      <w:bookmarkStart w:id="213" w:name="_Toc402698458"/>
      <w:bookmarkStart w:id="214" w:name="_Toc406517561"/>
      <w:bookmarkStart w:id="215" w:name="_Toc406429891"/>
      <w:bookmarkStart w:id="216" w:name="_Toc407454849"/>
      <w:bookmarkStart w:id="217" w:name="_Toc408140802"/>
      <w:bookmarkStart w:id="218" w:name="_Toc485916031"/>
      <w:bookmarkStart w:id="219" w:name="_Toc486532809"/>
      <w:r>
        <w:rPr>
          <w:rFonts w:hint="eastAsia"/>
        </w:rPr>
        <w:t>保质期</w:t>
      </w:r>
      <w:bookmarkEnd w:id="212"/>
      <w:bookmarkEnd w:id="213"/>
      <w:bookmarkEnd w:id="214"/>
      <w:bookmarkEnd w:id="215"/>
      <w:bookmarkEnd w:id="216"/>
      <w:bookmarkEnd w:id="217"/>
      <w:bookmarkEnd w:id="218"/>
      <w:bookmarkEnd w:id="219"/>
    </w:p>
    <w:p>
      <w:pPr>
        <w:pStyle w:val="20"/>
      </w:pPr>
      <w:r>
        <w:rPr>
          <w:rFonts w:hint="eastAsia"/>
        </w:rPr>
        <w:t>鲜茶树菇在</w:t>
      </w:r>
      <w:r>
        <w:t>2</w:t>
      </w:r>
      <w:r>
        <w:rPr>
          <w:rFonts w:hint="eastAsia"/>
        </w:rPr>
        <w:t>℃～</w:t>
      </w:r>
      <w:r>
        <w:t>5</w:t>
      </w:r>
      <w:r>
        <w:rPr>
          <w:rFonts w:hint="eastAsia"/>
        </w:rPr>
        <w:t>℃保质期为</w:t>
      </w:r>
      <w:r>
        <w:t>5d</w:t>
      </w:r>
      <w:r>
        <w:rPr>
          <w:rFonts w:hint="eastAsia"/>
        </w:rPr>
        <w:t>；干茶树菇在</w:t>
      </w:r>
      <w:r>
        <w:t>6</w:t>
      </w:r>
      <w:r>
        <w:rPr>
          <w:rFonts w:hint="eastAsia"/>
        </w:rPr>
        <w:t>℃～</w:t>
      </w:r>
      <w:r>
        <w:t>20</w:t>
      </w:r>
      <w:r>
        <w:rPr>
          <w:rFonts w:hint="eastAsia"/>
        </w:rPr>
        <w:t>℃密封和干燥条件下保质期为</w:t>
      </w:r>
      <w:r>
        <w:t>12</w:t>
      </w:r>
      <w:r>
        <w:rPr>
          <w:rFonts w:hint="eastAsia"/>
        </w:rPr>
        <w:t>个月，在</w:t>
      </w:r>
      <w:r>
        <w:t>2</w:t>
      </w:r>
      <w:r>
        <w:rPr>
          <w:rFonts w:hint="eastAsia"/>
        </w:rPr>
        <w:t>℃～</w:t>
      </w:r>
      <w:r>
        <w:t>5</w:t>
      </w:r>
      <w:r>
        <w:rPr>
          <w:rFonts w:hint="eastAsia"/>
        </w:rPr>
        <w:t>℃密封和干燥条件下保质期为</w:t>
      </w:r>
      <w:r>
        <w:t>18</w:t>
      </w:r>
      <w:r>
        <w:rPr>
          <w:rFonts w:hint="eastAsia"/>
        </w:rPr>
        <w:t>个月。</w:t>
      </w:r>
    </w:p>
    <w:p>
      <w:pPr>
        <w:pStyle w:val="20"/>
        <w:rPr>
          <w:color w:val="000000"/>
        </w:rPr>
      </w:pPr>
    </w:p>
    <w:p>
      <w:pPr>
        <w:pStyle w:val="89"/>
      </w:pPr>
    </w:p>
    <w:p>
      <w:pPr>
        <w:pStyle w:val="117"/>
      </w:pPr>
    </w:p>
    <w:p>
      <w:pPr>
        <w:pStyle w:val="98"/>
      </w:pPr>
      <w:r>
        <w:br w:type="textWrapping"/>
      </w:r>
      <w:bookmarkStart w:id="220" w:name="_Toc519581786"/>
      <w:bookmarkStart w:id="221" w:name="_Toc486532810"/>
      <w:r>
        <w:rPr>
          <w:rFonts w:hint="eastAsia"/>
        </w:rPr>
        <w:t>（资料性附录）</w:t>
      </w:r>
      <w:r>
        <w:br w:type="textWrapping"/>
      </w:r>
      <w:r>
        <w:rPr>
          <w:rFonts w:hint="eastAsia"/>
        </w:rPr>
        <w:t>虫蛀菇率、碎菇体率和杂质含量的测定方法</w:t>
      </w:r>
      <w:bookmarkEnd w:id="220"/>
      <w:bookmarkEnd w:id="221"/>
    </w:p>
    <w:p>
      <w:pPr>
        <w:pStyle w:val="107"/>
        <w:spacing w:before="312" w:after="312"/>
      </w:pPr>
      <w:r>
        <w:rPr>
          <w:rFonts w:hint="eastAsia"/>
        </w:rPr>
        <w:t>虫蛀菇率、碎菇体率和杂质含量的测定方法</w:t>
      </w:r>
    </w:p>
    <w:p>
      <w:pPr>
        <w:pStyle w:val="20"/>
      </w:pPr>
      <w:r>
        <w:rPr>
          <w:rFonts w:hint="eastAsia"/>
        </w:rPr>
        <w:t>随机抽取样品</w:t>
      </w:r>
      <w:r>
        <w:t>500g</w:t>
      </w:r>
      <w:r>
        <w:rPr>
          <w:rFonts w:hint="eastAsia"/>
        </w:rPr>
        <w:t>（精确至±</w:t>
      </w:r>
      <w:r>
        <w:t>0.1g</w:t>
      </w:r>
      <w:r>
        <w:rPr>
          <w:rFonts w:hint="eastAsia"/>
        </w:rPr>
        <w:t>），分别从中检出虫蛀菇、碎菇体和杂质，用天平称量，分别计算其占样品的百分率，以</w:t>
      </w:r>
      <w:r>
        <w:t>X</w:t>
      </w:r>
      <w:r>
        <w:rPr>
          <w:rFonts w:hint="eastAsia"/>
        </w:rPr>
        <w:t>（</w:t>
      </w:r>
      <w:r>
        <w:t>%</w:t>
      </w:r>
      <w:r>
        <w:rPr>
          <w:rFonts w:hint="eastAsia"/>
        </w:rPr>
        <w:t>）表示，按下式计算结果：</w:t>
      </w:r>
    </w:p>
    <w:p>
      <w:pPr>
        <w:pStyle w:val="20"/>
        <w:jc w:val="center"/>
      </w:pPr>
      <w:r>
        <w:t>X=</w:t>
      </w:r>
      <w:r>
        <w:rPr>
          <w:position w:val="-24"/>
        </w:rPr>
        <w:object>
          <v:shape id="_x0000_i1025" o:spt="75" type="#_x0000_t75" style="height:32.25pt;width:4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</w:p>
    <w:p>
      <w:pPr>
        <w:pStyle w:val="20"/>
      </w:pPr>
      <w:r>
        <w:rPr>
          <w:rFonts w:hint="eastAsia"/>
        </w:rPr>
        <w:t>式中：</w:t>
      </w:r>
    </w:p>
    <w:p>
      <w:pPr>
        <w:pStyle w:val="20"/>
      </w:pPr>
      <w:r>
        <w:t>X---</w:t>
      </w:r>
      <w:r>
        <w:rPr>
          <w:rFonts w:hint="eastAsia"/>
        </w:rPr>
        <w:t>茶树菇鲜品或干品中虫蛀菇、碎菇体和杂质的质量分数</w:t>
      </w:r>
    </w:p>
    <w:p>
      <w:pPr>
        <w:pStyle w:val="20"/>
      </w:pPr>
      <w:r>
        <w:t>m</w:t>
      </w:r>
      <w:r>
        <w:rPr>
          <w:vertAlign w:val="subscript"/>
        </w:rPr>
        <w:t>1</w:t>
      </w:r>
      <w:r>
        <w:t>---</w:t>
      </w:r>
      <w:r>
        <w:rPr>
          <w:rFonts w:hint="eastAsia"/>
        </w:rPr>
        <w:t>虫蛀菇、碎菇体和杂质的质量，单位为克（</w:t>
      </w:r>
      <w:r>
        <w:t>g</w:t>
      </w:r>
      <w:r>
        <w:rPr>
          <w:rFonts w:hint="eastAsia"/>
        </w:rPr>
        <w:t>）</w:t>
      </w:r>
    </w:p>
    <w:p>
      <w:pPr>
        <w:pStyle w:val="20"/>
      </w:pPr>
      <w:r>
        <w:t>m---</w:t>
      </w:r>
      <w:r>
        <w:rPr>
          <w:rFonts w:hint="eastAsia"/>
        </w:rPr>
        <w:t>抽取样品的质量，单位为克（</w:t>
      </w:r>
      <w:r>
        <w:t>g</w:t>
      </w:r>
      <w:r>
        <w:rPr>
          <w:rFonts w:hint="eastAsia"/>
        </w:rPr>
        <w:t>）</w:t>
      </w:r>
    </w:p>
    <w:p>
      <w:pPr>
        <w:pStyle w:val="20"/>
      </w:pPr>
    </w:p>
    <w:p>
      <w:pPr>
        <w:pStyle w:val="87"/>
      </w:pPr>
      <w:r>
        <w:t>_________________________________</w:t>
      </w:r>
    </w:p>
    <w:sectPr>
      <w:pgSz w:w="11906" w:h="16838"/>
      <w:pgMar w:top="567" w:right="1134" w:bottom="1134" w:left="1418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9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</w:pPr>
    <w:r>
      <w:t>DBXX/ XXXXX—XXXX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73"/>
      <w:suff w:val="nothing"/>
      <w:lvlText w:val="注%1："/>
      <w:lvlJc w:val="left"/>
      <w:pPr>
        <w:ind w:left="811" w:hanging="448"/>
      </w:pPr>
      <w:rPr>
        <w:rFonts w:hint="eastAsia" w:ascii="黑体" w:eastAsia="黑体" w:cs="Times New Roman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 w:cs="Times New Roman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64"/>
      <w:suff w:val="nothing"/>
      <w:lvlText w:val="示例%1："/>
      <w:lvlJc w:val="left"/>
      <w:pPr>
        <w:ind w:firstLine="397"/>
      </w:pPr>
      <w:rPr>
        <w:rFonts w:hint="eastAsia" w:ascii="黑体" w:eastAsia="黑体" w:cs="Times New Roman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 w:cs="Times New Roman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94"/>
      <w:suff w:val="nothing"/>
      <w:lvlText w:val="%1示例："/>
      <w:lvlJc w:val="left"/>
      <w:pPr>
        <w:ind w:firstLine="363"/>
      </w:pPr>
      <w:rPr>
        <w:rFonts w:hint="eastAsia" w:ascii="黑体" w:eastAsia="黑体" w:cs="Times New Roman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firstLine="363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firstLine="363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firstLine="363"/>
      </w:pPr>
      <w:rPr>
        <w:rFonts w:hint="eastAsia" w:cs="Times New Roman"/>
      </w:rPr>
    </w:lvl>
  </w:abstractNum>
  <w:abstractNum w:abstractNumId="3">
    <w:nsid w:val="0DDE2B46"/>
    <w:multiLevelType w:val="multilevel"/>
    <w:tmpl w:val="0DDE2B46"/>
    <w:lvl w:ilvl="0" w:tentative="0">
      <w:start w:val="1"/>
      <w:numFmt w:val="lowerLetter"/>
      <w:pStyle w:val="95"/>
      <w:suff w:val="nothing"/>
      <w:lvlText w:val="%1   "/>
      <w:lvlJc w:val="left"/>
      <w:pPr>
        <w:ind w:left="544" w:hanging="181"/>
      </w:pPr>
      <w:rPr>
        <w:rFonts w:hint="eastAsia" w:ascii="宋体" w:eastAsia="宋体" w:cs="Times New Roman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 w:cs="Times New Roman"/>
      </w:rPr>
    </w:lvl>
  </w:abstractNum>
  <w:abstractNum w:abstractNumId="4">
    <w:nsid w:val="1DBF583A"/>
    <w:multiLevelType w:val="multilevel"/>
    <w:tmpl w:val="1DBF583A"/>
    <w:lvl w:ilvl="0" w:tentative="0">
      <w:start w:val="1"/>
      <w:numFmt w:val="decimal"/>
      <w:pStyle w:val="88"/>
      <w:suff w:val="nothing"/>
      <w:lvlText w:val="注%1："/>
      <w:lvlJc w:val="left"/>
      <w:pPr>
        <w:ind w:left="811" w:hanging="448"/>
      </w:pPr>
      <w:rPr>
        <w:rFonts w:hint="eastAsia" w:ascii="黑体" w:eastAsia="黑体" w:cs="Times New Roman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66"/>
      <w:suff w:val="nothing"/>
      <w:lvlText w:val="%1　"/>
      <w:lvlJc w:val="left"/>
      <w:rPr>
        <w:rFonts w:hint="eastAsia" w:ascii="黑体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50"/>
      <w:suff w:val="nothing"/>
      <w:lvlText w:val="%1.%2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9"/>
      <w:suff w:val="nothing"/>
      <w:lvlText w:val="%1.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48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47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46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6">
    <w:nsid w:val="2A8F7113"/>
    <w:multiLevelType w:val="multilevel"/>
    <w:tmpl w:val="2A8F7113"/>
    <w:lvl w:ilvl="0" w:tentative="0">
      <w:start w:val="1"/>
      <w:numFmt w:val="upperLetter"/>
      <w:pStyle w:val="89"/>
      <w:suff w:val="space"/>
      <w:lvlText w:val="%1"/>
      <w:lvlJc w:val="left"/>
      <w:pPr>
        <w:ind w:left="623" w:hanging="425"/>
      </w:pPr>
      <w:rPr>
        <w:rFonts w:hint="eastAsia" w:cs="Times New Roman"/>
      </w:rPr>
    </w:lvl>
    <w:lvl w:ilvl="1" w:tentative="0">
      <w:start w:val="1"/>
      <w:numFmt w:val="decimal"/>
      <w:pStyle w:val="123"/>
      <w:suff w:val="nothing"/>
      <w:lvlText w:val="图%1.%2　"/>
      <w:lvlJc w:val="left"/>
      <w:pPr>
        <w:ind w:left="1190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 w:cs="Times New Roman"/>
      </w:rPr>
    </w:lvl>
  </w:abstractNum>
  <w:abstractNum w:abstractNumId="7">
    <w:nsid w:val="2C5917C3"/>
    <w:multiLevelType w:val="multilevel"/>
    <w:tmpl w:val="2C5917C3"/>
    <w:lvl w:ilvl="0" w:tentative="0">
      <w:start w:val="1"/>
      <w:numFmt w:val="none"/>
      <w:pStyle w:val="77"/>
      <w:suff w:val="nothing"/>
      <w:lvlText w:val="%1——"/>
      <w:lvlJc w:val="left"/>
      <w:pPr>
        <w:ind w:left="833" w:hanging="408"/>
      </w:pPr>
      <w:rPr>
        <w:rFonts w:hint="eastAsia" w:cs="Times New Roman"/>
      </w:rPr>
    </w:lvl>
    <w:lvl w:ilvl="1" w:tentative="0">
      <w:start w:val="1"/>
      <w:numFmt w:val="bullet"/>
      <w:pStyle w:val="99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84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 w:cs="Times New Roman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1"/>
      <w:lvlText w:val="%1)"/>
      <w:lvlJc w:val="left"/>
      <w:pPr>
        <w:tabs>
          <w:tab w:val="left" w:pos="0"/>
        </w:tabs>
        <w:ind w:left="720" w:hanging="357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 w:cs="Times New Roman"/>
      </w:rPr>
    </w:lvl>
  </w:abstractNum>
  <w:abstractNum w:abstractNumId="9">
    <w:nsid w:val="44C50F90"/>
    <w:multiLevelType w:val="multilevel"/>
    <w:tmpl w:val="44C50F90"/>
    <w:lvl w:ilvl="0" w:tentative="0">
      <w:start w:val="1"/>
      <w:numFmt w:val="lowerLetter"/>
      <w:pStyle w:val="81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68"/>
      <w:lvlText w:val="%2)"/>
      <w:lvlJc w:val="left"/>
      <w:pPr>
        <w:tabs>
          <w:tab w:val="left" w:pos="1260"/>
        </w:tabs>
        <w:ind w:left="1259" w:hanging="419"/>
      </w:pPr>
      <w:rPr>
        <w:rFonts w:hint="eastAsia" w:cs="Times New Roman"/>
      </w:rPr>
    </w:lvl>
    <w:lvl w:ilvl="2" w:tentative="0">
      <w:start w:val="1"/>
      <w:numFmt w:val="decimal"/>
      <w:pStyle w:val="103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 w:cs="Times New Roman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 w:cs="Times New Roman"/>
      </w:rPr>
    </w:lvl>
  </w:abstractNum>
  <w:abstractNum w:abstractNumId="10">
    <w:nsid w:val="4B733A5F"/>
    <w:multiLevelType w:val="multilevel"/>
    <w:tmpl w:val="4B733A5F"/>
    <w:lvl w:ilvl="0" w:tentative="0">
      <w:start w:val="1"/>
      <w:numFmt w:val="decimal"/>
      <w:pStyle w:val="65"/>
      <w:suff w:val="nothing"/>
      <w:lvlText w:val="示例%1："/>
      <w:lvlJc w:val="left"/>
      <w:pPr>
        <w:ind w:firstLine="363"/>
      </w:pPr>
      <w:rPr>
        <w:rFonts w:hint="eastAsia" w:ascii="黑体" w:hAnsi="Times New Roman" w:eastAsia="黑体" w:cs="Times New Roman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rPr>
        <w:rFonts w:hint="eastAsia" w:cs="Times New Roman"/>
        <w:vertAlign w:val="baseline"/>
      </w:rPr>
    </w:lvl>
    <w:lvl w:ilvl="2" w:tentative="0">
      <w:start w:val="1"/>
      <w:numFmt w:val="decimal"/>
      <w:suff w:val="space"/>
      <w:lvlText w:val="2.2.%3"/>
      <w:lvlJc w:val="left"/>
      <w:rPr>
        <w:rFonts w:hint="eastAsia" w:cs="Times New Roman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</w:abstractNum>
  <w:abstractNum w:abstractNumId="11">
    <w:nsid w:val="557C2AF5"/>
    <w:multiLevelType w:val="multilevel"/>
    <w:tmpl w:val="557C2AF5"/>
    <w:lvl w:ilvl="0" w:tentative="0">
      <w:start w:val="1"/>
      <w:numFmt w:val="decimal"/>
      <w:pStyle w:val="116"/>
      <w:suff w:val="nothing"/>
      <w:lvlText w:val="图%1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117"/>
      <w:lvlText w:val="%1"/>
      <w:lvlJc w:val="left"/>
      <w:pPr>
        <w:tabs>
          <w:tab w:val="left" w:pos="0"/>
        </w:tabs>
        <w:ind w:hanging="425"/>
      </w:pPr>
      <w:rPr>
        <w:rFonts w:hint="eastAsia" w:cs="Times New Roman"/>
      </w:rPr>
    </w:lvl>
    <w:lvl w:ilvl="1" w:tentative="0">
      <w:start w:val="1"/>
      <w:numFmt w:val="decimal"/>
      <w:pStyle w:val="57"/>
      <w:suff w:val="nothing"/>
      <w:lvlText w:val="表%1.%2　"/>
      <w:lvlJc w:val="left"/>
      <w:pPr>
        <w:ind w:left="567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 w:cs="Times New Roman"/>
      </w:rPr>
    </w:lvl>
  </w:abstractNum>
  <w:abstractNum w:abstractNumId="13">
    <w:nsid w:val="646260FA"/>
    <w:multiLevelType w:val="multilevel"/>
    <w:tmpl w:val="646260FA"/>
    <w:lvl w:ilvl="0" w:tentative="0">
      <w:start w:val="1"/>
      <w:numFmt w:val="decimal"/>
      <w:pStyle w:val="132"/>
      <w:suff w:val="nothing"/>
      <w:lvlText w:val="表%1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98"/>
      <w:suff w:val="nothing"/>
      <w:lvlText w:val="附　录　%1"/>
      <w:lvlJc w:val="left"/>
      <w:rPr>
        <w:rFonts w:hint="eastAsia" w:ascii="黑体" w:hAnsi="Times New Roman" w:eastAsia="黑体" w:cs="Times New Roman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07"/>
      <w:suff w:val="nothing"/>
      <w:lvlText w:val="%1.%2　"/>
      <w:lvlJc w:val="left"/>
      <w:rPr>
        <w:rFonts w:hint="eastAsia" w:ascii="黑体" w:hAnsi="Times New Roman" w:eastAsia="黑体" w:cs="Times New Roman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6"/>
      <w:suff w:val="nothing"/>
      <w:lvlText w:val="%1.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54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61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60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pStyle w:val="59"/>
      <w:suff w:val="nothing"/>
      <w:lvlText w:val="%1.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abstractNum w:abstractNumId="15">
    <w:nsid w:val="6D6C07CD"/>
    <w:multiLevelType w:val="multilevel"/>
    <w:tmpl w:val="6D6C07CD"/>
    <w:lvl w:ilvl="0" w:tentative="0">
      <w:start w:val="1"/>
      <w:numFmt w:val="lowerLetter"/>
      <w:pStyle w:val="7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 w:cs="Times New Roman"/>
        <w:b w:val="0"/>
        <w:i w:val="0"/>
        <w:sz w:val="21"/>
      </w:rPr>
    </w:lvl>
    <w:lvl w:ilvl="1" w:tentative="0">
      <w:start w:val="1"/>
      <w:numFmt w:val="decimal"/>
      <w:pStyle w:val="78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 w:cs="Times New Roman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 w:cs="Times New Roman"/>
      </w:rPr>
    </w:lvl>
  </w:abstractNum>
  <w:abstractNum w:abstractNumId="16">
    <w:nsid w:val="6DBF04F4"/>
    <w:multiLevelType w:val="multilevel"/>
    <w:tmpl w:val="6DBF04F4"/>
    <w:lvl w:ilvl="0" w:tentative="0">
      <w:start w:val="1"/>
      <w:numFmt w:val="none"/>
      <w:pStyle w:val="63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 w:cs="Times New Roman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 w:cs="Times New Roman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2"/>
  </w:num>
  <w:num w:numId="5">
    <w:abstractNumId w:val="16"/>
  </w:num>
  <w:num w:numId="6">
    <w:abstractNumId w:val="1"/>
  </w:num>
  <w:num w:numId="7">
    <w:abstractNumId w:val="10"/>
  </w:num>
  <w:num w:numId="8">
    <w:abstractNumId w:val="9"/>
  </w:num>
  <w:num w:numId="9">
    <w:abstractNumId w:val="15"/>
  </w:num>
  <w:num w:numId="10">
    <w:abstractNumId w:val="0"/>
  </w:num>
  <w:num w:numId="11">
    <w:abstractNumId w:val="7"/>
  </w:num>
  <w:num w:numId="12">
    <w:abstractNumId w:val="4"/>
  </w:num>
  <w:num w:numId="13">
    <w:abstractNumId w:val="6"/>
  </w:num>
  <w:num w:numId="14">
    <w:abstractNumId w:val="2"/>
  </w:num>
  <w:num w:numId="15">
    <w:abstractNumId w:val="3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dit="forms" w:enforcement="1" w:cryptProviderType="rsaFull" w:cryptAlgorithmClass="hash" w:cryptAlgorithmType="typeAny" w:cryptAlgorithmSid="4" w:cryptSpinCount="50000" w:hash="cf1LghNi+QmHcOyqryADM2Ol7BM=" w:salt="DDZ0H2i7h6i3aiqC7ORUXQ==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875FF"/>
    <w:rsid w:val="00000244"/>
    <w:rsid w:val="0000185F"/>
    <w:rsid w:val="0000586F"/>
    <w:rsid w:val="00013D86"/>
    <w:rsid w:val="00013E02"/>
    <w:rsid w:val="0002143C"/>
    <w:rsid w:val="00025A65"/>
    <w:rsid w:val="00026C31"/>
    <w:rsid w:val="00027280"/>
    <w:rsid w:val="000320A7"/>
    <w:rsid w:val="00035925"/>
    <w:rsid w:val="000442CD"/>
    <w:rsid w:val="00067CDF"/>
    <w:rsid w:val="00074FBE"/>
    <w:rsid w:val="0007546C"/>
    <w:rsid w:val="00083A09"/>
    <w:rsid w:val="0009005E"/>
    <w:rsid w:val="00092857"/>
    <w:rsid w:val="000A20A9"/>
    <w:rsid w:val="000A3615"/>
    <w:rsid w:val="000A48B1"/>
    <w:rsid w:val="000B3143"/>
    <w:rsid w:val="000C6B05"/>
    <w:rsid w:val="000C6DD6"/>
    <w:rsid w:val="000C73D4"/>
    <w:rsid w:val="000D3D4C"/>
    <w:rsid w:val="000D4F51"/>
    <w:rsid w:val="000D718B"/>
    <w:rsid w:val="000E0C46"/>
    <w:rsid w:val="000E79C8"/>
    <w:rsid w:val="000F030C"/>
    <w:rsid w:val="000F129C"/>
    <w:rsid w:val="001056DE"/>
    <w:rsid w:val="001124C0"/>
    <w:rsid w:val="0013058B"/>
    <w:rsid w:val="0013175F"/>
    <w:rsid w:val="001512B4"/>
    <w:rsid w:val="001620A5"/>
    <w:rsid w:val="00164E53"/>
    <w:rsid w:val="0016699D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A288E"/>
    <w:rsid w:val="001B6DC2"/>
    <w:rsid w:val="001C149C"/>
    <w:rsid w:val="001C21AC"/>
    <w:rsid w:val="001C32BA"/>
    <w:rsid w:val="001C47BA"/>
    <w:rsid w:val="001C59EA"/>
    <w:rsid w:val="001D406C"/>
    <w:rsid w:val="001D41EE"/>
    <w:rsid w:val="001E0380"/>
    <w:rsid w:val="001E13B1"/>
    <w:rsid w:val="001F3A19"/>
    <w:rsid w:val="00234467"/>
    <w:rsid w:val="00237D8D"/>
    <w:rsid w:val="002403FF"/>
    <w:rsid w:val="00241DA2"/>
    <w:rsid w:val="00247FEE"/>
    <w:rsid w:val="00250E7D"/>
    <w:rsid w:val="002565D5"/>
    <w:rsid w:val="002622C0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B7099"/>
    <w:rsid w:val="002C72D8"/>
    <w:rsid w:val="002D11FA"/>
    <w:rsid w:val="002D2797"/>
    <w:rsid w:val="002E0DDF"/>
    <w:rsid w:val="002E1084"/>
    <w:rsid w:val="002E2906"/>
    <w:rsid w:val="002E5635"/>
    <w:rsid w:val="002E64C3"/>
    <w:rsid w:val="002E6A2C"/>
    <w:rsid w:val="002F1D8C"/>
    <w:rsid w:val="002F21DA"/>
    <w:rsid w:val="00301F39"/>
    <w:rsid w:val="00325926"/>
    <w:rsid w:val="00327A8A"/>
    <w:rsid w:val="00336610"/>
    <w:rsid w:val="00343F73"/>
    <w:rsid w:val="00345060"/>
    <w:rsid w:val="0035323B"/>
    <w:rsid w:val="00356EAB"/>
    <w:rsid w:val="003609D2"/>
    <w:rsid w:val="00363F22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B74B6"/>
    <w:rsid w:val="003C11CB"/>
    <w:rsid w:val="003C75F3"/>
    <w:rsid w:val="003C78A3"/>
    <w:rsid w:val="003E1867"/>
    <w:rsid w:val="003E5729"/>
    <w:rsid w:val="003F4EE0"/>
    <w:rsid w:val="00402153"/>
    <w:rsid w:val="00402FC1"/>
    <w:rsid w:val="00425082"/>
    <w:rsid w:val="00431DEB"/>
    <w:rsid w:val="00442782"/>
    <w:rsid w:val="00446B29"/>
    <w:rsid w:val="00453F9A"/>
    <w:rsid w:val="00471E91"/>
    <w:rsid w:val="00474675"/>
    <w:rsid w:val="0047470C"/>
    <w:rsid w:val="004A35F9"/>
    <w:rsid w:val="004B24C1"/>
    <w:rsid w:val="004C292F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703DE"/>
    <w:rsid w:val="0057661E"/>
    <w:rsid w:val="0058464E"/>
    <w:rsid w:val="005A01CB"/>
    <w:rsid w:val="005A58FF"/>
    <w:rsid w:val="005A5EAF"/>
    <w:rsid w:val="005A64C0"/>
    <w:rsid w:val="005B3C11"/>
    <w:rsid w:val="005C1C28"/>
    <w:rsid w:val="005C6DB5"/>
    <w:rsid w:val="005E19E7"/>
    <w:rsid w:val="005F51AF"/>
    <w:rsid w:val="00614142"/>
    <w:rsid w:val="0061716C"/>
    <w:rsid w:val="006243A1"/>
    <w:rsid w:val="00632E56"/>
    <w:rsid w:val="00635CBA"/>
    <w:rsid w:val="0064338B"/>
    <w:rsid w:val="00646542"/>
    <w:rsid w:val="006504F4"/>
    <w:rsid w:val="00654BC9"/>
    <w:rsid w:val="006552FD"/>
    <w:rsid w:val="00663AF3"/>
    <w:rsid w:val="006641F2"/>
    <w:rsid w:val="00666B6C"/>
    <w:rsid w:val="00682682"/>
    <w:rsid w:val="00682702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E3675"/>
    <w:rsid w:val="006E4A7F"/>
    <w:rsid w:val="00704DF6"/>
    <w:rsid w:val="0070651C"/>
    <w:rsid w:val="007132A3"/>
    <w:rsid w:val="00716421"/>
    <w:rsid w:val="00724EFB"/>
    <w:rsid w:val="007419C3"/>
    <w:rsid w:val="007467A7"/>
    <w:rsid w:val="007469DD"/>
    <w:rsid w:val="0074741B"/>
    <w:rsid w:val="0074759E"/>
    <w:rsid w:val="007478EA"/>
    <w:rsid w:val="0075415C"/>
    <w:rsid w:val="00760E06"/>
    <w:rsid w:val="00763502"/>
    <w:rsid w:val="007913AB"/>
    <w:rsid w:val="007914F7"/>
    <w:rsid w:val="0079276A"/>
    <w:rsid w:val="007B1625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A00"/>
    <w:rsid w:val="00835DB3"/>
    <w:rsid w:val="0083617B"/>
    <w:rsid w:val="008371BD"/>
    <w:rsid w:val="00843E79"/>
    <w:rsid w:val="008504A8"/>
    <w:rsid w:val="0085282E"/>
    <w:rsid w:val="00855F3E"/>
    <w:rsid w:val="0087198C"/>
    <w:rsid w:val="00872C1F"/>
    <w:rsid w:val="00873B42"/>
    <w:rsid w:val="008856D8"/>
    <w:rsid w:val="00892E82"/>
    <w:rsid w:val="008A7038"/>
    <w:rsid w:val="008C1B58"/>
    <w:rsid w:val="008C2927"/>
    <w:rsid w:val="008C39AE"/>
    <w:rsid w:val="008C590D"/>
    <w:rsid w:val="008E031B"/>
    <w:rsid w:val="008E4C2D"/>
    <w:rsid w:val="008E7029"/>
    <w:rsid w:val="008E7EF6"/>
    <w:rsid w:val="008F1F98"/>
    <w:rsid w:val="008F6758"/>
    <w:rsid w:val="009040DD"/>
    <w:rsid w:val="00905B47"/>
    <w:rsid w:val="0091331C"/>
    <w:rsid w:val="009279DE"/>
    <w:rsid w:val="00930116"/>
    <w:rsid w:val="00940E7F"/>
    <w:rsid w:val="0094212C"/>
    <w:rsid w:val="00954689"/>
    <w:rsid w:val="009548F9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2ADB"/>
    <w:rsid w:val="009B603A"/>
    <w:rsid w:val="009C2D0E"/>
    <w:rsid w:val="009C3DAC"/>
    <w:rsid w:val="009C42E0"/>
    <w:rsid w:val="009D5362"/>
    <w:rsid w:val="009E1415"/>
    <w:rsid w:val="009E6116"/>
    <w:rsid w:val="00A02E43"/>
    <w:rsid w:val="00A065F9"/>
    <w:rsid w:val="00A07F34"/>
    <w:rsid w:val="00A106FD"/>
    <w:rsid w:val="00A22154"/>
    <w:rsid w:val="00A25C38"/>
    <w:rsid w:val="00A36BBE"/>
    <w:rsid w:val="00A4307A"/>
    <w:rsid w:val="00A47EBB"/>
    <w:rsid w:val="00A51CDD"/>
    <w:rsid w:val="00A6730D"/>
    <w:rsid w:val="00A71625"/>
    <w:rsid w:val="00A71B9B"/>
    <w:rsid w:val="00A751C7"/>
    <w:rsid w:val="00A87844"/>
    <w:rsid w:val="00A94DCA"/>
    <w:rsid w:val="00AA038C"/>
    <w:rsid w:val="00AA7A09"/>
    <w:rsid w:val="00AB3B50"/>
    <w:rsid w:val="00AC05B1"/>
    <w:rsid w:val="00AD356C"/>
    <w:rsid w:val="00AE2914"/>
    <w:rsid w:val="00AE6D15"/>
    <w:rsid w:val="00B04182"/>
    <w:rsid w:val="00B07AE3"/>
    <w:rsid w:val="00B11430"/>
    <w:rsid w:val="00B31C42"/>
    <w:rsid w:val="00B353EB"/>
    <w:rsid w:val="00B439C4"/>
    <w:rsid w:val="00B4535E"/>
    <w:rsid w:val="00B52A8C"/>
    <w:rsid w:val="00B636A8"/>
    <w:rsid w:val="00B665C6"/>
    <w:rsid w:val="00B805AF"/>
    <w:rsid w:val="00B869EC"/>
    <w:rsid w:val="00B9397A"/>
    <w:rsid w:val="00B94D69"/>
    <w:rsid w:val="00B9633D"/>
    <w:rsid w:val="00BA2EBE"/>
    <w:rsid w:val="00BB0F28"/>
    <w:rsid w:val="00BB458A"/>
    <w:rsid w:val="00BC5C6C"/>
    <w:rsid w:val="00BD00D3"/>
    <w:rsid w:val="00BD1659"/>
    <w:rsid w:val="00BD3AA9"/>
    <w:rsid w:val="00BD4A18"/>
    <w:rsid w:val="00BD6DB2"/>
    <w:rsid w:val="00BE11CF"/>
    <w:rsid w:val="00BE21AB"/>
    <w:rsid w:val="00BE55CB"/>
    <w:rsid w:val="00BF212F"/>
    <w:rsid w:val="00BF617A"/>
    <w:rsid w:val="00C0379D"/>
    <w:rsid w:val="00C03931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4095D"/>
    <w:rsid w:val="00C601D2"/>
    <w:rsid w:val="00C65BCC"/>
    <w:rsid w:val="00C66970"/>
    <w:rsid w:val="00C8691C"/>
    <w:rsid w:val="00CA168A"/>
    <w:rsid w:val="00CA357E"/>
    <w:rsid w:val="00CA44F9"/>
    <w:rsid w:val="00CA4A69"/>
    <w:rsid w:val="00CC3E0C"/>
    <w:rsid w:val="00CC58D3"/>
    <w:rsid w:val="00CC6A2E"/>
    <w:rsid w:val="00CC784D"/>
    <w:rsid w:val="00CD37CA"/>
    <w:rsid w:val="00D0337B"/>
    <w:rsid w:val="00D079B2"/>
    <w:rsid w:val="00D114E9"/>
    <w:rsid w:val="00D429C6"/>
    <w:rsid w:val="00D47748"/>
    <w:rsid w:val="00D54CC3"/>
    <w:rsid w:val="00D6041A"/>
    <w:rsid w:val="00D633EB"/>
    <w:rsid w:val="00D82FF7"/>
    <w:rsid w:val="00D847FE"/>
    <w:rsid w:val="00D964EA"/>
    <w:rsid w:val="00D966D0"/>
    <w:rsid w:val="00DA0C59"/>
    <w:rsid w:val="00DA3991"/>
    <w:rsid w:val="00DB7E6C"/>
    <w:rsid w:val="00DD5A29"/>
    <w:rsid w:val="00DD5D9D"/>
    <w:rsid w:val="00DE35CB"/>
    <w:rsid w:val="00DF1D4A"/>
    <w:rsid w:val="00DF21E9"/>
    <w:rsid w:val="00DF46D5"/>
    <w:rsid w:val="00E00F14"/>
    <w:rsid w:val="00E0459F"/>
    <w:rsid w:val="00E06386"/>
    <w:rsid w:val="00E24EB4"/>
    <w:rsid w:val="00E320ED"/>
    <w:rsid w:val="00E33AFB"/>
    <w:rsid w:val="00E34218"/>
    <w:rsid w:val="00E46282"/>
    <w:rsid w:val="00E5216E"/>
    <w:rsid w:val="00E62E0D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F11BB5"/>
    <w:rsid w:val="00F1417B"/>
    <w:rsid w:val="00F34B99"/>
    <w:rsid w:val="00F506F6"/>
    <w:rsid w:val="00F52DAB"/>
    <w:rsid w:val="00F543F0"/>
    <w:rsid w:val="00F81D29"/>
    <w:rsid w:val="00F91C4D"/>
    <w:rsid w:val="00F92FD9"/>
    <w:rsid w:val="00FA6684"/>
    <w:rsid w:val="00FA731E"/>
    <w:rsid w:val="00FB2B38"/>
    <w:rsid w:val="00FC6358"/>
    <w:rsid w:val="00FD320D"/>
    <w:rsid w:val="00FD53E1"/>
    <w:rsid w:val="00FE23DE"/>
    <w:rsid w:val="013B44A3"/>
    <w:rsid w:val="0CCA6398"/>
    <w:rsid w:val="0F380310"/>
    <w:rsid w:val="129875FF"/>
    <w:rsid w:val="17D47FB1"/>
    <w:rsid w:val="191B0B85"/>
    <w:rsid w:val="201A2FD2"/>
    <w:rsid w:val="2A270181"/>
    <w:rsid w:val="2B245A5A"/>
    <w:rsid w:val="2C864D73"/>
    <w:rsid w:val="30C83ECC"/>
    <w:rsid w:val="32CD612D"/>
    <w:rsid w:val="342460CE"/>
    <w:rsid w:val="36FE7795"/>
    <w:rsid w:val="3A5D6480"/>
    <w:rsid w:val="3BE512D8"/>
    <w:rsid w:val="3D9B392C"/>
    <w:rsid w:val="419E31E1"/>
    <w:rsid w:val="4A642F55"/>
    <w:rsid w:val="556E51AE"/>
    <w:rsid w:val="56112685"/>
    <w:rsid w:val="5A8B268C"/>
    <w:rsid w:val="79A8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qFormat="1" w:unhideWhenUsed="0" w:uiPriority="99" w:name="endnote reference"/>
    <w:lsdException w:qFormat="1" w:unhideWhenUsed="0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8">
    <w:name w:val="Default Paragraph Font"/>
    <w:semiHidden/>
    <w:unhideWhenUsed/>
    <w:uiPriority w:val="1"/>
  </w:style>
  <w:style w:type="table" w:default="1" w:styleId="3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99"/>
    <w:pPr>
      <w:tabs>
        <w:tab w:val="right" w:leader="dot" w:pos="9241"/>
      </w:tabs>
      <w:ind w:firstLine="505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9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99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9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link w:val="36"/>
    <w:semiHidden/>
    <w:qFormat/>
    <w:uiPriority w:val="99"/>
    <w:pPr>
      <w:shd w:val="clear" w:color="auto" w:fill="000080"/>
    </w:pPr>
  </w:style>
  <w:style w:type="paragraph" w:styleId="7">
    <w:name w:val="index 6"/>
    <w:basedOn w:val="1"/>
    <w:next w:val="1"/>
    <w:qFormat/>
    <w:uiPriority w:val="9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qFormat/>
    <w:uiPriority w:val="9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qFormat/>
    <w:uiPriority w:val="99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qFormat/>
    <w:uiPriority w:val="99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qFormat/>
    <w:uiPriority w:val="99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qFormat/>
    <w:uiPriority w:val="9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link w:val="37"/>
    <w:semiHidden/>
    <w:qFormat/>
    <w:uiPriority w:val="99"/>
    <w:pPr>
      <w:snapToGrid w:val="0"/>
      <w:jc w:val="left"/>
    </w:pPr>
  </w:style>
  <w:style w:type="paragraph" w:styleId="14">
    <w:name w:val="footer"/>
    <w:basedOn w:val="1"/>
    <w:link w:val="38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15">
    <w:name w:val="header"/>
    <w:basedOn w:val="1"/>
    <w:link w:val="39"/>
    <w:qFormat/>
    <w:uiPriority w:val="99"/>
    <w:pPr>
      <w:snapToGrid w:val="0"/>
      <w:jc w:val="left"/>
    </w:pPr>
    <w:rPr>
      <w:sz w:val="18"/>
      <w:szCs w:val="18"/>
    </w:rPr>
  </w:style>
  <w:style w:type="paragraph" w:styleId="16">
    <w:name w:val="toc 1"/>
    <w:basedOn w:val="1"/>
    <w:next w:val="1"/>
    <w:semiHidden/>
    <w:qFormat/>
    <w:uiPriority w:val="99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17">
    <w:name w:val="toc 4"/>
    <w:basedOn w:val="1"/>
    <w:next w:val="1"/>
    <w:semiHidden/>
    <w:qFormat/>
    <w:uiPriority w:val="99"/>
    <w:pPr>
      <w:tabs>
        <w:tab w:val="right" w:leader="dot" w:pos="9241"/>
      </w:tabs>
      <w:ind w:firstLine="198" w:firstLineChars="200"/>
      <w:jc w:val="left"/>
    </w:pPr>
    <w:rPr>
      <w:rFonts w:ascii="宋体"/>
      <w:szCs w:val="21"/>
    </w:rPr>
  </w:style>
  <w:style w:type="paragraph" w:styleId="18">
    <w:name w:val="index heading"/>
    <w:basedOn w:val="1"/>
    <w:next w:val="19"/>
    <w:qFormat/>
    <w:uiPriority w:val="9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9">
    <w:name w:val="index 1"/>
    <w:basedOn w:val="1"/>
    <w:next w:val="20"/>
    <w:qFormat/>
    <w:uiPriority w:val="99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0">
    <w:name w:val="段"/>
    <w:link w:val="135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1">
    <w:name w:val="footnote text"/>
    <w:basedOn w:val="1"/>
    <w:link w:val="40"/>
    <w:qFormat/>
    <w:uiPriority w:val="99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2">
    <w:name w:val="toc 6"/>
    <w:basedOn w:val="1"/>
    <w:next w:val="1"/>
    <w:semiHidden/>
    <w:qFormat/>
    <w:uiPriority w:val="99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styleId="23">
    <w:name w:val="index 7"/>
    <w:basedOn w:val="1"/>
    <w:next w:val="1"/>
    <w:qFormat/>
    <w:uiPriority w:val="9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4">
    <w:name w:val="index 9"/>
    <w:basedOn w:val="1"/>
    <w:next w:val="1"/>
    <w:qFormat/>
    <w:uiPriority w:val="9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5">
    <w:name w:val="toc 2"/>
    <w:basedOn w:val="1"/>
    <w:next w:val="1"/>
    <w:semiHidden/>
    <w:qFormat/>
    <w:uiPriority w:val="99"/>
    <w:pPr>
      <w:tabs>
        <w:tab w:val="right" w:leader="dot" w:pos="9241"/>
      </w:tabs>
    </w:pPr>
    <w:rPr>
      <w:rFonts w:ascii="宋体"/>
      <w:szCs w:val="21"/>
    </w:rPr>
  </w:style>
  <w:style w:type="paragraph" w:styleId="26">
    <w:name w:val="toc 9"/>
    <w:basedOn w:val="1"/>
    <w:next w:val="1"/>
    <w:semiHidden/>
    <w:qFormat/>
    <w:uiPriority w:val="99"/>
    <w:pPr>
      <w:ind w:left="1470"/>
      <w:jc w:val="left"/>
    </w:pPr>
    <w:rPr>
      <w:sz w:val="20"/>
      <w:szCs w:val="20"/>
    </w:rPr>
  </w:style>
  <w:style w:type="paragraph" w:styleId="27">
    <w:name w:val="index 2"/>
    <w:basedOn w:val="1"/>
    <w:next w:val="1"/>
    <w:qFormat/>
    <w:uiPriority w:val="99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29">
    <w:name w:val="endnote reference"/>
    <w:basedOn w:val="28"/>
    <w:semiHidden/>
    <w:qFormat/>
    <w:uiPriority w:val="99"/>
    <w:rPr>
      <w:rFonts w:cs="Times New Roman"/>
      <w:vertAlign w:val="superscript"/>
    </w:rPr>
  </w:style>
  <w:style w:type="character" w:styleId="30">
    <w:name w:val="page number"/>
    <w:basedOn w:val="28"/>
    <w:qFormat/>
    <w:uiPriority w:val="99"/>
    <w:rPr>
      <w:rFonts w:ascii="Times New Roman" w:hAnsi="Times New Roman" w:eastAsia="宋体" w:cs="Times New Roman"/>
      <w:sz w:val="18"/>
    </w:rPr>
  </w:style>
  <w:style w:type="character" w:styleId="31">
    <w:name w:val="FollowedHyperlink"/>
    <w:basedOn w:val="28"/>
    <w:qFormat/>
    <w:uiPriority w:val="99"/>
    <w:rPr>
      <w:rFonts w:cs="Times New Roman"/>
      <w:color w:val="800080"/>
      <w:u w:val="single"/>
    </w:rPr>
  </w:style>
  <w:style w:type="character" w:styleId="32">
    <w:name w:val="Hyperlink"/>
    <w:basedOn w:val="28"/>
    <w:qFormat/>
    <w:uiPriority w:val="99"/>
    <w:rPr>
      <w:rFonts w:cs="Times New Roman"/>
      <w:color w:val="0000FF"/>
      <w:spacing w:val="0"/>
      <w:w w:val="100"/>
      <w:sz w:val="21"/>
      <w:szCs w:val="21"/>
      <w:u w:val="single"/>
    </w:rPr>
  </w:style>
  <w:style w:type="character" w:styleId="33">
    <w:name w:val="footnote reference"/>
    <w:basedOn w:val="28"/>
    <w:semiHidden/>
    <w:qFormat/>
    <w:uiPriority w:val="99"/>
    <w:rPr>
      <w:rFonts w:cs="Times New Roman"/>
      <w:vertAlign w:val="superscript"/>
    </w:rPr>
  </w:style>
  <w:style w:type="table" w:styleId="35">
    <w:name w:val="Table Grid"/>
    <w:basedOn w:val="34"/>
    <w:qFormat/>
    <w:uiPriority w:val="99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文档结构图 Char"/>
    <w:basedOn w:val="28"/>
    <w:link w:val="6"/>
    <w:semiHidden/>
    <w:qFormat/>
    <w:uiPriority w:val="99"/>
    <w:rPr>
      <w:sz w:val="0"/>
      <w:szCs w:val="0"/>
    </w:rPr>
  </w:style>
  <w:style w:type="character" w:customStyle="1" w:styleId="37">
    <w:name w:val="尾注文本 Char"/>
    <w:basedOn w:val="28"/>
    <w:link w:val="13"/>
    <w:semiHidden/>
    <w:qFormat/>
    <w:uiPriority w:val="99"/>
    <w:rPr>
      <w:szCs w:val="24"/>
    </w:rPr>
  </w:style>
  <w:style w:type="character" w:customStyle="1" w:styleId="38">
    <w:name w:val="页脚 Char"/>
    <w:basedOn w:val="28"/>
    <w:link w:val="14"/>
    <w:semiHidden/>
    <w:qFormat/>
    <w:uiPriority w:val="99"/>
    <w:rPr>
      <w:sz w:val="18"/>
      <w:szCs w:val="18"/>
    </w:rPr>
  </w:style>
  <w:style w:type="character" w:customStyle="1" w:styleId="39">
    <w:name w:val="页眉 Char"/>
    <w:basedOn w:val="28"/>
    <w:link w:val="15"/>
    <w:semiHidden/>
    <w:qFormat/>
    <w:uiPriority w:val="99"/>
    <w:rPr>
      <w:sz w:val="18"/>
      <w:szCs w:val="18"/>
    </w:rPr>
  </w:style>
  <w:style w:type="character" w:customStyle="1" w:styleId="40">
    <w:name w:val="脚注文本 Char"/>
    <w:basedOn w:val="28"/>
    <w:link w:val="21"/>
    <w:semiHidden/>
    <w:qFormat/>
    <w:uiPriority w:val="99"/>
    <w:rPr>
      <w:sz w:val="18"/>
      <w:szCs w:val="18"/>
    </w:rPr>
  </w:style>
  <w:style w:type="paragraph" w:customStyle="1" w:styleId="41">
    <w:name w:val="标准书眉_奇数页"/>
    <w:next w:val="1"/>
    <w:qFormat/>
    <w:uiPriority w:val="99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2">
    <w:name w:val="标准书脚_偶数页"/>
    <w:qFormat/>
    <w:uiPriority w:val="99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3">
    <w:name w:val="封面标准英文名称2"/>
    <w:basedOn w:val="44"/>
    <w:qFormat/>
    <w:uiPriority w:val="99"/>
    <w:pPr>
      <w:framePr w:y="4469"/>
    </w:pPr>
  </w:style>
  <w:style w:type="paragraph" w:customStyle="1" w:styleId="44">
    <w:name w:val="封面标准英文名称"/>
    <w:basedOn w:val="45"/>
    <w:qFormat/>
    <w:uiPriority w:val="99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45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46">
    <w:name w:val="五级条标题"/>
    <w:basedOn w:val="47"/>
    <w:next w:val="20"/>
    <w:qFormat/>
    <w:uiPriority w:val="99"/>
    <w:pPr>
      <w:numPr>
        <w:ilvl w:val="5"/>
      </w:numPr>
      <w:outlineLvl w:val="6"/>
    </w:pPr>
  </w:style>
  <w:style w:type="paragraph" w:customStyle="1" w:styleId="47">
    <w:name w:val="四级条标题"/>
    <w:basedOn w:val="48"/>
    <w:next w:val="20"/>
    <w:qFormat/>
    <w:uiPriority w:val="99"/>
    <w:pPr>
      <w:numPr>
        <w:ilvl w:val="4"/>
      </w:numPr>
      <w:outlineLvl w:val="5"/>
    </w:pPr>
  </w:style>
  <w:style w:type="paragraph" w:customStyle="1" w:styleId="48">
    <w:name w:val="三级条标题"/>
    <w:basedOn w:val="49"/>
    <w:next w:val="20"/>
    <w:qFormat/>
    <w:uiPriority w:val="99"/>
    <w:pPr>
      <w:numPr>
        <w:ilvl w:val="3"/>
      </w:numPr>
      <w:outlineLvl w:val="4"/>
    </w:pPr>
  </w:style>
  <w:style w:type="paragraph" w:customStyle="1" w:styleId="49">
    <w:name w:val="二级条标题"/>
    <w:basedOn w:val="50"/>
    <w:next w:val="20"/>
    <w:qFormat/>
    <w:uiPriority w:val="99"/>
    <w:pPr>
      <w:numPr>
        <w:ilvl w:val="2"/>
      </w:numPr>
      <w:spacing w:before="50" w:after="50"/>
      <w:outlineLvl w:val="3"/>
    </w:pPr>
  </w:style>
  <w:style w:type="paragraph" w:customStyle="1" w:styleId="50">
    <w:name w:val="一级条标题"/>
    <w:next w:val="20"/>
    <w:qFormat/>
    <w:uiPriority w:val="99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51">
    <w:name w:val="其他发布日期"/>
    <w:basedOn w:val="52"/>
    <w:qFormat/>
    <w:uiPriority w:val="99"/>
    <w:pPr>
      <w:framePr w:vAnchor="page" w:hAnchor="text" w:x="1419"/>
    </w:pPr>
  </w:style>
  <w:style w:type="paragraph" w:customStyle="1" w:styleId="52">
    <w:name w:val="发布日期"/>
    <w:qFormat/>
    <w:uiPriority w:val="99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53">
    <w:name w:val="附录二级无"/>
    <w:basedOn w:val="54"/>
    <w:qFormat/>
    <w:uiPriority w:val="99"/>
    <w:pPr>
      <w:tabs>
        <w:tab w:val="left" w:pos="360"/>
      </w:tabs>
      <w:spacing w:beforeLines="0" w:afterLines="0"/>
    </w:pPr>
    <w:rPr>
      <w:rFonts w:ascii="宋体" w:eastAsia="宋体"/>
      <w:szCs w:val="21"/>
    </w:rPr>
  </w:style>
  <w:style w:type="paragraph" w:customStyle="1" w:styleId="54">
    <w:name w:val="附录二级条标题"/>
    <w:basedOn w:val="1"/>
    <w:next w:val="20"/>
    <w:qFormat/>
    <w:uiPriority w:val="99"/>
    <w:pPr>
      <w:widowControl/>
      <w:numPr>
        <w:ilvl w:val="3"/>
        <w:numId w:val="3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55">
    <w:name w:val="条文脚注"/>
    <w:basedOn w:val="21"/>
    <w:qFormat/>
    <w:uiPriority w:val="99"/>
    <w:pPr>
      <w:numPr>
        <w:numId w:val="0"/>
      </w:numPr>
      <w:jc w:val="both"/>
    </w:pPr>
  </w:style>
  <w:style w:type="paragraph" w:customStyle="1" w:styleId="56">
    <w:name w:val="标准书眉一"/>
    <w:qFormat/>
    <w:uiPriority w:val="99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7">
    <w:name w:val="附录表标题"/>
    <w:basedOn w:val="1"/>
    <w:next w:val="20"/>
    <w:qFormat/>
    <w:uiPriority w:val="99"/>
    <w:pPr>
      <w:numPr>
        <w:ilvl w:val="1"/>
        <w:numId w:val="4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58">
    <w:name w:val="标准称谓"/>
    <w:next w:val="1"/>
    <w:qFormat/>
    <w:uiPriority w:val="99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59">
    <w:name w:val="附录五级条标题"/>
    <w:basedOn w:val="60"/>
    <w:next w:val="20"/>
    <w:qFormat/>
    <w:uiPriority w:val="99"/>
    <w:pPr>
      <w:numPr>
        <w:ilvl w:val="6"/>
      </w:numPr>
      <w:tabs>
        <w:tab w:val="left" w:pos="360"/>
      </w:tabs>
      <w:outlineLvl w:val="6"/>
    </w:pPr>
  </w:style>
  <w:style w:type="paragraph" w:customStyle="1" w:styleId="60">
    <w:name w:val="附录四级条标题"/>
    <w:basedOn w:val="61"/>
    <w:next w:val="20"/>
    <w:qFormat/>
    <w:uiPriority w:val="99"/>
    <w:pPr>
      <w:numPr>
        <w:ilvl w:val="5"/>
      </w:numPr>
      <w:tabs>
        <w:tab w:val="left" w:pos="360"/>
      </w:tabs>
      <w:outlineLvl w:val="5"/>
    </w:pPr>
  </w:style>
  <w:style w:type="paragraph" w:customStyle="1" w:styleId="61">
    <w:name w:val="附录三级条标题"/>
    <w:basedOn w:val="54"/>
    <w:next w:val="20"/>
    <w:qFormat/>
    <w:uiPriority w:val="99"/>
    <w:pPr>
      <w:numPr>
        <w:ilvl w:val="4"/>
      </w:numPr>
      <w:outlineLvl w:val="4"/>
    </w:pPr>
  </w:style>
  <w:style w:type="paragraph" w:customStyle="1" w:styleId="62">
    <w:name w:val="注：（正文）"/>
    <w:basedOn w:val="63"/>
    <w:next w:val="20"/>
    <w:qFormat/>
    <w:uiPriority w:val="99"/>
  </w:style>
  <w:style w:type="paragraph" w:customStyle="1" w:styleId="63">
    <w:name w:val="注："/>
    <w:next w:val="20"/>
    <w:qFormat/>
    <w:uiPriority w:val="99"/>
    <w:pPr>
      <w:widowControl w:val="0"/>
      <w:numPr>
        <w:ilvl w:val="0"/>
        <w:numId w:val="5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4">
    <w:name w:val="首示例"/>
    <w:next w:val="20"/>
    <w:link w:val="136"/>
    <w:qFormat/>
    <w:uiPriority w:val="99"/>
    <w:pPr>
      <w:numPr>
        <w:ilvl w:val="0"/>
        <w:numId w:val="6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paragraph" w:customStyle="1" w:styleId="65">
    <w:name w:val="示例×："/>
    <w:basedOn w:val="66"/>
    <w:qFormat/>
    <w:uiPriority w:val="99"/>
    <w:pPr>
      <w:numPr>
        <w:numId w:val="7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66">
    <w:name w:val="章标题"/>
    <w:next w:val="20"/>
    <w:qFormat/>
    <w:uiPriority w:val="99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7">
    <w:name w:val="附录五级无"/>
    <w:basedOn w:val="59"/>
    <w:qFormat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68">
    <w:name w:val="数字编号列项（二级）"/>
    <w:qFormat/>
    <w:uiPriority w:val="99"/>
    <w:pPr>
      <w:numPr>
        <w:ilvl w:val="1"/>
        <w:numId w:val="8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9">
    <w:name w:val="封面一致性程度标识2"/>
    <w:basedOn w:val="70"/>
    <w:qFormat/>
    <w:uiPriority w:val="99"/>
    <w:pPr>
      <w:framePr w:y="4469"/>
    </w:pPr>
  </w:style>
  <w:style w:type="paragraph" w:customStyle="1" w:styleId="70">
    <w:name w:val="封面一致性程度标识"/>
    <w:basedOn w:val="44"/>
    <w:qFormat/>
    <w:uiPriority w:val="99"/>
    <w:pPr>
      <w:spacing w:before="440"/>
    </w:pPr>
    <w:rPr>
      <w:rFonts w:ascii="宋体" w:eastAsia="宋体"/>
    </w:rPr>
  </w:style>
  <w:style w:type="paragraph" w:customStyle="1" w:styleId="71">
    <w:name w:val="附录字母编号列项（一级）"/>
    <w:qFormat/>
    <w:uiPriority w:val="99"/>
    <w:pPr>
      <w:numPr>
        <w:ilvl w:val="0"/>
        <w:numId w:val="9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2">
    <w:name w:val="封面标准号1"/>
    <w:qFormat/>
    <w:uiPriority w:val="9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3">
    <w:name w:val="注×："/>
    <w:qFormat/>
    <w:uiPriority w:val="99"/>
    <w:pPr>
      <w:widowControl w:val="0"/>
      <w:numPr>
        <w:ilvl w:val="0"/>
        <w:numId w:val="10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4">
    <w:name w:val="实施日期"/>
    <w:basedOn w:val="52"/>
    <w:qFormat/>
    <w:uiPriority w:val="99"/>
    <w:pPr>
      <w:framePr w:vAnchor="page" w:hAnchor="text"/>
      <w:jc w:val="right"/>
    </w:pPr>
  </w:style>
  <w:style w:type="paragraph" w:customStyle="1" w:styleId="75">
    <w:name w:val="一级无"/>
    <w:basedOn w:val="50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76">
    <w:name w:val="附录公式"/>
    <w:basedOn w:val="20"/>
    <w:next w:val="20"/>
    <w:link w:val="137"/>
    <w:qFormat/>
    <w:uiPriority w:val="99"/>
  </w:style>
  <w:style w:type="paragraph" w:customStyle="1" w:styleId="77">
    <w:name w:val="列项——（一级）"/>
    <w:qFormat/>
    <w:uiPriority w:val="99"/>
    <w:pPr>
      <w:widowControl w:val="0"/>
      <w:numPr>
        <w:ilvl w:val="0"/>
        <w:numId w:val="1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8">
    <w:name w:val="附录数字编号列项（二级）"/>
    <w:qFormat/>
    <w:uiPriority w:val="99"/>
    <w:pPr>
      <w:numPr>
        <w:ilvl w:val="1"/>
        <w:numId w:val="9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9">
    <w:name w:val="标准书脚_奇数页"/>
    <w:qFormat/>
    <w:uiPriority w:val="99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0">
    <w:name w:val="参考文献"/>
    <w:basedOn w:val="1"/>
    <w:next w:val="20"/>
    <w:qFormat/>
    <w:uiPriority w:val="9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1">
    <w:name w:val="字母编号列项（一级）"/>
    <w:qFormat/>
    <w:uiPriority w:val="99"/>
    <w:pPr>
      <w:numPr>
        <w:ilvl w:val="0"/>
        <w:numId w:val="8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2">
    <w:name w:val="附录标题"/>
    <w:basedOn w:val="20"/>
    <w:next w:val="20"/>
    <w:qFormat/>
    <w:uiPriority w:val="99"/>
    <w:pPr>
      <w:ind w:firstLine="0" w:firstLineChars="0"/>
      <w:jc w:val="center"/>
    </w:pPr>
    <w:rPr>
      <w:rFonts w:ascii="黑体" w:eastAsia="黑体"/>
    </w:rPr>
  </w:style>
  <w:style w:type="paragraph" w:customStyle="1" w:styleId="83">
    <w:name w:val="标准标志"/>
    <w:next w:val="1"/>
    <w:qFormat/>
    <w:uiPriority w:val="99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84">
    <w:name w:val="列项◆（三级）"/>
    <w:basedOn w:val="1"/>
    <w:qFormat/>
    <w:uiPriority w:val="99"/>
    <w:pPr>
      <w:numPr>
        <w:ilvl w:val="2"/>
        <w:numId w:val="11"/>
      </w:numPr>
    </w:pPr>
    <w:rPr>
      <w:rFonts w:ascii="宋体"/>
      <w:szCs w:val="21"/>
    </w:rPr>
  </w:style>
  <w:style w:type="paragraph" w:customStyle="1" w:styleId="85">
    <w:name w:val="五级无"/>
    <w:basedOn w:val="46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86">
    <w:name w:val="目次、标准名称标题"/>
    <w:basedOn w:val="1"/>
    <w:next w:val="20"/>
    <w:qFormat/>
    <w:uiPriority w:val="99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87">
    <w:name w:val="终结线"/>
    <w:basedOn w:val="1"/>
    <w:qFormat/>
    <w:uiPriority w:val="99"/>
    <w:pPr>
      <w:framePr w:hSpace="181" w:vSpace="181" w:wrap="around" w:vAnchor="text" w:hAnchor="margin" w:xAlign="center" w:y="285"/>
    </w:pPr>
  </w:style>
  <w:style w:type="paragraph" w:customStyle="1" w:styleId="88">
    <w:name w:val="注×：（正文）"/>
    <w:qFormat/>
    <w:uiPriority w:val="99"/>
    <w:pPr>
      <w:numPr>
        <w:ilvl w:val="0"/>
        <w:numId w:val="12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9">
    <w:name w:val="附录图标号"/>
    <w:basedOn w:val="1"/>
    <w:qFormat/>
    <w:uiPriority w:val="99"/>
    <w:pPr>
      <w:keepNext/>
      <w:pageBreakBefore/>
      <w:widowControl/>
      <w:numPr>
        <w:ilvl w:val="0"/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0">
    <w:name w:val="示例内容"/>
    <w:qFormat/>
    <w:uiPriority w:val="99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1">
    <w:name w:val="封面标准文稿类别2"/>
    <w:basedOn w:val="92"/>
    <w:qFormat/>
    <w:uiPriority w:val="99"/>
    <w:pPr>
      <w:framePr w:y="4469"/>
    </w:pPr>
  </w:style>
  <w:style w:type="paragraph" w:customStyle="1" w:styleId="92">
    <w:name w:val="封面标准文稿类别"/>
    <w:basedOn w:val="70"/>
    <w:qFormat/>
    <w:uiPriority w:val="99"/>
    <w:pPr>
      <w:spacing w:after="160" w:line="240" w:lineRule="auto"/>
    </w:pPr>
    <w:rPr>
      <w:sz w:val="24"/>
    </w:rPr>
  </w:style>
  <w:style w:type="paragraph" w:customStyle="1" w:styleId="93">
    <w:name w:val="目次、索引正文"/>
    <w:qFormat/>
    <w:uiPriority w:val="99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4">
    <w:name w:val="示例"/>
    <w:next w:val="90"/>
    <w:qFormat/>
    <w:uiPriority w:val="99"/>
    <w:pPr>
      <w:widowControl w:val="0"/>
      <w:numPr>
        <w:ilvl w:val="0"/>
        <w:numId w:val="1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5">
    <w:name w:val="图表脚注说明"/>
    <w:basedOn w:val="1"/>
    <w:qFormat/>
    <w:uiPriority w:val="99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96">
    <w:name w:val="封面标准号2"/>
    <w:qFormat/>
    <w:uiPriority w:val="99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97">
    <w:name w:val="二级无"/>
    <w:basedOn w:val="49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98">
    <w:name w:val="附录标识"/>
    <w:basedOn w:val="1"/>
    <w:next w:val="20"/>
    <w:qFormat/>
    <w:uiPriority w:val="99"/>
    <w:pPr>
      <w:keepNext/>
      <w:widowControl/>
      <w:numPr>
        <w:ilvl w:val="0"/>
        <w:numId w:val="3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99">
    <w:name w:val="列项●（二级）"/>
    <w:qFormat/>
    <w:uiPriority w:val="99"/>
    <w:pPr>
      <w:numPr>
        <w:ilvl w:val="1"/>
        <w:numId w:val="11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0">
    <w:name w:val="附录公式编号制表符"/>
    <w:basedOn w:val="1"/>
    <w:next w:val="20"/>
    <w:qFormat/>
    <w:uiPriority w:val="99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101">
    <w:name w:val="标准书眉_偶数页"/>
    <w:basedOn w:val="41"/>
    <w:next w:val="1"/>
    <w:qFormat/>
    <w:uiPriority w:val="99"/>
    <w:pPr>
      <w:jc w:val="left"/>
    </w:pPr>
  </w:style>
  <w:style w:type="paragraph" w:customStyle="1" w:styleId="102">
    <w:name w:val="四级无"/>
    <w:basedOn w:val="47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103">
    <w:name w:val="编号列项（三级）"/>
    <w:qFormat/>
    <w:uiPriority w:val="99"/>
    <w:pPr>
      <w:numPr>
        <w:ilvl w:val="2"/>
        <w:numId w:val="8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其他标准标志"/>
    <w:basedOn w:val="83"/>
    <w:qFormat/>
    <w:uiPriority w:val="99"/>
    <w:pPr>
      <w:framePr w:w="6101" w:vAnchor="page" w:hAnchor="page" w:x="4673" w:y="942"/>
    </w:pPr>
    <w:rPr>
      <w:w w:val="130"/>
    </w:rPr>
  </w:style>
  <w:style w:type="paragraph" w:customStyle="1" w:styleId="105">
    <w:name w:val="附录一级无"/>
    <w:basedOn w:val="106"/>
    <w:qFormat/>
    <w:uiPriority w:val="99"/>
    <w:pPr>
      <w:tabs>
        <w:tab w:val="left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6">
    <w:name w:val="附录一级条标题"/>
    <w:basedOn w:val="107"/>
    <w:next w:val="20"/>
    <w:qFormat/>
    <w:uiPriority w:val="99"/>
    <w:pPr>
      <w:numPr>
        <w:ilvl w:val="2"/>
      </w:numPr>
      <w:tabs>
        <w:tab w:val="left" w:pos="360"/>
      </w:tabs>
      <w:autoSpaceDN w:val="0"/>
      <w:spacing w:beforeLines="50" w:afterLines="50"/>
      <w:outlineLvl w:val="2"/>
    </w:pPr>
  </w:style>
  <w:style w:type="paragraph" w:customStyle="1" w:styleId="107">
    <w:name w:val="附录章标题"/>
    <w:next w:val="20"/>
    <w:qFormat/>
    <w:uiPriority w:val="99"/>
    <w:pPr>
      <w:numPr>
        <w:ilvl w:val="1"/>
        <w:numId w:val="3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8">
    <w:name w:val="参考文献、索引标题"/>
    <w:basedOn w:val="1"/>
    <w:next w:val="20"/>
    <w:qFormat/>
    <w:uiPriority w:val="9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09">
    <w:name w:val="发布部门"/>
    <w:next w:val="20"/>
    <w:qFormat/>
    <w:uiPriority w:val="99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110">
    <w:name w:val="封面标准代替信息"/>
    <w:qFormat/>
    <w:uiPriority w:val="99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111">
    <w:name w:val="前言、引言标题"/>
    <w:next w:val="20"/>
    <w:qFormat/>
    <w:uiPriority w:val="9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2">
    <w:name w:val="封面标准文稿编辑信息"/>
    <w:basedOn w:val="92"/>
    <w:qFormat/>
    <w:uiPriority w:val="99"/>
    <w:pPr>
      <w:spacing w:before="180" w:line="180" w:lineRule="exact"/>
    </w:pPr>
    <w:rPr>
      <w:sz w:val="21"/>
    </w:rPr>
  </w:style>
  <w:style w:type="paragraph" w:customStyle="1" w:styleId="113">
    <w:name w:val="封面标准文稿编辑信息2"/>
    <w:basedOn w:val="112"/>
    <w:qFormat/>
    <w:uiPriority w:val="99"/>
    <w:pPr>
      <w:framePr w:y="4469"/>
    </w:pPr>
  </w:style>
  <w:style w:type="paragraph" w:customStyle="1" w:styleId="114">
    <w:name w:val="列项说明数字编号"/>
    <w:qFormat/>
    <w:uiPriority w:val="99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5">
    <w:name w:val="封面正文"/>
    <w:qFormat/>
    <w:uiPriority w:val="99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16">
    <w:name w:val="正文图标题"/>
    <w:next w:val="20"/>
    <w:qFormat/>
    <w:uiPriority w:val="99"/>
    <w:pPr>
      <w:numPr>
        <w:ilvl w:val="0"/>
        <w:numId w:val="16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7">
    <w:name w:val="附录表标号"/>
    <w:basedOn w:val="1"/>
    <w:next w:val="20"/>
    <w:qFormat/>
    <w:uiPriority w:val="99"/>
    <w:pPr>
      <w:numPr>
        <w:ilvl w:val="0"/>
        <w:numId w:val="4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18">
    <w:name w:val="文献分类号"/>
    <w:qFormat/>
    <w:uiPriority w:val="99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9">
    <w:name w:val="附录三级无"/>
    <w:basedOn w:val="61"/>
    <w:qFormat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20">
    <w:name w:val="封面标准名称2"/>
    <w:basedOn w:val="45"/>
    <w:qFormat/>
    <w:uiPriority w:val="99"/>
    <w:pPr>
      <w:framePr w:y="4469"/>
      <w:spacing w:beforeLines="630"/>
    </w:pPr>
  </w:style>
  <w:style w:type="paragraph" w:customStyle="1" w:styleId="121">
    <w:name w:val="附录四级无"/>
    <w:basedOn w:val="60"/>
    <w:qFormat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22">
    <w:name w:val="正文公式编号制表符"/>
    <w:basedOn w:val="20"/>
    <w:next w:val="20"/>
    <w:qFormat/>
    <w:uiPriority w:val="99"/>
    <w:pPr>
      <w:ind w:firstLine="0" w:firstLineChars="0"/>
    </w:pPr>
  </w:style>
  <w:style w:type="paragraph" w:customStyle="1" w:styleId="123">
    <w:name w:val="附录图标题"/>
    <w:basedOn w:val="1"/>
    <w:next w:val="20"/>
    <w:qFormat/>
    <w:uiPriority w:val="99"/>
    <w:pPr>
      <w:numPr>
        <w:ilvl w:val="1"/>
        <w:numId w:val="1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24">
    <w:name w:val="列项说明"/>
    <w:basedOn w:val="1"/>
    <w:qFormat/>
    <w:uiPriority w:val="99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25">
    <w:name w:val="其他标准称谓"/>
    <w:next w:val="1"/>
    <w:qFormat/>
    <w:uiPriority w:val="99"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26">
    <w:name w:val="其他发布部门"/>
    <w:basedOn w:val="109"/>
    <w:qFormat/>
    <w:uiPriority w:val="99"/>
    <w:pPr>
      <w:framePr w:y="15310"/>
      <w:spacing w:line="240" w:lineRule="atLeast"/>
    </w:pPr>
    <w:rPr>
      <w:rFonts w:ascii="黑体" w:eastAsia="黑体"/>
      <w:b w:val="0"/>
    </w:rPr>
  </w:style>
  <w:style w:type="paragraph" w:customStyle="1" w:styleId="12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128">
    <w:name w:val="三级无"/>
    <w:basedOn w:val="48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129">
    <w:name w:val="示例后文字"/>
    <w:basedOn w:val="20"/>
    <w:next w:val="20"/>
    <w:qFormat/>
    <w:uiPriority w:val="99"/>
    <w:pPr>
      <w:ind w:firstLine="360"/>
    </w:pPr>
    <w:rPr>
      <w:sz w:val="18"/>
    </w:rPr>
  </w:style>
  <w:style w:type="paragraph" w:customStyle="1" w:styleId="130">
    <w:name w:val="图标脚注说明"/>
    <w:basedOn w:val="20"/>
    <w:uiPriority w:val="99"/>
    <w:pPr>
      <w:ind w:left="840" w:hanging="420" w:firstLineChars="0"/>
    </w:pPr>
    <w:rPr>
      <w:sz w:val="18"/>
      <w:szCs w:val="18"/>
    </w:rPr>
  </w:style>
  <w:style w:type="paragraph" w:customStyle="1" w:styleId="131">
    <w:name w:val="图的脚注"/>
    <w:next w:val="20"/>
    <w:uiPriority w:val="99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32">
    <w:name w:val="正文表标题"/>
    <w:next w:val="20"/>
    <w:uiPriority w:val="99"/>
    <w:pPr>
      <w:numPr>
        <w:ilvl w:val="0"/>
        <w:numId w:val="17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3">
    <w:name w:val="其他实施日期"/>
    <w:basedOn w:val="74"/>
    <w:qFormat/>
    <w:uiPriority w:val="99"/>
  </w:style>
  <w:style w:type="character" w:customStyle="1" w:styleId="134">
    <w:name w:val="发布"/>
    <w:basedOn w:val="28"/>
    <w:uiPriority w:val="99"/>
    <w:rPr>
      <w:rFonts w:ascii="黑体" w:eastAsia="黑体" w:cs="Times New Roman"/>
      <w:spacing w:val="85"/>
      <w:w w:val="100"/>
      <w:position w:val="3"/>
      <w:sz w:val="28"/>
      <w:szCs w:val="28"/>
    </w:rPr>
  </w:style>
  <w:style w:type="character" w:customStyle="1" w:styleId="135">
    <w:name w:val="段 Char"/>
    <w:basedOn w:val="28"/>
    <w:link w:val="20"/>
    <w:locked/>
    <w:uiPriority w:val="99"/>
    <w:rPr>
      <w:rFonts w:ascii="宋体" w:cs="Times New Roman"/>
      <w:sz w:val="21"/>
      <w:lang w:val="en-US" w:eastAsia="zh-CN" w:bidi="ar-SA"/>
    </w:rPr>
  </w:style>
  <w:style w:type="character" w:customStyle="1" w:styleId="136">
    <w:name w:val="首示例 Char"/>
    <w:basedOn w:val="28"/>
    <w:link w:val="64"/>
    <w:locked/>
    <w:uiPriority w:val="99"/>
    <w:rPr>
      <w:rFonts w:asci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37">
    <w:name w:val="附录公式 Char"/>
    <w:basedOn w:val="135"/>
    <w:link w:val="76"/>
    <w:locked/>
    <w:uiPriority w:val="99"/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iyunhui\Desktop\&#33590;&#26641;&#33735;&#26631;&#20934;&#20462;&#35746;\&#33590;&#26641;&#33735;&#65288;&#20462;&#35746;&#25552;&#20132;&#29256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茶树菇（修订提交版）</Template>
  <Pages>10</Pages>
  <Words>768</Words>
  <Characters>4383</Characters>
  <Lines>36</Lines>
  <Paragraphs>10</Paragraphs>
  <TotalTime>106</TotalTime>
  <ScaleCrop>false</ScaleCrop>
  <LinksUpToDate>false</LinksUpToDate>
  <CharactersWithSpaces>5141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2017-07-27T06:41:00Z</dcterms:created>
  <dc:creator>weiyunhui</dc:creator>
  <cp:lastModifiedBy>weiyunhui</cp:lastModifiedBy>
  <cp:lastPrinted>2018-03-09T01:57:00Z</cp:lastPrinted>
  <dcterms:modified xsi:type="dcterms:W3CDTF">2018-09-20T07:33:51Z</dcterms:modified>
  <dc:title>标准名称</dc:title>
  <cp:revision>336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