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E7F08B3" w14:textId="77777777" w:rsidTr="007B7453">
        <w:tc>
          <w:tcPr>
            <w:tcW w:w="509" w:type="dxa"/>
          </w:tcPr>
          <w:p w14:paraId="100D0C8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FA66BB6" w14:textId="20054170" w:rsidR="00672BFD" w:rsidRPr="00672BFD" w:rsidRDefault="00672BFD" w:rsidP="007000B2">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7000B2" w:rsidRPr="00672BFD">
              <w:rPr>
                <w:rFonts w:ascii="黑体" w:eastAsia="黑体" w:hAnsi="黑体"/>
                <w:sz w:val="21"/>
                <w:szCs w:val="21"/>
              </w:rPr>
            </w:r>
            <w:r w:rsidRPr="00672BFD">
              <w:rPr>
                <w:rFonts w:ascii="黑体" w:eastAsia="黑体" w:hAnsi="黑体"/>
                <w:sz w:val="21"/>
                <w:szCs w:val="21"/>
              </w:rPr>
              <w:fldChar w:fldCharType="separate"/>
            </w:r>
            <w:r w:rsidR="007000B2">
              <w:rPr>
                <w:rFonts w:ascii="黑体" w:eastAsia="黑体" w:hAnsi="黑体"/>
                <w:sz w:val="21"/>
                <w:szCs w:val="21"/>
              </w:rPr>
              <w:t>13.020</w:t>
            </w:r>
            <w:r w:rsidRPr="00672BFD">
              <w:rPr>
                <w:rFonts w:ascii="黑体" w:eastAsia="黑体" w:hAnsi="黑体"/>
                <w:sz w:val="21"/>
                <w:szCs w:val="21"/>
              </w:rPr>
              <w:fldChar w:fldCharType="end"/>
            </w:r>
            <w:bookmarkEnd w:id="0"/>
          </w:p>
        </w:tc>
      </w:tr>
      <w:tr w:rsidR="007B7453" w:rsidRPr="00672BFD" w14:paraId="228758BF" w14:textId="77777777" w:rsidTr="007B7453">
        <w:tc>
          <w:tcPr>
            <w:tcW w:w="509" w:type="dxa"/>
          </w:tcPr>
          <w:p w14:paraId="3A7D7DD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B526205" w14:textId="47EF93F6" w:rsidR="00672BFD" w:rsidRPr="00672BFD" w:rsidRDefault="00672BFD" w:rsidP="007000B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7000B2" w:rsidRPr="00672BFD">
              <w:rPr>
                <w:rFonts w:ascii="黑体" w:eastAsia="黑体" w:hAnsi="黑体"/>
                <w:sz w:val="21"/>
                <w:szCs w:val="21"/>
              </w:rPr>
            </w:r>
            <w:r w:rsidRPr="00672BFD">
              <w:rPr>
                <w:rFonts w:ascii="黑体" w:eastAsia="黑体" w:hAnsi="黑体"/>
                <w:sz w:val="21"/>
                <w:szCs w:val="21"/>
              </w:rPr>
              <w:fldChar w:fldCharType="separate"/>
            </w:r>
            <w:r w:rsidR="007000B2">
              <w:rPr>
                <w:rFonts w:ascii="黑体" w:eastAsia="黑体" w:hAnsi="黑体"/>
                <w:sz w:val="21"/>
                <w:szCs w:val="21"/>
              </w:rPr>
              <w:t>C51</w:t>
            </w:r>
            <w:r w:rsidRPr="00672BFD">
              <w:rPr>
                <w:rFonts w:ascii="黑体" w:eastAsia="黑体" w:hAnsi="黑体"/>
                <w:sz w:val="21"/>
                <w:szCs w:val="21"/>
              </w:rPr>
              <w:fldChar w:fldCharType="end"/>
            </w:r>
            <w:bookmarkEnd w:id="1"/>
          </w:p>
        </w:tc>
      </w:tr>
    </w:tbl>
    <w:p w14:paraId="3D6465D6" w14:textId="7890134F"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bookmarkStart w:id="2" w:name="_Hlk26473981"/>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3"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D74FDD">
        <w:rPr>
          <w:rFonts w:ascii="黑体" w:eastAsia="黑体" w:hint="eastAsia"/>
          <w:b w:val="0"/>
          <w:bCs w:val="0"/>
          <w:w w:val="100"/>
          <w:sz w:val="48"/>
        </w:rPr>
        <w:t>卫生</w:t>
      </w:r>
      <w:r w:rsidR="007B7453" w:rsidRPr="005207F4">
        <w:rPr>
          <w:rFonts w:ascii="黑体" w:eastAsia="黑体"/>
          <w:b w:val="0"/>
          <w:bCs w:val="0"/>
          <w:w w:val="100"/>
          <w:sz w:val="48"/>
        </w:rPr>
        <w:fldChar w:fldCharType="end"/>
      </w:r>
      <w:bookmarkEnd w:id="3"/>
      <w:r w:rsidR="007B7453">
        <w:rPr>
          <w:rFonts w:ascii="黑体" w:eastAsia="黑体" w:hAnsi="黑体" w:hint="eastAsia"/>
          <w:b w:val="0"/>
          <w:bCs w:val="0"/>
          <w:w w:val="100"/>
          <w:sz w:val="48"/>
          <w:szCs w:val="48"/>
        </w:rPr>
        <w:t>行业标准</w:t>
      </w:r>
    </w:p>
    <w:bookmarkEnd w:id="2"/>
    <w:p w14:paraId="4FA3A366" w14:textId="223E6B8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4" w:name="文字1"/>
      <w:r w:rsidRPr="00994782">
        <w:rPr>
          <w:lang w:val="fr-FR"/>
        </w:rPr>
        <w:instrText xml:space="preserve"> FORMTEXT </w:instrText>
      </w:r>
      <w:r>
        <w:fldChar w:fldCharType="separate"/>
      </w:r>
      <w:r w:rsidR="00D74FDD">
        <w:t>WS</w:t>
      </w:r>
      <w:r w:rsidRPr="00994782">
        <w:rPr>
          <w:lang w:val="fr-FR"/>
        </w:rPr>
        <w:t>/T</w:t>
      </w:r>
      <w:r>
        <w:fldChar w:fldCharType="end"/>
      </w:r>
      <w:bookmarkEnd w:id="4"/>
      <w:r w:rsidR="00234784" w:rsidRPr="00994782">
        <w:rPr>
          <w:lang w:val="fr-FR"/>
        </w:rPr>
        <w:t xml:space="preserve"> </w:t>
      </w:r>
      <w:r w:rsidR="006D686E">
        <w:fldChar w:fldCharType="begin">
          <w:ffData>
            <w:name w:val="NSTD_CODE_F"/>
            <w:enabled/>
            <w:calcOnExit w:val="0"/>
            <w:textInput>
              <w:default w:val="XXXX"/>
            </w:textInput>
          </w:ffData>
        </w:fldChar>
      </w:r>
      <w:bookmarkStart w:id="5" w:name="NSTD_CODE_F"/>
      <w:r w:rsidR="006D686E">
        <w:instrText xml:space="preserve"> FORMTEXT </w:instrText>
      </w:r>
      <w:r w:rsidR="006D686E">
        <w:fldChar w:fldCharType="separate"/>
      </w:r>
      <w:r w:rsidR="006D686E">
        <w:t>XXXX</w:t>
      </w:r>
      <w:r w:rsidR="006D686E">
        <w:fldChar w:fldCharType="end"/>
      </w:r>
      <w:bookmarkEnd w:id="5"/>
      <w:r w:rsidR="004644A6" w:rsidRPr="00994782">
        <w:rPr>
          <w:rFonts w:hAnsi="黑体"/>
          <w:lang w:val="fr-FR"/>
        </w:rPr>
        <w:t>—</w:t>
      </w:r>
      <w:r w:rsidR="00087A77">
        <w:fldChar w:fldCharType="begin">
          <w:ffData>
            <w:name w:val="NSTD_CODE_B"/>
            <w:enabled/>
            <w:calcOnExit w:val="0"/>
            <w:textInput>
              <w:default w:val="XXXX"/>
            </w:textInput>
          </w:ffData>
        </w:fldChar>
      </w:r>
      <w:bookmarkStart w:id="6"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6"/>
    </w:p>
    <w:p w14:paraId="53C06608" w14:textId="50C2F8DF"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007000B2" w:rsidRPr="001E4882">
        <w:rPr>
          <w:rFonts w:hAnsi="黑体"/>
        </w:rPr>
      </w:r>
      <w:r w:rsidRPr="001E4882">
        <w:rPr>
          <w:rFonts w:hAnsi="黑体"/>
        </w:rPr>
        <w:fldChar w:fldCharType="separate"/>
      </w:r>
      <w:r w:rsidR="007000B2">
        <w:rPr>
          <w:rFonts w:hAnsi="黑体"/>
        </w:rPr>
        <w:t> </w:t>
      </w:r>
      <w:r w:rsidR="007000B2">
        <w:rPr>
          <w:rFonts w:hAnsi="黑体"/>
        </w:rPr>
        <w:t> </w:t>
      </w:r>
      <w:r w:rsidR="007000B2">
        <w:rPr>
          <w:rFonts w:hAnsi="黑体"/>
        </w:rPr>
        <w:t> </w:t>
      </w:r>
      <w:r w:rsidR="007000B2">
        <w:rPr>
          <w:rFonts w:hAnsi="黑体"/>
        </w:rPr>
        <w:t> </w:t>
      </w:r>
      <w:r w:rsidR="007000B2">
        <w:rPr>
          <w:rFonts w:hAnsi="黑体"/>
        </w:rPr>
        <w:t> </w:t>
      </w:r>
      <w:r w:rsidRPr="001E4882">
        <w:rPr>
          <w:rFonts w:hAnsi="黑体"/>
        </w:rPr>
        <w:fldChar w:fldCharType="end"/>
      </w:r>
      <w:bookmarkEnd w:id="7"/>
    </w:p>
    <w:p w14:paraId="171722EA" w14:textId="613202A9" w:rsidR="007B7453" w:rsidRDefault="007B7453" w:rsidP="00C521D6">
      <w:pPr>
        <w:pStyle w:val="affff5"/>
        <w:framePr w:w="0" w:hRule="auto" w:wrap="around" w:x="7089" w:y="398"/>
        <w:ind w:firstLine="420"/>
      </w:pPr>
      <w:r>
        <w:fldChar w:fldCharType="begin">
          <w:ffData>
            <w:name w:val="c1"/>
            <w:enabled/>
            <w:calcOnExit w:val="0"/>
            <w:textInput>
              <w:maxLength w:val="2"/>
            </w:textInput>
          </w:ffData>
        </w:fldChar>
      </w:r>
      <w:bookmarkStart w:id="8" w:name="c1"/>
      <w:r>
        <w:instrText xml:space="preserve"> FORMTEXT </w:instrText>
      </w:r>
      <w:r>
        <w:fldChar w:fldCharType="separate"/>
      </w:r>
      <w:r w:rsidR="00D74FDD">
        <w:t>ws</w:t>
      </w:r>
      <w:r>
        <w:fldChar w:fldCharType="end"/>
      </w:r>
      <w:bookmarkEnd w:id="8"/>
    </w:p>
    <w:p w14:paraId="6DA334F6"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9687567" wp14:editId="176CE0F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FC465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2933A5E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D711F95" w14:textId="26E4FB75"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_GoBack"/>
      <w:r w:rsidR="007000B2">
        <w:t>农贸（集贸）市场新型冠状病毒环境监测技术规范</w:t>
      </w:r>
      <w:bookmarkEnd w:id="10"/>
      <w:r>
        <w:fldChar w:fldCharType="end"/>
      </w:r>
      <w:bookmarkEnd w:id="9"/>
    </w:p>
    <w:p w14:paraId="37D57098" w14:textId="77777777" w:rsidR="00815419" w:rsidRPr="00815419" w:rsidRDefault="00815419" w:rsidP="00324EDD">
      <w:pPr>
        <w:framePr w:w="9639" w:h="6974" w:hRule="exact" w:wrap="around" w:vAnchor="page" w:hAnchor="page" w:x="1419" w:y="6408" w:anchorLock="1"/>
        <w:ind w:left="-1418"/>
      </w:pPr>
    </w:p>
    <w:p w14:paraId="124D4C6A" w14:textId="3C841CCF"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74FDD" w:rsidRPr="00D74FDD">
        <w:rPr>
          <w:rFonts w:eastAsia="黑体"/>
          <w:noProof/>
          <w:szCs w:val="28"/>
        </w:rPr>
        <w:t>Guideline for environmental monitoring of SARS-CoV-2 in agriculture product markets and trade markets</w:t>
      </w:r>
      <w:r>
        <w:rPr>
          <w:rFonts w:eastAsia="黑体"/>
          <w:noProof/>
          <w:szCs w:val="28"/>
        </w:rPr>
        <w:fldChar w:fldCharType="end"/>
      </w:r>
      <w:bookmarkEnd w:id="11"/>
    </w:p>
    <w:p w14:paraId="3A794624" w14:textId="77777777" w:rsidR="00815419" w:rsidRPr="00324EDD" w:rsidRDefault="00815419" w:rsidP="00324EDD">
      <w:pPr>
        <w:framePr w:w="9639" w:h="6974" w:hRule="exact" w:wrap="around" w:vAnchor="page" w:hAnchor="page" w:x="1419" w:y="6408" w:anchorLock="1"/>
        <w:spacing w:line="760" w:lineRule="exact"/>
        <w:ind w:left="-1418"/>
      </w:pPr>
    </w:p>
    <w:p w14:paraId="59849F6E" w14:textId="302AA813"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2"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803E39">
        <w:rPr>
          <w:rFonts w:eastAsia="黑体" w:hint="eastAsia"/>
          <w:noProof/>
          <w:szCs w:val="28"/>
        </w:rPr>
        <w:t>(</w:t>
      </w:r>
      <w:r w:rsidR="00803E39">
        <w:rPr>
          <w:rFonts w:eastAsia="黑体" w:hint="eastAsia"/>
          <w:noProof/>
          <w:szCs w:val="28"/>
        </w:rPr>
        <w:t>点击此处添加与国际标准一致性程度的标识</w:t>
      </w:r>
      <w:r w:rsidR="00803E39">
        <w:rPr>
          <w:rFonts w:eastAsia="黑体" w:hint="eastAsia"/>
          <w:noProof/>
          <w:szCs w:val="28"/>
        </w:rPr>
        <w:t>)</w:t>
      </w:r>
      <w:r>
        <w:rPr>
          <w:rFonts w:eastAsia="黑体"/>
          <w:noProof/>
          <w:szCs w:val="28"/>
        </w:rPr>
        <w:fldChar w:fldCharType="end"/>
      </w:r>
      <w:bookmarkEnd w:id="12"/>
    </w:p>
    <w:p w14:paraId="4FE51C52" w14:textId="47EA7A65"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F606B7">
        <w:rPr>
          <w:noProof/>
          <w:sz w:val="24"/>
          <w:szCs w:val="28"/>
        </w:rPr>
      </w:r>
      <w:r w:rsidR="00F606B7">
        <w:rPr>
          <w:noProof/>
          <w:sz w:val="24"/>
          <w:szCs w:val="28"/>
        </w:rPr>
        <w:fldChar w:fldCharType="separate"/>
      </w:r>
      <w:r>
        <w:rPr>
          <w:noProof/>
          <w:sz w:val="24"/>
          <w:szCs w:val="28"/>
        </w:rPr>
        <w:fldChar w:fldCharType="end"/>
      </w:r>
      <w:bookmarkEnd w:id="13"/>
    </w:p>
    <w:p w14:paraId="237C5C11"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4"/>
    </w:p>
    <w:p w14:paraId="74E4CFB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00F606B7">
        <w:rPr>
          <w:b/>
          <w:noProof/>
          <w:sz w:val="21"/>
          <w:szCs w:val="28"/>
        </w:rPr>
      </w:r>
      <w:r w:rsidR="00F606B7">
        <w:rPr>
          <w:b/>
          <w:noProof/>
          <w:sz w:val="21"/>
          <w:szCs w:val="28"/>
        </w:rPr>
        <w:fldChar w:fldCharType="separate"/>
      </w:r>
      <w:r w:rsidRPr="00A6537A">
        <w:rPr>
          <w:b/>
          <w:noProof/>
          <w:sz w:val="21"/>
          <w:szCs w:val="28"/>
        </w:rPr>
        <w:fldChar w:fldCharType="end"/>
      </w:r>
      <w:bookmarkEnd w:id="15"/>
    </w:p>
    <w:p w14:paraId="09009923" w14:textId="2D8A97BD"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sidR="006D3FC2">
        <w:rPr>
          <w:rFonts w:ascii="黑体"/>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14:paraId="76FF937A"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14:paraId="45C99F43" w14:textId="5CE7B20A" w:rsidR="007B7453" w:rsidRPr="004D189E" w:rsidRDefault="007B7453" w:rsidP="00A4006C">
      <w:pPr>
        <w:pStyle w:val="affffffff5"/>
        <w:framePr w:h="584" w:hRule="exact" w:hSpace="181" w:vSpace="181" w:wrap="around" w:y="15027"/>
        <w:rPr>
          <w:rFonts w:hAnsi="黑体"/>
        </w:rPr>
      </w:pPr>
      <w:r w:rsidRPr="004D189E">
        <w:rPr>
          <w:rFonts w:hAnsi="黑体"/>
          <w:w w:val="100"/>
          <w:sz w:val="28"/>
        </w:rPr>
        <w:fldChar w:fldCharType="begin">
          <w:ffData>
            <w:name w:val="fm"/>
            <w:enabled/>
            <w:calcOnExit w:val="0"/>
            <w:textInput/>
          </w:ffData>
        </w:fldChar>
      </w:r>
      <w:bookmarkStart w:id="22"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D74FDD" w:rsidRPr="00D74FDD">
        <w:rPr>
          <w:rFonts w:hAnsi="黑体" w:hint="eastAsia"/>
          <w:noProof/>
          <w:w w:val="100"/>
          <w:sz w:val="28"/>
        </w:rPr>
        <w:t>中华人民共和国国家卫生健康委员会</w:t>
      </w:r>
      <w:r w:rsidRPr="004D189E">
        <w:rPr>
          <w:rFonts w:hAnsi="黑体"/>
          <w:w w:val="100"/>
          <w:sz w:val="28"/>
        </w:rPr>
        <w:fldChar w:fldCharType="end"/>
      </w:r>
      <w:bookmarkEnd w:id="22"/>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62EFB590" w14:textId="77777777" w:rsidR="00A02BAE" w:rsidRPr="00CD50A1" w:rsidRDefault="006A37B9" w:rsidP="00A02BAE">
      <w:pPr>
        <w:rPr>
          <w:rFonts w:ascii="宋体" w:hAnsi="宋体"/>
          <w:sz w:val="28"/>
          <w:szCs w:val="28"/>
        </w:rPr>
        <w:sectPr w:rsidR="00A02BAE" w:rsidRPr="00CD50A1" w:rsidSect="008D48A3">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6FF1076" wp14:editId="4227699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05D0A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69DD20D4" w14:textId="77777777" w:rsidR="00803E39" w:rsidRDefault="00803E39" w:rsidP="00803E39">
      <w:pPr>
        <w:pStyle w:val="affffff2"/>
        <w:spacing w:after="360"/>
      </w:pPr>
      <w:bookmarkStart w:id="23" w:name="BookMark1"/>
      <w:bookmarkStart w:id="24" w:name="_Toc62649779"/>
      <w:bookmarkStart w:id="25" w:name="_Toc62650096"/>
      <w:bookmarkStart w:id="26" w:name="_Toc62652049"/>
      <w:bookmarkStart w:id="27" w:name="_Toc62652118"/>
      <w:r w:rsidRPr="00803E39">
        <w:rPr>
          <w:rFonts w:hint="eastAsia"/>
          <w:spacing w:val="320"/>
        </w:rPr>
        <w:lastRenderedPageBreak/>
        <w:t>目</w:t>
      </w:r>
      <w:r>
        <w:rPr>
          <w:rFonts w:hint="eastAsia"/>
        </w:rPr>
        <w:t>次</w:t>
      </w:r>
    </w:p>
    <w:p w14:paraId="4DFD407C" w14:textId="1E964B72" w:rsidR="00803E39" w:rsidRPr="00803E39" w:rsidRDefault="00803E39">
      <w:pPr>
        <w:pStyle w:val="11"/>
        <w:tabs>
          <w:tab w:val="right" w:leader="dot" w:pos="9344"/>
        </w:tabs>
        <w:rPr>
          <w:rFonts w:asciiTheme="minorHAnsi" w:eastAsiaTheme="minorEastAsia" w:hAnsiTheme="minorHAnsi" w:cstheme="minorBidi"/>
          <w:noProof/>
          <w:szCs w:val="22"/>
        </w:rPr>
      </w:pPr>
      <w:r w:rsidRPr="00803E39">
        <w:fldChar w:fldCharType="begin"/>
      </w:r>
      <w:r w:rsidRPr="00803E39">
        <w:instrText xml:space="preserve"> TOC \o "1-1" \h \t "标准文件_一级条标题,2,标准文件_附录一级条标题,2," </w:instrText>
      </w:r>
      <w:r w:rsidRPr="00803E39">
        <w:fldChar w:fldCharType="separate"/>
      </w:r>
      <w:hyperlink w:anchor="_Toc62653341" w:history="1">
        <w:r w:rsidRPr="00803E39">
          <w:rPr>
            <w:rStyle w:val="affffffe"/>
            <w:noProof/>
          </w:rPr>
          <w:t>前言</w:t>
        </w:r>
        <w:r w:rsidRPr="00803E39">
          <w:rPr>
            <w:noProof/>
          </w:rPr>
          <w:tab/>
        </w:r>
        <w:r w:rsidRPr="00803E39">
          <w:rPr>
            <w:noProof/>
          </w:rPr>
          <w:fldChar w:fldCharType="begin"/>
        </w:r>
        <w:r w:rsidRPr="00803E39">
          <w:rPr>
            <w:noProof/>
          </w:rPr>
          <w:instrText xml:space="preserve"> PAGEREF _Toc62653341 \h </w:instrText>
        </w:r>
        <w:r w:rsidRPr="00803E39">
          <w:rPr>
            <w:noProof/>
          </w:rPr>
        </w:r>
        <w:r w:rsidRPr="00803E39">
          <w:rPr>
            <w:noProof/>
          </w:rPr>
          <w:fldChar w:fldCharType="separate"/>
        </w:r>
        <w:r w:rsidRPr="00803E39">
          <w:rPr>
            <w:noProof/>
          </w:rPr>
          <w:t>II</w:t>
        </w:r>
        <w:r w:rsidRPr="00803E39">
          <w:rPr>
            <w:noProof/>
          </w:rPr>
          <w:fldChar w:fldCharType="end"/>
        </w:r>
      </w:hyperlink>
    </w:p>
    <w:p w14:paraId="079FC06C" w14:textId="4542088C" w:rsidR="00803E39" w:rsidRPr="00803E39" w:rsidRDefault="00F606B7">
      <w:pPr>
        <w:pStyle w:val="11"/>
        <w:tabs>
          <w:tab w:val="right" w:leader="dot" w:pos="9344"/>
        </w:tabs>
        <w:rPr>
          <w:rFonts w:asciiTheme="minorHAnsi" w:eastAsiaTheme="minorEastAsia" w:hAnsiTheme="minorHAnsi" w:cstheme="minorBidi"/>
          <w:noProof/>
          <w:szCs w:val="22"/>
        </w:rPr>
      </w:pPr>
      <w:hyperlink w:anchor="_Toc62653342" w:history="1">
        <w:r w:rsidR="00803E39" w:rsidRPr="00803E39">
          <w:rPr>
            <w:rStyle w:val="affffffe"/>
            <w:noProof/>
          </w:rPr>
          <w:t>1</w:t>
        </w:r>
        <w:r w:rsidR="00803E39">
          <w:rPr>
            <w:rStyle w:val="affffffe"/>
            <w:noProof/>
          </w:rPr>
          <w:t xml:space="preserve"> </w:t>
        </w:r>
        <w:r w:rsidR="00803E39" w:rsidRPr="00803E39">
          <w:rPr>
            <w:rStyle w:val="affffffe"/>
            <w:noProof/>
          </w:rPr>
          <w:t xml:space="preserve"> 范围</w:t>
        </w:r>
        <w:r w:rsidR="00803E39" w:rsidRPr="00803E39">
          <w:rPr>
            <w:noProof/>
          </w:rPr>
          <w:tab/>
        </w:r>
        <w:r w:rsidR="00803E39" w:rsidRPr="00803E39">
          <w:rPr>
            <w:noProof/>
          </w:rPr>
          <w:fldChar w:fldCharType="begin"/>
        </w:r>
        <w:r w:rsidR="00803E39" w:rsidRPr="00803E39">
          <w:rPr>
            <w:noProof/>
          </w:rPr>
          <w:instrText xml:space="preserve"> PAGEREF _Toc62653342 \h </w:instrText>
        </w:r>
        <w:r w:rsidR="00803E39" w:rsidRPr="00803E39">
          <w:rPr>
            <w:noProof/>
          </w:rPr>
        </w:r>
        <w:r w:rsidR="00803E39" w:rsidRPr="00803E39">
          <w:rPr>
            <w:noProof/>
          </w:rPr>
          <w:fldChar w:fldCharType="separate"/>
        </w:r>
        <w:r w:rsidR="00803E39" w:rsidRPr="00803E39">
          <w:rPr>
            <w:noProof/>
          </w:rPr>
          <w:t>1</w:t>
        </w:r>
        <w:r w:rsidR="00803E39" w:rsidRPr="00803E39">
          <w:rPr>
            <w:noProof/>
          </w:rPr>
          <w:fldChar w:fldCharType="end"/>
        </w:r>
      </w:hyperlink>
    </w:p>
    <w:p w14:paraId="16A5ADE1" w14:textId="16E841ED" w:rsidR="00803E39" w:rsidRPr="00803E39" w:rsidRDefault="00F606B7">
      <w:pPr>
        <w:pStyle w:val="11"/>
        <w:tabs>
          <w:tab w:val="right" w:leader="dot" w:pos="9344"/>
        </w:tabs>
        <w:rPr>
          <w:rFonts w:asciiTheme="minorHAnsi" w:eastAsiaTheme="minorEastAsia" w:hAnsiTheme="minorHAnsi" w:cstheme="minorBidi"/>
          <w:noProof/>
          <w:szCs w:val="22"/>
        </w:rPr>
      </w:pPr>
      <w:hyperlink w:anchor="_Toc62653343" w:history="1">
        <w:r w:rsidR="00803E39" w:rsidRPr="00803E39">
          <w:rPr>
            <w:rStyle w:val="affffffe"/>
            <w:noProof/>
          </w:rPr>
          <w:t>2</w:t>
        </w:r>
        <w:r w:rsidR="00803E39">
          <w:rPr>
            <w:rStyle w:val="affffffe"/>
            <w:noProof/>
          </w:rPr>
          <w:t xml:space="preserve"> </w:t>
        </w:r>
        <w:r w:rsidR="00803E39" w:rsidRPr="00803E39">
          <w:rPr>
            <w:rStyle w:val="affffffe"/>
            <w:noProof/>
          </w:rPr>
          <w:t xml:space="preserve"> 规范性引用文件</w:t>
        </w:r>
        <w:r w:rsidR="00803E39" w:rsidRPr="00803E39">
          <w:rPr>
            <w:noProof/>
          </w:rPr>
          <w:tab/>
        </w:r>
        <w:r w:rsidR="00803E39" w:rsidRPr="00803E39">
          <w:rPr>
            <w:noProof/>
          </w:rPr>
          <w:fldChar w:fldCharType="begin"/>
        </w:r>
        <w:r w:rsidR="00803E39" w:rsidRPr="00803E39">
          <w:rPr>
            <w:noProof/>
          </w:rPr>
          <w:instrText xml:space="preserve"> PAGEREF _Toc62653343 \h </w:instrText>
        </w:r>
        <w:r w:rsidR="00803E39" w:rsidRPr="00803E39">
          <w:rPr>
            <w:noProof/>
          </w:rPr>
        </w:r>
        <w:r w:rsidR="00803E39" w:rsidRPr="00803E39">
          <w:rPr>
            <w:noProof/>
          </w:rPr>
          <w:fldChar w:fldCharType="separate"/>
        </w:r>
        <w:r w:rsidR="00803E39" w:rsidRPr="00803E39">
          <w:rPr>
            <w:noProof/>
          </w:rPr>
          <w:t>1</w:t>
        </w:r>
        <w:r w:rsidR="00803E39" w:rsidRPr="00803E39">
          <w:rPr>
            <w:noProof/>
          </w:rPr>
          <w:fldChar w:fldCharType="end"/>
        </w:r>
      </w:hyperlink>
    </w:p>
    <w:p w14:paraId="6D0C3E84" w14:textId="290D2858" w:rsidR="00803E39" w:rsidRPr="00803E39" w:rsidRDefault="00F606B7">
      <w:pPr>
        <w:pStyle w:val="11"/>
        <w:tabs>
          <w:tab w:val="right" w:leader="dot" w:pos="9344"/>
        </w:tabs>
        <w:rPr>
          <w:rFonts w:asciiTheme="minorHAnsi" w:eastAsiaTheme="minorEastAsia" w:hAnsiTheme="minorHAnsi" w:cstheme="minorBidi"/>
          <w:noProof/>
          <w:szCs w:val="22"/>
        </w:rPr>
      </w:pPr>
      <w:hyperlink w:anchor="_Toc62653344" w:history="1">
        <w:r w:rsidR="00803E39" w:rsidRPr="00803E39">
          <w:rPr>
            <w:rStyle w:val="affffffe"/>
            <w:noProof/>
          </w:rPr>
          <w:t>3</w:t>
        </w:r>
        <w:r w:rsidR="00803E39">
          <w:rPr>
            <w:rStyle w:val="affffffe"/>
            <w:noProof/>
          </w:rPr>
          <w:t xml:space="preserve"> </w:t>
        </w:r>
        <w:r w:rsidR="00803E39" w:rsidRPr="00803E39">
          <w:rPr>
            <w:rStyle w:val="affffffe"/>
            <w:noProof/>
          </w:rPr>
          <w:t xml:space="preserve"> 术语和定义</w:t>
        </w:r>
        <w:r w:rsidR="00803E39" w:rsidRPr="00803E39">
          <w:rPr>
            <w:noProof/>
          </w:rPr>
          <w:tab/>
        </w:r>
        <w:r w:rsidR="00803E39" w:rsidRPr="00803E39">
          <w:rPr>
            <w:noProof/>
          </w:rPr>
          <w:fldChar w:fldCharType="begin"/>
        </w:r>
        <w:r w:rsidR="00803E39" w:rsidRPr="00803E39">
          <w:rPr>
            <w:noProof/>
          </w:rPr>
          <w:instrText xml:space="preserve"> PAGEREF _Toc62653344 \h </w:instrText>
        </w:r>
        <w:r w:rsidR="00803E39" w:rsidRPr="00803E39">
          <w:rPr>
            <w:noProof/>
          </w:rPr>
        </w:r>
        <w:r w:rsidR="00803E39" w:rsidRPr="00803E39">
          <w:rPr>
            <w:noProof/>
          </w:rPr>
          <w:fldChar w:fldCharType="separate"/>
        </w:r>
        <w:r w:rsidR="00803E39" w:rsidRPr="00803E39">
          <w:rPr>
            <w:noProof/>
          </w:rPr>
          <w:t>1</w:t>
        </w:r>
        <w:r w:rsidR="00803E39" w:rsidRPr="00803E39">
          <w:rPr>
            <w:noProof/>
          </w:rPr>
          <w:fldChar w:fldCharType="end"/>
        </w:r>
      </w:hyperlink>
    </w:p>
    <w:p w14:paraId="09C74D7C" w14:textId="1B221E80" w:rsidR="00803E39" w:rsidRPr="00803E39" w:rsidRDefault="00F606B7">
      <w:pPr>
        <w:pStyle w:val="11"/>
        <w:tabs>
          <w:tab w:val="right" w:leader="dot" w:pos="9344"/>
        </w:tabs>
        <w:rPr>
          <w:rFonts w:asciiTheme="minorHAnsi" w:eastAsiaTheme="minorEastAsia" w:hAnsiTheme="minorHAnsi" w:cstheme="minorBidi"/>
          <w:noProof/>
          <w:szCs w:val="22"/>
        </w:rPr>
      </w:pPr>
      <w:hyperlink w:anchor="_Toc62653345" w:history="1">
        <w:r w:rsidR="00803E39" w:rsidRPr="00803E39">
          <w:rPr>
            <w:rStyle w:val="affffffe"/>
            <w:noProof/>
          </w:rPr>
          <w:t>4</w:t>
        </w:r>
        <w:r w:rsidR="00803E39">
          <w:rPr>
            <w:rStyle w:val="affffffe"/>
            <w:noProof/>
          </w:rPr>
          <w:t xml:space="preserve"> </w:t>
        </w:r>
        <w:r w:rsidR="00803E39" w:rsidRPr="00803E39">
          <w:rPr>
            <w:rStyle w:val="affffffe"/>
            <w:noProof/>
          </w:rPr>
          <w:t xml:space="preserve"> 基本要求</w:t>
        </w:r>
        <w:r w:rsidR="00803E39" w:rsidRPr="00803E39">
          <w:rPr>
            <w:noProof/>
          </w:rPr>
          <w:tab/>
        </w:r>
        <w:r w:rsidR="00803E39" w:rsidRPr="00803E39">
          <w:rPr>
            <w:noProof/>
          </w:rPr>
          <w:fldChar w:fldCharType="begin"/>
        </w:r>
        <w:r w:rsidR="00803E39" w:rsidRPr="00803E39">
          <w:rPr>
            <w:noProof/>
          </w:rPr>
          <w:instrText xml:space="preserve"> PAGEREF _Toc62653345 \h </w:instrText>
        </w:r>
        <w:r w:rsidR="00803E39" w:rsidRPr="00803E39">
          <w:rPr>
            <w:noProof/>
          </w:rPr>
        </w:r>
        <w:r w:rsidR="00803E39" w:rsidRPr="00803E39">
          <w:rPr>
            <w:noProof/>
          </w:rPr>
          <w:fldChar w:fldCharType="separate"/>
        </w:r>
        <w:r w:rsidR="00803E39" w:rsidRPr="00803E39">
          <w:rPr>
            <w:noProof/>
          </w:rPr>
          <w:t>1</w:t>
        </w:r>
        <w:r w:rsidR="00803E39" w:rsidRPr="00803E39">
          <w:rPr>
            <w:noProof/>
          </w:rPr>
          <w:fldChar w:fldCharType="end"/>
        </w:r>
      </w:hyperlink>
    </w:p>
    <w:p w14:paraId="3DF44784" w14:textId="12AE50ED" w:rsidR="00803E39" w:rsidRPr="00803E39" w:rsidRDefault="00F606B7">
      <w:pPr>
        <w:pStyle w:val="24"/>
        <w:rPr>
          <w:rFonts w:asciiTheme="minorHAnsi" w:eastAsiaTheme="minorEastAsia" w:hAnsiTheme="minorHAnsi" w:cstheme="minorBidi"/>
          <w:noProof/>
          <w:szCs w:val="22"/>
        </w:rPr>
      </w:pPr>
      <w:hyperlink w:anchor="_Toc62653346" w:history="1">
        <w:r w:rsidR="00803E39" w:rsidRPr="00803E39">
          <w:rPr>
            <w:rStyle w:val="affffffe"/>
            <w:noProof/>
            <w14:scene3d>
              <w14:camera w14:prst="orthographicFront"/>
              <w14:lightRig w14:rig="threePt" w14:dir="t">
                <w14:rot w14:lat="0" w14:lon="0" w14:rev="0"/>
              </w14:lightRig>
            </w14:scene3d>
          </w:rPr>
          <w:t>4.1</w:t>
        </w:r>
        <w:r w:rsidR="00803E39">
          <w:rPr>
            <w:rStyle w:val="affffffe"/>
            <w:noProof/>
            <w14:scene3d>
              <w14:camera w14:prst="orthographicFront"/>
              <w14:lightRig w14:rig="threePt" w14:dir="t">
                <w14:rot w14:lat="0" w14:lon="0" w14:rev="0"/>
              </w14:lightRig>
            </w14:scene3d>
          </w:rPr>
          <w:t xml:space="preserve"> </w:t>
        </w:r>
        <w:r w:rsidR="00803E39" w:rsidRPr="00803E39">
          <w:rPr>
            <w:rStyle w:val="affffffe"/>
            <w:noProof/>
          </w:rPr>
          <w:t xml:space="preserve"> 总则</w:t>
        </w:r>
        <w:r w:rsidR="00803E39" w:rsidRPr="00803E39">
          <w:rPr>
            <w:noProof/>
          </w:rPr>
          <w:tab/>
        </w:r>
        <w:r w:rsidR="00803E39" w:rsidRPr="00803E39">
          <w:rPr>
            <w:noProof/>
          </w:rPr>
          <w:fldChar w:fldCharType="begin"/>
        </w:r>
        <w:r w:rsidR="00803E39" w:rsidRPr="00803E39">
          <w:rPr>
            <w:noProof/>
          </w:rPr>
          <w:instrText xml:space="preserve"> PAGEREF _Toc62653346 \h </w:instrText>
        </w:r>
        <w:r w:rsidR="00803E39" w:rsidRPr="00803E39">
          <w:rPr>
            <w:noProof/>
          </w:rPr>
        </w:r>
        <w:r w:rsidR="00803E39" w:rsidRPr="00803E39">
          <w:rPr>
            <w:noProof/>
          </w:rPr>
          <w:fldChar w:fldCharType="separate"/>
        </w:r>
        <w:r w:rsidR="00803E39" w:rsidRPr="00803E39">
          <w:rPr>
            <w:noProof/>
          </w:rPr>
          <w:t>1</w:t>
        </w:r>
        <w:r w:rsidR="00803E39" w:rsidRPr="00803E39">
          <w:rPr>
            <w:noProof/>
          </w:rPr>
          <w:fldChar w:fldCharType="end"/>
        </w:r>
      </w:hyperlink>
    </w:p>
    <w:p w14:paraId="5F687901" w14:textId="0BE5412D" w:rsidR="00803E39" w:rsidRPr="00803E39" w:rsidRDefault="00F606B7">
      <w:pPr>
        <w:pStyle w:val="24"/>
        <w:rPr>
          <w:rFonts w:asciiTheme="minorHAnsi" w:eastAsiaTheme="minorEastAsia" w:hAnsiTheme="minorHAnsi" w:cstheme="minorBidi"/>
          <w:noProof/>
          <w:szCs w:val="22"/>
        </w:rPr>
      </w:pPr>
      <w:hyperlink w:anchor="_Toc62653347" w:history="1">
        <w:r w:rsidR="00803E39" w:rsidRPr="00803E39">
          <w:rPr>
            <w:rStyle w:val="affffffe"/>
            <w:noProof/>
            <w14:scene3d>
              <w14:camera w14:prst="orthographicFront"/>
              <w14:lightRig w14:rig="threePt" w14:dir="t">
                <w14:rot w14:lat="0" w14:lon="0" w14:rev="0"/>
              </w14:lightRig>
            </w14:scene3d>
          </w:rPr>
          <w:t>4.2</w:t>
        </w:r>
        <w:r w:rsidR="00803E39">
          <w:rPr>
            <w:rStyle w:val="affffffe"/>
            <w:noProof/>
            <w14:scene3d>
              <w14:camera w14:prst="orthographicFront"/>
              <w14:lightRig w14:rig="threePt" w14:dir="t">
                <w14:rot w14:lat="0" w14:lon="0" w14:rev="0"/>
              </w14:lightRig>
            </w14:scene3d>
          </w:rPr>
          <w:t xml:space="preserve"> </w:t>
        </w:r>
        <w:r w:rsidR="00803E39" w:rsidRPr="00803E39">
          <w:rPr>
            <w:rStyle w:val="affffffe"/>
            <w:noProof/>
          </w:rPr>
          <w:t xml:space="preserve"> 疫情防控机构</w:t>
        </w:r>
        <w:r w:rsidR="00803E39" w:rsidRPr="00803E39">
          <w:rPr>
            <w:noProof/>
          </w:rPr>
          <w:tab/>
        </w:r>
        <w:r w:rsidR="00803E39" w:rsidRPr="00803E39">
          <w:rPr>
            <w:noProof/>
          </w:rPr>
          <w:fldChar w:fldCharType="begin"/>
        </w:r>
        <w:r w:rsidR="00803E39" w:rsidRPr="00803E39">
          <w:rPr>
            <w:noProof/>
          </w:rPr>
          <w:instrText xml:space="preserve"> PAGEREF _Toc62653347 \h </w:instrText>
        </w:r>
        <w:r w:rsidR="00803E39" w:rsidRPr="00803E39">
          <w:rPr>
            <w:noProof/>
          </w:rPr>
        </w:r>
        <w:r w:rsidR="00803E39" w:rsidRPr="00803E39">
          <w:rPr>
            <w:noProof/>
          </w:rPr>
          <w:fldChar w:fldCharType="separate"/>
        </w:r>
        <w:r w:rsidR="00803E39" w:rsidRPr="00803E39">
          <w:rPr>
            <w:noProof/>
          </w:rPr>
          <w:t>2</w:t>
        </w:r>
        <w:r w:rsidR="00803E39" w:rsidRPr="00803E39">
          <w:rPr>
            <w:noProof/>
          </w:rPr>
          <w:fldChar w:fldCharType="end"/>
        </w:r>
      </w:hyperlink>
    </w:p>
    <w:p w14:paraId="45F70456" w14:textId="4BBE52FE" w:rsidR="00803E39" w:rsidRPr="00803E39" w:rsidRDefault="00F606B7">
      <w:pPr>
        <w:pStyle w:val="24"/>
        <w:rPr>
          <w:rFonts w:asciiTheme="minorHAnsi" w:eastAsiaTheme="minorEastAsia" w:hAnsiTheme="minorHAnsi" w:cstheme="minorBidi"/>
          <w:noProof/>
          <w:szCs w:val="22"/>
        </w:rPr>
      </w:pPr>
      <w:hyperlink w:anchor="_Toc62653348" w:history="1">
        <w:r w:rsidR="00803E39" w:rsidRPr="00803E39">
          <w:rPr>
            <w:rStyle w:val="affffffe"/>
            <w:noProof/>
            <w14:scene3d>
              <w14:camera w14:prst="orthographicFront"/>
              <w14:lightRig w14:rig="threePt" w14:dir="t">
                <w14:rot w14:lat="0" w14:lon="0" w14:rev="0"/>
              </w14:lightRig>
            </w14:scene3d>
          </w:rPr>
          <w:t>4.3</w:t>
        </w:r>
        <w:r w:rsidR="00803E39">
          <w:rPr>
            <w:rStyle w:val="affffffe"/>
            <w:noProof/>
            <w14:scene3d>
              <w14:camera w14:prst="orthographicFront"/>
              <w14:lightRig w14:rig="threePt" w14:dir="t">
                <w14:rot w14:lat="0" w14:lon="0" w14:rev="0"/>
              </w14:lightRig>
            </w14:scene3d>
          </w:rPr>
          <w:t xml:space="preserve"> </w:t>
        </w:r>
        <w:r w:rsidR="00803E39" w:rsidRPr="00803E39">
          <w:rPr>
            <w:rStyle w:val="affffffe"/>
            <w:noProof/>
          </w:rPr>
          <w:t xml:space="preserve"> 监测工作人员</w:t>
        </w:r>
        <w:r w:rsidR="00803E39" w:rsidRPr="00803E39">
          <w:rPr>
            <w:noProof/>
          </w:rPr>
          <w:tab/>
        </w:r>
        <w:r w:rsidR="00803E39" w:rsidRPr="00803E39">
          <w:rPr>
            <w:noProof/>
          </w:rPr>
          <w:fldChar w:fldCharType="begin"/>
        </w:r>
        <w:r w:rsidR="00803E39" w:rsidRPr="00803E39">
          <w:rPr>
            <w:noProof/>
          </w:rPr>
          <w:instrText xml:space="preserve"> PAGEREF _Toc62653348 \h </w:instrText>
        </w:r>
        <w:r w:rsidR="00803E39" w:rsidRPr="00803E39">
          <w:rPr>
            <w:noProof/>
          </w:rPr>
        </w:r>
        <w:r w:rsidR="00803E39" w:rsidRPr="00803E39">
          <w:rPr>
            <w:noProof/>
          </w:rPr>
          <w:fldChar w:fldCharType="separate"/>
        </w:r>
        <w:r w:rsidR="00803E39" w:rsidRPr="00803E39">
          <w:rPr>
            <w:noProof/>
          </w:rPr>
          <w:t>2</w:t>
        </w:r>
        <w:r w:rsidR="00803E39" w:rsidRPr="00803E39">
          <w:rPr>
            <w:noProof/>
          </w:rPr>
          <w:fldChar w:fldCharType="end"/>
        </w:r>
      </w:hyperlink>
    </w:p>
    <w:p w14:paraId="306E4371" w14:textId="45BE3F84" w:rsidR="00803E39" w:rsidRPr="00803E39" w:rsidRDefault="00F606B7">
      <w:pPr>
        <w:pStyle w:val="11"/>
        <w:tabs>
          <w:tab w:val="right" w:leader="dot" w:pos="9344"/>
        </w:tabs>
        <w:rPr>
          <w:rFonts w:asciiTheme="minorHAnsi" w:eastAsiaTheme="minorEastAsia" w:hAnsiTheme="minorHAnsi" w:cstheme="minorBidi"/>
          <w:noProof/>
          <w:szCs w:val="22"/>
        </w:rPr>
      </w:pPr>
      <w:hyperlink w:anchor="_Toc62653349" w:history="1">
        <w:r w:rsidR="00803E39" w:rsidRPr="00803E39">
          <w:rPr>
            <w:rStyle w:val="affffffe"/>
            <w:noProof/>
          </w:rPr>
          <w:t>5</w:t>
        </w:r>
        <w:r w:rsidR="00803E39">
          <w:rPr>
            <w:rStyle w:val="affffffe"/>
            <w:noProof/>
          </w:rPr>
          <w:t xml:space="preserve"> </w:t>
        </w:r>
        <w:r w:rsidR="00803E39" w:rsidRPr="00803E39">
          <w:rPr>
            <w:rStyle w:val="affffffe"/>
            <w:noProof/>
          </w:rPr>
          <w:t xml:space="preserve"> 监测对象和内容</w:t>
        </w:r>
        <w:r w:rsidR="00803E39" w:rsidRPr="00803E39">
          <w:rPr>
            <w:noProof/>
          </w:rPr>
          <w:tab/>
        </w:r>
        <w:r w:rsidR="00803E39" w:rsidRPr="00803E39">
          <w:rPr>
            <w:noProof/>
          </w:rPr>
          <w:fldChar w:fldCharType="begin"/>
        </w:r>
        <w:r w:rsidR="00803E39" w:rsidRPr="00803E39">
          <w:rPr>
            <w:noProof/>
          </w:rPr>
          <w:instrText xml:space="preserve"> PAGEREF _Toc62653349 \h </w:instrText>
        </w:r>
        <w:r w:rsidR="00803E39" w:rsidRPr="00803E39">
          <w:rPr>
            <w:noProof/>
          </w:rPr>
        </w:r>
        <w:r w:rsidR="00803E39" w:rsidRPr="00803E39">
          <w:rPr>
            <w:noProof/>
          </w:rPr>
          <w:fldChar w:fldCharType="separate"/>
        </w:r>
        <w:r w:rsidR="00803E39" w:rsidRPr="00803E39">
          <w:rPr>
            <w:noProof/>
          </w:rPr>
          <w:t>2</w:t>
        </w:r>
        <w:r w:rsidR="00803E39" w:rsidRPr="00803E39">
          <w:rPr>
            <w:noProof/>
          </w:rPr>
          <w:fldChar w:fldCharType="end"/>
        </w:r>
      </w:hyperlink>
    </w:p>
    <w:p w14:paraId="111E049E" w14:textId="1E521C04" w:rsidR="00803E39" w:rsidRPr="00803E39" w:rsidRDefault="00F606B7">
      <w:pPr>
        <w:pStyle w:val="24"/>
        <w:rPr>
          <w:rFonts w:asciiTheme="minorHAnsi" w:eastAsiaTheme="minorEastAsia" w:hAnsiTheme="minorHAnsi" w:cstheme="minorBidi"/>
          <w:noProof/>
          <w:szCs w:val="22"/>
        </w:rPr>
      </w:pPr>
      <w:hyperlink w:anchor="_Toc62653350" w:history="1">
        <w:r w:rsidR="00803E39" w:rsidRPr="00803E39">
          <w:rPr>
            <w:rStyle w:val="affffffe"/>
            <w:noProof/>
            <w14:scene3d>
              <w14:camera w14:prst="orthographicFront"/>
              <w14:lightRig w14:rig="threePt" w14:dir="t">
                <w14:rot w14:lat="0" w14:lon="0" w14:rev="0"/>
              </w14:lightRig>
            </w14:scene3d>
          </w:rPr>
          <w:t>5.1</w:t>
        </w:r>
        <w:r w:rsidR="00803E39">
          <w:rPr>
            <w:rStyle w:val="affffffe"/>
            <w:noProof/>
            <w14:scene3d>
              <w14:camera w14:prst="orthographicFront"/>
              <w14:lightRig w14:rig="threePt" w14:dir="t">
                <w14:rot w14:lat="0" w14:lon="0" w14:rev="0"/>
              </w14:lightRig>
            </w14:scene3d>
          </w:rPr>
          <w:t xml:space="preserve"> </w:t>
        </w:r>
        <w:r w:rsidR="00803E39" w:rsidRPr="00803E39">
          <w:rPr>
            <w:rStyle w:val="affffffe"/>
            <w:noProof/>
          </w:rPr>
          <w:t xml:space="preserve"> 监测对象</w:t>
        </w:r>
        <w:r w:rsidR="00803E39" w:rsidRPr="00803E39">
          <w:rPr>
            <w:noProof/>
          </w:rPr>
          <w:tab/>
        </w:r>
        <w:r w:rsidR="00803E39" w:rsidRPr="00803E39">
          <w:rPr>
            <w:noProof/>
          </w:rPr>
          <w:fldChar w:fldCharType="begin"/>
        </w:r>
        <w:r w:rsidR="00803E39" w:rsidRPr="00803E39">
          <w:rPr>
            <w:noProof/>
          </w:rPr>
          <w:instrText xml:space="preserve"> PAGEREF _Toc62653350 \h </w:instrText>
        </w:r>
        <w:r w:rsidR="00803E39" w:rsidRPr="00803E39">
          <w:rPr>
            <w:noProof/>
          </w:rPr>
        </w:r>
        <w:r w:rsidR="00803E39" w:rsidRPr="00803E39">
          <w:rPr>
            <w:noProof/>
          </w:rPr>
          <w:fldChar w:fldCharType="separate"/>
        </w:r>
        <w:r w:rsidR="00803E39" w:rsidRPr="00803E39">
          <w:rPr>
            <w:noProof/>
          </w:rPr>
          <w:t>2</w:t>
        </w:r>
        <w:r w:rsidR="00803E39" w:rsidRPr="00803E39">
          <w:rPr>
            <w:noProof/>
          </w:rPr>
          <w:fldChar w:fldCharType="end"/>
        </w:r>
      </w:hyperlink>
    </w:p>
    <w:p w14:paraId="47A3EE93" w14:textId="54FAE8A7" w:rsidR="00803E39" w:rsidRPr="00803E39" w:rsidRDefault="00F606B7">
      <w:pPr>
        <w:pStyle w:val="24"/>
        <w:rPr>
          <w:rFonts w:asciiTheme="minorHAnsi" w:eastAsiaTheme="minorEastAsia" w:hAnsiTheme="minorHAnsi" w:cstheme="minorBidi"/>
          <w:noProof/>
          <w:szCs w:val="22"/>
        </w:rPr>
      </w:pPr>
      <w:hyperlink w:anchor="_Toc62653351" w:history="1">
        <w:r w:rsidR="00803E39" w:rsidRPr="00803E39">
          <w:rPr>
            <w:rStyle w:val="affffffe"/>
            <w:noProof/>
            <w14:scene3d>
              <w14:camera w14:prst="orthographicFront"/>
              <w14:lightRig w14:rig="threePt" w14:dir="t">
                <w14:rot w14:lat="0" w14:lon="0" w14:rev="0"/>
              </w14:lightRig>
            </w14:scene3d>
          </w:rPr>
          <w:t>5.2</w:t>
        </w:r>
        <w:r w:rsidR="00803E39">
          <w:rPr>
            <w:rStyle w:val="affffffe"/>
            <w:noProof/>
            <w14:scene3d>
              <w14:camera w14:prst="orthographicFront"/>
              <w14:lightRig w14:rig="threePt" w14:dir="t">
                <w14:rot w14:lat="0" w14:lon="0" w14:rev="0"/>
              </w14:lightRig>
            </w14:scene3d>
          </w:rPr>
          <w:t xml:space="preserve"> </w:t>
        </w:r>
        <w:r w:rsidR="00803E39" w:rsidRPr="00803E39">
          <w:rPr>
            <w:rStyle w:val="affffffe"/>
            <w:noProof/>
          </w:rPr>
          <w:t xml:space="preserve"> 监测内容</w:t>
        </w:r>
        <w:r w:rsidR="00803E39" w:rsidRPr="00803E39">
          <w:rPr>
            <w:noProof/>
          </w:rPr>
          <w:tab/>
        </w:r>
        <w:r w:rsidR="00803E39" w:rsidRPr="00803E39">
          <w:rPr>
            <w:noProof/>
          </w:rPr>
          <w:fldChar w:fldCharType="begin"/>
        </w:r>
        <w:r w:rsidR="00803E39" w:rsidRPr="00803E39">
          <w:rPr>
            <w:noProof/>
          </w:rPr>
          <w:instrText xml:space="preserve"> PAGEREF _Toc62653351 \h </w:instrText>
        </w:r>
        <w:r w:rsidR="00803E39" w:rsidRPr="00803E39">
          <w:rPr>
            <w:noProof/>
          </w:rPr>
        </w:r>
        <w:r w:rsidR="00803E39" w:rsidRPr="00803E39">
          <w:rPr>
            <w:noProof/>
          </w:rPr>
          <w:fldChar w:fldCharType="separate"/>
        </w:r>
        <w:r w:rsidR="00803E39" w:rsidRPr="00803E39">
          <w:rPr>
            <w:noProof/>
          </w:rPr>
          <w:t>2</w:t>
        </w:r>
        <w:r w:rsidR="00803E39" w:rsidRPr="00803E39">
          <w:rPr>
            <w:noProof/>
          </w:rPr>
          <w:fldChar w:fldCharType="end"/>
        </w:r>
      </w:hyperlink>
    </w:p>
    <w:p w14:paraId="77045AAF" w14:textId="6CB7B350" w:rsidR="00803E39" w:rsidRPr="00803E39" w:rsidRDefault="00F606B7">
      <w:pPr>
        <w:pStyle w:val="11"/>
        <w:tabs>
          <w:tab w:val="right" w:leader="dot" w:pos="9344"/>
        </w:tabs>
        <w:rPr>
          <w:rFonts w:asciiTheme="minorHAnsi" w:eastAsiaTheme="minorEastAsia" w:hAnsiTheme="minorHAnsi" w:cstheme="minorBidi"/>
          <w:noProof/>
          <w:szCs w:val="22"/>
        </w:rPr>
      </w:pPr>
      <w:hyperlink w:anchor="_Toc62653352" w:history="1">
        <w:r w:rsidR="00803E39" w:rsidRPr="00803E39">
          <w:rPr>
            <w:rStyle w:val="affffffe"/>
            <w:noProof/>
          </w:rPr>
          <w:t>6</w:t>
        </w:r>
        <w:r w:rsidR="00803E39">
          <w:rPr>
            <w:rStyle w:val="affffffe"/>
            <w:noProof/>
          </w:rPr>
          <w:t xml:space="preserve"> </w:t>
        </w:r>
        <w:r w:rsidR="00803E39" w:rsidRPr="00803E39">
          <w:rPr>
            <w:rStyle w:val="affffffe"/>
            <w:noProof/>
          </w:rPr>
          <w:t xml:space="preserve"> 样本采集</w:t>
        </w:r>
        <w:r w:rsidR="00803E39" w:rsidRPr="00803E39">
          <w:rPr>
            <w:noProof/>
          </w:rPr>
          <w:tab/>
        </w:r>
        <w:r w:rsidR="00803E39" w:rsidRPr="00803E39">
          <w:rPr>
            <w:noProof/>
          </w:rPr>
          <w:fldChar w:fldCharType="begin"/>
        </w:r>
        <w:r w:rsidR="00803E39" w:rsidRPr="00803E39">
          <w:rPr>
            <w:noProof/>
          </w:rPr>
          <w:instrText xml:space="preserve"> PAGEREF _Toc62653352 \h </w:instrText>
        </w:r>
        <w:r w:rsidR="00803E39" w:rsidRPr="00803E39">
          <w:rPr>
            <w:noProof/>
          </w:rPr>
        </w:r>
        <w:r w:rsidR="00803E39" w:rsidRPr="00803E39">
          <w:rPr>
            <w:noProof/>
          </w:rPr>
          <w:fldChar w:fldCharType="separate"/>
        </w:r>
        <w:r w:rsidR="00803E39" w:rsidRPr="00803E39">
          <w:rPr>
            <w:noProof/>
          </w:rPr>
          <w:t>2</w:t>
        </w:r>
        <w:r w:rsidR="00803E39" w:rsidRPr="00803E39">
          <w:rPr>
            <w:noProof/>
          </w:rPr>
          <w:fldChar w:fldCharType="end"/>
        </w:r>
      </w:hyperlink>
    </w:p>
    <w:p w14:paraId="7D17F13E" w14:textId="2B4C133A" w:rsidR="00803E39" w:rsidRPr="00803E39" w:rsidRDefault="00F606B7">
      <w:pPr>
        <w:pStyle w:val="24"/>
        <w:rPr>
          <w:rFonts w:asciiTheme="minorHAnsi" w:eastAsiaTheme="minorEastAsia" w:hAnsiTheme="minorHAnsi" w:cstheme="minorBidi"/>
          <w:noProof/>
          <w:szCs w:val="22"/>
        </w:rPr>
      </w:pPr>
      <w:hyperlink w:anchor="_Toc62653353" w:history="1">
        <w:r w:rsidR="00803E39" w:rsidRPr="00803E39">
          <w:rPr>
            <w:rStyle w:val="affffffe"/>
            <w:noProof/>
            <w14:scene3d>
              <w14:camera w14:prst="orthographicFront"/>
              <w14:lightRig w14:rig="threePt" w14:dir="t">
                <w14:rot w14:lat="0" w14:lon="0" w14:rev="0"/>
              </w14:lightRig>
            </w14:scene3d>
          </w:rPr>
          <w:t>6.1</w:t>
        </w:r>
        <w:r w:rsidR="00803E39">
          <w:rPr>
            <w:rStyle w:val="affffffe"/>
            <w:noProof/>
            <w14:scene3d>
              <w14:camera w14:prst="orthographicFront"/>
              <w14:lightRig w14:rig="threePt" w14:dir="t">
                <w14:rot w14:lat="0" w14:lon="0" w14:rev="0"/>
              </w14:lightRig>
            </w14:scene3d>
          </w:rPr>
          <w:t xml:space="preserve"> </w:t>
        </w:r>
        <w:r w:rsidR="00803E39" w:rsidRPr="00803E39">
          <w:rPr>
            <w:rStyle w:val="affffffe"/>
            <w:noProof/>
          </w:rPr>
          <w:t xml:space="preserve"> 采样方法</w:t>
        </w:r>
        <w:r w:rsidR="00803E39" w:rsidRPr="00803E39">
          <w:rPr>
            <w:noProof/>
          </w:rPr>
          <w:tab/>
        </w:r>
        <w:r w:rsidR="00803E39" w:rsidRPr="00803E39">
          <w:rPr>
            <w:noProof/>
          </w:rPr>
          <w:fldChar w:fldCharType="begin"/>
        </w:r>
        <w:r w:rsidR="00803E39" w:rsidRPr="00803E39">
          <w:rPr>
            <w:noProof/>
          </w:rPr>
          <w:instrText xml:space="preserve"> PAGEREF _Toc62653353 \h </w:instrText>
        </w:r>
        <w:r w:rsidR="00803E39" w:rsidRPr="00803E39">
          <w:rPr>
            <w:noProof/>
          </w:rPr>
        </w:r>
        <w:r w:rsidR="00803E39" w:rsidRPr="00803E39">
          <w:rPr>
            <w:noProof/>
          </w:rPr>
          <w:fldChar w:fldCharType="separate"/>
        </w:r>
        <w:r w:rsidR="00803E39" w:rsidRPr="00803E39">
          <w:rPr>
            <w:noProof/>
          </w:rPr>
          <w:t>2</w:t>
        </w:r>
        <w:r w:rsidR="00803E39" w:rsidRPr="00803E39">
          <w:rPr>
            <w:noProof/>
          </w:rPr>
          <w:fldChar w:fldCharType="end"/>
        </w:r>
      </w:hyperlink>
    </w:p>
    <w:p w14:paraId="1A8ED987" w14:textId="637D4D18" w:rsidR="00803E39" w:rsidRPr="00803E39" w:rsidRDefault="00F606B7">
      <w:pPr>
        <w:pStyle w:val="24"/>
        <w:rPr>
          <w:rFonts w:asciiTheme="minorHAnsi" w:eastAsiaTheme="minorEastAsia" w:hAnsiTheme="minorHAnsi" w:cstheme="minorBidi"/>
          <w:noProof/>
          <w:szCs w:val="22"/>
        </w:rPr>
      </w:pPr>
      <w:hyperlink w:anchor="_Toc62653354" w:history="1">
        <w:r w:rsidR="00803E39" w:rsidRPr="00803E39">
          <w:rPr>
            <w:rStyle w:val="affffffe"/>
            <w:noProof/>
            <w14:scene3d>
              <w14:camera w14:prst="orthographicFront"/>
              <w14:lightRig w14:rig="threePt" w14:dir="t">
                <w14:rot w14:lat="0" w14:lon="0" w14:rev="0"/>
              </w14:lightRig>
            </w14:scene3d>
          </w:rPr>
          <w:t>6.2</w:t>
        </w:r>
        <w:r w:rsidR="00803E39">
          <w:rPr>
            <w:rStyle w:val="affffffe"/>
            <w:noProof/>
            <w14:scene3d>
              <w14:camera w14:prst="orthographicFront"/>
              <w14:lightRig w14:rig="threePt" w14:dir="t">
                <w14:rot w14:lat="0" w14:lon="0" w14:rev="0"/>
              </w14:lightRig>
            </w14:scene3d>
          </w:rPr>
          <w:t xml:space="preserve"> </w:t>
        </w:r>
        <w:r w:rsidR="00803E39" w:rsidRPr="00803E39">
          <w:rPr>
            <w:rStyle w:val="affffffe"/>
            <w:noProof/>
          </w:rPr>
          <w:t xml:space="preserve"> 监测频次与采样要求</w:t>
        </w:r>
        <w:r w:rsidR="00803E39" w:rsidRPr="00803E39">
          <w:rPr>
            <w:noProof/>
          </w:rPr>
          <w:tab/>
        </w:r>
        <w:r w:rsidR="00803E39" w:rsidRPr="00803E39">
          <w:rPr>
            <w:noProof/>
          </w:rPr>
          <w:fldChar w:fldCharType="begin"/>
        </w:r>
        <w:r w:rsidR="00803E39" w:rsidRPr="00803E39">
          <w:rPr>
            <w:noProof/>
          </w:rPr>
          <w:instrText xml:space="preserve"> PAGEREF _Toc62653354 \h </w:instrText>
        </w:r>
        <w:r w:rsidR="00803E39" w:rsidRPr="00803E39">
          <w:rPr>
            <w:noProof/>
          </w:rPr>
        </w:r>
        <w:r w:rsidR="00803E39" w:rsidRPr="00803E39">
          <w:rPr>
            <w:noProof/>
          </w:rPr>
          <w:fldChar w:fldCharType="separate"/>
        </w:r>
        <w:r w:rsidR="00803E39" w:rsidRPr="00803E39">
          <w:rPr>
            <w:noProof/>
          </w:rPr>
          <w:t>3</w:t>
        </w:r>
        <w:r w:rsidR="00803E39" w:rsidRPr="00803E39">
          <w:rPr>
            <w:noProof/>
          </w:rPr>
          <w:fldChar w:fldCharType="end"/>
        </w:r>
      </w:hyperlink>
    </w:p>
    <w:p w14:paraId="753BC936" w14:textId="0442B9A0" w:rsidR="00803E39" w:rsidRPr="00803E39" w:rsidRDefault="00F606B7">
      <w:pPr>
        <w:pStyle w:val="11"/>
        <w:tabs>
          <w:tab w:val="right" w:leader="dot" w:pos="9344"/>
        </w:tabs>
        <w:rPr>
          <w:rFonts w:asciiTheme="minorHAnsi" w:eastAsiaTheme="minorEastAsia" w:hAnsiTheme="minorHAnsi" w:cstheme="minorBidi"/>
          <w:noProof/>
          <w:szCs w:val="22"/>
        </w:rPr>
      </w:pPr>
      <w:hyperlink w:anchor="_Toc62653355" w:history="1">
        <w:r w:rsidR="00803E39" w:rsidRPr="00803E39">
          <w:rPr>
            <w:rStyle w:val="affffffe"/>
            <w:noProof/>
          </w:rPr>
          <w:t>7</w:t>
        </w:r>
        <w:r w:rsidR="00803E39">
          <w:rPr>
            <w:rStyle w:val="affffffe"/>
            <w:noProof/>
          </w:rPr>
          <w:t xml:space="preserve"> </w:t>
        </w:r>
        <w:r w:rsidR="00803E39" w:rsidRPr="00803E39">
          <w:rPr>
            <w:rStyle w:val="affffffe"/>
            <w:noProof/>
          </w:rPr>
          <w:t xml:space="preserve"> 实验室检测</w:t>
        </w:r>
        <w:r w:rsidR="00803E39" w:rsidRPr="00803E39">
          <w:rPr>
            <w:noProof/>
          </w:rPr>
          <w:tab/>
        </w:r>
        <w:r w:rsidR="00803E39" w:rsidRPr="00803E39">
          <w:rPr>
            <w:noProof/>
          </w:rPr>
          <w:fldChar w:fldCharType="begin"/>
        </w:r>
        <w:r w:rsidR="00803E39" w:rsidRPr="00803E39">
          <w:rPr>
            <w:noProof/>
          </w:rPr>
          <w:instrText xml:space="preserve"> PAGEREF _Toc62653355 \h </w:instrText>
        </w:r>
        <w:r w:rsidR="00803E39" w:rsidRPr="00803E39">
          <w:rPr>
            <w:noProof/>
          </w:rPr>
        </w:r>
        <w:r w:rsidR="00803E39" w:rsidRPr="00803E39">
          <w:rPr>
            <w:noProof/>
          </w:rPr>
          <w:fldChar w:fldCharType="separate"/>
        </w:r>
        <w:r w:rsidR="00803E39" w:rsidRPr="00803E39">
          <w:rPr>
            <w:noProof/>
          </w:rPr>
          <w:t>3</w:t>
        </w:r>
        <w:r w:rsidR="00803E39" w:rsidRPr="00803E39">
          <w:rPr>
            <w:noProof/>
          </w:rPr>
          <w:fldChar w:fldCharType="end"/>
        </w:r>
      </w:hyperlink>
    </w:p>
    <w:p w14:paraId="11A30D2A" w14:textId="21DE9DAB" w:rsidR="00803E39" w:rsidRPr="00803E39" w:rsidRDefault="00F606B7">
      <w:pPr>
        <w:pStyle w:val="24"/>
        <w:rPr>
          <w:rFonts w:asciiTheme="minorHAnsi" w:eastAsiaTheme="minorEastAsia" w:hAnsiTheme="minorHAnsi" w:cstheme="minorBidi"/>
          <w:noProof/>
          <w:szCs w:val="22"/>
        </w:rPr>
      </w:pPr>
      <w:hyperlink w:anchor="_Toc62653356" w:history="1">
        <w:r w:rsidR="00803E39" w:rsidRPr="00803E39">
          <w:rPr>
            <w:rStyle w:val="affffffe"/>
            <w:noProof/>
            <w14:scene3d>
              <w14:camera w14:prst="orthographicFront"/>
              <w14:lightRig w14:rig="threePt" w14:dir="t">
                <w14:rot w14:lat="0" w14:lon="0" w14:rev="0"/>
              </w14:lightRig>
            </w14:scene3d>
          </w:rPr>
          <w:t>7.1</w:t>
        </w:r>
        <w:r w:rsidR="00803E39">
          <w:rPr>
            <w:rStyle w:val="affffffe"/>
            <w:noProof/>
            <w14:scene3d>
              <w14:camera w14:prst="orthographicFront"/>
              <w14:lightRig w14:rig="threePt" w14:dir="t">
                <w14:rot w14:lat="0" w14:lon="0" w14:rev="0"/>
              </w14:lightRig>
            </w14:scene3d>
          </w:rPr>
          <w:t xml:space="preserve"> </w:t>
        </w:r>
        <w:r w:rsidR="00803E39" w:rsidRPr="00803E39">
          <w:rPr>
            <w:rStyle w:val="affffffe"/>
            <w:noProof/>
          </w:rPr>
          <w:t xml:space="preserve"> 样本处理</w:t>
        </w:r>
        <w:r w:rsidR="00803E39" w:rsidRPr="00803E39">
          <w:rPr>
            <w:noProof/>
          </w:rPr>
          <w:tab/>
        </w:r>
        <w:r w:rsidR="00803E39" w:rsidRPr="00803E39">
          <w:rPr>
            <w:noProof/>
          </w:rPr>
          <w:fldChar w:fldCharType="begin"/>
        </w:r>
        <w:r w:rsidR="00803E39" w:rsidRPr="00803E39">
          <w:rPr>
            <w:noProof/>
          </w:rPr>
          <w:instrText xml:space="preserve"> PAGEREF _Toc62653356 \h </w:instrText>
        </w:r>
        <w:r w:rsidR="00803E39" w:rsidRPr="00803E39">
          <w:rPr>
            <w:noProof/>
          </w:rPr>
        </w:r>
        <w:r w:rsidR="00803E39" w:rsidRPr="00803E39">
          <w:rPr>
            <w:noProof/>
          </w:rPr>
          <w:fldChar w:fldCharType="separate"/>
        </w:r>
        <w:r w:rsidR="00803E39" w:rsidRPr="00803E39">
          <w:rPr>
            <w:noProof/>
          </w:rPr>
          <w:t>3</w:t>
        </w:r>
        <w:r w:rsidR="00803E39" w:rsidRPr="00803E39">
          <w:rPr>
            <w:noProof/>
          </w:rPr>
          <w:fldChar w:fldCharType="end"/>
        </w:r>
      </w:hyperlink>
    </w:p>
    <w:p w14:paraId="373CB124" w14:textId="6A1FE0BE" w:rsidR="00803E39" w:rsidRPr="00803E39" w:rsidRDefault="00F606B7">
      <w:pPr>
        <w:pStyle w:val="24"/>
        <w:rPr>
          <w:rFonts w:asciiTheme="minorHAnsi" w:eastAsiaTheme="minorEastAsia" w:hAnsiTheme="minorHAnsi" w:cstheme="minorBidi"/>
          <w:noProof/>
          <w:szCs w:val="22"/>
        </w:rPr>
      </w:pPr>
      <w:hyperlink w:anchor="_Toc62653357" w:history="1">
        <w:r w:rsidR="00803E39" w:rsidRPr="00803E39">
          <w:rPr>
            <w:rStyle w:val="affffffe"/>
            <w:noProof/>
            <w14:scene3d>
              <w14:camera w14:prst="orthographicFront"/>
              <w14:lightRig w14:rig="threePt" w14:dir="t">
                <w14:rot w14:lat="0" w14:lon="0" w14:rev="0"/>
              </w14:lightRig>
            </w14:scene3d>
          </w:rPr>
          <w:t>7.2</w:t>
        </w:r>
        <w:r w:rsidR="00803E39">
          <w:rPr>
            <w:rStyle w:val="affffffe"/>
            <w:noProof/>
            <w14:scene3d>
              <w14:camera w14:prst="orthographicFront"/>
              <w14:lightRig w14:rig="threePt" w14:dir="t">
                <w14:rot w14:lat="0" w14:lon="0" w14:rev="0"/>
              </w14:lightRig>
            </w14:scene3d>
          </w:rPr>
          <w:t xml:space="preserve"> </w:t>
        </w:r>
        <w:r w:rsidR="00803E39" w:rsidRPr="00803E39">
          <w:rPr>
            <w:rStyle w:val="affffffe"/>
            <w:noProof/>
          </w:rPr>
          <w:t xml:space="preserve"> 核酸提取</w:t>
        </w:r>
        <w:r w:rsidR="00803E39" w:rsidRPr="00803E39">
          <w:rPr>
            <w:noProof/>
          </w:rPr>
          <w:tab/>
        </w:r>
        <w:r w:rsidR="00803E39" w:rsidRPr="00803E39">
          <w:rPr>
            <w:noProof/>
          </w:rPr>
          <w:fldChar w:fldCharType="begin"/>
        </w:r>
        <w:r w:rsidR="00803E39" w:rsidRPr="00803E39">
          <w:rPr>
            <w:noProof/>
          </w:rPr>
          <w:instrText xml:space="preserve"> PAGEREF _Toc62653357 \h </w:instrText>
        </w:r>
        <w:r w:rsidR="00803E39" w:rsidRPr="00803E39">
          <w:rPr>
            <w:noProof/>
          </w:rPr>
        </w:r>
        <w:r w:rsidR="00803E39" w:rsidRPr="00803E39">
          <w:rPr>
            <w:noProof/>
          </w:rPr>
          <w:fldChar w:fldCharType="separate"/>
        </w:r>
        <w:r w:rsidR="00803E39" w:rsidRPr="00803E39">
          <w:rPr>
            <w:noProof/>
          </w:rPr>
          <w:t>4</w:t>
        </w:r>
        <w:r w:rsidR="00803E39" w:rsidRPr="00803E39">
          <w:rPr>
            <w:noProof/>
          </w:rPr>
          <w:fldChar w:fldCharType="end"/>
        </w:r>
      </w:hyperlink>
    </w:p>
    <w:p w14:paraId="2E64845A" w14:textId="16476242" w:rsidR="00803E39" w:rsidRPr="00803E39" w:rsidRDefault="00F606B7">
      <w:pPr>
        <w:pStyle w:val="24"/>
        <w:rPr>
          <w:rFonts w:asciiTheme="minorHAnsi" w:eastAsiaTheme="minorEastAsia" w:hAnsiTheme="minorHAnsi" w:cstheme="minorBidi"/>
          <w:noProof/>
          <w:szCs w:val="22"/>
        </w:rPr>
      </w:pPr>
      <w:hyperlink w:anchor="_Toc62653358" w:history="1">
        <w:r w:rsidR="00803E39" w:rsidRPr="00803E39">
          <w:rPr>
            <w:rStyle w:val="affffffe"/>
            <w:noProof/>
            <w14:scene3d>
              <w14:camera w14:prst="orthographicFront"/>
              <w14:lightRig w14:rig="threePt" w14:dir="t">
                <w14:rot w14:lat="0" w14:lon="0" w14:rev="0"/>
              </w14:lightRig>
            </w14:scene3d>
          </w:rPr>
          <w:t>7.3</w:t>
        </w:r>
        <w:r w:rsidR="00803E39">
          <w:rPr>
            <w:rStyle w:val="affffffe"/>
            <w:noProof/>
            <w14:scene3d>
              <w14:camera w14:prst="orthographicFront"/>
              <w14:lightRig w14:rig="threePt" w14:dir="t">
                <w14:rot w14:lat="0" w14:lon="0" w14:rev="0"/>
              </w14:lightRig>
            </w14:scene3d>
          </w:rPr>
          <w:t xml:space="preserve"> </w:t>
        </w:r>
        <w:r w:rsidR="00803E39" w:rsidRPr="00803E39">
          <w:rPr>
            <w:rStyle w:val="affffffe"/>
            <w:noProof/>
          </w:rPr>
          <w:t xml:space="preserve"> 新型冠状病毒核酸检测</w:t>
        </w:r>
        <w:r w:rsidR="00803E39" w:rsidRPr="00803E39">
          <w:rPr>
            <w:noProof/>
          </w:rPr>
          <w:tab/>
        </w:r>
        <w:r w:rsidR="00803E39" w:rsidRPr="00803E39">
          <w:rPr>
            <w:noProof/>
          </w:rPr>
          <w:fldChar w:fldCharType="begin"/>
        </w:r>
        <w:r w:rsidR="00803E39" w:rsidRPr="00803E39">
          <w:rPr>
            <w:noProof/>
          </w:rPr>
          <w:instrText xml:space="preserve"> PAGEREF _Toc62653358 \h </w:instrText>
        </w:r>
        <w:r w:rsidR="00803E39" w:rsidRPr="00803E39">
          <w:rPr>
            <w:noProof/>
          </w:rPr>
        </w:r>
        <w:r w:rsidR="00803E39" w:rsidRPr="00803E39">
          <w:rPr>
            <w:noProof/>
          </w:rPr>
          <w:fldChar w:fldCharType="separate"/>
        </w:r>
        <w:r w:rsidR="00803E39" w:rsidRPr="00803E39">
          <w:rPr>
            <w:noProof/>
          </w:rPr>
          <w:t>4</w:t>
        </w:r>
        <w:r w:rsidR="00803E39" w:rsidRPr="00803E39">
          <w:rPr>
            <w:noProof/>
          </w:rPr>
          <w:fldChar w:fldCharType="end"/>
        </w:r>
      </w:hyperlink>
    </w:p>
    <w:p w14:paraId="6136351A" w14:textId="4EC15BE1" w:rsidR="00803E39" w:rsidRPr="00803E39" w:rsidRDefault="00F606B7">
      <w:pPr>
        <w:pStyle w:val="24"/>
        <w:rPr>
          <w:rFonts w:asciiTheme="minorHAnsi" w:eastAsiaTheme="minorEastAsia" w:hAnsiTheme="minorHAnsi" w:cstheme="minorBidi"/>
          <w:noProof/>
          <w:szCs w:val="22"/>
        </w:rPr>
      </w:pPr>
      <w:hyperlink w:anchor="_Toc62653359" w:history="1">
        <w:r w:rsidR="00803E39" w:rsidRPr="00803E39">
          <w:rPr>
            <w:rStyle w:val="affffffe"/>
            <w:noProof/>
            <w14:scene3d>
              <w14:camera w14:prst="orthographicFront"/>
              <w14:lightRig w14:rig="threePt" w14:dir="t">
                <w14:rot w14:lat="0" w14:lon="0" w14:rev="0"/>
              </w14:lightRig>
            </w14:scene3d>
          </w:rPr>
          <w:t>7.4</w:t>
        </w:r>
        <w:r w:rsidR="00803E39">
          <w:rPr>
            <w:rStyle w:val="affffffe"/>
            <w:noProof/>
            <w14:scene3d>
              <w14:camera w14:prst="orthographicFront"/>
              <w14:lightRig w14:rig="threePt" w14:dir="t">
                <w14:rot w14:lat="0" w14:lon="0" w14:rev="0"/>
              </w14:lightRig>
            </w14:scene3d>
          </w:rPr>
          <w:t xml:space="preserve"> </w:t>
        </w:r>
        <w:r w:rsidR="00803E39" w:rsidRPr="00803E39">
          <w:rPr>
            <w:rStyle w:val="affffffe"/>
            <w:noProof/>
          </w:rPr>
          <w:t xml:space="preserve"> 阳性结果复核</w:t>
        </w:r>
        <w:r w:rsidR="00803E39" w:rsidRPr="00803E39">
          <w:rPr>
            <w:noProof/>
          </w:rPr>
          <w:tab/>
        </w:r>
        <w:r w:rsidR="00803E39" w:rsidRPr="00803E39">
          <w:rPr>
            <w:noProof/>
          </w:rPr>
          <w:fldChar w:fldCharType="begin"/>
        </w:r>
        <w:r w:rsidR="00803E39" w:rsidRPr="00803E39">
          <w:rPr>
            <w:noProof/>
          </w:rPr>
          <w:instrText xml:space="preserve"> PAGEREF _Toc62653359 \h </w:instrText>
        </w:r>
        <w:r w:rsidR="00803E39" w:rsidRPr="00803E39">
          <w:rPr>
            <w:noProof/>
          </w:rPr>
        </w:r>
        <w:r w:rsidR="00803E39" w:rsidRPr="00803E39">
          <w:rPr>
            <w:noProof/>
          </w:rPr>
          <w:fldChar w:fldCharType="separate"/>
        </w:r>
        <w:r w:rsidR="00803E39" w:rsidRPr="00803E39">
          <w:rPr>
            <w:noProof/>
          </w:rPr>
          <w:t>4</w:t>
        </w:r>
        <w:r w:rsidR="00803E39" w:rsidRPr="00803E39">
          <w:rPr>
            <w:noProof/>
          </w:rPr>
          <w:fldChar w:fldCharType="end"/>
        </w:r>
      </w:hyperlink>
    </w:p>
    <w:p w14:paraId="77A0206D" w14:textId="352EB010" w:rsidR="00803E39" w:rsidRPr="00803E39" w:rsidRDefault="00F606B7">
      <w:pPr>
        <w:pStyle w:val="11"/>
        <w:tabs>
          <w:tab w:val="right" w:leader="dot" w:pos="9344"/>
        </w:tabs>
        <w:rPr>
          <w:rFonts w:asciiTheme="minorHAnsi" w:eastAsiaTheme="minorEastAsia" w:hAnsiTheme="minorHAnsi" w:cstheme="minorBidi"/>
          <w:noProof/>
          <w:szCs w:val="22"/>
        </w:rPr>
      </w:pPr>
      <w:hyperlink w:anchor="_Toc62653360" w:history="1">
        <w:r w:rsidR="00803E39" w:rsidRPr="00803E39">
          <w:rPr>
            <w:rStyle w:val="affffffe"/>
            <w:noProof/>
          </w:rPr>
          <w:t>8</w:t>
        </w:r>
        <w:r w:rsidR="00803E39">
          <w:rPr>
            <w:rStyle w:val="affffffe"/>
            <w:noProof/>
          </w:rPr>
          <w:t xml:space="preserve"> </w:t>
        </w:r>
        <w:r w:rsidR="00803E39" w:rsidRPr="00803E39">
          <w:rPr>
            <w:rStyle w:val="affffffe"/>
            <w:noProof/>
          </w:rPr>
          <w:t xml:space="preserve"> 实验室生物安全</w:t>
        </w:r>
        <w:r w:rsidR="00803E39" w:rsidRPr="00803E39">
          <w:rPr>
            <w:noProof/>
          </w:rPr>
          <w:tab/>
        </w:r>
        <w:r w:rsidR="00803E39" w:rsidRPr="00803E39">
          <w:rPr>
            <w:noProof/>
          </w:rPr>
          <w:fldChar w:fldCharType="begin"/>
        </w:r>
        <w:r w:rsidR="00803E39" w:rsidRPr="00803E39">
          <w:rPr>
            <w:noProof/>
          </w:rPr>
          <w:instrText xml:space="preserve"> PAGEREF _Toc62653360 \h </w:instrText>
        </w:r>
        <w:r w:rsidR="00803E39" w:rsidRPr="00803E39">
          <w:rPr>
            <w:noProof/>
          </w:rPr>
        </w:r>
        <w:r w:rsidR="00803E39" w:rsidRPr="00803E39">
          <w:rPr>
            <w:noProof/>
          </w:rPr>
          <w:fldChar w:fldCharType="separate"/>
        </w:r>
        <w:r w:rsidR="00803E39" w:rsidRPr="00803E39">
          <w:rPr>
            <w:noProof/>
          </w:rPr>
          <w:t>4</w:t>
        </w:r>
        <w:r w:rsidR="00803E39" w:rsidRPr="00803E39">
          <w:rPr>
            <w:noProof/>
          </w:rPr>
          <w:fldChar w:fldCharType="end"/>
        </w:r>
      </w:hyperlink>
    </w:p>
    <w:p w14:paraId="5508EAB6" w14:textId="4F7D6C05" w:rsidR="00803E39" w:rsidRPr="00803E39" w:rsidRDefault="00F606B7">
      <w:pPr>
        <w:pStyle w:val="11"/>
        <w:tabs>
          <w:tab w:val="right" w:leader="dot" w:pos="9344"/>
        </w:tabs>
        <w:rPr>
          <w:rFonts w:asciiTheme="minorHAnsi" w:eastAsiaTheme="minorEastAsia" w:hAnsiTheme="minorHAnsi" w:cstheme="minorBidi"/>
          <w:noProof/>
          <w:szCs w:val="22"/>
        </w:rPr>
      </w:pPr>
      <w:hyperlink w:anchor="_Toc62653361" w:history="1">
        <w:r w:rsidR="00803E39" w:rsidRPr="00803E39">
          <w:rPr>
            <w:rStyle w:val="affffffe"/>
            <w:noProof/>
          </w:rPr>
          <w:t>附录A（规范性）</w:t>
        </w:r>
        <w:r w:rsidR="00803E39">
          <w:rPr>
            <w:rStyle w:val="affffffe"/>
            <w:noProof/>
          </w:rPr>
          <w:t xml:space="preserve"> </w:t>
        </w:r>
        <w:r w:rsidR="00803E39" w:rsidRPr="00803E39">
          <w:rPr>
            <w:rStyle w:val="affffffe"/>
            <w:noProof/>
          </w:rPr>
          <w:t xml:space="preserve"> </w:t>
        </w:r>
        <w:r w:rsidR="00803E39" w:rsidRPr="00803E39">
          <w:rPr>
            <w:rStyle w:val="affffffe"/>
            <w:noProof/>
            <w:kern w:val="21"/>
          </w:rPr>
          <w:t>表1  新型冠状病毒环境检测标本送检表</w:t>
        </w:r>
        <w:r w:rsidR="00803E39" w:rsidRPr="00803E39">
          <w:rPr>
            <w:noProof/>
          </w:rPr>
          <w:tab/>
        </w:r>
        <w:r w:rsidR="00803E39" w:rsidRPr="00803E39">
          <w:rPr>
            <w:noProof/>
          </w:rPr>
          <w:fldChar w:fldCharType="begin"/>
        </w:r>
        <w:r w:rsidR="00803E39" w:rsidRPr="00803E39">
          <w:rPr>
            <w:noProof/>
          </w:rPr>
          <w:instrText xml:space="preserve"> PAGEREF _Toc62653361 \h </w:instrText>
        </w:r>
        <w:r w:rsidR="00803E39" w:rsidRPr="00803E39">
          <w:rPr>
            <w:noProof/>
          </w:rPr>
        </w:r>
        <w:r w:rsidR="00803E39" w:rsidRPr="00803E39">
          <w:rPr>
            <w:noProof/>
          </w:rPr>
          <w:fldChar w:fldCharType="separate"/>
        </w:r>
        <w:r w:rsidR="00803E39" w:rsidRPr="00803E39">
          <w:rPr>
            <w:noProof/>
          </w:rPr>
          <w:t>5</w:t>
        </w:r>
        <w:r w:rsidR="00803E39" w:rsidRPr="00803E39">
          <w:rPr>
            <w:noProof/>
          </w:rPr>
          <w:fldChar w:fldCharType="end"/>
        </w:r>
      </w:hyperlink>
    </w:p>
    <w:p w14:paraId="33ACFDC8" w14:textId="52211E5C" w:rsidR="00803E39" w:rsidRPr="00803E39" w:rsidRDefault="00803E39" w:rsidP="00803E39">
      <w:pPr>
        <w:pStyle w:val="affffff2"/>
        <w:spacing w:after="360"/>
        <w:sectPr w:rsidR="00803E39" w:rsidRPr="00803E39" w:rsidSect="008D48A3">
          <w:headerReference w:type="even" r:id="rId12"/>
          <w:headerReference w:type="default" r:id="rId13"/>
          <w:footerReference w:type="even" r:id="rId14"/>
          <w:footerReference w:type="default" r:id="rId15"/>
          <w:pgSz w:w="11906" w:h="16838" w:code="9"/>
          <w:pgMar w:top="567" w:right="1134" w:bottom="1134" w:left="1134" w:header="1418" w:footer="1134" w:gutter="284"/>
          <w:pgNumType w:fmt="upperRoman" w:start="1"/>
          <w:cols w:space="425"/>
          <w:formProt w:val="0"/>
          <w:docGrid w:linePitch="312"/>
        </w:sectPr>
      </w:pPr>
      <w:r w:rsidRPr="00803E39">
        <w:fldChar w:fldCharType="end"/>
      </w:r>
    </w:p>
    <w:p w14:paraId="28C6E16E" w14:textId="4AEAFB06" w:rsidR="00D74FDD" w:rsidRDefault="00D74FDD" w:rsidP="00D74FDD">
      <w:pPr>
        <w:pStyle w:val="a6"/>
        <w:spacing w:after="360"/>
      </w:pPr>
      <w:bookmarkStart w:id="28" w:name="_Toc62653341"/>
      <w:bookmarkStart w:id="29" w:name="BookMark2"/>
      <w:bookmarkEnd w:id="23"/>
      <w:r w:rsidRPr="00D74FDD">
        <w:rPr>
          <w:spacing w:val="320"/>
        </w:rPr>
        <w:lastRenderedPageBreak/>
        <w:t>前</w:t>
      </w:r>
      <w:r>
        <w:t>言</w:t>
      </w:r>
      <w:bookmarkEnd w:id="24"/>
      <w:bookmarkEnd w:id="25"/>
      <w:bookmarkEnd w:id="26"/>
      <w:bookmarkEnd w:id="27"/>
      <w:bookmarkEnd w:id="28"/>
    </w:p>
    <w:p w14:paraId="702670D0" w14:textId="5788E14C" w:rsidR="00D74FDD" w:rsidRDefault="00D74FDD" w:rsidP="00D74FDD">
      <w:pPr>
        <w:pStyle w:val="affffb"/>
        <w:ind w:firstLine="420"/>
      </w:pPr>
      <w:r>
        <w:rPr>
          <w:rFonts w:hint="eastAsia"/>
        </w:rPr>
        <w:t>本文件按照GB/T 1.1—2020《标准化工作导则  第1部分：标准化文件的结构和起草规则》的规定起草。</w:t>
      </w:r>
    </w:p>
    <w:p w14:paraId="39381593" w14:textId="67925993" w:rsidR="007000B2" w:rsidRDefault="007000B2" w:rsidP="00D74FDD">
      <w:pPr>
        <w:pStyle w:val="affffb"/>
        <w:ind w:firstLine="420"/>
      </w:pPr>
      <w:r>
        <w:rPr>
          <w:rFonts w:hint="eastAsia"/>
        </w:rPr>
        <w:t>请注意</w:t>
      </w:r>
      <w:r>
        <w:t>本文件的某些内容可能涉及专利。</w:t>
      </w:r>
      <w:r>
        <w:rPr>
          <w:rFonts w:hint="eastAsia"/>
        </w:rPr>
        <w:t>本文件</w:t>
      </w:r>
      <w:r>
        <w:t>的发布机构不承担识别专利的责任。</w:t>
      </w:r>
    </w:p>
    <w:p w14:paraId="74835CC0" w14:textId="54E6019B" w:rsidR="007000B2" w:rsidRPr="007000B2" w:rsidRDefault="007000B2" w:rsidP="00D74FDD">
      <w:pPr>
        <w:pStyle w:val="affffb"/>
        <w:ind w:firstLine="420"/>
        <w:rPr>
          <w:rFonts w:hint="eastAsia"/>
        </w:rPr>
      </w:pPr>
      <w:r>
        <w:rPr>
          <w:rFonts w:hint="eastAsia"/>
        </w:rPr>
        <w:t>本文件</w:t>
      </w:r>
      <w:r>
        <w:t>由</w:t>
      </w:r>
      <w:r w:rsidRPr="007000B2">
        <w:rPr>
          <w:rFonts w:hint="eastAsia"/>
        </w:rPr>
        <w:t>中华人民共和国国家卫生健康委员会</w:t>
      </w:r>
      <w:r>
        <w:rPr>
          <w:rFonts w:hint="eastAsia"/>
        </w:rPr>
        <w:t>提出并归档</w:t>
      </w:r>
      <w:r>
        <w:t>。</w:t>
      </w:r>
    </w:p>
    <w:p w14:paraId="4C6AAEF8" w14:textId="7985A239" w:rsidR="00D74FDD" w:rsidRDefault="00D74FDD" w:rsidP="00D74FDD">
      <w:pPr>
        <w:pStyle w:val="affffb"/>
        <w:ind w:firstLine="420"/>
      </w:pPr>
      <w:r>
        <w:rPr>
          <w:rFonts w:hint="eastAsia"/>
        </w:rPr>
        <w:t>本文件起草单位：</w:t>
      </w:r>
      <w:r w:rsidRPr="00D74FDD">
        <w:rPr>
          <w:rFonts w:hint="eastAsia"/>
        </w:rPr>
        <w:t>中国疾病预防控制中心病毒病预防控制所</w:t>
      </w:r>
    </w:p>
    <w:p w14:paraId="46CACB61" w14:textId="51EEE6FD" w:rsidR="00D74FDD" w:rsidRDefault="00D74FDD" w:rsidP="00D74FDD">
      <w:pPr>
        <w:pStyle w:val="affffb"/>
        <w:ind w:firstLine="420"/>
      </w:pPr>
      <w:r>
        <w:rPr>
          <w:rFonts w:hint="eastAsia"/>
        </w:rPr>
        <w:t>本文件主要起草人：</w:t>
      </w:r>
      <w:r w:rsidR="00D839E9">
        <w:rPr>
          <w:rFonts w:hint="eastAsia"/>
        </w:rPr>
        <w:t>武桂珍、刘军、刘培培、雷雯雯、张曙霞、贾志远、何小周、</w:t>
      </w:r>
      <w:r w:rsidRPr="00D74FDD">
        <w:rPr>
          <w:rFonts w:hint="eastAsia"/>
        </w:rPr>
        <w:t>李慧莹</w:t>
      </w:r>
    </w:p>
    <w:p w14:paraId="0D947421" w14:textId="77777777" w:rsidR="00D74FDD" w:rsidRDefault="00D74FDD" w:rsidP="00D74FDD">
      <w:pPr>
        <w:pStyle w:val="affffb"/>
        <w:ind w:firstLine="420"/>
      </w:pPr>
    </w:p>
    <w:p w14:paraId="17ACF487" w14:textId="57D12565" w:rsidR="00D74FDD" w:rsidRPr="00D839E9" w:rsidRDefault="00D74FDD" w:rsidP="00D74FDD">
      <w:pPr>
        <w:pStyle w:val="affffb"/>
        <w:ind w:firstLine="420"/>
        <w:sectPr w:rsidR="00D74FDD" w:rsidRPr="00D839E9" w:rsidSect="008D48A3">
          <w:headerReference w:type="even" r:id="rId16"/>
          <w:headerReference w:type="default" r:id="rId17"/>
          <w:footerReference w:type="even" r:id="rId18"/>
          <w:footerReference w:type="default" r:id="rId19"/>
          <w:pgSz w:w="11906" w:h="16838" w:code="9"/>
          <w:pgMar w:top="567" w:right="1134" w:bottom="1134" w:left="1134" w:header="1418" w:footer="1134" w:gutter="284"/>
          <w:pgNumType w:fmt="upperRoman"/>
          <w:cols w:space="425"/>
          <w:formProt w:val="0"/>
          <w:docGrid w:linePitch="312"/>
        </w:sectPr>
      </w:pPr>
    </w:p>
    <w:p w14:paraId="2115488E" w14:textId="3504E409" w:rsidR="00894836" w:rsidRPr="0064528D" w:rsidRDefault="00894836" w:rsidP="00093D25">
      <w:pPr>
        <w:spacing w:line="20" w:lineRule="exact"/>
        <w:jc w:val="center"/>
        <w:rPr>
          <w:rFonts w:ascii="黑体" w:eastAsia="黑体" w:hAnsi="黑体"/>
          <w:sz w:val="32"/>
          <w:szCs w:val="32"/>
        </w:rPr>
      </w:pPr>
      <w:bookmarkStart w:id="30" w:name="BookMark4"/>
      <w:bookmarkEnd w:id="29"/>
    </w:p>
    <w:p w14:paraId="488D310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AA4EC26FB464E11A2DEEDA6C7310672"/>
        </w:placeholder>
      </w:sdtPr>
      <w:sdtEndPr/>
      <w:sdtContent>
        <w:bookmarkStart w:id="31" w:name="NEW_STAND_NAME" w:displacedByCustomXml="prev"/>
        <w:p w14:paraId="6B9D966D" w14:textId="6CE3DCCB" w:rsidR="00F26B7E" w:rsidRPr="00F26B7E" w:rsidRDefault="00D839E9" w:rsidP="00D839E9">
          <w:pPr>
            <w:pStyle w:val="afffffffff8"/>
            <w:spacing w:beforeLines="100" w:before="240" w:afterLines="220" w:after="528"/>
          </w:pPr>
          <w:r>
            <w:rPr>
              <w:rFonts w:hint="eastAsia"/>
            </w:rPr>
            <w:t>农贸（集贸）市场新型冠状病毒环境监测技术规范</w:t>
          </w:r>
        </w:p>
      </w:sdtContent>
    </w:sdt>
    <w:bookmarkEnd w:id="31" w:displacedByCustomXml="prev"/>
    <w:p w14:paraId="17A0D41A" w14:textId="77777777" w:rsidR="00E2552F" w:rsidRDefault="00E2552F" w:rsidP="00A77CCB">
      <w:pPr>
        <w:pStyle w:val="affc"/>
        <w:spacing w:before="240" w:after="240"/>
      </w:pPr>
      <w:bookmarkStart w:id="32" w:name="_Toc17233325"/>
      <w:bookmarkStart w:id="33" w:name="_Toc17233333"/>
      <w:bookmarkStart w:id="34" w:name="_Toc24884211"/>
      <w:bookmarkStart w:id="35" w:name="_Toc24884218"/>
      <w:bookmarkStart w:id="36" w:name="_Toc26648465"/>
      <w:bookmarkStart w:id="37" w:name="_Toc26718930"/>
      <w:bookmarkStart w:id="38" w:name="_Toc26986530"/>
      <w:bookmarkStart w:id="39" w:name="_Toc26986771"/>
      <w:bookmarkStart w:id="40" w:name="_Toc62649780"/>
      <w:bookmarkStart w:id="41" w:name="_Toc62650097"/>
      <w:bookmarkStart w:id="42" w:name="_Toc62652050"/>
      <w:bookmarkStart w:id="43" w:name="_Toc62652119"/>
      <w:bookmarkStart w:id="44" w:name="_Toc62653342"/>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p>
    <w:p w14:paraId="2837CD05" w14:textId="053D445C" w:rsidR="00D74FDD" w:rsidRDefault="00D74FDD" w:rsidP="00D74FDD">
      <w:pPr>
        <w:pStyle w:val="affffb"/>
        <w:ind w:firstLine="420"/>
      </w:pPr>
      <w:bookmarkStart w:id="45" w:name="_Toc17233326"/>
      <w:bookmarkStart w:id="46" w:name="_Toc17233334"/>
      <w:bookmarkStart w:id="47" w:name="_Toc24884212"/>
      <w:bookmarkStart w:id="48" w:name="_Toc24884219"/>
      <w:bookmarkStart w:id="49" w:name="_Toc26648466"/>
      <w:r>
        <w:rPr>
          <w:rFonts w:hint="eastAsia"/>
        </w:rPr>
        <w:t>本</w:t>
      </w:r>
      <w:r w:rsidR="009138F7">
        <w:rPr>
          <w:rFonts w:hint="eastAsia"/>
        </w:rPr>
        <w:t>文件</w:t>
      </w:r>
      <w:r>
        <w:rPr>
          <w:rFonts w:hint="eastAsia"/>
        </w:rPr>
        <w:t>规定了新型冠状病毒肺炎疫情防控中，对农贸（集贸）市场等场所环境和从业人员开展新型冠状病毒监测的适用对象、监测内容、监测方法、生物安全要求。</w:t>
      </w:r>
    </w:p>
    <w:p w14:paraId="0FF5B0B5" w14:textId="173F62BF" w:rsidR="008B0C9C" w:rsidRDefault="00D74FDD" w:rsidP="00D74FDD">
      <w:pPr>
        <w:pStyle w:val="affffb"/>
        <w:ind w:firstLine="420"/>
      </w:pPr>
      <w:r>
        <w:rPr>
          <w:rFonts w:hint="eastAsia"/>
        </w:rPr>
        <w:t>本</w:t>
      </w:r>
      <w:r w:rsidR="009138F7">
        <w:rPr>
          <w:rFonts w:hint="eastAsia"/>
        </w:rPr>
        <w:t>文件</w:t>
      </w:r>
      <w:r>
        <w:rPr>
          <w:rFonts w:hint="eastAsia"/>
        </w:rPr>
        <w:t>适用于新型冠状病毒肺炎疫情流行和常态化防控期间疫情防控相关机构和人员，包括现场采样、实验室检测、农贸（集贸）市场工作人员，对农贸（集贸）市场等场所的环境监测。</w:t>
      </w:r>
    </w:p>
    <w:p w14:paraId="5F88B943" w14:textId="77777777" w:rsidR="00E2552F" w:rsidRDefault="00E2552F" w:rsidP="00A77CCB">
      <w:pPr>
        <w:pStyle w:val="affc"/>
        <w:spacing w:before="240" w:after="240"/>
      </w:pPr>
      <w:bookmarkStart w:id="50" w:name="_Toc26718931"/>
      <w:bookmarkStart w:id="51" w:name="_Toc26986531"/>
      <w:bookmarkStart w:id="52" w:name="_Toc26986772"/>
      <w:bookmarkStart w:id="53" w:name="_Toc62649781"/>
      <w:bookmarkStart w:id="54" w:name="_Toc62650098"/>
      <w:bookmarkStart w:id="55" w:name="_Toc62652051"/>
      <w:bookmarkStart w:id="56" w:name="_Toc62652120"/>
      <w:bookmarkStart w:id="57" w:name="_Toc62653343"/>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16F3387731504BBD8C4E7348C18B16C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B38314F"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B23CC05" w14:textId="77777777" w:rsidR="00D74FDD" w:rsidRDefault="00D74FDD" w:rsidP="00D74FDD">
      <w:pPr>
        <w:pStyle w:val="affffb"/>
        <w:ind w:firstLine="420"/>
      </w:pPr>
      <w:r>
        <w:rPr>
          <w:rFonts w:hint="eastAsia"/>
        </w:rPr>
        <w:t>GB/T 21720-2008 农贸市场管理技术规范</w:t>
      </w:r>
    </w:p>
    <w:p w14:paraId="6756B1E8" w14:textId="09602568" w:rsidR="00D74FDD" w:rsidRDefault="00D74FDD" w:rsidP="00D74FDD">
      <w:pPr>
        <w:pStyle w:val="affffb"/>
        <w:ind w:firstLine="420"/>
      </w:pPr>
      <w:r>
        <w:rPr>
          <w:rFonts w:hint="eastAsia"/>
        </w:rPr>
        <w:t>GB</w:t>
      </w:r>
      <w:r w:rsidR="00A10A33">
        <w:rPr>
          <w:rFonts w:hint="eastAsia"/>
        </w:rPr>
        <w:t>/</w:t>
      </w:r>
      <w:r>
        <w:rPr>
          <w:rFonts w:hint="eastAsia"/>
        </w:rPr>
        <w:t>T 33659-2017 农贸市场计量管理与服务规范</w:t>
      </w:r>
    </w:p>
    <w:p w14:paraId="03F4062C" w14:textId="77777777" w:rsidR="00D74FDD" w:rsidRDefault="00D74FDD" w:rsidP="00D74FDD">
      <w:pPr>
        <w:pStyle w:val="affffb"/>
        <w:ind w:firstLine="420"/>
      </w:pPr>
      <w:r>
        <w:rPr>
          <w:rFonts w:hint="eastAsia"/>
        </w:rPr>
        <w:t>新型冠状病毒肺炎防控方案 中华人民共和国国家卫生健康委员会</w:t>
      </w:r>
    </w:p>
    <w:p w14:paraId="55C861BD" w14:textId="0961378B" w:rsidR="00AA6EC9" w:rsidRDefault="00D74FDD" w:rsidP="00D74FDD">
      <w:pPr>
        <w:pStyle w:val="affffb"/>
        <w:ind w:firstLine="420"/>
      </w:pPr>
      <w:r>
        <w:rPr>
          <w:rFonts w:hint="eastAsia"/>
        </w:rPr>
        <w:t>新型冠状病毒实验室生物安全指南  中华人民共和国卫生健康委员会</w:t>
      </w:r>
    </w:p>
    <w:p w14:paraId="4E378627" w14:textId="77777777" w:rsidR="00A10A33" w:rsidRDefault="00A10A33" w:rsidP="00A10A33">
      <w:pPr>
        <w:pStyle w:val="affffb"/>
        <w:ind w:firstLine="420"/>
      </w:pPr>
      <w:r>
        <w:rPr>
          <w:rFonts w:hint="eastAsia"/>
        </w:rPr>
        <w:t>Doc9284－AN/905《危险品航空安全运输技术细则》</w:t>
      </w:r>
    </w:p>
    <w:p w14:paraId="035A78CA" w14:textId="77777777" w:rsidR="00B265BC" w:rsidRPr="00E030F9" w:rsidRDefault="00FD59EB" w:rsidP="00FD59EB">
      <w:pPr>
        <w:pStyle w:val="affc"/>
        <w:spacing w:before="240" w:after="240"/>
      </w:pPr>
      <w:bookmarkStart w:id="58" w:name="_Toc62649782"/>
      <w:bookmarkStart w:id="59" w:name="_Toc62650099"/>
      <w:bookmarkStart w:id="60" w:name="_Toc62652052"/>
      <w:bookmarkStart w:id="61" w:name="_Toc62652121"/>
      <w:bookmarkStart w:id="62" w:name="_Toc62653344"/>
      <w:r>
        <w:rPr>
          <w:rFonts w:hint="eastAsia"/>
          <w:szCs w:val="21"/>
        </w:rPr>
        <w:t>术语和定义</w:t>
      </w:r>
      <w:bookmarkEnd w:id="58"/>
      <w:bookmarkEnd w:id="59"/>
      <w:bookmarkEnd w:id="60"/>
      <w:bookmarkEnd w:id="61"/>
      <w:bookmarkEnd w:id="62"/>
    </w:p>
    <w:bookmarkStart w:id="63" w:name="_Toc26986532" w:displacedByCustomXml="next"/>
    <w:bookmarkEnd w:id="63" w:displacedByCustomXml="next"/>
    <w:sdt>
      <w:sdtPr>
        <w:id w:val="-1909835108"/>
        <w:placeholder>
          <w:docPart w:val="A347FC1609294138A2A6A5D70904E7E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0D88ACA" w14:textId="5293100B" w:rsidR="003C010C" w:rsidRDefault="00D74FDD" w:rsidP="00BA263B">
          <w:pPr>
            <w:pStyle w:val="affffb"/>
            <w:ind w:firstLine="420"/>
          </w:pPr>
          <w:r>
            <w:t>下列术语和定义适用于本文件。</w:t>
          </w:r>
        </w:p>
      </w:sdtContent>
    </w:sdt>
    <w:p w14:paraId="4E514412" w14:textId="77777777" w:rsidR="004B3E93" w:rsidRDefault="004B3E93" w:rsidP="002A1260">
      <w:pPr>
        <w:pStyle w:val="affffb"/>
        <w:ind w:firstLine="420"/>
      </w:pPr>
    </w:p>
    <w:p w14:paraId="286EF114" w14:textId="47363060" w:rsidR="00840E53" w:rsidRPr="008D4BDA" w:rsidRDefault="008D4BDA" w:rsidP="004E61C4">
      <w:pPr>
        <w:pStyle w:val="afffffffffff5"/>
        <w:ind w:left="420" w:hangingChars="200" w:hanging="420"/>
        <w:rPr>
          <w:rFonts w:ascii="黑体" w:eastAsia="黑体" w:hAnsi="黑体"/>
        </w:rPr>
      </w:pPr>
      <w:r w:rsidRPr="008D4BDA">
        <w:rPr>
          <w:rFonts w:ascii="黑体" w:eastAsia="黑体" w:hAnsi="黑体"/>
        </w:rPr>
        <w:br/>
      </w:r>
      <w:r w:rsidR="00840E53" w:rsidRPr="008D4BDA">
        <w:rPr>
          <w:rFonts w:ascii="黑体" w:eastAsia="黑体" w:hAnsi="黑体" w:hint="eastAsia"/>
        </w:rPr>
        <w:t>农贸市场 agriculture product market</w:t>
      </w:r>
    </w:p>
    <w:p w14:paraId="75C28F78" w14:textId="34FA5D62" w:rsidR="001D212F" w:rsidRPr="00803E39" w:rsidRDefault="00840E53" w:rsidP="00840E53">
      <w:pPr>
        <w:pStyle w:val="affffb"/>
        <w:ind w:firstLine="420"/>
        <w:rPr>
          <w:rFonts w:hAnsi="宋体"/>
        </w:rPr>
      </w:pPr>
      <w:r w:rsidRPr="00803E39">
        <w:rPr>
          <w:rFonts w:hAnsi="宋体" w:hint="eastAsia"/>
        </w:rPr>
        <w:t>以食用农产品现货批发和零售交易为主，为买卖双方提供经常性的公开固定交易场地、配套设施和服务的零售场所。</w:t>
      </w:r>
    </w:p>
    <w:p w14:paraId="15892047" w14:textId="63E47F61" w:rsidR="00840E53" w:rsidRPr="008D4BDA" w:rsidRDefault="008D4BDA" w:rsidP="007F7DF7">
      <w:pPr>
        <w:pStyle w:val="afffffffffff5"/>
        <w:ind w:left="420" w:hangingChars="200" w:hanging="420"/>
        <w:rPr>
          <w:rFonts w:ascii="黑体" w:eastAsia="黑体" w:hAnsi="黑体"/>
        </w:rPr>
      </w:pPr>
      <w:r w:rsidRPr="008D4BDA">
        <w:rPr>
          <w:rFonts w:ascii="黑体" w:eastAsia="黑体" w:hAnsi="黑体"/>
          <w:highlight w:val="lightGray"/>
          <w14:scene3d>
            <w14:camera w14:prst="orthographicFront"/>
            <w14:lightRig w14:rig="threePt" w14:dir="t">
              <w14:rot w14:lat="0" w14:lon="0" w14:rev="0"/>
            </w14:lightRig>
          </w14:scene3d>
        </w:rPr>
        <w:br/>
      </w:r>
      <w:r w:rsidR="00840E53" w:rsidRPr="008D4BDA">
        <w:rPr>
          <w:rFonts w:ascii="黑体" w:eastAsia="黑体" w:hAnsi="黑体" w:hint="eastAsia"/>
        </w:rPr>
        <w:t>集贸市场 trade market</w:t>
      </w:r>
    </w:p>
    <w:p w14:paraId="4406F16B" w14:textId="08F93155" w:rsidR="009273B3" w:rsidRPr="00803E39" w:rsidRDefault="00840E53" w:rsidP="00840E53">
      <w:pPr>
        <w:pStyle w:val="affffb"/>
        <w:ind w:firstLine="420"/>
        <w:rPr>
          <w:rFonts w:hAnsi="宋体"/>
        </w:rPr>
      </w:pPr>
      <w:r w:rsidRPr="00803E39">
        <w:rPr>
          <w:rFonts w:hAnsi="宋体" w:hint="eastAsia"/>
        </w:rPr>
        <w:t>由市场经营管理者经营管理，在一定时间间隔，一定地点，周边城乡居民聚集进行农副产品、日用消费品等现货商品交易的固定场所。</w:t>
      </w:r>
    </w:p>
    <w:p w14:paraId="5AE640E0" w14:textId="290C5220" w:rsidR="00840E53" w:rsidRPr="008D4BDA" w:rsidRDefault="00840E53" w:rsidP="008D4BDA">
      <w:pPr>
        <w:pStyle w:val="afffffffffff5"/>
        <w:ind w:left="420" w:hangingChars="200" w:hanging="420"/>
        <w:rPr>
          <w:rFonts w:ascii="黑体" w:eastAsia="黑体" w:hAnsi="黑体"/>
        </w:rPr>
      </w:pPr>
    </w:p>
    <w:p w14:paraId="633F39F6" w14:textId="77777777" w:rsidR="00840E53" w:rsidRPr="00803E39" w:rsidRDefault="00840E53" w:rsidP="00840E53">
      <w:pPr>
        <w:spacing w:line="240" w:lineRule="auto"/>
        <w:ind w:firstLineChars="200" w:firstLine="420"/>
        <w:rPr>
          <w:rFonts w:ascii="黑体" w:eastAsia="黑体" w:hAnsi="黑体"/>
          <w:noProof/>
          <w:kern w:val="0"/>
          <w:szCs w:val="20"/>
        </w:rPr>
      </w:pPr>
      <w:r w:rsidRPr="00803E39">
        <w:rPr>
          <w:rFonts w:ascii="黑体" w:eastAsia="黑体" w:hAnsi="黑体" w:hint="eastAsia"/>
          <w:noProof/>
          <w:kern w:val="0"/>
          <w:szCs w:val="20"/>
        </w:rPr>
        <w:t>经营户 commercial tenant</w:t>
      </w:r>
    </w:p>
    <w:p w14:paraId="5579C0C8" w14:textId="79564772" w:rsidR="00840E53" w:rsidRPr="00803E39" w:rsidRDefault="00840E53" w:rsidP="00840E53">
      <w:pPr>
        <w:spacing w:line="240" w:lineRule="auto"/>
        <w:ind w:firstLineChars="200" w:firstLine="420"/>
        <w:rPr>
          <w:rFonts w:ascii="宋体" w:hAnsi="宋体"/>
          <w:noProof/>
          <w:kern w:val="0"/>
          <w:szCs w:val="20"/>
        </w:rPr>
      </w:pPr>
      <w:r w:rsidRPr="00803E39">
        <w:rPr>
          <w:rFonts w:ascii="宋体" w:hAnsi="宋体" w:hint="eastAsia"/>
          <w:noProof/>
          <w:kern w:val="0"/>
          <w:szCs w:val="20"/>
        </w:rPr>
        <w:t>向农贸（集贸）市场举办方承租场地、进行现场零售交易的法人单位或自然人。</w:t>
      </w:r>
    </w:p>
    <w:p w14:paraId="7DFFEC4D" w14:textId="05F7FFE1" w:rsidR="00840E53" w:rsidRPr="008D4BDA" w:rsidRDefault="00840E53" w:rsidP="008D4BDA">
      <w:pPr>
        <w:pStyle w:val="afffffffffff5"/>
        <w:ind w:left="420" w:hangingChars="200" w:hanging="420"/>
        <w:rPr>
          <w:rFonts w:ascii="黑体" w:eastAsia="黑体" w:hAnsi="黑体"/>
          <w:noProof/>
        </w:rPr>
      </w:pPr>
    </w:p>
    <w:p w14:paraId="33D6F8FF" w14:textId="77777777" w:rsidR="00840E53" w:rsidRPr="00803E39" w:rsidRDefault="00840E53" w:rsidP="00840E53">
      <w:pPr>
        <w:spacing w:line="240" w:lineRule="auto"/>
        <w:ind w:firstLineChars="200" w:firstLine="420"/>
        <w:rPr>
          <w:rFonts w:ascii="黑体" w:eastAsia="黑体" w:hAnsi="黑体"/>
        </w:rPr>
      </w:pPr>
      <w:r w:rsidRPr="00803E39">
        <w:rPr>
          <w:rFonts w:ascii="黑体" w:eastAsia="黑体" w:hAnsi="黑体" w:hint="eastAsia"/>
        </w:rPr>
        <w:t>2019新型冠状病毒病 2019 coronavirus disease；COVID-19</w:t>
      </w:r>
    </w:p>
    <w:p w14:paraId="00743381" w14:textId="386E7FE9" w:rsidR="00840E53" w:rsidRPr="00803E39" w:rsidRDefault="00840E53" w:rsidP="00840E53">
      <w:pPr>
        <w:spacing w:line="240" w:lineRule="auto"/>
        <w:ind w:firstLineChars="200" w:firstLine="420"/>
        <w:rPr>
          <w:rFonts w:ascii="宋体" w:hAnsi="宋体"/>
        </w:rPr>
      </w:pPr>
      <w:r w:rsidRPr="00803E39">
        <w:rPr>
          <w:rFonts w:ascii="宋体" w:hAnsi="宋体" w:hint="eastAsia"/>
        </w:rPr>
        <w:t>是由新型冠状病毒，即严重急性呼吸综合征冠状病毒2（Severe Acute Respiratory Syndrome Coronavirus-2, SARS-CoV-2）感染引起的急性呼吸道传染病。</w:t>
      </w:r>
    </w:p>
    <w:p w14:paraId="022DE491" w14:textId="11466CE5" w:rsidR="00840E53" w:rsidRPr="008D4BDA" w:rsidRDefault="00840E53" w:rsidP="008D4BDA">
      <w:pPr>
        <w:pStyle w:val="afffffffffff5"/>
        <w:ind w:left="420" w:hangingChars="200" w:hanging="420"/>
        <w:rPr>
          <w:rFonts w:ascii="黑体" w:eastAsia="黑体" w:hAnsi="黑体"/>
        </w:rPr>
      </w:pPr>
    </w:p>
    <w:p w14:paraId="768A5290" w14:textId="1B12DC7B" w:rsidR="00840E53" w:rsidRPr="00803E39" w:rsidRDefault="00840E53" w:rsidP="00840E53">
      <w:pPr>
        <w:spacing w:line="240" w:lineRule="auto"/>
        <w:ind w:firstLineChars="200" w:firstLine="420"/>
        <w:rPr>
          <w:rFonts w:ascii="黑体" w:eastAsia="黑体" w:hAnsi="黑体"/>
        </w:rPr>
      </w:pPr>
      <w:r w:rsidRPr="00803E39">
        <w:rPr>
          <w:rFonts w:ascii="黑体" w:eastAsia="黑体" w:hAnsi="黑体" w:hint="eastAsia"/>
        </w:rPr>
        <w:t xml:space="preserve">新型冠状病毒环境监测 </w:t>
      </w:r>
      <w:r w:rsidR="00683C89">
        <w:rPr>
          <w:rFonts w:ascii="黑体" w:eastAsia="黑体" w:hAnsi="黑体" w:hint="eastAsia"/>
        </w:rPr>
        <w:t>e</w:t>
      </w:r>
      <w:r w:rsidRPr="00803E39">
        <w:rPr>
          <w:rFonts w:ascii="黑体" w:eastAsia="黑体" w:hAnsi="黑体" w:hint="eastAsia"/>
        </w:rPr>
        <w:t>nvironmental monitoring of SARS-CoV-2</w:t>
      </w:r>
    </w:p>
    <w:p w14:paraId="1777D4CC" w14:textId="763A2434" w:rsidR="00840E53" w:rsidRPr="00803E39" w:rsidRDefault="00840E53" w:rsidP="00840E53">
      <w:pPr>
        <w:spacing w:line="240" w:lineRule="auto"/>
        <w:ind w:firstLineChars="200" w:firstLine="420"/>
        <w:rPr>
          <w:rFonts w:ascii="宋体" w:hAnsi="宋体"/>
        </w:rPr>
      </w:pPr>
      <w:r w:rsidRPr="00803E39">
        <w:rPr>
          <w:rFonts w:ascii="宋体" w:hAnsi="宋体" w:hint="eastAsia"/>
        </w:rPr>
        <w:t>从对特定场所环境（人员、物品）中采样及实验室检测，并根据检测结果对环境中新冠病毒污染情况进行评估。</w:t>
      </w:r>
    </w:p>
    <w:p w14:paraId="2F8BE11E" w14:textId="1C5C89CD" w:rsidR="00840E53" w:rsidRDefault="00840E53" w:rsidP="00840E53">
      <w:pPr>
        <w:pStyle w:val="affc"/>
        <w:spacing w:before="240" w:after="240"/>
      </w:pPr>
      <w:bookmarkStart w:id="64" w:name="_Toc62649783"/>
      <w:bookmarkStart w:id="65" w:name="_Toc62650100"/>
      <w:bookmarkStart w:id="66" w:name="_Toc62652053"/>
      <w:bookmarkStart w:id="67" w:name="_Toc62652122"/>
      <w:bookmarkStart w:id="68" w:name="_Toc62653345"/>
      <w:r>
        <w:rPr>
          <w:rFonts w:hint="eastAsia"/>
        </w:rPr>
        <w:t>基本要求</w:t>
      </w:r>
      <w:bookmarkEnd w:id="64"/>
      <w:bookmarkEnd w:id="65"/>
      <w:bookmarkEnd w:id="66"/>
      <w:bookmarkEnd w:id="67"/>
      <w:bookmarkEnd w:id="68"/>
    </w:p>
    <w:p w14:paraId="251F3FF0" w14:textId="1E65C095" w:rsidR="00840E53" w:rsidRDefault="00840E53" w:rsidP="00840E53">
      <w:pPr>
        <w:pStyle w:val="affd"/>
        <w:spacing w:before="120" w:after="120"/>
      </w:pPr>
      <w:bookmarkStart w:id="69" w:name="_Toc62649784"/>
      <w:bookmarkStart w:id="70" w:name="_Toc62650101"/>
      <w:bookmarkStart w:id="71" w:name="_Toc62652054"/>
      <w:bookmarkStart w:id="72" w:name="_Toc62652123"/>
      <w:bookmarkStart w:id="73" w:name="_Toc62653346"/>
      <w:r>
        <w:rPr>
          <w:rFonts w:hint="eastAsia"/>
        </w:rPr>
        <w:t>总则</w:t>
      </w:r>
      <w:bookmarkEnd w:id="69"/>
      <w:bookmarkEnd w:id="70"/>
      <w:bookmarkEnd w:id="71"/>
      <w:bookmarkEnd w:id="72"/>
      <w:bookmarkEnd w:id="73"/>
    </w:p>
    <w:p w14:paraId="4099CC2D" w14:textId="3CF88897" w:rsidR="00840E53" w:rsidRDefault="00840E53" w:rsidP="00840E53">
      <w:pPr>
        <w:pStyle w:val="affffb"/>
        <w:ind w:firstLine="420"/>
      </w:pPr>
      <w:r w:rsidRPr="00840E53">
        <w:rPr>
          <w:rFonts w:hint="eastAsia"/>
        </w:rPr>
        <w:t>新型冠状病毒环境监测旨在疫情防控的要求下，加强对农贸（集贸）市场管理的防控措施。</w:t>
      </w:r>
    </w:p>
    <w:p w14:paraId="45E4C8A0" w14:textId="12B9EAC8" w:rsidR="00D3260E" w:rsidRDefault="006D3FC2" w:rsidP="006D3FC2">
      <w:pPr>
        <w:pStyle w:val="affd"/>
        <w:spacing w:before="120" w:after="120"/>
      </w:pPr>
      <w:bookmarkStart w:id="74" w:name="_Toc62649785"/>
      <w:bookmarkStart w:id="75" w:name="_Toc62650102"/>
      <w:bookmarkStart w:id="76" w:name="_Toc62652055"/>
      <w:bookmarkStart w:id="77" w:name="_Toc62652124"/>
      <w:bookmarkStart w:id="78" w:name="_Toc62653347"/>
      <w:r>
        <w:rPr>
          <w:rFonts w:hint="eastAsia"/>
        </w:rPr>
        <w:lastRenderedPageBreak/>
        <w:t>疫情防控机构</w:t>
      </w:r>
      <w:bookmarkEnd w:id="74"/>
      <w:bookmarkEnd w:id="75"/>
      <w:bookmarkEnd w:id="76"/>
      <w:bookmarkEnd w:id="77"/>
      <w:bookmarkEnd w:id="78"/>
    </w:p>
    <w:p w14:paraId="0170B7BA" w14:textId="35F92E4E" w:rsidR="006D3FC2" w:rsidRDefault="006D3FC2" w:rsidP="00803E39">
      <w:pPr>
        <w:pStyle w:val="afffffffff1"/>
      </w:pPr>
      <w:r>
        <w:rPr>
          <w:rFonts w:hint="eastAsia"/>
        </w:rPr>
        <w:t>应建立</w:t>
      </w:r>
      <w:r w:rsidRPr="006D3FC2">
        <w:rPr>
          <w:rFonts w:hint="eastAsia"/>
        </w:rPr>
        <w:t>农贸（集贸）市场新型冠状病毒环境监测管理制度，包括负责和执行的部门，现场采样、样本运输、实验室检测、结果分析评估的管理制度，并定期对执行情况进行监督。</w:t>
      </w:r>
    </w:p>
    <w:p w14:paraId="33723131" w14:textId="287DBF9C" w:rsidR="006D3FC2" w:rsidRDefault="006D3FC2" w:rsidP="00803E39">
      <w:pPr>
        <w:pStyle w:val="afffffffff1"/>
      </w:pPr>
      <w:r w:rsidRPr="006D3FC2">
        <w:rPr>
          <w:rFonts w:hint="eastAsia"/>
        </w:rPr>
        <w:t>定期组织对新型冠状病毒环境监测的培训制度，保障环境监测工作的顺利开展。</w:t>
      </w:r>
    </w:p>
    <w:p w14:paraId="7B2C8AC7" w14:textId="6109654F" w:rsidR="006D3FC2" w:rsidRDefault="006D3FC2" w:rsidP="00803E39">
      <w:pPr>
        <w:pStyle w:val="afffffffff1"/>
      </w:pPr>
      <w:r w:rsidRPr="006D3FC2">
        <w:rPr>
          <w:rFonts w:hint="eastAsia"/>
        </w:rPr>
        <w:t>负责准备开展监测所需的相关物资等。</w:t>
      </w:r>
    </w:p>
    <w:p w14:paraId="40807518" w14:textId="31C2C78B" w:rsidR="006D3FC2" w:rsidRDefault="006D3FC2" w:rsidP="00803E39">
      <w:pPr>
        <w:pStyle w:val="afffffffff1"/>
      </w:pPr>
      <w:r w:rsidRPr="006D3FC2">
        <w:rPr>
          <w:rFonts w:hint="eastAsia"/>
        </w:rPr>
        <w:t>完成新型冠状病毒环境监测结果的评估和上报工作。</w:t>
      </w:r>
    </w:p>
    <w:p w14:paraId="1F8AEFFC" w14:textId="1E256B77" w:rsidR="006D3FC2" w:rsidRDefault="006D3FC2" w:rsidP="006D3FC2">
      <w:pPr>
        <w:pStyle w:val="affd"/>
        <w:spacing w:before="120" w:after="120"/>
      </w:pPr>
      <w:bookmarkStart w:id="79" w:name="_Toc62649786"/>
      <w:bookmarkStart w:id="80" w:name="_Toc62650103"/>
      <w:bookmarkStart w:id="81" w:name="_Toc62652056"/>
      <w:bookmarkStart w:id="82" w:name="_Toc62652125"/>
      <w:bookmarkStart w:id="83" w:name="_Toc62653348"/>
      <w:r>
        <w:rPr>
          <w:rFonts w:hint="eastAsia"/>
        </w:rPr>
        <w:t>监测工作人员</w:t>
      </w:r>
      <w:bookmarkEnd w:id="79"/>
      <w:bookmarkEnd w:id="80"/>
      <w:bookmarkEnd w:id="81"/>
      <w:bookmarkEnd w:id="82"/>
      <w:bookmarkEnd w:id="83"/>
    </w:p>
    <w:p w14:paraId="1C986BD4" w14:textId="4ADB5E16" w:rsidR="006D3FC2" w:rsidRDefault="006D3FC2" w:rsidP="00803E39">
      <w:pPr>
        <w:pStyle w:val="afffffffff1"/>
      </w:pPr>
      <w:r w:rsidRPr="006D3FC2">
        <w:rPr>
          <w:rFonts w:hint="eastAsia"/>
        </w:rPr>
        <w:t>接受新型冠状病毒环境监测的培训，具备开展农贸（集贸）市场环境监测的能力。</w:t>
      </w:r>
    </w:p>
    <w:p w14:paraId="5CB546F6" w14:textId="160C1F08" w:rsidR="006D3FC2" w:rsidRDefault="006D3FC2" w:rsidP="00803E39">
      <w:pPr>
        <w:pStyle w:val="afffffffff1"/>
      </w:pPr>
      <w:r w:rsidRPr="006D3FC2">
        <w:rPr>
          <w:rFonts w:hint="eastAsia"/>
        </w:rPr>
        <w:t>定期开展对农贸（集贸）市场</w:t>
      </w:r>
      <w:proofErr w:type="gramStart"/>
      <w:r w:rsidRPr="006D3FC2">
        <w:rPr>
          <w:rFonts w:hint="eastAsia"/>
        </w:rPr>
        <w:t>新型冠装病毒</w:t>
      </w:r>
      <w:proofErr w:type="gramEnd"/>
      <w:r w:rsidRPr="006D3FC2">
        <w:rPr>
          <w:rFonts w:hint="eastAsia"/>
        </w:rPr>
        <w:t>环境监测和实验室检测，任何新型冠状病毒的检测都必须由经过相关生物安全及技能培训的人员进行操作。</w:t>
      </w:r>
    </w:p>
    <w:p w14:paraId="6A0F38D1" w14:textId="083F2ECC" w:rsidR="006D3FC2" w:rsidRDefault="006D3FC2" w:rsidP="006D3FC2">
      <w:pPr>
        <w:pStyle w:val="affc"/>
        <w:spacing w:before="240" w:after="240"/>
      </w:pPr>
      <w:bookmarkStart w:id="84" w:name="_Toc62650104"/>
      <w:bookmarkStart w:id="85" w:name="_Toc62652057"/>
      <w:bookmarkStart w:id="86" w:name="_Toc62652126"/>
      <w:bookmarkStart w:id="87" w:name="_Toc62653349"/>
      <w:r>
        <w:rPr>
          <w:rFonts w:hint="eastAsia"/>
        </w:rPr>
        <w:t>监测对象和内容</w:t>
      </w:r>
      <w:bookmarkEnd w:id="84"/>
      <w:bookmarkEnd w:id="85"/>
      <w:bookmarkEnd w:id="86"/>
      <w:bookmarkEnd w:id="87"/>
    </w:p>
    <w:p w14:paraId="7AF2F7C3" w14:textId="6966DFE2" w:rsidR="006D3FC2" w:rsidRDefault="006D3FC2" w:rsidP="006D3FC2">
      <w:pPr>
        <w:pStyle w:val="affd"/>
        <w:spacing w:before="120" w:after="120"/>
      </w:pPr>
      <w:bookmarkStart w:id="88" w:name="_Toc62650105"/>
      <w:bookmarkStart w:id="89" w:name="_Toc62652058"/>
      <w:bookmarkStart w:id="90" w:name="_Toc62652127"/>
      <w:bookmarkStart w:id="91" w:name="_Toc62653350"/>
      <w:r>
        <w:rPr>
          <w:rFonts w:hint="eastAsia"/>
        </w:rPr>
        <w:t>监测对象</w:t>
      </w:r>
      <w:bookmarkEnd w:id="88"/>
      <w:bookmarkEnd w:id="89"/>
      <w:bookmarkEnd w:id="90"/>
      <w:bookmarkEnd w:id="91"/>
    </w:p>
    <w:p w14:paraId="5EB15552" w14:textId="77777777" w:rsidR="006D3FC2" w:rsidRDefault="006D3FC2" w:rsidP="006D3FC2">
      <w:pPr>
        <w:pStyle w:val="affffb"/>
        <w:ind w:firstLine="420"/>
      </w:pPr>
      <w:r>
        <w:rPr>
          <w:rFonts w:hint="eastAsia"/>
        </w:rPr>
        <w:t>根据疫情防控需要，需开展监测的市场、摊位及从业人员。</w:t>
      </w:r>
    </w:p>
    <w:p w14:paraId="54230BF8" w14:textId="77777777" w:rsidR="006D3FC2" w:rsidRDefault="006D3FC2" w:rsidP="006D3FC2">
      <w:pPr>
        <w:pStyle w:val="affffb"/>
        <w:ind w:firstLine="420"/>
      </w:pPr>
      <w:r>
        <w:rPr>
          <w:rFonts w:hint="eastAsia"/>
        </w:rPr>
        <w:t>重点市场：具备区域辐射能力的大型农贸（集贸）市场，特别是包括冷冻、冷藏功能的肉类和海鲜水产经营的摊位，并且存在潮湿、通风不良、半密闭空间的市场。</w:t>
      </w:r>
    </w:p>
    <w:p w14:paraId="5F8F197C" w14:textId="77777777" w:rsidR="006D3FC2" w:rsidRDefault="006D3FC2" w:rsidP="006D3FC2">
      <w:pPr>
        <w:pStyle w:val="affffb"/>
        <w:ind w:firstLine="420"/>
      </w:pPr>
      <w:r>
        <w:rPr>
          <w:rFonts w:hint="eastAsia"/>
        </w:rPr>
        <w:t>重点摊位：经营冷冻、冷藏和进口货品的摊位。</w:t>
      </w:r>
    </w:p>
    <w:p w14:paraId="2AA7C834" w14:textId="483F94A3" w:rsidR="006D3FC2" w:rsidRDefault="006D3FC2" w:rsidP="006D3FC2">
      <w:pPr>
        <w:pStyle w:val="affffb"/>
        <w:ind w:firstLine="420"/>
      </w:pPr>
      <w:r>
        <w:rPr>
          <w:rFonts w:hint="eastAsia"/>
        </w:rPr>
        <w:t>重点从业人员：重点市场和重点摊位的从业人员。</w:t>
      </w:r>
    </w:p>
    <w:p w14:paraId="4A360B0E" w14:textId="5E175903" w:rsidR="006D3FC2" w:rsidRDefault="006D3FC2" w:rsidP="006D3FC2">
      <w:pPr>
        <w:pStyle w:val="affd"/>
        <w:spacing w:before="120" w:after="120"/>
      </w:pPr>
      <w:bookmarkStart w:id="92" w:name="_Toc62650106"/>
      <w:bookmarkStart w:id="93" w:name="_Toc62652059"/>
      <w:bookmarkStart w:id="94" w:name="_Toc62652128"/>
      <w:bookmarkStart w:id="95" w:name="_Toc62653351"/>
      <w:r>
        <w:rPr>
          <w:rFonts w:hint="eastAsia"/>
        </w:rPr>
        <w:t>监测内容</w:t>
      </w:r>
      <w:bookmarkEnd w:id="92"/>
      <w:bookmarkEnd w:id="93"/>
      <w:bookmarkEnd w:id="94"/>
      <w:bookmarkEnd w:id="95"/>
    </w:p>
    <w:p w14:paraId="40BEA53A" w14:textId="630173C5" w:rsidR="006D3FC2" w:rsidRDefault="006D3FC2" w:rsidP="00803E39">
      <w:pPr>
        <w:pStyle w:val="afffffffff1"/>
      </w:pPr>
      <w:r w:rsidRPr="006D3FC2">
        <w:rPr>
          <w:rFonts w:hint="eastAsia"/>
        </w:rPr>
        <w:t>重点市场内销售的肉、禽类和海鲜水产类食品的病毒检测。对市场内销售的食品应按照无包装食品和有包装食品加以区分,其中有包装类食品重点是肉、禽类和海鲜水产类等需要冷藏运输的食品，采集</w:t>
      </w:r>
      <w:proofErr w:type="gramStart"/>
      <w:r w:rsidRPr="006D3FC2">
        <w:rPr>
          <w:rFonts w:hint="eastAsia"/>
        </w:rPr>
        <w:t>拭</w:t>
      </w:r>
      <w:proofErr w:type="gramEnd"/>
      <w:r w:rsidRPr="006D3FC2">
        <w:rPr>
          <w:rFonts w:hint="eastAsia"/>
        </w:rPr>
        <w:t>子样本。</w:t>
      </w:r>
    </w:p>
    <w:p w14:paraId="49C329B4" w14:textId="0222A88D" w:rsidR="006D3FC2" w:rsidRDefault="006D3FC2" w:rsidP="00803E39">
      <w:pPr>
        <w:pStyle w:val="afffffffff1"/>
      </w:pPr>
      <w:r w:rsidRPr="006D3FC2">
        <w:rPr>
          <w:rFonts w:hint="eastAsia"/>
        </w:rPr>
        <w:t>重点市场内排水系统中污水的病毒检测。重点市场内污水管道相应位置，重点包括市场内海鲜水产、肉禽类产品摊位排放的污水，采集污水样本及拭子样本。</w:t>
      </w:r>
    </w:p>
    <w:p w14:paraId="06A8DF1A" w14:textId="2E53C3EC" w:rsidR="006D3FC2" w:rsidRDefault="006D3FC2" w:rsidP="00803E39">
      <w:pPr>
        <w:pStyle w:val="afffffffff1"/>
      </w:pPr>
      <w:r w:rsidRPr="006D3FC2">
        <w:rPr>
          <w:rFonts w:hint="eastAsia"/>
        </w:rPr>
        <w:t>重点市场内公共空间中人员接触较多的部位的病毒检测。重点包括主要进出口的电梯按钮、楼梯扶手、门把手表面，茶水间、卫生间等公用设备设施表面，潮湿的公共通道和卫生间地面、地漏、墩布池等采集</w:t>
      </w:r>
      <w:proofErr w:type="gramStart"/>
      <w:r w:rsidRPr="006D3FC2">
        <w:rPr>
          <w:rFonts w:hint="eastAsia"/>
        </w:rPr>
        <w:t>拭</w:t>
      </w:r>
      <w:proofErr w:type="gramEnd"/>
      <w:r w:rsidRPr="006D3FC2">
        <w:rPr>
          <w:rFonts w:hint="eastAsia"/>
        </w:rPr>
        <w:t>子样本。</w:t>
      </w:r>
    </w:p>
    <w:p w14:paraId="5E900B20" w14:textId="01C4D3C2" w:rsidR="006D3FC2" w:rsidRDefault="006D3FC2" w:rsidP="00803E39">
      <w:pPr>
        <w:pStyle w:val="afffffffff1"/>
      </w:pPr>
      <w:r w:rsidRPr="006D3FC2">
        <w:rPr>
          <w:rFonts w:hint="eastAsia"/>
        </w:rPr>
        <w:t>重点市场内经常性跨区域移动的工具或物品的病毒检测。包括垃圾车、垃圾桶、墩布等清洁工具，转运物品的拖车等，采集</w:t>
      </w:r>
      <w:proofErr w:type="gramStart"/>
      <w:r w:rsidRPr="006D3FC2">
        <w:rPr>
          <w:rFonts w:hint="eastAsia"/>
        </w:rPr>
        <w:t>拭</w:t>
      </w:r>
      <w:proofErr w:type="gramEnd"/>
      <w:r w:rsidRPr="006D3FC2">
        <w:rPr>
          <w:rFonts w:hint="eastAsia"/>
        </w:rPr>
        <w:t>子样本。</w:t>
      </w:r>
    </w:p>
    <w:p w14:paraId="76FC70D8" w14:textId="3DB65F1D" w:rsidR="006D3FC2" w:rsidRDefault="006D3FC2" w:rsidP="00803E39">
      <w:pPr>
        <w:pStyle w:val="afffffffff1"/>
      </w:pPr>
      <w:r w:rsidRPr="006D3FC2">
        <w:rPr>
          <w:rFonts w:hint="eastAsia"/>
        </w:rPr>
        <w:t>重点市场内工作人员聚集、通风不良或具有曝气养殖设施环境的病毒检测。包括办公室、工具间、休息间、局部交易环境、卫生间、空调出风口及回风口等环境拭子及气溶胶样本。</w:t>
      </w:r>
    </w:p>
    <w:p w14:paraId="186BC14A" w14:textId="670A3B10" w:rsidR="006D3FC2" w:rsidRDefault="006D3FC2" w:rsidP="00803E39">
      <w:pPr>
        <w:pStyle w:val="afffffffff1"/>
      </w:pPr>
      <w:r>
        <w:rPr>
          <w:rFonts w:hint="eastAsia"/>
        </w:rPr>
        <w:t>重</w:t>
      </w:r>
      <w:r w:rsidRPr="006D3FC2">
        <w:rPr>
          <w:rFonts w:hint="eastAsia"/>
        </w:rPr>
        <w:t>点市场内重点摊位的设施、用具表面病毒检测。重点对摊位台面、磅秤、面板、地面、把手，以及各种制作和使用器具等表面，包括切割机械和刀具等，采集</w:t>
      </w:r>
      <w:proofErr w:type="gramStart"/>
      <w:r w:rsidRPr="006D3FC2">
        <w:rPr>
          <w:rFonts w:hint="eastAsia"/>
        </w:rPr>
        <w:t>拭</w:t>
      </w:r>
      <w:proofErr w:type="gramEnd"/>
      <w:r w:rsidRPr="006D3FC2">
        <w:rPr>
          <w:rFonts w:hint="eastAsia"/>
        </w:rPr>
        <w:t>子样本。</w:t>
      </w:r>
    </w:p>
    <w:p w14:paraId="0E88BA32" w14:textId="46163ACC" w:rsidR="006D3FC2" w:rsidRDefault="006D3FC2" w:rsidP="00803E39">
      <w:pPr>
        <w:pStyle w:val="afffffffff1"/>
      </w:pPr>
      <w:r w:rsidRPr="006D3FC2">
        <w:rPr>
          <w:rFonts w:hint="eastAsia"/>
        </w:rPr>
        <w:t>市场内重点摊位从业人员鼻咽拭子或咽拭子、衣物表面、手部病毒检测。具有护士证或医师证，</w:t>
      </w:r>
      <w:proofErr w:type="gramStart"/>
      <w:r w:rsidRPr="006D3FC2">
        <w:rPr>
          <w:rFonts w:hint="eastAsia"/>
        </w:rPr>
        <w:t>且培训</w:t>
      </w:r>
      <w:proofErr w:type="gramEnd"/>
      <w:r w:rsidRPr="006D3FC2">
        <w:rPr>
          <w:rFonts w:hint="eastAsia"/>
        </w:rPr>
        <w:t>合格的医务人员对处于工作状态的从业人员手部表面，采集</w:t>
      </w:r>
      <w:proofErr w:type="gramStart"/>
      <w:r w:rsidRPr="006D3FC2">
        <w:rPr>
          <w:rFonts w:hint="eastAsia"/>
        </w:rPr>
        <w:t>拭</w:t>
      </w:r>
      <w:proofErr w:type="gramEnd"/>
      <w:r w:rsidRPr="006D3FC2">
        <w:rPr>
          <w:rFonts w:hint="eastAsia"/>
        </w:rPr>
        <w:t>子样本。</w:t>
      </w:r>
    </w:p>
    <w:p w14:paraId="5DDA79C0" w14:textId="3B8821DC" w:rsidR="006D3FC2" w:rsidRPr="006D3FC2" w:rsidRDefault="006D3FC2" w:rsidP="00803E39">
      <w:pPr>
        <w:pStyle w:val="afffffffff1"/>
      </w:pPr>
      <w:r w:rsidRPr="006D3FC2">
        <w:rPr>
          <w:rFonts w:hint="eastAsia"/>
        </w:rPr>
        <w:t>市场内重点摊位存放食品的冰箱、冷藏</w:t>
      </w:r>
      <w:proofErr w:type="gramStart"/>
      <w:r w:rsidRPr="006D3FC2">
        <w:rPr>
          <w:rFonts w:hint="eastAsia"/>
        </w:rPr>
        <w:t>柜内部</w:t>
      </w:r>
      <w:proofErr w:type="gramEnd"/>
      <w:r w:rsidRPr="006D3FC2">
        <w:rPr>
          <w:rFonts w:hint="eastAsia"/>
        </w:rPr>
        <w:t>表面病毒检测。对储藏食物过程中经常触及的冰箱、冷藏柜内表面，采集</w:t>
      </w:r>
      <w:proofErr w:type="gramStart"/>
      <w:r w:rsidRPr="006D3FC2">
        <w:rPr>
          <w:rFonts w:hint="eastAsia"/>
        </w:rPr>
        <w:t>拭</w:t>
      </w:r>
      <w:proofErr w:type="gramEnd"/>
      <w:r w:rsidRPr="006D3FC2">
        <w:rPr>
          <w:rFonts w:hint="eastAsia"/>
        </w:rPr>
        <w:t>子样本。</w:t>
      </w:r>
    </w:p>
    <w:p w14:paraId="38F2F445" w14:textId="37FF82FC" w:rsidR="006D3FC2" w:rsidRDefault="00516340" w:rsidP="00516340">
      <w:pPr>
        <w:pStyle w:val="affc"/>
        <w:spacing w:before="240" w:after="240"/>
      </w:pPr>
      <w:bookmarkStart w:id="96" w:name="_Toc62652060"/>
      <w:bookmarkStart w:id="97" w:name="_Toc62652129"/>
      <w:bookmarkStart w:id="98" w:name="_Toc62653352"/>
      <w:r>
        <w:rPr>
          <w:rFonts w:hint="eastAsia"/>
        </w:rPr>
        <w:t>样本采集</w:t>
      </w:r>
      <w:bookmarkEnd w:id="96"/>
      <w:bookmarkEnd w:id="97"/>
      <w:bookmarkEnd w:id="98"/>
    </w:p>
    <w:p w14:paraId="62652A6F" w14:textId="77777777" w:rsidR="00516340" w:rsidRDefault="00516340" w:rsidP="00516340">
      <w:pPr>
        <w:pStyle w:val="affd"/>
        <w:spacing w:before="120" w:after="120"/>
      </w:pPr>
      <w:bookmarkStart w:id="99" w:name="_Toc62652061"/>
      <w:bookmarkStart w:id="100" w:name="_Toc62652130"/>
      <w:bookmarkStart w:id="101" w:name="_Toc62653353"/>
      <w:r>
        <w:rPr>
          <w:rFonts w:hint="eastAsia"/>
        </w:rPr>
        <w:t>采样方法</w:t>
      </w:r>
      <w:bookmarkEnd w:id="99"/>
      <w:bookmarkEnd w:id="100"/>
      <w:bookmarkEnd w:id="101"/>
    </w:p>
    <w:p w14:paraId="04D7A003" w14:textId="77777777" w:rsidR="00516340" w:rsidRDefault="00516340" w:rsidP="00803E39">
      <w:pPr>
        <w:pStyle w:val="afffffffff1"/>
      </w:pPr>
      <w:r w:rsidRPr="00516340">
        <w:rPr>
          <w:rFonts w:hint="eastAsia"/>
        </w:rPr>
        <w:t>从业人员呼出气样本，鼻咽拭子、手部、衣物和其他物体表面</w:t>
      </w:r>
      <w:proofErr w:type="gramStart"/>
      <w:r w:rsidRPr="00516340">
        <w:rPr>
          <w:rFonts w:hint="eastAsia"/>
        </w:rPr>
        <w:t>拭</w:t>
      </w:r>
      <w:proofErr w:type="gramEnd"/>
      <w:r w:rsidRPr="00516340">
        <w:rPr>
          <w:rFonts w:hint="eastAsia"/>
        </w:rPr>
        <w:t>子样本：其中</w:t>
      </w:r>
      <w:proofErr w:type="gramStart"/>
      <w:r w:rsidRPr="00516340">
        <w:rPr>
          <w:rFonts w:hint="eastAsia"/>
        </w:rPr>
        <w:t>拭</w:t>
      </w:r>
      <w:proofErr w:type="gramEnd"/>
      <w:r w:rsidRPr="00516340">
        <w:rPr>
          <w:rFonts w:hint="eastAsia"/>
        </w:rPr>
        <w:t>子样本要求用商品化病毒采样管中的病毒保存液，充分浸润采样棉签后，对拟采集的手部或物体（包括公共通道的地面）的表面重复涂抹、并将棉签放回采样管进行</w:t>
      </w:r>
      <w:proofErr w:type="gramStart"/>
      <w:r w:rsidRPr="00516340">
        <w:rPr>
          <w:rFonts w:hint="eastAsia"/>
        </w:rPr>
        <w:t>涮洗</w:t>
      </w:r>
      <w:proofErr w:type="gramEnd"/>
      <w:r w:rsidRPr="00516340">
        <w:rPr>
          <w:rFonts w:hint="eastAsia"/>
        </w:rPr>
        <w:t>，取出后再次涂抹采样，重复3次以上。同时要满足对采样对象表面，进行多点分布式采样。</w:t>
      </w:r>
    </w:p>
    <w:p w14:paraId="639D4ED3" w14:textId="77777777" w:rsidR="00516340" w:rsidRDefault="00516340" w:rsidP="00803E39">
      <w:pPr>
        <w:pStyle w:val="afffffffff1"/>
      </w:pPr>
      <w:r>
        <w:rPr>
          <w:rFonts w:hint="eastAsia"/>
        </w:rPr>
        <w:t>食品表面</w:t>
      </w:r>
      <w:proofErr w:type="gramStart"/>
      <w:r>
        <w:rPr>
          <w:rFonts w:hint="eastAsia"/>
        </w:rPr>
        <w:t>拭</w:t>
      </w:r>
      <w:proofErr w:type="gramEnd"/>
      <w:r>
        <w:rPr>
          <w:rFonts w:hint="eastAsia"/>
        </w:rPr>
        <w:t>子样本：食品样本不可直接进行采集，应首先将拟采集的食品小心分离，并存放于</w:t>
      </w:r>
      <w:r>
        <w:rPr>
          <w:rFonts w:hint="eastAsia"/>
        </w:rPr>
        <w:lastRenderedPageBreak/>
        <w:t>洁净采样袋后，再进行</w:t>
      </w:r>
      <w:proofErr w:type="gramStart"/>
      <w:r>
        <w:rPr>
          <w:rFonts w:hint="eastAsia"/>
        </w:rPr>
        <w:t>拭</w:t>
      </w:r>
      <w:proofErr w:type="gramEnd"/>
      <w:r>
        <w:rPr>
          <w:rFonts w:hint="eastAsia"/>
        </w:rPr>
        <w:t>子样本的采集。对较大的或无法分离的食品，可直接进行拭子涂抹的样本采集。要求用病毒采样管中的病毒保存液，充分浸润采样棉签后，对拟采集食物样本的表面重复涂抹，并将棉签放回采样管进行</w:t>
      </w:r>
      <w:proofErr w:type="gramStart"/>
      <w:r>
        <w:rPr>
          <w:rFonts w:hint="eastAsia"/>
        </w:rPr>
        <w:t>涮洗</w:t>
      </w:r>
      <w:proofErr w:type="gramEnd"/>
      <w:r>
        <w:rPr>
          <w:rFonts w:hint="eastAsia"/>
        </w:rPr>
        <w:t>，取出后再次涂抹采样，重复3次以上，或取疑似食品制备为悬浮液体，采集该液体。同时要满足对样本表面，进行多点分布式采样。</w:t>
      </w:r>
    </w:p>
    <w:p w14:paraId="392DB0C3" w14:textId="77777777" w:rsidR="00516340" w:rsidRDefault="00516340" w:rsidP="00803E39">
      <w:pPr>
        <w:pStyle w:val="afffffffff1"/>
      </w:pPr>
      <w:r>
        <w:rPr>
          <w:rFonts w:hint="eastAsia"/>
        </w:rPr>
        <w:t>污水样本：按照市场内排水系统分布情况，选取2-3处污水采样位置，重点为摊位污水排水口、内部管网汇集处、水流方向的下游或与市政管网的连接处。采集</w:t>
      </w:r>
      <w:proofErr w:type="gramStart"/>
      <w:r>
        <w:rPr>
          <w:rFonts w:hint="eastAsia"/>
        </w:rPr>
        <w:t>拭</w:t>
      </w:r>
      <w:proofErr w:type="gramEnd"/>
      <w:r>
        <w:rPr>
          <w:rFonts w:hint="eastAsia"/>
        </w:rPr>
        <w:t>子样本要求，用采样棉签浸入污水中，另其吸附污水并在采样管中将棉签放回采样管进行</w:t>
      </w:r>
      <w:proofErr w:type="gramStart"/>
      <w:r>
        <w:rPr>
          <w:rFonts w:hint="eastAsia"/>
        </w:rPr>
        <w:t>涮洗</w:t>
      </w:r>
      <w:proofErr w:type="gramEnd"/>
      <w:r>
        <w:rPr>
          <w:rFonts w:hint="eastAsia"/>
        </w:rPr>
        <w:t>，取出后再次涂抹采样，重复3次以上。采集污水样本要求，用聚乙烯塑料瓶收集1-1.5L污水水样；大于1.5L体积的污水采集可以使用聚乙烯塑料桶或现场水样专用富集设备。同时要满足对污水采样位置，进行多点分布式采样。</w:t>
      </w:r>
    </w:p>
    <w:p w14:paraId="61669F07" w14:textId="30E32932" w:rsidR="00516340" w:rsidRDefault="00516340" w:rsidP="00803E39">
      <w:pPr>
        <w:pStyle w:val="afffffffff1"/>
      </w:pPr>
      <w:r>
        <w:rPr>
          <w:rFonts w:hint="eastAsia"/>
        </w:rPr>
        <w:t>动物样本：对于活体动物，可分别用采样棉签采集其体表拭子、口咽拭子和</w:t>
      </w:r>
      <w:proofErr w:type="gramStart"/>
      <w:r>
        <w:rPr>
          <w:rFonts w:hint="eastAsia"/>
        </w:rPr>
        <w:t>肛</w:t>
      </w:r>
      <w:proofErr w:type="gramEnd"/>
      <w:r>
        <w:rPr>
          <w:rFonts w:hint="eastAsia"/>
        </w:rPr>
        <w:t>拭子，也可以采集其排泄物或分泌物样本，并在记录单上进行相应记录。对于以经过剥皮等处理的动物样本，分别用棉签采集其体表和体腔</w:t>
      </w:r>
      <w:proofErr w:type="gramStart"/>
      <w:r>
        <w:rPr>
          <w:rFonts w:hint="eastAsia"/>
        </w:rPr>
        <w:t>拭</w:t>
      </w:r>
      <w:proofErr w:type="gramEnd"/>
      <w:r>
        <w:rPr>
          <w:rFonts w:hint="eastAsia"/>
        </w:rPr>
        <w:t>子样本，要求用病毒采样管中的病毒保存液，充分浸润采样棉签后，对拟采集食物样本的表面重复涂抹、并将棉签放回采样管进行</w:t>
      </w:r>
      <w:proofErr w:type="gramStart"/>
      <w:r>
        <w:rPr>
          <w:rFonts w:hint="eastAsia"/>
        </w:rPr>
        <w:t>涮洗</w:t>
      </w:r>
      <w:proofErr w:type="gramEnd"/>
      <w:r>
        <w:rPr>
          <w:rFonts w:hint="eastAsia"/>
        </w:rPr>
        <w:t>，取出后再次涂抹采样，重复3次以上。同时要满足对样本表面，进行多点分布式采样。</w:t>
      </w:r>
    </w:p>
    <w:p w14:paraId="3810FE2C" w14:textId="3A487235" w:rsidR="00516340" w:rsidRDefault="00516340" w:rsidP="00803E39">
      <w:pPr>
        <w:pStyle w:val="afffffffff1"/>
      </w:pPr>
      <w:r>
        <w:rPr>
          <w:rFonts w:hint="eastAsia"/>
        </w:rPr>
        <w:t>其他器具：动物废弃内脏等回收器具、笼具或鱼缸等装运、养殖动物的容器，需首先观察或了解该容器具体存放、养殖过的动物类型，采集容器内壁</w:t>
      </w:r>
      <w:proofErr w:type="gramStart"/>
      <w:r>
        <w:rPr>
          <w:rFonts w:hint="eastAsia"/>
        </w:rPr>
        <w:t>拭</w:t>
      </w:r>
      <w:proofErr w:type="gramEnd"/>
      <w:r>
        <w:rPr>
          <w:rFonts w:hint="eastAsia"/>
        </w:rPr>
        <w:t>子样本或内容物液体样本。</w:t>
      </w:r>
    </w:p>
    <w:p w14:paraId="4E26A079" w14:textId="6A10B4FE" w:rsidR="00516340" w:rsidRDefault="00516340" w:rsidP="00803E39">
      <w:pPr>
        <w:pStyle w:val="afffffffff1"/>
      </w:pPr>
      <w:r>
        <w:rPr>
          <w:rFonts w:hint="eastAsia"/>
        </w:rPr>
        <w:t>人员聚集、通风不良的局部交易区域、电梯、办公室、休息间、卫生间等环境采集空气气溶胶</w:t>
      </w:r>
      <w:r w:rsidR="00C24586">
        <w:rPr>
          <w:rFonts w:hint="eastAsia"/>
        </w:rPr>
        <w:t>样本：根据</w:t>
      </w:r>
      <w:r>
        <w:rPr>
          <w:rFonts w:hint="eastAsia"/>
        </w:rPr>
        <w:t>不同类型空气采样器具</w:t>
      </w:r>
      <w:proofErr w:type="gramStart"/>
      <w:r>
        <w:rPr>
          <w:rFonts w:hint="eastAsia"/>
        </w:rPr>
        <w:t>体要求</w:t>
      </w:r>
      <w:proofErr w:type="gramEnd"/>
      <w:r>
        <w:rPr>
          <w:rFonts w:hint="eastAsia"/>
        </w:rPr>
        <w:t>进行样本采集。采样器一般固定于支架上或置于平稳的表面上，采样高度应根据具体情境和需求进行调整。一般情况下采样器进气口距离地面高度建议为1.2~1.6米。调整采样器流量至设定范围并记录采样开始时间，确保采样器运行正常且气密性良好。采样过程中应避免采样器周围有人为因素的气流干扰。采样结束时，应记录采样结束时间并检查采样器流量。</w:t>
      </w:r>
    </w:p>
    <w:p w14:paraId="083C1F42" w14:textId="00BDDEFB" w:rsidR="00F70F0C" w:rsidRDefault="00F70F0C" w:rsidP="00F70F0C">
      <w:pPr>
        <w:pStyle w:val="affd"/>
        <w:spacing w:before="120" w:after="120"/>
      </w:pPr>
      <w:bookmarkStart w:id="102" w:name="_Toc62652062"/>
      <w:bookmarkStart w:id="103" w:name="_Toc62652131"/>
      <w:bookmarkStart w:id="104" w:name="_Toc62653354"/>
      <w:r>
        <w:rPr>
          <w:rFonts w:hint="eastAsia"/>
        </w:rPr>
        <w:t>监测频次与采样要求</w:t>
      </w:r>
      <w:bookmarkEnd w:id="102"/>
      <w:bookmarkEnd w:id="103"/>
      <w:bookmarkEnd w:id="104"/>
    </w:p>
    <w:p w14:paraId="0F1FE9A0" w14:textId="61952C24" w:rsidR="00F70F0C" w:rsidRPr="00F70F0C" w:rsidRDefault="00F70F0C" w:rsidP="00803E39">
      <w:pPr>
        <w:pStyle w:val="afffffffff1"/>
      </w:pPr>
      <w:r w:rsidRPr="00F70F0C">
        <w:rPr>
          <w:rFonts w:hint="eastAsia"/>
        </w:rPr>
        <w:t>采样周期：对重点大型农贸（集贸）市场（特别是销售生鲜类产品的市场）按照1-2周进行1次，对其余需要监测的集贸市场按照1次/月的频次进行病毒监测，可根据当地疫情防控需求和市场情况进行采样周期的安排。</w:t>
      </w:r>
    </w:p>
    <w:p w14:paraId="280895C6" w14:textId="77777777" w:rsidR="00F70F0C" w:rsidRDefault="00F70F0C" w:rsidP="00803E39">
      <w:pPr>
        <w:pStyle w:val="afffffffff1"/>
      </w:pPr>
      <w:r w:rsidRPr="00F70F0C">
        <w:rPr>
          <w:rFonts w:hint="eastAsia"/>
        </w:rPr>
        <w:t>采样实施：现场采样由两名以上的工作人员参与完成，采样时应穿戴防护服、防护口罩、防护眼罩、鞋套和医用一次性手套等。采样过程需开启现场采样视频记录设备。</w:t>
      </w:r>
    </w:p>
    <w:p w14:paraId="04F5A462" w14:textId="3A18043B" w:rsidR="00F70F0C" w:rsidRDefault="00F70F0C" w:rsidP="00803E39">
      <w:pPr>
        <w:pStyle w:val="afffffffff1"/>
      </w:pPr>
      <w:r w:rsidRPr="00F70F0C">
        <w:rPr>
          <w:rFonts w:hint="eastAsia"/>
        </w:rPr>
        <w:t>采样装备：生物样本转运箱、病毒采样管、水样富集器、气溶胶采集器、样品记录单、</w:t>
      </w:r>
      <w:proofErr w:type="gramStart"/>
      <w:r w:rsidRPr="00F70F0C">
        <w:rPr>
          <w:rFonts w:hint="eastAsia"/>
        </w:rPr>
        <w:t>手消设备</w:t>
      </w:r>
      <w:proofErr w:type="gramEnd"/>
      <w:r w:rsidRPr="00F70F0C">
        <w:rPr>
          <w:rFonts w:hint="eastAsia"/>
        </w:rPr>
        <w:t>、洁净采样袋、冰袋、高危险生物样本转运箱和生物安全垃圾袋等。</w:t>
      </w:r>
    </w:p>
    <w:p w14:paraId="46672EDD" w14:textId="4ECBA8D8" w:rsidR="00F70F0C" w:rsidRDefault="00F70F0C" w:rsidP="00803E39">
      <w:pPr>
        <w:pStyle w:val="afffffffff1"/>
      </w:pPr>
      <w:r>
        <w:rPr>
          <w:rFonts w:hint="eastAsia"/>
        </w:rPr>
        <w:t>采样操作：采样开始前，</w:t>
      </w:r>
      <w:proofErr w:type="gramStart"/>
      <w:r>
        <w:rPr>
          <w:rFonts w:hint="eastAsia"/>
        </w:rPr>
        <w:t>使用手消进行</w:t>
      </w:r>
      <w:proofErr w:type="gramEnd"/>
      <w:r>
        <w:rPr>
          <w:rFonts w:hint="eastAsia"/>
        </w:rPr>
        <w:t>手部消毒。</w:t>
      </w:r>
      <w:proofErr w:type="gramStart"/>
      <w:r>
        <w:rPr>
          <w:rFonts w:hint="eastAsia"/>
        </w:rPr>
        <w:t>拭</w:t>
      </w:r>
      <w:proofErr w:type="gramEnd"/>
      <w:r>
        <w:rPr>
          <w:rFonts w:hint="eastAsia"/>
        </w:rPr>
        <w:t>子样本采样过程中，采样棉签只能接触当</w:t>
      </w:r>
      <w:r w:rsidRPr="00F70F0C">
        <w:rPr>
          <w:rFonts w:hint="eastAsia"/>
        </w:rPr>
        <w:t>前采集的样本，避免触碰到其他物体。污水样本采集前，先充分混合均匀，然后取样。污水难以充分混合，出现分层现象时，可按各层量的多少的比例分层取样。气溶胶样本采集使用气溶胶采集器，设定采集高度、采样流量和采集时间，进行气溶胶采集，将采集后的吸收液或滤膜放置在特定的低温容器进行转运。采样结束后，按生物安全要求脱去防护服等个人防护装备，清理废弃物后离场。</w:t>
      </w:r>
    </w:p>
    <w:p w14:paraId="76194B2B" w14:textId="5CF14C99" w:rsidR="00C24586" w:rsidRDefault="00C24586" w:rsidP="00803E39">
      <w:pPr>
        <w:pStyle w:val="afffffffff1"/>
      </w:pPr>
      <w:r w:rsidRPr="00C24586">
        <w:rPr>
          <w:rFonts w:hint="eastAsia"/>
        </w:rPr>
        <w:t>采样记录：样本信息应包括样本采集的采样时间、地点、集贸市场名称、摊位编号、采样类型、样本编号以及采样人等信息，对于采样面积较大的样本，可单独标注物表面积。新型冠状病毒环境检测标本</w:t>
      </w:r>
      <w:proofErr w:type="gramStart"/>
      <w:r w:rsidRPr="00C24586">
        <w:rPr>
          <w:rFonts w:hint="eastAsia"/>
        </w:rPr>
        <w:t>送检表</w:t>
      </w:r>
      <w:proofErr w:type="gramEnd"/>
      <w:r w:rsidRPr="00C24586">
        <w:rPr>
          <w:rFonts w:hint="eastAsia"/>
        </w:rPr>
        <w:t>参见附录A。</w:t>
      </w:r>
    </w:p>
    <w:p w14:paraId="3014672B" w14:textId="00650A9E" w:rsidR="00C24586" w:rsidRDefault="00C24586" w:rsidP="00803E39">
      <w:pPr>
        <w:pStyle w:val="afffffffff1"/>
      </w:pPr>
      <w:r w:rsidRPr="00C24586">
        <w:rPr>
          <w:rFonts w:hint="eastAsia"/>
        </w:rPr>
        <w:t>样品转运：采集样品连同采样记录单应在24小时内运送至当地指定的病毒监测机构进行检测，样本宜冷藏（0-10℃）存放于专用的生物样本转运箱中，并由专人、专车进行转运，可参照感染性生物材料运输的B类包装（联合国编号UN3373）</w:t>
      </w:r>
      <w:r>
        <w:rPr>
          <w:rFonts w:hint="eastAsia"/>
        </w:rPr>
        <w:t>。</w:t>
      </w:r>
    </w:p>
    <w:p w14:paraId="3F550B1E" w14:textId="495B65B0" w:rsidR="00C24586" w:rsidRDefault="00C24586" w:rsidP="00C24586">
      <w:pPr>
        <w:pStyle w:val="affc"/>
        <w:spacing w:before="240" w:after="240"/>
      </w:pPr>
      <w:bookmarkStart w:id="105" w:name="_Toc62652063"/>
      <w:bookmarkStart w:id="106" w:name="_Toc62652132"/>
      <w:bookmarkStart w:id="107" w:name="_Toc62653355"/>
      <w:r>
        <w:rPr>
          <w:rFonts w:hint="eastAsia"/>
        </w:rPr>
        <w:t>实验室检测</w:t>
      </w:r>
      <w:bookmarkEnd w:id="105"/>
      <w:bookmarkEnd w:id="106"/>
      <w:bookmarkEnd w:id="107"/>
    </w:p>
    <w:p w14:paraId="5258DF9D" w14:textId="50C74DB6" w:rsidR="00C24586" w:rsidRDefault="00C24586" w:rsidP="00C24586">
      <w:pPr>
        <w:pStyle w:val="affd"/>
        <w:spacing w:before="120" w:after="120"/>
      </w:pPr>
      <w:bookmarkStart w:id="108" w:name="_Toc62652064"/>
      <w:bookmarkStart w:id="109" w:name="_Toc62652133"/>
      <w:bookmarkStart w:id="110" w:name="_Toc62653356"/>
      <w:r>
        <w:rPr>
          <w:rFonts w:hint="eastAsia"/>
        </w:rPr>
        <w:t>样本处理</w:t>
      </w:r>
      <w:bookmarkEnd w:id="108"/>
      <w:bookmarkEnd w:id="109"/>
      <w:bookmarkEnd w:id="110"/>
    </w:p>
    <w:p w14:paraId="08FD2B2B" w14:textId="2D282243" w:rsidR="00C24586" w:rsidRDefault="00C24586" w:rsidP="00803E39">
      <w:pPr>
        <w:pStyle w:val="afffffffff1"/>
      </w:pPr>
      <w:r>
        <w:rPr>
          <w:rFonts w:hint="eastAsia"/>
        </w:rPr>
        <w:t>样本分装：</w:t>
      </w:r>
      <w:r w:rsidRPr="00C24586">
        <w:rPr>
          <w:rFonts w:hint="eastAsia"/>
        </w:rPr>
        <w:t>标本采集后应在生物安全二级实验室生物安全柜内分装，但个人采取呼吸道传染病病原微生物的三级实验室防护。所有采集对环境标本应分装到大小适合的带螺旋盖内有垫圈、耐冷冻的样本采集管里，按照1000ul/管进行分装。容器(采集管)外注明样本编号、种类及采样日期。用于后续核酸提取和病毒分离等实验室检测工作。</w:t>
      </w:r>
    </w:p>
    <w:p w14:paraId="77B73928" w14:textId="2EA2039A" w:rsidR="00C24586" w:rsidRDefault="00C24586" w:rsidP="00803E39">
      <w:pPr>
        <w:pStyle w:val="afffffffff1"/>
      </w:pPr>
      <w:r>
        <w:rPr>
          <w:rFonts w:hint="eastAsia"/>
        </w:rPr>
        <w:t>污水水样</w:t>
      </w:r>
      <w:r w:rsidRPr="00C24586">
        <w:rPr>
          <w:rFonts w:hint="eastAsia"/>
        </w:rPr>
        <w:t>前期处理：使用离心技术去除污水中杂质。先打开低温离心机，待温度降至4℃左右，</w:t>
      </w:r>
      <w:r w:rsidRPr="00C24586">
        <w:rPr>
          <w:rFonts w:hint="eastAsia"/>
        </w:rPr>
        <w:lastRenderedPageBreak/>
        <w:t>建议4654g离心力离心30分钟，取上清。再使用膜吸附技术或超滤技术进行上清液的浓缩。</w:t>
      </w:r>
    </w:p>
    <w:p w14:paraId="1870EFF5" w14:textId="2DF8CCDF" w:rsidR="00C24586" w:rsidRDefault="00C24586" w:rsidP="00803E39">
      <w:pPr>
        <w:pStyle w:val="afffffffff1"/>
      </w:pPr>
      <w:r>
        <w:rPr>
          <w:rFonts w:hint="eastAsia"/>
        </w:rPr>
        <w:t>样本</w:t>
      </w:r>
      <w:r w:rsidRPr="00C24586">
        <w:rPr>
          <w:rFonts w:hint="eastAsia"/>
        </w:rPr>
        <w:t>保存：用于病毒分离和核酸检测的标本应尽快进行检测，能在24小时内检测的标本可置于4℃保存；24小时内无法检测的标本则应置于-70℃或以下保存（如无-70℃保存条件，则于-20℃冰箱暂存）。</w:t>
      </w:r>
    </w:p>
    <w:p w14:paraId="4423048F" w14:textId="3467984A" w:rsidR="00C24586" w:rsidRDefault="00C24586" w:rsidP="00C24586">
      <w:pPr>
        <w:pStyle w:val="affd"/>
        <w:spacing w:before="120" w:after="120"/>
      </w:pPr>
      <w:bookmarkStart w:id="111" w:name="_Toc62652065"/>
      <w:bookmarkStart w:id="112" w:name="_Toc62652134"/>
      <w:bookmarkStart w:id="113" w:name="_Toc62653357"/>
      <w:r>
        <w:rPr>
          <w:rFonts w:hint="eastAsia"/>
        </w:rPr>
        <w:t>核酸提取</w:t>
      </w:r>
      <w:bookmarkEnd w:id="111"/>
      <w:bookmarkEnd w:id="112"/>
      <w:bookmarkEnd w:id="113"/>
    </w:p>
    <w:p w14:paraId="054A1B04" w14:textId="1104B4B9" w:rsidR="00C24586" w:rsidRDefault="00C24586" w:rsidP="00803E39">
      <w:pPr>
        <w:pStyle w:val="afffffffff1"/>
      </w:pPr>
      <w:r w:rsidRPr="00C24586">
        <w:rPr>
          <w:rFonts w:hint="eastAsia"/>
        </w:rPr>
        <w:t>新型冠状病毒的常规检测方法是核酸检测，</w:t>
      </w:r>
      <w:proofErr w:type="gramStart"/>
      <w:r w:rsidRPr="00C24586">
        <w:rPr>
          <w:rFonts w:hint="eastAsia"/>
        </w:rPr>
        <w:t>暨通过</w:t>
      </w:r>
      <w:proofErr w:type="gramEnd"/>
      <w:r w:rsidRPr="00C24586">
        <w:rPr>
          <w:rFonts w:hint="eastAsia"/>
        </w:rPr>
        <w:t>实时荧光RT-PCR鉴定。</w:t>
      </w:r>
    </w:p>
    <w:p w14:paraId="7C95DEC4" w14:textId="7A2E1FA9" w:rsidR="00C24586" w:rsidRDefault="00C24586" w:rsidP="00803E39">
      <w:pPr>
        <w:pStyle w:val="afffffffff1"/>
      </w:pPr>
      <w:r>
        <w:rPr>
          <w:rFonts w:hint="eastAsia"/>
        </w:rPr>
        <w:t>对</w:t>
      </w:r>
      <w:r w:rsidRPr="00C24586">
        <w:rPr>
          <w:rFonts w:hint="eastAsia"/>
        </w:rPr>
        <w:t>已经灭活的样本，应在生物安全二级（BSL-2）实验室内，使用核酸提取试剂盒进行病毒核酸的提取。核酸提取后，应将核酸产物进行分装，用于后续检测。</w:t>
      </w:r>
    </w:p>
    <w:p w14:paraId="568197B8" w14:textId="696A2B03" w:rsidR="00C24586" w:rsidRDefault="00C24586" w:rsidP="00C24586">
      <w:pPr>
        <w:pStyle w:val="affd"/>
        <w:spacing w:before="120" w:after="120"/>
      </w:pPr>
      <w:bookmarkStart w:id="114" w:name="_Toc62652066"/>
      <w:bookmarkStart w:id="115" w:name="_Toc62652135"/>
      <w:bookmarkStart w:id="116" w:name="_Toc62653358"/>
      <w:r>
        <w:rPr>
          <w:rFonts w:hint="eastAsia"/>
        </w:rPr>
        <w:t>新型冠状病毒核酸检测</w:t>
      </w:r>
      <w:bookmarkEnd w:id="114"/>
      <w:bookmarkEnd w:id="115"/>
      <w:bookmarkEnd w:id="116"/>
    </w:p>
    <w:p w14:paraId="1C301C5D" w14:textId="25E1F458" w:rsidR="00C24586" w:rsidRDefault="00C24586" w:rsidP="00803E39">
      <w:pPr>
        <w:pStyle w:val="afffffffff1"/>
      </w:pPr>
      <w:r>
        <w:rPr>
          <w:rFonts w:hint="eastAsia"/>
        </w:rPr>
        <w:t>在BSL-2实验室中对所有已提取的核酸样本，应用经国家药品监督管理局批准的荧光定量RT-PCR诊断试剂进行新型冠状病毒核酸检测，以保证实验结果的正确可靠。</w:t>
      </w:r>
    </w:p>
    <w:p w14:paraId="3EC2E8D8" w14:textId="77777777" w:rsidR="00C24586" w:rsidRDefault="00C24586" w:rsidP="00803E39">
      <w:pPr>
        <w:pStyle w:val="afffffffff1"/>
      </w:pPr>
      <w:r>
        <w:rPr>
          <w:rFonts w:hint="eastAsia"/>
        </w:rPr>
        <w:t>RT-PCR反应体系和操作参考相关厂家试剂盒说明。每一次RT-PCR反应均应设置阴性对照、阳性对照和无模板空白对照，以确保扩增体系工作正常。</w:t>
      </w:r>
    </w:p>
    <w:p w14:paraId="1EB2ACBE" w14:textId="77777777" w:rsidR="00A6113A" w:rsidRDefault="00C24586" w:rsidP="00803E39">
      <w:pPr>
        <w:pStyle w:val="afffffffff1"/>
      </w:pPr>
      <w:r>
        <w:rPr>
          <w:rFonts w:hint="eastAsia"/>
        </w:rPr>
        <w:t>结果判断。使用商品化核酸检测试剂盒，结果判读及以厂家提供的说明书为准。</w:t>
      </w:r>
    </w:p>
    <w:p w14:paraId="66011929" w14:textId="6F4AABEE" w:rsidR="00C24586" w:rsidRDefault="00C24586" w:rsidP="00A6113A">
      <w:pPr>
        <w:pStyle w:val="affd"/>
        <w:spacing w:before="120" w:after="120"/>
      </w:pPr>
      <w:bookmarkStart w:id="117" w:name="_Toc62652136"/>
      <w:bookmarkStart w:id="118" w:name="_Toc62653359"/>
      <w:r>
        <w:rPr>
          <w:rFonts w:hint="eastAsia"/>
        </w:rPr>
        <w:t>阳性结果复核</w:t>
      </w:r>
      <w:bookmarkEnd w:id="117"/>
      <w:bookmarkEnd w:id="118"/>
    </w:p>
    <w:p w14:paraId="29010974" w14:textId="75F78D53" w:rsidR="00C24586" w:rsidRDefault="00C24586" w:rsidP="00C24586">
      <w:pPr>
        <w:pStyle w:val="affffb"/>
        <w:ind w:firstLine="420"/>
      </w:pPr>
      <w:r>
        <w:rPr>
          <w:rFonts w:hint="eastAsia"/>
        </w:rPr>
        <w:t>核酸检测阳性结果复核验证和相应防控措施，由当地疾病预防控制中心按照国家《新型冠状病毒肺炎防控方案》的要求执行。</w:t>
      </w:r>
    </w:p>
    <w:p w14:paraId="2E727B58" w14:textId="77777777" w:rsidR="00C24586" w:rsidRDefault="00C24586" w:rsidP="00C24586">
      <w:pPr>
        <w:pStyle w:val="affc"/>
        <w:spacing w:before="240" w:after="240"/>
      </w:pPr>
      <w:bookmarkStart w:id="119" w:name="_Toc62652067"/>
      <w:bookmarkStart w:id="120" w:name="_Toc62652137"/>
      <w:bookmarkStart w:id="121" w:name="_Toc62653360"/>
      <w:r>
        <w:rPr>
          <w:rFonts w:hint="eastAsia"/>
        </w:rPr>
        <w:t>实验室生物安全</w:t>
      </w:r>
      <w:bookmarkEnd w:id="119"/>
      <w:bookmarkEnd w:id="120"/>
      <w:bookmarkEnd w:id="121"/>
    </w:p>
    <w:p w14:paraId="48CBB6DE" w14:textId="77777777" w:rsidR="00C24586" w:rsidRDefault="00C24586" w:rsidP="00C24586">
      <w:pPr>
        <w:pStyle w:val="affffffffe"/>
      </w:pPr>
      <w:r>
        <w:rPr>
          <w:rFonts w:hint="eastAsia"/>
        </w:rPr>
        <w:t>本技术规范中涉及的生物安全事宜，包括样本的运输、样本的管理、样本的检测、废弃物管理，均根据国家卫生健康委办公厅印发的《新型冠状病毒实验室生物安全指南》（国卫办科教函﹝2020﹞70 号）的要求进行。</w:t>
      </w:r>
    </w:p>
    <w:p w14:paraId="59550B4E" w14:textId="77777777" w:rsidR="00C24586" w:rsidRDefault="00C24586" w:rsidP="00C24586">
      <w:pPr>
        <w:pStyle w:val="affffffffe"/>
      </w:pPr>
      <w:r>
        <w:rPr>
          <w:rFonts w:hint="eastAsia"/>
        </w:rPr>
        <w:t>采集的环境样本属于未经培养的感染性材料，在采用可靠的方法灭活前进行的病毒抗原检测、核酸提取，以及样本的灭活等操作，应当在生物安全二级实验室进行，同时采用三级防护要求。环境样本运输包装分类属于B类，对应的联合国编号为UN3373，包装符合国际民航组织文件Doc9284《危险品航空安全运输技术细则》的PI650分类包装要求；通过其他交通工具运输的可参照以上标准包装。环境样本的运输按照《可感染人类的高致病性病原微生物菌（毒）种或样本运输管理规定》（卫生部令第45号）应办理《准运证书》。</w:t>
      </w:r>
    </w:p>
    <w:p w14:paraId="223B2B54" w14:textId="35C98CB8" w:rsidR="00C24586" w:rsidRDefault="00C24586" w:rsidP="00C24586">
      <w:pPr>
        <w:pStyle w:val="affffffffe"/>
      </w:pPr>
      <w:r>
        <w:rPr>
          <w:rFonts w:hint="eastAsia"/>
        </w:rPr>
        <w:t>环境样本应当由专人管理，准确记录毒株和样本的来源、种类、数量、编号登记，采取有效措施确保毒株和样本的安全，严防发生误用、恶意使用、被盗、被抢、丢失、泄露等事件。</w:t>
      </w:r>
    </w:p>
    <w:p w14:paraId="10284DB5" w14:textId="31F541AD" w:rsidR="00C24586" w:rsidRDefault="00C24586" w:rsidP="00C24586">
      <w:pPr>
        <w:pStyle w:val="affffffffe"/>
        <w:numPr>
          <w:ilvl w:val="0"/>
          <w:numId w:val="0"/>
        </w:numPr>
      </w:pPr>
    </w:p>
    <w:p w14:paraId="090F4D02" w14:textId="77777777" w:rsidR="00C24586" w:rsidRDefault="00C24586" w:rsidP="00C24586">
      <w:pPr>
        <w:pStyle w:val="affffffffe"/>
        <w:numPr>
          <w:ilvl w:val="0"/>
          <w:numId w:val="0"/>
        </w:numPr>
        <w:sectPr w:rsidR="00C24586" w:rsidSect="008D48A3">
          <w:headerReference w:type="even" r:id="rId20"/>
          <w:headerReference w:type="default" r:id="rId21"/>
          <w:footerReference w:type="even" r:id="rId22"/>
          <w:footerReference w:type="default" r:id="rId23"/>
          <w:pgSz w:w="11906" w:h="16838" w:code="9"/>
          <w:pgMar w:top="567" w:right="1134" w:bottom="1134" w:left="1134" w:header="1418" w:footer="1134" w:gutter="284"/>
          <w:pgNumType w:start="1"/>
          <w:cols w:space="425"/>
          <w:formProt w:val="0"/>
          <w:docGrid w:linePitch="312"/>
        </w:sectPr>
      </w:pPr>
    </w:p>
    <w:p w14:paraId="28E54C89" w14:textId="3DF27D6D" w:rsidR="00C24586" w:rsidRDefault="00C24586" w:rsidP="00C24586">
      <w:pPr>
        <w:pStyle w:val="af8"/>
      </w:pPr>
      <w:bookmarkStart w:id="122" w:name="BookMark5"/>
      <w:bookmarkEnd w:id="30"/>
    </w:p>
    <w:p w14:paraId="1AC28A47" w14:textId="14445B53" w:rsidR="00C24586" w:rsidRDefault="00C24586" w:rsidP="00C24586">
      <w:pPr>
        <w:pStyle w:val="afe"/>
      </w:pPr>
    </w:p>
    <w:p w14:paraId="1D7044EA" w14:textId="0FE0B2FC" w:rsidR="00C24586" w:rsidRDefault="00C24586" w:rsidP="00C24586">
      <w:pPr>
        <w:pStyle w:val="aff3"/>
        <w:spacing w:before="60" w:after="120"/>
      </w:pPr>
      <w:r>
        <w:br/>
      </w:r>
      <w:bookmarkStart w:id="123" w:name="_Toc62652068"/>
      <w:bookmarkStart w:id="124" w:name="_Toc62652138"/>
      <w:bookmarkStart w:id="125" w:name="_Toc62653361"/>
      <w:r>
        <w:rPr>
          <w:rFonts w:hint="eastAsia"/>
        </w:rPr>
        <w:t>（规范性）</w:t>
      </w:r>
      <w:r>
        <w:br/>
      </w:r>
      <w:r>
        <w:rPr>
          <w:rFonts w:hint="eastAsia"/>
          <w:noProof w:val="0"/>
          <w:kern w:val="21"/>
        </w:rPr>
        <w:t>表1</w:t>
      </w:r>
      <w:r>
        <w:rPr>
          <w:noProof w:val="0"/>
          <w:kern w:val="21"/>
        </w:rPr>
        <w:t xml:space="preserve">  </w:t>
      </w:r>
      <w:r w:rsidRPr="00C24586">
        <w:rPr>
          <w:rFonts w:hint="eastAsia"/>
          <w:noProof w:val="0"/>
          <w:kern w:val="21"/>
        </w:rPr>
        <w:t>新型冠状病毒环境检测标本送检表</w:t>
      </w:r>
      <w:bookmarkEnd w:id="123"/>
      <w:bookmarkEnd w:id="124"/>
      <w:bookmarkEnd w:id="125"/>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101"/>
        <w:gridCol w:w="1275"/>
        <w:gridCol w:w="1560"/>
        <w:gridCol w:w="2444"/>
        <w:gridCol w:w="1595"/>
        <w:gridCol w:w="1595"/>
      </w:tblGrid>
      <w:tr w:rsidR="00C24586" w14:paraId="4FAE7C6B" w14:textId="77777777" w:rsidTr="00C24586">
        <w:tc>
          <w:tcPr>
            <w:tcW w:w="1101" w:type="dxa"/>
            <w:vMerge w:val="restart"/>
            <w:tcBorders>
              <w:top w:val="single" w:sz="8" w:space="0" w:color="auto"/>
              <w:left w:val="single" w:sz="8" w:space="0" w:color="auto"/>
              <w:bottom w:val="single" w:sz="4" w:space="0" w:color="auto"/>
              <w:right w:val="single" w:sz="4" w:space="0" w:color="auto"/>
            </w:tcBorders>
            <w:hideMark/>
          </w:tcPr>
          <w:p w14:paraId="57B28841" w14:textId="77777777" w:rsidR="00C24586" w:rsidRDefault="00C24586">
            <w:pPr>
              <w:jc w:val="center"/>
              <w:rPr>
                <w:rFonts w:ascii="宋体"/>
                <w:sz w:val="20"/>
                <w:szCs w:val="28"/>
              </w:rPr>
            </w:pPr>
            <w:r>
              <w:rPr>
                <w:rFonts w:ascii="宋体" w:hint="eastAsia"/>
                <w:sz w:val="20"/>
                <w:szCs w:val="28"/>
              </w:rPr>
              <w:t>序号</w:t>
            </w:r>
          </w:p>
        </w:tc>
        <w:tc>
          <w:tcPr>
            <w:tcW w:w="1275" w:type="dxa"/>
            <w:vMerge w:val="restart"/>
            <w:tcBorders>
              <w:top w:val="single" w:sz="8" w:space="0" w:color="auto"/>
              <w:left w:val="single" w:sz="4" w:space="0" w:color="auto"/>
              <w:bottom w:val="single" w:sz="4" w:space="0" w:color="auto"/>
              <w:right w:val="single" w:sz="4" w:space="0" w:color="auto"/>
            </w:tcBorders>
            <w:hideMark/>
          </w:tcPr>
          <w:p w14:paraId="7721F795" w14:textId="77777777" w:rsidR="00C24586" w:rsidRDefault="00C24586">
            <w:pPr>
              <w:jc w:val="center"/>
              <w:rPr>
                <w:rFonts w:ascii="宋体"/>
                <w:sz w:val="20"/>
                <w:szCs w:val="28"/>
              </w:rPr>
            </w:pPr>
            <w:r>
              <w:rPr>
                <w:rFonts w:ascii="宋体" w:hint="eastAsia"/>
                <w:sz w:val="20"/>
                <w:szCs w:val="28"/>
              </w:rPr>
              <w:t>采样日期</w:t>
            </w:r>
          </w:p>
        </w:tc>
        <w:tc>
          <w:tcPr>
            <w:tcW w:w="4004" w:type="dxa"/>
            <w:gridSpan w:val="2"/>
            <w:tcBorders>
              <w:top w:val="single" w:sz="8" w:space="0" w:color="auto"/>
              <w:left w:val="single" w:sz="4" w:space="0" w:color="auto"/>
              <w:bottom w:val="single" w:sz="8" w:space="0" w:color="auto"/>
              <w:right w:val="single" w:sz="4" w:space="0" w:color="auto"/>
            </w:tcBorders>
            <w:hideMark/>
          </w:tcPr>
          <w:p w14:paraId="6D240464" w14:textId="77777777" w:rsidR="00C24586" w:rsidRDefault="00C24586">
            <w:pPr>
              <w:jc w:val="center"/>
              <w:rPr>
                <w:rFonts w:ascii="宋体"/>
                <w:sz w:val="20"/>
                <w:szCs w:val="28"/>
              </w:rPr>
            </w:pPr>
            <w:r>
              <w:rPr>
                <w:rFonts w:ascii="宋体" w:hint="eastAsia"/>
                <w:sz w:val="20"/>
                <w:szCs w:val="28"/>
              </w:rPr>
              <w:t>样本编号</w:t>
            </w:r>
          </w:p>
        </w:tc>
        <w:tc>
          <w:tcPr>
            <w:tcW w:w="1595" w:type="dxa"/>
            <w:vMerge w:val="restart"/>
            <w:tcBorders>
              <w:top w:val="single" w:sz="8" w:space="0" w:color="auto"/>
              <w:left w:val="single" w:sz="4" w:space="0" w:color="auto"/>
              <w:bottom w:val="single" w:sz="4" w:space="0" w:color="auto"/>
              <w:right w:val="single" w:sz="4" w:space="0" w:color="auto"/>
            </w:tcBorders>
            <w:hideMark/>
          </w:tcPr>
          <w:p w14:paraId="19C95483" w14:textId="77777777" w:rsidR="00C24586" w:rsidRDefault="00C24586">
            <w:pPr>
              <w:jc w:val="center"/>
              <w:rPr>
                <w:rFonts w:ascii="宋体"/>
                <w:sz w:val="20"/>
                <w:szCs w:val="28"/>
              </w:rPr>
            </w:pPr>
            <w:r>
              <w:rPr>
                <w:rFonts w:ascii="宋体" w:hint="eastAsia"/>
                <w:sz w:val="20"/>
                <w:szCs w:val="28"/>
              </w:rPr>
              <w:t>采样类型</w:t>
            </w:r>
          </w:p>
        </w:tc>
        <w:tc>
          <w:tcPr>
            <w:tcW w:w="1595" w:type="dxa"/>
            <w:vMerge w:val="restart"/>
            <w:tcBorders>
              <w:top w:val="single" w:sz="8" w:space="0" w:color="auto"/>
              <w:left w:val="single" w:sz="4" w:space="0" w:color="auto"/>
              <w:bottom w:val="single" w:sz="4" w:space="0" w:color="auto"/>
              <w:right w:val="single" w:sz="8" w:space="0" w:color="auto"/>
            </w:tcBorders>
            <w:hideMark/>
          </w:tcPr>
          <w:p w14:paraId="5BBBD385" w14:textId="77777777" w:rsidR="00C24586" w:rsidRDefault="00C24586">
            <w:pPr>
              <w:jc w:val="center"/>
              <w:rPr>
                <w:rFonts w:ascii="宋体"/>
                <w:sz w:val="20"/>
                <w:szCs w:val="28"/>
              </w:rPr>
            </w:pPr>
            <w:r>
              <w:rPr>
                <w:rFonts w:ascii="宋体" w:hint="eastAsia"/>
                <w:sz w:val="20"/>
                <w:szCs w:val="28"/>
              </w:rPr>
              <w:t>样本名称备注</w:t>
            </w:r>
          </w:p>
        </w:tc>
      </w:tr>
      <w:tr w:rsidR="00C24586" w14:paraId="0331B59A" w14:textId="77777777" w:rsidTr="00C24586">
        <w:tc>
          <w:tcPr>
            <w:tcW w:w="9570" w:type="dxa"/>
            <w:vMerge/>
            <w:tcBorders>
              <w:top w:val="single" w:sz="8" w:space="0" w:color="auto"/>
              <w:left w:val="single" w:sz="8" w:space="0" w:color="auto"/>
              <w:bottom w:val="single" w:sz="4" w:space="0" w:color="auto"/>
              <w:right w:val="single" w:sz="4" w:space="0" w:color="auto"/>
            </w:tcBorders>
            <w:vAlign w:val="center"/>
            <w:hideMark/>
          </w:tcPr>
          <w:p w14:paraId="73E7EC4F" w14:textId="77777777" w:rsidR="00C24586" w:rsidRDefault="00C24586">
            <w:pPr>
              <w:widowControl/>
              <w:jc w:val="left"/>
              <w:rPr>
                <w:rFonts w:ascii="宋体"/>
                <w:sz w:val="20"/>
                <w:szCs w:val="28"/>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14:paraId="236191EE" w14:textId="77777777" w:rsidR="00C24586" w:rsidRDefault="00C24586">
            <w:pPr>
              <w:widowControl/>
              <w:jc w:val="left"/>
              <w:rPr>
                <w:rFonts w:ascii="宋体"/>
                <w:sz w:val="20"/>
                <w:szCs w:val="28"/>
              </w:rPr>
            </w:pPr>
          </w:p>
        </w:tc>
        <w:tc>
          <w:tcPr>
            <w:tcW w:w="1560" w:type="dxa"/>
            <w:tcBorders>
              <w:top w:val="single" w:sz="8" w:space="0" w:color="auto"/>
              <w:left w:val="single" w:sz="4" w:space="0" w:color="auto"/>
              <w:bottom w:val="single" w:sz="4" w:space="0" w:color="auto"/>
              <w:right w:val="single" w:sz="4" w:space="0" w:color="auto"/>
            </w:tcBorders>
            <w:hideMark/>
          </w:tcPr>
          <w:p w14:paraId="71281B6B" w14:textId="77777777" w:rsidR="00C24586" w:rsidRDefault="00C24586">
            <w:pPr>
              <w:jc w:val="center"/>
              <w:rPr>
                <w:rFonts w:ascii="宋体"/>
                <w:sz w:val="20"/>
                <w:szCs w:val="28"/>
              </w:rPr>
            </w:pPr>
            <w:r>
              <w:rPr>
                <w:rFonts w:ascii="宋体" w:hint="eastAsia"/>
                <w:sz w:val="20"/>
                <w:szCs w:val="28"/>
              </w:rPr>
              <w:t>摊位号</w:t>
            </w:r>
          </w:p>
        </w:tc>
        <w:tc>
          <w:tcPr>
            <w:tcW w:w="2444" w:type="dxa"/>
            <w:tcBorders>
              <w:top w:val="single" w:sz="8" w:space="0" w:color="auto"/>
              <w:left w:val="single" w:sz="4" w:space="0" w:color="auto"/>
              <w:bottom w:val="single" w:sz="4" w:space="0" w:color="auto"/>
              <w:right w:val="single" w:sz="4" w:space="0" w:color="auto"/>
            </w:tcBorders>
            <w:hideMark/>
          </w:tcPr>
          <w:p w14:paraId="2AB0CE69" w14:textId="77777777" w:rsidR="00C24586" w:rsidRDefault="00C24586">
            <w:pPr>
              <w:jc w:val="center"/>
              <w:rPr>
                <w:rFonts w:ascii="宋体"/>
                <w:sz w:val="20"/>
                <w:szCs w:val="28"/>
              </w:rPr>
            </w:pPr>
            <w:r>
              <w:rPr>
                <w:rFonts w:ascii="宋体" w:hint="eastAsia"/>
                <w:sz w:val="20"/>
                <w:szCs w:val="28"/>
              </w:rPr>
              <w:t>样本名称（拼音首字母）</w:t>
            </w:r>
          </w:p>
        </w:tc>
        <w:tc>
          <w:tcPr>
            <w:tcW w:w="1595" w:type="dxa"/>
            <w:vMerge/>
            <w:tcBorders>
              <w:top w:val="single" w:sz="8" w:space="0" w:color="auto"/>
              <w:left w:val="single" w:sz="4" w:space="0" w:color="auto"/>
              <w:bottom w:val="single" w:sz="4" w:space="0" w:color="auto"/>
              <w:right w:val="single" w:sz="4" w:space="0" w:color="auto"/>
            </w:tcBorders>
            <w:vAlign w:val="center"/>
            <w:hideMark/>
          </w:tcPr>
          <w:p w14:paraId="5BEB5368" w14:textId="77777777" w:rsidR="00C24586" w:rsidRDefault="00C24586">
            <w:pPr>
              <w:widowControl/>
              <w:jc w:val="left"/>
              <w:rPr>
                <w:rFonts w:ascii="宋体"/>
                <w:sz w:val="20"/>
                <w:szCs w:val="28"/>
              </w:rPr>
            </w:pPr>
          </w:p>
        </w:tc>
        <w:tc>
          <w:tcPr>
            <w:tcW w:w="1595" w:type="dxa"/>
            <w:vMerge/>
            <w:tcBorders>
              <w:top w:val="single" w:sz="8" w:space="0" w:color="auto"/>
              <w:left w:val="single" w:sz="4" w:space="0" w:color="auto"/>
              <w:bottom w:val="single" w:sz="4" w:space="0" w:color="auto"/>
              <w:right w:val="single" w:sz="8" w:space="0" w:color="auto"/>
            </w:tcBorders>
            <w:vAlign w:val="center"/>
            <w:hideMark/>
          </w:tcPr>
          <w:p w14:paraId="6DEB9EA3" w14:textId="77777777" w:rsidR="00C24586" w:rsidRDefault="00C24586">
            <w:pPr>
              <w:widowControl/>
              <w:jc w:val="left"/>
              <w:rPr>
                <w:rFonts w:ascii="宋体"/>
                <w:sz w:val="20"/>
                <w:szCs w:val="28"/>
              </w:rPr>
            </w:pPr>
          </w:p>
        </w:tc>
      </w:tr>
      <w:tr w:rsidR="00C24586" w14:paraId="115CB94D" w14:textId="77777777" w:rsidTr="00C24586">
        <w:tc>
          <w:tcPr>
            <w:tcW w:w="1101" w:type="dxa"/>
            <w:tcBorders>
              <w:top w:val="single" w:sz="4" w:space="0" w:color="auto"/>
              <w:left w:val="single" w:sz="8" w:space="0" w:color="auto"/>
              <w:bottom w:val="single" w:sz="4" w:space="0" w:color="auto"/>
              <w:right w:val="single" w:sz="4" w:space="0" w:color="auto"/>
            </w:tcBorders>
          </w:tcPr>
          <w:p w14:paraId="25107517" w14:textId="77777777" w:rsidR="00C24586" w:rsidRDefault="00C24586">
            <w:pPr>
              <w:jc w:val="center"/>
              <w:rPr>
                <w:rFonts w:ascii="宋体"/>
                <w:sz w:val="20"/>
                <w:szCs w:val="28"/>
              </w:rPr>
            </w:pPr>
          </w:p>
        </w:tc>
        <w:tc>
          <w:tcPr>
            <w:tcW w:w="1275" w:type="dxa"/>
            <w:tcBorders>
              <w:top w:val="single" w:sz="4" w:space="0" w:color="auto"/>
              <w:left w:val="single" w:sz="4" w:space="0" w:color="auto"/>
              <w:bottom w:val="single" w:sz="4" w:space="0" w:color="auto"/>
              <w:right w:val="single" w:sz="4" w:space="0" w:color="auto"/>
            </w:tcBorders>
          </w:tcPr>
          <w:p w14:paraId="0368CA47" w14:textId="77777777" w:rsidR="00C24586" w:rsidRDefault="00C24586">
            <w:pPr>
              <w:jc w:val="center"/>
              <w:rPr>
                <w:rFonts w:ascii="宋体"/>
                <w:sz w:val="20"/>
                <w:szCs w:val="28"/>
              </w:rPr>
            </w:pPr>
          </w:p>
        </w:tc>
        <w:tc>
          <w:tcPr>
            <w:tcW w:w="1560" w:type="dxa"/>
            <w:tcBorders>
              <w:top w:val="single" w:sz="4" w:space="0" w:color="auto"/>
              <w:left w:val="single" w:sz="4" w:space="0" w:color="auto"/>
              <w:bottom w:val="single" w:sz="4" w:space="0" w:color="auto"/>
              <w:right w:val="single" w:sz="4" w:space="0" w:color="auto"/>
            </w:tcBorders>
          </w:tcPr>
          <w:p w14:paraId="6624C4E1" w14:textId="77777777" w:rsidR="00C24586" w:rsidRDefault="00C24586">
            <w:pPr>
              <w:jc w:val="center"/>
              <w:rPr>
                <w:rFonts w:ascii="宋体"/>
                <w:sz w:val="20"/>
                <w:szCs w:val="28"/>
              </w:rPr>
            </w:pPr>
          </w:p>
        </w:tc>
        <w:tc>
          <w:tcPr>
            <w:tcW w:w="2444" w:type="dxa"/>
            <w:tcBorders>
              <w:top w:val="single" w:sz="4" w:space="0" w:color="auto"/>
              <w:left w:val="single" w:sz="4" w:space="0" w:color="auto"/>
              <w:bottom w:val="single" w:sz="4" w:space="0" w:color="auto"/>
              <w:right w:val="single" w:sz="4" w:space="0" w:color="auto"/>
            </w:tcBorders>
          </w:tcPr>
          <w:p w14:paraId="2BA1E9B2" w14:textId="77777777" w:rsidR="00C24586" w:rsidRDefault="00C24586">
            <w:pPr>
              <w:jc w:val="center"/>
              <w:rPr>
                <w:rFonts w:ascii="宋体"/>
                <w:sz w:val="20"/>
                <w:szCs w:val="28"/>
              </w:rPr>
            </w:pPr>
          </w:p>
        </w:tc>
        <w:tc>
          <w:tcPr>
            <w:tcW w:w="1595" w:type="dxa"/>
            <w:tcBorders>
              <w:top w:val="single" w:sz="4" w:space="0" w:color="auto"/>
              <w:left w:val="single" w:sz="4" w:space="0" w:color="auto"/>
              <w:bottom w:val="single" w:sz="4" w:space="0" w:color="auto"/>
              <w:right w:val="single" w:sz="4" w:space="0" w:color="auto"/>
            </w:tcBorders>
          </w:tcPr>
          <w:p w14:paraId="7D8F1219" w14:textId="77777777" w:rsidR="00C24586" w:rsidRDefault="00C24586">
            <w:pPr>
              <w:jc w:val="center"/>
              <w:rPr>
                <w:rFonts w:ascii="宋体"/>
                <w:sz w:val="20"/>
                <w:szCs w:val="28"/>
              </w:rPr>
            </w:pPr>
          </w:p>
        </w:tc>
        <w:tc>
          <w:tcPr>
            <w:tcW w:w="1595" w:type="dxa"/>
            <w:tcBorders>
              <w:top w:val="single" w:sz="4" w:space="0" w:color="auto"/>
              <w:left w:val="single" w:sz="4" w:space="0" w:color="auto"/>
              <w:bottom w:val="single" w:sz="4" w:space="0" w:color="auto"/>
              <w:right w:val="single" w:sz="8" w:space="0" w:color="auto"/>
            </w:tcBorders>
          </w:tcPr>
          <w:p w14:paraId="74B65160" w14:textId="77777777" w:rsidR="00C24586" w:rsidRDefault="00C24586">
            <w:pPr>
              <w:jc w:val="center"/>
              <w:rPr>
                <w:rFonts w:ascii="宋体"/>
                <w:sz w:val="20"/>
                <w:szCs w:val="28"/>
              </w:rPr>
            </w:pPr>
          </w:p>
        </w:tc>
      </w:tr>
      <w:tr w:rsidR="00C24586" w14:paraId="013AD295" w14:textId="77777777" w:rsidTr="00C24586">
        <w:tc>
          <w:tcPr>
            <w:tcW w:w="1101" w:type="dxa"/>
            <w:tcBorders>
              <w:top w:val="single" w:sz="4" w:space="0" w:color="auto"/>
              <w:left w:val="single" w:sz="8" w:space="0" w:color="auto"/>
              <w:bottom w:val="single" w:sz="4" w:space="0" w:color="auto"/>
              <w:right w:val="single" w:sz="4" w:space="0" w:color="auto"/>
            </w:tcBorders>
          </w:tcPr>
          <w:p w14:paraId="2D3D8854" w14:textId="77777777" w:rsidR="00C24586" w:rsidRDefault="00C24586">
            <w:pPr>
              <w:rPr>
                <w:rFonts w:ascii="宋体"/>
                <w:sz w:val="18"/>
                <w:szCs w:val="24"/>
              </w:rPr>
            </w:pPr>
          </w:p>
        </w:tc>
        <w:tc>
          <w:tcPr>
            <w:tcW w:w="1275" w:type="dxa"/>
            <w:tcBorders>
              <w:top w:val="single" w:sz="4" w:space="0" w:color="auto"/>
              <w:left w:val="single" w:sz="4" w:space="0" w:color="auto"/>
              <w:bottom w:val="single" w:sz="4" w:space="0" w:color="auto"/>
              <w:right w:val="single" w:sz="4" w:space="0" w:color="auto"/>
            </w:tcBorders>
          </w:tcPr>
          <w:p w14:paraId="2CA3D1B0" w14:textId="77777777" w:rsidR="00C24586" w:rsidRDefault="00C24586">
            <w:pPr>
              <w:rPr>
                <w:rFonts w:ascii="宋体"/>
                <w:sz w:val="18"/>
              </w:rPr>
            </w:pPr>
          </w:p>
        </w:tc>
        <w:tc>
          <w:tcPr>
            <w:tcW w:w="1560" w:type="dxa"/>
            <w:tcBorders>
              <w:top w:val="single" w:sz="4" w:space="0" w:color="auto"/>
              <w:left w:val="single" w:sz="4" w:space="0" w:color="auto"/>
              <w:bottom w:val="single" w:sz="4" w:space="0" w:color="auto"/>
              <w:right w:val="single" w:sz="4" w:space="0" w:color="auto"/>
            </w:tcBorders>
          </w:tcPr>
          <w:p w14:paraId="23B0183E" w14:textId="77777777" w:rsidR="00C24586" w:rsidRDefault="00C24586">
            <w:pPr>
              <w:rPr>
                <w:rFonts w:ascii="宋体"/>
                <w:sz w:val="18"/>
              </w:rPr>
            </w:pPr>
          </w:p>
        </w:tc>
        <w:tc>
          <w:tcPr>
            <w:tcW w:w="2444" w:type="dxa"/>
            <w:tcBorders>
              <w:top w:val="single" w:sz="4" w:space="0" w:color="auto"/>
              <w:left w:val="single" w:sz="4" w:space="0" w:color="auto"/>
              <w:bottom w:val="single" w:sz="4" w:space="0" w:color="auto"/>
              <w:right w:val="single" w:sz="4" w:space="0" w:color="auto"/>
            </w:tcBorders>
          </w:tcPr>
          <w:p w14:paraId="359ECB0E" w14:textId="77777777" w:rsidR="00C24586" w:rsidRDefault="00C24586">
            <w:pPr>
              <w:rPr>
                <w:rFonts w:ascii="宋体"/>
                <w:sz w:val="18"/>
              </w:rPr>
            </w:pPr>
          </w:p>
        </w:tc>
        <w:tc>
          <w:tcPr>
            <w:tcW w:w="1595" w:type="dxa"/>
            <w:tcBorders>
              <w:top w:val="single" w:sz="4" w:space="0" w:color="auto"/>
              <w:left w:val="single" w:sz="4" w:space="0" w:color="auto"/>
              <w:bottom w:val="single" w:sz="4" w:space="0" w:color="auto"/>
              <w:right w:val="single" w:sz="4" w:space="0" w:color="auto"/>
            </w:tcBorders>
          </w:tcPr>
          <w:p w14:paraId="27E0AB55" w14:textId="77777777" w:rsidR="00C24586" w:rsidRDefault="00C24586">
            <w:pPr>
              <w:rPr>
                <w:rFonts w:ascii="宋体"/>
                <w:sz w:val="18"/>
              </w:rPr>
            </w:pPr>
          </w:p>
        </w:tc>
        <w:tc>
          <w:tcPr>
            <w:tcW w:w="1595" w:type="dxa"/>
            <w:tcBorders>
              <w:top w:val="single" w:sz="4" w:space="0" w:color="auto"/>
              <w:left w:val="single" w:sz="4" w:space="0" w:color="auto"/>
              <w:bottom w:val="single" w:sz="4" w:space="0" w:color="auto"/>
              <w:right w:val="single" w:sz="8" w:space="0" w:color="auto"/>
            </w:tcBorders>
          </w:tcPr>
          <w:p w14:paraId="7119AE26" w14:textId="77777777" w:rsidR="00C24586" w:rsidRDefault="00C24586">
            <w:pPr>
              <w:rPr>
                <w:rFonts w:ascii="宋体"/>
                <w:sz w:val="18"/>
              </w:rPr>
            </w:pPr>
          </w:p>
        </w:tc>
      </w:tr>
      <w:tr w:rsidR="00C24586" w14:paraId="78568510" w14:textId="77777777" w:rsidTr="00C24586">
        <w:tc>
          <w:tcPr>
            <w:tcW w:w="1101" w:type="dxa"/>
            <w:tcBorders>
              <w:top w:val="single" w:sz="4" w:space="0" w:color="auto"/>
              <w:left w:val="single" w:sz="8" w:space="0" w:color="auto"/>
              <w:bottom w:val="single" w:sz="4" w:space="0" w:color="auto"/>
              <w:right w:val="single" w:sz="4" w:space="0" w:color="auto"/>
            </w:tcBorders>
          </w:tcPr>
          <w:p w14:paraId="48AD4B76" w14:textId="77777777" w:rsidR="00C24586" w:rsidRDefault="00C24586">
            <w:pPr>
              <w:rPr>
                <w:rFonts w:ascii="宋体"/>
                <w:sz w:val="18"/>
              </w:rPr>
            </w:pPr>
          </w:p>
        </w:tc>
        <w:tc>
          <w:tcPr>
            <w:tcW w:w="1275" w:type="dxa"/>
            <w:tcBorders>
              <w:top w:val="single" w:sz="4" w:space="0" w:color="auto"/>
              <w:left w:val="single" w:sz="4" w:space="0" w:color="auto"/>
              <w:bottom w:val="single" w:sz="4" w:space="0" w:color="auto"/>
              <w:right w:val="single" w:sz="4" w:space="0" w:color="auto"/>
            </w:tcBorders>
          </w:tcPr>
          <w:p w14:paraId="3B34C396" w14:textId="77777777" w:rsidR="00C24586" w:rsidRDefault="00C24586">
            <w:pPr>
              <w:rPr>
                <w:rFonts w:ascii="宋体"/>
                <w:sz w:val="18"/>
              </w:rPr>
            </w:pPr>
          </w:p>
        </w:tc>
        <w:tc>
          <w:tcPr>
            <w:tcW w:w="1560" w:type="dxa"/>
            <w:tcBorders>
              <w:top w:val="single" w:sz="4" w:space="0" w:color="auto"/>
              <w:left w:val="single" w:sz="4" w:space="0" w:color="auto"/>
              <w:bottom w:val="single" w:sz="4" w:space="0" w:color="auto"/>
              <w:right w:val="single" w:sz="4" w:space="0" w:color="auto"/>
            </w:tcBorders>
          </w:tcPr>
          <w:p w14:paraId="72402F00" w14:textId="77777777" w:rsidR="00C24586" w:rsidRDefault="00C24586">
            <w:pPr>
              <w:rPr>
                <w:rFonts w:ascii="宋体"/>
                <w:sz w:val="18"/>
              </w:rPr>
            </w:pPr>
          </w:p>
        </w:tc>
        <w:tc>
          <w:tcPr>
            <w:tcW w:w="2444" w:type="dxa"/>
            <w:tcBorders>
              <w:top w:val="single" w:sz="4" w:space="0" w:color="auto"/>
              <w:left w:val="single" w:sz="4" w:space="0" w:color="auto"/>
              <w:bottom w:val="single" w:sz="4" w:space="0" w:color="auto"/>
              <w:right w:val="single" w:sz="4" w:space="0" w:color="auto"/>
            </w:tcBorders>
          </w:tcPr>
          <w:p w14:paraId="23580737" w14:textId="77777777" w:rsidR="00C24586" w:rsidRDefault="00C24586">
            <w:pPr>
              <w:rPr>
                <w:rFonts w:ascii="宋体"/>
                <w:sz w:val="18"/>
              </w:rPr>
            </w:pPr>
          </w:p>
        </w:tc>
        <w:tc>
          <w:tcPr>
            <w:tcW w:w="1595" w:type="dxa"/>
            <w:tcBorders>
              <w:top w:val="single" w:sz="4" w:space="0" w:color="auto"/>
              <w:left w:val="single" w:sz="4" w:space="0" w:color="auto"/>
              <w:bottom w:val="single" w:sz="4" w:space="0" w:color="auto"/>
              <w:right w:val="single" w:sz="4" w:space="0" w:color="auto"/>
            </w:tcBorders>
          </w:tcPr>
          <w:p w14:paraId="03199855" w14:textId="77777777" w:rsidR="00C24586" w:rsidRDefault="00C24586">
            <w:pPr>
              <w:rPr>
                <w:rFonts w:ascii="宋体"/>
                <w:sz w:val="18"/>
              </w:rPr>
            </w:pPr>
          </w:p>
        </w:tc>
        <w:tc>
          <w:tcPr>
            <w:tcW w:w="1595" w:type="dxa"/>
            <w:tcBorders>
              <w:top w:val="single" w:sz="4" w:space="0" w:color="auto"/>
              <w:left w:val="single" w:sz="4" w:space="0" w:color="auto"/>
              <w:bottom w:val="single" w:sz="4" w:space="0" w:color="auto"/>
              <w:right w:val="single" w:sz="8" w:space="0" w:color="auto"/>
            </w:tcBorders>
          </w:tcPr>
          <w:p w14:paraId="07F5B612" w14:textId="77777777" w:rsidR="00C24586" w:rsidRDefault="00C24586">
            <w:pPr>
              <w:rPr>
                <w:rFonts w:ascii="宋体"/>
                <w:sz w:val="18"/>
              </w:rPr>
            </w:pPr>
          </w:p>
        </w:tc>
      </w:tr>
      <w:tr w:rsidR="00C24586" w14:paraId="446173DF" w14:textId="77777777" w:rsidTr="00C24586">
        <w:tc>
          <w:tcPr>
            <w:tcW w:w="1101" w:type="dxa"/>
            <w:tcBorders>
              <w:top w:val="single" w:sz="4" w:space="0" w:color="auto"/>
              <w:left w:val="single" w:sz="8" w:space="0" w:color="auto"/>
              <w:bottom w:val="single" w:sz="4" w:space="0" w:color="auto"/>
              <w:right w:val="single" w:sz="4" w:space="0" w:color="auto"/>
            </w:tcBorders>
          </w:tcPr>
          <w:p w14:paraId="2A3BB44F" w14:textId="77777777" w:rsidR="00C24586" w:rsidRDefault="00C24586">
            <w:pPr>
              <w:rPr>
                <w:rFonts w:ascii="宋体"/>
                <w:sz w:val="18"/>
              </w:rPr>
            </w:pPr>
          </w:p>
        </w:tc>
        <w:tc>
          <w:tcPr>
            <w:tcW w:w="1275" w:type="dxa"/>
            <w:tcBorders>
              <w:top w:val="single" w:sz="4" w:space="0" w:color="auto"/>
              <w:left w:val="single" w:sz="4" w:space="0" w:color="auto"/>
              <w:bottom w:val="single" w:sz="4" w:space="0" w:color="auto"/>
              <w:right w:val="single" w:sz="4" w:space="0" w:color="auto"/>
            </w:tcBorders>
          </w:tcPr>
          <w:p w14:paraId="4F810ED8" w14:textId="77777777" w:rsidR="00C24586" w:rsidRDefault="00C24586">
            <w:pPr>
              <w:rPr>
                <w:rFonts w:ascii="宋体"/>
                <w:sz w:val="18"/>
              </w:rPr>
            </w:pPr>
          </w:p>
        </w:tc>
        <w:tc>
          <w:tcPr>
            <w:tcW w:w="1560" w:type="dxa"/>
            <w:tcBorders>
              <w:top w:val="single" w:sz="4" w:space="0" w:color="auto"/>
              <w:left w:val="single" w:sz="4" w:space="0" w:color="auto"/>
              <w:bottom w:val="single" w:sz="4" w:space="0" w:color="auto"/>
              <w:right w:val="single" w:sz="4" w:space="0" w:color="auto"/>
            </w:tcBorders>
          </w:tcPr>
          <w:p w14:paraId="25234DA3" w14:textId="77777777" w:rsidR="00C24586" w:rsidRDefault="00C24586">
            <w:pPr>
              <w:rPr>
                <w:rFonts w:ascii="宋体"/>
                <w:sz w:val="18"/>
              </w:rPr>
            </w:pPr>
          </w:p>
        </w:tc>
        <w:tc>
          <w:tcPr>
            <w:tcW w:w="2444" w:type="dxa"/>
            <w:tcBorders>
              <w:top w:val="single" w:sz="4" w:space="0" w:color="auto"/>
              <w:left w:val="single" w:sz="4" w:space="0" w:color="auto"/>
              <w:bottom w:val="single" w:sz="4" w:space="0" w:color="auto"/>
              <w:right w:val="single" w:sz="4" w:space="0" w:color="auto"/>
            </w:tcBorders>
          </w:tcPr>
          <w:p w14:paraId="56661F89" w14:textId="77777777" w:rsidR="00C24586" w:rsidRDefault="00C24586">
            <w:pPr>
              <w:rPr>
                <w:rFonts w:ascii="宋体"/>
                <w:sz w:val="18"/>
              </w:rPr>
            </w:pPr>
          </w:p>
        </w:tc>
        <w:tc>
          <w:tcPr>
            <w:tcW w:w="1595" w:type="dxa"/>
            <w:tcBorders>
              <w:top w:val="single" w:sz="4" w:space="0" w:color="auto"/>
              <w:left w:val="single" w:sz="4" w:space="0" w:color="auto"/>
              <w:bottom w:val="single" w:sz="4" w:space="0" w:color="auto"/>
              <w:right w:val="single" w:sz="4" w:space="0" w:color="auto"/>
            </w:tcBorders>
          </w:tcPr>
          <w:p w14:paraId="26D4A2E3" w14:textId="77777777" w:rsidR="00C24586" w:rsidRDefault="00C24586">
            <w:pPr>
              <w:rPr>
                <w:rFonts w:ascii="宋体"/>
                <w:sz w:val="18"/>
              </w:rPr>
            </w:pPr>
          </w:p>
        </w:tc>
        <w:tc>
          <w:tcPr>
            <w:tcW w:w="1595" w:type="dxa"/>
            <w:tcBorders>
              <w:top w:val="single" w:sz="4" w:space="0" w:color="auto"/>
              <w:left w:val="single" w:sz="4" w:space="0" w:color="auto"/>
              <w:bottom w:val="single" w:sz="4" w:space="0" w:color="auto"/>
              <w:right w:val="single" w:sz="8" w:space="0" w:color="auto"/>
            </w:tcBorders>
          </w:tcPr>
          <w:p w14:paraId="4679A951" w14:textId="77777777" w:rsidR="00C24586" w:rsidRDefault="00C24586">
            <w:pPr>
              <w:rPr>
                <w:rFonts w:ascii="宋体"/>
                <w:sz w:val="18"/>
              </w:rPr>
            </w:pPr>
          </w:p>
        </w:tc>
      </w:tr>
      <w:tr w:rsidR="00C24586" w14:paraId="4D30E0B2" w14:textId="77777777" w:rsidTr="00C24586">
        <w:tc>
          <w:tcPr>
            <w:tcW w:w="1101" w:type="dxa"/>
            <w:tcBorders>
              <w:top w:val="single" w:sz="4" w:space="0" w:color="auto"/>
              <w:left w:val="single" w:sz="8" w:space="0" w:color="auto"/>
              <w:bottom w:val="single" w:sz="4" w:space="0" w:color="auto"/>
              <w:right w:val="single" w:sz="4" w:space="0" w:color="auto"/>
            </w:tcBorders>
          </w:tcPr>
          <w:p w14:paraId="69A71DFB" w14:textId="77777777" w:rsidR="00C24586" w:rsidRDefault="00C24586">
            <w:pPr>
              <w:rPr>
                <w:rFonts w:ascii="宋体"/>
                <w:sz w:val="18"/>
              </w:rPr>
            </w:pPr>
          </w:p>
        </w:tc>
        <w:tc>
          <w:tcPr>
            <w:tcW w:w="1275" w:type="dxa"/>
            <w:tcBorders>
              <w:top w:val="single" w:sz="4" w:space="0" w:color="auto"/>
              <w:left w:val="single" w:sz="4" w:space="0" w:color="auto"/>
              <w:bottom w:val="single" w:sz="4" w:space="0" w:color="auto"/>
              <w:right w:val="single" w:sz="4" w:space="0" w:color="auto"/>
            </w:tcBorders>
          </w:tcPr>
          <w:p w14:paraId="4B361C92" w14:textId="77777777" w:rsidR="00C24586" w:rsidRDefault="00C24586">
            <w:pPr>
              <w:rPr>
                <w:rFonts w:ascii="宋体"/>
                <w:sz w:val="18"/>
              </w:rPr>
            </w:pPr>
          </w:p>
        </w:tc>
        <w:tc>
          <w:tcPr>
            <w:tcW w:w="1560" w:type="dxa"/>
            <w:tcBorders>
              <w:top w:val="single" w:sz="4" w:space="0" w:color="auto"/>
              <w:left w:val="single" w:sz="4" w:space="0" w:color="auto"/>
              <w:bottom w:val="single" w:sz="4" w:space="0" w:color="auto"/>
              <w:right w:val="single" w:sz="4" w:space="0" w:color="auto"/>
            </w:tcBorders>
          </w:tcPr>
          <w:p w14:paraId="75F2E693" w14:textId="77777777" w:rsidR="00C24586" w:rsidRDefault="00C24586">
            <w:pPr>
              <w:rPr>
                <w:rFonts w:ascii="宋体"/>
                <w:sz w:val="18"/>
              </w:rPr>
            </w:pPr>
          </w:p>
        </w:tc>
        <w:tc>
          <w:tcPr>
            <w:tcW w:w="2444" w:type="dxa"/>
            <w:tcBorders>
              <w:top w:val="single" w:sz="4" w:space="0" w:color="auto"/>
              <w:left w:val="single" w:sz="4" w:space="0" w:color="auto"/>
              <w:bottom w:val="single" w:sz="4" w:space="0" w:color="auto"/>
              <w:right w:val="single" w:sz="4" w:space="0" w:color="auto"/>
            </w:tcBorders>
          </w:tcPr>
          <w:p w14:paraId="028497EE" w14:textId="77777777" w:rsidR="00C24586" w:rsidRDefault="00C24586">
            <w:pPr>
              <w:rPr>
                <w:rFonts w:ascii="宋体"/>
                <w:sz w:val="18"/>
              </w:rPr>
            </w:pPr>
          </w:p>
        </w:tc>
        <w:tc>
          <w:tcPr>
            <w:tcW w:w="1595" w:type="dxa"/>
            <w:tcBorders>
              <w:top w:val="single" w:sz="4" w:space="0" w:color="auto"/>
              <w:left w:val="single" w:sz="4" w:space="0" w:color="auto"/>
              <w:bottom w:val="single" w:sz="4" w:space="0" w:color="auto"/>
              <w:right w:val="single" w:sz="4" w:space="0" w:color="auto"/>
            </w:tcBorders>
          </w:tcPr>
          <w:p w14:paraId="33C5491F" w14:textId="77777777" w:rsidR="00C24586" w:rsidRDefault="00C24586">
            <w:pPr>
              <w:rPr>
                <w:rFonts w:ascii="宋体"/>
                <w:sz w:val="18"/>
              </w:rPr>
            </w:pPr>
          </w:p>
        </w:tc>
        <w:tc>
          <w:tcPr>
            <w:tcW w:w="1595" w:type="dxa"/>
            <w:tcBorders>
              <w:top w:val="single" w:sz="4" w:space="0" w:color="auto"/>
              <w:left w:val="single" w:sz="4" w:space="0" w:color="auto"/>
              <w:bottom w:val="single" w:sz="4" w:space="0" w:color="auto"/>
              <w:right w:val="single" w:sz="8" w:space="0" w:color="auto"/>
            </w:tcBorders>
          </w:tcPr>
          <w:p w14:paraId="329304EE" w14:textId="77777777" w:rsidR="00C24586" w:rsidRDefault="00C24586">
            <w:pPr>
              <w:rPr>
                <w:rFonts w:ascii="宋体"/>
                <w:sz w:val="18"/>
              </w:rPr>
            </w:pPr>
          </w:p>
        </w:tc>
      </w:tr>
      <w:tr w:rsidR="00C24586" w14:paraId="6ACA87F1" w14:textId="77777777" w:rsidTr="00C24586">
        <w:tc>
          <w:tcPr>
            <w:tcW w:w="1101" w:type="dxa"/>
            <w:tcBorders>
              <w:top w:val="single" w:sz="4" w:space="0" w:color="auto"/>
              <w:left w:val="single" w:sz="8" w:space="0" w:color="auto"/>
              <w:bottom w:val="single" w:sz="8" w:space="0" w:color="auto"/>
              <w:right w:val="single" w:sz="4" w:space="0" w:color="auto"/>
            </w:tcBorders>
          </w:tcPr>
          <w:p w14:paraId="6728FC61" w14:textId="77777777" w:rsidR="00C24586" w:rsidRDefault="00C24586">
            <w:pPr>
              <w:rPr>
                <w:rFonts w:ascii="宋体"/>
                <w:sz w:val="18"/>
              </w:rPr>
            </w:pPr>
          </w:p>
        </w:tc>
        <w:tc>
          <w:tcPr>
            <w:tcW w:w="1275" w:type="dxa"/>
            <w:tcBorders>
              <w:top w:val="single" w:sz="4" w:space="0" w:color="auto"/>
              <w:left w:val="single" w:sz="4" w:space="0" w:color="auto"/>
              <w:bottom w:val="single" w:sz="8" w:space="0" w:color="auto"/>
              <w:right w:val="single" w:sz="4" w:space="0" w:color="auto"/>
            </w:tcBorders>
          </w:tcPr>
          <w:p w14:paraId="2A670EC6" w14:textId="77777777" w:rsidR="00C24586" w:rsidRDefault="00C24586">
            <w:pPr>
              <w:rPr>
                <w:rFonts w:ascii="宋体"/>
                <w:sz w:val="18"/>
              </w:rPr>
            </w:pPr>
          </w:p>
        </w:tc>
        <w:tc>
          <w:tcPr>
            <w:tcW w:w="1560" w:type="dxa"/>
            <w:tcBorders>
              <w:top w:val="single" w:sz="4" w:space="0" w:color="auto"/>
              <w:left w:val="single" w:sz="4" w:space="0" w:color="auto"/>
              <w:bottom w:val="single" w:sz="8" w:space="0" w:color="auto"/>
              <w:right w:val="single" w:sz="4" w:space="0" w:color="auto"/>
            </w:tcBorders>
          </w:tcPr>
          <w:p w14:paraId="4EAE8D3B" w14:textId="77777777" w:rsidR="00C24586" w:rsidRDefault="00C24586">
            <w:pPr>
              <w:rPr>
                <w:rFonts w:ascii="宋体"/>
                <w:sz w:val="18"/>
              </w:rPr>
            </w:pPr>
          </w:p>
        </w:tc>
        <w:tc>
          <w:tcPr>
            <w:tcW w:w="2444" w:type="dxa"/>
            <w:tcBorders>
              <w:top w:val="single" w:sz="4" w:space="0" w:color="auto"/>
              <w:left w:val="single" w:sz="4" w:space="0" w:color="auto"/>
              <w:bottom w:val="single" w:sz="8" w:space="0" w:color="auto"/>
              <w:right w:val="single" w:sz="4" w:space="0" w:color="auto"/>
            </w:tcBorders>
          </w:tcPr>
          <w:p w14:paraId="196CFF55" w14:textId="77777777" w:rsidR="00C24586" w:rsidRDefault="00C24586">
            <w:pPr>
              <w:rPr>
                <w:rFonts w:ascii="宋体"/>
                <w:sz w:val="18"/>
              </w:rPr>
            </w:pPr>
          </w:p>
        </w:tc>
        <w:tc>
          <w:tcPr>
            <w:tcW w:w="1595" w:type="dxa"/>
            <w:tcBorders>
              <w:top w:val="single" w:sz="4" w:space="0" w:color="auto"/>
              <w:left w:val="single" w:sz="4" w:space="0" w:color="auto"/>
              <w:bottom w:val="single" w:sz="8" w:space="0" w:color="auto"/>
              <w:right w:val="single" w:sz="4" w:space="0" w:color="auto"/>
            </w:tcBorders>
          </w:tcPr>
          <w:p w14:paraId="058C0CC4" w14:textId="77777777" w:rsidR="00C24586" w:rsidRDefault="00C24586">
            <w:pPr>
              <w:rPr>
                <w:rFonts w:ascii="宋体"/>
                <w:sz w:val="18"/>
              </w:rPr>
            </w:pPr>
          </w:p>
        </w:tc>
        <w:tc>
          <w:tcPr>
            <w:tcW w:w="1595" w:type="dxa"/>
            <w:tcBorders>
              <w:top w:val="single" w:sz="4" w:space="0" w:color="auto"/>
              <w:left w:val="single" w:sz="4" w:space="0" w:color="auto"/>
              <w:bottom w:val="single" w:sz="8" w:space="0" w:color="auto"/>
              <w:right w:val="single" w:sz="8" w:space="0" w:color="auto"/>
            </w:tcBorders>
          </w:tcPr>
          <w:p w14:paraId="68D2671C" w14:textId="77777777" w:rsidR="00C24586" w:rsidRDefault="00C24586">
            <w:pPr>
              <w:rPr>
                <w:rFonts w:ascii="宋体"/>
                <w:sz w:val="18"/>
              </w:rPr>
            </w:pPr>
          </w:p>
        </w:tc>
      </w:tr>
      <w:tr w:rsidR="00C24586" w14:paraId="3DF3B48F" w14:textId="77777777" w:rsidTr="00C24586">
        <w:tc>
          <w:tcPr>
            <w:tcW w:w="9570" w:type="dxa"/>
            <w:gridSpan w:val="6"/>
            <w:tcBorders>
              <w:top w:val="single" w:sz="8" w:space="0" w:color="auto"/>
              <w:left w:val="single" w:sz="8" w:space="0" w:color="auto"/>
              <w:bottom w:val="single" w:sz="4" w:space="0" w:color="auto"/>
              <w:right w:val="single" w:sz="8" w:space="0" w:color="auto"/>
            </w:tcBorders>
            <w:hideMark/>
          </w:tcPr>
          <w:p w14:paraId="76CE2288" w14:textId="77777777" w:rsidR="00C24586" w:rsidRDefault="00C24586">
            <w:pPr>
              <w:pStyle w:val="afffffffffffc"/>
              <w:ind w:left="363" w:firstLine="0"/>
            </w:pPr>
            <w:r>
              <w:rPr>
                <w:rFonts w:hint="eastAsia"/>
              </w:rPr>
              <w:t>市场名称：</w:t>
            </w:r>
            <w:r>
              <w:rPr>
                <w:rFonts w:hint="eastAsia"/>
                <w:u w:val="single"/>
              </w:rPr>
              <w:t xml:space="preserve">                       </w:t>
            </w:r>
            <w:r>
              <w:rPr>
                <w:rFonts w:hint="eastAsia"/>
              </w:rPr>
              <w:t xml:space="preserve">               送样单位（盖章）：</w:t>
            </w:r>
            <w:r>
              <w:rPr>
                <w:rFonts w:hint="eastAsia"/>
                <w:u w:val="single"/>
              </w:rPr>
              <w:t xml:space="preserve">                      </w:t>
            </w:r>
            <w:r>
              <w:rPr>
                <w:rFonts w:hint="eastAsia"/>
              </w:rPr>
              <w:t xml:space="preserve">     </w:t>
            </w:r>
          </w:p>
          <w:p w14:paraId="5D0FB085" w14:textId="77777777" w:rsidR="00C24586" w:rsidRDefault="00C24586">
            <w:pPr>
              <w:pStyle w:val="afffffffffffc"/>
              <w:ind w:left="363" w:firstLine="0"/>
              <w:rPr>
                <w:rFonts w:hAnsi="宋体"/>
                <w:u w:val="single"/>
              </w:rPr>
            </w:pPr>
            <w:r>
              <w:rPr>
                <w:rFonts w:hint="eastAsia"/>
              </w:rPr>
              <w:t>送样日期：</w:t>
            </w:r>
            <w:r>
              <w:rPr>
                <w:rFonts w:hint="eastAsia"/>
                <w:u w:val="single"/>
              </w:rPr>
              <w:t xml:space="preserve">     </w:t>
            </w:r>
            <w:r>
              <w:rPr>
                <w:rFonts w:hint="eastAsia"/>
              </w:rPr>
              <w:t xml:space="preserve"> 年</w:t>
            </w:r>
            <w:r>
              <w:rPr>
                <w:rFonts w:hint="eastAsia"/>
                <w:u w:val="single"/>
              </w:rPr>
              <w:t xml:space="preserve">     </w:t>
            </w:r>
            <w:r>
              <w:rPr>
                <w:rFonts w:hint="eastAsia"/>
              </w:rPr>
              <w:t xml:space="preserve"> 月</w:t>
            </w:r>
            <w:r>
              <w:rPr>
                <w:rFonts w:hint="eastAsia"/>
                <w:u w:val="single"/>
              </w:rPr>
              <w:t xml:space="preserve">     </w:t>
            </w:r>
            <w:r>
              <w:rPr>
                <w:rFonts w:hint="eastAsia"/>
              </w:rPr>
              <w:t>日               送样人：</w:t>
            </w:r>
            <w:r>
              <w:rPr>
                <w:rFonts w:hint="eastAsia"/>
                <w:u w:val="single"/>
              </w:rPr>
              <w:t xml:space="preserve">        </w:t>
            </w:r>
            <w:r>
              <w:rPr>
                <w:rFonts w:hAnsi="宋体" w:hint="eastAsia"/>
                <w:u w:val="single"/>
              </w:rPr>
              <w:t xml:space="preserve">                        </w:t>
            </w:r>
          </w:p>
        </w:tc>
      </w:tr>
      <w:tr w:rsidR="00C24586" w14:paraId="69C9D187" w14:textId="77777777" w:rsidTr="00C24586">
        <w:tc>
          <w:tcPr>
            <w:tcW w:w="9570" w:type="dxa"/>
            <w:gridSpan w:val="6"/>
            <w:tcBorders>
              <w:top w:val="single" w:sz="4" w:space="0" w:color="auto"/>
              <w:left w:val="single" w:sz="8" w:space="0" w:color="auto"/>
              <w:bottom w:val="single" w:sz="8" w:space="0" w:color="auto"/>
              <w:right w:val="single" w:sz="8" w:space="0" w:color="auto"/>
            </w:tcBorders>
            <w:vAlign w:val="bottom"/>
            <w:hideMark/>
          </w:tcPr>
          <w:p w14:paraId="4962AE69" w14:textId="77777777" w:rsidR="00C24586" w:rsidRDefault="00C24586" w:rsidP="00A6113A">
            <w:pPr>
              <w:pStyle w:val="afff2"/>
            </w:pPr>
            <w:r>
              <w:rPr>
                <w:rFonts w:hint="eastAsia"/>
              </w:rPr>
              <w:t>样本名称可以用拼音首字母表示，如冰箱用BX表示；样本编号为摊位号和样本名称两部分组成的唯一编号；样本类型包括物体表面、手部表面、食品样本等；样本名称备注：对拼音首字母进行注释说明，如</w:t>
            </w:r>
            <w:proofErr w:type="spellStart"/>
            <w:r>
              <w:rPr>
                <w:rFonts w:hint="eastAsia"/>
              </w:rPr>
              <w:t>BX</w:t>
            </w:r>
            <w:proofErr w:type="spellEnd"/>
            <w:r>
              <w:rPr>
                <w:rFonts w:hint="eastAsia"/>
              </w:rPr>
              <w:t>备注为冰箱。</w:t>
            </w:r>
          </w:p>
        </w:tc>
      </w:tr>
    </w:tbl>
    <w:p w14:paraId="63838A40" w14:textId="71295356" w:rsidR="00C24586" w:rsidRPr="00C24586" w:rsidRDefault="00C24586" w:rsidP="00C24586">
      <w:pPr>
        <w:pStyle w:val="affffb"/>
        <w:ind w:firstLine="420"/>
      </w:pPr>
    </w:p>
    <w:p w14:paraId="596EF996" w14:textId="77777777" w:rsidR="00C24586" w:rsidRPr="00C24586" w:rsidRDefault="00C24586" w:rsidP="00C24586">
      <w:pPr>
        <w:pStyle w:val="affffb"/>
        <w:ind w:firstLine="420"/>
      </w:pPr>
    </w:p>
    <w:p w14:paraId="1EF966EB" w14:textId="0739CE4C" w:rsidR="00C24586" w:rsidRDefault="00C24586" w:rsidP="00C24586">
      <w:pPr>
        <w:pStyle w:val="affffb"/>
        <w:ind w:firstLine="420"/>
      </w:pPr>
    </w:p>
    <w:p w14:paraId="4FABF268" w14:textId="46498DDE" w:rsidR="00C24586" w:rsidRDefault="008D4BDA" w:rsidP="008D4BDA">
      <w:pPr>
        <w:pStyle w:val="affffb"/>
        <w:ind w:firstLineChars="0" w:firstLine="0"/>
        <w:jc w:val="center"/>
      </w:pPr>
      <w:bookmarkStart w:id="126" w:name="BookMark8"/>
      <w:bookmarkEnd w:id="122"/>
      <w:r>
        <w:drawing>
          <wp:inline distT="0" distB="0" distL="0" distR="0" wp14:anchorId="0ED44C54" wp14:editId="2457372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6"/>
    </w:p>
    <w:sectPr w:rsidR="00C24586" w:rsidSect="008D48A3">
      <w:headerReference w:type="even" r:id="rId25"/>
      <w:headerReference w:type="default" r:id="rId26"/>
      <w:footerReference w:type="even" r:id="rId27"/>
      <w:footerReference w:type="default" r:id="rId28"/>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97A2D" w14:textId="77777777" w:rsidR="00F606B7" w:rsidRDefault="00F606B7" w:rsidP="00D86DB7">
      <w:r>
        <w:separator/>
      </w:r>
    </w:p>
    <w:p w14:paraId="2520D85B" w14:textId="77777777" w:rsidR="00F606B7" w:rsidRDefault="00F606B7"/>
    <w:p w14:paraId="7818E3E3" w14:textId="77777777" w:rsidR="00F606B7" w:rsidRDefault="00F606B7"/>
  </w:endnote>
  <w:endnote w:type="continuationSeparator" w:id="0">
    <w:p w14:paraId="7B64BE5A" w14:textId="77777777" w:rsidR="00F606B7" w:rsidRDefault="00F606B7" w:rsidP="00D86DB7">
      <w:r>
        <w:continuationSeparator/>
      </w:r>
    </w:p>
    <w:p w14:paraId="62E77602" w14:textId="77777777" w:rsidR="00F606B7" w:rsidRDefault="00F606B7"/>
    <w:p w14:paraId="64A7198B" w14:textId="77777777" w:rsidR="00F606B7" w:rsidRDefault="00F60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597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E030" w14:textId="43B9CC4C" w:rsidR="008D48A3" w:rsidRDefault="008D48A3" w:rsidP="008D48A3">
    <w:pPr>
      <w:pStyle w:val="affff8"/>
    </w:pPr>
    <w:r>
      <w:fldChar w:fldCharType="begin"/>
    </w:r>
    <w:r>
      <w:instrText>PAGE   \* MERGEFORMAT</w:instrText>
    </w:r>
    <w:r>
      <w:fldChar w:fldCharType="separate"/>
    </w:r>
    <w:r w:rsidR="00D839E9" w:rsidRPr="00D839E9">
      <w:rPr>
        <w:noProof/>
        <w:lang w:val="zh-CN"/>
      </w:rPr>
      <w:t>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DF0B"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CCDC" w14:textId="77777777" w:rsidR="008D48A3" w:rsidRDefault="008D48A3" w:rsidP="008D48A3">
    <w:pPr>
      <w:pStyle w:val="affff7"/>
    </w:pPr>
    <w:r>
      <w:fldChar w:fldCharType="begin"/>
    </w:r>
    <w:r>
      <w:instrText>PAGE   \* MERGEFORMAT</w:instrText>
    </w:r>
    <w:r>
      <w:fldChar w:fldCharType="separate"/>
    </w:r>
    <w:r w:rsidRPr="00AF47C5">
      <w:rPr>
        <w:noProof/>
        <w:lang w:val="zh-CN"/>
      </w:rPr>
      <w:t>2</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6913" w14:textId="66510D4D" w:rsidR="000C57D6" w:rsidRDefault="000C57D6" w:rsidP="008D48A3">
    <w:pPr>
      <w:pStyle w:val="affff8"/>
    </w:pPr>
    <w:r>
      <w:fldChar w:fldCharType="begin"/>
    </w:r>
    <w:r>
      <w:instrText>PAGE   \* MERGEFORMAT</w:instrText>
    </w:r>
    <w:r>
      <w:fldChar w:fldCharType="separate"/>
    </w:r>
    <w:r w:rsidR="00D839E9" w:rsidRPr="00D839E9">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5B5F" w14:textId="1BB59264" w:rsidR="008D48A3" w:rsidRDefault="008D48A3" w:rsidP="008D48A3">
    <w:pPr>
      <w:pStyle w:val="affff7"/>
    </w:pPr>
    <w:r>
      <w:fldChar w:fldCharType="begin"/>
    </w:r>
    <w:r>
      <w:instrText>PAGE   \* MERGEFORMAT</w:instrText>
    </w:r>
    <w:r>
      <w:fldChar w:fldCharType="separate"/>
    </w:r>
    <w:r w:rsidR="00D839E9" w:rsidRPr="00D839E9">
      <w:rPr>
        <w:noProof/>
        <w:lang w:val="zh-CN"/>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D3AB" w14:textId="77777777" w:rsidR="008D48A3" w:rsidRDefault="008D48A3" w:rsidP="008D48A3">
    <w:pPr>
      <w:pStyle w:val="affff8"/>
    </w:pPr>
    <w:r>
      <w:fldChar w:fldCharType="begin"/>
    </w:r>
    <w:r>
      <w:instrText>PAGE   \* MERGEFORMAT</w:instrText>
    </w:r>
    <w:r>
      <w:fldChar w:fldCharType="separate"/>
    </w:r>
    <w:r w:rsidRPr="006D686E">
      <w:rPr>
        <w:noProof/>
        <w:lang w:val="zh-CN"/>
      </w:rPr>
      <w:t>1</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4AA92" w14:textId="515EAFFD" w:rsidR="008D48A3" w:rsidRDefault="008D48A3" w:rsidP="008D48A3">
    <w:pPr>
      <w:pStyle w:val="affff7"/>
    </w:pPr>
    <w:r>
      <w:fldChar w:fldCharType="begin"/>
    </w:r>
    <w:r>
      <w:instrText>PAGE   \* MERGEFORMAT</w:instrText>
    </w:r>
    <w:r>
      <w:fldChar w:fldCharType="separate"/>
    </w:r>
    <w:r w:rsidR="00D839E9" w:rsidRPr="00D839E9">
      <w:rPr>
        <w:noProof/>
        <w:lang w:val="zh-CN"/>
      </w:rPr>
      <w:t>4</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AFBF" w14:textId="76C883E5" w:rsidR="008D48A3" w:rsidRDefault="008D48A3" w:rsidP="008D48A3">
    <w:pPr>
      <w:pStyle w:val="affff8"/>
    </w:pPr>
    <w:r>
      <w:fldChar w:fldCharType="begin"/>
    </w:r>
    <w:r>
      <w:instrText>PAGE   \* MERGEFORMAT</w:instrText>
    </w:r>
    <w:r>
      <w:fldChar w:fldCharType="separate"/>
    </w:r>
    <w:r w:rsidR="00D839E9" w:rsidRPr="00D839E9">
      <w:rPr>
        <w:noProof/>
        <w:lang w:val="zh-CN"/>
      </w:rPr>
      <w:t>3</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CC0B5" w14:textId="77777777" w:rsidR="008D48A3" w:rsidRDefault="008D48A3" w:rsidP="008D48A3">
    <w:pPr>
      <w:pStyle w:val="affff7"/>
    </w:pPr>
    <w:r>
      <w:fldChar w:fldCharType="begin"/>
    </w:r>
    <w:r>
      <w:instrText>PAGE   \* MERGEFORMAT</w:instrText>
    </w:r>
    <w:r>
      <w:fldChar w:fldCharType="separate"/>
    </w:r>
    <w:r w:rsidRPr="00AF47C5">
      <w:rPr>
        <w:noProof/>
        <w:lang w:val="zh-CN"/>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099BE" w14:textId="77777777" w:rsidR="00F606B7" w:rsidRDefault="00F606B7" w:rsidP="00D86DB7">
      <w:r>
        <w:separator/>
      </w:r>
    </w:p>
  </w:footnote>
  <w:footnote w:type="continuationSeparator" w:id="0">
    <w:p w14:paraId="5A5E86FC" w14:textId="77777777" w:rsidR="00F606B7" w:rsidRDefault="00F606B7" w:rsidP="00D86DB7">
      <w:r>
        <w:continuationSeparator/>
      </w:r>
    </w:p>
    <w:p w14:paraId="776D4A8F" w14:textId="77777777" w:rsidR="00F606B7" w:rsidRDefault="00F606B7"/>
    <w:p w14:paraId="36D2480F" w14:textId="77777777" w:rsidR="00F606B7" w:rsidRDefault="00F606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17B0"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F5FE" w14:textId="79F4F386" w:rsidR="008D48A3" w:rsidRPr="00D84FA1" w:rsidRDefault="008D48A3" w:rsidP="008D48A3">
    <w:pPr>
      <w:pStyle w:val="afffff0"/>
    </w:pPr>
    <w:r>
      <w:fldChar w:fldCharType="begin"/>
    </w:r>
    <w:r>
      <w:instrText xml:space="preserve"> STYLEREF  标准文件_文件编号  \* MERGEFORMAT </w:instrText>
    </w:r>
    <w:r>
      <w:fldChar w:fldCharType="separate"/>
    </w:r>
    <w:r w:rsidR="00D839E9">
      <w:t>WS/T XXXX</w:t>
    </w:r>
    <w:r w:rsidR="00D839E9">
      <w:t>—</w:t>
    </w:r>
    <w:r w:rsidR="00D839E9">
      <w:t>XXXX</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D0577"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703D" w14:textId="4C671A1A" w:rsidR="00714F58" w:rsidRPr="008D48A3" w:rsidRDefault="008D48A3" w:rsidP="008D48A3">
    <w:pPr>
      <w:pStyle w:val="afffff1"/>
    </w:pPr>
    <w:r>
      <w:fldChar w:fldCharType="begin"/>
    </w:r>
    <w:r>
      <w:instrText xml:space="preserve"> STYLEREF  标准文件_文件编号 \* MERGEFORMAT </w:instrText>
    </w:r>
    <w:r>
      <w:fldChar w:fldCharType="separate"/>
    </w:r>
    <w:r>
      <w:t>WS/T XXXX</w:t>
    </w:r>
    <w:r>
      <w:t>—</w:t>
    </w:r>
    <w: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1634" w14:textId="234E1DCA" w:rsidR="00D84FA1" w:rsidRPr="00D84FA1" w:rsidRDefault="00D84FA1" w:rsidP="008D48A3">
    <w:pPr>
      <w:pStyle w:val="afffff0"/>
    </w:pPr>
    <w:r>
      <w:fldChar w:fldCharType="begin"/>
    </w:r>
    <w:r>
      <w:instrText xml:space="preserve"> STYLEREF  标准文件_文件编号  \* MERGEFORMAT </w:instrText>
    </w:r>
    <w:r>
      <w:fldChar w:fldCharType="separate"/>
    </w:r>
    <w:r w:rsidR="00D839E9">
      <w:t>WS/T XXXX</w:t>
    </w:r>
    <w:r w:rsidR="00D839E9">
      <w:t>—</w:t>
    </w:r>
    <w:r w:rsidR="00D839E9">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2A75" w14:textId="6D053417" w:rsidR="008D48A3" w:rsidRPr="008D48A3" w:rsidRDefault="008D48A3" w:rsidP="008D48A3">
    <w:pPr>
      <w:pStyle w:val="afffff1"/>
    </w:pPr>
    <w:r>
      <w:fldChar w:fldCharType="begin"/>
    </w:r>
    <w:r>
      <w:instrText xml:space="preserve"> STYLEREF  标准文件_文件编号 \* MERGEFORMAT </w:instrText>
    </w:r>
    <w:r>
      <w:fldChar w:fldCharType="separate"/>
    </w:r>
    <w:r w:rsidR="00D839E9">
      <w:t>WS/T XXXX</w:t>
    </w:r>
    <w:r w:rsidR="00D839E9">
      <w:t>—</w:t>
    </w:r>
    <w:r w:rsidR="00D839E9">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95A9" w14:textId="499F1ED6" w:rsidR="008D48A3" w:rsidRPr="00D84FA1" w:rsidRDefault="008D48A3" w:rsidP="008D48A3">
    <w:pPr>
      <w:pStyle w:val="afffff0"/>
    </w:pPr>
    <w:r>
      <w:fldChar w:fldCharType="begin"/>
    </w:r>
    <w:r>
      <w:instrText xml:space="preserve"> STYLEREF  标准文件_文件编号  \* MERGEFORMAT </w:instrText>
    </w:r>
    <w:r>
      <w:fldChar w:fldCharType="separate"/>
    </w:r>
    <w:r>
      <w:t>WS/T XXXX</w:t>
    </w:r>
    <w:r>
      <w:t>—</w:t>
    </w:r>
    <w: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F21C" w14:textId="09B7A508" w:rsidR="008D48A3" w:rsidRPr="008D48A3" w:rsidRDefault="008D48A3" w:rsidP="008D48A3">
    <w:pPr>
      <w:pStyle w:val="afffff1"/>
    </w:pPr>
    <w:r>
      <w:fldChar w:fldCharType="begin"/>
    </w:r>
    <w:r>
      <w:instrText xml:space="preserve"> STYLEREF  标准文件_文件编号 \* MERGEFORMAT </w:instrText>
    </w:r>
    <w:r>
      <w:fldChar w:fldCharType="separate"/>
    </w:r>
    <w:r w:rsidR="00D839E9">
      <w:t>WS/T XXXX</w:t>
    </w:r>
    <w:r w:rsidR="00D839E9">
      <w:t>—</w:t>
    </w:r>
    <w:r w:rsidR="00D839E9">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F4D0" w14:textId="1DDDEA7B" w:rsidR="008D48A3" w:rsidRPr="00D84FA1" w:rsidRDefault="008D48A3" w:rsidP="008D48A3">
    <w:pPr>
      <w:pStyle w:val="afffff0"/>
    </w:pPr>
    <w:r>
      <w:fldChar w:fldCharType="begin"/>
    </w:r>
    <w:r>
      <w:instrText xml:space="preserve"> STYLEREF  标准文件_文件编号  \* MERGEFORMAT </w:instrText>
    </w:r>
    <w:r>
      <w:fldChar w:fldCharType="separate"/>
    </w:r>
    <w:r w:rsidR="00D839E9">
      <w:t>WS/T XXXX</w:t>
    </w:r>
    <w:r w:rsidR="00D839E9">
      <w:t>—</w:t>
    </w:r>
    <w:r w:rsidR="00D839E9">
      <w:t>XXXX</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B274" w14:textId="4EE7CCD1" w:rsidR="008D48A3" w:rsidRPr="008D48A3" w:rsidRDefault="008D48A3" w:rsidP="008D48A3">
    <w:pPr>
      <w:pStyle w:val="afffff1"/>
    </w:pPr>
    <w:r>
      <w:fldChar w:fldCharType="begin"/>
    </w:r>
    <w:r>
      <w:instrText xml:space="preserve"> STYLEREF  标准文件_文件编号 \* MERGEFORMAT </w:instrText>
    </w:r>
    <w:r>
      <w:fldChar w:fldCharType="separate"/>
    </w:r>
    <w:r>
      <w:t>WS/T XXXX</w:t>
    </w:r>
    <w:r>
      <w:t>—</w:t>
    </w:r>
    <w: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0BC6F98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00F2968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oIOyA/msx4LH6BBSeUvLvru5/kCeiX7lgKLJyXbLpwSmJDxCjb+P5Bc/SWN75z5uzuViRw7Pym1XnZpCxvUNxw==" w:salt="3UsDU+0zy+j7uheCMAfKK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DD"/>
    <w:rsid w:val="0000040A"/>
    <w:rsid w:val="00000A94"/>
    <w:rsid w:val="00001972"/>
    <w:rsid w:val="00001D9A"/>
    <w:rsid w:val="00007B3A"/>
    <w:rsid w:val="000107E0"/>
    <w:rsid w:val="0001190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CD2"/>
    <w:rsid w:val="000C0F6C"/>
    <w:rsid w:val="000C11DB"/>
    <w:rsid w:val="000C1492"/>
    <w:rsid w:val="000C2FBD"/>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3414"/>
    <w:rsid w:val="001C42F7"/>
    <w:rsid w:val="001C49E5"/>
    <w:rsid w:val="001C680C"/>
    <w:rsid w:val="001C7E3A"/>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0665E"/>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68F"/>
    <w:rsid w:val="00324EDD"/>
    <w:rsid w:val="003331E4"/>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21DD4"/>
    <w:rsid w:val="00427822"/>
    <w:rsid w:val="00432DAA"/>
    <w:rsid w:val="00434305"/>
    <w:rsid w:val="00435DF7"/>
    <w:rsid w:val="0044083F"/>
    <w:rsid w:val="00441AE7"/>
    <w:rsid w:val="00445574"/>
    <w:rsid w:val="004467FB"/>
    <w:rsid w:val="00452D6B"/>
    <w:rsid w:val="00454484"/>
    <w:rsid w:val="0045517B"/>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340"/>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3C89"/>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5A62"/>
    <w:rsid w:val="006C5D68"/>
    <w:rsid w:val="006C6976"/>
    <w:rsid w:val="006C6DD0"/>
    <w:rsid w:val="006D04EA"/>
    <w:rsid w:val="006D16C4"/>
    <w:rsid w:val="006D3E96"/>
    <w:rsid w:val="006D3FC2"/>
    <w:rsid w:val="006D4515"/>
    <w:rsid w:val="006D4BB1"/>
    <w:rsid w:val="006D6593"/>
    <w:rsid w:val="006D686E"/>
    <w:rsid w:val="006F03A8"/>
    <w:rsid w:val="006F126C"/>
    <w:rsid w:val="006F2ACA"/>
    <w:rsid w:val="006F2ADC"/>
    <w:rsid w:val="006F2BFE"/>
    <w:rsid w:val="006F31E9"/>
    <w:rsid w:val="006F56E5"/>
    <w:rsid w:val="006F6284"/>
    <w:rsid w:val="007000B2"/>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E16"/>
    <w:rsid w:val="00743F0A"/>
    <w:rsid w:val="007444E8"/>
    <w:rsid w:val="0074548E"/>
    <w:rsid w:val="00745773"/>
    <w:rsid w:val="0074680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258B"/>
    <w:rsid w:val="007F0ED8"/>
    <w:rsid w:val="007F0F63"/>
    <w:rsid w:val="007F75CE"/>
    <w:rsid w:val="008013A4"/>
    <w:rsid w:val="008027CE"/>
    <w:rsid w:val="00802F42"/>
    <w:rsid w:val="00803E39"/>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E53"/>
    <w:rsid w:val="00842A47"/>
    <w:rsid w:val="00843C13"/>
    <w:rsid w:val="008454F8"/>
    <w:rsid w:val="0085173A"/>
    <w:rsid w:val="0085434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48A3"/>
    <w:rsid w:val="008D4BDA"/>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8F7"/>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0A33"/>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13A"/>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66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0FB"/>
    <w:rsid w:val="00C04904"/>
    <w:rsid w:val="00C056B3"/>
    <w:rsid w:val="00C103E5"/>
    <w:rsid w:val="00C13319"/>
    <w:rsid w:val="00C13EE9"/>
    <w:rsid w:val="00C20BCF"/>
    <w:rsid w:val="00C21540"/>
    <w:rsid w:val="00C21906"/>
    <w:rsid w:val="00C21BFA"/>
    <w:rsid w:val="00C24586"/>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60E"/>
    <w:rsid w:val="00D32719"/>
    <w:rsid w:val="00D33333"/>
    <w:rsid w:val="00D34CB7"/>
    <w:rsid w:val="00D352A2"/>
    <w:rsid w:val="00D4162B"/>
    <w:rsid w:val="00D4514F"/>
    <w:rsid w:val="00D451E2"/>
    <w:rsid w:val="00D45E89"/>
    <w:rsid w:val="00D45E8D"/>
    <w:rsid w:val="00D466AE"/>
    <w:rsid w:val="00D4734F"/>
    <w:rsid w:val="00D51BF3"/>
    <w:rsid w:val="00D54B98"/>
    <w:rsid w:val="00D66846"/>
    <w:rsid w:val="00D675FB"/>
    <w:rsid w:val="00D71F25"/>
    <w:rsid w:val="00D74FDD"/>
    <w:rsid w:val="00D77031"/>
    <w:rsid w:val="00D839E9"/>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4ABC"/>
    <w:rsid w:val="00E06404"/>
    <w:rsid w:val="00E11A85"/>
    <w:rsid w:val="00E12495"/>
    <w:rsid w:val="00E15CCD"/>
    <w:rsid w:val="00E15D9E"/>
    <w:rsid w:val="00E202EF"/>
    <w:rsid w:val="00E210B5"/>
    <w:rsid w:val="00E2552F"/>
    <w:rsid w:val="00E3137A"/>
    <w:rsid w:val="00E3221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06B7"/>
    <w:rsid w:val="00F6194E"/>
    <w:rsid w:val="00F623AC"/>
    <w:rsid w:val="00F6412A"/>
    <w:rsid w:val="00F65893"/>
    <w:rsid w:val="00F66A4A"/>
    <w:rsid w:val="00F70F0C"/>
    <w:rsid w:val="00F71E22"/>
    <w:rsid w:val="00F72142"/>
    <w:rsid w:val="00F72AE7"/>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72FF3"/>
  <w15:docId w15:val="{87541F04-CB59-42BD-A25E-7C13DBB9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64528D"/>
    <w:pPr>
      <w:ind w:left="227"/>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注："/>
    <w:next w:val="afff5"/>
    <w:rsid w:val="00C24586"/>
    <w:pPr>
      <w:widowControl w:val="0"/>
      <w:autoSpaceDE w:val="0"/>
      <w:autoSpaceDN w:val="0"/>
      <w:ind w:left="726" w:hanging="363"/>
      <w:jc w:val="both"/>
    </w:pPr>
    <w:rPr>
      <w:rFonts w:ascii="宋体" w:hAnsi="Times New Roman"/>
      <w:sz w:val="18"/>
      <w:szCs w:val="18"/>
    </w:rPr>
  </w:style>
  <w:style w:type="paragraph" w:customStyle="1" w:styleId="afffffffffffc">
    <w:name w:val="注×："/>
    <w:rsid w:val="00C24586"/>
    <w:pPr>
      <w:widowControl w:val="0"/>
      <w:autoSpaceDE w:val="0"/>
      <w:autoSpaceDN w:val="0"/>
      <w:ind w:left="811" w:hanging="448"/>
      <w:jc w:val="both"/>
    </w:pPr>
    <w:rPr>
      <w:rFonts w:ascii="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7114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A4EC26FB464E11A2DEEDA6C7310672"/>
        <w:category>
          <w:name w:val="常规"/>
          <w:gallery w:val="placeholder"/>
        </w:category>
        <w:types>
          <w:type w:val="bbPlcHdr"/>
        </w:types>
        <w:behaviors>
          <w:behavior w:val="content"/>
        </w:behaviors>
        <w:guid w:val="{3C6E6BDA-45E5-4116-9DDD-2CA42C9DFF5B}"/>
      </w:docPartPr>
      <w:docPartBody>
        <w:p w:rsidR="00FD6FFC" w:rsidRDefault="009A065D">
          <w:pPr>
            <w:pStyle w:val="6AA4EC26FB464E11A2DEEDA6C7310672"/>
          </w:pPr>
          <w:r w:rsidRPr="00751A05">
            <w:rPr>
              <w:rStyle w:val="a3"/>
              <w:rFonts w:hint="eastAsia"/>
            </w:rPr>
            <w:t>单击或点击此处输入文字。</w:t>
          </w:r>
        </w:p>
      </w:docPartBody>
    </w:docPart>
    <w:docPart>
      <w:docPartPr>
        <w:name w:val="16F3387731504BBD8C4E7348C18B16C2"/>
        <w:category>
          <w:name w:val="常规"/>
          <w:gallery w:val="placeholder"/>
        </w:category>
        <w:types>
          <w:type w:val="bbPlcHdr"/>
        </w:types>
        <w:behaviors>
          <w:behavior w:val="content"/>
        </w:behaviors>
        <w:guid w:val="{61C923B8-D3FC-4537-9544-2C9D9A0993A5}"/>
      </w:docPartPr>
      <w:docPartBody>
        <w:p w:rsidR="00FD6FFC" w:rsidRDefault="009A065D">
          <w:pPr>
            <w:pStyle w:val="16F3387731504BBD8C4E7348C18B16C2"/>
          </w:pPr>
          <w:r w:rsidRPr="00FB6243">
            <w:rPr>
              <w:rStyle w:val="a3"/>
              <w:rFonts w:hint="eastAsia"/>
            </w:rPr>
            <w:t>选择一项。</w:t>
          </w:r>
        </w:p>
      </w:docPartBody>
    </w:docPart>
    <w:docPart>
      <w:docPartPr>
        <w:name w:val="A347FC1609294138A2A6A5D70904E7E1"/>
        <w:category>
          <w:name w:val="常规"/>
          <w:gallery w:val="placeholder"/>
        </w:category>
        <w:types>
          <w:type w:val="bbPlcHdr"/>
        </w:types>
        <w:behaviors>
          <w:behavior w:val="content"/>
        </w:behaviors>
        <w:guid w:val="{A2834256-06D7-4B27-9944-74FD1A7F6A13}"/>
      </w:docPartPr>
      <w:docPartBody>
        <w:p w:rsidR="00FD6FFC" w:rsidRDefault="009A065D">
          <w:pPr>
            <w:pStyle w:val="A347FC1609294138A2A6A5D70904E7E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5D"/>
    <w:rsid w:val="001614DC"/>
    <w:rsid w:val="00437107"/>
    <w:rsid w:val="004B7141"/>
    <w:rsid w:val="006B27CA"/>
    <w:rsid w:val="008A0588"/>
    <w:rsid w:val="009A065D"/>
    <w:rsid w:val="00C70699"/>
    <w:rsid w:val="00CC6076"/>
    <w:rsid w:val="00FD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A4EC26FB464E11A2DEEDA6C7310672">
    <w:name w:val="6AA4EC26FB464E11A2DEEDA6C7310672"/>
    <w:pPr>
      <w:widowControl w:val="0"/>
      <w:jc w:val="both"/>
    </w:pPr>
  </w:style>
  <w:style w:type="paragraph" w:customStyle="1" w:styleId="16F3387731504BBD8C4E7348C18B16C2">
    <w:name w:val="16F3387731504BBD8C4E7348C18B16C2"/>
    <w:pPr>
      <w:widowControl w:val="0"/>
      <w:jc w:val="both"/>
    </w:pPr>
  </w:style>
  <w:style w:type="paragraph" w:customStyle="1" w:styleId="A347FC1609294138A2A6A5D70904E7E1">
    <w:name w:val="A347FC1609294138A2A6A5D70904E7E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77ED-3009-4409-836C-983EF7FE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TotalTime>
  <Pages>9</Pages>
  <Words>3476</Words>
  <Characters>4241</Characters>
  <Application>Microsoft Office Word</Application>
  <DocSecurity>0</DocSecurity>
  <Lines>605</Lines>
  <Paragraphs>643</Paragraphs>
  <ScaleCrop>false</ScaleCrop>
  <Company>PCMI</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林浩</dc:creator>
  <cp:keywords/>
  <dc:description>&lt;config cover="true" show_menu="true" version="1.0.0" doctype="SDKXY"&gt;_x000d_
&lt;/config&gt;</dc:description>
  <cp:lastModifiedBy>郑磊</cp:lastModifiedBy>
  <cp:revision>2</cp:revision>
  <cp:lastPrinted>2020-08-30T08:55:00Z</cp:lastPrinted>
  <dcterms:created xsi:type="dcterms:W3CDTF">2021-01-27T08:58:00Z</dcterms:created>
  <dcterms:modified xsi:type="dcterms:W3CDTF">2021-01-27T08:58:00Z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