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tabs>
          <w:tab w:val="center" w:pos="4201"/>
          <w:tab w:val="right" w:leader="dot" w:pos="9298"/>
        </w:tabs>
        <w:rPr>
          <w:rFonts w:ascii="仿宋" w:hAnsi="仿宋" w:eastAsia="仿宋" w:cs="仿宋"/>
          <w:sz w:val="32"/>
          <w:szCs w:val="32"/>
        </w:rPr>
      </w:pPr>
      <w:r>
        <w:rPr>
          <w:rFonts w:hint="eastAsia" w:ascii="仿宋" w:hAnsi="仿宋" w:eastAsia="仿宋" w:cs="仿宋"/>
          <w:sz w:val="32"/>
          <w:szCs w:val="32"/>
        </w:rPr>
        <w:t xml:space="preserve">附件：  </w:t>
      </w:r>
      <w:r>
        <w:rPr>
          <w:rFonts w:hint="eastAsia" w:hAnsi="宋体"/>
        </w:rPr>
        <w:t xml:space="preserve">     </w:t>
      </w:r>
    </w:p>
    <w:p>
      <w:pPr>
        <w:pStyle w:val="13"/>
        <w:tabs>
          <w:tab w:val="center" w:pos="4201"/>
          <w:tab w:val="right" w:leader="dot" w:pos="9298"/>
        </w:tabs>
        <w:ind w:firstLine="3200" w:firstLineChars="1000"/>
        <w:rPr>
          <w:rFonts w:ascii="仿宋" w:hAnsi="仿宋" w:eastAsia="仿宋" w:cs="仿宋"/>
          <w:sz w:val="32"/>
          <w:szCs w:val="32"/>
        </w:rPr>
      </w:pPr>
      <w:r>
        <w:rPr>
          <w:rFonts w:hint="eastAsia" w:ascii="仿宋" w:hAnsi="仿宋" w:eastAsia="仿宋" w:cs="仿宋"/>
          <w:sz w:val="32"/>
          <w:szCs w:val="32"/>
        </w:rPr>
        <w:t>8项</w:t>
      </w:r>
      <w:bookmarkStart w:id="0" w:name="_GoBack"/>
      <w:bookmarkEnd w:id="0"/>
      <w:r>
        <w:rPr>
          <w:rFonts w:hint="eastAsia" w:ascii="仿宋" w:hAnsi="仿宋" w:eastAsia="仿宋" w:cs="仿宋"/>
          <w:sz w:val="32"/>
          <w:szCs w:val="32"/>
        </w:rPr>
        <w:t>团体标准编号、名称、主要内容等一览表</w:t>
      </w:r>
    </w:p>
    <w:p>
      <w:pPr>
        <w:pStyle w:val="13"/>
        <w:tabs>
          <w:tab w:val="center" w:pos="4201"/>
          <w:tab w:val="right" w:leader="dot" w:pos="9298"/>
        </w:tabs>
        <w:ind w:firstLine="0" w:firstLineChars="0"/>
        <w:rPr>
          <w:rFonts w:hAnsi="宋体"/>
        </w:rPr>
      </w:pPr>
    </w:p>
    <w:tbl>
      <w:tblPr>
        <w:tblStyle w:val="8"/>
        <w:tblW w:w="135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6"/>
        <w:gridCol w:w="2298"/>
        <w:gridCol w:w="2432"/>
        <w:gridCol w:w="4688"/>
        <w:gridCol w:w="1178"/>
        <w:gridCol w:w="1193"/>
        <w:gridCol w:w="10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636" w:type="dxa"/>
            <w:vAlign w:val="center"/>
          </w:tcPr>
          <w:p>
            <w:pPr>
              <w:pStyle w:val="13"/>
              <w:tabs>
                <w:tab w:val="center" w:pos="4201"/>
                <w:tab w:val="right" w:leader="dot" w:pos="9298"/>
              </w:tabs>
              <w:ind w:firstLine="0" w:firstLineChars="0"/>
              <w:jc w:val="center"/>
              <w:rPr>
                <w:rFonts w:ascii="仿宋" w:hAnsi="仿宋" w:eastAsia="仿宋" w:cs="仿宋"/>
              </w:rPr>
            </w:pPr>
            <w:r>
              <w:rPr>
                <w:rFonts w:hint="eastAsia" w:ascii="仿宋" w:hAnsi="仿宋" w:eastAsia="仿宋" w:cs="仿宋"/>
              </w:rPr>
              <w:t>序号</w:t>
            </w:r>
          </w:p>
        </w:tc>
        <w:tc>
          <w:tcPr>
            <w:tcW w:w="2298" w:type="dxa"/>
            <w:vAlign w:val="center"/>
          </w:tcPr>
          <w:p>
            <w:pPr>
              <w:pStyle w:val="13"/>
              <w:tabs>
                <w:tab w:val="center" w:pos="4201"/>
                <w:tab w:val="right" w:leader="dot" w:pos="9298"/>
              </w:tabs>
              <w:ind w:firstLine="0" w:firstLineChars="0"/>
              <w:jc w:val="center"/>
              <w:rPr>
                <w:rFonts w:ascii="仿宋" w:hAnsi="仿宋" w:eastAsia="仿宋" w:cs="仿宋"/>
              </w:rPr>
            </w:pPr>
            <w:r>
              <w:rPr>
                <w:rFonts w:hint="eastAsia" w:ascii="仿宋" w:hAnsi="仿宋" w:eastAsia="仿宋" w:cs="仿宋"/>
              </w:rPr>
              <w:t>标准编号</w:t>
            </w:r>
          </w:p>
        </w:tc>
        <w:tc>
          <w:tcPr>
            <w:tcW w:w="2432" w:type="dxa"/>
            <w:vAlign w:val="center"/>
          </w:tcPr>
          <w:p>
            <w:pPr>
              <w:pStyle w:val="13"/>
              <w:tabs>
                <w:tab w:val="center" w:pos="4201"/>
                <w:tab w:val="right" w:leader="dot" w:pos="9298"/>
              </w:tabs>
              <w:ind w:firstLine="0" w:firstLineChars="0"/>
              <w:jc w:val="center"/>
              <w:rPr>
                <w:rFonts w:ascii="仿宋" w:hAnsi="仿宋" w:eastAsia="仿宋" w:cs="仿宋"/>
              </w:rPr>
            </w:pPr>
            <w:r>
              <w:rPr>
                <w:rFonts w:hint="eastAsia" w:ascii="仿宋" w:hAnsi="仿宋" w:eastAsia="仿宋" w:cs="仿宋"/>
              </w:rPr>
              <w:t>标准名称</w:t>
            </w:r>
          </w:p>
        </w:tc>
        <w:tc>
          <w:tcPr>
            <w:tcW w:w="4688" w:type="dxa"/>
            <w:vAlign w:val="center"/>
          </w:tcPr>
          <w:p>
            <w:pPr>
              <w:pStyle w:val="13"/>
              <w:tabs>
                <w:tab w:val="center" w:pos="4201"/>
                <w:tab w:val="right" w:leader="dot" w:pos="9298"/>
              </w:tabs>
              <w:ind w:firstLine="0" w:firstLineChars="0"/>
              <w:jc w:val="center"/>
              <w:rPr>
                <w:rFonts w:ascii="仿宋" w:hAnsi="仿宋" w:eastAsia="仿宋" w:cs="仿宋"/>
              </w:rPr>
            </w:pPr>
            <w:r>
              <w:rPr>
                <w:rFonts w:hint="eastAsia" w:ascii="仿宋" w:hAnsi="仿宋" w:eastAsia="仿宋" w:cs="仿宋"/>
              </w:rPr>
              <w:t>标准主要内容</w:t>
            </w:r>
          </w:p>
        </w:tc>
        <w:tc>
          <w:tcPr>
            <w:tcW w:w="1178" w:type="dxa"/>
            <w:vAlign w:val="center"/>
          </w:tcPr>
          <w:p>
            <w:pPr>
              <w:pStyle w:val="13"/>
              <w:tabs>
                <w:tab w:val="center" w:pos="4201"/>
                <w:tab w:val="right" w:leader="dot" w:pos="9298"/>
              </w:tabs>
              <w:ind w:firstLine="0" w:firstLineChars="0"/>
              <w:jc w:val="center"/>
              <w:rPr>
                <w:rFonts w:ascii="仿宋" w:hAnsi="仿宋" w:eastAsia="仿宋" w:cs="仿宋"/>
              </w:rPr>
            </w:pPr>
            <w:r>
              <w:rPr>
                <w:rFonts w:hint="eastAsia" w:ascii="仿宋" w:hAnsi="仿宋" w:eastAsia="仿宋" w:cs="仿宋"/>
              </w:rPr>
              <w:t>代替标准</w:t>
            </w:r>
          </w:p>
        </w:tc>
        <w:tc>
          <w:tcPr>
            <w:tcW w:w="1193" w:type="dxa"/>
            <w:vAlign w:val="center"/>
          </w:tcPr>
          <w:p>
            <w:pPr>
              <w:pStyle w:val="13"/>
              <w:tabs>
                <w:tab w:val="center" w:pos="4201"/>
                <w:tab w:val="right" w:leader="dot" w:pos="9298"/>
              </w:tabs>
              <w:ind w:firstLine="0" w:firstLineChars="0"/>
              <w:jc w:val="center"/>
              <w:rPr>
                <w:rFonts w:ascii="仿宋" w:hAnsi="仿宋" w:eastAsia="仿宋" w:cs="仿宋"/>
              </w:rPr>
            </w:pPr>
            <w:r>
              <w:rPr>
                <w:rFonts w:hint="eastAsia" w:ascii="仿宋" w:hAnsi="仿宋" w:eastAsia="仿宋" w:cs="仿宋"/>
              </w:rPr>
              <w:t>采标情况</w:t>
            </w:r>
          </w:p>
        </w:tc>
        <w:tc>
          <w:tcPr>
            <w:tcW w:w="1096" w:type="dxa"/>
            <w:vAlign w:val="center"/>
          </w:tcPr>
          <w:p>
            <w:pPr>
              <w:pStyle w:val="13"/>
              <w:tabs>
                <w:tab w:val="center" w:pos="4201"/>
                <w:tab w:val="right" w:leader="dot" w:pos="9298"/>
              </w:tabs>
              <w:ind w:firstLine="0" w:firstLineChars="0"/>
              <w:jc w:val="center"/>
              <w:rPr>
                <w:rFonts w:ascii="仿宋" w:hAnsi="仿宋" w:eastAsia="仿宋" w:cs="仿宋"/>
              </w:rPr>
            </w:pPr>
            <w:r>
              <w:rPr>
                <w:rFonts w:hint="eastAsia" w:ascii="仿宋" w:hAnsi="仿宋" w:eastAsia="仿宋" w:cs="仿宋"/>
              </w:rPr>
              <w:t>实施日期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5" w:hRule="atLeast"/>
        </w:trPr>
        <w:tc>
          <w:tcPr>
            <w:tcW w:w="636" w:type="dxa"/>
            <w:vAlign w:val="center"/>
          </w:tcPr>
          <w:p>
            <w:pPr>
              <w:pStyle w:val="13"/>
              <w:tabs>
                <w:tab w:val="center" w:pos="4201"/>
                <w:tab w:val="right" w:leader="dot" w:pos="9298"/>
              </w:tabs>
              <w:ind w:firstLine="210" w:firstLineChars="100"/>
              <w:jc w:val="left"/>
              <w:rPr>
                <w:rFonts w:ascii="仿宋" w:hAnsi="仿宋" w:eastAsia="仿宋" w:cs="仿宋"/>
              </w:rPr>
            </w:pPr>
            <w:r>
              <w:rPr>
                <w:rFonts w:hint="eastAsia" w:ascii="仿宋" w:hAnsi="仿宋" w:eastAsia="仿宋" w:cs="仿宋"/>
              </w:rPr>
              <w:t>1</w:t>
            </w:r>
          </w:p>
        </w:tc>
        <w:tc>
          <w:tcPr>
            <w:tcW w:w="2298" w:type="dxa"/>
            <w:vAlign w:val="center"/>
          </w:tcPr>
          <w:p>
            <w:pPr>
              <w:pStyle w:val="13"/>
              <w:tabs>
                <w:tab w:val="center" w:pos="4201"/>
                <w:tab w:val="right" w:leader="dot" w:pos="9298"/>
              </w:tabs>
              <w:ind w:firstLine="0" w:firstLineChars="0"/>
              <w:rPr>
                <w:rFonts w:ascii="仿宋" w:hAnsi="仿宋" w:eastAsia="仿宋" w:cs="仿宋"/>
              </w:rPr>
            </w:pPr>
            <w:r>
              <w:rPr>
                <w:rFonts w:hint="eastAsia" w:ascii="仿宋" w:hAnsi="仿宋" w:eastAsia="仿宋" w:cs="仿宋"/>
              </w:rPr>
              <w:t>T/CNLIC  0038-2021</w:t>
            </w:r>
          </w:p>
        </w:tc>
        <w:tc>
          <w:tcPr>
            <w:tcW w:w="2432" w:type="dxa"/>
            <w:vAlign w:val="center"/>
          </w:tcPr>
          <w:p>
            <w:pPr>
              <w:pStyle w:val="13"/>
              <w:tabs>
                <w:tab w:val="center" w:pos="4201"/>
                <w:tab w:val="right" w:leader="dot" w:pos="9298"/>
              </w:tabs>
              <w:ind w:firstLine="0" w:firstLineChars="0"/>
              <w:jc w:val="center"/>
              <w:rPr>
                <w:rFonts w:ascii="仿宋" w:hAnsi="仿宋" w:eastAsia="仿宋" w:cs="仿宋"/>
              </w:rPr>
            </w:pPr>
            <w:r>
              <w:rPr>
                <w:rFonts w:hint="eastAsia" w:ascii="仿宋" w:hAnsi="仿宋" w:eastAsia="仿宋" w:cs="仿宋"/>
              </w:rPr>
              <w:t>家用电冰箱 除乙烯功能试验方法及评价要求</w:t>
            </w:r>
          </w:p>
        </w:tc>
        <w:tc>
          <w:tcPr>
            <w:tcW w:w="4688" w:type="dxa"/>
            <w:vAlign w:val="center"/>
          </w:tcPr>
          <w:p>
            <w:pPr>
              <w:pStyle w:val="13"/>
              <w:tabs>
                <w:tab w:val="center" w:pos="4201"/>
                <w:tab w:val="right" w:leader="dot" w:pos="9298"/>
              </w:tabs>
              <w:ind w:firstLine="420"/>
              <w:rPr>
                <w:rFonts w:ascii="仿宋" w:hAnsi="仿宋" w:eastAsia="仿宋" w:cs="仿宋"/>
              </w:rPr>
            </w:pPr>
            <w:r>
              <w:rPr>
                <w:rFonts w:hint="eastAsia" w:ascii="仿宋" w:hAnsi="仿宋" w:eastAsia="仿宋" w:cs="仿宋"/>
              </w:rPr>
              <w:t>本文件规定了家用电冰箱除乙烯功能的术语和定义、技术要求、试验方法及评价要求。</w:t>
            </w:r>
          </w:p>
          <w:p>
            <w:pPr>
              <w:pStyle w:val="13"/>
              <w:tabs>
                <w:tab w:val="center" w:pos="4201"/>
                <w:tab w:val="right" w:leader="dot" w:pos="9298"/>
              </w:tabs>
              <w:ind w:firstLine="420"/>
              <w:rPr>
                <w:rFonts w:ascii="仿宋" w:hAnsi="仿宋" w:eastAsia="仿宋" w:cs="仿宋"/>
              </w:rPr>
            </w:pPr>
            <w:r>
              <w:rPr>
                <w:rFonts w:hint="eastAsia" w:ascii="仿宋" w:hAnsi="仿宋" w:eastAsia="仿宋" w:cs="仿宋"/>
              </w:rPr>
              <w:t>本文件适用于声称具有除乙烯功能的家用电冰箱及其功能部件（模块）除乙烯功能的测试及评价。</w:t>
            </w:r>
          </w:p>
        </w:tc>
        <w:tc>
          <w:tcPr>
            <w:tcW w:w="1178" w:type="dxa"/>
            <w:vAlign w:val="center"/>
          </w:tcPr>
          <w:p>
            <w:pPr>
              <w:pStyle w:val="13"/>
              <w:tabs>
                <w:tab w:val="center" w:pos="4201"/>
                <w:tab w:val="right" w:leader="dot" w:pos="9298"/>
              </w:tabs>
              <w:ind w:firstLine="420"/>
              <w:rPr>
                <w:rFonts w:ascii="仿宋" w:hAnsi="仿宋" w:eastAsia="仿宋" w:cs="仿宋"/>
              </w:rPr>
            </w:pPr>
            <w:r>
              <w:rPr>
                <w:rFonts w:hint="eastAsia" w:ascii="仿宋" w:hAnsi="仿宋" w:eastAsia="仿宋" w:cs="仿宋"/>
              </w:rPr>
              <w:t>无</w:t>
            </w:r>
          </w:p>
        </w:tc>
        <w:tc>
          <w:tcPr>
            <w:tcW w:w="1193" w:type="dxa"/>
            <w:vAlign w:val="center"/>
          </w:tcPr>
          <w:p>
            <w:pPr>
              <w:pStyle w:val="13"/>
              <w:tabs>
                <w:tab w:val="center" w:pos="4201"/>
                <w:tab w:val="right" w:leader="dot" w:pos="9298"/>
              </w:tabs>
              <w:ind w:firstLine="420"/>
              <w:rPr>
                <w:rFonts w:ascii="仿宋" w:hAnsi="仿宋" w:eastAsia="仿宋" w:cs="仿宋"/>
              </w:rPr>
            </w:pPr>
            <w:r>
              <w:rPr>
                <w:rFonts w:hint="eastAsia" w:ascii="仿宋" w:hAnsi="仿宋" w:eastAsia="仿宋" w:cs="仿宋"/>
              </w:rPr>
              <w:t>无</w:t>
            </w:r>
          </w:p>
        </w:tc>
        <w:tc>
          <w:tcPr>
            <w:tcW w:w="1096" w:type="dxa"/>
            <w:vAlign w:val="center"/>
          </w:tcPr>
          <w:p>
            <w:pPr>
              <w:pStyle w:val="13"/>
              <w:tabs>
                <w:tab w:val="center" w:pos="4201"/>
                <w:tab w:val="right" w:leader="dot" w:pos="9298"/>
              </w:tabs>
              <w:ind w:firstLine="0" w:firstLineChars="0"/>
              <w:jc w:val="center"/>
              <w:rPr>
                <w:rFonts w:ascii="仿宋" w:hAnsi="仿宋" w:eastAsia="仿宋" w:cs="仿宋"/>
              </w:rPr>
            </w:pPr>
            <w:r>
              <w:rPr>
                <w:rFonts w:hint="eastAsia" w:ascii="仿宋" w:hAnsi="仿宋" w:eastAsia="仿宋" w:cs="仿宋"/>
              </w:rPr>
              <w:t>发布之日起实施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0" w:hRule="atLeast"/>
        </w:trPr>
        <w:tc>
          <w:tcPr>
            <w:tcW w:w="636" w:type="dxa"/>
            <w:vAlign w:val="center"/>
          </w:tcPr>
          <w:p>
            <w:pPr>
              <w:pStyle w:val="13"/>
              <w:tabs>
                <w:tab w:val="center" w:pos="4201"/>
                <w:tab w:val="right" w:leader="dot" w:pos="9298"/>
              </w:tabs>
              <w:ind w:firstLine="210" w:firstLineChars="100"/>
              <w:jc w:val="left"/>
              <w:rPr>
                <w:rFonts w:ascii="仿宋" w:hAnsi="仿宋" w:eastAsia="仿宋" w:cs="仿宋"/>
              </w:rPr>
            </w:pPr>
            <w:r>
              <w:rPr>
                <w:rFonts w:hint="eastAsia" w:ascii="仿宋" w:hAnsi="仿宋" w:eastAsia="仿宋" w:cs="仿宋"/>
              </w:rPr>
              <w:t>2</w:t>
            </w:r>
          </w:p>
        </w:tc>
        <w:tc>
          <w:tcPr>
            <w:tcW w:w="2298" w:type="dxa"/>
            <w:vAlign w:val="center"/>
          </w:tcPr>
          <w:p>
            <w:pPr>
              <w:pStyle w:val="13"/>
              <w:tabs>
                <w:tab w:val="center" w:pos="4201"/>
                <w:tab w:val="right" w:leader="dot" w:pos="9298"/>
              </w:tabs>
              <w:ind w:firstLine="0" w:firstLineChars="0"/>
              <w:rPr>
                <w:rFonts w:ascii="仿宋" w:hAnsi="仿宋" w:eastAsia="仿宋" w:cs="仿宋"/>
              </w:rPr>
            </w:pPr>
            <w:r>
              <w:rPr>
                <w:rFonts w:hint="eastAsia" w:ascii="仿宋" w:hAnsi="仿宋" w:eastAsia="仿宋" w:cs="仿宋"/>
              </w:rPr>
              <w:t>T/CNLIC  0039-2021</w:t>
            </w:r>
          </w:p>
        </w:tc>
        <w:tc>
          <w:tcPr>
            <w:tcW w:w="2432" w:type="dxa"/>
            <w:vAlign w:val="center"/>
          </w:tcPr>
          <w:p>
            <w:pPr>
              <w:pStyle w:val="13"/>
              <w:tabs>
                <w:tab w:val="center" w:pos="4201"/>
                <w:tab w:val="right" w:leader="dot" w:pos="9298"/>
              </w:tabs>
              <w:ind w:firstLine="0" w:firstLineChars="0"/>
              <w:jc w:val="center"/>
              <w:rPr>
                <w:rFonts w:ascii="仿宋" w:hAnsi="仿宋" w:eastAsia="仿宋" w:cs="仿宋"/>
              </w:rPr>
            </w:pPr>
            <w:r>
              <w:rPr>
                <w:rFonts w:hint="eastAsia" w:ascii="仿宋" w:hAnsi="仿宋" w:eastAsia="仿宋" w:cs="仿宋"/>
              </w:rPr>
              <w:t>家用电冰箱 冷冻室除菌功能试验方法及评价要求</w:t>
            </w:r>
          </w:p>
        </w:tc>
        <w:tc>
          <w:tcPr>
            <w:tcW w:w="4688" w:type="dxa"/>
            <w:vAlign w:val="center"/>
          </w:tcPr>
          <w:p>
            <w:pPr>
              <w:pStyle w:val="13"/>
              <w:tabs>
                <w:tab w:val="center" w:pos="4201"/>
                <w:tab w:val="right" w:leader="dot" w:pos="9298"/>
              </w:tabs>
              <w:ind w:firstLine="420"/>
              <w:rPr>
                <w:rFonts w:ascii="仿宋" w:hAnsi="仿宋" w:eastAsia="仿宋" w:cs="仿宋"/>
              </w:rPr>
            </w:pPr>
            <w:r>
              <w:rPr>
                <w:rFonts w:hint="eastAsia" w:ascii="仿宋" w:hAnsi="仿宋" w:eastAsia="仿宋" w:cs="仿宋"/>
              </w:rPr>
              <w:t>本文件规定了家用电冰箱冷冻室除菌功能的术语和定义、技术要求、试验方法及评价要求。</w:t>
            </w:r>
          </w:p>
          <w:p>
            <w:pPr>
              <w:pStyle w:val="13"/>
              <w:tabs>
                <w:tab w:val="center" w:pos="4201"/>
                <w:tab w:val="right" w:leader="dot" w:pos="9298"/>
              </w:tabs>
              <w:ind w:firstLine="420"/>
              <w:rPr>
                <w:rFonts w:ascii="仿宋" w:hAnsi="仿宋" w:eastAsia="仿宋" w:cs="仿宋"/>
              </w:rPr>
            </w:pPr>
            <w:r>
              <w:rPr>
                <w:rFonts w:hint="eastAsia" w:ascii="仿宋" w:hAnsi="仿宋" w:eastAsia="仿宋" w:cs="仿宋"/>
              </w:rPr>
              <w:t>本文件适用于声称具有冷冻室除菌功能的家用电冰箱除菌功能的测试及评价。</w:t>
            </w:r>
          </w:p>
        </w:tc>
        <w:tc>
          <w:tcPr>
            <w:tcW w:w="1178" w:type="dxa"/>
            <w:vAlign w:val="center"/>
          </w:tcPr>
          <w:p>
            <w:pPr>
              <w:pStyle w:val="13"/>
              <w:tabs>
                <w:tab w:val="center" w:pos="4201"/>
                <w:tab w:val="right" w:leader="dot" w:pos="9298"/>
              </w:tabs>
              <w:ind w:firstLine="420"/>
              <w:rPr>
                <w:rFonts w:ascii="仿宋" w:hAnsi="仿宋" w:eastAsia="仿宋" w:cs="仿宋"/>
              </w:rPr>
            </w:pPr>
            <w:r>
              <w:rPr>
                <w:rFonts w:hint="eastAsia" w:ascii="仿宋" w:hAnsi="仿宋" w:eastAsia="仿宋" w:cs="仿宋"/>
              </w:rPr>
              <w:t>无</w:t>
            </w:r>
          </w:p>
        </w:tc>
        <w:tc>
          <w:tcPr>
            <w:tcW w:w="1193" w:type="dxa"/>
            <w:vAlign w:val="center"/>
          </w:tcPr>
          <w:p>
            <w:pPr>
              <w:pStyle w:val="13"/>
              <w:tabs>
                <w:tab w:val="center" w:pos="4201"/>
                <w:tab w:val="right" w:leader="dot" w:pos="9298"/>
              </w:tabs>
              <w:ind w:firstLine="420"/>
              <w:rPr>
                <w:rFonts w:ascii="仿宋" w:hAnsi="仿宋" w:eastAsia="仿宋" w:cs="仿宋"/>
              </w:rPr>
            </w:pPr>
            <w:r>
              <w:rPr>
                <w:rFonts w:hint="eastAsia" w:ascii="仿宋" w:hAnsi="仿宋" w:eastAsia="仿宋" w:cs="仿宋"/>
              </w:rPr>
              <w:t>无</w:t>
            </w:r>
          </w:p>
        </w:tc>
        <w:tc>
          <w:tcPr>
            <w:tcW w:w="1096" w:type="dxa"/>
            <w:vAlign w:val="center"/>
          </w:tcPr>
          <w:p>
            <w:pPr>
              <w:pStyle w:val="13"/>
              <w:tabs>
                <w:tab w:val="center" w:pos="4201"/>
                <w:tab w:val="right" w:leader="dot" w:pos="9298"/>
              </w:tabs>
              <w:ind w:firstLine="0" w:firstLineChars="0"/>
              <w:jc w:val="center"/>
              <w:rPr>
                <w:rFonts w:ascii="仿宋" w:hAnsi="仿宋" w:eastAsia="仿宋" w:cs="仿宋"/>
              </w:rPr>
            </w:pPr>
            <w:r>
              <w:rPr>
                <w:rFonts w:hint="eastAsia" w:ascii="仿宋" w:hAnsi="仿宋" w:eastAsia="仿宋" w:cs="仿宋"/>
              </w:rPr>
              <w:t>发布之日起实施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0" w:hRule="atLeast"/>
        </w:trPr>
        <w:tc>
          <w:tcPr>
            <w:tcW w:w="636" w:type="dxa"/>
            <w:vAlign w:val="center"/>
          </w:tcPr>
          <w:p>
            <w:pPr>
              <w:pStyle w:val="13"/>
              <w:tabs>
                <w:tab w:val="center" w:pos="4201"/>
                <w:tab w:val="right" w:leader="dot" w:pos="9298"/>
              </w:tabs>
              <w:ind w:firstLine="210" w:firstLineChars="100"/>
              <w:rPr>
                <w:rFonts w:ascii="仿宋" w:hAnsi="仿宋" w:eastAsia="仿宋" w:cs="仿宋"/>
              </w:rPr>
            </w:pPr>
            <w:r>
              <w:rPr>
                <w:rFonts w:hint="eastAsia" w:ascii="仿宋" w:hAnsi="仿宋" w:eastAsia="仿宋" w:cs="仿宋"/>
              </w:rPr>
              <w:t>3</w:t>
            </w:r>
          </w:p>
        </w:tc>
        <w:tc>
          <w:tcPr>
            <w:tcW w:w="2298" w:type="dxa"/>
            <w:vAlign w:val="center"/>
          </w:tcPr>
          <w:p>
            <w:pPr>
              <w:pStyle w:val="13"/>
              <w:tabs>
                <w:tab w:val="center" w:pos="4201"/>
                <w:tab w:val="right" w:leader="dot" w:pos="9298"/>
              </w:tabs>
              <w:ind w:firstLine="0" w:firstLineChars="0"/>
              <w:rPr>
                <w:rFonts w:ascii="仿宋" w:hAnsi="仿宋" w:eastAsia="仿宋" w:cs="仿宋"/>
              </w:rPr>
            </w:pPr>
            <w:r>
              <w:rPr>
                <w:rFonts w:hint="eastAsia" w:ascii="仿宋" w:hAnsi="仿宋" w:eastAsia="仿宋" w:cs="仿宋"/>
              </w:rPr>
              <w:t>T/CNLIC  0040-2021</w:t>
            </w:r>
          </w:p>
        </w:tc>
        <w:tc>
          <w:tcPr>
            <w:tcW w:w="2432" w:type="dxa"/>
            <w:vAlign w:val="center"/>
          </w:tcPr>
          <w:p>
            <w:pPr>
              <w:pStyle w:val="13"/>
              <w:tabs>
                <w:tab w:val="center" w:pos="4201"/>
                <w:tab w:val="right" w:leader="dot" w:pos="9298"/>
              </w:tabs>
              <w:ind w:firstLine="0" w:firstLineChars="0"/>
              <w:jc w:val="center"/>
              <w:rPr>
                <w:rFonts w:ascii="仿宋" w:hAnsi="仿宋" w:eastAsia="仿宋" w:cs="仿宋"/>
              </w:rPr>
            </w:pPr>
            <w:r>
              <w:rPr>
                <w:rFonts w:hint="eastAsia" w:ascii="仿宋" w:hAnsi="仿宋" w:eastAsia="仿宋" w:cs="仿宋"/>
              </w:rPr>
              <w:t>家用电冰箱 婴幼儿食品储藏功能试验方法及评价要求</w:t>
            </w:r>
          </w:p>
        </w:tc>
        <w:tc>
          <w:tcPr>
            <w:tcW w:w="4688" w:type="dxa"/>
            <w:vAlign w:val="center"/>
          </w:tcPr>
          <w:p>
            <w:pPr>
              <w:pStyle w:val="13"/>
              <w:tabs>
                <w:tab w:val="center" w:pos="4201"/>
                <w:tab w:val="right" w:leader="dot" w:pos="9298"/>
              </w:tabs>
              <w:ind w:firstLine="420"/>
              <w:rPr>
                <w:rFonts w:ascii="仿宋" w:hAnsi="仿宋" w:eastAsia="仿宋" w:cs="仿宋"/>
              </w:rPr>
            </w:pPr>
            <w:r>
              <w:rPr>
                <w:rFonts w:hint="eastAsia" w:ascii="仿宋" w:hAnsi="仿宋" w:eastAsia="仿宋" w:cs="仿宋"/>
              </w:rPr>
              <w:t>本文件规定了家用电冰箱婴幼儿食品储藏功能的术语和定义、技术要求、试验方法及评价要求。</w:t>
            </w:r>
          </w:p>
          <w:p>
            <w:pPr>
              <w:pStyle w:val="13"/>
              <w:tabs>
                <w:tab w:val="center" w:pos="4201"/>
                <w:tab w:val="right" w:leader="dot" w:pos="9298"/>
              </w:tabs>
              <w:ind w:firstLine="420"/>
              <w:rPr>
                <w:rFonts w:ascii="仿宋" w:hAnsi="仿宋" w:eastAsia="仿宋" w:cs="仿宋"/>
              </w:rPr>
            </w:pPr>
            <w:r>
              <w:rPr>
                <w:rFonts w:hint="eastAsia" w:ascii="仿宋" w:hAnsi="仿宋" w:eastAsia="仿宋" w:cs="仿宋"/>
              </w:rPr>
              <w:t>本文件适用于声称具有婴幼儿食品储藏功能的家用电冰箱婴幼儿食品储藏功能的测试及评价。</w:t>
            </w:r>
          </w:p>
        </w:tc>
        <w:tc>
          <w:tcPr>
            <w:tcW w:w="1178" w:type="dxa"/>
            <w:vAlign w:val="center"/>
          </w:tcPr>
          <w:p>
            <w:pPr>
              <w:pStyle w:val="13"/>
              <w:tabs>
                <w:tab w:val="center" w:pos="4201"/>
                <w:tab w:val="right" w:leader="dot" w:pos="9298"/>
              </w:tabs>
              <w:ind w:firstLine="420"/>
              <w:rPr>
                <w:rFonts w:ascii="仿宋" w:hAnsi="仿宋" w:eastAsia="仿宋" w:cs="仿宋"/>
              </w:rPr>
            </w:pPr>
            <w:r>
              <w:rPr>
                <w:rFonts w:hint="eastAsia" w:ascii="仿宋" w:hAnsi="仿宋" w:eastAsia="仿宋" w:cs="仿宋"/>
              </w:rPr>
              <w:t>无</w:t>
            </w:r>
          </w:p>
        </w:tc>
        <w:tc>
          <w:tcPr>
            <w:tcW w:w="1193" w:type="dxa"/>
            <w:vAlign w:val="center"/>
          </w:tcPr>
          <w:p>
            <w:pPr>
              <w:pStyle w:val="13"/>
              <w:tabs>
                <w:tab w:val="center" w:pos="4201"/>
                <w:tab w:val="right" w:leader="dot" w:pos="9298"/>
              </w:tabs>
              <w:ind w:firstLine="420"/>
              <w:rPr>
                <w:rFonts w:ascii="仿宋" w:hAnsi="仿宋" w:eastAsia="仿宋" w:cs="仿宋"/>
              </w:rPr>
            </w:pPr>
            <w:r>
              <w:rPr>
                <w:rFonts w:hint="eastAsia" w:ascii="仿宋" w:hAnsi="仿宋" w:eastAsia="仿宋" w:cs="仿宋"/>
              </w:rPr>
              <w:t>无</w:t>
            </w:r>
          </w:p>
        </w:tc>
        <w:tc>
          <w:tcPr>
            <w:tcW w:w="1096" w:type="dxa"/>
            <w:vAlign w:val="center"/>
          </w:tcPr>
          <w:p>
            <w:pPr>
              <w:pStyle w:val="13"/>
              <w:tabs>
                <w:tab w:val="center" w:pos="4201"/>
                <w:tab w:val="right" w:leader="dot" w:pos="9298"/>
              </w:tabs>
              <w:ind w:firstLine="0" w:firstLineChars="0"/>
              <w:jc w:val="center"/>
              <w:rPr>
                <w:rFonts w:ascii="仿宋" w:hAnsi="仿宋" w:eastAsia="仿宋" w:cs="仿宋"/>
              </w:rPr>
            </w:pPr>
            <w:r>
              <w:rPr>
                <w:rFonts w:hint="eastAsia" w:ascii="仿宋" w:hAnsi="仿宋" w:eastAsia="仿宋" w:cs="仿宋"/>
              </w:rPr>
              <w:t>发布之日起实施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2" w:hRule="atLeast"/>
        </w:trPr>
        <w:tc>
          <w:tcPr>
            <w:tcW w:w="636" w:type="dxa"/>
            <w:vAlign w:val="center"/>
          </w:tcPr>
          <w:p>
            <w:pPr>
              <w:pStyle w:val="13"/>
              <w:tabs>
                <w:tab w:val="center" w:pos="4201"/>
                <w:tab w:val="right" w:leader="dot" w:pos="9298"/>
              </w:tabs>
              <w:ind w:firstLine="210" w:firstLineChars="100"/>
              <w:rPr>
                <w:rFonts w:ascii="仿宋" w:hAnsi="仿宋" w:eastAsia="仿宋" w:cs="仿宋"/>
              </w:rPr>
            </w:pPr>
            <w:r>
              <w:rPr>
                <w:rFonts w:hint="eastAsia" w:ascii="仿宋" w:hAnsi="仿宋" w:eastAsia="仿宋" w:cs="仿宋"/>
              </w:rPr>
              <w:t>4</w:t>
            </w:r>
          </w:p>
        </w:tc>
        <w:tc>
          <w:tcPr>
            <w:tcW w:w="2298" w:type="dxa"/>
            <w:vAlign w:val="center"/>
          </w:tcPr>
          <w:p>
            <w:pPr>
              <w:pStyle w:val="13"/>
              <w:tabs>
                <w:tab w:val="center" w:pos="4201"/>
                <w:tab w:val="right" w:leader="dot" w:pos="9298"/>
              </w:tabs>
              <w:ind w:firstLine="0" w:firstLineChars="0"/>
              <w:rPr>
                <w:rFonts w:ascii="仿宋" w:hAnsi="仿宋" w:eastAsia="仿宋" w:cs="仿宋"/>
              </w:rPr>
            </w:pPr>
            <w:r>
              <w:rPr>
                <w:rFonts w:hint="eastAsia" w:ascii="仿宋" w:hAnsi="仿宋" w:eastAsia="仿宋" w:cs="仿宋"/>
              </w:rPr>
              <w:t>T/CNLIC  0041-2021</w:t>
            </w:r>
          </w:p>
        </w:tc>
        <w:tc>
          <w:tcPr>
            <w:tcW w:w="2432" w:type="dxa"/>
            <w:vAlign w:val="center"/>
          </w:tcPr>
          <w:p>
            <w:pPr>
              <w:pStyle w:val="13"/>
              <w:tabs>
                <w:tab w:val="center" w:pos="4201"/>
                <w:tab w:val="right" w:leader="dot" w:pos="9298"/>
              </w:tabs>
              <w:ind w:firstLine="0" w:firstLineChars="0"/>
              <w:jc w:val="center"/>
              <w:rPr>
                <w:rFonts w:ascii="仿宋" w:hAnsi="仿宋" w:eastAsia="仿宋" w:cs="仿宋"/>
              </w:rPr>
            </w:pPr>
            <w:r>
              <w:rPr>
                <w:rFonts w:hint="eastAsia" w:ascii="仿宋" w:hAnsi="仿宋" w:eastAsia="仿宋" w:cs="仿宋"/>
              </w:rPr>
              <w:t>绿色设计产品评价技术规范 酱油</w:t>
            </w:r>
          </w:p>
        </w:tc>
        <w:tc>
          <w:tcPr>
            <w:tcW w:w="4688" w:type="dxa"/>
            <w:vAlign w:val="center"/>
          </w:tcPr>
          <w:p>
            <w:pPr>
              <w:pStyle w:val="13"/>
              <w:tabs>
                <w:tab w:val="center" w:pos="4201"/>
                <w:tab w:val="right" w:leader="dot" w:pos="9298"/>
              </w:tabs>
              <w:ind w:firstLine="420"/>
              <w:rPr>
                <w:rFonts w:ascii="仿宋" w:hAnsi="仿宋" w:eastAsia="仿宋" w:cs="仿宋"/>
              </w:rPr>
            </w:pPr>
            <w:r>
              <w:rPr>
                <w:rFonts w:hint="eastAsia" w:ascii="仿宋" w:hAnsi="仿宋" w:eastAsia="仿宋" w:cs="仿宋"/>
              </w:rPr>
              <w:t>本标准规定了酱油绿色设计产品的术语和定义、评价要求、产品生命周期评价报告编制方法和评价方法。</w:t>
            </w:r>
          </w:p>
          <w:p>
            <w:pPr>
              <w:pStyle w:val="13"/>
              <w:tabs>
                <w:tab w:val="center" w:pos="4201"/>
                <w:tab w:val="right" w:leader="dot" w:pos="9298"/>
              </w:tabs>
              <w:ind w:firstLine="420"/>
              <w:rPr>
                <w:rFonts w:ascii="仿宋" w:hAnsi="仿宋" w:eastAsia="仿宋" w:cs="仿宋"/>
              </w:rPr>
            </w:pPr>
            <w:r>
              <w:rPr>
                <w:rFonts w:hint="eastAsia" w:ascii="仿宋" w:hAnsi="仿宋" w:eastAsia="仿宋" w:cs="仿宋"/>
              </w:rPr>
              <w:t>本标准适用于以非转基因大豆、小麦粉为主要原料，经微生物发酵制成的具有特殊色、香、味的酱油的绿色设计产品评价。</w:t>
            </w:r>
          </w:p>
        </w:tc>
        <w:tc>
          <w:tcPr>
            <w:tcW w:w="1178" w:type="dxa"/>
            <w:vAlign w:val="center"/>
          </w:tcPr>
          <w:p>
            <w:pPr>
              <w:pStyle w:val="13"/>
              <w:tabs>
                <w:tab w:val="center" w:pos="4201"/>
                <w:tab w:val="right" w:leader="dot" w:pos="9298"/>
              </w:tabs>
              <w:ind w:firstLine="420"/>
              <w:rPr>
                <w:rFonts w:ascii="仿宋" w:hAnsi="仿宋" w:eastAsia="仿宋" w:cs="仿宋"/>
              </w:rPr>
            </w:pPr>
            <w:r>
              <w:rPr>
                <w:rFonts w:hint="eastAsia" w:ascii="仿宋" w:hAnsi="仿宋" w:eastAsia="仿宋" w:cs="仿宋"/>
              </w:rPr>
              <w:t>无</w:t>
            </w:r>
          </w:p>
        </w:tc>
        <w:tc>
          <w:tcPr>
            <w:tcW w:w="1193" w:type="dxa"/>
            <w:vAlign w:val="center"/>
          </w:tcPr>
          <w:p>
            <w:pPr>
              <w:pStyle w:val="13"/>
              <w:tabs>
                <w:tab w:val="center" w:pos="4201"/>
                <w:tab w:val="right" w:leader="dot" w:pos="9298"/>
              </w:tabs>
              <w:ind w:firstLine="420"/>
              <w:rPr>
                <w:rFonts w:ascii="仿宋" w:hAnsi="仿宋" w:eastAsia="仿宋" w:cs="仿宋"/>
              </w:rPr>
            </w:pPr>
            <w:r>
              <w:rPr>
                <w:rFonts w:hint="eastAsia" w:ascii="仿宋" w:hAnsi="仿宋" w:eastAsia="仿宋" w:cs="仿宋"/>
              </w:rPr>
              <w:t>无</w:t>
            </w:r>
          </w:p>
        </w:tc>
        <w:tc>
          <w:tcPr>
            <w:tcW w:w="1096" w:type="dxa"/>
            <w:vAlign w:val="center"/>
          </w:tcPr>
          <w:p>
            <w:pPr>
              <w:pStyle w:val="13"/>
              <w:tabs>
                <w:tab w:val="center" w:pos="4201"/>
                <w:tab w:val="right" w:leader="dot" w:pos="9298"/>
              </w:tabs>
              <w:ind w:firstLine="0" w:firstLineChars="0"/>
              <w:jc w:val="center"/>
              <w:rPr>
                <w:rFonts w:ascii="仿宋" w:hAnsi="仿宋" w:eastAsia="仿宋" w:cs="仿宋"/>
              </w:rPr>
            </w:pPr>
            <w:r>
              <w:rPr>
                <w:rFonts w:hint="eastAsia" w:ascii="仿宋" w:hAnsi="仿宋" w:eastAsia="仿宋" w:cs="仿宋"/>
              </w:rPr>
              <w:t>发布之日起实施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5" w:hRule="atLeast"/>
        </w:trPr>
        <w:tc>
          <w:tcPr>
            <w:tcW w:w="636" w:type="dxa"/>
            <w:vAlign w:val="center"/>
          </w:tcPr>
          <w:p>
            <w:pPr>
              <w:pStyle w:val="13"/>
              <w:tabs>
                <w:tab w:val="center" w:pos="4201"/>
                <w:tab w:val="right" w:leader="dot" w:pos="9298"/>
              </w:tabs>
              <w:ind w:firstLine="210" w:firstLineChars="100"/>
              <w:rPr>
                <w:rFonts w:ascii="仿宋" w:hAnsi="仿宋" w:eastAsia="仿宋" w:cs="仿宋"/>
              </w:rPr>
            </w:pPr>
            <w:r>
              <w:rPr>
                <w:rFonts w:hint="eastAsia" w:ascii="仿宋" w:hAnsi="仿宋" w:eastAsia="仿宋" w:cs="仿宋"/>
              </w:rPr>
              <w:t>5</w:t>
            </w:r>
          </w:p>
        </w:tc>
        <w:tc>
          <w:tcPr>
            <w:tcW w:w="2298" w:type="dxa"/>
            <w:vAlign w:val="center"/>
          </w:tcPr>
          <w:p>
            <w:pPr>
              <w:pStyle w:val="13"/>
              <w:tabs>
                <w:tab w:val="center" w:pos="4201"/>
                <w:tab w:val="right" w:leader="dot" w:pos="9298"/>
              </w:tabs>
              <w:ind w:firstLine="0" w:firstLineChars="0"/>
              <w:rPr>
                <w:rFonts w:ascii="仿宋" w:hAnsi="仿宋" w:eastAsia="仿宋" w:cs="仿宋"/>
              </w:rPr>
            </w:pPr>
            <w:r>
              <w:rPr>
                <w:rFonts w:hint="eastAsia" w:ascii="仿宋" w:hAnsi="仿宋" w:eastAsia="仿宋" w:cs="仿宋"/>
              </w:rPr>
              <w:t>T/CNLIC  0042-2021</w:t>
            </w:r>
          </w:p>
        </w:tc>
        <w:tc>
          <w:tcPr>
            <w:tcW w:w="2432" w:type="dxa"/>
            <w:vAlign w:val="center"/>
          </w:tcPr>
          <w:p>
            <w:pPr>
              <w:pStyle w:val="13"/>
              <w:tabs>
                <w:tab w:val="center" w:pos="4201"/>
                <w:tab w:val="right" w:leader="dot" w:pos="9298"/>
              </w:tabs>
              <w:ind w:firstLine="0" w:firstLineChars="0"/>
              <w:jc w:val="center"/>
              <w:rPr>
                <w:rFonts w:ascii="仿宋" w:hAnsi="仿宋" w:eastAsia="仿宋" w:cs="仿宋"/>
              </w:rPr>
            </w:pPr>
            <w:r>
              <w:rPr>
                <w:rFonts w:hint="eastAsia" w:ascii="仿宋" w:hAnsi="仿宋" w:eastAsia="仿宋" w:cs="仿宋"/>
              </w:rPr>
              <w:t>绿色设计产品评价技术规范 蚝油</w:t>
            </w:r>
          </w:p>
        </w:tc>
        <w:tc>
          <w:tcPr>
            <w:tcW w:w="4688" w:type="dxa"/>
            <w:vAlign w:val="center"/>
          </w:tcPr>
          <w:p>
            <w:pPr>
              <w:pStyle w:val="13"/>
              <w:tabs>
                <w:tab w:val="center" w:pos="4201"/>
                <w:tab w:val="right" w:leader="dot" w:pos="9298"/>
              </w:tabs>
              <w:ind w:firstLine="420"/>
              <w:rPr>
                <w:rFonts w:ascii="仿宋" w:hAnsi="仿宋" w:eastAsia="仿宋" w:cs="仿宋"/>
              </w:rPr>
            </w:pPr>
            <w:r>
              <w:rPr>
                <w:rFonts w:hint="eastAsia" w:ascii="仿宋" w:hAnsi="仿宋" w:eastAsia="仿宋" w:cs="仿宋"/>
              </w:rPr>
              <w:t>本标准规定了蚝油绿色设计产品的术语和定义、评价要求、产品生命周期评价报告编制方法和评价方法。</w:t>
            </w:r>
          </w:p>
          <w:p>
            <w:pPr>
              <w:pStyle w:val="13"/>
              <w:tabs>
                <w:tab w:val="center" w:pos="4201"/>
                <w:tab w:val="right" w:leader="dot" w:pos="9298"/>
              </w:tabs>
              <w:ind w:firstLine="420"/>
              <w:rPr>
                <w:rFonts w:ascii="仿宋" w:hAnsi="仿宋" w:eastAsia="仿宋" w:cs="仿宋"/>
              </w:rPr>
            </w:pPr>
            <w:r>
              <w:rPr>
                <w:rFonts w:hint="eastAsia" w:ascii="仿宋" w:hAnsi="仿宋" w:eastAsia="仿宋" w:cs="仿宋"/>
              </w:rPr>
              <w:t>本标准适用于利用牡蛎蒸/煮后的汁液进行浓缩，再加入食糖、食盐、淀粉或改性淀粉等原料，辅以其他配料和食品添加剂制成的蚝油的绿色设计产品评价。</w:t>
            </w:r>
          </w:p>
        </w:tc>
        <w:tc>
          <w:tcPr>
            <w:tcW w:w="1178" w:type="dxa"/>
            <w:vAlign w:val="center"/>
          </w:tcPr>
          <w:p>
            <w:pPr>
              <w:pStyle w:val="13"/>
              <w:tabs>
                <w:tab w:val="center" w:pos="4201"/>
                <w:tab w:val="right" w:leader="dot" w:pos="9298"/>
              </w:tabs>
              <w:ind w:firstLine="420"/>
              <w:rPr>
                <w:rFonts w:ascii="仿宋" w:hAnsi="仿宋" w:eastAsia="仿宋" w:cs="仿宋"/>
              </w:rPr>
            </w:pPr>
            <w:r>
              <w:rPr>
                <w:rFonts w:hint="eastAsia" w:ascii="仿宋" w:hAnsi="仿宋" w:eastAsia="仿宋" w:cs="仿宋"/>
              </w:rPr>
              <w:t>无</w:t>
            </w:r>
          </w:p>
        </w:tc>
        <w:tc>
          <w:tcPr>
            <w:tcW w:w="1193" w:type="dxa"/>
            <w:vAlign w:val="center"/>
          </w:tcPr>
          <w:p>
            <w:pPr>
              <w:pStyle w:val="13"/>
              <w:tabs>
                <w:tab w:val="center" w:pos="4201"/>
                <w:tab w:val="right" w:leader="dot" w:pos="9298"/>
              </w:tabs>
              <w:ind w:firstLine="420"/>
              <w:rPr>
                <w:rFonts w:ascii="仿宋" w:hAnsi="仿宋" w:eastAsia="仿宋" w:cs="仿宋"/>
              </w:rPr>
            </w:pPr>
            <w:r>
              <w:rPr>
                <w:rFonts w:hint="eastAsia" w:ascii="仿宋" w:hAnsi="仿宋" w:eastAsia="仿宋" w:cs="仿宋"/>
              </w:rPr>
              <w:t>无</w:t>
            </w:r>
          </w:p>
        </w:tc>
        <w:tc>
          <w:tcPr>
            <w:tcW w:w="1096" w:type="dxa"/>
            <w:vAlign w:val="center"/>
          </w:tcPr>
          <w:p>
            <w:pPr>
              <w:pStyle w:val="13"/>
              <w:tabs>
                <w:tab w:val="center" w:pos="4201"/>
                <w:tab w:val="right" w:leader="dot" w:pos="9298"/>
              </w:tabs>
              <w:ind w:firstLine="0" w:firstLineChars="0"/>
              <w:jc w:val="center"/>
              <w:rPr>
                <w:rFonts w:ascii="仿宋" w:hAnsi="仿宋" w:eastAsia="仿宋" w:cs="仿宋"/>
              </w:rPr>
            </w:pPr>
            <w:r>
              <w:rPr>
                <w:rFonts w:hint="eastAsia" w:ascii="仿宋" w:hAnsi="仿宋" w:eastAsia="仿宋" w:cs="仿宋"/>
              </w:rPr>
              <w:t>发布之日起实施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5" w:hRule="atLeast"/>
        </w:trPr>
        <w:tc>
          <w:tcPr>
            <w:tcW w:w="636" w:type="dxa"/>
            <w:vAlign w:val="center"/>
          </w:tcPr>
          <w:p>
            <w:pPr>
              <w:pStyle w:val="13"/>
              <w:tabs>
                <w:tab w:val="center" w:pos="4201"/>
                <w:tab w:val="right" w:leader="dot" w:pos="9298"/>
              </w:tabs>
              <w:ind w:firstLine="210" w:firstLineChars="100"/>
              <w:rPr>
                <w:rFonts w:ascii="仿宋" w:hAnsi="仿宋" w:eastAsia="仿宋" w:cs="仿宋"/>
              </w:rPr>
            </w:pPr>
            <w:r>
              <w:rPr>
                <w:rFonts w:hint="eastAsia" w:ascii="仿宋" w:hAnsi="仿宋" w:eastAsia="仿宋" w:cs="仿宋"/>
              </w:rPr>
              <w:t>6</w:t>
            </w:r>
          </w:p>
        </w:tc>
        <w:tc>
          <w:tcPr>
            <w:tcW w:w="2298" w:type="dxa"/>
            <w:vAlign w:val="center"/>
          </w:tcPr>
          <w:p>
            <w:pPr>
              <w:pStyle w:val="13"/>
              <w:tabs>
                <w:tab w:val="center" w:pos="4201"/>
                <w:tab w:val="right" w:leader="dot" w:pos="9298"/>
              </w:tabs>
              <w:ind w:firstLine="0" w:firstLineChars="0"/>
              <w:rPr>
                <w:rFonts w:ascii="仿宋" w:hAnsi="仿宋" w:eastAsia="仿宋" w:cs="仿宋"/>
              </w:rPr>
            </w:pPr>
            <w:r>
              <w:rPr>
                <w:rFonts w:hint="eastAsia" w:ascii="仿宋" w:hAnsi="仿宋" w:eastAsia="仿宋" w:cs="仿宋"/>
              </w:rPr>
              <w:t>T/CNLIC  0043-2021</w:t>
            </w:r>
          </w:p>
        </w:tc>
        <w:tc>
          <w:tcPr>
            <w:tcW w:w="2432" w:type="dxa"/>
            <w:vAlign w:val="center"/>
          </w:tcPr>
          <w:p>
            <w:pPr>
              <w:pStyle w:val="13"/>
              <w:tabs>
                <w:tab w:val="center" w:pos="4201"/>
                <w:tab w:val="right" w:leader="dot" w:pos="9298"/>
              </w:tabs>
              <w:ind w:firstLine="0" w:firstLineChars="0"/>
              <w:jc w:val="center"/>
              <w:rPr>
                <w:rFonts w:ascii="仿宋" w:hAnsi="仿宋" w:eastAsia="仿宋" w:cs="仿宋"/>
              </w:rPr>
            </w:pPr>
            <w:r>
              <w:rPr>
                <w:rFonts w:hint="eastAsia" w:ascii="仿宋" w:hAnsi="仿宋" w:eastAsia="仿宋" w:cs="仿宋"/>
              </w:rPr>
              <w:t>绿色设计产品评价技术规范 辣椒酱</w:t>
            </w:r>
          </w:p>
        </w:tc>
        <w:tc>
          <w:tcPr>
            <w:tcW w:w="4688" w:type="dxa"/>
            <w:vAlign w:val="center"/>
          </w:tcPr>
          <w:p>
            <w:pPr>
              <w:pStyle w:val="13"/>
              <w:tabs>
                <w:tab w:val="center" w:pos="4201"/>
                <w:tab w:val="right" w:leader="dot" w:pos="9298"/>
              </w:tabs>
              <w:ind w:firstLine="420"/>
              <w:rPr>
                <w:rFonts w:ascii="仿宋" w:hAnsi="仿宋" w:eastAsia="仿宋" w:cs="仿宋"/>
              </w:rPr>
            </w:pPr>
            <w:r>
              <w:rPr>
                <w:rFonts w:hint="eastAsia" w:ascii="仿宋" w:hAnsi="仿宋" w:eastAsia="仿宋" w:cs="仿宋"/>
              </w:rPr>
              <w:t>本标准规定了辣椒酱绿色设计产品的术语和定义、评价要求、产品生命周期评价报告编制方法和评价方法。</w:t>
            </w:r>
          </w:p>
          <w:p>
            <w:pPr>
              <w:pStyle w:val="13"/>
              <w:tabs>
                <w:tab w:val="center" w:pos="4201"/>
                <w:tab w:val="right" w:leader="dot" w:pos="9298"/>
              </w:tabs>
              <w:ind w:firstLine="420"/>
              <w:rPr>
                <w:rFonts w:ascii="仿宋" w:hAnsi="仿宋" w:eastAsia="仿宋" w:cs="仿宋"/>
              </w:rPr>
            </w:pPr>
            <w:r>
              <w:rPr>
                <w:rFonts w:hint="eastAsia" w:ascii="仿宋" w:hAnsi="仿宋" w:eastAsia="仿宋" w:cs="仿宋"/>
              </w:rPr>
              <w:t>本标准适用于以鲜辣椒为主要原料，经发酵等特定工艺加工而制成酱状的辣椒酱的绿色设计产品评价。</w:t>
            </w:r>
          </w:p>
        </w:tc>
        <w:tc>
          <w:tcPr>
            <w:tcW w:w="1178" w:type="dxa"/>
            <w:vAlign w:val="center"/>
          </w:tcPr>
          <w:p>
            <w:pPr>
              <w:pStyle w:val="13"/>
              <w:tabs>
                <w:tab w:val="center" w:pos="4201"/>
                <w:tab w:val="right" w:leader="dot" w:pos="9298"/>
              </w:tabs>
              <w:ind w:firstLine="420"/>
              <w:rPr>
                <w:rFonts w:ascii="仿宋" w:hAnsi="仿宋" w:eastAsia="仿宋" w:cs="仿宋"/>
              </w:rPr>
            </w:pPr>
            <w:r>
              <w:rPr>
                <w:rFonts w:hint="eastAsia" w:ascii="仿宋" w:hAnsi="仿宋" w:eastAsia="仿宋" w:cs="仿宋"/>
              </w:rPr>
              <w:t>无</w:t>
            </w:r>
          </w:p>
        </w:tc>
        <w:tc>
          <w:tcPr>
            <w:tcW w:w="1193" w:type="dxa"/>
            <w:vAlign w:val="center"/>
          </w:tcPr>
          <w:p>
            <w:pPr>
              <w:pStyle w:val="13"/>
              <w:tabs>
                <w:tab w:val="center" w:pos="4201"/>
                <w:tab w:val="right" w:leader="dot" w:pos="9298"/>
              </w:tabs>
              <w:ind w:firstLine="420"/>
              <w:rPr>
                <w:rFonts w:ascii="仿宋" w:hAnsi="仿宋" w:eastAsia="仿宋" w:cs="仿宋"/>
              </w:rPr>
            </w:pPr>
            <w:r>
              <w:rPr>
                <w:rFonts w:hint="eastAsia" w:ascii="仿宋" w:hAnsi="仿宋" w:eastAsia="仿宋" w:cs="仿宋"/>
              </w:rPr>
              <w:t>无</w:t>
            </w:r>
          </w:p>
        </w:tc>
        <w:tc>
          <w:tcPr>
            <w:tcW w:w="1096" w:type="dxa"/>
            <w:vAlign w:val="center"/>
          </w:tcPr>
          <w:p>
            <w:pPr>
              <w:pStyle w:val="13"/>
              <w:tabs>
                <w:tab w:val="center" w:pos="4201"/>
                <w:tab w:val="right" w:leader="dot" w:pos="9298"/>
              </w:tabs>
              <w:ind w:firstLine="0" w:firstLineChars="0"/>
              <w:jc w:val="center"/>
              <w:rPr>
                <w:rFonts w:ascii="仿宋" w:hAnsi="仿宋" w:eastAsia="仿宋" w:cs="仿宋"/>
              </w:rPr>
            </w:pPr>
            <w:r>
              <w:rPr>
                <w:rFonts w:hint="eastAsia" w:ascii="仿宋" w:hAnsi="仿宋" w:eastAsia="仿宋" w:cs="仿宋"/>
              </w:rPr>
              <w:t>发布之日起实施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5" w:hRule="atLeast"/>
        </w:trPr>
        <w:tc>
          <w:tcPr>
            <w:tcW w:w="636" w:type="dxa"/>
            <w:vAlign w:val="center"/>
          </w:tcPr>
          <w:p>
            <w:pPr>
              <w:pStyle w:val="13"/>
              <w:tabs>
                <w:tab w:val="center" w:pos="4201"/>
                <w:tab w:val="right" w:leader="dot" w:pos="9298"/>
              </w:tabs>
              <w:ind w:firstLine="210" w:firstLineChars="100"/>
              <w:rPr>
                <w:rFonts w:hAnsi="宋体"/>
              </w:rPr>
            </w:pPr>
            <w:r>
              <w:rPr>
                <w:rFonts w:hint="eastAsia" w:hAnsi="宋体"/>
              </w:rPr>
              <w:t>7</w:t>
            </w:r>
          </w:p>
        </w:tc>
        <w:tc>
          <w:tcPr>
            <w:tcW w:w="2298" w:type="dxa"/>
            <w:vAlign w:val="center"/>
          </w:tcPr>
          <w:p>
            <w:pPr>
              <w:pStyle w:val="13"/>
              <w:tabs>
                <w:tab w:val="center" w:pos="4201"/>
                <w:tab w:val="right" w:leader="dot" w:pos="9298"/>
              </w:tabs>
              <w:ind w:firstLine="0" w:firstLineChars="0"/>
              <w:rPr>
                <w:rFonts w:ascii="仿宋" w:hAnsi="仿宋" w:eastAsia="仿宋" w:cs="仿宋"/>
                <w:szCs w:val="21"/>
              </w:rPr>
            </w:pPr>
            <w:r>
              <w:rPr>
                <w:rFonts w:hint="eastAsia" w:ascii="仿宋" w:hAnsi="仿宋" w:eastAsia="仿宋" w:cs="仿宋"/>
                <w:szCs w:val="21"/>
              </w:rPr>
              <w:t>T/CNLIC  0044-2021</w:t>
            </w:r>
          </w:p>
        </w:tc>
        <w:tc>
          <w:tcPr>
            <w:tcW w:w="2432" w:type="dxa"/>
            <w:vAlign w:val="center"/>
          </w:tcPr>
          <w:p>
            <w:pPr>
              <w:pStyle w:val="13"/>
              <w:tabs>
                <w:tab w:val="center" w:pos="4201"/>
                <w:tab w:val="right" w:leader="dot" w:pos="9298"/>
              </w:tabs>
              <w:ind w:firstLine="0" w:firstLineChars="0"/>
              <w:jc w:val="center"/>
              <w:rPr>
                <w:rFonts w:ascii="仿宋" w:hAnsi="仿宋" w:eastAsia="仿宋" w:cs="仿宋"/>
                <w:szCs w:val="21"/>
              </w:rPr>
            </w:pPr>
            <w:r>
              <w:rPr>
                <w:rFonts w:hint="eastAsia" w:ascii="仿宋" w:hAnsi="仿宋" w:eastAsia="仿宋" w:cs="仿宋"/>
                <w:szCs w:val="21"/>
              </w:rPr>
              <w:t>住宅整体装修技术规范</w:t>
            </w:r>
          </w:p>
        </w:tc>
        <w:tc>
          <w:tcPr>
            <w:tcW w:w="4688" w:type="dxa"/>
            <w:vAlign w:val="center"/>
          </w:tcPr>
          <w:p>
            <w:pPr>
              <w:pStyle w:val="13"/>
              <w:tabs>
                <w:tab w:val="center" w:pos="4201"/>
                <w:tab w:val="right" w:leader="dot" w:pos="9298"/>
              </w:tabs>
              <w:ind w:firstLine="420"/>
              <w:rPr>
                <w:rFonts w:ascii="仿宋" w:hAnsi="仿宋" w:eastAsia="仿宋" w:cs="仿宋"/>
                <w:szCs w:val="21"/>
              </w:rPr>
            </w:pPr>
            <w:r>
              <w:rPr>
                <w:rFonts w:hint="eastAsia" w:ascii="仿宋" w:hAnsi="仿宋" w:eastAsia="仿宋" w:cs="仿宋"/>
                <w:szCs w:val="21"/>
              </w:rPr>
              <w:t>本文件规定了住宅整体装修的术语和定义、材料要求、设计规范、施工规范、验收标准、服务规范。</w:t>
            </w:r>
          </w:p>
          <w:p>
            <w:pPr>
              <w:pStyle w:val="13"/>
              <w:tabs>
                <w:tab w:val="center" w:pos="4201"/>
                <w:tab w:val="right" w:leader="dot" w:pos="9298"/>
              </w:tabs>
              <w:ind w:firstLine="420"/>
              <w:rPr>
                <w:rFonts w:ascii="仿宋" w:hAnsi="仿宋" w:eastAsia="仿宋" w:cs="仿宋"/>
                <w:szCs w:val="21"/>
              </w:rPr>
            </w:pPr>
            <w:r>
              <w:rPr>
                <w:rFonts w:hint="eastAsia" w:ascii="仿宋" w:hAnsi="仿宋" w:eastAsia="仿宋" w:cs="仿宋"/>
                <w:szCs w:val="21"/>
              </w:rPr>
              <w:t>本文件适用于住宅整体装修，局部装修可参考使用。</w:t>
            </w:r>
          </w:p>
        </w:tc>
        <w:tc>
          <w:tcPr>
            <w:tcW w:w="1178" w:type="dxa"/>
            <w:vAlign w:val="center"/>
          </w:tcPr>
          <w:p>
            <w:pPr>
              <w:pStyle w:val="13"/>
              <w:tabs>
                <w:tab w:val="center" w:pos="4201"/>
                <w:tab w:val="right" w:leader="dot" w:pos="9298"/>
              </w:tabs>
              <w:ind w:firstLine="420"/>
              <w:rPr>
                <w:rFonts w:hAnsi="宋体"/>
              </w:rPr>
            </w:pPr>
            <w:r>
              <w:rPr>
                <w:rFonts w:hint="eastAsia" w:ascii="仿宋" w:hAnsi="仿宋" w:eastAsia="仿宋" w:cs="仿宋"/>
              </w:rPr>
              <w:t>无</w:t>
            </w:r>
          </w:p>
        </w:tc>
        <w:tc>
          <w:tcPr>
            <w:tcW w:w="1193" w:type="dxa"/>
            <w:vAlign w:val="center"/>
          </w:tcPr>
          <w:p>
            <w:pPr>
              <w:pStyle w:val="13"/>
              <w:tabs>
                <w:tab w:val="center" w:pos="4201"/>
                <w:tab w:val="right" w:leader="dot" w:pos="9298"/>
              </w:tabs>
              <w:ind w:firstLine="420"/>
              <w:rPr>
                <w:rFonts w:hAnsi="宋体"/>
              </w:rPr>
            </w:pPr>
            <w:r>
              <w:rPr>
                <w:rFonts w:hint="eastAsia" w:ascii="仿宋" w:hAnsi="仿宋" w:eastAsia="仿宋" w:cs="仿宋"/>
              </w:rPr>
              <w:t>无</w:t>
            </w:r>
          </w:p>
        </w:tc>
        <w:tc>
          <w:tcPr>
            <w:tcW w:w="1096" w:type="dxa"/>
            <w:vAlign w:val="center"/>
          </w:tcPr>
          <w:p>
            <w:pPr>
              <w:pStyle w:val="13"/>
              <w:tabs>
                <w:tab w:val="center" w:pos="4201"/>
                <w:tab w:val="right" w:leader="dot" w:pos="9298"/>
              </w:tabs>
              <w:ind w:firstLine="0" w:firstLineChars="0"/>
              <w:jc w:val="center"/>
              <w:rPr>
                <w:rFonts w:hAnsi="宋体"/>
              </w:rPr>
            </w:pPr>
            <w:r>
              <w:rPr>
                <w:rFonts w:hint="eastAsia" w:ascii="仿宋" w:hAnsi="仿宋" w:eastAsia="仿宋" w:cs="仿宋"/>
              </w:rPr>
              <w:t>发布之日起实施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5" w:hRule="atLeast"/>
        </w:trPr>
        <w:tc>
          <w:tcPr>
            <w:tcW w:w="636" w:type="dxa"/>
            <w:vAlign w:val="center"/>
          </w:tcPr>
          <w:p>
            <w:pPr>
              <w:pStyle w:val="13"/>
              <w:tabs>
                <w:tab w:val="center" w:pos="4201"/>
                <w:tab w:val="right" w:leader="dot" w:pos="9298"/>
              </w:tabs>
              <w:ind w:firstLine="210" w:firstLineChars="100"/>
              <w:rPr>
                <w:rFonts w:hAnsi="宋体"/>
              </w:rPr>
            </w:pPr>
            <w:r>
              <w:rPr>
                <w:rFonts w:hint="eastAsia" w:hAnsi="宋体"/>
              </w:rPr>
              <w:t>8</w:t>
            </w:r>
          </w:p>
        </w:tc>
        <w:tc>
          <w:tcPr>
            <w:tcW w:w="2298" w:type="dxa"/>
            <w:vAlign w:val="center"/>
          </w:tcPr>
          <w:p>
            <w:pPr>
              <w:pStyle w:val="13"/>
              <w:tabs>
                <w:tab w:val="center" w:pos="4201"/>
                <w:tab w:val="right" w:leader="dot" w:pos="9298"/>
              </w:tabs>
              <w:ind w:firstLine="0" w:firstLineChars="0"/>
              <w:jc w:val="center"/>
              <w:rPr>
                <w:rFonts w:ascii="仿宋" w:hAnsi="仿宋" w:eastAsia="仿宋" w:cs="仿宋"/>
                <w:szCs w:val="21"/>
              </w:rPr>
            </w:pPr>
            <w:r>
              <w:rPr>
                <w:rFonts w:hint="eastAsia" w:ascii="仿宋" w:hAnsi="仿宋" w:eastAsia="仿宋" w:cs="仿宋"/>
                <w:szCs w:val="21"/>
              </w:rPr>
              <w:t>T/CNLIC  0045-2021</w:t>
            </w:r>
          </w:p>
        </w:tc>
        <w:tc>
          <w:tcPr>
            <w:tcW w:w="2432" w:type="dxa"/>
            <w:vAlign w:val="center"/>
          </w:tcPr>
          <w:p>
            <w:pPr>
              <w:pStyle w:val="13"/>
              <w:tabs>
                <w:tab w:val="center" w:pos="4201"/>
                <w:tab w:val="right" w:leader="dot" w:pos="9298"/>
              </w:tabs>
              <w:ind w:firstLine="0" w:firstLineChars="0"/>
              <w:jc w:val="center"/>
              <w:rPr>
                <w:rFonts w:ascii="仿宋" w:hAnsi="仿宋" w:eastAsia="仿宋" w:cs="仿宋"/>
                <w:szCs w:val="21"/>
              </w:rPr>
            </w:pPr>
            <w:r>
              <w:rPr>
                <w:rFonts w:hint="eastAsia" w:ascii="仿宋" w:hAnsi="仿宋" w:eastAsia="仿宋" w:cs="仿宋"/>
                <w:szCs w:val="21"/>
              </w:rPr>
              <w:t>电动自行车 防水连接线</w:t>
            </w:r>
          </w:p>
        </w:tc>
        <w:tc>
          <w:tcPr>
            <w:tcW w:w="4688" w:type="dxa"/>
            <w:vAlign w:val="center"/>
          </w:tcPr>
          <w:p>
            <w:pPr>
              <w:pStyle w:val="13"/>
              <w:tabs>
                <w:tab w:val="center" w:pos="4201"/>
                <w:tab w:val="right" w:leader="dot" w:pos="9298"/>
              </w:tabs>
              <w:ind w:firstLine="420"/>
              <w:jc w:val="left"/>
              <w:rPr>
                <w:rFonts w:ascii="仿宋" w:hAnsi="仿宋" w:eastAsia="仿宋" w:cs="仿宋"/>
                <w:szCs w:val="21"/>
              </w:rPr>
            </w:pPr>
            <w:r>
              <w:rPr>
                <w:rFonts w:hint="eastAsia" w:ascii="仿宋" w:hAnsi="仿宋" w:eastAsia="仿宋" w:cs="仿宋"/>
                <w:szCs w:val="21"/>
              </w:rPr>
              <w:t>本文件规定了防水连接器及线束产品的分类、尺寸精度、要求、试验方法、检验规则、包装、运输、贮存。</w:t>
            </w:r>
          </w:p>
          <w:p>
            <w:pPr>
              <w:pStyle w:val="13"/>
              <w:tabs>
                <w:tab w:val="center" w:pos="4201"/>
                <w:tab w:val="right" w:leader="dot" w:pos="9298"/>
              </w:tabs>
              <w:ind w:firstLine="420"/>
              <w:jc w:val="left"/>
              <w:rPr>
                <w:rFonts w:ascii="仿宋" w:hAnsi="仿宋" w:eastAsia="仿宋" w:cs="仿宋"/>
                <w:szCs w:val="21"/>
              </w:rPr>
            </w:pPr>
            <w:r>
              <w:rPr>
                <w:rFonts w:hint="eastAsia" w:ascii="仿宋" w:hAnsi="仿宋" w:eastAsia="仿宋" w:cs="仿宋"/>
                <w:szCs w:val="21"/>
              </w:rPr>
              <w:t>本文件适用于装配在国内销售的电动自行车内的主线束部件及与主线束相连接的接插件。</w:t>
            </w:r>
          </w:p>
          <w:p>
            <w:pPr>
              <w:pStyle w:val="13"/>
              <w:tabs>
                <w:tab w:val="center" w:pos="4201"/>
                <w:tab w:val="right" w:leader="dot" w:pos="9298"/>
              </w:tabs>
              <w:ind w:firstLine="0" w:firstLineChars="0"/>
              <w:jc w:val="center"/>
              <w:rPr>
                <w:rFonts w:ascii="仿宋" w:hAnsi="仿宋" w:eastAsia="仿宋" w:cs="仿宋"/>
                <w:szCs w:val="21"/>
              </w:rPr>
            </w:pPr>
          </w:p>
        </w:tc>
        <w:tc>
          <w:tcPr>
            <w:tcW w:w="1178" w:type="dxa"/>
            <w:vAlign w:val="center"/>
          </w:tcPr>
          <w:p>
            <w:pPr>
              <w:pStyle w:val="13"/>
              <w:tabs>
                <w:tab w:val="center" w:pos="4201"/>
                <w:tab w:val="right" w:leader="dot" w:pos="9298"/>
              </w:tabs>
              <w:ind w:firstLine="420"/>
              <w:rPr>
                <w:rFonts w:hAnsi="宋体"/>
              </w:rPr>
            </w:pPr>
            <w:r>
              <w:rPr>
                <w:rFonts w:hint="eastAsia" w:ascii="仿宋" w:hAnsi="仿宋" w:eastAsia="仿宋" w:cs="仿宋"/>
              </w:rPr>
              <w:t>无</w:t>
            </w:r>
          </w:p>
        </w:tc>
        <w:tc>
          <w:tcPr>
            <w:tcW w:w="1193" w:type="dxa"/>
            <w:vAlign w:val="center"/>
          </w:tcPr>
          <w:p>
            <w:pPr>
              <w:pStyle w:val="13"/>
              <w:tabs>
                <w:tab w:val="center" w:pos="4201"/>
                <w:tab w:val="right" w:leader="dot" w:pos="9298"/>
              </w:tabs>
              <w:ind w:firstLine="420"/>
              <w:rPr>
                <w:rFonts w:hAnsi="宋体"/>
              </w:rPr>
            </w:pPr>
            <w:r>
              <w:rPr>
                <w:rFonts w:hint="eastAsia" w:ascii="仿宋" w:hAnsi="仿宋" w:eastAsia="仿宋" w:cs="仿宋"/>
              </w:rPr>
              <w:t>无</w:t>
            </w:r>
          </w:p>
        </w:tc>
        <w:tc>
          <w:tcPr>
            <w:tcW w:w="1096" w:type="dxa"/>
            <w:vAlign w:val="center"/>
          </w:tcPr>
          <w:p>
            <w:pPr>
              <w:pStyle w:val="13"/>
              <w:tabs>
                <w:tab w:val="center" w:pos="4201"/>
                <w:tab w:val="right" w:leader="dot" w:pos="9298"/>
              </w:tabs>
              <w:ind w:firstLine="0" w:firstLineChars="0"/>
              <w:jc w:val="center"/>
              <w:rPr>
                <w:rFonts w:hAnsi="宋体"/>
              </w:rPr>
            </w:pPr>
            <w:r>
              <w:rPr>
                <w:rFonts w:hint="eastAsia" w:ascii="仿宋" w:hAnsi="仿宋" w:eastAsia="仿宋" w:cs="仿宋"/>
              </w:rPr>
              <w:t>发布之日起实施</w:t>
            </w:r>
          </w:p>
        </w:tc>
      </w:tr>
    </w:tbl>
    <w:p/>
    <w:sectPr>
      <w:pgSz w:w="16838" w:h="11906" w:orient="landscape"/>
      <w:pgMar w:top="1701" w:right="1644" w:bottom="1701" w:left="164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C5917C3"/>
    <w:multiLevelType w:val="multilevel"/>
    <w:tmpl w:val="2C5917C3"/>
    <w:lvl w:ilvl="0" w:tentative="0">
      <w:start w:val="1"/>
      <w:numFmt w:val="none"/>
      <w:suff w:val="nothing"/>
      <w:lvlText w:val="%1——"/>
      <w:lvlJc w:val="left"/>
      <w:pPr>
        <w:ind w:left="833" w:hanging="408"/>
      </w:pPr>
      <w:rPr>
        <w:rFonts w:hint="eastAsia"/>
      </w:rPr>
    </w:lvl>
    <w:lvl w:ilvl="1" w:tentative="0">
      <w:start w:val="1"/>
      <w:numFmt w:val="bullet"/>
      <w:pStyle w:val="16"/>
      <w:lvlText w:val=""/>
      <w:lvlJc w:val="left"/>
      <w:pPr>
        <w:tabs>
          <w:tab w:val="left" w:pos="760"/>
        </w:tabs>
        <w:ind w:left="1264" w:hanging="413"/>
      </w:pPr>
      <w:rPr>
        <w:rFonts w:hint="default" w:ascii="Symbol" w:hAnsi="Symbol"/>
        <w:color w:val="auto"/>
      </w:rPr>
    </w:lvl>
    <w:lvl w:ilvl="2" w:tentative="0">
      <w:start w:val="1"/>
      <w:numFmt w:val="bullet"/>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E6A"/>
    <w:rsid w:val="000A7BC8"/>
    <w:rsid w:val="000B22D4"/>
    <w:rsid w:val="001065E8"/>
    <w:rsid w:val="00140C17"/>
    <w:rsid w:val="00155CC9"/>
    <w:rsid w:val="001956CC"/>
    <w:rsid w:val="001C497C"/>
    <w:rsid w:val="001F6441"/>
    <w:rsid w:val="002340E0"/>
    <w:rsid w:val="0024582F"/>
    <w:rsid w:val="002B3E6B"/>
    <w:rsid w:val="004E6330"/>
    <w:rsid w:val="005361F7"/>
    <w:rsid w:val="00555E88"/>
    <w:rsid w:val="005E1035"/>
    <w:rsid w:val="00601353"/>
    <w:rsid w:val="006053B4"/>
    <w:rsid w:val="00614287"/>
    <w:rsid w:val="0066777A"/>
    <w:rsid w:val="007259DA"/>
    <w:rsid w:val="007C0C48"/>
    <w:rsid w:val="008D720D"/>
    <w:rsid w:val="00902C7A"/>
    <w:rsid w:val="009147BF"/>
    <w:rsid w:val="00976ED7"/>
    <w:rsid w:val="009B3451"/>
    <w:rsid w:val="00A04551"/>
    <w:rsid w:val="00A362B8"/>
    <w:rsid w:val="00A50CE7"/>
    <w:rsid w:val="00A77C22"/>
    <w:rsid w:val="00A81B6D"/>
    <w:rsid w:val="00B53EB9"/>
    <w:rsid w:val="00C71E64"/>
    <w:rsid w:val="00CC4EFC"/>
    <w:rsid w:val="00E02E6A"/>
    <w:rsid w:val="00E10E4A"/>
    <w:rsid w:val="00E60000"/>
    <w:rsid w:val="00ED07CB"/>
    <w:rsid w:val="00F12886"/>
    <w:rsid w:val="018D431D"/>
    <w:rsid w:val="022026DF"/>
    <w:rsid w:val="02652B6B"/>
    <w:rsid w:val="03192DD4"/>
    <w:rsid w:val="03354CE2"/>
    <w:rsid w:val="03694694"/>
    <w:rsid w:val="03A97577"/>
    <w:rsid w:val="04507F19"/>
    <w:rsid w:val="04701326"/>
    <w:rsid w:val="06F06D10"/>
    <w:rsid w:val="07162B28"/>
    <w:rsid w:val="07E1735B"/>
    <w:rsid w:val="08BC0EC3"/>
    <w:rsid w:val="095E6DEA"/>
    <w:rsid w:val="09E71DEC"/>
    <w:rsid w:val="0B92035C"/>
    <w:rsid w:val="0CE93BEC"/>
    <w:rsid w:val="0E073C02"/>
    <w:rsid w:val="0EFA5041"/>
    <w:rsid w:val="10087C4D"/>
    <w:rsid w:val="10725EA8"/>
    <w:rsid w:val="14960796"/>
    <w:rsid w:val="14C67460"/>
    <w:rsid w:val="196061BB"/>
    <w:rsid w:val="19EB4A16"/>
    <w:rsid w:val="1BF24FC0"/>
    <w:rsid w:val="1D035623"/>
    <w:rsid w:val="1E1A0369"/>
    <w:rsid w:val="23185F3C"/>
    <w:rsid w:val="24267E99"/>
    <w:rsid w:val="26AA67C9"/>
    <w:rsid w:val="2BC2788C"/>
    <w:rsid w:val="2CF22DA9"/>
    <w:rsid w:val="2D7107D7"/>
    <w:rsid w:val="2EB15DDC"/>
    <w:rsid w:val="2F04010B"/>
    <w:rsid w:val="2F9962C7"/>
    <w:rsid w:val="2FD80A82"/>
    <w:rsid w:val="32162378"/>
    <w:rsid w:val="327D3EFA"/>
    <w:rsid w:val="33F412EF"/>
    <w:rsid w:val="34AC290A"/>
    <w:rsid w:val="34B6500B"/>
    <w:rsid w:val="35143731"/>
    <w:rsid w:val="380F0B68"/>
    <w:rsid w:val="39BF730A"/>
    <w:rsid w:val="39E84AB3"/>
    <w:rsid w:val="3BB02950"/>
    <w:rsid w:val="3BDD0777"/>
    <w:rsid w:val="3D724298"/>
    <w:rsid w:val="3D8E247D"/>
    <w:rsid w:val="3E4B3FC3"/>
    <w:rsid w:val="3EC9652D"/>
    <w:rsid w:val="415633F2"/>
    <w:rsid w:val="44ED57B8"/>
    <w:rsid w:val="45850A54"/>
    <w:rsid w:val="45996D7C"/>
    <w:rsid w:val="467469BB"/>
    <w:rsid w:val="469A0233"/>
    <w:rsid w:val="47570D53"/>
    <w:rsid w:val="475A2FED"/>
    <w:rsid w:val="49D25E3C"/>
    <w:rsid w:val="4D67434F"/>
    <w:rsid w:val="4EBD6112"/>
    <w:rsid w:val="529A789A"/>
    <w:rsid w:val="52EB57D4"/>
    <w:rsid w:val="53C02525"/>
    <w:rsid w:val="53D828B0"/>
    <w:rsid w:val="54E1799D"/>
    <w:rsid w:val="550F2C00"/>
    <w:rsid w:val="57AF40E0"/>
    <w:rsid w:val="583C04B9"/>
    <w:rsid w:val="58AE488A"/>
    <w:rsid w:val="59205FB0"/>
    <w:rsid w:val="5A4210BA"/>
    <w:rsid w:val="5A93245F"/>
    <w:rsid w:val="5B487437"/>
    <w:rsid w:val="5ED06035"/>
    <w:rsid w:val="603919E2"/>
    <w:rsid w:val="608C0593"/>
    <w:rsid w:val="62302306"/>
    <w:rsid w:val="63E47408"/>
    <w:rsid w:val="654D7A6D"/>
    <w:rsid w:val="66BD05A5"/>
    <w:rsid w:val="68071A17"/>
    <w:rsid w:val="69671693"/>
    <w:rsid w:val="6ABE4D65"/>
    <w:rsid w:val="6C140A80"/>
    <w:rsid w:val="6C745BFD"/>
    <w:rsid w:val="72E5558B"/>
    <w:rsid w:val="762F55F7"/>
    <w:rsid w:val="76B81988"/>
    <w:rsid w:val="76D12A06"/>
    <w:rsid w:val="78CA2074"/>
    <w:rsid w:val="7C5647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qFormat="1" w:unhideWhenUsed="0" w:uiPriority="0" w:semiHidden="0"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Body Text"/>
    <w:basedOn w:val="1"/>
    <w:qFormat/>
    <w:uiPriority w:val="1"/>
    <w:pPr>
      <w:ind w:left="118"/>
      <w:jc w:val="left"/>
    </w:pPr>
    <w:rPr>
      <w:rFonts w:ascii="宋体" w:hAnsi="宋体"/>
      <w:kern w:val="0"/>
      <w:szCs w:val="21"/>
      <w:lang w:eastAsia="en-US"/>
    </w:rPr>
  </w:style>
  <w:style w:type="paragraph" w:styleId="3">
    <w:name w:val="Balloon Text"/>
    <w:basedOn w:val="1"/>
    <w:link w:val="15"/>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HTML Keyboard"/>
    <w:qFormat/>
    <w:uiPriority w:val="0"/>
    <w:rPr>
      <w:rFonts w:ascii="Courier New" w:hAnsi="Courier New"/>
      <w:sz w:val="20"/>
    </w:rPr>
  </w:style>
  <w:style w:type="character" w:customStyle="1" w:styleId="11">
    <w:name w:val="页眉 Char"/>
    <w:basedOn w:val="9"/>
    <w:link w:val="5"/>
    <w:qFormat/>
    <w:uiPriority w:val="99"/>
    <w:rPr>
      <w:sz w:val="18"/>
      <w:szCs w:val="18"/>
    </w:rPr>
  </w:style>
  <w:style w:type="character" w:customStyle="1" w:styleId="12">
    <w:name w:val="页脚 Char"/>
    <w:basedOn w:val="9"/>
    <w:link w:val="4"/>
    <w:qFormat/>
    <w:uiPriority w:val="99"/>
    <w:rPr>
      <w:sz w:val="18"/>
      <w:szCs w:val="18"/>
    </w:rPr>
  </w:style>
  <w:style w:type="paragraph" w:customStyle="1" w:styleId="13">
    <w:name w:val="段"/>
    <w:link w:val="14"/>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14">
    <w:name w:val="段 Char"/>
    <w:basedOn w:val="9"/>
    <w:link w:val="13"/>
    <w:qFormat/>
    <w:uiPriority w:val="0"/>
    <w:rPr>
      <w:rFonts w:ascii="宋体" w:hAnsi="Times New Roman" w:eastAsia="宋体" w:cs="Times New Roman"/>
      <w:kern w:val="0"/>
      <w:szCs w:val="20"/>
    </w:rPr>
  </w:style>
  <w:style w:type="character" w:customStyle="1" w:styleId="15">
    <w:name w:val="批注框文本 Char"/>
    <w:basedOn w:val="9"/>
    <w:link w:val="3"/>
    <w:semiHidden/>
    <w:qFormat/>
    <w:uiPriority w:val="99"/>
    <w:rPr>
      <w:sz w:val="18"/>
      <w:szCs w:val="18"/>
    </w:rPr>
  </w:style>
  <w:style w:type="paragraph" w:customStyle="1" w:styleId="16">
    <w:name w:val="列项●（二级）"/>
    <w:qFormat/>
    <w:uiPriority w:val="0"/>
    <w:pPr>
      <w:numPr>
        <w:ilvl w:val="1"/>
        <w:numId w:val="1"/>
      </w:numPr>
      <w:tabs>
        <w:tab w:val="left" w:pos="840"/>
      </w:tabs>
      <w:jc w:val="both"/>
    </w:pPr>
    <w:rPr>
      <w:rFonts w:ascii="宋体" w:hAnsi="Times New Roman" w:eastAsia="宋体" w:cs="Times New Roman"/>
      <w:sz w:val="21"/>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BABBA2E-EDB8-4424-B7A0-3F83CA61E477}">
  <ds:schemaRefs/>
</ds:datastoreItem>
</file>

<file path=docProps/app.xml><?xml version="1.0" encoding="utf-8"?>
<Properties xmlns="http://schemas.openxmlformats.org/officeDocument/2006/extended-properties" xmlns:vt="http://schemas.openxmlformats.org/officeDocument/2006/docPropsVTypes">
  <Template>Normal</Template>
  <Pages>4</Pages>
  <Words>238</Words>
  <Characters>1357</Characters>
  <Lines>11</Lines>
  <Paragraphs>3</Paragraphs>
  <TotalTime>14</TotalTime>
  <ScaleCrop>false</ScaleCrop>
  <LinksUpToDate>false</LinksUpToDate>
  <CharactersWithSpaces>1592</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2019-06-24T06:04:00Z</dcterms:created>
  <dc:creator>NIEBO</dc:creator>
  <cp:lastModifiedBy>NIEBO</cp:lastModifiedBy>
  <cp:lastPrinted>2021-10-27T03:05:00Z</cp:lastPrinted>
  <dcterms:modified xsi:type="dcterms:W3CDTF">2021-12-29T07:00:48Z</dcterms:modified>
  <cp:revision>86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8BDCCDDA317B4C59A88170D6D3BA2936</vt:lpwstr>
  </property>
</Properties>
</file>