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102"/>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02"/>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textbox>
                    <w:txbxContent>
                      <w:p/>
                    </w:txbxContent>
                  </v:textbox>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19"/>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t>     </w:t>
      </w:r>
      <w:r>
        <w:fldChar w:fldCharType="end"/>
      </w:r>
      <w:bookmarkEnd w:id="3"/>
    </w:p>
    <w:p>
      <w:pPr>
        <w:pStyle w:val="103"/>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山西省</w:t>
      </w:r>
      <w:r>
        <w:fldChar w:fldCharType="end"/>
      </w:r>
      <w:bookmarkEnd w:id="4"/>
      <w:r>
        <w:t>地方标准</w:t>
      </w:r>
    </w:p>
    <w:p>
      <w:pPr>
        <w:pStyle w:val="108"/>
        <w:rPr>
          <w:rFonts w:hAnsi="黑体"/>
        </w:rPr>
      </w:pPr>
      <w:r>
        <w:rPr>
          <w:rFonts w:ascii="Times New Roman"/>
        </w:rPr>
        <w:t xml:space="preserve">DB </w:t>
      </w:r>
      <w:bookmarkStart w:id="5" w:name="StdNo0"/>
      <w:r>
        <w:rPr>
          <w:rFonts w:hAnsi="黑体"/>
        </w:rPr>
        <w:fldChar w:fldCharType="begin">
          <w:ffData>
            <w:name w:val="StdNo0"/>
            <w:enabled/>
            <w:calcOnExit w:val="0"/>
            <w:textInput>
              <w:default w:val="××/T"/>
            </w:textInput>
          </w:ffData>
        </w:fldChar>
      </w:r>
      <w:r>
        <w:rPr>
          <w:rFonts w:hAnsi="黑体"/>
        </w:rPr>
        <w:instrText xml:space="preserve"> FORMTEXT </w:instrText>
      </w:r>
      <w:r>
        <w:rPr>
          <w:rFonts w:hAnsi="黑体"/>
        </w:rPr>
        <w:fldChar w:fldCharType="separate"/>
      </w:r>
      <w:r>
        <w:rPr>
          <w:rFonts w:hAnsi="黑体"/>
        </w:rPr>
        <w:t>××</w:t>
      </w:r>
      <w:r>
        <w:rPr>
          <w:rFonts w:ascii="Times New Roman" w:hAnsi="黑体"/>
        </w:rPr>
        <w:t>/T</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23"/>
            </w:pPr>
            <w:bookmarkStart w:id="8" w:name="DT"/>
            <w:r>
              <w:pict>
                <v:rect id="DT" o:spid="_x0000_s1027" o:spt="1" style="position:absolute;left:0pt;margin-left:372.8pt;margin-top:2.7pt;height:18pt;width:90pt;z-index:-251657216;mso-width-relative:page;mso-height-relative:page;" stroked="f" coordsize="21600,21600">
                  <v:path/>
                  <v:fill focussize="0,0"/>
                  <v:stroke on="f"/>
                  <v:imagedata o:title=""/>
                  <o:lock v:ext="edit"/>
                  <v:textbox>
                    <w:txbxContent>
                      <w:p/>
                    </w:txbxContent>
                  </v:textbox>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108"/>
        <w:rPr>
          <w:rFonts w:hAnsi="黑体"/>
        </w:rPr>
      </w:pPr>
    </w:p>
    <w:p>
      <w:pPr>
        <w:pStyle w:val="108"/>
        <w:rPr>
          <w:rFonts w:hAnsi="黑体"/>
        </w:rPr>
      </w:pPr>
    </w:p>
    <w:p>
      <w:pPr>
        <w:pStyle w:val="43"/>
        <w:framePr w:wrap="around" w:x="1144" w:y="6303"/>
        <w:rPr>
          <w:rFonts w:hint="default" w:eastAsia="黑体"/>
          <w:lang w:val="en-US" w:eastAsia="zh-CN"/>
        </w:rPr>
      </w:pPr>
      <w:r>
        <w:rPr>
          <w:rFonts w:hint="eastAsia"/>
          <w:lang w:val="en-US" w:eastAsia="zh-CN"/>
        </w:rPr>
        <w:t>餐饮企业厉行节约实施指南</w:t>
      </w:r>
    </w:p>
    <w:p>
      <w:pPr>
        <w:pStyle w:val="42"/>
        <w:framePr w:wrap="around" w:x="1144" w:y="6303"/>
      </w:pPr>
      <w:bookmarkStart w:id="9"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点击此处添加标准英文译名</w:t>
      </w:r>
      <w:r>
        <w:fldChar w:fldCharType="end"/>
      </w:r>
      <w:bookmarkEnd w:id="9"/>
    </w:p>
    <w:p>
      <w:pPr>
        <w:pStyle w:val="41"/>
        <w:framePr w:wrap="around" w:x="1144" w:y="6303"/>
      </w:pPr>
      <w:bookmarkStart w:id="10"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0"/>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40"/>
              <w:framePr w:wrap="around" w:x="1144" w:y="6303"/>
            </w:pPr>
            <w:r>
              <w:pict>
                <v:rect id="RQ" o:spid="_x0000_s1028" o:spt="1" style="position:absolute;left:0pt;margin-left:173.3pt;margin-top:45.15pt;height:20pt;width:150pt;z-index:-251655168;mso-width-relative:page;mso-height-relative:page;" stroked="f" coordsize="21600,21600">
                  <v:path/>
                  <v:fill focussize="0,0"/>
                  <v:stroke on="f"/>
                  <v:imagedata o:title=""/>
                  <o:lock v:ext="edit"/>
                  <v:textbox>
                    <w:txbxContent>
                      <w:p/>
                    </w:txbxContent>
                  </v:textbox>
                  <w10:anchorlock/>
                </v:rect>
              </w:pict>
            </w:r>
            <w:r>
              <w:pict>
                <v:rect id="LB" o:spid="_x0000_s1029" o:spt="1" style="position:absolute;left:0pt;margin-left:193.3pt;margin-top:20.15pt;height:24pt;width:100pt;z-index:-251656192;mso-width-relative:page;mso-height-relative:page;" stroked="f" coordsize="21600,21600">
                  <v:path/>
                  <v:fill focussize="0,0"/>
                  <v:stroke on="f"/>
                  <v:imagedata o:title=""/>
                  <o:lock v:ext="edit"/>
                  <v:textbox>
                    <w:txbxContent>
                      <w:p/>
                    </w:txbxContent>
                  </v:textbox>
                </v:rect>
              </w:pict>
            </w:r>
            <w:bookmarkStart w:id="11" w:name="LB"/>
            <w:r>
              <w:rPr>
                <w:rFonts w:ascii="宋体" w:hAnsi="Times New Roman" w:eastAsia="宋体" w:cs="Times New Roman"/>
                <w:sz w:val="24"/>
                <w:szCs w:val="28"/>
                <w:lang w:val="en-US" w:eastAsia="zh-CN" w:bidi="ar-SA"/>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6"/>
              <w:framePr w:wrap="around" w:x="1144" w:y="6303"/>
            </w:pPr>
            <w:bookmarkStart w:id="12" w:name="WCRQ"/>
            <w:r>
              <w:fldChar w:fldCharType="begin">
                <w:ffData>
                  <w:name w:val="WCRQ"/>
                  <w:enabled/>
                  <w:calcOnExit w:val="0"/>
                  <w:textInput/>
                </w:ffData>
              </w:fldChar>
            </w:r>
            <w:r>
              <w:instrText xml:space="preserve"> FORMTEXT </w:instrText>
            </w:r>
            <w:r>
              <w:fldChar w:fldCharType="separate"/>
            </w:r>
            <w:r>
              <w:t>     </w:t>
            </w:r>
            <w:r>
              <w:fldChar w:fldCharType="end"/>
            </w:r>
            <w:bookmarkEnd w:id="12"/>
          </w:p>
        </w:tc>
      </w:tr>
    </w:tbl>
    <w:p>
      <w:pPr>
        <w:pStyle w:val="55"/>
      </w:pPr>
      <w:bookmarkStart w:id="13"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4"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rPr>
          <w:rFonts w:hint="eastAsia"/>
        </w:rPr>
        <w:t>发布</w:t>
      </w:r>
      <w:r>
        <w:pict>
          <v:line id="直线 10" o:spid="_x0000_s1030" o:spt="20" style="position:absolute;left:0pt;margin-left:-0.05pt;margin-top:728.5pt;height:0pt;width:481.9pt;mso-position-vertical-relative:page;z-index:251663360;mso-width-relative:page;mso-height-relative:page;" coordsize="21600,21600">
            <v:path arrowok="t"/>
            <v:fill focussize="0,0"/>
            <v:stroke/>
            <v:imagedata o:title=""/>
            <o:lock v:ext="edit"/>
            <w10:anchorlock/>
          </v:line>
        </w:pict>
      </w:r>
    </w:p>
    <w:p>
      <w:pPr>
        <w:pStyle w:val="93"/>
      </w:pPr>
      <w:bookmarkStart w:id="15"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t xml:space="preserve"> </w:t>
      </w:r>
      <w:r>
        <w:rPr>
          <w:rFonts w:ascii="黑体"/>
        </w:rPr>
        <w:t>-</w:t>
      </w:r>
      <w:r>
        <w:t xml:space="preserve"> </w:t>
      </w:r>
      <w:bookmarkStart w:id="16"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bookmarkStart w:id="17"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rPr>
          <w:rFonts w:hint="eastAsia"/>
        </w:rPr>
        <w:t>实施</w:t>
      </w:r>
    </w:p>
    <w:p>
      <w:pPr>
        <w:pStyle w:val="65"/>
        <w:sectPr>
          <w:pgSz w:w="11906" w:h="16838"/>
          <w:pgMar w:top="1440" w:right="1800" w:bottom="1440" w:left="1800" w:header="851" w:footer="992" w:gutter="0"/>
          <w:cols w:space="425" w:num="1"/>
          <w:docGrid w:type="lines" w:linePitch="312" w:charSpace="0"/>
        </w:sectPr>
      </w:pPr>
      <w:bookmarkStart w:id="18" w:name="fm"/>
      <w:r>
        <w:fldChar w:fldCharType="begin">
          <w:ffData>
            <w:name w:val="fm"/>
            <w:enabled/>
            <w:calcOnExit w:val="0"/>
            <w:textInput/>
          </w:ffData>
        </w:fldChar>
      </w:r>
      <w:r>
        <w:instrText xml:space="preserve"> FORMTEXT </w:instrText>
      </w:r>
      <w:r>
        <w:fldChar w:fldCharType="separate"/>
      </w:r>
      <w:r>
        <w:rPr>
          <w:rFonts w:hint="eastAsia"/>
        </w:rPr>
        <w:t>山西省市场监督管理局</w:t>
      </w:r>
      <w:r>
        <w:fldChar w:fldCharType="end"/>
      </w:r>
      <w:bookmarkEnd w:id="18"/>
      <w:r>
        <w:rPr>
          <w:rFonts w:hint="eastAsia" w:ascii="MS Mincho" w:hAnsi="MS Mincho" w:eastAsia="MS Mincho" w:cs="MS Mincho"/>
        </w:rPr>
        <w:t>   </w:t>
      </w:r>
      <w:r>
        <w:rPr>
          <w:rStyle w:val="133"/>
          <w:rFonts w:hint="eastAsia"/>
        </w:rPr>
        <w:t>发布</w:t>
      </w:r>
      <w:r>
        <w:pict>
          <v:line id="直线 11" o:spid="_x0000_s1031" o:spt="20" style="position:absolute;left:0pt;margin-left:-0.05pt;margin-top:184.25pt;height:0pt;width:481.9pt;z-index:251664384;mso-width-relative:page;mso-height-relative:page;" coordsize="21600,21600">
            <v:path arrowok="t"/>
            <v:fill focussize="0,0"/>
            <v:stroke/>
            <v:imagedata o:title=""/>
            <o:lock v:ext="edit"/>
          </v:line>
        </w:pict>
      </w:r>
    </w:p>
    <w:p>
      <w:pPr>
        <w:pStyle w:val="38"/>
        <w:rPr>
          <w:rFonts w:hint="eastAsia"/>
        </w:rPr>
      </w:pPr>
      <w:bookmarkStart w:id="19" w:name="_Toc6346"/>
      <w:bookmarkStart w:id="20" w:name="_Toc21473336"/>
      <w:bookmarkStart w:id="21" w:name="_Toc14444311"/>
      <w:bookmarkStart w:id="22" w:name="_Toc24410133"/>
      <w:bookmarkStart w:id="23" w:name="_Toc14766153"/>
      <w:r>
        <w:rPr>
          <w:rFonts w:hint="eastAsia"/>
        </w:rPr>
        <w:t>目</w:t>
      </w:r>
      <w:bookmarkStart w:id="24" w:name="BKML"/>
      <w:r>
        <w:rPr>
          <w:rFonts w:hint="eastAsia" w:ascii="MS Mincho" w:hAnsi="MS Mincho" w:eastAsia="MS Mincho" w:cs="MS Mincho"/>
        </w:rPr>
        <w:t>  </w:t>
      </w:r>
      <w:r>
        <w:rPr>
          <w:rFonts w:hint="eastAsia"/>
        </w:rPr>
        <w:t>次</w:t>
      </w:r>
      <w:bookmarkEnd w:id="19"/>
      <w:bookmarkEnd w:id="24"/>
    </w:p>
    <w:p>
      <w:pPr>
        <w:pStyle w:val="17"/>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fldLock="1"/>
      </w:r>
      <w:r>
        <w:rPr>
          <w:rStyle w:val="35"/>
        </w:rPr>
        <w:instrText xml:space="preserve"> </w:instrText>
      </w:r>
      <w:r>
        <w:instrText xml:space="preserve">HYPERLINK \l "_Toc25368155"</w:instrText>
      </w:r>
      <w:r>
        <w:rPr>
          <w:rStyle w:val="35"/>
        </w:rPr>
        <w:instrText xml:space="preserve"> </w:instrText>
      </w:r>
      <w:r>
        <w:fldChar w:fldCharType="separate"/>
      </w:r>
      <w:r>
        <w:rPr>
          <w:rStyle w:val="35"/>
          <w:rFonts w:hint="eastAsia"/>
        </w:rPr>
        <w:t>前言</w:t>
      </w:r>
      <w:r>
        <w:tab/>
      </w:r>
      <w:r>
        <w:fldChar w:fldCharType="begin" w:fldLock="1"/>
      </w:r>
      <w:r>
        <w:instrText xml:space="preserve"> PAGEREF _Toc25368155 \h </w:instrText>
      </w:r>
      <w:r>
        <w:fldChar w:fldCharType="separate"/>
      </w:r>
      <w:r>
        <w:t>II</w:t>
      </w:r>
      <w:r>
        <w:fldChar w:fldCharType="end"/>
      </w:r>
      <w:r>
        <w:fldChar w:fldCharType="end"/>
      </w:r>
    </w:p>
    <w:p>
      <w:pPr>
        <w:pStyle w:val="17"/>
        <w:spacing w:before="78" w:after="78"/>
        <w:rPr>
          <w:rFonts w:ascii="Calibri" w:hAnsi="Calibri"/>
          <w:szCs w:val="22"/>
        </w:rPr>
      </w:pPr>
      <w:r>
        <w:fldChar w:fldCharType="begin" w:fldLock="1"/>
      </w:r>
      <w:r>
        <w:rPr>
          <w:rStyle w:val="35"/>
        </w:rPr>
        <w:instrText xml:space="preserve"> </w:instrText>
      </w:r>
      <w:r>
        <w:instrText xml:space="preserve">HYPERLINK \l "_Toc25368156"</w:instrText>
      </w:r>
      <w:r>
        <w:rPr>
          <w:rStyle w:val="35"/>
        </w:rPr>
        <w:instrText xml:space="preserve"> </w:instrText>
      </w:r>
      <w:r>
        <w:fldChar w:fldCharType="separate"/>
      </w:r>
      <w:r>
        <w:rPr>
          <w:rStyle w:val="35"/>
        </w:rPr>
        <w:t>1</w:t>
      </w:r>
      <w:r>
        <w:rPr>
          <w:rStyle w:val="35"/>
          <w:rFonts w:hint="eastAsia"/>
        </w:rPr>
        <w:t>　范围</w:t>
      </w:r>
      <w:r>
        <w:tab/>
      </w:r>
      <w:r>
        <w:fldChar w:fldCharType="begin" w:fldLock="1"/>
      </w:r>
      <w:r>
        <w:instrText xml:space="preserve"> PAGEREF _Toc25368156 \h </w:instrText>
      </w:r>
      <w:r>
        <w:fldChar w:fldCharType="separate"/>
      </w:r>
      <w:r>
        <w:t>1</w:t>
      </w:r>
      <w:r>
        <w:fldChar w:fldCharType="end"/>
      </w:r>
      <w:r>
        <w:fldChar w:fldCharType="end"/>
      </w:r>
    </w:p>
    <w:p>
      <w:pPr>
        <w:pStyle w:val="17"/>
        <w:spacing w:before="78" w:after="78"/>
        <w:rPr>
          <w:rFonts w:ascii="Calibri" w:hAnsi="Calibri"/>
          <w:szCs w:val="22"/>
        </w:rPr>
      </w:pPr>
      <w:r>
        <w:fldChar w:fldCharType="begin" w:fldLock="1"/>
      </w:r>
      <w:r>
        <w:rPr>
          <w:rStyle w:val="35"/>
        </w:rPr>
        <w:instrText xml:space="preserve"> </w:instrText>
      </w:r>
      <w:r>
        <w:instrText xml:space="preserve">HYPERLINK \l "_Toc25368157"</w:instrText>
      </w:r>
      <w:r>
        <w:rPr>
          <w:rStyle w:val="35"/>
        </w:rPr>
        <w:instrText xml:space="preserve"> </w:instrText>
      </w:r>
      <w:r>
        <w:fldChar w:fldCharType="separate"/>
      </w:r>
      <w:r>
        <w:rPr>
          <w:rStyle w:val="35"/>
        </w:rPr>
        <w:t>2</w:t>
      </w:r>
      <w:r>
        <w:rPr>
          <w:rStyle w:val="35"/>
          <w:rFonts w:hint="eastAsia"/>
        </w:rPr>
        <w:t>　规范性引用文件</w:t>
      </w:r>
      <w:r>
        <w:tab/>
      </w:r>
      <w:r>
        <w:fldChar w:fldCharType="begin" w:fldLock="1"/>
      </w:r>
      <w:r>
        <w:instrText xml:space="preserve"> PAGEREF _Toc25368157 \h </w:instrText>
      </w:r>
      <w:r>
        <w:fldChar w:fldCharType="separate"/>
      </w:r>
      <w:r>
        <w:t>1</w:t>
      </w:r>
      <w:r>
        <w:fldChar w:fldCharType="end"/>
      </w:r>
      <w:r>
        <w:fldChar w:fldCharType="end"/>
      </w:r>
    </w:p>
    <w:p>
      <w:pPr>
        <w:pStyle w:val="17"/>
        <w:spacing w:before="78" w:after="78"/>
        <w:rPr>
          <w:rFonts w:ascii="Calibri" w:hAnsi="Calibri"/>
          <w:szCs w:val="22"/>
        </w:rPr>
      </w:pPr>
      <w:r>
        <w:fldChar w:fldCharType="begin" w:fldLock="1"/>
      </w:r>
      <w:r>
        <w:rPr>
          <w:rStyle w:val="35"/>
        </w:rPr>
        <w:instrText xml:space="preserve"> </w:instrText>
      </w:r>
      <w:r>
        <w:instrText xml:space="preserve">HYPERLINK \l "_Toc25368158"</w:instrText>
      </w:r>
      <w:r>
        <w:rPr>
          <w:rStyle w:val="35"/>
        </w:rPr>
        <w:instrText xml:space="preserve"> </w:instrText>
      </w:r>
      <w:r>
        <w:fldChar w:fldCharType="separate"/>
      </w:r>
      <w:r>
        <w:rPr>
          <w:rStyle w:val="35"/>
        </w:rPr>
        <w:t>3</w:t>
      </w:r>
      <w:r>
        <w:rPr>
          <w:rStyle w:val="35"/>
          <w:rFonts w:hint="eastAsia"/>
        </w:rPr>
        <w:t>　术语和定义</w:t>
      </w:r>
      <w:r>
        <w:tab/>
      </w:r>
      <w:r>
        <w:fldChar w:fldCharType="begin" w:fldLock="1"/>
      </w:r>
      <w:r>
        <w:instrText xml:space="preserve"> PAGEREF _Toc25368158 \h </w:instrText>
      </w:r>
      <w:r>
        <w:fldChar w:fldCharType="separate"/>
      </w:r>
      <w:r>
        <w:t>1</w:t>
      </w:r>
      <w:r>
        <w:fldChar w:fldCharType="end"/>
      </w:r>
      <w:r>
        <w:fldChar w:fldCharType="end"/>
      </w:r>
    </w:p>
    <w:p>
      <w:pPr>
        <w:pStyle w:val="17"/>
        <w:spacing w:before="78" w:after="78"/>
        <w:rPr>
          <w:rFonts w:ascii="Calibri" w:hAnsi="Calibri"/>
          <w:szCs w:val="22"/>
        </w:rPr>
      </w:pPr>
      <w:r>
        <w:fldChar w:fldCharType="begin" w:fldLock="1"/>
      </w:r>
      <w:r>
        <w:rPr>
          <w:rStyle w:val="35"/>
        </w:rPr>
        <w:instrText xml:space="preserve"> </w:instrText>
      </w:r>
      <w:r>
        <w:instrText xml:space="preserve">HYPERLINK \l "_Toc25368159"</w:instrText>
      </w:r>
      <w:r>
        <w:rPr>
          <w:rStyle w:val="35"/>
        </w:rPr>
        <w:instrText xml:space="preserve"> </w:instrText>
      </w:r>
      <w:r>
        <w:fldChar w:fldCharType="separate"/>
      </w:r>
      <w:r>
        <w:rPr>
          <w:rStyle w:val="35"/>
        </w:rPr>
        <w:t>4</w:t>
      </w:r>
      <w:r>
        <w:rPr>
          <w:rStyle w:val="35"/>
          <w:rFonts w:hint="eastAsia"/>
        </w:rPr>
        <w:t>　</w:t>
      </w:r>
      <w:r>
        <w:rPr>
          <w:rStyle w:val="35"/>
          <w:rFonts w:hint="eastAsia"/>
          <w:lang w:val="en-US" w:eastAsia="zh-CN"/>
        </w:rPr>
        <w:t>基本要求</w:t>
      </w:r>
      <w:r>
        <w:tab/>
      </w:r>
      <w:r>
        <w:rPr>
          <w:rFonts w:hint="eastAsia"/>
          <w:lang w:val="en-US" w:eastAsia="zh-CN"/>
        </w:rPr>
        <w:t>2</w:t>
      </w:r>
      <w:r>
        <w:fldChar w:fldCharType="end"/>
      </w:r>
    </w:p>
    <w:p>
      <w:pPr>
        <w:pStyle w:val="17"/>
        <w:spacing w:before="78" w:after="78"/>
        <w:rPr>
          <w:rFonts w:ascii="Calibri" w:hAnsi="Calibri"/>
          <w:szCs w:val="22"/>
        </w:rPr>
      </w:pPr>
      <w:r>
        <w:fldChar w:fldCharType="end"/>
      </w: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5</w:t>
      </w:r>
      <w:r>
        <w:rPr>
          <w:rStyle w:val="35"/>
          <w:rFonts w:hint="eastAsia"/>
          <w:color w:val="auto"/>
          <w:u w:val="none"/>
        </w:rPr>
        <w:t>　</w:t>
      </w:r>
      <w:r>
        <w:rPr>
          <w:rStyle w:val="35"/>
          <w:rFonts w:hint="eastAsia"/>
          <w:color w:val="auto"/>
          <w:u w:val="none"/>
          <w:lang w:val="en-US" w:eastAsia="zh-CN"/>
        </w:rPr>
        <w:t>社会餐饮</w:t>
      </w:r>
      <w:r>
        <w:rPr>
          <w:color w:val="auto"/>
          <w:u w:val="none"/>
        </w:rPr>
        <w:tab/>
      </w:r>
      <w:r>
        <w:rPr>
          <w:rFonts w:hint="eastAsia"/>
          <w:color w:val="auto"/>
          <w:u w:val="none"/>
          <w:lang w:val="en-US" w:eastAsia="zh-CN"/>
        </w:rPr>
        <w:t>2</w:t>
      </w:r>
      <w:r>
        <w:rPr>
          <w:color w:val="auto"/>
          <w:u w:val="none"/>
        </w:rPr>
        <w:fldChar w:fldCharType="end"/>
      </w:r>
    </w:p>
    <w:p>
      <w:pPr>
        <w:pStyle w:val="17"/>
        <w:spacing w:before="78" w:after="78"/>
        <w:rPr>
          <w:rFonts w:ascii="Calibri" w:hAnsi="Calibri"/>
          <w:szCs w:val="22"/>
        </w:rPr>
      </w:pP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6</w:t>
      </w:r>
      <w:r>
        <w:rPr>
          <w:rStyle w:val="35"/>
          <w:rFonts w:hint="eastAsia"/>
          <w:color w:val="auto"/>
          <w:u w:val="none"/>
        </w:rPr>
        <w:t>　</w:t>
      </w:r>
      <w:r>
        <w:rPr>
          <w:rStyle w:val="35"/>
          <w:rFonts w:hint="eastAsia"/>
          <w:color w:val="auto"/>
          <w:u w:val="none"/>
          <w:lang w:val="en-US" w:eastAsia="zh-CN"/>
        </w:rPr>
        <w:t>宴席</w:t>
      </w:r>
      <w:r>
        <w:rPr>
          <w:color w:val="auto"/>
          <w:u w:val="none"/>
        </w:rPr>
        <w:tab/>
      </w:r>
      <w:r>
        <w:rPr>
          <w:rFonts w:hint="eastAsia"/>
          <w:color w:val="auto"/>
          <w:u w:val="none"/>
          <w:lang w:val="en-US" w:eastAsia="zh-CN"/>
        </w:rPr>
        <w:t>2</w:t>
      </w:r>
      <w:r>
        <w:rPr>
          <w:color w:val="auto"/>
          <w:u w:val="none"/>
        </w:rPr>
        <w:fldChar w:fldCharType="end"/>
      </w:r>
    </w:p>
    <w:p>
      <w:pPr>
        <w:pStyle w:val="17"/>
        <w:spacing w:before="78" w:after="78"/>
        <w:rPr>
          <w:rFonts w:ascii="Calibri" w:hAnsi="Calibri"/>
          <w:szCs w:val="22"/>
        </w:rPr>
      </w:pP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7</w:t>
      </w:r>
      <w:r>
        <w:rPr>
          <w:rStyle w:val="35"/>
          <w:rFonts w:hint="eastAsia"/>
          <w:color w:val="auto"/>
          <w:u w:val="none"/>
        </w:rPr>
        <w:t>　</w:t>
      </w:r>
      <w:r>
        <w:rPr>
          <w:rStyle w:val="35"/>
          <w:rFonts w:hint="eastAsia"/>
          <w:color w:val="auto"/>
          <w:u w:val="none"/>
          <w:lang w:val="en-US" w:eastAsia="zh-CN"/>
        </w:rPr>
        <w:t>自助餐</w:t>
      </w:r>
      <w:r>
        <w:rPr>
          <w:color w:val="auto"/>
          <w:u w:val="none"/>
        </w:rPr>
        <w:tab/>
      </w:r>
      <w:r>
        <w:rPr>
          <w:rFonts w:hint="eastAsia"/>
          <w:color w:val="auto"/>
          <w:u w:val="none"/>
          <w:lang w:val="en-US" w:eastAsia="zh-CN"/>
        </w:rPr>
        <w:t>2</w:t>
      </w:r>
      <w:r>
        <w:rPr>
          <w:color w:val="auto"/>
          <w:u w:val="none"/>
        </w:rPr>
        <w:fldChar w:fldCharType="end"/>
      </w:r>
    </w:p>
    <w:p>
      <w:pPr>
        <w:pStyle w:val="17"/>
        <w:spacing w:before="78" w:after="78"/>
        <w:rPr>
          <w:rFonts w:ascii="Calibri" w:hAnsi="Calibri"/>
          <w:szCs w:val="22"/>
        </w:rPr>
      </w:pP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8</w:t>
      </w:r>
      <w:r>
        <w:rPr>
          <w:rStyle w:val="35"/>
          <w:rFonts w:hint="eastAsia"/>
          <w:color w:val="auto"/>
          <w:u w:val="none"/>
        </w:rPr>
        <w:t>　</w:t>
      </w:r>
      <w:r>
        <w:rPr>
          <w:rStyle w:val="35"/>
          <w:rFonts w:hint="eastAsia"/>
          <w:color w:val="auto"/>
          <w:u w:val="none"/>
          <w:lang w:val="en-US" w:eastAsia="zh-CN"/>
        </w:rPr>
        <w:t>外卖</w:t>
      </w:r>
      <w:r>
        <w:rPr>
          <w:color w:val="auto"/>
          <w:u w:val="none"/>
        </w:rPr>
        <w:tab/>
      </w:r>
      <w:r>
        <w:rPr>
          <w:rFonts w:hint="eastAsia"/>
          <w:color w:val="auto"/>
          <w:u w:val="none"/>
          <w:lang w:val="en-US" w:eastAsia="zh-CN"/>
        </w:rPr>
        <w:t>3</w:t>
      </w:r>
      <w:r>
        <w:rPr>
          <w:color w:val="auto"/>
          <w:u w:val="none"/>
        </w:rPr>
        <w:fldChar w:fldCharType="end"/>
      </w:r>
    </w:p>
    <w:p>
      <w:pPr>
        <w:pStyle w:val="17"/>
        <w:spacing w:before="78" w:after="78"/>
        <w:rPr>
          <w:rFonts w:ascii="Calibri" w:hAnsi="Calibri"/>
          <w:szCs w:val="22"/>
        </w:rPr>
      </w:pP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9</w:t>
      </w:r>
      <w:r>
        <w:rPr>
          <w:rStyle w:val="35"/>
          <w:rFonts w:hint="eastAsia"/>
          <w:color w:val="auto"/>
          <w:u w:val="none"/>
        </w:rPr>
        <w:t>　</w:t>
      </w:r>
      <w:r>
        <w:rPr>
          <w:rStyle w:val="35"/>
          <w:rFonts w:hint="eastAsia"/>
          <w:color w:val="auto"/>
          <w:u w:val="none"/>
          <w:lang w:val="en-US" w:eastAsia="zh-CN"/>
        </w:rPr>
        <w:t>家庭用餐</w:t>
      </w:r>
      <w:r>
        <w:rPr>
          <w:color w:val="auto"/>
          <w:u w:val="none"/>
        </w:rPr>
        <w:tab/>
      </w:r>
      <w:r>
        <w:rPr>
          <w:rFonts w:hint="eastAsia"/>
          <w:color w:val="auto"/>
          <w:u w:val="none"/>
          <w:lang w:val="en-US" w:eastAsia="zh-CN"/>
        </w:rPr>
        <w:t>3</w:t>
      </w:r>
      <w:r>
        <w:rPr>
          <w:color w:val="auto"/>
          <w:u w:val="none"/>
        </w:rPr>
        <w:fldChar w:fldCharType="end"/>
      </w:r>
    </w:p>
    <w:p>
      <w:pPr>
        <w:pStyle w:val="17"/>
        <w:spacing w:before="78" w:after="78"/>
        <w:rPr>
          <w:rFonts w:ascii="Calibri" w:hAnsi="Calibri"/>
          <w:szCs w:val="22"/>
        </w:rPr>
      </w:pP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10</w:t>
      </w:r>
      <w:r>
        <w:rPr>
          <w:rStyle w:val="35"/>
          <w:rFonts w:hint="eastAsia"/>
          <w:color w:val="auto"/>
          <w:u w:val="none"/>
        </w:rPr>
        <w:t>　</w:t>
      </w:r>
      <w:r>
        <w:rPr>
          <w:rStyle w:val="35"/>
          <w:rFonts w:hint="eastAsia"/>
          <w:color w:val="auto"/>
          <w:u w:val="none"/>
          <w:lang w:val="en-US" w:eastAsia="zh-CN"/>
        </w:rPr>
        <w:t>宣传引导</w:t>
      </w:r>
      <w:r>
        <w:rPr>
          <w:color w:val="auto"/>
          <w:u w:val="none"/>
        </w:rPr>
        <w:tab/>
      </w:r>
      <w:r>
        <w:rPr>
          <w:rFonts w:hint="eastAsia"/>
          <w:color w:val="auto"/>
          <w:u w:val="none"/>
          <w:lang w:val="en-US" w:eastAsia="zh-CN"/>
        </w:rPr>
        <w:t>3</w:t>
      </w:r>
      <w:r>
        <w:rPr>
          <w:color w:val="auto"/>
          <w:u w:val="none"/>
        </w:rPr>
        <w:fldChar w:fldCharType="end"/>
      </w:r>
    </w:p>
    <w:p>
      <w:pPr>
        <w:pStyle w:val="17"/>
        <w:spacing w:before="78" w:after="78"/>
        <w:rPr>
          <w:rFonts w:ascii="Calibri" w:hAnsi="Calibri"/>
          <w:szCs w:val="22"/>
        </w:rPr>
      </w:pP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11</w:t>
      </w:r>
      <w:r>
        <w:rPr>
          <w:rStyle w:val="35"/>
          <w:rFonts w:hint="eastAsia"/>
          <w:color w:val="auto"/>
          <w:u w:val="none"/>
        </w:rPr>
        <w:t>　</w:t>
      </w:r>
      <w:r>
        <w:rPr>
          <w:rStyle w:val="35"/>
          <w:rFonts w:hint="eastAsia"/>
          <w:color w:val="auto"/>
          <w:u w:val="none"/>
          <w:lang w:val="en-US" w:eastAsia="zh-CN"/>
        </w:rPr>
        <w:t>持续改进</w:t>
      </w:r>
      <w:r>
        <w:rPr>
          <w:color w:val="auto"/>
          <w:u w:val="none"/>
        </w:rPr>
        <w:tab/>
      </w:r>
      <w:r>
        <w:rPr>
          <w:rFonts w:hint="eastAsia"/>
          <w:color w:val="auto"/>
          <w:u w:val="none"/>
          <w:lang w:val="en-US" w:eastAsia="zh-CN"/>
        </w:rPr>
        <w:t>3</w:t>
      </w:r>
      <w:r>
        <w:rPr>
          <w:color w:val="auto"/>
          <w:u w:val="none"/>
        </w:rPr>
        <w:fldChar w:fldCharType="end"/>
      </w:r>
    </w:p>
    <w:p>
      <w:pPr>
        <w:pStyle w:val="17"/>
        <w:spacing w:before="78" w:after="78"/>
        <w:rPr>
          <w:rFonts w:ascii="Calibri" w:hAnsi="Calibri"/>
          <w:szCs w:val="22"/>
        </w:rPr>
      </w:pPr>
      <w:r>
        <w:rPr>
          <w:color w:val="auto"/>
          <w:u w:val="none"/>
        </w:rPr>
        <w:fldChar w:fldCharType="begin" w:fldLock="1"/>
      </w:r>
      <w:r>
        <w:rPr>
          <w:rStyle w:val="35"/>
          <w:color w:val="auto"/>
          <w:u w:val="none"/>
        </w:rPr>
        <w:instrText xml:space="preserve"> </w:instrText>
      </w:r>
      <w:r>
        <w:rPr>
          <w:color w:val="auto"/>
          <w:u w:val="none"/>
        </w:rPr>
        <w:instrText xml:space="preserve">HYPERLINK \l "_Toc25368159"</w:instrText>
      </w:r>
      <w:r>
        <w:rPr>
          <w:rStyle w:val="35"/>
          <w:color w:val="auto"/>
          <w:u w:val="none"/>
        </w:rPr>
        <w:instrText xml:space="preserve"> </w:instrText>
      </w:r>
      <w:r>
        <w:rPr>
          <w:color w:val="auto"/>
          <w:u w:val="none"/>
        </w:rPr>
        <w:fldChar w:fldCharType="separate"/>
      </w:r>
      <w:r>
        <w:rPr>
          <w:rFonts w:hint="eastAsia"/>
          <w:color w:val="auto"/>
          <w:u w:val="none"/>
          <w:lang w:val="en-US" w:eastAsia="zh-CN"/>
        </w:rPr>
        <w:t>12</w:t>
      </w:r>
      <w:r>
        <w:rPr>
          <w:rStyle w:val="35"/>
          <w:rFonts w:hint="eastAsia"/>
          <w:color w:val="auto"/>
          <w:u w:val="none"/>
        </w:rPr>
        <w:t>　</w:t>
      </w:r>
      <w:r>
        <w:rPr>
          <w:rStyle w:val="35"/>
          <w:rFonts w:hint="eastAsia"/>
          <w:color w:val="auto"/>
          <w:u w:val="none"/>
          <w:lang w:val="en-US" w:eastAsia="zh-CN"/>
        </w:rPr>
        <w:t>参考文献</w:t>
      </w:r>
      <w:r>
        <w:rPr>
          <w:color w:val="auto"/>
          <w:u w:val="none"/>
        </w:rPr>
        <w:tab/>
      </w:r>
      <w:r>
        <w:rPr>
          <w:rFonts w:hint="eastAsia"/>
          <w:color w:val="auto"/>
          <w:u w:val="none"/>
          <w:lang w:val="en-US" w:eastAsia="zh-CN"/>
        </w:rPr>
        <w:t>4</w:t>
      </w:r>
      <w:r>
        <w:rPr>
          <w:color w:val="auto"/>
          <w:u w:val="none"/>
        </w:rPr>
        <w:fldChar w:fldCharType="end"/>
      </w:r>
    </w:p>
    <w:p>
      <w:pPr>
        <w:pStyle w:val="21"/>
        <w:ind w:left="0" w:leftChars="0" w:firstLine="0" w:firstLineChars="0"/>
        <w:rPr>
          <w:rFonts w:hint="eastAsia"/>
        </w:rPr>
      </w:pPr>
    </w:p>
    <w:p>
      <w:pPr>
        <w:pStyle w:val="52"/>
        <w:rPr>
          <w:rFonts w:hint="eastAsia"/>
        </w:rPr>
      </w:pPr>
      <w:bookmarkStart w:id="25" w:name="_Toc25368155"/>
      <w:bookmarkStart w:id="26" w:name="_Toc31787"/>
      <w:r>
        <w:rPr>
          <w:rFonts w:hint="eastAsia"/>
        </w:rPr>
        <w:t>前</w:t>
      </w:r>
      <w:bookmarkStart w:id="27" w:name="BKQY"/>
      <w:r>
        <w:rPr>
          <w:rFonts w:hint="eastAsia" w:ascii="MS Mincho" w:hAnsi="MS Mincho" w:eastAsia="MS Mincho" w:cs="MS Mincho"/>
        </w:rPr>
        <w:t>  </w:t>
      </w:r>
      <w:r>
        <w:rPr>
          <w:rFonts w:hint="eastAsia"/>
        </w:rPr>
        <w:t>言</w:t>
      </w:r>
      <w:bookmarkEnd w:id="20"/>
      <w:bookmarkEnd w:id="21"/>
      <w:bookmarkEnd w:id="22"/>
      <w:bookmarkEnd w:id="23"/>
      <w:bookmarkEnd w:id="25"/>
      <w:bookmarkEnd w:id="26"/>
      <w:bookmarkEnd w:id="27"/>
    </w:p>
    <w:p>
      <w:pPr>
        <w:pStyle w:val="21"/>
        <w:rPr>
          <w:rFonts w:hint="eastAsia"/>
          <w:szCs w:val="21"/>
        </w:rPr>
      </w:pPr>
      <w:r>
        <w:rPr>
          <w:rFonts w:hint="eastAsia"/>
          <w:szCs w:val="21"/>
        </w:rPr>
        <w:t>本</w:t>
      </w:r>
      <w:r>
        <w:rPr>
          <w:rFonts w:hint="eastAsia"/>
          <w:szCs w:val="21"/>
          <w:lang w:val="en-US" w:eastAsia="zh-CN"/>
        </w:rPr>
        <w:t>文件</w:t>
      </w:r>
      <w:r>
        <w:rPr>
          <w:rFonts w:hint="eastAsia"/>
          <w:szCs w:val="21"/>
        </w:rPr>
        <w:t>按照GB/T 1.1-</w:t>
      </w:r>
      <w:r>
        <w:rPr>
          <w:rFonts w:hint="eastAsia"/>
          <w:szCs w:val="21"/>
          <w:lang w:val="en-US" w:eastAsia="zh-CN"/>
        </w:rPr>
        <w:t>2020</w:t>
      </w:r>
      <w:r>
        <w:rPr>
          <w:rStyle w:val="131"/>
          <w:rFonts w:ascii="Verdana" w:hAnsi="Verdana"/>
          <w:color w:val="333333"/>
          <w:szCs w:val="21"/>
          <w:shd w:val="clear" w:color="auto" w:fill="FFFFFF"/>
        </w:rPr>
        <w:t> </w:t>
      </w:r>
      <w:r>
        <w:rPr>
          <w:rStyle w:val="131"/>
          <w:rFonts w:hint="eastAsia" w:ascii="Verdana" w:hAnsi="Verdana"/>
          <w:color w:val="333333"/>
          <w:szCs w:val="21"/>
          <w:shd w:val="clear" w:color="auto" w:fill="FFFFFF"/>
          <w:lang w:eastAsia="zh-CN"/>
        </w:rPr>
        <w:t>《</w:t>
      </w:r>
      <w:r>
        <w:rPr>
          <w:rFonts w:ascii="Verdana" w:hAnsi="Verdana"/>
          <w:color w:val="333333"/>
          <w:szCs w:val="21"/>
          <w:shd w:val="clear" w:color="auto" w:fill="FFFFFF"/>
        </w:rPr>
        <w:t>标准化工作导则 第1部分：标准</w:t>
      </w:r>
      <w:r>
        <w:rPr>
          <w:rFonts w:hint="eastAsia" w:ascii="Verdana" w:hAnsi="Verdana"/>
          <w:color w:val="333333"/>
          <w:szCs w:val="21"/>
          <w:shd w:val="clear" w:color="auto" w:fill="FFFFFF"/>
          <w:lang w:val="en-US" w:eastAsia="zh-CN"/>
        </w:rPr>
        <w:t>化文件</w:t>
      </w:r>
      <w:r>
        <w:rPr>
          <w:rFonts w:ascii="Verdana" w:hAnsi="Verdana"/>
          <w:color w:val="333333"/>
          <w:szCs w:val="21"/>
          <w:shd w:val="clear" w:color="auto" w:fill="FFFFFF"/>
        </w:rPr>
        <w:t>的结构和</w:t>
      </w:r>
      <w:r>
        <w:rPr>
          <w:rFonts w:hint="eastAsia" w:ascii="Verdana" w:hAnsi="Verdana"/>
          <w:color w:val="333333"/>
          <w:szCs w:val="21"/>
          <w:shd w:val="clear" w:color="auto" w:fill="FFFFFF"/>
          <w:lang w:val="en-US" w:eastAsia="zh-CN"/>
        </w:rPr>
        <w:t>起草规则</w:t>
      </w:r>
      <w:r>
        <w:rPr>
          <w:rStyle w:val="131"/>
          <w:rFonts w:hint="eastAsia" w:ascii="Verdana" w:hAnsi="Verdana"/>
          <w:color w:val="333333"/>
          <w:szCs w:val="21"/>
          <w:shd w:val="clear" w:color="auto" w:fill="FFFFFF"/>
          <w:lang w:eastAsia="zh-CN"/>
        </w:rPr>
        <w:t>》</w:t>
      </w:r>
      <w:r>
        <w:rPr>
          <w:rFonts w:hint="eastAsia"/>
          <w:szCs w:val="21"/>
        </w:rPr>
        <w:t>的规</w:t>
      </w:r>
      <w:r>
        <w:rPr>
          <w:rFonts w:hint="eastAsia"/>
          <w:szCs w:val="21"/>
          <w:lang w:val="en-US" w:eastAsia="zh-CN"/>
        </w:rPr>
        <w:t>定</w:t>
      </w:r>
      <w:r>
        <w:rPr>
          <w:rFonts w:hint="eastAsia"/>
          <w:szCs w:val="21"/>
        </w:rPr>
        <w:t>起草。</w:t>
      </w:r>
    </w:p>
    <w:p>
      <w:pPr>
        <w:pStyle w:val="21"/>
        <w:rPr>
          <w:rFonts w:hint="eastAsia"/>
          <w:bCs/>
          <w:szCs w:val="21"/>
        </w:rPr>
      </w:pPr>
      <w:r>
        <w:rPr>
          <w:rFonts w:hint="eastAsia"/>
          <w:bCs/>
          <w:szCs w:val="21"/>
        </w:rPr>
        <w:t>本</w:t>
      </w:r>
      <w:r>
        <w:rPr>
          <w:rFonts w:hint="eastAsia"/>
          <w:bCs/>
          <w:szCs w:val="21"/>
          <w:lang w:val="en-US" w:eastAsia="zh-CN"/>
        </w:rPr>
        <w:t>文件</w:t>
      </w:r>
      <w:r>
        <w:rPr>
          <w:rFonts w:hint="eastAsia"/>
          <w:bCs/>
          <w:szCs w:val="21"/>
        </w:rPr>
        <w:t>由山西省商务厅提出并</w:t>
      </w:r>
      <w:r>
        <w:rPr>
          <w:rFonts w:hint="eastAsia"/>
          <w:bCs/>
          <w:szCs w:val="21"/>
          <w:lang w:eastAsia="zh-CN"/>
        </w:rPr>
        <w:t>监督实施</w:t>
      </w:r>
      <w:r>
        <w:rPr>
          <w:rFonts w:hint="eastAsia"/>
          <w:bCs/>
          <w:szCs w:val="21"/>
        </w:rPr>
        <w:t>。</w:t>
      </w:r>
    </w:p>
    <w:p>
      <w:pPr>
        <w:pStyle w:val="21"/>
        <w:rPr>
          <w:rFonts w:hint="eastAsia" w:eastAsia="宋体"/>
          <w:bCs/>
          <w:szCs w:val="21"/>
          <w:lang w:eastAsia="zh-CN"/>
        </w:rPr>
      </w:pPr>
      <w:r>
        <w:rPr>
          <w:rFonts w:hint="eastAsia"/>
          <w:bCs/>
          <w:szCs w:val="21"/>
          <w:lang w:eastAsia="zh-CN"/>
        </w:rPr>
        <w:t>本文件由山西省商贸标准化技术委员会归口。</w:t>
      </w:r>
    </w:p>
    <w:p>
      <w:pPr>
        <w:pStyle w:val="21"/>
        <w:rPr>
          <w:rFonts w:hint="eastAsia"/>
          <w:szCs w:val="21"/>
        </w:rPr>
      </w:pPr>
      <w:r>
        <w:rPr>
          <w:rFonts w:hint="eastAsia"/>
          <w:bCs/>
          <w:szCs w:val="21"/>
        </w:rPr>
        <w:t>本</w:t>
      </w:r>
      <w:r>
        <w:rPr>
          <w:rFonts w:hint="eastAsia"/>
          <w:bCs/>
          <w:szCs w:val="21"/>
          <w:lang w:val="en-US" w:eastAsia="zh-CN"/>
        </w:rPr>
        <w:t>文件</w:t>
      </w:r>
      <w:r>
        <w:rPr>
          <w:rFonts w:hint="eastAsia"/>
          <w:bCs/>
          <w:szCs w:val="21"/>
        </w:rPr>
        <w:t>主要起草单位：山西省饭店业商会。</w:t>
      </w:r>
    </w:p>
    <w:p>
      <w:pPr>
        <w:pStyle w:val="21"/>
        <w:rPr>
          <w:rFonts w:hint="default" w:eastAsia="宋体"/>
          <w:lang w:val="en-US" w:eastAsia="zh-CN"/>
        </w:rPr>
      </w:pPr>
      <w:r>
        <w:rPr>
          <w:rFonts w:hint="eastAsia"/>
          <w:bCs/>
          <w:szCs w:val="21"/>
        </w:rPr>
        <w:t>本</w:t>
      </w:r>
      <w:r>
        <w:rPr>
          <w:rFonts w:hint="eastAsia"/>
          <w:bCs/>
          <w:szCs w:val="21"/>
          <w:lang w:val="en-US" w:eastAsia="zh-CN"/>
        </w:rPr>
        <w:t>文件</w:t>
      </w:r>
      <w:r>
        <w:rPr>
          <w:rFonts w:hint="eastAsia"/>
          <w:bCs/>
          <w:szCs w:val="21"/>
        </w:rPr>
        <w:t>起草人：</w:t>
      </w:r>
      <w:r>
        <w:rPr>
          <w:rFonts w:hint="eastAsia"/>
          <w:bCs/>
          <w:szCs w:val="21"/>
          <w:lang w:eastAsia="zh-CN"/>
        </w:rPr>
        <w:t>樊乐平、</w:t>
      </w:r>
      <w:r>
        <w:rPr>
          <w:rFonts w:hint="eastAsia"/>
          <w:bCs/>
          <w:szCs w:val="21"/>
          <w:lang w:val="en-US" w:eastAsia="zh-CN"/>
        </w:rPr>
        <w:t>王晓奇、</w:t>
      </w:r>
      <w:r>
        <w:rPr>
          <w:rFonts w:hint="eastAsia"/>
          <w:bCs/>
          <w:szCs w:val="21"/>
          <w:lang w:eastAsia="zh-CN"/>
        </w:rPr>
        <w:t>罗秀艳、潘建民、王建昌、李启明、冯牡丹。</w:t>
      </w:r>
    </w:p>
    <w:p>
      <w:pPr>
        <w:pStyle w:val="21"/>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38"/>
        <w:rPr>
          <w:rFonts w:hint="default" w:eastAsia="黑体"/>
          <w:lang w:val="en-US" w:eastAsia="zh-CN"/>
        </w:rPr>
      </w:pPr>
      <w:bookmarkStart w:id="28" w:name="_Toc20358"/>
      <w:r>
        <w:rPr>
          <w:rFonts w:hint="eastAsia"/>
          <w:lang w:val="en-US" w:eastAsia="zh-CN"/>
        </w:rPr>
        <w:t>餐饮企业厉行节约实施指南</w:t>
      </w:r>
      <w:bookmarkEnd w:id="28"/>
    </w:p>
    <w:p>
      <w:pPr>
        <w:pStyle w:val="61"/>
        <w:rPr>
          <w:rFonts w:hint="eastAsia"/>
        </w:rPr>
      </w:pPr>
      <w:bookmarkStart w:id="29" w:name="_Toc25771"/>
      <w:bookmarkStart w:id="30" w:name="_Toc14766154"/>
      <w:bookmarkStart w:id="31" w:name="_Toc25368156"/>
      <w:bookmarkStart w:id="32" w:name="_Toc14167138"/>
      <w:bookmarkStart w:id="33" w:name="_Toc24410134"/>
      <w:bookmarkStart w:id="34" w:name="_Toc21473337"/>
      <w:bookmarkStart w:id="35" w:name="_Toc14444312"/>
      <w:r>
        <w:rPr>
          <w:rFonts w:hint="eastAsia"/>
        </w:rPr>
        <w:t>范围</w:t>
      </w:r>
      <w:bookmarkEnd w:id="29"/>
      <w:bookmarkEnd w:id="30"/>
      <w:bookmarkEnd w:id="31"/>
      <w:bookmarkEnd w:id="32"/>
      <w:bookmarkEnd w:id="33"/>
      <w:bookmarkEnd w:id="34"/>
      <w:bookmarkEnd w:id="35"/>
    </w:p>
    <w:p>
      <w:pPr>
        <w:pStyle w:val="21"/>
        <w:rPr>
          <w:rFonts w:hint="eastAsia"/>
        </w:rPr>
      </w:pPr>
      <w:r>
        <w:rPr>
          <w:rFonts w:hint="eastAsia"/>
        </w:rPr>
        <w:t>本文件</w:t>
      </w:r>
      <w:r>
        <w:rPr>
          <w:rFonts w:hint="eastAsia"/>
          <w:lang w:val="en-US" w:eastAsia="zh-CN"/>
        </w:rPr>
        <w:t>规定</w:t>
      </w:r>
      <w:r>
        <w:rPr>
          <w:rFonts w:hint="eastAsia"/>
        </w:rPr>
        <w:t>了餐饮</w:t>
      </w:r>
      <w:r>
        <w:rPr>
          <w:rFonts w:hint="eastAsia"/>
          <w:lang w:val="en-US" w:eastAsia="zh-CN"/>
        </w:rPr>
        <w:t>企业</w:t>
      </w:r>
      <w:r>
        <w:rPr>
          <w:rFonts w:hint="eastAsia"/>
        </w:rPr>
        <w:t>厉行节约的术语和定义</w:t>
      </w:r>
      <w:r>
        <w:rPr>
          <w:rFonts w:hint="eastAsia"/>
          <w:lang w:eastAsia="zh-CN"/>
        </w:rPr>
        <w:t>、基本要求、社会餐饮、宴席、自助餐、外卖、集体食堂、家庭用餐、宣传引导、持续改进</w:t>
      </w:r>
      <w:r>
        <w:rPr>
          <w:rFonts w:hint="eastAsia"/>
        </w:rPr>
        <w:t>。</w:t>
      </w:r>
    </w:p>
    <w:p>
      <w:pPr>
        <w:pStyle w:val="21"/>
        <w:rPr>
          <w:rFonts w:hint="eastAsia"/>
        </w:rPr>
      </w:pPr>
      <w:r>
        <w:rPr>
          <w:rFonts w:hint="eastAsia"/>
        </w:rPr>
        <w:t>本</w:t>
      </w:r>
      <w:r>
        <w:rPr>
          <w:rFonts w:hint="eastAsia"/>
          <w:lang w:val="en-US" w:eastAsia="zh-CN"/>
        </w:rPr>
        <w:t>文件</w:t>
      </w:r>
      <w:r>
        <w:rPr>
          <w:rFonts w:hint="eastAsia"/>
        </w:rPr>
        <w:t>适用于餐饮</w:t>
      </w:r>
      <w:r>
        <w:rPr>
          <w:rFonts w:hint="eastAsia"/>
          <w:lang w:eastAsia="zh-CN"/>
        </w:rPr>
        <w:t>企业厉行节约</w:t>
      </w:r>
      <w:r>
        <w:rPr>
          <w:rFonts w:hint="eastAsia"/>
        </w:rPr>
        <w:t>。</w:t>
      </w:r>
    </w:p>
    <w:p>
      <w:pPr>
        <w:pStyle w:val="61"/>
        <w:rPr>
          <w:rFonts w:hint="eastAsia"/>
        </w:rPr>
      </w:pPr>
      <w:bookmarkStart w:id="36" w:name="_Toc14167139"/>
      <w:bookmarkStart w:id="37" w:name="_Toc8333"/>
      <w:bookmarkStart w:id="38" w:name="_Toc24410135"/>
      <w:bookmarkStart w:id="39" w:name="_Toc21473338"/>
      <w:bookmarkStart w:id="40" w:name="_Toc25368157"/>
      <w:bookmarkStart w:id="41" w:name="_Toc14766155"/>
      <w:bookmarkStart w:id="42" w:name="_Toc14444313"/>
      <w:r>
        <w:rPr>
          <w:rFonts w:hint="eastAsia"/>
        </w:rPr>
        <w:t>规范性引用文件</w:t>
      </w:r>
      <w:bookmarkEnd w:id="36"/>
      <w:bookmarkEnd w:id="37"/>
      <w:bookmarkEnd w:id="38"/>
      <w:bookmarkEnd w:id="39"/>
      <w:bookmarkEnd w:id="40"/>
      <w:bookmarkEnd w:id="41"/>
      <w:bookmarkEnd w:id="42"/>
    </w:p>
    <w:p>
      <w:pPr>
        <w:pStyle w:val="21"/>
        <w:rPr>
          <w:rFonts w:hint="eastAsia"/>
        </w:rPr>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1"/>
        <w:rPr>
          <w:rFonts w:hint="default"/>
          <w:lang w:val="en-US" w:eastAsia="zh-CN"/>
        </w:rPr>
      </w:pPr>
      <w:r>
        <w:rPr>
          <w:rFonts w:hint="eastAsia"/>
          <w:lang w:val="en-US" w:eastAsia="zh-CN"/>
        </w:rPr>
        <w:t>GB/T 39002  餐饮分餐制服务指南</w:t>
      </w:r>
    </w:p>
    <w:p>
      <w:pPr>
        <w:pStyle w:val="21"/>
        <w:rPr>
          <w:rFonts w:hint="eastAsia"/>
          <w:lang w:val="en-US" w:eastAsia="zh-CN"/>
        </w:rPr>
      </w:pPr>
      <w:r>
        <w:rPr>
          <w:rFonts w:hint="eastAsia"/>
        </w:rPr>
        <w:t xml:space="preserve">GB/T </w:t>
      </w:r>
      <w:r>
        <w:rPr>
          <w:rFonts w:hint="eastAsia"/>
          <w:lang w:val="en-US" w:eastAsia="zh-CN"/>
        </w:rPr>
        <w:t>40042-2021  绿色饭店经营和管理</w:t>
      </w:r>
    </w:p>
    <w:p>
      <w:pPr>
        <w:pStyle w:val="21"/>
        <w:rPr>
          <w:rFonts w:hint="eastAsia"/>
          <w:lang w:val="en-US" w:eastAsia="zh-CN"/>
        </w:rPr>
      </w:pPr>
      <w:r>
        <w:rPr>
          <w:rFonts w:hint="eastAsia"/>
          <w:lang w:val="en-US" w:eastAsia="zh-CN"/>
        </w:rPr>
        <w:t>SB/T 11046 建设节约型餐饮企业规范</w:t>
      </w:r>
    </w:p>
    <w:p>
      <w:pPr>
        <w:pStyle w:val="21"/>
        <w:rPr>
          <w:rFonts w:hint="default"/>
          <w:lang w:val="en-US" w:eastAsia="zh-CN"/>
        </w:rPr>
      </w:pPr>
      <w:r>
        <w:rPr>
          <w:rFonts w:hint="eastAsia"/>
          <w:lang w:val="en-US" w:eastAsia="zh-CN"/>
        </w:rPr>
        <w:t>SB/T 11070 餐饮服务企业打包服务管理要求</w:t>
      </w:r>
    </w:p>
    <w:p>
      <w:pPr>
        <w:pStyle w:val="21"/>
        <w:rPr>
          <w:rFonts w:hint="eastAsia"/>
          <w:lang w:val="en-US" w:eastAsia="zh-CN"/>
        </w:rPr>
      </w:pPr>
      <w:r>
        <w:rPr>
          <w:rFonts w:hint="eastAsia"/>
          <w:lang w:val="en-US" w:eastAsia="zh-CN"/>
        </w:rPr>
        <w:t>DB/T xxxx   绿色餐饮经营管理规范</w:t>
      </w:r>
    </w:p>
    <w:p>
      <w:pPr>
        <w:pStyle w:val="21"/>
        <w:rPr>
          <w:rFonts w:hint="default"/>
          <w:lang w:val="en-US" w:eastAsia="zh-CN"/>
        </w:rPr>
      </w:pPr>
      <w:r>
        <w:rPr>
          <w:rFonts w:hint="eastAsia"/>
          <w:lang w:val="en-US" w:eastAsia="zh-CN"/>
        </w:rPr>
        <w:t>DB/T xxxx  绿色餐饮储存管理规范</w:t>
      </w:r>
    </w:p>
    <w:p>
      <w:pPr>
        <w:pStyle w:val="21"/>
        <w:rPr>
          <w:rFonts w:hint="default"/>
          <w:lang w:val="en-US" w:eastAsia="zh-CN"/>
        </w:rPr>
      </w:pPr>
      <w:r>
        <w:rPr>
          <w:rFonts w:hint="eastAsia"/>
          <w:lang w:val="en-US" w:eastAsia="zh-CN"/>
        </w:rPr>
        <w:t>DB/T xxxx  绿色餐饮加工管理规范</w:t>
      </w:r>
    </w:p>
    <w:p>
      <w:pPr>
        <w:pStyle w:val="21"/>
        <w:rPr>
          <w:rFonts w:hint="default"/>
          <w:lang w:val="en-US"/>
        </w:rPr>
      </w:pPr>
      <w:r>
        <w:rPr>
          <w:rFonts w:hint="eastAsia"/>
          <w:lang w:val="en-US" w:eastAsia="zh-CN"/>
        </w:rPr>
        <w:t>DB/T xxxx  绿色餐饮经营管理规范</w:t>
      </w:r>
    </w:p>
    <w:p>
      <w:pPr>
        <w:pStyle w:val="61"/>
        <w:rPr>
          <w:rFonts w:hint="eastAsia"/>
        </w:rPr>
      </w:pPr>
      <w:bookmarkStart w:id="43" w:name="_Toc14167140"/>
      <w:bookmarkEnd w:id="43"/>
      <w:bookmarkStart w:id="44" w:name="_Toc16425"/>
      <w:bookmarkStart w:id="45" w:name="_Toc14766156"/>
      <w:bookmarkStart w:id="46" w:name="_Toc500186801"/>
      <w:bookmarkStart w:id="47" w:name="_Toc504028631"/>
      <w:bookmarkStart w:id="48" w:name="_Toc21473339"/>
      <w:bookmarkStart w:id="49" w:name="_Toc24410136"/>
      <w:bookmarkStart w:id="50" w:name="_Toc14444314"/>
      <w:bookmarkStart w:id="51" w:name="_Toc25368158"/>
      <w:r>
        <w:rPr>
          <w:rFonts w:hint="eastAsia"/>
        </w:rPr>
        <w:t>术语和定义</w:t>
      </w:r>
      <w:bookmarkEnd w:id="44"/>
      <w:bookmarkEnd w:id="45"/>
      <w:bookmarkEnd w:id="46"/>
      <w:bookmarkEnd w:id="47"/>
      <w:bookmarkEnd w:id="48"/>
      <w:bookmarkEnd w:id="49"/>
      <w:bookmarkEnd w:id="50"/>
      <w:bookmarkEnd w:id="51"/>
    </w:p>
    <w:p>
      <w:pPr>
        <w:pStyle w:val="21"/>
        <w:rPr>
          <w:rFonts w:hint="eastAsia"/>
        </w:rPr>
      </w:pPr>
      <w:r>
        <w:rPr>
          <w:rFonts w:hint="eastAsia"/>
        </w:rPr>
        <w:t>下列术语和定义适用于本文件。</w:t>
      </w:r>
    </w:p>
    <w:p>
      <w:pPr>
        <w:pStyle w:val="51"/>
        <w:rPr>
          <w:rFonts w:hint="default" w:eastAsia="宋体"/>
          <w:lang w:val="en-US" w:eastAsia="zh-CN"/>
        </w:rPr>
      </w:pPr>
      <w:bookmarkStart w:id="52" w:name="_Toc14766165"/>
      <w:bookmarkStart w:id="53" w:name="_Toc14444323"/>
      <w:bookmarkStart w:id="54" w:name="_Toc21473348"/>
    </w:p>
    <w:p>
      <w:pPr>
        <w:pStyle w:val="51"/>
        <w:numPr>
          <w:ilvl w:val="1"/>
          <w:numId w:val="0"/>
        </w:numPr>
        <w:ind w:leftChars="0" w:firstLine="420" w:firstLineChars="200"/>
        <w:rPr>
          <w:rFonts w:hint="default" w:eastAsia="宋体"/>
          <w:lang w:val="en-US" w:eastAsia="zh-CN"/>
        </w:rPr>
      </w:pPr>
      <w:r>
        <w:rPr>
          <w:rFonts w:hint="eastAsia"/>
          <w:lang w:val="en-US" w:eastAsia="zh-CN"/>
        </w:rPr>
        <w:t>餐饮企业厉行节约</w:t>
      </w:r>
    </w:p>
    <w:p>
      <w:pPr>
        <w:pStyle w:val="21"/>
        <w:rPr>
          <w:rFonts w:hint="eastAsia"/>
          <w:lang w:val="en-US" w:eastAsia="zh-CN"/>
        </w:rPr>
      </w:pPr>
      <w:r>
        <w:rPr>
          <w:rFonts w:hint="eastAsia"/>
          <w:lang w:val="en-US" w:eastAsia="zh-CN"/>
        </w:rPr>
        <w:t>在符合饮食基本需求的前提下，全社会范围内倡导的以提高原料利用率、促进节能环保并采取适当措施减少用餐浪费为主要内容的行为规范。</w:t>
      </w:r>
      <w:bookmarkStart w:id="55" w:name="_Toc14444318"/>
      <w:bookmarkStart w:id="56" w:name="_Toc24410138"/>
      <w:bookmarkStart w:id="57" w:name="_Toc25368159"/>
      <w:bookmarkStart w:id="58" w:name="_Toc14766160"/>
      <w:bookmarkStart w:id="59" w:name="_Toc21473343"/>
    </w:p>
    <w:p>
      <w:pPr>
        <w:pStyle w:val="51"/>
        <w:rPr>
          <w:rFonts w:hint="default" w:eastAsia="宋体"/>
          <w:lang w:val="en-US" w:eastAsia="zh-CN"/>
        </w:rPr>
      </w:pPr>
    </w:p>
    <w:p>
      <w:pPr>
        <w:pStyle w:val="51"/>
        <w:numPr>
          <w:ilvl w:val="1"/>
          <w:numId w:val="0"/>
        </w:numPr>
        <w:ind w:leftChars="0" w:firstLine="420" w:firstLineChars="200"/>
        <w:rPr>
          <w:rFonts w:hint="default" w:eastAsia="宋体"/>
          <w:lang w:val="en-US" w:eastAsia="zh-CN"/>
        </w:rPr>
      </w:pPr>
      <w:r>
        <w:rPr>
          <w:rFonts w:hint="eastAsia"/>
          <w:lang w:val="en-US" w:eastAsia="zh-CN"/>
        </w:rPr>
        <w:t>社会餐饮</w:t>
      </w:r>
    </w:p>
    <w:p>
      <w:pPr>
        <w:pStyle w:val="21"/>
        <w:ind w:left="0" w:leftChars="0" w:firstLine="420" w:firstLineChars="0"/>
        <w:rPr>
          <w:rFonts w:hint="eastAsia"/>
          <w:lang w:val="en-US" w:eastAsia="zh-CN"/>
        </w:rPr>
      </w:pPr>
      <w:r>
        <w:rPr>
          <w:rFonts w:hint="eastAsia"/>
          <w:lang w:val="en-US" w:eastAsia="zh-CN"/>
        </w:rPr>
        <w:t>专业经营现时烹调加工销售饮食制品并为消费者提供就餐场所和消费服务的单位。</w:t>
      </w:r>
    </w:p>
    <w:p>
      <w:pPr>
        <w:pStyle w:val="51"/>
        <w:rPr>
          <w:rFonts w:hint="default" w:eastAsia="宋体"/>
          <w:lang w:val="en-US" w:eastAsia="zh-CN"/>
        </w:rPr>
      </w:pPr>
    </w:p>
    <w:p>
      <w:pPr>
        <w:pStyle w:val="51"/>
        <w:numPr>
          <w:ilvl w:val="1"/>
          <w:numId w:val="0"/>
        </w:numPr>
        <w:ind w:leftChars="0" w:firstLine="420" w:firstLineChars="200"/>
        <w:rPr>
          <w:rFonts w:hint="default" w:eastAsia="宋体"/>
          <w:lang w:val="en-US" w:eastAsia="zh-CN"/>
        </w:rPr>
      </w:pPr>
      <w:r>
        <w:rPr>
          <w:rFonts w:hint="eastAsia"/>
          <w:lang w:val="en-US" w:eastAsia="zh-CN"/>
        </w:rPr>
        <w:t>集体食堂</w:t>
      </w:r>
    </w:p>
    <w:p>
      <w:pPr>
        <w:pStyle w:val="21"/>
        <w:ind w:left="0" w:leftChars="0" w:firstLine="0" w:firstLineChars="0"/>
        <w:rPr>
          <w:rFonts w:hint="default"/>
          <w:lang w:val="en-US" w:eastAsia="zh-CN"/>
        </w:rPr>
      </w:pPr>
      <w:r>
        <w:rPr>
          <w:rFonts w:hint="eastAsia"/>
          <w:lang w:val="en-US" w:eastAsia="zh-CN"/>
        </w:rPr>
        <w:t xml:space="preserve">    设于单位内部，具有相对独立的原料存放、加工操作、备餐和提供集体就餐空间的场所。</w:t>
      </w:r>
    </w:p>
    <w:p>
      <w:pPr>
        <w:pStyle w:val="51"/>
        <w:rPr>
          <w:rFonts w:hint="eastAsia" w:ascii="黑体" w:hAnsi="Times New Roman" w:eastAsia="黑体" w:cs="Times New Roman"/>
          <w:sz w:val="21"/>
          <w:szCs w:val="21"/>
          <w:lang w:val="en-US" w:eastAsia="zh-CN" w:bidi="ar-SA"/>
        </w:rPr>
      </w:pPr>
      <w:bookmarkStart w:id="60" w:name="_Toc28312"/>
    </w:p>
    <w:p>
      <w:pPr>
        <w:pStyle w:val="51"/>
        <w:numPr>
          <w:ilvl w:val="1"/>
          <w:numId w:val="0"/>
        </w:numPr>
        <w:ind w:leftChars="0" w:firstLine="420" w:firstLineChars="200"/>
        <w:rPr>
          <w:rFonts w:hint="eastAsia" w:ascii="黑体" w:hAnsi="Times New Roman" w:eastAsia="黑体" w:cs="Times New Roman"/>
          <w:sz w:val="21"/>
          <w:szCs w:val="21"/>
          <w:lang w:val="en-US" w:eastAsia="zh-CN" w:bidi="ar-SA"/>
        </w:rPr>
      </w:pPr>
      <w:r>
        <w:rPr>
          <w:rFonts w:hint="eastAsia" w:cs="Times New Roman"/>
          <w:sz w:val="21"/>
          <w:szCs w:val="21"/>
          <w:lang w:val="en-US" w:eastAsia="zh-CN" w:bidi="ar-SA"/>
        </w:rPr>
        <w:t>半份菜</w:t>
      </w:r>
    </w:p>
    <w:p>
      <w:pPr>
        <w:pStyle w:val="21"/>
        <w:rPr>
          <w:rFonts w:hint="eastAsia"/>
          <w:lang w:val="en-US" w:eastAsia="zh-CN"/>
        </w:rPr>
      </w:pPr>
      <w:r>
        <w:rPr>
          <w:rFonts w:hint="eastAsia"/>
          <w:lang w:val="en-US" w:eastAsia="zh-CN"/>
        </w:rPr>
        <w:t>平时提供菜肴标准分量的1/2</w:t>
      </w:r>
    </w:p>
    <w:bookmarkEnd w:id="60"/>
    <w:p>
      <w:pPr>
        <w:pStyle w:val="61"/>
        <w:rPr>
          <w:rFonts w:hint="eastAsia" w:ascii="黑体" w:hAnsi="Times New Roman" w:eastAsia="黑体" w:cs="Times New Roman"/>
          <w:sz w:val="21"/>
          <w:lang w:val="en-US" w:eastAsia="zh-CN" w:bidi="ar-SA"/>
        </w:rPr>
      </w:pPr>
      <w:r>
        <w:rPr>
          <w:rFonts w:hint="eastAsia" w:cs="Times New Roman"/>
          <w:sz w:val="21"/>
          <w:lang w:val="en-US" w:eastAsia="zh-CN" w:bidi="ar-SA"/>
        </w:rPr>
        <w:t>基本要求</w:t>
      </w:r>
    </w:p>
    <w:p>
      <w:pPr>
        <w:pStyle w:val="51"/>
        <w:bidi w:val="0"/>
        <w:ind w:left="0" w:leftChars="0" w:firstLine="0" w:firstLineChars="0"/>
        <w:rPr>
          <w:rFonts w:hint="eastAsia"/>
          <w:lang w:val="en-US" w:eastAsia="zh-CN"/>
        </w:rPr>
      </w:pPr>
      <w:bookmarkStart w:id="61" w:name="_Toc17466"/>
      <w:r>
        <w:rPr>
          <w:rFonts w:hint="eastAsia"/>
          <w:lang w:val="en-US" w:eastAsia="zh-CN"/>
        </w:rPr>
        <w:t>应当建立餐饮节约管理制度，按照SB/T 11046要求提供餐饮服务。倡导分餐制、公勺公筷制，分餐制服务应符合GB/T 39002要求。</w:t>
      </w:r>
    </w:p>
    <w:p>
      <w:pPr>
        <w:pStyle w:val="51"/>
        <w:bidi w:val="0"/>
        <w:ind w:left="0" w:leftChars="0" w:firstLine="0" w:firstLineChars="0"/>
        <w:rPr>
          <w:rFonts w:hint="default"/>
          <w:lang w:val="en-US" w:eastAsia="zh-CN"/>
        </w:rPr>
      </w:pPr>
      <w:r>
        <w:rPr>
          <w:rFonts w:hint="eastAsia"/>
          <w:lang w:val="en-US" w:eastAsia="zh-CN"/>
        </w:rPr>
        <w:t>应积极进行绿色餐饮建设，储存执行DB/T ****标准，加工执行DB/T ****标准，服务执行DB/T ****标准，经营执行DB/T ****标准。</w:t>
      </w:r>
    </w:p>
    <w:p>
      <w:pPr>
        <w:pStyle w:val="51"/>
        <w:bidi w:val="0"/>
        <w:ind w:left="0" w:leftChars="0" w:firstLine="0" w:firstLineChars="0"/>
        <w:rPr>
          <w:rFonts w:hint="default"/>
          <w:lang w:val="en-US" w:eastAsia="zh-CN"/>
        </w:rPr>
      </w:pPr>
      <w:r>
        <w:rPr>
          <w:rFonts w:hint="eastAsia"/>
          <w:lang w:val="en-US" w:eastAsia="zh-CN"/>
        </w:rPr>
        <w:t>应在显著位置标识“厉行节约、反对浪费”“光盘行动”“文明用餐”“节约用餐、适量取餐”等宣传标语。</w:t>
      </w:r>
    </w:p>
    <w:p>
      <w:pPr>
        <w:pStyle w:val="51"/>
        <w:bidi w:val="0"/>
        <w:ind w:left="0" w:leftChars="0" w:firstLine="0" w:firstLineChars="0"/>
        <w:rPr>
          <w:rFonts w:hint="eastAsia"/>
          <w:lang w:val="en-US" w:eastAsia="zh-CN"/>
        </w:rPr>
      </w:pPr>
      <w:r>
        <w:rPr>
          <w:rFonts w:hint="eastAsia"/>
          <w:lang w:val="en-US" w:eastAsia="zh-CN"/>
        </w:rPr>
        <w:t>应明示消费项目和收费标准，不应设置最低消费或者以包间费等方式变相设置最低消费额。</w:t>
      </w:r>
    </w:p>
    <w:p>
      <w:pPr>
        <w:pStyle w:val="51"/>
        <w:bidi w:val="0"/>
        <w:ind w:left="0" w:leftChars="0" w:firstLine="0" w:firstLineChars="0"/>
        <w:rPr>
          <w:rFonts w:hint="default"/>
          <w:lang w:val="en-US" w:eastAsia="zh-CN"/>
        </w:rPr>
      </w:pPr>
      <w:r>
        <w:rPr>
          <w:rFonts w:hint="eastAsia"/>
          <w:lang w:val="en-US" w:eastAsia="zh-CN"/>
        </w:rPr>
        <w:t>应提醒消费者合理点餐，不应误导、诱导消费者过量点餐。</w:t>
      </w:r>
    </w:p>
    <w:p>
      <w:pPr>
        <w:pStyle w:val="51"/>
        <w:bidi w:val="0"/>
        <w:ind w:left="0" w:leftChars="0" w:firstLine="0" w:firstLineChars="0"/>
        <w:rPr>
          <w:rFonts w:hint="default"/>
          <w:lang w:val="en-US" w:eastAsia="zh-CN"/>
        </w:rPr>
      </w:pPr>
      <w:r>
        <w:rPr>
          <w:rFonts w:hint="eastAsia"/>
          <w:lang w:val="en-US" w:eastAsia="zh-CN"/>
        </w:rPr>
        <w:t>应有对邻近保质期餐饮食材的动态管理制度，避免造成浪费。在确保安全的情况下，将临近保质期的餐饮食材进行捐赠、分发或者降价处理。</w:t>
      </w:r>
    </w:p>
    <w:p>
      <w:pPr>
        <w:pStyle w:val="51"/>
        <w:bidi w:val="0"/>
        <w:ind w:left="0" w:leftChars="0" w:firstLine="0" w:firstLineChars="0"/>
        <w:rPr>
          <w:rFonts w:hint="default"/>
          <w:lang w:val="en-US" w:eastAsia="zh-CN"/>
        </w:rPr>
      </w:pPr>
      <w:r>
        <w:rPr>
          <w:rFonts w:hint="eastAsia"/>
          <w:lang w:val="en-US" w:eastAsia="zh-CN"/>
        </w:rPr>
        <w:t>应将餐厨垃圾交由有资质的企业或者自行资源化处理，不得随意处置。</w:t>
      </w:r>
    </w:p>
    <w:p>
      <w:pPr>
        <w:pStyle w:val="51"/>
        <w:bidi w:val="0"/>
        <w:ind w:left="0" w:leftChars="0" w:firstLine="0" w:firstLineChars="0"/>
        <w:rPr>
          <w:rFonts w:hint="eastAsia"/>
          <w:lang w:val="en-US" w:eastAsia="zh-CN"/>
        </w:rPr>
      </w:pPr>
      <w:r>
        <w:rPr>
          <w:rFonts w:hint="eastAsia"/>
          <w:lang w:val="en-US" w:eastAsia="zh-CN"/>
        </w:rPr>
        <w:t>应积极采用信息技术手段分析就餐人数和用餐习惯，对餐饮食材采购、运输、储存等进行科学管理，及时调整餐饮品种和供应数量。</w:t>
      </w:r>
    </w:p>
    <w:p>
      <w:pPr>
        <w:pStyle w:val="51"/>
        <w:bidi w:val="0"/>
        <w:ind w:left="0" w:leftChars="0" w:firstLine="0" w:firstLineChars="0"/>
        <w:rPr>
          <w:rFonts w:hint="eastAsia"/>
          <w:lang w:val="en-US" w:eastAsia="zh-CN"/>
        </w:rPr>
      </w:pPr>
      <w:r>
        <w:rPr>
          <w:rFonts w:hint="eastAsia"/>
          <w:color w:val="auto"/>
          <w:lang w:val="en-US" w:eastAsia="zh-CN"/>
        </w:rPr>
        <w:t>应有对节约用餐的消费者给予优惠奖励的措施。</w:t>
      </w:r>
    </w:p>
    <w:p>
      <w:pPr>
        <w:pStyle w:val="51"/>
        <w:bidi w:val="0"/>
        <w:ind w:left="0" w:leftChars="0" w:firstLine="0" w:firstLineChars="0"/>
        <w:rPr>
          <w:rFonts w:hint="default"/>
          <w:lang w:val="en-US" w:eastAsia="zh-CN"/>
        </w:rPr>
      </w:pPr>
      <w:r>
        <w:rPr>
          <w:rFonts w:hint="eastAsia"/>
          <w:color w:val="auto"/>
          <w:lang w:val="en-US" w:eastAsia="zh-CN"/>
        </w:rPr>
        <w:t>应采用新技术、新工艺、新装备推进预防和制止餐饮浪费，采用中央厨房、集体用餐配送等模式，有条件应对设施设备进行升级改造。</w:t>
      </w:r>
    </w:p>
    <w:p>
      <w:pPr>
        <w:pStyle w:val="61"/>
        <w:rPr>
          <w:rFonts w:hint="default"/>
          <w:lang w:val="en-US" w:eastAsia="zh-CN"/>
        </w:rPr>
      </w:pPr>
      <w:r>
        <w:rPr>
          <w:rFonts w:hint="eastAsia" w:cs="Times New Roman"/>
          <w:sz w:val="21"/>
          <w:lang w:val="en-US" w:eastAsia="zh-CN" w:bidi="ar-SA"/>
        </w:rPr>
        <w:t>社会餐饮</w:t>
      </w:r>
    </w:p>
    <w:p>
      <w:pPr>
        <w:pStyle w:val="51"/>
        <w:bidi w:val="0"/>
        <w:ind w:left="0" w:leftChars="0" w:firstLine="0" w:firstLineChars="0"/>
        <w:rPr>
          <w:rFonts w:hint="default"/>
          <w:color w:val="auto"/>
          <w:lang w:val="en-US" w:eastAsia="zh-CN"/>
        </w:rPr>
      </w:pPr>
      <w:r>
        <w:rPr>
          <w:rFonts w:hint="eastAsia"/>
          <w:color w:val="auto"/>
          <w:lang w:val="en-US" w:eastAsia="zh-CN"/>
        </w:rPr>
        <w:t>应</w:t>
      </w:r>
      <w:r>
        <w:rPr>
          <w:rFonts w:hint="eastAsia"/>
          <w:lang w:val="en-US" w:eastAsia="zh-CN"/>
        </w:rPr>
        <w:t>建立健全预防和制止餐饮浪费规定，将厉行勤俭节约、反对餐饮浪费纳入员工职业培训内容</w:t>
      </w:r>
      <w:r>
        <w:rPr>
          <w:rFonts w:hint="eastAsia"/>
          <w:color w:val="auto"/>
          <w:lang w:val="en-US" w:eastAsia="zh-CN"/>
        </w:rPr>
        <w:t>。</w:t>
      </w:r>
    </w:p>
    <w:p>
      <w:pPr>
        <w:pStyle w:val="51"/>
        <w:bidi w:val="0"/>
        <w:ind w:left="0" w:leftChars="0" w:firstLine="0" w:firstLineChars="0"/>
        <w:rPr>
          <w:rFonts w:hint="default"/>
          <w:color w:val="auto"/>
          <w:lang w:val="en-US" w:eastAsia="zh-CN"/>
        </w:rPr>
      </w:pPr>
      <w:r>
        <w:rPr>
          <w:rFonts w:hint="eastAsia"/>
          <w:color w:val="auto"/>
          <w:lang w:val="en-US" w:eastAsia="zh-CN"/>
        </w:rPr>
        <w:t>应</w:t>
      </w:r>
      <w:r>
        <w:rPr>
          <w:rFonts w:hint="eastAsia"/>
          <w:lang w:val="en-US" w:eastAsia="zh-CN"/>
        </w:rPr>
        <w:t>提供符合节约要求的标准化菜品，在菜单上标注餐品分量、建议消费人数等信息，提供半份菜，合理配置不同规格餐具，推行适合不同群体的套餐</w:t>
      </w:r>
      <w:r>
        <w:rPr>
          <w:rFonts w:hint="eastAsia"/>
          <w:color w:val="auto"/>
          <w:lang w:val="en-US" w:eastAsia="zh-CN"/>
        </w:rPr>
        <w:t>。</w:t>
      </w:r>
    </w:p>
    <w:p>
      <w:pPr>
        <w:pStyle w:val="51"/>
        <w:bidi w:val="0"/>
        <w:ind w:left="0" w:leftChars="0" w:firstLine="0" w:firstLineChars="0"/>
        <w:rPr>
          <w:rFonts w:hint="default"/>
          <w:color w:val="auto"/>
          <w:lang w:val="en-US" w:eastAsia="zh-CN"/>
        </w:rPr>
      </w:pPr>
      <w:r>
        <w:rPr>
          <w:rFonts w:hint="eastAsia"/>
          <w:color w:val="auto"/>
          <w:lang w:val="en-US" w:eastAsia="zh-CN"/>
        </w:rPr>
        <w:t>应</w:t>
      </w:r>
      <w:r>
        <w:rPr>
          <w:rFonts w:hint="eastAsia"/>
          <w:lang w:val="en-US" w:eastAsia="zh-CN"/>
        </w:rPr>
        <w:t>在点餐、加餐时提醒消费者适量点餐，发现消费者明显过量点餐时提醒劝告，在消费者用餐后提示打包剩余饭菜</w:t>
      </w:r>
      <w:r>
        <w:rPr>
          <w:rFonts w:hint="eastAsia"/>
          <w:color w:val="auto"/>
          <w:lang w:val="en-US" w:eastAsia="zh-CN"/>
        </w:rPr>
        <w:t>。</w:t>
      </w:r>
    </w:p>
    <w:bookmarkEnd w:id="55"/>
    <w:bookmarkEnd w:id="56"/>
    <w:bookmarkEnd w:id="57"/>
    <w:bookmarkEnd w:id="58"/>
    <w:bookmarkEnd w:id="59"/>
    <w:bookmarkEnd w:id="61"/>
    <w:p>
      <w:pPr>
        <w:pStyle w:val="61"/>
        <w:rPr>
          <w:rFonts w:hint="eastAsia"/>
        </w:rPr>
      </w:pPr>
      <w:r>
        <w:rPr>
          <w:rFonts w:hint="eastAsia"/>
          <w:lang w:val="en-US" w:eastAsia="zh-CN"/>
        </w:rPr>
        <w:t>宴席</w:t>
      </w:r>
    </w:p>
    <w:p>
      <w:pPr>
        <w:pStyle w:val="51"/>
        <w:bidi w:val="0"/>
        <w:ind w:left="0" w:leftChars="0" w:firstLine="0" w:firstLineChars="0"/>
        <w:rPr>
          <w:rFonts w:hint="eastAsia"/>
          <w:lang w:val="en-US" w:eastAsia="zh-CN"/>
        </w:rPr>
      </w:pPr>
      <w:bookmarkStart w:id="62" w:name="_Toc25175"/>
      <w:r>
        <w:rPr>
          <w:rFonts w:hint="eastAsia"/>
          <w:lang w:val="en-US" w:eastAsia="zh-CN"/>
        </w:rPr>
        <w:t>应倡导婚丧嫁娶等红白喜事从简用餐，家宴宜推行简约实惠的宴席套餐。</w:t>
      </w:r>
    </w:p>
    <w:p>
      <w:pPr>
        <w:pStyle w:val="51"/>
        <w:bidi w:val="0"/>
        <w:ind w:left="0" w:leftChars="0" w:firstLine="0" w:firstLineChars="0"/>
        <w:rPr>
          <w:rFonts w:hint="eastAsia"/>
          <w:lang w:val="en-US" w:eastAsia="zh-CN"/>
        </w:rPr>
      </w:pPr>
      <w:r>
        <w:rPr>
          <w:rFonts w:hint="eastAsia"/>
          <w:lang w:val="en-US" w:eastAsia="zh-CN"/>
        </w:rPr>
        <w:t>应科学设计菜单或者套餐，不应以提供套餐服务的方式推销过量宴席。</w:t>
      </w:r>
    </w:p>
    <w:p>
      <w:pPr>
        <w:pStyle w:val="51"/>
        <w:bidi w:val="0"/>
        <w:ind w:left="0" w:leftChars="0" w:firstLine="0" w:firstLineChars="0"/>
        <w:rPr>
          <w:rFonts w:hint="eastAsia"/>
          <w:lang w:val="en-US" w:eastAsia="zh-CN"/>
        </w:rPr>
      </w:pPr>
      <w:r>
        <w:rPr>
          <w:rFonts w:hint="eastAsia"/>
          <w:lang w:val="en-US" w:eastAsia="zh-CN"/>
        </w:rPr>
        <w:t>应合理安排宴席流程和餐台数量，引导消费者根据用餐人数理性订餐、合理消费。</w:t>
      </w:r>
    </w:p>
    <w:p>
      <w:pPr>
        <w:pStyle w:val="51"/>
        <w:bidi w:val="0"/>
        <w:ind w:left="0" w:leftChars="0" w:firstLine="0" w:firstLineChars="0"/>
        <w:rPr>
          <w:rFonts w:hint="eastAsia"/>
          <w:lang w:val="en-US" w:eastAsia="zh-CN"/>
        </w:rPr>
      </w:pPr>
      <w:r>
        <w:rPr>
          <w:rFonts w:hint="eastAsia"/>
          <w:lang w:val="en-US" w:eastAsia="zh-CN"/>
        </w:rPr>
        <w:t>应根据用餐人数和预订需求提出合理点餐建议，主动告知消费者菜品份量。</w:t>
      </w:r>
    </w:p>
    <w:bookmarkEnd w:id="62"/>
    <w:p>
      <w:pPr>
        <w:pStyle w:val="61"/>
        <w:rPr>
          <w:rFonts w:hint="eastAsia" w:cs="Times New Roman"/>
          <w:sz w:val="21"/>
          <w:szCs w:val="22"/>
          <w:lang w:val="en-US" w:eastAsia="zh-CN" w:bidi="ar-SA"/>
        </w:rPr>
      </w:pPr>
      <w:r>
        <w:rPr>
          <w:rFonts w:hint="eastAsia" w:cs="Times New Roman"/>
          <w:sz w:val="21"/>
          <w:szCs w:val="22"/>
          <w:lang w:val="en-US" w:eastAsia="zh-CN" w:bidi="ar-SA"/>
        </w:rPr>
        <w:t>自助餐</w:t>
      </w:r>
    </w:p>
    <w:p>
      <w:pPr>
        <w:pStyle w:val="51"/>
        <w:bidi w:val="0"/>
        <w:ind w:left="0" w:leftChars="0" w:firstLine="0" w:firstLineChars="0"/>
        <w:rPr>
          <w:rFonts w:hint="default"/>
          <w:lang w:val="en-US" w:eastAsia="zh-CN"/>
        </w:rPr>
      </w:pPr>
      <w:r>
        <w:rPr>
          <w:rFonts w:hint="eastAsia"/>
          <w:lang w:val="en-US" w:eastAsia="zh-CN"/>
        </w:rPr>
        <w:t>应主动告知消费者用餐规则，提醒消费者按需、少量、多次取餐，对由特殊食用要求的餐饮食品进行说明。</w:t>
      </w:r>
    </w:p>
    <w:p>
      <w:pPr>
        <w:pStyle w:val="51"/>
        <w:bidi w:val="0"/>
        <w:ind w:left="0" w:leftChars="0" w:firstLine="0" w:firstLineChars="0"/>
        <w:rPr>
          <w:rFonts w:hint="default"/>
          <w:lang w:val="en-US" w:eastAsia="zh-CN"/>
        </w:rPr>
      </w:pPr>
      <w:r>
        <w:rPr>
          <w:rFonts w:hint="eastAsia"/>
          <w:lang w:val="en-US" w:eastAsia="zh-CN"/>
        </w:rPr>
        <w:t>应提供小盘取餐服务。</w:t>
      </w:r>
    </w:p>
    <w:p>
      <w:pPr>
        <w:pStyle w:val="61"/>
        <w:rPr>
          <w:rFonts w:hint="eastAsia" w:cs="Times New Roman"/>
          <w:sz w:val="21"/>
          <w:szCs w:val="22"/>
          <w:lang w:val="en-US" w:eastAsia="zh-CN" w:bidi="ar-SA"/>
        </w:rPr>
      </w:pPr>
      <w:r>
        <w:rPr>
          <w:rFonts w:hint="eastAsia" w:cs="Times New Roman"/>
          <w:sz w:val="21"/>
          <w:szCs w:val="22"/>
          <w:lang w:val="en-US" w:eastAsia="zh-CN" w:bidi="ar-SA"/>
        </w:rPr>
        <w:t>外卖</w:t>
      </w:r>
    </w:p>
    <w:p>
      <w:pPr>
        <w:pStyle w:val="51"/>
        <w:bidi w:val="0"/>
        <w:ind w:left="0" w:leftChars="0" w:firstLine="0" w:firstLineChars="0"/>
        <w:rPr>
          <w:rFonts w:hint="default"/>
          <w:lang w:val="en-US" w:eastAsia="zh-CN"/>
        </w:rPr>
      </w:pPr>
      <w:bookmarkStart w:id="63" w:name="_Toc7046"/>
      <w:r>
        <w:rPr>
          <w:rFonts w:hint="eastAsia"/>
          <w:lang w:val="en-US" w:eastAsia="zh-CN"/>
        </w:rPr>
        <w:t>应以明显方式提示消费者按需下单、适量点餐，向消费者提供餐饮食品份量、规格、建议消费人数等息息。</w:t>
      </w:r>
    </w:p>
    <w:p>
      <w:pPr>
        <w:pStyle w:val="51"/>
        <w:bidi w:val="0"/>
        <w:ind w:left="0" w:leftChars="0" w:firstLine="0" w:firstLineChars="0"/>
        <w:rPr>
          <w:rFonts w:hint="default"/>
          <w:lang w:val="en-US" w:eastAsia="zh-CN"/>
        </w:rPr>
      </w:pPr>
      <w:r>
        <w:rPr>
          <w:rFonts w:hint="eastAsia"/>
          <w:lang w:val="en-US" w:eastAsia="zh-CN"/>
        </w:rPr>
        <w:t>应建立网络订餐节约引导机制，不应诱导非理性消费。</w:t>
      </w:r>
    </w:p>
    <w:p>
      <w:pPr>
        <w:pStyle w:val="51"/>
        <w:bidi w:val="0"/>
        <w:ind w:left="0" w:leftChars="0" w:firstLine="0" w:firstLineChars="0"/>
        <w:rPr>
          <w:rFonts w:hint="eastAsia" w:ascii="黑体" w:hAnsi="黑体" w:eastAsia="黑体" w:cs="黑体"/>
          <w:color w:val="auto"/>
          <w:lang w:val="en-US" w:eastAsia="zh-CN"/>
        </w:rPr>
      </w:pPr>
      <w:r>
        <w:rPr>
          <w:rFonts w:hint="eastAsia"/>
          <w:lang w:val="en-US" w:eastAsia="zh-CN"/>
        </w:rPr>
        <w:t>网络直播等宣传活动应进行拒绝浪费、健康饮食的提示，制止浪费食物的行为，制止“吃播”、假吃、催吐、猎奇等宣扬量大多吃、暴饮暴食等不健康饮食方式。</w:t>
      </w:r>
    </w:p>
    <w:bookmarkEnd w:id="63"/>
    <w:p>
      <w:pPr>
        <w:pStyle w:val="61"/>
        <w:rPr>
          <w:rFonts w:hint="eastAsia" w:cs="Times New Roman"/>
          <w:sz w:val="21"/>
          <w:szCs w:val="22"/>
          <w:lang w:val="en-US" w:eastAsia="zh-CN" w:bidi="ar-SA"/>
        </w:rPr>
      </w:pPr>
      <w:r>
        <w:rPr>
          <w:rFonts w:hint="eastAsia" w:cs="Times New Roman"/>
          <w:sz w:val="21"/>
          <w:szCs w:val="22"/>
          <w:lang w:val="en-US" w:eastAsia="zh-CN" w:bidi="ar-SA"/>
        </w:rPr>
        <w:t>集体食堂</w:t>
      </w:r>
    </w:p>
    <w:p>
      <w:pPr>
        <w:pStyle w:val="51"/>
        <w:bidi w:val="0"/>
        <w:ind w:left="0" w:leftChars="0" w:firstLine="0" w:firstLineChars="0"/>
        <w:rPr>
          <w:rFonts w:hint="eastAsia"/>
          <w:lang w:val="en-US" w:eastAsia="zh-CN"/>
        </w:rPr>
      </w:pPr>
      <w:r>
        <w:rPr>
          <w:rFonts w:hint="eastAsia"/>
          <w:lang w:val="en-US" w:eastAsia="zh-CN"/>
        </w:rPr>
        <w:t>应运用数字化手段实行用餐人员动态管理，宜建立电子订餐报餐平台，精准统计用餐人员，按用餐人数采购、配餐。</w:t>
      </w:r>
    </w:p>
    <w:p>
      <w:pPr>
        <w:pStyle w:val="51"/>
        <w:bidi w:val="0"/>
        <w:ind w:left="0" w:leftChars="0" w:firstLine="0" w:firstLineChars="0"/>
        <w:rPr>
          <w:rFonts w:hint="eastAsia"/>
          <w:lang w:val="en-US" w:eastAsia="zh-CN"/>
        </w:rPr>
      </w:pPr>
      <w:r>
        <w:rPr>
          <w:rFonts w:hint="eastAsia"/>
          <w:lang w:val="en-US" w:eastAsia="zh-CN"/>
        </w:rPr>
        <w:t>应建立反对餐饮浪费巡查制度，开展日常巡视检查，对浪费行为给予批评教育。</w:t>
      </w:r>
    </w:p>
    <w:p>
      <w:pPr>
        <w:pStyle w:val="51"/>
        <w:bidi w:val="0"/>
        <w:ind w:left="0" w:leftChars="0" w:firstLine="0" w:firstLineChars="0"/>
        <w:rPr>
          <w:rFonts w:hint="eastAsia"/>
          <w:lang w:val="en-US" w:eastAsia="zh-CN"/>
        </w:rPr>
      </w:pPr>
      <w:r>
        <w:rPr>
          <w:rFonts w:hint="eastAsia"/>
          <w:lang w:val="en-US" w:eastAsia="zh-CN"/>
        </w:rPr>
        <w:t>应标注食品热量、营养数值，提倡职工适量取餐，健康饮食。</w:t>
      </w:r>
    </w:p>
    <w:p>
      <w:pPr>
        <w:pStyle w:val="51"/>
        <w:bidi w:val="0"/>
        <w:ind w:left="0" w:leftChars="0" w:firstLine="0" w:firstLineChars="0"/>
        <w:rPr>
          <w:rFonts w:hint="eastAsia"/>
          <w:lang w:val="en-US" w:eastAsia="zh-CN"/>
        </w:rPr>
      </w:pPr>
      <w:r>
        <w:rPr>
          <w:rFonts w:hint="eastAsia"/>
          <w:lang w:val="en-US" w:eastAsia="zh-CN"/>
        </w:rPr>
        <w:t>应实行自助点餐、计量收费，宜提供小份餐饮食品，方便用餐人员选取。</w:t>
      </w:r>
    </w:p>
    <w:p>
      <w:pPr>
        <w:pStyle w:val="61"/>
        <w:rPr>
          <w:rFonts w:hint="eastAsia" w:cs="Times New Roman"/>
          <w:sz w:val="21"/>
          <w:szCs w:val="22"/>
          <w:lang w:val="en-US" w:eastAsia="zh-CN" w:bidi="ar-SA"/>
        </w:rPr>
      </w:pPr>
      <w:r>
        <w:rPr>
          <w:rFonts w:hint="eastAsia" w:cs="Times New Roman"/>
          <w:sz w:val="21"/>
          <w:szCs w:val="22"/>
          <w:lang w:val="en-US" w:eastAsia="zh-CN" w:bidi="ar-SA"/>
        </w:rPr>
        <w:t>家庭用餐</w:t>
      </w:r>
    </w:p>
    <w:p>
      <w:pPr>
        <w:pStyle w:val="51"/>
        <w:bidi w:val="0"/>
        <w:ind w:left="0" w:leftChars="0" w:firstLine="0" w:firstLineChars="0"/>
        <w:rPr>
          <w:rFonts w:hint="default"/>
          <w:lang w:val="en-US" w:eastAsia="zh-CN"/>
        </w:rPr>
      </w:pPr>
      <w:bookmarkStart w:id="64" w:name="_Toc1795"/>
      <w:r>
        <w:rPr>
          <w:rFonts w:hint="eastAsia"/>
          <w:lang w:val="en-US" w:eastAsia="zh-CN"/>
        </w:rPr>
        <w:t>应当传承勤俭持家、艰苦奋斗优良传统，养成珍惜粮食、健康饮食的良好习惯。</w:t>
      </w:r>
    </w:p>
    <w:p>
      <w:pPr>
        <w:pStyle w:val="51"/>
        <w:bidi w:val="0"/>
        <w:ind w:left="0" w:leftChars="0" w:firstLine="0" w:firstLineChars="0"/>
        <w:rPr>
          <w:rFonts w:hint="default"/>
          <w:lang w:val="en-US" w:eastAsia="zh-CN"/>
        </w:rPr>
      </w:pPr>
      <w:r>
        <w:rPr>
          <w:rFonts w:hint="eastAsia"/>
          <w:lang w:val="en-US" w:eastAsia="zh-CN"/>
        </w:rPr>
        <w:t>应根据家庭就餐需求采购食材并妥善保存、合理加工，减少食材食物的浪费。</w:t>
      </w:r>
    </w:p>
    <w:p>
      <w:pPr>
        <w:pStyle w:val="51"/>
        <w:bidi w:val="0"/>
        <w:ind w:left="0" w:leftChars="0" w:firstLine="0" w:firstLineChars="0"/>
        <w:rPr>
          <w:rFonts w:hint="default"/>
          <w:lang w:val="en-US" w:eastAsia="zh-CN"/>
        </w:rPr>
      </w:pPr>
      <w:r>
        <w:rPr>
          <w:rFonts w:hint="eastAsia"/>
          <w:lang w:val="en-US" w:eastAsia="zh-CN"/>
        </w:rPr>
        <w:t>外出就餐应合理点餐、适量取餐、文明用餐、打包剩餐。</w:t>
      </w:r>
    </w:p>
    <w:p>
      <w:pPr>
        <w:pStyle w:val="61"/>
        <w:rPr>
          <w:rFonts w:hint="eastAsia"/>
          <w:lang w:val="en-US" w:eastAsia="zh-CN"/>
        </w:rPr>
      </w:pPr>
      <w:r>
        <w:rPr>
          <w:rFonts w:hint="eastAsia"/>
          <w:lang w:val="en-US" w:eastAsia="zh-CN"/>
        </w:rPr>
        <w:t>宣传引导</w:t>
      </w:r>
    </w:p>
    <w:p>
      <w:pPr>
        <w:pStyle w:val="51"/>
        <w:bidi w:val="0"/>
        <w:ind w:left="0" w:leftChars="0" w:firstLine="0" w:firstLineChars="0"/>
        <w:rPr>
          <w:rFonts w:hint="default"/>
          <w:lang w:val="en-US" w:eastAsia="zh-CN"/>
        </w:rPr>
      </w:pPr>
      <w:r>
        <w:rPr>
          <w:rFonts w:hint="eastAsia"/>
          <w:lang w:val="en-US" w:eastAsia="zh-CN"/>
        </w:rPr>
        <w:t>应固定每年1月为厉行勤俭节约、反对餐饮浪费宣传月。</w:t>
      </w:r>
    </w:p>
    <w:p>
      <w:pPr>
        <w:pStyle w:val="51"/>
        <w:bidi w:val="0"/>
        <w:ind w:left="0" w:leftChars="0" w:firstLine="0" w:firstLineChars="0"/>
        <w:rPr>
          <w:rFonts w:hint="default"/>
          <w:lang w:val="en-US" w:eastAsia="zh-CN"/>
        </w:rPr>
      </w:pPr>
      <w:r>
        <w:rPr>
          <w:rFonts w:hint="eastAsia"/>
          <w:lang w:val="en-US" w:eastAsia="zh-CN"/>
        </w:rPr>
        <w:t>应通过公众号、自媒体、短视频等融媒体产品，开展“厉行勤俭节约、制止餐饮浪费”的主题宣传。</w:t>
      </w:r>
    </w:p>
    <w:p>
      <w:pPr>
        <w:pStyle w:val="51"/>
        <w:bidi w:val="0"/>
        <w:ind w:left="0" w:leftChars="0" w:firstLine="0" w:firstLineChars="0"/>
        <w:rPr>
          <w:rFonts w:hint="default"/>
          <w:lang w:val="en-US" w:eastAsia="zh-CN"/>
        </w:rPr>
      </w:pPr>
      <w:r>
        <w:rPr>
          <w:rFonts w:hint="eastAsia"/>
          <w:lang w:val="en-US" w:eastAsia="zh-CN"/>
        </w:rPr>
        <w:t>应定期开展新时代文明生活宣传教育，营造浪费可耻、节约为荣的浓厚氛围。</w:t>
      </w:r>
    </w:p>
    <w:p>
      <w:pPr>
        <w:pStyle w:val="51"/>
        <w:bidi w:val="0"/>
        <w:ind w:left="0" w:leftChars="0" w:firstLine="0" w:firstLineChars="0"/>
        <w:rPr>
          <w:rFonts w:hint="default"/>
          <w:lang w:val="en-US" w:eastAsia="zh-CN"/>
        </w:rPr>
      </w:pPr>
      <w:r>
        <w:rPr>
          <w:rFonts w:hint="eastAsia"/>
          <w:lang w:val="en-US" w:eastAsia="zh-CN"/>
        </w:rPr>
        <w:t>应培养节约型企业文化，引导员工自觉抵制餐饮浪费行为。</w:t>
      </w:r>
    </w:p>
    <w:p>
      <w:pPr>
        <w:pStyle w:val="51"/>
        <w:bidi w:val="0"/>
        <w:ind w:left="0" w:leftChars="0" w:firstLine="0" w:firstLineChars="0"/>
        <w:rPr>
          <w:rFonts w:hint="default"/>
          <w:lang w:val="en-US" w:eastAsia="zh-CN"/>
        </w:rPr>
      </w:pPr>
      <w:r>
        <w:rPr>
          <w:rFonts w:hint="eastAsia"/>
          <w:lang w:val="en-US" w:eastAsia="zh-CN"/>
        </w:rPr>
        <w:t>行业协会应在进行反对餐饮浪费倡议活动，并纳入行业自律公约中。</w:t>
      </w:r>
    </w:p>
    <w:bookmarkEnd w:id="52"/>
    <w:bookmarkEnd w:id="53"/>
    <w:bookmarkEnd w:id="54"/>
    <w:bookmarkEnd w:id="64"/>
    <w:p>
      <w:pPr>
        <w:pStyle w:val="61"/>
        <w:rPr>
          <w:rFonts w:hint="default" w:cs="Times New Roman"/>
          <w:sz w:val="21"/>
          <w:szCs w:val="22"/>
          <w:lang w:val="en-US" w:eastAsia="zh-CN" w:bidi="ar-SA"/>
        </w:rPr>
      </w:pPr>
      <w:r>
        <w:rPr>
          <w:rFonts w:hint="eastAsia" w:cs="Times New Roman"/>
          <w:sz w:val="21"/>
          <w:szCs w:val="22"/>
          <w:lang w:val="en-US" w:eastAsia="zh-CN" w:bidi="ar-SA"/>
        </w:rPr>
        <w:t>持续改进</w:t>
      </w:r>
    </w:p>
    <w:p>
      <w:pPr>
        <w:pStyle w:val="124"/>
        <w:numPr>
          <w:ilvl w:val="2"/>
          <w:numId w:val="0"/>
        </w:numPr>
        <w:ind w:leftChars="0"/>
        <w:outlineLvl w:val="2"/>
        <w:rPr>
          <w:rFonts w:hint="eastAsia" w:ascii="宋体" w:hAnsi="宋体" w:eastAsia="宋体" w:cs="宋体"/>
          <w:lang w:val="en-US" w:eastAsia="zh-CN"/>
        </w:rPr>
      </w:pPr>
      <w:r>
        <w:rPr>
          <w:rFonts w:hint="eastAsia" w:ascii="黑体" w:hAnsi="黑体" w:eastAsia="黑体" w:cs="黑体"/>
          <w:lang w:val="en-US" w:eastAsia="zh-CN"/>
        </w:rPr>
        <w:t>12.1</w:t>
      </w:r>
      <w:r>
        <w:rPr>
          <w:rFonts w:hint="eastAsia" w:ascii="宋体" w:hAnsi="宋体" w:eastAsia="宋体" w:cs="宋体"/>
          <w:lang w:val="en-US" w:eastAsia="zh-CN"/>
        </w:rPr>
        <w:t xml:space="preserve"> 供餐单位宜建立厉行节约评价制度，实施自我监督。</w:t>
      </w:r>
    </w:p>
    <w:p>
      <w:pPr>
        <w:pStyle w:val="124"/>
        <w:numPr>
          <w:ilvl w:val="2"/>
          <w:numId w:val="0"/>
        </w:numPr>
        <w:ind w:leftChars="0"/>
        <w:outlineLvl w:val="2"/>
        <w:rPr>
          <w:rFonts w:hint="default"/>
          <w:lang w:val="en-US" w:eastAsia="zh-CN"/>
        </w:rPr>
      </w:pPr>
      <w:r>
        <w:rPr>
          <w:rFonts w:hint="eastAsia" w:hAnsi="宋体" w:cs="宋体"/>
          <w:lang w:val="en-US" w:eastAsia="zh-CN"/>
        </w:rPr>
        <w:t>12</w:t>
      </w:r>
      <w:bookmarkStart w:id="65" w:name="_GoBack"/>
      <w:bookmarkEnd w:id="65"/>
      <w:r>
        <w:rPr>
          <w:rFonts w:hint="eastAsia" w:ascii="宋体" w:hAnsi="宋体" w:eastAsia="宋体" w:cs="宋体"/>
          <w:lang w:val="en-US" w:eastAsia="zh-CN"/>
        </w:rPr>
        <w:t>.2 供餐单位进行</w:t>
      </w:r>
      <w:r>
        <w:rPr>
          <w:rFonts w:hint="eastAsia" w:hAnsi="宋体" w:cs="宋体"/>
          <w:lang w:val="en-US" w:eastAsia="zh-CN"/>
        </w:rPr>
        <w:t>持续改进，形成厉行节约，反对浪费可持续机制</w:t>
      </w:r>
      <w:r>
        <w:rPr>
          <w:rFonts w:hint="eastAsia"/>
          <w:lang w:val="en-US" w:eastAsia="zh-CN"/>
        </w:rPr>
        <w:t>。</w:t>
      </w: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p>
    <w:p>
      <w:pPr>
        <w:pStyle w:val="21"/>
        <w:ind w:left="0" w:leftChars="0" w:firstLine="0" w:firstLineChars="0"/>
        <w:jc w:val="center"/>
        <w:rPr>
          <w:rFonts w:hint="eastAsia" w:ascii="黑体" w:hAnsi="黑体" w:eastAsia="黑体" w:cs="黑体"/>
          <w:color w:val="auto"/>
          <w:lang w:eastAsia="zh-CN"/>
        </w:rPr>
      </w:pPr>
      <w:r>
        <w:rPr>
          <w:rFonts w:hint="eastAsia" w:ascii="黑体" w:hAnsi="黑体" w:eastAsia="黑体" w:cs="黑体"/>
          <w:color w:val="auto"/>
          <w:lang w:eastAsia="zh-CN"/>
        </w:rPr>
        <w:t>参</w:t>
      </w:r>
      <w:r>
        <w:rPr>
          <w:rFonts w:hint="eastAsia" w:ascii="黑体" w:hAnsi="黑体" w:eastAsia="黑体" w:cs="黑体"/>
          <w:color w:val="auto"/>
          <w:lang w:val="en-US" w:eastAsia="zh-CN"/>
        </w:rPr>
        <w:t xml:space="preserve"> </w:t>
      </w:r>
      <w:r>
        <w:rPr>
          <w:rFonts w:hint="eastAsia" w:ascii="黑体" w:hAnsi="黑体" w:eastAsia="黑体" w:cs="黑体"/>
          <w:color w:val="auto"/>
          <w:lang w:eastAsia="zh-CN"/>
        </w:rPr>
        <w:t>考</w:t>
      </w:r>
      <w:r>
        <w:rPr>
          <w:rFonts w:hint="eastAsia" w:ascii="黑体" w:hAnsi="黑体" w:eastAsia="黑体" w:cs="黑体"/>
          <w:color w:val="auto"/>
          <w:lang w:val="en-US" w:eastAsia="zh-CN"/>
        </w:rPr>
        <w:t xml:space="preserve"> </w:t>
      </w:r>
      <w:r>
        <w:rPr>
          <w:rFonts w:hint="eastAsia" w:ascii="黑体" w:hAnsi="黑体" w:eastAsia="黑体" w:cs="黑体"/>
          <w:color w:val="auto"/>
          <w:lang w:eastAsia="zh-CN"/>
        </w:rPr>
        <w:t>文</w:t>
      </w:r>
      <w:r>
        <w:rPr>
          <w:rFonts w:hint="eastAsia" w:ascii="黑体" w:hAnsi="黑体" w:eastAsia="黑体" w:cs="黑体"/>
          <w:color w:val="auto"/>
          <w:lang w:val="en-US" w:eastAsia="zh-CN"/>
        </w:rPr>
        <w:t xml:space="preserve"> </w:t>
      </w:r>
      <w:r>
        <w:rPr>
          <w:rFonts w:hint="eastAsia" w:ascii="黑体" w:hAnsi="黑体" w:eastAsia="黑体" w:cs="黑体"/>
          <w:color w:val="auto"/>
          <w:lang w:eastAsia="zh-CN"/>
        </w:rPr>
        <w:t>献</w:t>
      </w:r>
    </w:p>
    <w:p>
      <w:pPr>
        <w:pStyle w:val="21"/>
        <w:ind w:left="0" w:leftChars="0" w:firstLine="0" w:firstLineChars="0"/>
        <w:jc w:val="center"/>
        <w:rPr>
          <w:rFonts w:hint="eastAsia" w:ascii="黑体" w:hAnsi="黑体" w:eastAsia="黑体" w:cs="黑体"/>
          <w:color w:val="auto"/>
          <w:lang w:eastAsia="zh-CN"/>
        </w:rPr>
      </w:pP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]商务部、中央文明办、发展改革委、教育部、生态环境部、住房城乡建设部、人民银行、国管局、银保监会《关于推动绿色餐饮发展的若干意见》（商服贸发</w:t>
      </w:r>
      <w:r>
        <w:rPr>
          <w:rFonts w:hint="eastAsia" w:ascii="宋体" w:hAnsi="宋体" w:eastAsia="宋体" w:cs="宋体"/>
          <w:sz w:val="21"/>
          <w:szCs w:val="21"/>
        </w:rPr>
        <w:t>〔</w:t>
      </w:r>
      <w:r>
        <w:rPr>
          <w:rFonts w:hint="eastAsia" w:ascii="宋体" w:hAnsi="宋体" w:eastAsia="宋体" w:cs="宋体"/>
          <w:sz w:val="21"/>
          <w:szCs w:val="21"/>
          <w:lang w:val="en-US" w:eastAsia="zh-CN"/>
        </w:rPr>
        <w:t>2018</w:t>
      </w:r>
      <w:r>
        <w:rPr>
          <w:rFonts w:hint="eastAsia" w:ascii="宋体" w:hAnsi="宋体" w:eastAsia="宋体" w:cs="宋体"/>
          <w:sz w:val="21"/>
          <w:szCs w:val="21"/>
        </w:rPr>
        <w:t>〕</w:t>
      </w:r>
      <w:r>
        <w:rPr>
          <w:rFonts w:hint="eastAsia" w:ascii="宋体" w:hAnsi="宋体" w:eastAsia="宋体" w:cs="宋体"/>
          <w:sz w:val="21"/>
          <w:szCs w:val="21"/>
          <w:lang w:val="en-US" w:eastAsia="zh-CN"/>
        </w:rPr>
        <w:t>17号）</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山西省预防和制止餐饮浪费规定（2021年1月15日山西省第十三届人民代表大会常务委员会第二十二次会议通过）</w:t>
      </w:r>
    </w:p>
    <w:p>
      <w:pPr>
        <w:numPr>
          <w:ilvl w:val="0"/>
          <w:numId w:val="0"/>
        </w:numPr>
        <w:ind w:firstLine="420" w:firstLineChars="200"/>
        <w:rPr>
          <w:rFonts w:hint="eastAsia" w:ascii="宋体" w:hAnsi="宋体" w:eastAsia="宋体" w:cs="宋体"/>
          <w:color w:val="000000" w:themeColor="text1"/>
          <w:kern w:val="0"/>
          <w:sz w:val="21"/>
          <w:szCs w:val="21"/>
          <w:u w:color="000000"/>
          <w:lang w:val="en-US" w:eastAsia="zh-CN"/>
          <w14:textFill>
            <w14:solidFill>
              <w14:schemeClr w14:val="tx1"/>
            </w14:solidFill>
          </w14:textFill>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color w:val="000000" w:themeColor="text1"/>
          <w:kern w:val="0"/>
          <w:sz w:val="21"/>
          <w:szCs w:val="21"/>
          <w:u w:color="000000"/>
          <w:lang w:val="en-US" w:eastAsia="zh-CN"/>
          <w14:textFill>
            <w14:solidFill>
              <w14:schemeClr w14:val="tx1"/>
            </w14:solidFill>
          </w14:textFill>
        </w:rPr>
        <w:t>山西省商务厅</w:t>
      </w:r>
      <w:r>
        <w:rPr>
          <w:rFonts w:hint="eastAsia" w:ascii="宋体" w:hAnsi="宋体" w:cs="宋体"/>
          <w:color w:val="000000" w:themeColor="text1"/>
          <w:kern w:val="0"/>
          <w:sz w:val="21"/>
          <w:szCs w:val="21"/>
          <w:u w:color="000000"/>
          <w:lang w:val="en-US" w:eastAsia="zh-CN"/>
          <w14:textFill>
            <w14:solidFill>
              <w14:schemeClr w14:val="tx1"/>
            </w14:solidFill>
          </w14:textFill>
        </w:rPr>
        <w:t>、文明办、发展改革委、教育厅、环境保护厅、住房和城乡建设厅、人民银行太原中心支行、机关事务管理局、银监会、保监会《</w:t>
      </w:r>
      <w:r>
        <w:rPr>
          <w:rFonts w:hint="eastAsia" w:ascii="宋体" w:hAnsi="宋体" w:eastAsia="宋体" w:cs="宋体"/>
          <w:color w:val="000000" w:themeColor="text1"/>
          <w:kern w:val="0"/>
          <w:sz w:val="21"/>
          <w:szCs w:val="21"/>
          <w:u w:color="000000"/>
          <w:lang w:val="en-US" w:eastAsia="zh-CN"/>
          <w14:textFill>
            <w14:solidFill>
              <w14:schemeClr w14:val="tx1"/>
            </w14:solidFill>
          </w14:textFill>
        </w:rPr>
        <w:t>关于推动绿色餐饮发展的通知</w:t>
      </w:r>
      <w:r>
        <w:rPr>
          <w:rFonts w:hint="eastAsia" w:ascii="宋体" w:hAnsi="宋体" w:cs="宋体"/>
          <w:color w:val="000000" w:themeColor="text1"/>
          <w:kern w:val="0"/>
          <w:sz w:val="21"/>
          <w:szCs w:val="21"/>
          <w:u w:color="000000"/>
          <w:lang w:val="en-US" w:eastAsia="zh-CN"/>
          <w14:textFill>
            <w14:solidFill>
              <w14:schemeClr w14:val="tx1"/>
            </w14:solidFill>
          </w14:textFill>
        </w:rPr>
        <w:t>》</w:t>
      </w:r>
      <w:r>
        <w:rPr>
          <w:rFonts w:hint="eastAsia" w:ascii="宋体" w:hAnsi="宋体" w:eastAsia="宋体" w:cs="宋体"/>
          <w:color w:val="000000" w:themeColor="text1"/>
          <w:kern w:val="0"/>
          <w:sz w:val="21"/>
          <w:szCs w:val="21"/>
          <w:u w:color="000000"/>
          <w:lang w:val="en-US" w:eastAsia="zh-CN"/>
          <w14:textFill>
            <w14:solidFill>
              <w14:schemeClr w14:val="tx1"/>
            </w14:solidFill>
          </w14:textFill>
        </w:rPr>
        <w:t>（晋商服〔2018〕215号）</w:t>
      </w:r>
    </w:p>
    <w:p>
      <w:pPr>
        <w:pStyle w:val="51"/>
        <w:numPr>
          <w:ilvl w:val="1"/>
          <w:numId w:val="0"/>
        </w:numPr>
        <w:ind w:leftChars="0"/>
        <w:outlineLvl w:val="1"/>
        <w:rPr>
          <w:rFonts w:hint="eastAsia" w:ascii="宋体" w:hAnsi="Times New Roman" w:eastAsia="宋体" w:cs="Times New Roman"/>
          <w:kern w:val="0"/>
          <w:sz w:val="21"/>
          <w:szCs w:val="21"/>
          <w:lang w:val="en-US" w:eastAsia="zh-CN" w:bidi="ar-SA"/>
        </w:rPr>
      </w:pPr>
    </w:p>
    <w:p>
      <w:pPr>
        <w:pStyle w:val="107"/>
        <w:framePr w:vAnchor="text" w:hAnchor="page" w:x="4422" w:y="100"/>
        <w:rPr>
          <w:rFonts w:hint="eastAsia"/>
        </w:rPr>
      </w:pPr>
      <w:r>
        <w:t>_________________________________</w:t>
      </w:r>
    </w:p>
    <w:p>
      <w:pPr>
        <w:pStyle w:val="51"/>
        <w:numPr>
          <w:ilvl w:val="1"/>
          <w:numId w:val="0"/>
        </w:numPr>
        <w:ind w:leftChars="0"/>
        <w:outlineLvl w:val="1"/>
      </w:pP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t>DB ××/T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3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5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53"/>
      <w:suff w:val="space"/>
      <w:lvlText w:val="%1"/>
      <w:lvlJc w:val="left"/>
      <w:pPr>
        <w:ind w:left="623" w:hanging="425"/>
      </w:pPr>
      <w:rPr>
        <w:rFonts w:hint="eastAsia"/>
      </w:rPr>
    </w:lvl>
    <w:lvl w:ilvl="1" w:tentative="0">
      <w:start w:val="1"/>
      <w:numFmt w:val="decimal"/>
      <w:pStyle w:val="6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1"/>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9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9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5"/>
      <w:lvlText w:val="%2)"/>
      <w:lvlJc w:val="left"/>
      <w:pPr>
        <w:tabs>
          <w:tab w:val="left" w:pos="1260"/>
        </w:tabs>
        <w:ind w:left="1259" w:hanging="419"/>
      </w:pPr>
      <w:rPr>
        <w:rFonts w:hint="eastAsia"/>
      </w:rPr>
    </w:lvl>
    <w:lvl w:ilvl="2" w:tentative="0">
      <w:start w:val="1"/>
      <w:numFmt w:val="decimal"/>
      <w:pStyle w:val="5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9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00"/>
      <w:lvlText w:val="%1"/>
      <w:lvlJc w:val="left"/>
      <w:pPr>
        <w:tabs>
          <w:tab w:val="left" w:pos="0"/>
        </w:tabs>
        <w:ind w:left="0" w:hanging="425"/>
      </w:pPr>
      <w:rPr>
        <w:rFonts w:hint="eastAsia"/>
      </w:rPr>
    </w:lvl>
    <w:lvl w:ilvl="1" w:tentative="0">
      <w:start w:val="1"/>
      <w:numFmt w:val="decimal"/>
      <w:pStyle w:val="11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8"/>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7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9"/>
  </w:num>
  <w:num w:numId="4">
    <w:abstractNumId w:val="5"/>
  </w:num>
  <w:num w:numId="5">
    <w:abstractNumId w:val="6"/>
  </w:num>
  <w:num w:numId="6">
    <w:abstractNumId w:val="7"/>
  </w:num>
  <w:num w:numId="7">
    <w:abstractNumId w:val="4"/>
  </w:num>
  <w:num w:numId="8">
    <w:abstractNumId w:val="14"/>
  </w:num>
  <w:num w:numId="9">
    <w:abstractNumId w:val="10"/>
  </w:num>
  <w:num w:numId="10">
    <w:abstractNumId w:val="16"/>
  </w:num>
  <w:num w:numId="11">
    <w:abstractNumId w:val="11"/>
  </w:num>
  <w:num w:numId="12">
    <w:abstractNumId w:val="15"/>
  </w:num>
  <w:num w:numId="13">
    <w:abstractNumId w:val="12"/>
  </w:num>
  <w:num w:numId="14">
    <w:abstractNumId w:val="2"/>
  </w:num>
  <w:num w:numId="15">
    <w:abstractNumId w:val="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C24"/>
    <w:rsid w:val="0000586F"/>
    <w:rsid w:val="00010C5F"/>
    <w:rsid w:val="00013D86"/>
    <w:rsid w:val="00013E02"/>
    <w:rsid w:val="0002143C"/>
    <w:rsid w:val="00025A65"/>
    <w:rsid w:val="00026C31"/>
    <w:rsid w:val="00027280"/>
    <w:rsid w:val="000320A7"/>
    <w:rsid w:val="000325EA"/>
    <w:rsid w:val="00035925"/>
    <w:rsid w:val="00050807"/>
    <w:rsid w:val="00055371"/>
    <w:rsid w:val="000607A3"/>
    <w:rsid w:val="000657F7"/>
    <w:rsid w:val="00067CDF"/>
    <w:rsid w:val="00074FBE"/>
    <w:rsid w:val="00083A09"/>
    <w:rsid w:val="0009005E"/>
    <w:rsid w:val="00092001"/>
    <w:rsid w:val="00092857"/>
    <w:rsid w:val="000979D9"/>
    <w:rsid w:val="000A20A9"/>
    <w:rsid w:val="000A3524"/>
    <w:rsid w:val="000A48B1"/>
    <w:rsid w:val="000B3143"/>
    <w:rsid w:val="000B405D"/>
    <w:rsid w:val="000C6B05"/>
    <w:rsid w:val="000C6DD6"/>
    <w:rsid w:val="000C73D4"/>
    <w:rsid w:val="000D3D4C"/>
    <w:rsid w:val="000D4F51"/>
    <w:rsid w:val="000D718B"/>
    <w:rsid w:val="000E0C46"/>
    <w:rsid w:val="000E15EE"/>
    <w:rsid w:val="000F030C"/>
    <w:rsid w:val="000F129C"/>
    <w:rsid w:val="001056DE"/>
    <w:rsid w:val="001124C0"/>
    <w:rsid w:val="0013175F"/>
    <w:rsid w:val="0013364D"/>
    <w:rsid w:val="001343BB"/>
    <w:rsid w:val="001512B4"/>
    <w:rsid w:val="001620A5"/>
    <w:rsid w:val="00164E53"/>
    <w:rsid w:val="0016699D"/>
    <w:rsid w:val="00175159"/>
    <w:rsid w:val="00176208"/>
    <w:rsid w:val="0017780C"/>
    <w:rsid w:val="0018211B"/>
    <w:rsid w:val="001840D3"/>
    <w:rsid w:val="001900F8"/>
    <w:rsid w:val="00191258"/>
    <w:rsid w:val="00192680"/>
    <w:rsid w:val="00193037"/>
    <w:rsid w:val="00193A2C"/>
    <w:rsid w:val="001A288E"/>
    <w:rsid w:val="001B6DC2"/>
    <w:rsid w:val="001C149C"/>
    <w:rsid w:val="001C21AC"/>
    <w:rsid w:val="001C3689"/>
    <w:rsid w:val="001C47BA"/>
    <w:rsid w:val="001C59EA"/>
    <w:rsid w:val="001D406C"/>
    <w:rsid w:val="001D41EE"/>
    <w:rsid w:val="001D4BEB"/>
    <w:rsid w:val="001E0380"/>
    <w:rsid w:val="001E13B1"/>
    <w:rsid w:val="001F3A19"/>
    <w:rsid w:val="002009E4"/>
    <w:rsid w:val="00201053"/>
    <w:rsid w:val="0020251B"/>
    <w:rsid w:val="0022185E"/>
    <w:rsid w:val="00234467"/>
    <w:rsid w:val="00237D8D"/>
    <w:rsid w:val="00241DA2"/>
    <w:rsid w:val="00247FEE"/>
    <w:rsid w:val="00250E7D"/>
    <w:rsid w:val="002527DD"/>
    <w:rsid w:val="002565D5"/>
    <w:rsid w:val="002622C0"/>
    <w:rsid w:val="002778AE"/>
    <w:rsid w:val="0028269A"/>
    <w:rsid w:val="00283590"/>
    <w:rsid w:val="00286973"/>
    <w:rsid w:val="00294E70"/>
    <w:rsid w:val="002954B8"/>
    <w:rsid w:val="002A1924"/>
    <w:rsid w:val="002A7420"/>
    <w:rsid w:val="002A7A7E"/>
    <w:rsid w:val="002B0F12"/>
    <w:rsid w:val="002B1308"/>
    <w:rsid w:val="002B4554"/>
    <w:rsid w:val="002B707C"/>
    <w:rsid w:val="002C72D8"/>
    <w:rsid w:val="002D11FA"/>
    <w:rsid w:val="002D19A4"/>
    <w:rsid w:val="002D4071"/>
    <w:rsid w:val="002E0DDF"/>
    <w:rsid w:val="002E2906"/>
    <w:rsid w:val="002E5635"/>
    <w:rsid w:val="002E64C3"/>
    <w:rsid w:val="002E6A2C"/>
    <w:rsid w:val="002F035E"/>
    <w:rsid w:val="002F0FE8"/>
    <w:rsid w:val="002F1D8C"/>
    <w:rsid w:val="002F21DA"/>
    <w:rsid w:val="002F5E22"/>
    <w:rsid w:val="00301F39"/>
    <w:rsid w:val="00303D27"/>
    <w:rsid w:val="00325926"/>
    <w:rsid w:val="00327A8A"/>
    <w:rsid w:val="003339A3"/>
    <w:rsid w:val="00336610"/>
    <w:rsid w:val="00343F73"/>
    <w:rsid w:val="00345060"/>
    <w:rsid w:val="003451FB"/>
    <w:rsid w:val="00352629"/>
    <w:rsid w:val="0035323B"/>
    <w:rsid w:val="00353D19"/>
    <w:rsid w:val="003609D2"/>
    <w:rsid w:val="00363F22"/>
    <w:rsid w:val="00375564"/>
    <w:rsid w:val="00383191"/>
    <w:rsid w:val="00386DED"/>
    <w:rsid w:val="003912E7"/>
    <w:rsid w:val="00393947"/>
    <w:rsid w:val="00395141"/>
    <w:rsid w:val="003A2275"/>
    <w:rsid w:val="003A59DB"/>
    <w:rsid w:val="003A6A4F"/>
    <w:rsid w:val="003A7088"/>
    <w:rsid w:val="003B00DF"/>
    <w:rsid w:val="003B1275"/>
    <w:rsid w:val="003B1778"/>
    <w:rsid w:val="003C11CB"/>
    <w:rsid w:val="003C3017"/>
    <w:rsid w:val="003C75F3"/>
    <w:rsid w:val="003C78A3"/>
    <w:rsid w:val="003E1867"/>
    <w:rsid w:val="003E5729"/>
    <w:rsid w:val="003F22BB"/>
    <w:rsid w:val="003F4EE0"/>
    <w:rsid w:val="00402153"/>
    <w:rsid w:val="00402FC1"/>
    <w:rsid w:val="00425082"/>
    <w:rsid w:val="00431DEB"/>
    <w:rsid w:val="00446B29"/>
    <w:rsid w:val="00453F9A"/>
    <w:rsid w:val="00464903"/>
    <w:rsid w:val="00471E91"/>
    <w:rsid w:val="00474079"/>
    <w:rsid w:val="00474675"/>
    <w:rsid w:val="0047470C"/>
    <w:rsid w:val="004A203E"/>
    <w:rsid w:val="004A35F9"/>
    <w:rsid w:val="004B24C1"/>
    <w:rsid w:val="004B3092"/>
    <w:rsid w:val="004B49B1"/>
    <w:rsid w:val="004C292F"/>
    <w:rsid w:val="004D2410"/>
    <w:rsid w:val="004D306F"/>
    <w:rsid w:val="004E5A47"/>
    <w:rsid w:val="00510280"/>
    <w:rsid w:val="00513D73"/>
    <w:rsid w:val="00514A43"/>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2BBE"/>
    <w:rsid w:val="0058464E"/>
    <w:rsid w:val="005A01CB"/>
    <w:rsid w:val="005A58FF"/>
    <w:rsid w:val="005A5EAF"/>
    <w:rsid w:val="005A64C0"/>
    <w:rsid w:val="005B3C11"/>
    <w:rsid w:val="005C1C28"/>
    <w:rsid w:val="005C6DB5"/>
    <w:rsid w:val="005D58DC"/>
    <w:rsid w:val="005E19E7"/>
    <w:rsid w:val="00601622"/>
    <w:rsid w:val="00613FAA"/>
    <w:rsid w:val="0061716C"/>
    <w:rsid w:val="00617868"/>
    <w:rsid w:val="006243A1"/>
    <w:rsid w:val="00632E56"/>
    <w:rsid w:val="00635CBA"/>
    <w:rsid w:val="0064338B"/>
    <w:rsid w:val="00646542"/>
    <w:rsid w:val="006504F4"/>
    <w:rsid w:val="0065366F"/>
    <w:rsid w:val="00654BC9"/>
    <w:rsid w:val="006552FD"/>
    <w:rsid w:val="00656F0B"/>
    <w:rsid w:val="00663733"/>
    <w:rsid w:val="00663AF3"/>
    <w:rsid w:val="00666B6C"/>
    <w:rsid w:val="00682682"/>
    <w:rsid w:val="00682702"/>
    <w:rsid w:val="00692368"/>
    <w:rsid w:val="006A2EBC"/>
    <w:rsid w:val="006A5EA0"/>
    <w:rsid w:val="006A783B"/>
    <w:rsid w:val="006A7B33"/>
    <w:rsid w:val="006B4E13"/>
    <w:rsid w:val="006B75DD"/>
    <w:rsid w:val="006C67E0"/>
    <w:rsid w:val="006C7ABA"/>
    <w:rsid w:val="006D0A13"/>
    <w:rsid w:val="006D0D60"/>
    <w:rsid w:val="006D1122"/>
    <w:rsid w:val="006D317E"/>
    <w:rsid w:val="006D3B1E"/>
    <w:rsid w:val="006D3C00"/>
    <w:rsid w:val="006E3675"/>
    <w:rsid w:val="006E4A7F"/>
    <w:rsid w:val="00704DF6"/>
    <w:rsid w:val="0070651C"/>
    <w:rsid w:val="007132A3"/>
    <w:rsid w:val="00716421"/>
    <w:rsid w:val="00721419"/>
    <w:rsid w:val="00724EFB"/>
    <w:rsid w:val="00730310"/>
    <w:rsid w:val="007419C3"/>
    <w:rsid w:val="007467A7"/>
    <w:rsid w:val="007469DD"/>
    <w:rsid w:val="0074741B"/>
    <w:rsid w:val="0074759E"/>
    <w:rsid w:val="007478EA"/>
    <w:rsid w:val="0075415C"/>
    <w:rsid w:val="00757097"/>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758D"/>
    <w:rsid w:val="007F7D52"/>
    <w:rsid w:val="0080484A"/>
    <w:rsid w:val="00805589"/>
    <w:rsid w:val="0080654C"/>
    <w:rsid w:val="008071C6"/>
    <w:rsid w:val="008148AC"/>
    <w:rsid w:val="00817A00"/>
    <w:rsid w:val="00820B95"/>
    <w:rsid w:val="00831631"/>
    <w:rsid w:val="00835DB3"/>
    <w:rsid w:val="0083617B"/>
    <w:rsid w:val="00836342"/>
    <w:rsid w:val="00836A2D"/>
    <w:rsid w:val="008371BD"/>
    <w:rsid w:val="008443B5"/>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590D"/>
    <w:rsid w:val="008D7566"/>
    <w:rsid w:val="008E031B"/>
    <w:rsid w:val="008E7029"/>
    <w:rsid w:val="008E7EF6"/>
    <w:rsid w:val="008F1F98"/>
    <w:rsid w:val="008F2790"/>
    <w:rsid w:val="008F6758"/>
    <w:rsid w:val="009040DD"/>
    <w:rsid w:val="00905B47"/>
    <w:rsid w:val="00911391"/>
    <w:rsid w:val="0091331C"/>
    <w:rsid w:val="009137BD"/>
    <w:rsid w:val="009279DE"/>
    <w:rsid w:val="00930116"/>
    <w:rsid w:val="0094212C"/>
    <w:rsid w:val="0095378C"/>
    <w:rsid w:val="00954689"/>
    <w:rsid w:val="009617C9"/>
    <w:rsid w:val="00961C93"/>
    <w:rsid w:val="00965324"/>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A02E43"/>
    <w:rsid w:val="00A05368"/>
    <w:rsid w:val="00A065F9"/>
    <w:rsid w:val="00A07011"/>
    <w:rsid w:val="00A07F34"/>
    <w:rsid w:val="00A22154"/>
    <w:rsid w:val="00A24058"/>
    <w:rsid w:val="00A25C38"/>
    <w:rsid w:val="00A36BBE"/>
    <w:rsid w:val="00A37C20"/>
    <w:rsid w:val="00A40D9E"/>
    <w:rsid w:val="00A42ECA"/>
    <w:rsid w:val="00A4307A"/>
    <w:rsid w:val="00A47EBB"/>
    <w:rsid w:val="00A51CDD"/>
    <w:rsid w:val="00A56BBA"/>
    <w:rsid w:val="00A6730D"/>
    <w:rsid w:val="00A71625"/>
    <w:rsid w:val="00A71B9B"/>
    <w:rsid w:val="00A751C7"/>
    <w:rsid w:val="00A87844"/>
    <w:rsid w:val="00AA038C"/>
    <w:rsid w:val="00AA7A09"/>
    <w:rsid w:val="00AB3B50"/>
    <w:rsid w:val="00AC05B1"/>
    <w:rsid w:val="00AC5CAF"/>
    <w:rsid w:val="00AD042D"/>
    <w:rsid w:val="00AD356C"/>
    <w:rsid w:val="00AE2914"/>
    <w:rsid w:val="00AE6D15"/>
    <w:rsid w:val="00AE78AA"/>
    <w:rsid w:val="00AF1F49"/>
    <w:rsid w:val="00B04182"/>
    <w:rsid w:val="00B05ECF"/>
    <w:rsid w:val="00B07AE3"/>
    <w:rsid w:val="00B11430"/>
    <w:rsid w:val="00B242F4"/>
    <w:rsid w:val="00B24D1C"/>
    <w:rsid w:val="00B30481"/>
    <w:rsid w:val="00B353EB"/>
    <w:rsid w:val="00B4016F"/>
    <w:rsid w:val="00B407AC"/>
    <w:rsid w:val="00B439C4"/>
    <w:rsid w:val="00B4535E"/>
    <w:rsid w:val="00B52A8C"/>
    <w:rsid w:val="00B54707"/>
    <w:rsid w:val="00B62F11"/>
    <w:rsid w:val="00B636A8"/>
    <w:rsid w:val="00B665C6"/>
    <w:rsid w:val="00B758A5"/>
    <w:rsid w:val="00B805AF"/>
    <w:rsid w:val="00B869EC"/>
    <w:rsid w:val="00B92181"/>
    <w:rsid w:val="00B9397A"/>
    <w:rsid w:val="00B9633D"/>
    <w:rsid w:val="00BA2EBE"/>
    <w:rsid w:val="00BB0F28"/>
    <w:rsid w:val="00BB458A"/>
    <w:rsid w:val="00BD00D3"/>
    <w:rsid w:val="00BD1659"/>
    <w:rsid w:val="00BD3AA9"/>
    <w:rsid w:val="00BD4A18"/>
    <w:rsid w:val="00BD6DB2"/>
    <w:rsid w:val="00BD73A1"/>
    <w:rsid w:val="00BD7CEF"/>
    <w:rsid w:val="00BE11CF"/>
    <w:rsid w:val="00BE21AB"/>
    <w:rsid w:val="00BE55CB"/>
    <w:rsid w:val="00BE7067"/>
    <w:rsid w:val="00BF617A"/>
    <w:rsid w:val="00C0053B"/>
    <w:rsid w:val="00C0379D"/>
    <w:rsid w:val="00C03931"/>
    <w:rsid w:val="00C05FE3"/>
    <w:rsid w:val="00C2136D"/>
    <w:rsid w:val="00C214EE"/>
    <w:rsid w:val="00C2314B"/>
    <w:rsid w:val="00C24971"/>
    <w:rsid w:val="00C25355"/>
    <w:rsid w:val="00C26BE5"/>
    <w:rsid w:val="00C26E4D"/>
    <w:rsid w:val="00C27909"/>
    <w:rsid w:val="00C27B03"/>
    <w:rsid w:val="00C314E1"/>
    <w:rsid w:val="00C34397"/>
    <w:rsid w:val="00C40503"/>
    <w:rsid w:val="00C4095D"/>
    <w:rsid w:val="00C601D2"/>
    <w:rsid w:val="00C65BCC"/>
    <w:rsid w:val="00C66970"/>
    <w:rsid w:val="00C8691C"/>
    <w:rsid w:val="00CA168A"/>
    <w:rsid w:val="00CA2097"/>
    <w:rsid w:val="00CA357E"/>
    <w:rsid w:val="00CA44F9"/>
    <w:rsid w:val="00CA4A69"/>
    <w:rsid w:val="00CC3E0C"/>
    <w:rsid w:val="00CC58D3"/>
    <w:rsid w:val="00CC784D"/>
    <w:rsid w:val="00D0337B"/>
    <w:rsid w:val="00D07777"/>
    <w:rsid w:val="00D079B2"/>
    <w:rsid w:val="00D114E9"/>
    <w:rsid w:val="00D17CD8"/>
    <w:rsid w:val="00D313B3"/>
    <w:rsid w:val="00D429C6"/>
    <w:rsid w:val="00D47748"/>
    <w:rsid w:val="00D54CC3"/>
    <w:rsid w:val="00D54D13"/>
    <w:rsid w:val="00D6041A"/>
    <w:rsid w:val="00D633EB"/>
    <w:rsid w:val="00D82FF7"/>
    <w:rsid w:val="00D847FE"/>
    <w:rsid w:val="00D86B9C"/>
    <w:rsid w:val="00D90A39"/>
    <w:rsid w:val="00D964EA"/>
    <w:rsid w:val="00D966D0"/>
    <w:rsid w:val="00DA0C59"/>
    <w:rsid w:val="00DA3991"/>
    <w:rsid w:val="00DA72A1"/>
    <w:rsid w:val="00DA7F95"/>
    <w:rsid w:val="00DB7E6C"/>
    <w:rsid w:val="00DD252A"/>
    <w:rsid w:val="00DD5A29"/>
    <w:rsid w:val="00DD5D9D"/>
    <w:rsid w:val="00DE35CB"/>
    <w:rsid w:val="00DF0EF0"/>
    <w:rsid w:val="00DF21E9"/>
    <w:rsid w:val="00DF22C7"/>
    <w:rsid w:val="00E00F14"/>
    <w:rsid w:val="00E06386"/>
    <w:rsid w:val="00E075C5"/>
    <w:rsid w:val="00E11668"/>
    <w:rsid w:val="00E122B7"/>
    <w:rsid w:val="00E24EB4"/>
    <w:rsid w:val="00E320ED"/>
    <w:rsid w:val="00E33AFB"/>
    <w:rsid w:val="00E34218"/>
    <w:rsid w:val="00E46282"/>
    <w:rsid w:val="00E5216E"/>
    <w:rsid w:val="00E657C6"/>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CC9"/>
    <w:rsid w:val="00EC680A"/>
    <w:rsid w:val="00EE25CB"/>
    <w:rsid w:val="00EE2BED"/>
    <w:rsid w:val="00EE374B"/>
    <w:rsid w:val="00EF2869"/>
    <w:rsid w:val="00F00A48"/>
    <w:rsid w:val="00F11BB5"/>
    <w:rsid w:val="00F1417B"/>
    <w:rsid w:val="00F17A17"/>
    <w:rsid w:val="00F208A0"/>
    <w:rsid w:val="00F2115E"/>
    <w:rsid w:val="00F30ABD"/>
    <w:rsid w:val="00F34B99"/>
    <w:rsid w:val="00F51CF2"/>
    <w:rsid w:val="00F52DAB"/>
    <w:rsid w:val="00F543F0"/>
    <w:rsid w:val="00F55E3E"/>
    <w:rsid w:val="00F57601"/>
    <w:rsid w:val="00F73F99"/>
    <w:rsid w:val="00F81D29"/>
    <w:rsid w:val="00F90BE5"/>
    <w:rsid w:val="00F91C4D"/>
    <w:rsid w:val="00F92FD9"/>
    <w:rsid w:val="00FA5EF7"/>
    <w:rsid w:val="00FA6684"/>
    <w:rsid w:val="00FA731E"/>
    <w:rsid w:val="00FA7BD0"/>
    <w:rsid w:val="00FB1DCF"/>
    <w:rsid w:val="00FB2B38"/>
    <w:rsid w:val="00FC6358"/>
    <w:rsid w:val="00FD320D"/>
    <w:rsid w:val="00FE1B98"/>
    <w:rsid w:val="00FE23DE"/>
    <w:rsid w:val="0812213F"/>
    <w:rsid w:val="08712DD2"/>
    <w:rsid w:val="08952F54"/>
    <w:rsid w:val="0909223F"/>
    <w:rsid w:val="090F6425"/>
    <w:rsid w:val="0DAF1ED7"/>
    <w:rsid w:val="0DE82861"/>
    <w:rsid w:val="0DF86073"/>
    <w:rsid w:val="0F1E39D9"/>
    <w:rsid w:val="11DE7A7D"/>
    <w:rsid w:val="13321074"/>
    <w:rsid w:val="14025F45"/>
    <w:rsid w:val="14893C8B"/>
    <w:rsid w:val="1618412C"/>
    <w:rsid w:val="191D79B2"/>
    <w:rsid w:val="1B391062"/>
    <w:rsid w:val="1BA85799"/>
    <w:rsid w:val="1D13561E"/>
    <w:rsid w:val="1F210DB5"/>
    <w:rsid w:val="1FCF13B6"/>
    <w:rsid w:val="1FDA2703"/>
    <w:rsid w:val="20237EB0"/>
    <w:rsid w:val="20CB6B01"/>
    <w:rsid w:val="21AC09F0"/>
    <w:rsid w:val="2274785E"/>
    <w:rsid w:val="22EA7B20"/>
    <w:rsid w:val="238C4884"/>
    <w:rsid w:val="2398757C"/>
    <w:rsid w:val="2427379E"/>
    <w:rsid w:val="275B6C47"/>
    <w:rsid w:val="28FD03FF"/>
    <w:rsid w:val="2AA327AF"/>
    <w:rsid w:val="2B593A9D"/>
    <w:rsid w:val="2CBA4A07"/>
    <w:rsid w:val="2CCF0D32"/>
    <w:rsid w:val="2D3953F2"/>
    <w:rsid w:val="2E37117D"/>
    <w:rsid w:val="2F823610"/>
    <w:rsid w:val="30C37973"/>
    <w:rsid w:val="3329293E"/>
    <w:rsid w:val="342258C8"/>
    <w:rsid w:val="34425ACE"/>
    <w:rsid w:val="34ED4B52"/>
    <w:rsid w:val="35BB2535"/>
    <w:rsid w:val="36816038"/>
    <w:rsid w:val="3740339A"/>
    <w:rsid w:val="3762054C"/>
    <w:rsid w:val="37C91FA2"/>
    <w:rsid w:val="38514471"/>
    <w:rsid w:val="3886248F"/>
    <w:rsid w:val="392F680B"/>
    <w:rsid w:val="3A7F1E99"/>
    <w:rsid w:val="3B567FF1"/>
    <w:rsid w:val="3B5F1D85"/>
    <w:rsid w:val="3BD441C9"/>
    <w:rsid w:val="3C190DA7"/>
    <w:rsid w:val="3F413FCA"/>
    <w:rsid w:val="40C27E00"/>
    <w:rsid w:val="41291F9A"/>
    <w:rsid w:val="42AB0C22"/>
    <w:rsid w:val="44491599"/>
    <w:rsid w:val="449D4E1C"/>
    <w:rsid w:val="44F07C4A"/>
    <w:rsid w:val="45472F57"/>
    <w:rsid w:val="45C81FFB"/>
    <w:rsid w:val="45CC3D42"/>
    <w:rsid w:val="46E60C47"/>
    <w:rsid w:val="478D4D9A"/>
    <w:rsid w:val="47DB7C44"/>
    <w:rsid w:val="49CE1C66"/>
    <w:rsid w:val="4A4D480C"/>
    <w:rsid w:val="4CFA195C"/>
    <w:rsid w:val="4F127A6C"/>
    <w:rsid w:val="4FE00253"/>
    <w:rsid w:val="50E35B7B"/>
    <w:rsid w:val="513F7105"/>
    <w:rsid w:val="52446693"/>
    <w:rsid w:val="53585FA9"/>
    <w:rsid w:val="53650838"/>
    <w:rsid w:val="5436418B"/>
    <w:rsid w:val="5512449D"/>
    <w:rsid w:val="55FC1EA8"/>
    <w:rsid w:val="56C56329"/>
    <w:rsid w:val="56C836F9"/>
    <w:rsid w:val="56E046FC"/>
    <w:rsid w:val="58585293"/>
    <w:rsid w:val="58E514C3"/>
    <w:rsid w:val="58E627E8"/>
    <w:rsid w:val="59332440"/>
    <w:rsid w:val="59D27425"/>
    <w:rsid w:val="5A554BB2"/>
    <w:rsid w:val="5A9A1850"/>
    <w:rsid w:val="5B305D11"/>
    <w:rsid w:val="5D0A3F94"/>
    <w:rsid w:val="5D632875"/>
    <w:rsid w:val="5D6B4715"/>
    <w:rsid w:val="5E17255E"/>
    <w:rsid w:val="5EC70DFD"/>
    <w:rsid w:val="5ED96641"/>
    <w:rsid w:val="634B7ECE"/>
    <w:rsid w:val="637135E9"/>
    <w:rsid w:val="63B26E56"/>
    <w:rsid w:val="655053E4"/>
    <w:rsid w:val="661210D8"/>
    <w:rsid w:val="661F0E5C"/>
    <w:rsid w:val="66223CDD"/>
    <w:rsid w:val="66723681"/>
    <w:rsid w:val="69A131DF"/>
    <w:rsid w:val="6A467760"/>
    <w:rsid w:val="6B8472FF"/>
    <w:rsid w:val="6D0958BC"/>
    <w:rsid w:val="71390EBA"/>
    <w:rsid w:val="716B7A86"/>
    <w:rsid w:val="719A6A04"/>
    <w:rsid w:val="73F57B6E"/>
    <w:rsid w:val="745F4A92"/>
    <w:rsid w:val="74FA7511"/>
    <w:rsid w:val="77340223"/>
    <w:rsid w:val="77D61781"/>
    <w:rsid w:val="77DA3D0F"/>
    <w:rsid w:val="78972957"/>
    <w:rsid w:val="78FD327E"/>
    <w:rsid w:val="7A68140F"/>
    <w:rsid w:val="7AC9023B"/>
    <w:rsid w:val="7B8F3DCC"/>
    <w:rsid w:val="7C63409D"/>
    <w:rsid w:val="7E913B43"/>
    <w:rsid w:val="7F0725DB"/>
    <w:rsid w:val="7FA1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1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rFonts w:ascii="Times New Roman" w:hAnsi="Times New Roman" w:eastAsia="宋体" w:cs="Times New Roman"/>
      <w:vertAlign w:val="superscript"/>
    </w:rPr>
  </w:style>
  <w:style w:type="character" w:styleId="33">
    <w:name w:val="page number"/>
    <w:basedOn w:val="31"/>
    <w:qFormat/>
    <w:uiPriority w:val="0"/>
    <w:rPr>
      <w:rFonts w:ascii="Times New Roman" w:hAnsi="Times New Roman" w:eastAsia="宋体" w:cs="Times New Roman"/>
      <w:sz w:val="18"/>
    </w:rPr>
  </w:style>
  <w:style w:type="character" w:styleId="34">
    <w:name w:val="FollowedHyperlink"/>
    <w:basedOn w:val="31"/>
    <w:qFormat/>
    <w:uiPriority w:val="0"/>
    <w:rPr>
      <w:rFonts w:ascii="Times New Roman" w:hAnsi="Times New Roman" w:eastAsia="宋体" w:cs="Times New Roman"/>
      <w:color w:val="800080"/>
      <w:u w:val="single"/>
    </w:rPr>
  </w:style>
  <w:style w:type="character" w:styleId="35">
    <w:name w:val="Hyperlink"/>
    <w:basedOn w:val="31"/>
    <w:qFormat/>
    <w:uiPriority w:val="99"/>
    <w:rPr>
      <w:rFonts w:ascii="Times New Roman" w:hAnsi="Times New Roman" w:eastAsia="宋体" w:cs="Times New Roman"/>
      <w:color w:val="0000FF"/>
      <w:spacing w:val="0"/>
      <w:w w:val="100"/>
      <w:szCs w:val="21"/>
      <w:u w:val="single"/>
    </w:rPr>
  </w:style>
  <w:style w:type="character" w:styleId="36">
    <w:name w:val="footnote reference"/>
    <w:basedOn w:val="31"/>
    <w:semiHidden/>
    <w:qFormat/>
    <w:uiPriority w:val="0"/>
    <w:rPr>
      <w:rFonts w:ascii="Times New Roman" w:hAnsi="Times New Roman" w:eastAsia="宋体" w:cs="Times New Roman"/>
      <w:vertAlign w:val="superscript"/>
    </w:rPr>
  </w:style>
  <w:style w:type="paragraph" w:customStyle="1" w:styleId="37">
    <w:name w:val="首示例"/>
    <w:next w:val="21"/>
    <w:link w:val="13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38">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9">
    <w:name w:val="封面标准文稿类别2"/>
    <w:basedOn w:val="40"/>
    <w:qFormat/>
    <w:uiPriority w:val="0"/>
    <w:pPr>
      <w:framePr w:y="4469"/>
    </w:pPr>
  </w:style>
  <w:style w:type="paragraph" w:customStyle="1" w:styleId="40">
    <w:name w:val="封面标准文稿类别"/>
    <w:basedOn w:val="41"/>
    <w:qFormat/>
    <w:uiPriority w:val="0"/>
    <w:pPr>
      <w:spacing w:after="160" w:line="240" w:lineRule="auto"/>
    </w:pPr>
    <w:rPr>
      <w:sz w:val="24"/>
    </w:rPr>
  </w:style>
  <w:style w:type="paragraph" w:customStyle="1" w:styleId="41">
    <w:name w:val="封面一致性程度标识"/>
    <w:basedOn w:val="42"/>
    <w:qFormat/>
    <w:uiPriority w:val="0"/>
    <w:pPr>
      <w:spacing w:before="440"/>
    </w:pPr>
    <w:rPr>
      <w:rFonts w:ascii="宋体" w:eastAsia="宋体"/>
    </w:rPr>
  </w:style>
  <w:style w:type="paragraph" w:customStyle="1" w:styleId="42">
    <w:name w:val="封面标准英文名称"/>
    <w:basedOn w:val="43"/>
    <w:qFormat/>
    <w:uiPriority w:val="0"/>
    <w:pPr>
      <w:spacing w:before="370" w:line="400" w:lineRule="exact"/>
    </w:pPr>
    <w:rPr>
      <w:rFonts w:ascii="Times New Roman"/>
      <w:sz w:val="28"/>
      <w:szCs w:val="28"/>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5">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7">
    <w:name w:val="封面标准英文名称2"/>
    <w:basedOn w:val="42"/>
    <w:qFormat/>
    <w:uiPriority w:val="0"/>
    <w:pPr>
      <w:framePr w:y="4469"/>
    </w:pPr>
  </w:style>
  <w:style w:type="paragraph" w:customStyle="1" w:styleId="48">
    <w:name w:val="四级条标题"/>
    <w:basedOn w:val="49"/>
    <w:next w:val="21"/>
    <w:qFormat/>
    <w:uiPriority w:val="0"/>
    <w:pPr>
      <w:numPr>
        <w:ilvl w:val="4"/>
        <w:numId w:val="4"/>
      </w:numPr>
      <w:outlineLvl w:val="5"/>
    </w:pPr>
  </w:style>
  <w:style w:type="paragraph" w:customStyle="1" w:styleId="49">
    <w:name w:val="三级条标题"/>
    <w:basedOn w:val="50"/>
    <w:next w:val="21"/>
    <w:qFormat/>
    <w:uiPriority w:val="0"/>
    <w:pPr>
      <w:numPr>
        <w:ilvl w:val="3"/>
        <w:numId w:val="4"/>
      </w:numPr>
      <w:outlineLvl w:val="4"/>
    </w:pPr>
  </w:style>
  <w:style w:type="paragraph" w:customStyle="1" w:styleId="50">
    <w:name w:val="二级条标题"/>
    <w:basedOn w:val="51"/>
    <w:next w:val="21"/>
    <w:qFormat/>
    <w:uiPriority w:val="0"/>
    <w:pPr>
      <w:numPr>
        <w:ilvl w:val="2"/>
        <w:numId w:val="4"/>
      </w:numPr>
      <w:spacing w:before="50" w:after="50"/>
      <w:outlineLvl w:val="3"/>
    </w:pPr>
  </w:style>
  <w:style w:type="paragraph" w:customStyle="1" w:styleId="51">
    <w:name w:val="一级条标题"/>
    <w:next w:val="21"/>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2">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3">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54">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5">
    <w:name w:val="其他发布日期"/>
    <w:basedOn w:val="46"/>
    <w:qFormat/>
    <w:uiPriority w:val="0"/>
    <w:pPr>
      <w:framePr w:vAnchor="page" w:hAnchor="page" w:x="1419"/>
    </w:pPr>
  </w:style>
  <w:style w:type="paragraph" w:customStyle="1" w:styleId="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7">
    <w:name w:val="附录公式"/>
    <w:basedOn w:val="21"/>
    <w:next w:val="21"/>
    <w:link w:val="130"/>
    <w:qFormat/>
    <w:uiPriority w:val="0"/>
  </w:style>
  <w:style w:type="paragraph" w:customStyle="1" w:styleId="58">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59">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60">
    <w:name w:val="附录图标题"/>
    <w:basedOn w:val="1"/>
    <w:next w:val="21"/>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61">
    <w:name w:val="章标题"/>
    <w:next w:val="21"/>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2">
    <w:name w:val="附录四级条标题"/>
    <w:basedOn w:val="63"/>
    <w:next w:val="21"/>
    <w:qFormat/>
    <w:uiPriority w:val="0"/>
    <w:pPr>
      <w:numPr>
        <w:ilvl w:val="5"/>
        <w:numId w:val="8"/>
      </w:numPr>
      <w:tabs>
        <w:tab w:val="left" w:pos="360"/>
      </w:tabs>
      <w:outlineLvl w:val="5"/>
    </w:pPr>
  </w:style>
  <w:style w:type="paragraph" w:customStyle="1" w:styleId="63">
    <w:name w:val="附录三级条标题"/>
    <w:basedOn w:val="64"/>
    <w:next w:val="21"/>
    <w:qFormat/>
    <w:uiPriority w:val="0"/>
    <w:pPr>
      <w:numPr>
        <w:ilvl w:val="4"/>
        <w:numId w:val="8"/>
      </w:numPr>
      <w:tabs>
        <w:tab w:val="left" w:pos="360"/>
      </w:tabs>
      <w:outlineLvl w:val="4"/>
    </w:pPr>
  </w:style>
  <w:style w:type="paragraph" w:customStyle="1" w:styleId="64">
    <w:name w:val="附录二级条标题"/>
    <w:basedOn w:val="1"/>
    <w:next w:val="21"/>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5">
    <w:name w:val="其他发布部门"/>
    <w:basedOn w:val="66"/>
    <w:qFormat/>
    <w:uiPriority w:val="0"/>
    <w:pPr>
      <w:framePr w:y="15310"/>
      <w:spacing w:line="0" w:lineRule="atLeast"/>
    </w:pPr>
    <w:rPr>
      <w:rFonts w:ascii="黑体" w:eastAsia="黑体"/>
      <w:b w:val="0"/>
    </w:rPr>
  </w:style>
  <w:style w:type="paragraph" w:customStyle="1" w:styleId="66">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7">
    <w:name w:val="附录标题"/>
    <w:basedOn w:val="21"/>
    <w:next w:val="21"/>
    <w:qFormat/>
    <w:uiPriority w:val="0"/>
    <w:pPr>
      <w:ind w:firstLine="0" w:firstLineChars="0"/>
      <w:jc w:val="center"/>
    </w:pPr>
    <w:rPr>
      <w:rFonts w:ascii="黑体" w:eastAsia="黑体"/>
    </w:rPr>
  </w:style>
  <w:style w:type="paragraph" w:customStyle="1" w:styleId="68">
    <w:name w:val="附录五级无"/>
    <w:basedOn w:val="69"/>
    <w:qFormat/>
    <w:uiPriority w:val="0"/>
    <w:pPr>
      <w:tabs>
        <w:tab w:val="left" w:pos="360"/>
      </w:tabs>
      <w:spacing w:before="0" w:beforeLines="0" w:after="0" w:afterLines="0"/>
    </w:pPr>
    <w:rPr>
      <w:rFonts w:ascii="宋体" w:eastAsia="宋体"/>
      <w:szCs w:val="21"/>
    </w:rPr>
  </w:style>
  <w:style w:type="paragraph" w:customStyle="1" w:styleId="69">
    <w:name w:val="附录五级条标题"/>
    <w:basedOn w:val="62"/>
    <w:next w:val="21"/>
    <w:qFormat/>
    <w:uiPriority w:val="0"/>
    <w:pPr>
      <w:numPr>
        <w:ilvl w:val="6"/>
        <w:numId w:val="8"/>
      </w:numPr>
      <w:outlineLvl w:val="6"/>
    </w:pPr>
  </w:style>
  <w:style w:type="paragraph" w:customStyle="1" w:styleId="70">
    <w:name w:val="附录三级无"/>
    <w:basedOn w:val="63"/>
    <w:qFormat/>
    <w:uiPriority w:val="0"/>
    <w:pPr>
      <w:tabs>
        <w:tab w:val="clear" w:pos="360"/>
      </w:tabs>
      <w:spacing w:before="0" w:beforeLines="0" w:after="0" w:afterLines="0"/>
    </w:pPr>
    <w:rPr>
      <w:rFonts w:ascii="宋体" w:eastAsia="宋体"/>
      <w:szCs w:val="21"/>
    </w:rPr>
  </w:style>
  <w:style w:type="paragraph" w:customStyle="1" w:styleId="71">
    <w:name w:val="附录一级无"/>
    <w:basedOn w:val="72"/>
    <w:qFormat/>
    <w:uiPriority w:val="0"/>
    <w:pPr>
      <w:tabs>
        <w:tab w:val="left" w:pos="360"/>
      </w:tabs>
      <w:spacing w:before="0" w:beforeLines="0" w:after="0" w:afterLines="0"/>
    </w:pPr>
    <w:rPr>
      <w:rFonts w:ascii="宋体" w:eastAsia="宋体"/>
      <w:szCs w:val="21"/>
    </w:rPr>
  </w:style>
  <w:style w:type="paragraph" w:customStyle="1" w:styleId="72">
    <w:name w:val="附录一级条标题"/>
    <w:basedOn w:val="73"/>
    <w:next w:val="21"/>
    <w:qFormat/>
    <w:uiPriority w:val="0"/>
    <w:pPr>
      <w:numPr>
        <w:ilvl w:val="2"/>
        <w:numId w:val="8"/>
      </w:numPr>
      <w:tabs>
        <w:tab w:val="left" w:pos="360"/>
      </w:tabs>
      <w:autoSpaceDN w:val="0"/>
      <w:spacing w:before="50" w:beforeLines="50" w:after="50" w:afterLines="50"/>
      <w:outlineLvl w:val="2"/>
    </w:pPr>
  </w:style>
  <w:style w:type="paragraph" w:customStyle="1" w:styleId="73">
    <w:name w:val="附录章标题"/>
    <w:next w:val="21"/>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示例×："/>
    <w:basedOn w:val="61"/>
    <w:qFormat/>
    <w:uiPriority w:val="0"/>
    <w:pPr>
      <w:numPr>
        <w:ilvl w:val="0"/>
        <w:numId w:val="9"/>
      </w:numPr>
      <w:spacing w:before="0" w:beforeLines="0" w:after="0" w:afterLines="0"/>
      <w:outlineLvl w:val="9"/>
    </w:pPr>
    <w:rPr>
      <w:rFonts w:ascii="宋体" w:eastAsia="宋体"/>
      <w:sz w:val="18"/>
      <w:szCs w:val="18"/>
    </w:rPr>
  </w:style>
  <w:style w:type="paragraph" w:customStyle="1" w:styleId="76">
    <w:name w:val="封面标准名称2"/>
    <w:basedOn w:val="43"/>
    <w:qFormat/>
    <w:uiPriority w:val="0"/>
    <w:pPr>
      <w:framePr w:y="4469"/>
      <w:spacing w:before="630" w:beforeLines="630"/>
    </w:pPr>
  </w:style>
  <w:style w:type="paragraph" w:customStyle="1" w:styleId="77">
    <w:name w:val="四级无"/>
    <w:basedOn w:val="48"/>
    <w:qFormat/>
    <w:uiPriority w:val="0"/>
    <w:pPr>
      <w:spacing w:before="0" w:beforeLines="0" w:after="0" w:afterLines="0"/>
    </w:pPr>
    <w:rPr>
      <w:rFonts w:ascii="宋体" w:eastAsia="宋体"/>
    </w:rPr>
  </w:style>
  <w:style w:type="paragraph" w:customStyle="1" w:styleId="78">
    <w:name w:val="注：（正文）"/>
    <w:basedOn w:val="79"/>
    <w:next w:val="21"/>
    <w:qFormat/>
    <w:uiPriority w:val="0"/>
  </w:style>
  <w:style w:type="paragraph" w:customStyle="1" w:styleId="79">
    <w:name w:val="注："/>
    <w:next w:val="21"/>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0">
    <w:name w:val="实施日期"/>
    <w:basedOn w:val="46"/>
    <w:qFormat/>
    <w:uiPriority w:val="0"/>
    <w:pPr>
      <w:framePr w:vAnchor="page" w:hAnchor="page"/>
      <w:jc w:val="right"/>
    </w:pPr>
  </w:style>
  <w:style w:type="paragraph" w:customStyle="1" w:styleId="81">
    <w:name w:val="一级无"/>
    <w:basedOn w:val="51"/>
    <w:qFormat/>
    <w:uiPriority w:val="0"/>
    <w:pPr>
      <w:spacing w:before="0" w:beforeLines="0" w:after="0" w:afterLines="0"/>
    </w:pPr>
    <w:rPr>
      <w:rFonts w:ascii="宋体" w:eastAsia="宋体"/>
    </w:rPr>
  </w:style>
  <w:style w:type="paragraph" w:customStyle="1" w:styleId="8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3">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4">
    <w:name w:val="封面一致性程度标识2"/>
    <w:basedOn w:val="41"/>
    <w:qFormat/>
    <w:uiPriority w:val="0"/>
    <w:pPr>
      <w:framePr w:y="4469"/>
    </w:pPr>
  </w:style>
  <w:style w:type="paragraph" w:customStyle="1" w:styleId="85">
    <w:name w:val="五级条标题"/>
    <w:basedOn w:val="48"/>
    <w:next w:val="21"/>
    <w:qFormat/>
    <w:uiPriority w:val="0"/>
    <w:pPr>
      <w:numPr>
        <w:ilvl w:val="5"/>
        <w:numId w:val="4"/>
      </w:numPr>
      <w:outlineLvl w:val="6"/>
    </w:pPr>
  </w:style>
  <w:style w:type="paragraph" w:customStyle="1" w:styleId="86">
    <w:name w:val="封面标准文稿编辑信息"/>
    <w:basedOn w:val="40"/>
    <w:qFormat/>
    <w:uiPriority w:val="0"/>
    <w:pPr>
      <w:spacing w:before="180" w:line="180" w:lineRule="exact"/>
    </w:pPr>
    <w:rPr>
      <w:sz w:val="21"/>
    </w:rPr>
  </w:style>
  <w:style w:type="paragraph" w:customStyle="1" w:styleId="87">
    <w:name w:val="三级无"/>
    <w:basedOn w:val="49"/>
    <w:qFormat/>
    <w:uiPriority w:val="0"/>
    <w:pPr>
      <w:spacing w:before="0" w:beforeLines="0" w:after="0" w:afterLines="0"/>
    </w:pPr>
    <w:rPr>
      <w:rFonts w:ascii="宋体" w:eastAsia="宋体"/>
    </w:r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条文脚注"/>
    <w:basedOn w:val="22"/>
    <w:qFormat/>
    <w:uiPriority w:val="0"/>
    <w:pPr>
      <w:numPr>
        <w:ilvl w:val="0"/>
        <w:numId w:val="0"/>
      </w:numPr>
      <w:jc w:val="both"/>
    </w:pPr>
    <w:rPr>
      <w:rFonts w:ascii="宋体"/>
    </w:rPr>
  </w:style>
  <w:style w:type="paragraph" w:customStyle="1" w:styleId="90">
    <w:name w:val="正文图标题"/>
    <w:next w:val="21"/>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1">
    <w:name w:val="五级无"/>
    <w:basedOn w:val="85"/>
    <w:qFormat/>
    <w:uiPriority w:val="0"/>
    <w:pPr>
      <w:spacing w:before="0" w:beforeLines="0" w:after="0" w:afterLines="0"/>
    </w:pPr>
    <w:rPr>
      <w:rFonts w:ascii="宋体" w:eastAsia="宋体"/>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其他实施日期"/>
    <w:basedOn w:val="80"/>
    <w:qFormat/>
    <w:uiPriority w:val="0"/>
  </w:style>
  <w:style w:type="paragraph" w:customStyle="1" w:styleId="94">
    <w:name w:val="封面正文"/>
    <w:qFormat/>
    <w:uiPriority w:val="0"/>
    <w:pPr>
      <w:jc w:val="both"/>
    </w:pPr>
    <w:rPr>
      <w:rFonts w:ascii="Times New Roman" w:hAnsi="Times New Roman" w:eastAsia="宋体" w:cs="Times New Roman"/>
      <w:lang w:val="en-US" w:eastAsia="zh-CN" w:bidi="ar-SA"/>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99">
    <w:name w:val="列项◆（三级）"/>
    <w:basedOn w:val="1"/>
    <w:qFormat/>
    <w:uiPriority w:val="0"/>
    <w:pPr>
      <w:numPr>
        <w:ilvl w:val="2"/>
        <w:numId w:val="6"/>
      </w:numPr>
    </w:pPr>
    <w:rPr>
      <w:rFonts w:ascii="宋体"/>
      <w:szCs w:val="21"/>
    </w:rPr>
  </w:style>
  <w:style w:type="paragraph" w:customStyle="1" w:styleId="100">
    <w:name w:val="附录表标号"/>
    <w:basedOn w:val="1"/>
    <w:next w:val="21"/>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01">
    <w:name w:val="标准书眉一"/>
    <w:qFormat/>
    <w:uiPriority w:val="0"/>
    <w:pPr>
      <w:jc w:val="both"/>
    </w:pPr>
    <w:rPr>
      <w:rFonts w:ascii="Times New Roman" w:hAnsi="Times New Roman" w:eastAsia="宋体" w:cs="Times New Roman"/>
      <w:lang w:val="en-US" w:eastAsia="zh-CN" w:bidi="ar-SA"/>
    </w:rPr>
  </w:style>
  <w:style w:type="paragraph" w:customStyle="1" w:styleId="10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4">
    <w:name w:val="示例"/>
    <w:next w:val="105"/>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6">
    <w:name w:val="示例后文字"/>
    <w:basedOn w:val="21"/>
    <w:next w:val="21"/>
    <w:qFormat/>
    <w:uiPriority w:val="0"/>
    <w:pPr>
      <w:ind w:firstLine="360"/>
    </w:pPr>
    <w:rPr>
      <w:sz w:val="18"/>
    </w:rPr>
  </w:style>
  <w:style w:type="paragraph" w:customStyle="1" w:styleId="107">
    <w:name w:val="终结线"/>
    <w:basedOn w:val="1"/>
    <w:qFormat/>
    <w:uiPriority w:val="0"/>
    <w:pPr>
      <w:framePr w:hSpace="181" w:vSpace="181" w:wrap="around" w:vAnchor="text" w:hAnchor="margin" w:xAlign="center" w:y="285"/>
    </w:pPr>
  </w:style>
  <w:style w:type="paragraph" w:customStyle="1" w:styleId="10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0">
    <w:name w:val="附录二级无"/>
    <w:basedOn w:val="64"/>
    <w:qFormat/>
    <w:uiPriority w:val="0"/>
    <w:pPr>
      <w:tabs>
        <w:tab w:val="clear" w:pos="360"/>
      </w:tabs>
      <w:spacing w:before="0" w:beforeLines="0" w:after="0" w:afterLines="0"/>
    </w:pPr>
    <w:rPr>
      <w:rFonts w:ascii="宋体" w:eastAsia="宋体"/>
      <w:szCs w:val="21"/>
    </w:rPr>
  </w:style>
  <w:style w:type="paragraph" w:customStyle="1" w:styleId="111">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4">
    <w:name w:val="封面标准文稿编辑信息2"/>
    <w:basedOn w:val="86"/>
    <w:qFormat/>
    <w:uiPriority w:val="0"/>
    <w:pPr>
      <w:framePr w:y="4469"/>
    </w:pPr>
  </w:style>
  <w:style w:type="paragraph" w:customStyle="1" w:styleId="115">
    <w:name w:val="标准书眉_偶数页"/>
    <w:basedOn w:val="113"/>
    <w:next w:val="1"/>
    <w:qFormat/>
    <w:uiPriority w:val="0"/>
    <w:pPr>
      <w:jc w:val="left"/>
    </w:pPr>
    <w:rPr>
      <w:rFonts w:ascii="黑体" w:eastAsia="黑体"/>
    </w:rPr>
  </w:style>
  <w:style w:type="paragraph" w:customStyle="1" w:styleId="116">
    <w:name w:val="附录表标题"/>
    <w:basedOn w:val="1"/>
    <w:next w:val="21"/>
    <w:qFormat/>
    <w:uiPriority w:val="0"/>
    <w:pPr>
      <w:numPr>
        <w:ilvl w:val="1"/>
        <w:numId w:val="13"/>
      </w:numPr>
      <w:tabs>
        <w:tab w:val="left" w:pos="180"/>
      </w:tabs>
      <w:spacing w:before="50" w:beforeLines="50" w:after="50" w:afterLines="50"/>
      <w:ind w:left="0" w:firstLine="0"/>
      <w:jc w:val="center"/>
    </w:pPr>
    <w:rPr>
      <w:rFonts w:ascii="黑体" w:eastAsia="黑体"/>
      <w:szCs w:val="21"/>
    </w:r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正文公式编号制表符"/>
    <w:basedOn w:val="21"/>
    <w:next w:val="21"/>
    <w:qFormat/>
    <w:uiPriority w:val="0"/>
    <w:pPr>
      <w:ind w:firstLine="0" w:firstLineChars="0"/>
    </w:pPr>
  </w:style>
  <w:style w:type="paragraph" w:customStyle="1" w:styleId="119">
    <w:name w:val="其他标准标志"/>
    <w:basedOn w:val="74"/>
    <w:qFormat/>
    <w:uiPriority w:val="0"/>
    <w:pPr>
      <w:framePr w:w="6101" w:vAnchor="page" w:hAnchor="page" w:x="4673" w:y="942"/>
    </w:pPr>
    <w:rPr>
      <w:w w:val="130"/>
    </w:rPr>
  </w:style>
  <w:style w:type="paragraph" w:customStyle="1" w:styleId="12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附录标识"/>
    <w:basedOn w:val="1"/>
    <w:next w:val="21"/>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二级无"/>
    <w:basedOn w:val="50"/>
    <w:qFormat/>
    <w:uiPriority w:val="0"/>
    <w:pPr>
      <w:spacing w:before="0" w:beforeLines="0" w:after="0" w:afterLines="0"/>
      <w:ind w:left="0" w:firstLine="0"/>
    </w:pPr>
    <w:rPr>
      <w:rFonts w:ascii="宋体" w:eastAsia="宋体"/>
    </w:rPr>
  </w:style>
  <w:style w:type="paragraph" w:customStyle="1" w:styleId="125">
    <w:name w:val="附录四级无"/>
    <w:basedOn w:val="62"/>
    <w:qFormat/>
    <w:uiPriority w:val="0"/>
    <w:pPr>
      <w:tabs>
        <w:tab w:val="clear" w:pos="360"/>
      </w:tabs>
      <w:spacing w:before="0" w:beforeLines="0" w:after="0" w:afterLines="0"/>
    </w:pPr>
    <w:rPr>
      <w:rFonts w:ascii="宋体" w:eastAsia="宋体"/>
      <w:szCs w:val="21"/>
    </w:rPr>
  </w:style>
  <w:style w:type="paragraph" w:customStyle="1" w:styleId="126">
    <w:name w:val="正文表标题"/>
    <w:next w:val="21"/>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附录字母编号列项（一级）"/>
    <w:qFormat/>
    <w:uiPriority w:val="0"/>
    <w:pPr>
      <w:numPr>
        <w:ilvl w:val="0"/>
        <w:numId w:val="12"/>
      </w:numPr>
    </w:pPr>
    <w:rPr>
      <w:rFonts w:ascii="宋体" w:hAnsi="Times New Roman" w:eastAsia="宋体" w:cs="Times New Roman"/>
      <w:sz w:val="21"/>
      <w:lang w:val="en-US" w:eastAsia="zh-CN" w:bidi="ar-SA"/>
    </w:rPr>
  </w:style>
  <w:style w:type="character" w:customStyle="1" w:styleId="129">
    <w:name w:val="段 Char"/>
    <w:basedOn w:val="31"/>
    <w:link w:val="21"/>
    <w:qFormat/>
    <w:uiPriority w:val="0"/>
    <w:rPr>
      <w:rFonts w:ascii="宋体" w:hAnsi="Times New Roman" w:eastAsia="宋体" w:cs="Times New Roman"/>
      <w:sz w:val="21"/>
      <w:lang w:val="en-US" w:eastAsia="zh-CN" w:bidi="ar-SA"/>
    </w:rPr>
  </w:style>
  <w:style w:type="character" w:customStyle="1" w:styleId="130">
    <w:name w:val="附录公式 Char"/>
    <w:basedOn w:val="129"/>
    <w:link w:val="57"/>
    <w:qFormat/>
    <w:uiPriority w:val="0"/>
  </w:style>
  <w:style w:type="character" w:customStyle="1" w:styleId="131">
    <w:name w:val="apple-converted-space"/>
    <w:basedOn w:val="31"/>
    <w:qFormat/>
    <w:uiPriority w:val="0"/>
    <w:rPr>
      <w:rFonts w:ascii="Times New Roman" w:hAnsi="Times New Roman" w:eastAsia="宋体" w:cs="Times New Roman"/>
    </w:rPr>
  </w:style>
  <w:style w:type="character" w:customStyle="1" w:styleId="132">
    <w:name w:val="首示例 Char"/>
    <w:basedOn w:val="31"/>
    <w:link w:val="37"/>
    <w:qFormat/>
    <w:uiPriority w:val="0"/>
    <w:rPr>
      <w:rFonts w:ascii="宋体" w:hAnsi="宋体" w:eastAsia="宋体" w:cs="Times New Roman"/>
      <w:kern w:val="2"/>
      <w:sz w:val="18"/>
      <w:szCs w:val="18"/>
      <w:lang w:val="en-US" w:eastAsia="zh-CN" w:bidi="ar-SA"/>
    </w:rPr>
  </w:style>
  <w:style w:type="character" w:customStyle="1" w:styleId="133">
    <w:name w:val="发布"/>
    <w:basedOn w:val="31"/>
    <w:qFormat/>
    <w:uiPriority w:val="0"/>
    <w:rPr>
      <w:rFonts w:ascii="黑体" w:hAnsi="Times New Roman" w:eastAsia="黑体" w:cs="Times New Roman"/>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2020-10-21T00:36:00Z</dcterms:created>
  <dc:creator>Administrator</dc:creator>
  <cp:lastModifiedBy>李启明</cp:lastModifiedBy>
  <cp:lastPrinted>2021-12-03T01:41:00Z</cp:lastPrinted>
  <dcterms:modified xsi:type="dcterms:W3CDTF">2021-12-08T13:38:28Z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7C5E776F6D5E4678B7C7898AEE56C6C1</vt:lpwstr>
  </property>
</Properties>
</file>