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2021年第1批呼和浩特市地方标准制修订项目计划汇总表</w:t>
      </w:r>
    </w:p>
    <w:tbl>
      <w:tblPr>
        <w:tblStyle w:val="3"/>
        <w:tblpPr w:leftFromText="180" w:rightFromText="180" w:vertAnchor="text" w:horzAnchor="page" w:tblpX="705" w:tblpY="6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311"/>
        <w:gridCol w:w="1032"/>
        <w:gridCol w:w="1776"/>
        <w:gridCol w:w="2717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0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1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制定/修订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起草单位</w:t>
            </w:r>
          </w:p>
        </w:tc>
        <w:tc>
          <w:tcPr>
            <w:tcW w:w="271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参加单位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提出申请的行政主管部门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农贸市场消防安全管理规范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呼和浩特市消防救援支队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呼和浩特市市场监督管理局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老年人照料设施消防安全管理规范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呼和浩特市消防救援支队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呼和浩特市市场监督管理局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绿道规划设计导则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呼和浩特市园林建设服务中心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北京林业大学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呼和浩特市园林建设服务中心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园林绿化植物栽植技术规程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呼和浩特市园林建设服务中心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北京林业大学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呼和浩特市园林建设服务中心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园林绿化养护管理规程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呼和浩特市园林建设服务中心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北京林业大学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呼和浩特市园林建设服务中心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园林植物保护技术规程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呼和浩特市园林建设服务中心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北京林业大学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呼和浩特市园林建设服务中心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林业有害生物远程智能监测基站选址规范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呼和浩特市林业和草原保护中心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内蒙古小草数字生态产业有限公司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委陵菜属草种子质量分级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内蒙古蒙草草种业有限公司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内蒙古蒙草生态环境（集团）股份有限公司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葱属草种子质量分级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内蒙古蒙草草种业有限公司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内蒙古蒙草生态环境（集团）股份有限公司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呼和浩特市暴雨强度公式与设计雨型规范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呼和浩特市气象局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呼和浩特市气象局气象台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文物建筑防雷装置检测技术规范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呼和浩特市气象局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农业小气候观测数据格式规范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呼和浩特市气象局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城市旅游环境气候舒适度等级评价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呼和浩特市气象局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社区居家养老助餐机构服务规范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呼和浩特市市场监督管理局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内蒙古自治区质量和标准化研究院、呼和浩特市民政局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党建引领机制创建规范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呼和浩特市市场监督管理局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内蒙古自治区质量和标准化研究院、中共呼和浩特市委组织部、中共呼和浩特市委员会直属机关工作委员会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非公有制经济组织“最强党支部”评定规范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呼和浩特市市场监督管理局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内蒙古自治区质量和标准化研究院、中共呼和浩特市委组织部、中共呼和浩特市委员会直属机关工作委员会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呼和浩特市市场监督管理局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2021-07-01T03:10:44Z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3C38C2CEB5D9467F93454972434C8C25</vt:lpwstr>
  </property>
</Properties>
</file>