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B </w:t>
            </w:r>
            <w:r>
              <w:rPr>
                <w:rFonts w:hint="eastAsia" w:ascii="黑体" w:hAnsi="黑体" w:eastAsia="黑体"/>
                <w:sz w:val="21"/>
                <w:szCs w:val="21"/>
              </w:rPr>
              <w:t>31</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5"/>
              <w:framePr w:w="0" w:hRule="auto" w:wrap="auto" w:vAnchor="margin" w:hAnchor="text" w:xAlign="left" w:yAlign="inline"/>
              <w:rPr>
                <w:rFonts w:ascii="宋体" w:hAnsi="宋体"/>
                <w:sz w:val="28"/>
                <w:szCs w:val="28"/>
              </w:rPr>
            </w:pPr>
            <w:bookmarkStart w:id="2" w:name="_Hlk26473981"/>
            <w:r>
              <w:drawing>
                <wp:inline distT="0" distB="0" distL="0" distR="0">
                  <wp:extent cx="800100" cy="400050"/>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22"/>
                          <a:srcRect/>
                          <a:stretch>
                            <a:fillRect/>
                          </a:stretch>
                        </pic:blipFill>
                        <pic:spPr>
                          <a:xfrm>
                            <a:off x="0" y="0"/>
                            <a:ext cx="800100" cy="400050"/>
                          </a:xfrm>
                          <a:prstGeom prst="rect">
                            <a:avLst/>
                          </a:prstGeom>
                          <a:noFill/>
                          <a:ln w="9525">
                            <a:noFill/>
                            <a:miter lim="800000"/>
                            <a:headEnd/>
                            <a:tailEnd/>
                          </a:ln>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33</w:t>
            </w:r>
            <w:r>
              <w:t>08</w:t>
            </w:r>
            <w:r>
              <w:fldChar w:fldCharType="end"/>
            </w:r>
            <w:bookmarkEnd w:id="3"/>
          </w:p>
        </w:tc>
      </w:tr>
    </w:tbl>
    <w:p>
      <w:pPr>
        <w:pStyle w:val="56"/>
        <w:framePr w:w="9639" w:h="624" w:hRule="exact" w:hSpace="181" w:vSpace="181" w:wrap="around"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衢州市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9"/>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33</w:t>
      </w:r>
      <w:r>
        <w:rPr>
          <w:lang w:val="fr-FR"/>
        </w:rPr>
        <w:t>08/T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0"/>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2699385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55pt;height:0pt;width:481.9pt;mso-position-horizontal-relative:page;mso-position-vertical-relative:page;z-index:251659264;mso-width-relative:page;mso-height-relative:page;" filled="f" stroked="t" coordsize="21600,21600" o:allowoverlap="f" o:gfxdata="UEsDBAoAAAAAAIdO4kAAAAAAAAAAAAAAAAAEAAAAZHJzL1BLAwQUAAAACACHTuJAU3idItcAAAAM&#10;AQAADwAAAGRycy9kb3ducmV2LnhtbE2PzU7DMBCE70i8g7VIXKrWdmirKsTpAciNCy2I6zZekoh4&#10;ncbuDzw9roQEx9kZzXxbrM+uF0caQ+fZgJ4pEMS1tx03Bl631XQFIkRki71nMvBFAdbl9VWBufUn&#10;fqHjJjYilXDI0UAb45BLGeqWHIaZH4iT9+FHhzHJsZF2xFMqd73MlFpKhx2nhRYHemip/twcnIFQ&#10;vdG++p7UE/V+13jK9o/PT2jM7Y1W9yAineNfGC74CR3KxLTzB7ZB9EnPdUKPBubZQoO4JLRaLEHs&#10;fk+yLOT/J8ofUEsDBBQAAAAIAIdO4kDDh8/QzgEAAGwDAAAOAAAAZHJzL2Uyb0RvYy54bWytU8GO&#10;0zAQvSPxD5bvNG1Xu0DUdA9dLZcFKu3yAVPbSSwcj2W7TfoT/AASNzhx5L5/w/IZjN2mLHBD5DCK&#10;PTNv5r0ZLy6HzrCd8kGjrfhsMuVMWYFS26bi7+6un73gLESwEgxaVfG9Cvxy+fTJonelmmOLRirP&#10;CMSGsncVb2N0ZVEE0aoOwgSdsuSs0XcQ6eibQnroCb0zxXw6vSh69NJ5FCoEur06OPky49e1EvFt&#10;XQcVmak49Raz9dluki2WCygbD67V4tgG/EMXHWhLRU9QVxCBbb3+C6rTwmPAOk4EdgXWtRYqcyA2&#10;s+kfbG5bcCpzIXGCO8kU/h+seLNbe6ZlxZ+fcWahoxk9fPz2/cPnH/efyD58/cLIQzL1LpQUvbJr&#10;n4iKwd66GxTvA7O4asE2Krd7t3cEMUsZxW8p6RAcFdv0r1FSDGwjZs2G2ncJktRgQx7N/jQaNUQm&#10;6PJiRvqc0QTF6CugHBOdD/GVwo6ln4obbZNqUMLuJsTUCJRjSLq2eK2NyZM3lvUVf3k+P88JAY2W&#10;yZnCgm82K+PZDtLu5C+zIs/jMI9bKw9FjE15Kq/dsfLI+qDfBuV+7UdpaKS5t+P6pZ15fM4C/nok&#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eJ0i1wAAAAwBAAAPAAAAAAAAAAEAIAAAACIAAABk&#10;cnMvZG93bnJldi54bWxQSwECFAAUAAAACACHTuJAw4fP0M4BAABsAwAADgAAAAAAAAABACAAAAAm&#10;AQAAZHJzL2Uyb0RvYy54bWxQSwUGAAAAAAYABgBZAQAAZgUAAAAA&#10;">
                <v:fill on="f" focussize="0,0"/>
                <v:stroke color="#000000" joinstyle="round"/>
                <v:imagedata o:title=""/>
                <o:lock v:ext="edit" aspectratio="f"/>
              </v:line>
            </w:pict>
          </mc:Fallback>
        </mc:AlternateContent>
      </w:r>
    </w:p>
    <w:p>
      <w:pPr>
        <w:pStyle w:val="56"/>
        <w:framePr w:w="9639" w:h="6976" w:hRule="exact" w:hSpace="0" w:vSpace="0" w:wrap="around" w:vAnchor="text" w:hAnchor="page" w:y="6408"/>
        <w:jc w:val="center"/>
        <w:rPr>
          <w:rFonts w:ascii="黑体" w:hAnsi="黑体" w:eastAsia="黑体"/>
          <w:b w:val="0"/>
          <w:bCs w:val="0"/>
          <w:w w:val="100"/>
        </w:rPr>
      </w:pPr>
    </w:p>
    <w:p>
      <w:pPr>
        <w:pStyle w:val="201"/>
        <w:framePr w:h="6974" w:hRule="exact" w:wrap="around" w:x="1419" w:anchorLock="1"/>
      </w:pPr>
      <w:bookmarkStart w:id="9" w:name="CSTD_NAME"/>
      <w:r>
        <w:fldChar w:fldCharType="begin">
          <w:ffData>
            <w:name w:val="CSTD_NAME"/>
            <w:enabled/>
            <w:calcOnExit w:val="0"/>
            <w:textInput>
              <w:default w:val="常山胡柚绿色生产技术规范"/>
            </w:textInput>
          </w:ffData>
        </w:fldChar>
      </w:r>
      <w:r>
        <w:instrText xml:space="preserve">FORMTEXT</w:instrText>
      </w:r>
      <w:r>
        <w:fldChar w:fldCharType="separate"/>
      </w:r>
      <w:r>
        <w:t>常山胡柚绿色生产技术</w:t>
      </w:r>
      <w:r>
        <w:rPr>
          <w:rFonts w:hint="eastAsia"/>
        </w:rPr>
        <w:t>规程</w:t>
      </w:r>
      <w:r>
        <w:fldChar w:fldCharType="end"/>
      </w:r>
      <w:bookmarkEnd w:id="9"/>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pecification for green production of ChangShan huyou"/>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C</w:t>
      </w:r>
      <w:r>
        <w:rPr>
          <w:rFonts w:hint="eastAsia" w:eastAsia="黑体"/>
          <w:szCs w:val="28"/>
        </w:rPr>
        <w:t>ode</w:t>
      </w:r>
      <w:r>
        <w:rPr>
          <w:rFonts w:eastAsia="黑体"/>
          <w:szCs w:val="28"/>
        </w:rPr>
        <w:t xml:space="preserve"> </w:t>
      </w:r>
      <w:r>
        <w:rPr>
          <w:rFonts w:hint="eastAsia" w:eastAsia="黑体"/>
          <w:szCs w:val="28"/>
        </w:rPr>
        <w:t>of</w:t>
      </w:r>
      <w:r>
        <w:rPr>
          <w:rFonts w:eastAsia="黑体"/>
          <w:szCs w:val="28"/>
        </w:rPr>
        <w:t xml:space="preserve"> </w:t>
      </w:r>
      <w:r>
        <w:rPr>
          <w:rFonts w:hint="eastAsia" w:eastAsia="黑体"/>
          <w:szCs w:val="28"/>
        </w:rPr>
        <w:t>practice</w:t>
      </w:r>
      <w:r>
        <w:rPr>
          <w:rFonts w:eastAsia="黑体"/>
          <w:szCs w:val="28"/>
        </w:rPr>
        <w:t xml:space="preserve"> for green production of Chang</w:t>
      </w:r>
      <w:r>
        <w:rPr>
          <w:rFonts w:hint="eastAsia" w:eastAsia="黑体"/>
          <w:szCs w:val="28"/>
        </w:rPr>
        <w:t>s</w:t>
      </w:r>
      <w:r>
        <w:rPr>
          <w:rFonts w:eastAsia="黑体"/>
          <w:szCs w:val="28"/>
        </w:rPr>
        <w:t>han huyou</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p>
    <w:p>
      <w:pPr>
        <w:pStyle w:val="130"/>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11"/>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衢州市市场监督管理局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9251950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5pt;height:0pt;width:481.9pt;mso-position-horizontal-relative:page;mso-position-vertical-relative:page;z-index:251660288;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B/CpHfzAEAAGoDAAAOAAAAZHJzL2Uyb0RvYy54bWytU8GO&#10;0zAQvSPxD5bvNG1RVxA13UNXy2WBSrt8wNR2EgvHY9luk/4EP4DEDU4cufM3u3wGY7cpC9wQOYxi&#10;z8ybeW/Gy8uhM2yvfNBoKz6bTDlTVqDUtqn4u7vrZy84CxGsBINWVfygAr9cPX2y7F2p5tiikcoz&#10;ArGh7F3F2xhdWRRBtKqDMEGnLDlr9B1EOvqmkB56Qu9MMZ9OL4oevXQehQqBbq+OTr7K+HWtRHxb&#10;10FFZipOvcVsfbbbZIvVEsrGg2u1OLUB/9BFB9pS0TPUFURgO6//guq08BiwjhOBXYF1rYXKHIjN&#10;bPoHm9sWnMpcSJzgzjKF/wcr3uw3nmlZ8QVnFjoa0cPHb/cfPv/4/onsw9cvbJFE6l0oKXZtNz7R&#10;FIO9dTco3gdmcd2CbVRu9u7gCGGWMorfUtIhOCq17V+jpBjYRcyKDbXvEiRpwYY8mMN5MGqITNDl&#10;xYzUeU7zE6OvgHJMdD7EVwo7ln4qbrRNmkEJ+5sQUyNQjiHp2uK1NibP3VjWV/zlYr7ICQGNlsmZ&#10;woJvtmvj2R7S5uQvsyLP4zCPOyuPRYxNeSov3anyyPqo3xblYeNHaWigubfT8qWNeXzOAv56I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CK6EtcAAAAOAQAADwAAAAAAAAABACAAAAAiAAAAZHJz&#10;L2Rvd25yZXYueG1sUEsBAhQAFAAAAAgAh07iQH8Kkd/MAQAAagMAAA4AAAAAAAAAAQAgAAAAJgEA&#10;AGRycy9lMm9Eb2MueG1sUEsFBgAAAAAGAAYAWQEAAGQFAAAAAA==&#10;">
                <v:fill on="f" focussize="0,0"/>
                <v:stroke color="#000000" joinstyle="round"/>
                <v:imagedata o:title=""/>
                <o:lock v:ext="edit" aspectratio="f"/>
                <w10:anchorlock/>
              </v:line>
            </w:pict>
          </mc:Fallback>
        </mc:AlternateContent>
      </w:r>
    </w:p>
    <w:p>
      <w:pPr>
        <w:pStyle w:val="95"/>
        <w:spacing w:after="468"/>
      </w:pPr>
      <w:bookmarkStart w:id="21" w:name="BookMark2"/>
      <w:r>
        <w:rPr>
          <w:spacing w:val="320"/>
        </w:rPr>
        <w:t>前</w:t>
      </w:r>
      <w:r>
        <w:t>言</w:t>
      </w:r>
    </w:p>
    <w:p>
      <w:pPr>
        <w:pStyle w:val="62"/>
        <w:ind w:firstLine="420"/>
      </w:pPr>
      <w:r>
        <w:rPr>
          <w:rFonts w:hint="eastAsia"/>
        </w:rPr>
        <w:t>本文件按照GB/T 1.1—2020《标准化工作导则  第1部分：标准化文件的结构和起草规则》的规定起草。</w:t>
      </w:r>
    </w:p>
    <w:p>
      <w:pPr>
        <w:pStyle w:val="62"/>
        <w:ind w:firstLine="420"/>
      </w:pPr>
      <w:r>
        <w:rPr>
          <w:rFonts w:hint="eastAsia"/>
        </w:rPr>
        <w:t>请注意本文件的某些内容可能涉及专利。本文件的发布机构不承担识别专利的责任。</w:t>
      </w:r>
    </w:p>
    <w:p>
      <w:pPr>
        <w:pStyle w:val="62"/>
        <w:ind w:firstLine="420"/>
      </w:pPr>
      <w:r>
        <w:rPr>
          <w:rFonts w:hint="eastAsia"/>
        </w:rPr>
        <w:t>本文件由衢州市农业农村局提出并归口。</w:t>
      </w:r>
    </w:p>
    <w:p>
      <w:pPr>
        <w:pStyle w:val="62"/>
        <w:ind w:firstLine="420"/>
      </w:pPr>
      <w:r>
        <w:rPr>
          <w:rFonts w:hint="eastAsia"/>
        </w:rPr>
        <w:t>本文件起草单位：常山县农业特色产业发展中心、浙江省农业科学院、衢州市农业特色产业发展中心。</w:t>
      </w:r>
    </w:p>
    <w:p>
      <w:pPr>
        <w:pStyle w:val="62"/>
        <w:ind w:firstLine="420"/>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720" w:num="1"/>
          <w:formProt w:val="0"/>
          <w:docGrid w:type="lines" w:linePitch="312" w:charSpace="0"/>
        </w:sectPr>
      </w:pPr>
      <w:r>
        <w:rPr>
          <w:rFonts w:hint="eastAsia"/>
        </w:rPr>
        <w:t>本文件主要起草人：张志慧、郑蔚然、汪丽霞、王刚、毕旭灿、杨兴良、杨波、徐新、计明月、郑湾湾、莫小荣、于国光、雷玲、吴群、姜翔鹤。</w:t>
      </w: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p>
      <w:pPr>
        <w:pStyle w:val="182"/>
        <w:spacing w:before="312" w:beforeLines="100" w:after="686" w:afterLines="220"/>
      </w:pPr>
      <w:bookmarkStart w:id="23" w:name="NEW_STAND_NAME"/>
      <w:r>
        <w:t>常山胡柚</w:t>
      </w:r>
      <w:r>
        <w:rPr>
          <w:rFonts w:hint="eastAsia"/>
        </w:rPr>
        <w:t>绿色</w:t>
      </w:r>
      <w:r>
        <w:t>生产技术</w:t>
      </w:r>
      <w:r>
        <w:rPr>
          <w:rFonts w:hint="eastAsia"/>
        </w:rPr>
        <w:t>规程</w:t>
      </w:r>
    </w:p>
    <w:bookmarkEnd w:id="23"/>
    <w:p>
      <w:pPr>
        <w:pStyle w:val="109"/>
        <w:spacing w:before="312" w:after="312"/>
      </w:pPr>
      <w:bookmarkStart w:id="24" w:name="_Toc17233325"/>
      <w:bookmarkStart w:id="25" w:name="_Toc26986530"/>
      <w:bookmarkStart w:id="26" w:name="_Toc17233333"/>
      <w:bookmarkStart w:id="27" w:name="_Toc24884218"/>
      <w:bookmarkStart w:id="28" w:name="_Toc26986771"/>
      <w:bookmarkStart w:id="29" w:name="_Toc24884211"/>
      <w:bookmarkStart w:id="30" w:name="_Toc26718930"/>
      <w:bookmarkStart w:id="31" w:name="_Toc26648465"/>
      <w:r>
        <w:rPr>
          <w:rFonts w:hint="eastAsia"/>
        </w:rPr>
        <w:t>范围</w:t>
      </w:r>
      <w:bookmarkEnd w:id="24"/>
      <w:bookmarkEnd w:id="25"/>
      <w:bookmarkEnd w:id="26"/>
      <w:bookmarkEnd w:id="27"/>
      <w:bookmarkEnd w:id="28"/>
      <w:bookmarkEnd w:id="29"/>
      <w:bookmarkEnd w:id="30"/>
      <w:bookmarkEnd w:id="31"/>
    </w:p>
    <w:p>
      <w:pPr>
        <w:pStyle w:val="234"/>
      </w:pPr>
      <w:bookmarkStart w:id="32" w:name="_Toc24884219"/>
      <w:bookmarkStart w:id="33" w:name="_Toc26648466"/>
      <w:bookmarkStart w:id="34" w:name="_Toc24884212"/>
      <w:bookmarkStart w:id="35" w:name="_Toc17233326"/>
      <w:bookmarkStart w:id="36" w:name="_Toc17233334"/>
      <w:r>
        <w:rPr>
          <w:rFonts w:hint="eastAsia"/>
        </w:rPr>
        <w:t>本文件规定了常山胡柚绿色生产的术语和定义、园地选择、栽培管理、</w:t>
      </w:r>
      <w:r>
        <w:rPr>
          <w:rFonts w:hint="eastAsia" w:cs="宋体"/>
          <w:lang w:val="zh-CN"/>
        </w:rPr>
        <w:t>采收与贮藏</w:t>
      </w:r>
      <w:r>
        <w:rPr>
          <w:rFonts w:hint="eastAsia"/>
        </w:rPr>
        <w:t>、生产记录等内容。</w:t>
      </w:r>
    </w:p>
    <w:p>
      <w:pPr>
        <w:pStyle w:val="234"/>
      </w:pPr>
      <w:r>
        <w:rPr>
          <w:rFonts w:hint="eastAsia"/>
        </w:rPr>
        <w:t>本文件适用于常山胡柚绿色生产。</w:t>
      </w:r>
    </w:p>
    <w:p>
      <w:pPr>
        <w:pStyle w:val="109"/>
        <w:spacing w:before="312" w:after="312"/>
      </w:pPr>
      <w:bookmarkStart w:id="37" w:name="_Toc26986772"/>
      <w:bookmarkStart w:id="38" w:name="_Toc26986531"/>
      <w:bookmarkStart w:id="39" w:name="_Toc26718931"/>
      <w:r>
        <w:rPr>
          <w:rFonts w:hint="eastAsia"/>
        </w:rPr>
        <w:t>规范性引用文件</w:t>
      </w:r>
      <w:bookmarkEnd w:id="32"/>
      <w:bookmarkEnd w:id="33"/>
      <w:bookmarkEnd w:id="34"/>
      <w:bookmarkEnd w:id="35"/>
      <w:bookmarkEnd w:id="36"/>
      <w:bookmarkEnd w:id="37"/>
      <w:bookmarkEnd w:id="38"/>
      <w:bookmarkEnd w:id="39"/>
    </w:p>
    <w:p>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2"/>
        <w:ind w:firstLine="420"/>
      </w:pPr>
      <w:r>
        <w:rPr>
          <w:rFonts w:hint="eastAsia"/>
        </w:rPr>
        <w:t>G</w:t>
      </w:r>
      <w:r>
        <w:t>B 2762</w:t>
      </w:r>
      <w:r>
        <w:rPr>
          <w:rFonts w:hint="eastAsia"/>
        </w:rPr>
        <w:t xml:space="preserve">  食品安全国家标准 食品中污染物限量</w:t>
      </w:r>
    </w:p>
    <w:p>
      <w:pPr>
        <w:pStyle w:val="62"/>
        <w:ind w:firstLine="420"/>
      </w:pPr>
      <w:r>
        <w:rPr>
          <w:rFonts w:hint="eastAsia"/>
        </w:rPr>
        <w:t>G</w:t>
      </w:r>
      <w:r>
        <w:t xml:space="preserve">B 2763  </w:t>
      </w:r>
      <w:r>
        <w:rPr>
          <w:rFonts w:hint="eastAsia"/>
        </w:rPr>
        <w:t>食品安全国家标准 食品中农药最大残留限量</w:t>
      </w:r>
    </w:p>
    <w:p>
      <w:pPr>
        <w:pStyle w:val="62"/>
        <w:ind w:firstLine="420"/>
      </w:pPr>
      <w:r>
        <w:rPr>
          <w:rFonts w:hint="eastAsia"/>
        </w:rPr>
        <w:t>GB 5084  农田灌溉水质标准</w:t>
      </w:r>
    </w:p>
    <w:p>
      <w:pPr>
        <w:pStyle w:val="62"/>
        <w:ind w:firstLine="420"/>
      </w:pPr>
      <w:r>
        <w:rPr>
          <w:rFonts w:hint="eastAsia"/>
        </w:rPr>
        <w:t>GB/T 8321（所有部分）  农药合理使用准则</w:t>
      </w:r>
    </w:p>
    <w:p>
      <w:pPr>
        <w:pStyle w:val="62"/>
        <w:ind w:firstLine="420"/>
      </w:pPr>
      <w:r>
        <w:rPr>
          <w:rFonts w:hint="eastAsia"/>
        </w:rPr>
        <w:t>GB/T 9659  柑桔嫁接苗</w:t>
      </w:r>
    </w:p>
    <w:p>
      <w:pPr>
        <w:pStyle w:val="62"/>
        <w:ind w:firstLine="420"/>
      </w:pPr>
      <w:r>
        <w:t>GB</w:t>
      </w:r>
      <w:r>
        <w:rPr>
          <w:rFonts w:hint="eastAsia"/>
        </w:rPr>
        <w:t>/</w:t>
      </w:r>
      <w:r>
        <w:t xml:space="preserve">T 15063  </w:t>
      </w:r>
      <w:r>
        <w:rPr>
          <w:rFonts w:hint="eastAsia"/>
        </w:rPr>
        <w:t>复合肥料</w:t>
      </w:r>
    </w:p>
    <w:p>
      <w:pPr>
        <w:pStyle w:val="62"/>
        <w:ind w:firstLine="420"/>
      </w:pPr>
      <w:r>
        <w:rPr>
          <w:rFonts w:hint="eastAsia"/>
        </w:rPr>
        <w:t>GB 15618  土壤环境质量 农用地土壤污染风险管控标准（试行）</w:t>
      </w:r>
    </w:p>
    <w:p>
      <w:pPr>
        <w:pStyle w:val="62"/>
        <w:ind w:firstLine="420"/>
      </w:pPr>
      <w:r>
        <w:rPr>
          <w:rFonts w:hint="eastAsia"/>
        </w:rPr>
        <w:t xml:space="preserve">GB/T 18877 </w:t>
      </w:r>
      <w:r>
        <w:t xml:space="preserve"> </w:t>
      </w:r>
      <w:r>
        <w:rPr>
          <w:rFonts w:hint="eastAsia"/>
        </w:rPr>
        <w:t>有机无机复混肥料</w:t>
      </w:r>
    </w:p>
    <w:p>
      <w:pPr>
        <w:pStyle w:val="62"/>
        <w:ind w:firstLine="420"/>
      </w:pPr>
      <w:r>
        <w:rPr>
          <w:rFonts w:hint="eastAsia"/>
        </w:rPr>
        <w:t xml:space="preserve">NY/T 393 </w:t>
      </w:r>
      <w:r>
        <w:t xml:space="preserve"> </w:t>
      </w:r>
      <w:r>
        <w:rPr>
          <w:rFonts w:hint="eastAsia"/>
        </w:rPr>
        <w:t>绿色食品 农药使用准则</w:t>
      </w:r>
    </w:p>
    <w:p>
      <w:pPr>
        <w:pStyle w:val="62"/>
        <w:ind w:firstLine="420"/>
      </w:pPr>
      <w:r>
        <w:rPr>
          <w:rFonts w:hint="eastAsia"/>
        </w:rPr>
        <w:t xml:space="preserve">NY/T 496 </w:t>
      </w:r>
      <w:r>
        <w:t xml:space="preserve"> </w:t>
      </w:r>
      <w:r>
        <w:rPr>
          <w:rFonts w:hint="eastAsia"/>
        </w:rPr>
        <w:t>肥料合理使用准则 通则</w:t>
      </w:r>
    </w:p>
    <w:p>
      <w:pPr>
        <w:pStyle w:val="62"/>
        <w:ind w:firstLine="420"/>
      </w:pPr>
      <w:r>
        <w:t xml:space="preserve">NY/T 525  </w:t>
      </w:r>
      <w:r>
        <w:rPr>
          <w:rFonts w:hint="eastAsia"/>
        </w:rPr>
        <w:t>有机肥料</w:t>
      </w:r>
    </w:p>
    <w:p>
      <w:pPr>
        <w:pStyle w:val="109"/>
        <w:spacing w:before="312" w:after="312"/>
      </w:pPr>
      <w:r>
        <w:rPr>
          <w:rFonts w:hint="eastAsia"/>
          <w:szCs w:val="21"/>
        </w:rPr>
        <w:t>术语和定义</w:t>
      </w:r>
    </w:p>
    <w:p>
      <w:pPr>
        <w:pStyle w:val="62"/>
        <w:ind w:firstLine="420"/>
      </w:pPr>
      <w:bookmarkStart w:id="40" w:name="_Toc26986532"/>
      <w:bookmarkEnd w:id="40"/>
      <w:r>
        <w:t>下列术语和定义适用于本</w:t>
      </w:r>
      <w:r>
        <w:rPr>
          <w:rFonts w:hint="eastAsia"/>
        </w:rPr>
        <w:t>文件</w:t>
      </w:r>
      <w:r>
        <w:t>。</w:t>
      </w:r>
    </w:p>
    <w:p>
      <w:pPr>
        <w:pStyle w:val="227"/>
        <w:spacing w:before="156" w:beforeLines="50" w:after="156" w:afterLines="50"/>
        <w:ind w:left="420" w:hanging="420" w:hangingChars="200"/>
        <w:outlineLvl w:val="1"/>
        <w:rPr>
          <w:rFonts w:ascii="黑体" w:hAnsi="黑体" w:eastAsia="黑体"/>
        </w:rPr>
      </w:pPr>
    </w:p>
    <w:p>
      <w:pPr>
        <w:pStyle w:val="227"/>
        <w:numPr>
          <w:ilvl w:val="2"/>
          <w:numId w:val="0"/>
        </w:numPr>
        <w:spacing w:before="156" w:beforeLines="50" w:after="156" w:afterLines="50"/>
        <w:ind w:left="-420" w:leftChars="-200" w:firstLine="840" w:firstLineChars="400"/>
        <w:outlineLvl w:val="1"/>
        <w:rPr>
          <w:rFonts w:ascii="黑体" w:hAnsi="黑体" w:eastAsia="黑体"/>
        </w:rPr>
      </w:pPr>
      <w:r>
        <w:rPr>
          <w:rFonts w:hint="eastAsia" w:ascii="黑体" w:hAnsi="黑体" w:eastAsia="黑体"/>
        </w:rPr>
        <w:t>常山胡柚 Changshan huyou</w:t>
      </w:r>
    </w:p>
    <w:p>
      <w:pPr>
        <w:pStyle w:val="234"/>
      </w:pPr>
      <w:r>
        <w:rPr>
          <w:rFonts w:hint="eastAsia"/>
        </w:rPr>
        <w:t>又名常山柚橙，是酸橙的栽培变种，原产于浙江省常山县，是国家地理标志</w:t>
      </w:r>
      <w:r>
        <w:rPr>
          <w:rFonts w:hint="eastAsia" w:hAnsi="宋体"/>
        </w:rPr>
        <w:t>保护产品</w:t>
      </w:r>
      <w:r>
        <w:rPr>
          <w:rFonts w:hint="eastAsia"/>
        </w:rPr>
        <w:t>、农产品地理标志产品，其果实扁圆形，单果重200</w:t>
      </w:r>
      <w:r>
        <w:t xml:space="preserve"> </w:t>
      </w:r>
      <w:r>
        <w:rPr>
          <w:rFonts w:hint="eastAsia"/>
        </w:rPr>
        <w:t>g～3</w:t>
      </w:r>
      <w:r>
        <w:t xml:space="preserve">00 </w:t>
      </w:r>
      <w:r>
        <w:rPr>
          <w:rFonts w:hint="eastAsia"/>
        </w:rPr>
        <w:t>g，橙黄色或黄色，果面光滑，肉质细嫩多汁，味酸甜、微苦。</w:t>
      </w:r>
    </w:p>
    <w:p>
      <w:pPr>
        <w:pStyle w:val="109"/>
        <w:spacing w:before="312" w:after="312"/>
      </w:pPr>
      <w:r>
        <w:rPr>
          <w:rFonts w:hint="eastAsia"/>
          <w:szCs w:val="21"/>
        </w:rPr>
        <w:t>园地选择</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气候条件</w:t>
      </w:r>
    </w:p>
    <w:p>
      <w:pPr>
        <w:pStyle w:val="234"/>
      </w:pPr>
      <w:r>
        <w:rPr>
          <w:rFonts w:hint="eastAsia"/>
        </w:rPr>
        <w:t>年平均温度16</w:t>
      </w:r>
      <w:r>
        <w:t xml:space="preserve"> </w:t>
      </w:r>
      <w:r>
        <w:rPr>
          <w:rFonts w:hint="eastAsia"/>
        </w:rPr>
        <w:t>℃～</w:t>
      </w:r>
      <w:r>
        <w:t xml:space="preserve">20 </w:t>
      </w:r>
      <w:r>
        <w:rPr>
          <w:rFonts w:hint="eastAsia"/>
        </w:rPr>
        <w:t>℃，1月平均温度</w:t>
      </w:r>
      <w:r>
        <w:t xml:space="preserve">5 </w:t>
      </w:r>
      <w:r>
        <w:rPr>
          <w:rFonts w:hint="eastAsia"/>
        </w:rPr>
        <w:t>℃～</w:t>
      </w:r>
      <w:r>
        <w:t xml:space="preserve">8 </w:t>
      </w:r>
      <w:r>
        <w:rPr>
          <w:rFonts w:hint="eastAsia"/>
        </w:rPr>
        <w:t>℃，≥10</w:t>
      </w:r>
      <w:r>
        <w:t xml:space="preserve"> </w:t>
      </w:r>
      <w:r>
        <w:rPr>
          <w:rFonts w:hint="eastAsia"/>
        </w:rPr>
        <w:t>℃的年积温5</w:t>
      </w:r>
      <w:r>
        <w:t>3</w:t>
      </w:r>
      <w:r>
        <w:rPr>
          <w:rFonts w:hint="eastAsia"/>
        </w:rPr>
        <w:t>00</w:t>
      </w:r>
      <w:r>
        <w:t xml:space="preserve"> </w:t>
      </w:r>
      <w:r>
        <w:rPr>
          <w:rFonts w:hint="eastAsia"/>
        </w:rPr>
        <w:t>℃以上</w:t>
      </w:r>
      <w:r>
        <w:t>。</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土壤条件</w:t>
      </w:r>
    </w:p>
    <w:p>
      <w:pPr>
        <w:pStyle w:val="62"/>
        <w:ind w:firstLine="420"/>
      </w:pPr>
      <w:r>
        <w:t>土壤肥沃</w:t>
      </w:r>
      <w:r>
        <w:rPr>
          <w:rFonts w:hint="eastAsia"/>
        </w:rPr>
        <w:t>、有机质含量1</w:t>
      </w:r>
      <w:r>
        <w:t>.5</w:t>
      </w:r>
      <w:r>
        <w:rPr>
          <w:rFonts w:hint="eastAsia" w:hAnsi="宋体"/>
        </w:rPr>
        <w:t>％</w:t>
      </w:r>
      <w:r>
        <w:rPr>
          <w:rFonts w:hint="eastAsia"/>
        </w:rPr>
        <w:t>以上，排水性良好，</w:t>
      </w:r>
      <w:r>
        <w:t>土壤</w:t>
      </w:r>
      <w:r>
        <w:rPr>
          <w:rFonts w:hint="eastAsia"/>
        </w:rPr>
        <w:t>pH值</w:t>
      </w:r>
      <w:r>
        <w:t>5.5</w:t>
      </w:r>
      <w:r>
        <w:rPr>
          <w:rFonts w:hint="eastAsia"/>
        </w:rPr>
        <w:t>～</w:t>
      </w:r>
      <w:r>
        <w:t>6.5</w:t>
      </w:r>
      <w:r>
        <w:rPr>
          <w:rFonts w:hint="eastAsia"/>
        </w:rPr>
        <w:t>。土壤环境质量应符合GB 15618要求。</w:t>
      </w:r>
    </w:p>
    <w:p>
      <w:pPr>
        <w:pStyle w:val="110"/>
        <w:spacing w:before="156" w:after="156"/>
      </w:pPr>
      <w:r>
        <w:rPr>
          <w:rFonts w:hint="eastAsia"/>
        </w:rPr>
        <w:t>灌溉用水</w:t>
      </w:r>
    </w:p>
    <w:p>
      <w:pPr>
        <w:pStyle w:val="62"/>
        <w:ind w:firstLine="420"/>
      </w:pPr>
      <w:r>
        <w:rPr>
          <w:rFonts w:hint="eastAsia"/>
        </w:rPr>
        <w:t>灌溉水质应符合GB 5084的要求。</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产地环境</w:t>
      </w:r>
    </w:p>
    <w:p>
      <w:pPr>
        <w:pStyle w:val="62"/>
        <w:ind w:firstLine="420"/>
      </w:pPr>
      <w:r>
        <w:rPr>
          <w:rFonts w:hint="eastAsia"/>
        </w:rPr>
        <w:t>选择生态条件良好，水源清洁，立地开阔，通风、向阳、排灌方便的地块，周围5 km内应无“三废”污染等其它污染源，宜距离交通主干道200 m以外的生产区域。</w:t>
      </w:r>
    </w:p>
    <w:p>
      <w:pPr>
        <w:pStyle w:val="109"/>
        <w:spacing w:before="312" w:after="312"/>
      </w:pPr>
      <w:r>
        <w:rPr>
          <w:rFonts w:hint="eastAsia"/>
          <w:szCs w:val="21"/>
        </w:rPr>
        <w:t>栽培管理</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品种及苗木质量</w:t>
      </w:r>
    </w:p>
    <w:p>
      <w:pPr>
        <w:pStyle w:val="72"/>
        <w:spacing w:before="156" w:after="156"/>
      </w:pPr>
      <w:r>
        <w:rPr>
          <w:rFonts w:hint="eastAsia"/>
        </w:rPr>
        <w:t>品种</w:t>
      </w:r>
    </w:p>
    <w:p>
      <w:pPr>
        <w:pStyle w:val="234"/>
      </w:pPr>
      <w:r>
        <w:rPr>
          <w:rFonts w:hint="eastAsia"/>
        </w:rPr>
        <w:t>选用优质、抗逆性强、高产的优良品种（系），如0</w:t>
      </w:r>
      <w:r>
        <w:t>1</w:t>
      </w:r>
      <w:r>
        <w:rPr>
          <w:rFonts w:hint="eastAsia"/>
        </w:rPr>
        <w:t>-</w:t>
      </w:r>
      <w:r>
        <w:t>7</w:t>
      </w:r>
      <w:r>
        <w:rPr>
          <w:rFonts w:hint="eastAsia"/>
        </w:rPr>
        <w:t>优系。</w:t>
      </w:r>
    </w:p>
    <w:p>
      <w:pPr>
        <w:pStyle w:val="72"/>
        <w:spacing w:before="156" w:after="156"/>
      </w:pPr>
      <w:r>
        <w:rPr>
          <w:rFonts w:hint="eastAsia"/>
        </w:rPr>
        <w:t>苗木质量</w:t>
      </w:r>
    </w:p>
    <w:p>
      <w:pPr>
        <w:pStyle w:val="62"/>
        <w:ind w:firstLine="420"/>
      </w:pPr>
      <w:r>
        <w:rPr>
          <w:rFonts w:hint="eastAsia"/>
        </w:rPr>
        <w:t>栽植无病毒苗木、大苗、壮苗和容器苗，苗木质量应符合GB/T 9659要求。</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定植</w:t>
      </w:r>
    </w:p>
    <w:p>
      <w:pPr>
        <w:pStyle w:val="228"/>
        <w:spacing w:before="156" w:beforeLines="50" w:after="156" w:afterLines="50"/>
        <w:rPr>
          <w:rFonts w:ascii="黑体" w:hAnsi="黑体" w:eastAsia="黑体"/>
        </w:rPr>
      </w:pPr>
      <w:r>
        <w:rPr>
          <w:rFonts w:hint="eastAsia" w:ascii="黑体" w:hAnsi="黑体" w:eastAsia="黑体"/>
        </w:rPr>
        <w:t>定植时间</w:t>
      </w:r>
    </w:p>
    <w:p>
      <w:pPr>
        <w:pStyle w:val="234"/>
      </w:pPr>
      <w:r>
        <w:rPr>
          <w:rFonts w:hint="eastAsia"/>
        </w:rPr>
        <w:t>裸根苗宜在</w:t>
      </w:r>
      <w:r>
        <w:t>10月中</w:t>
      </w:r>
      <w:r>
        <w:rPr>
          <w:rFonts w:hint="eastAsia"/>
        </w:rPr>
        <w:t>下</w:t>
      </w:r>
      <w:r>
        <w:t>旬</w:t>
      </w:r>
      <w:r>
        <w:rPr>
          <w:rFonts w:hint="eastAsia"/>
        </w:rPr>
        <w:t>或</w:t>
      </w:r>
      <w:r>
        <w:t>2月</w:t>
      </w:r>
      <w:r>
        <w:rPr>
          <w:rFonts w:hint="eastAsia"/>
        </w:rPr>
        <w:t>下旬至3月中旬定植，容器苗在生长季均可</w:t>
      </w:r>
      <w:r>
        <w:t>定植</w:t>
      </w:r>
      <w:r>
        <w:rPr>
          <w:rFonts w:hint="eastAsia"/>
        </w:rPr>
        <w:t>。</w:t>
      </w:r>
    </w:p>
    <w:p>
      <w:pPr>
        <w:pStyle w:val="228"/>
        <w:spacing w:before="156" w:beforeLines="50" w:after="156" w:afterLines="50"/>
        <w:rPr>
          <w:rFonts w:ascii="黑体" w:hAnsi="黑体" w:eastAsia="黑体"/>
        </w:rPr>
      </w:pPr>
      <w:r>
        <w:rPr>
          <w:rFonts w:hint="eastAsia" w:ascii="黑体" w:hAnsi="黑体" w:eastAsia="黑体"/>
        </w:rPr>
        <w:t>定植方式</w:t>
      </w:r>
    </w:p>
    <w:p>
      <w:pPr>
        <w:pStyle w:val="100"/>
        <w:spacing w:beforeLines="0" w:afterLines="0"/>
        <w:outlineLvl w:val="9"/>
        <w:rPr>
          <w:rFonts w:ascii="宋体" w:hAnsi="宋体" w:eastAsia="宋体"/>
        </w:rPr>
      </w:pPr>
      <w:r>
        <w:rPr>
          <w:rFonts w:hint="eastAsia" w:ascii="宋体" w:hAnsi="宋体" w:eastAsia="宋体"/>
        </w:rPr>
        <w:t>山地定植。山地应筑梯地，梯面宽应在3 m以上，定植沟宽1.0 m、深0.8 m为宜，沟内下填有机肥150 t/hm</w:t>
      </w:r>
      <w:r>
        <w:rPr>
          <w:rFonts w:hint="eastAsia" w:ascii="宋体" w:hAnsi="宋体" w:eastAsia="宋体"/>
          <w:vertAlign w:val="superscript"/>
        </w:rPr>
        <w:t>2</w:t>
      </w:r>
      <w:r>
        <w:rPr>
          <w:rFonts w:hint="eastAsia" w:ascii="宋体" w:hAnsi="宋体" w:eastAsia="宋体"/>
        </w:rPr>
        <w:t>～200 t/hm</w:t>
      </w:r>
      <w:r>
        <w:rPr>
          <w:rFonts w:hint="eastAsia" w:ascii="宋体" w:hAnsi="宋体" w:eastAsia="宋体"/>
          <w:vertAlign w:val="superscript"/>
        </w:rPr>
        <w:t>2</w:t>
      </w:r>
      <w:r>
        <w:rPr>
          <w:rFonts w:hint="eastAsia" w:ascii="宋体" w:hAnsi="宋体" w:eastAsia="宋体"/>
        </w:rPr>
        <w:t>，有机肥应符合N</w:t>
      </w:r>
      <w:r>
        <w:rPr>
          <w:rFonts w:ascii="宋体" w:hAnsi="宋体" w:eastAsia="宋体"/>
        </w:rPr>
        <w:t>Y/T 525</w:t>
      </w:r>
      <w:r>
        <w:rPr>
          <w:rFonts w:hint="eastAsia" w:ascii="宋体" w:hAnsi="宋体" w:eastAsia="宋体"/>
        </w:rPr>
        <w:t>的规定，后覆土填实，并作宽</w:t>
      </w:r>
      <w:r>
        <w:rPr>
          <w:rFonts w:ascii="宋体" w:hAnsi="宋体" w:eastAsia="宋体"/>
        </w:rPr>
        <w:t xml:space="preserve">1.0 </w:t>
      </w:r>
      <w:r>
        <w:rPr>
          <w:rFonts w:hint="eastAsia" w:ascii="宋体" w:hAnsi="宋体" w:eastAsia="宋体"/>
        </w:rPr>
        <w:t>m的畦，畦面高出地面1</w:t>
      </w:r>
      <w:r>
        <w:rPr>
          <w:rFonts w:ascii="宋体" w:hAnsi="宋体" w:eastAsia="宋体"/>
        </w:rPr>
        <w:t xml:space="preserve">5 </w:t>
      </w:r>
      <w:r>
        <w:rPr>
          <w:rFonts w:hint="eastAsia" w:ascii="宋体" w:hAnsi="宋体" w:eastAsia="宋体"/>
        </w:rPr>
        <w:t>cm～2</w:t>
      </w:r>
      <w:r>
        <w:rPr>
          <w:rFonts w:ascii="宋体" w:hAnsi="宋体" w:eastAsia="宋体"/>
        </w:rPr>
        <w:t xml:space="preserve">0 </w:t>
      </w:r>
      <w:r>
        <w:rPr>
          <w:rFonts w:hint="eastAsia" w:ascii="宋体" w:hAnsi="宋体" w:eastAsia="宋体"/>
        </w:rPr>
        <w:t>cm。</w:t>
      </w:r>
    </w:p>
    <w:p>
      <w:pPr>
        <w:pStyle w:val="100"/>
        <w:spacing w:beforeLines="0" w:afterLines="0"/>
        <w:outlineLvl w:val="9"/>
        <w:rPr>
          <w:rFonts w:ascii="宋体" w:hAnsi="宋体" w:eastAsia="宋体"/>
        </w:rPr>
      </w:pPr>
      <w:r>
        <w:rPr>
          <w:rFonts w:hint="eastAsia" w:ascii="宋体" w:hAnsi="宋体" w:eastAsia="宋体"/>
        </w:rPr>
        <w:t>平地定植。平地挖定植沟同山地定植，畦面高出地面</w:t>
      </w:r>
      <w:r>
        <w:rPr>
          <w:rFonts w:ascii="宋体" w:hAnsi="宋体" w:eastAsia="宋体"/>
        </w:rPr>
        <w:t xml:space="preserve">20 </w:t>
      </w:r>
      <w:r>
        <w:rPr>
          <w:rFonts w:hint="eastAsia" w:ascii="宋体" w:hAnsi="宋体" w:eastAsia="宋体"/>
        </w:rPr>
        <w:t>cm～</w:t>
      </w:r>
      <w:r>
        <w:rPr>
          <w:rFonts w:ascii="宋体" w:hAnsi="宋体" w:eastAsia="宋体"/>
        </w:rPr>
        <w:t xml:space="preserve">30 </w:t>
      </w:r>
      <w:r>
        <w:rPr>
          <w:rFonts w:hint="eastAsia" w:ascii="宋体" w:hAnsi="宋体" w:eastAsia="宋体"/>
        </w:rPr>
        <w:t>cm。平地也可挖穴定植，定植穴长宽各1.0 m、深</w:t>
      </w:r>
      <w:r>
        <w:rPr>
          <w:rFonts w:ascii="宋体" w:hAnsi="宋体" w:eastAsia="宋体"/>
        </w:rPr>
        <w:t>0.8</w:t>
      </w:r>
      <w:r>
        <w:rPr>
          <w:rFonts w:hint="eastAsia" w:ascii="宋体" w:hAnsi="宋体" w:eastAsia="宋体"/>
        </w:rPr>
        <w:t xml:space="preserve"> m以上，穴内分层施有机肥50 kg～70 kg。</w:t>
      </w:r>
    </w:p>
    <w:p>
      <w:pPr>
        <w:pStyle w:val="228"/>
        <w:spacing w:before="156" w:beforeLines="50" w:after="156" w:afterLines="50"/>
        <w:rPr>
          <w:rFonts w:ascii="黑体" w:hAnsi="黑体" w:eastAsia="黑体"/>
        </w:rPr>
      </w:pPr>
      <w:r>
        <w:rPr>
          <w:rFonts w:hint="eastAsia" w:ascii="黑体" w:hAnsi="黑体" w:eastAsia="黑体"/>
        </w:rPr>
        <w:t>定植密度</w:t>
      </w:r>
    </w:p>
    <w:p>
      <w:pPr>
        <w:pStyle w:val="26"/>
        <w:widowControl/>
        <w:autoSpaceDE w:val="0"/>
        <w:autoSpaceDN w:val="0"/>
        <w:adjustRightInd/>
        <w:spacing w:line="240" w:lineRule="auto"/>
        <w:ind w:firstLine="420" w:firstLineChars="200"/>
        <w:rPr>
          <w:color w:val="FF0000"/>
        </w:rPr>
      </w:pPr>
      <w:r>
        <w:rPr>
          <w:rFonts w:hint="eastAsia" w:ascii="宋体" w:hAnsi="Times New Roman"/>
          <w:kern w:val="0"/>
          <w:sz w:val="21"/>
          <w:szCs w:val="20"/>
        </w:rPr>
        <w:t>根据地形适当调整，每667 m</w:t>
      </w:r>
      <w:r>
        <w:rPr>
          <w:rFonts w:hint="eastAsia" w:ascii="宋体" w:hAnsi="Times New Roman"/>
          <w:kern w:val="0"/>
          <w:sz w:val="21"/>
          <w:szCs w:val="20"/>
          <w:vertAlign w:val="superscript"/>
        </w:rPr>
        <w:t>2</w:t>
      </w:r>
      <w:r>
        <w:rPr>
          <w:rFonts w:hint="eastAsia" w:ascii="宋体" w:hAnsi="Times New Roman"/>
          <w:kern w:val="0"/>
          <w:sz w:val="21"/>
          <w:szCs w:val="20"/>
        </w:rPr>
        <w:t>（亩）栽植40株～45株，株距3 m～4 m，行距4 m～5.5 m。规模化生产宜采用“宽行窄株”种植，株距</w:t>
      </w:r>
      <w:r>
        <w:rPr>
          <w:rFonts w:ascii="宋体" w:hAnsi="Times New Roman"/>
          <w:kern w:val="0"/>
          <w:sz w:val="21"/>
          <w:szCs w:val="20"/>
        </w:rPr>
        <w:t>2</w:t>
      </w:r>
      <w:r>
        <w:rPr>
          <w:rFonts w:hint="eastAsia" w:ascii="宋体" w:hAnsi="Times New Roman"/>
          <w:kern w:val="0"/>
          <w:sz w:val="21"/>
          <w:szCs w:val="20"/>
        </w:rPr>
        <w:t xml:space="preserve"> m～</w:t>
      </w:r>
      <w:r>
        <w:rPr>
          <w:rFonts w:ascii="宋体" w:hAnsi="Times New Roman"/>
          <w:kern w:val="0"/>
          <w:sz w:val="21"/>
          <w:szCs w:val="20"/>
        </w:rPr>
        <w:t>3</w:t>
      </w:r>
      <w:r>
        <w:rPr>
          <w:rFonts w:hint="eastAsia" w:ascii="宋体" w:hAnsi="Times New Roman"/>
          <w:kern w:val="0"/>
          <w:sz w:val="21"/>
          <w:szCs w:val="20"/>
        </w:rPr>
        <w:t xml:space="preserve"> m，行距</w:t>
      </w:r>
      <w:r>
        <w:rPr>
          <w:rFonts w:ascii="宋体" w:hAnsi="Times New Roman"/>
          <w:kern w:val="0"/>
          <w:sz w:val="21"/>
          <w:szCs w:val="20"/>
        </w:rPr>
        <w:t>5</w:t>
      </w:r>
      <w:r>
        <w:rPr>
          <w:rFonts w:hint="eastAsia" w:ascii="宋体" w:hAnsi="Times New Roman"/>
          <w:kern w:val="0"/>
          <w:sz w:val="21"/>
          <w:szCs w:val="20"/>
        </w:rPr>
        <w:t xml:space="preserve"> m～</w:t>
      </w:r>
      <w:r>
        <w:rPr>
          <w:rFonts w:ascii="宋体" w:hAnsi="Times New Roman"/>
          <w:kern w:val="0"/>
          <w:sz w:val="21"/>
          <w:szCs w:val="20"/>
        </w:rPr>
        <w:t>6</w:t>
      </w:r>
      <w:r>
        <w:rPr>
          <w:rFonts w:hint="eastAsia" w:ascii="宋体" w:hAnsi="Times New Roman"/>
          <w:kern w:val="0"/>
          <w:sz w:val="21"/>
          <w:szCs w:val="20"/>
        </w:rPr>
        <w:t xml:space="preserve"> m。</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 xml:space="preserve">土壤管理 </w:t>
      </w:r>
    </w:p>
    <w:p>
      <w:pPr>
        <w:pStyle w:val="228"/>
        <w:spacing w:before="156" w:beforeLines="50" w:after="156" w:afterLines="50"/>
        <w:rPr>
          <w:rFonts w:ascii="黑体" w:hAnsi="黑体" w:eastAsia="黑体"/>
        </w:rPr>
      </w:pPr>
      <w:r>
        <w:rPr>
          <w:rFonts w:hint="eastAsia" w:ascii="黑体" w:hAnsi="黑体" w:eastAsia="黑体"/>
        </w:rPr>
        <w:t>深翻改土</w:t>
      </w:r>
    </w:p>
    <w:p>
      <w:pPr>
        <w:pStyle w:val="234"/>
      </w:pPr>
      <w:r>
        <w:t>成年</w:t>
      </w:r>
      <w:r>
        <w:rPr>
          <w:rFonts w:hint="eastAsia"/>
        </w:rPr>
        <w:t>胡</w:t>
      </w:r>
      <w:r>
        <w:t>柚园</w:t>
      </w:r>
      <w:r>
        <w:rPr>
          <w:rFonts w:hint="eastAsia"/>
        </w:rPr>
        <w:t>宜</w:t>
      </w:r>
      <w:r>
        <w:t>在树冠外围</w:t>
      </w:r>
      <w:r>
        <w:rPr>
          <w:rFonts w:hint="eastAsia"/>
        </w:rPr>
        <w:t>开条状</w:t>
      </w:r>
      <w:r>
        <w:t>沟</w:t>
      </w:r>
      <w:r>
        <w:rPr>
          <w:rFonts w:hint="eastAsia"/>
        </w:rPr>
        <w:t>深翻改土</w:t>
      </w:r>
      <w:r>
        <w:t>，深0.3</w:t>
      </w:r>
      <w:r>
        <w:rPr>
          <w:rFonts w:hint="eastAsia"/>
        </w:rPr>
        <w:t xml:space="preserve"> m～</w:t>
      </w:r>
      <w:r>
        <w:t>0.5</w:t>
      </w:r>
      <w:r>
        <w:rPr>
          <w:rFonts w:hint="eastAsia"/>
        </w:rPr>
        <w:t xml:space="preserve"> m</w:t>
      </w:r>
      <w:r>
        <w:t>、宽0.5</w:t>
      </w:r>
      <w:r>
        <w:rPr>
          <w:rFonts w:hint="eastAsia"/>
        </w:rPr>
        <w:t xml:space="preserve"> m～</w:t>
      </w:r>
      <w:r>
        <w:t>0.7</w:t>
      </w:r>
      <w:r>
        <w:rPr>
          <w:rFonts w:hint="eastAsia"/>
        </w:rPr>
        <w:t xml:space="preserve"> m</w:t>
      </w:r>
      <w:r>
        <w:t>，</w:t>
      </w:r>
      <w:r>
        <w:rPr>
          <w:rFonts w:hAnsi="宋体"/>
        </w:rPr>
        <w:t>分层埋施</w:t>
      </w:r>
      <w:r>
        <w:rPr>
          <w:rFonts w:hint="eastAsia" w:hAnsi="宋体"/>
        </w:rPr>
        <w:t>绿肥、有机肥，或在树冠外围进行土肥混合深翻，每株施用有机肥40</w:t>
      </w:r>
      <w:r>
        <w:rPr>
          <w:rFonts w:hAnsi="宋体"/>
        </w:rPr>
        <w:t xml:space="preserve"> </w:t>
      </w:r>
      <w:r>
        <w:rPr>
          <w:rFonts w:hint="eastAsia" w:hAnsi="宋体"/>
        </w:rPr>
        <w:t>kg。</w:t>
      </w:r>
    </w:p>
    <w:p>
      <w:pPr>
        <w:pStyle w:val="228"/>
        <w:spacing w:before="156" w:beforeLines="50" w:after="156" w:afterLines="50"/>
        <w:rPr>
          <w:rFonts w:ascii="黑体" w:hAnsi="黑体" w:eastAsia="黑体"/>
        </w:rPr>
      </w:pPr>
      <w:r>
        <w:rPr>
          <w:rFonts w:hint="eastAsia" w:ascii="黑体" w:hAnsi="黑体" w:eastAsia="黑体"/>
        </w:rPr>
        <w:t>生草栽培</w:t>
      </w:r>
    </w:p>
    <w:p>
      <w:pPr>
        <w:pStyle w:val="234"/>
        <w:rPr>
          <w:kern w:val="2"/>
        </w:rPr>
      </w:pPr>
      <w:r>
        <w:rPr>
          <w:rFonts w:hint="eastAsia"/>
          <w:kern w:val="2"/>
        </w:rPr>
        <w:t>宜实行生草栽培或种植绿肥。在行间树盘外自然生草，去除恶性杂草，在草生长旺季刈割2次～3次，割下的草覆于树盘下。种植绿肥宜选用紫云英、豌豆、苜蓿等豆科植物和黑麦草，不应选用攀爬、高杆和块茎块根类植物，绿肥一年可种植2次。</w:t>
      </w:r>
    </w:p>
    <w:p>
      <w:pPr>
        <w:pStyle w:val="228"/>
        <w:spacing w:before="156" w:beforeLines="50" w:after="156" w:afterLines="50"/>
        <w:rPr>
          <w:rFonts w:ascii="黑体" w:hAnsi="黑体" w:eastAsia="黑体"/>
        </w:rPr>
      </w:pPr>
      <w:r>
        <w:rPr>
          <w:rFonts w:ascii="黑体" w:hAnsi="黑体" w:eastAsia="黑体"/>
        </w:rPr>
        <w:t>中耕培土</w:t>
      </w:r>
    </w:p>
    <w:p>
      <w:pPr>
        <w:pStyle w:val="234"/>
        <w:rPr>
          <w:rFonts w:hAnsi="宋体"/>
        </w:rPr>
      </w:pPr>
      <w:r>
        <w:rPr>
          <w:rFonts w:hAnsi="宋体"/>
        </w:rPr>
        <w:t>在夏季</w:t>
      </w:r>
      <w:r>
        <w:rPr>
          <w:rFonts w:hint="eastAsia" w:hAnsi="宋体"/>
        </w:rPr>
        <w:t>干旱前，</w:t>
      </w:r>
      <w:r>
        <w:rPr>
          <w:rFonts w:hAnsi="宋体"/>
        </w:rPr>
        <w:t>结合</w:t>
      </w:r>
      <w:r>
        <w:rPr>
          <w:rFonts w:hint="eastAsia" w:hAnsi="宋体"/>
        </w:rPr>
        <w:t>除草</w:t>
      </w:r>
      <w:r>
        <w:rPr>
          <w:rFonts w:hAnsi="宋体"/>
        </w:rPr>
        <w:t>中耕一次</w:t>
      </w:r>
      <w:r>
        <w:rPr>
          <w:rFonts w:hint="eastAsia" w:hAnsi="宋体"/>
        </w:rPr>
        <w:t>，中</w:t>
      </w:r>
      <w:r>
        <w:rPr>
          <w:rFonts w:hAnsi="宋体"/>
        </w:rPr>
        <w:t>耕深度10</w:t>
      </w:r>
      <w:r>
        <w:rPr>
          <w:rFonts w:hint="eastAsia" w:hAnsi="宋体"/>
        </w:rPr>
        <w:t xml:space="preserve"> cm～</w:t>
      </w:r>
      <w:r>
        <w:rPr>
          <w:rFonts w:hAnsi="宋体"/>
        </w:rPr>
        <w:t>15</w:t>
      </w:r>
      <w:r>
        <w:rPr>
          <w:rFonts w:hint="eastAsia" w:hAnsi="宋体"/>
        </w:rPr>
        <w:t xml:space="preserve"> cm。</w:t>
      </w:r>
      <w:r>
        <w:rPr>
          <w:rFonts w:hAnsi="宋体"/>
        </w:rPr>
        <w:t>培土宜在</w:t>
      </w:r>
      <w:r>
        <w:rPr>
          <w:rFonts w:hint="eastAsia" w:hAnsi="宋体"/>
        </w:rPr>
        <w:t>冬季寒潮来临前培土</w:t>
      </w:r>
      <w:r>
        <w:rPr>
          <w:rFonts w:hAnsi="宋体"/>
        </w:rPr>
        <w:t>。</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施肥管理</w:t>
      </w:r>
    </w:p>
    <w:p>
      <w:pPr>
        <w:pStyle w:val="228"/>
        <w:spacing w:before="156" w:beforeLines="50" w:after="156" w:afterLines="50"/>
        <w:rPr>
          <w:rFonts w:ascii="黑体" w:hAnsi="黑体" w:eastAsia="黑体"/>
        </w:rPr>
      </w:pPr>
      <w:r>
        <w:rPr>
          <w:rFonts w:hint="eastAsia" w:ascii="黑体" w:hAnsi="黑体" w:eastAsia="黑体"/>
        </w:rPr>
        <w:t>原则</w:t>
      </w:r>
    </w:p>
    <w:p>
      <w:pPr>
        <w:pStyle w:val="234"/>
        <w:rPr>
          <w:rFonts w:hAnsi="宋体"/>
          <w:szCs w:val="21"/>
        </w:rPr>
      </w:pPr>
      <w:r>
        <w:rPr>
          <w:rFonts w:hint="eastAsia"/>
        </w:rPr>
        <w:t>肥料的使用方法应符合NY/T 496的规定，因树因地，科学施肥。运用测土配方施肥，以有机肥为主，有针对性补充中、微量元素肥料。宜增施钙、镁肥，p</w:t>
      </w:r>
      <w:r>
        <w:t>H</w:t>
      </w:r>
      <w:r>
        <w:rPr>
          <w:rFonts w:hint="eastAsia"/>
        </w:rPr>
        <w:t>值</w:t>
      </w:r>
      <w:r>
        <w:t>5.5</w:t>
      </w:r>
      <w:r>
        <w:rPr>
          <w:rFonts w:hint="eastAsia"/>
        </w:rPr>
        <w:t>以下的土壤选用碱性复合肥，复合肥质量应符合</w:t>
      </w:r>
      <w:r>
        <w:t>GB</w:t>
      </w:r>
      <w:r>
        <w:rPr>
          <w:rFonts w:hint="eastAsia"/>
        </w:rPr>
        <w:t>/</w:t>
      </w:r>
      <w:r>
        <w:t>T 15063</w:t>
      </w:r>
      <w:r>
        <w:rPr>
          <w:rFonts w:hint="eastAsia"/>
        </w:rPr>
        <w:t>的规定。</w:t>
      </w:r>
    </w:p>
    <w:p>
      <w:pPr>
        <w:pStyle w:val="228"/>
        <w:spacing w:before="156" w:beforeLines="50" w:after="156" w:afterLines="50"/>
        <w:rPr>
          <w:rFonts w:ascii="黑体" w:hAnsi="黑体" w:eastAsia="黑体"/>
        </w:rPr>
      </w:pPr>
      <w:r>
        <w:rPr>
          <w:rFonts w:hint="eastAsia" w:ascii="黑体" w:hAnsi="黑体" w:eastAsia="黑体"/>
        </w:rPr>
        <w:t>幼龄树</w:t>
      </w:r>
    </w:p>
    <w:p>
      <w:pPr>
        <w:pStyle w:val="100"/>
        <w:spacing w:beforeLines="0" w:afterLines="0"/>
        <w:outlineLvl w:val="9"/>
        <w:rPr>
          <w:rFonts w:ascii="宋体" w:hAnsi="宋体" w:eastAsia="宋体"/>
        </w:rPr>
      </w:pPr>
      <w:r>
        <w:rPr>
          <w:rFonts w:hint="eastAsia" w:ascii="宋体" w:hAnsi="宋体" w:eastAsia="宋体"/>
        </w:rPr>
        <w:t>薄肥勤施，以氮肥为主，配合施用磷、钾肥，并结合深翻改土，增施绿肥等有机肥与复合肥配合施肥。</w:t>
      </w:r>
    </w:p>
    <w:p>
      <w:pPr>
        <w:pStyle w:val="100"/>
        <w:spacing w:beforeLines="0" w:afterLines="0"/>
        <w:outlineLvl w:val="9"/>
        <w:rPr>
          <w:rFonts w:ascii="宋体" w:hAnsi="宋体" w:eastAsia="宋体"/>
        </w:rPr>
      </w:pPr>
      <w:r>
        <w:rPr>
          <w:rFonts w:hint="eastAsia" w:ascii="宋体" w:hAnsi="宋体" w:eastAsia="宋体"/>
        </w:rPr>
        <w:t>幼树定植后第1年3月～9月</w:t>
      </w:r>
      <w:r>
        <w:rPr>
          <w:rFonts w:hint="eastAsia" w:ascii="宋体" w:hAnsi="宋体" w:eastAsia="宋体"/>
          <w:lang w:eastAsia="zh-CN"/>
        </w:rPr>
        <w:t>，</w:t>
      </w:r>
      <w:r>
        <w:rPr>
          <w:rFonts w:hint="eastAsia" w:ascii="宋体" w:hAnsi="宋体" w:eastAsia="宋体"/>
        </w:rPr>
        <w:t>每月兑水浇施1次～2次。2年～4年生树年施肥次数减至4次～5次，在2月、5月、7月、9月施用。随树龄增大，施肥量逐渐增加。结合防治病虫害，在各次梢顶芽自剪至新梢老熟前，喷施磷酸二氢钾等根外追肥1次～2次。</w:t>
      </w:r>
    </w:p>
    <w:p>
      <w:pPr>
        <w:pStyle w:val="228"/>
        <w:spacing w:before="156" w:beforeLines="50" w:after="156" w:afterLines="50"/>
        <w:rPr>
          <w:rFonts w:ascii="黑体" w:hAnsi="黑体" w:eastAsia="黑体"/>
        </w:rPr>
      </w:pPr>
      <w:r>
        <w:rPr>
          <w:rFonts w:hint="eastAsia" w:ascii="黑体" w:hAnsi="黑体" w:eastAsia="黑体"/>
        </w:rPr>
        <w:t>初结果树</w:t>
      </w:r>
    </w:p>
    <w:p>
      <w:pPr>
        <w:pStyle w:val="234"/>
        <w:rPr>
          <w:rFonts w:hAnsi="宋体"/>
          <w:szCs w:val="21"/>
        </w:rPr>
      </w:pPr>
      <w:r>
        <w:rPr>
          <w:rFonts w:hint="eastAsia" w:hAnsi="宋体"/>
          <w:szCs w:val="21"/>
        </w:rPr>
        <w:t>进入初果期后，年施肥3次，在2月中下旬施萌芽肥，株施复合肥0</w:t>
      </w:r>
      <w:r>
        <w:rPr>
          <w:rFonts w:hAnsi="宋体"/>
          <w:szCs w:val="21"/>
        </w:rPr>
        <w:t xml:space="preserve">.3 </w:t>
      </w:r>
      <w:r>
        <w:rPr>
          <w:rFonts w:hint="eastAsia" w:hAnsi="宋体"/>
          <w:szCs w:val="21"/>
        </w:rPr>
        <w:t>kg～0.5</w:t>
      </w:r>
      <w:r>
        <w:rPr>
          <w:rFonts w:hAnsi="宋体"/>
          <w:szCs w:val="21"/>
        </w:rPr>
        <w:t xml:space="preserve"> </w:t>
      </w:r>
      <w:r>
        <w:rPr>
          <w:rFonts w:hint="eastAsia" w:hAnsi="宋体"/>
          <w:szCs w:val="21"/>
        </w:rPr>
        <w:t>kg</w:t>
      </w:r>
      <w:r>
        <w:rPr>
          <w:rFonts w:hAnsi="宋体"/>
          <w:szCs w:val="21"/>
        </w:rPr>
        <w:t xml:space="preserve"> </w:t>
      </w:r>
      <w:r>
        <w:rPr>
          <w:rFonts w:hint="eastAsia" w:hAnsi="宋体"/>
          <w:szCs w:val="21"/>
        </w:rPr>
        <w:t>+有机肥1</w:t>
      </w:r>
      <w:r>
        <w:rPr>
          <w:rFonts w:hAnsi="宋体"/>
          <w:szCs w:val="21"/>
        </w:rPr>
        <w:t xml:space="preserve">5 </w:t>
      </w:r>
      <w:r>
        <w:rPr>
          <w:rFonts w:hint="eastAsia" w:hAnsi="宋体"/>
          <w:szCs w:val="21"/>
        </w:rPr>
        <w:t>kg～20</w:t>
      </w:r>
      <w:r>
        <w:rPr>
          <w:rFonts w:hAnsi="宋体"/>
          <w:szCs w:val="21"/>
        </w:rPr>
        <w:t xml:space="preserve"> </w:t>
      </w:r>
      <w:r>
        <w:rPr>
          <w:rFonts w:hint="eastAsia" w:hAnsi="宋体"/>
          <w:szCs w:val="21"/>
        </w:rPr>
        <w:t>kg，或有机无机复混肥1.5</w:t>
      </w:r>
      <w:r>
        <w:rPr>
          <w:rFonts w:hAnsi="宋体"/>
          <w:szCs w:val="21"/>
        </w:rPr>
        <w:t xml:space="preserve"> </w:t>
      </w:r>
      <w:r>
        <w:rPr>
          <w:rFonts w:hint="eastAsia" w:hAnsi="宋体"/>
          <w:szCs w:val="21"/>
        </w:rPr>
        <w:t>kg。有机无机复混肥质量应符合G</w:t>
      </w:r>
      <w:r>
        <w:rPr>
          <w:rFonts w:hAnsi="宋体"/>
          <w:szCs w:val="21"/>
        </w:rPr>
        <w:t>B/T 18877</w:t>
      </w:r>
      <w:r>
        <w:rPr>
          <w:rFonts w:hint="eastAsia" w:hAnsi="宋体"/>
          <w:szCs w:val="21"/>
        </w:rPr>
        <w:t>的规定。7月中下旬施壮果肥，株施高钾复合肥0</w:t>
      </w:r>
      <w:r>
        <w:rPr>
          <w:rFonts w:hAnsi="宋体"/>
          <w:szCs w:val="21"/>
        </w:rPr>
        <w:t xml:space="preserve">.3 </w:t>
      </w:r>
      <w:r>
        <w:rPr>
          <w:rFonts w:hint="eastAsia" w:hAnsi="宋体"/>
          <w:szCs w:val="21"/>
        </w:rPr>
        <w:t>kg～0.5</w:t>
      </w:r>
      <w:r>
        <w:rPr>
          <w:rFonts w:hAnsi="宋体"/>
          <w:szCs w:val="21"/>
        </w:rPr>
        <w:t xml:space="preserve"> </w:t>
      </w:r>
      <w:r>
        <w:rPr>
          <w:rFonts w:hint="eastAsia" w:hAnsi="宋体"/>
          <w:szCs w:val="21"/>
        </w:rPr>
        <w:t>kg；11月中下旬施采后肥，株施复合肥0</w:t>
      </w:r>
      <w:r>
        <w:rPr>
          <w:rFonts w:hAnsi="宋体"/>
          <w:szCs w:val="21"/>
        </w:rPr>
        <w:t xml:space="preserve">.3 </w:t>
      </w:r>
      <w:r>
        <w:rPr>
          <w:rFonts w:hint="eastAsia" w:hAnsi="宋体"/>
          <w:szCs w:val="21"/>
        </w:rPr>
        <w:t>kg～0.5</w:t>
      </w:r>
      <w:r>
        <w:rPr>
          <w:rFonts w:hAnsi="宋体"/>
          <w:szCs w:val="21"/>
        </w:rPr>
        <w:t xml:space="preserve"> </w:t>
      </w:r>
      <w:r>
        <w:rPr>
          <w:rFonts w:hint="eastAsia" w:hAnsi="宋体"/>
          <w:szCs w:val="21"/>
        </w:rPr>
        <w:t>kg +</w:t>
      </w:r>
      <w:r>
        <w:rPr>
          <w:rFonts w:hAnsi="宋体"/>
          <w:szCs w:val="21"/>
        </w:rPr>
        <w:t xml:space="preserve"> </w:t>
      </w:r>
      <w:r>
        <w:rPr>
          <w:rFonts w:hint="eastAsia" w:hAnsi="宋体"/>
          <w:szCs w:val="21"/>
        </w:rPr>
        <w:t>饼肥2</w:t>
      </w:r>
      <w:r>
        <w:rPr>
          <w:rFonts w:hAnsi="宋体"/>
          <w:szCs w:val="21"/>
        </w:rPr>
        <w:t xml:space="preserve"> </w:t>
      </w:r>
      <w:r>
        <w:rPr>
          <w:rFonts w:hint="eastAsia" w:hAnsi="宋体"/>
          <w:szCs w:val="21"/>
        </w:rPr>
        <w:t>kg。</w:t>
      </w:r>
      <w:r>
        <w:rPr>
          <w:rFonts w:hint="eastAsia"/>
        </w:rPr>
        <w:t>结合防治病虫害，根外追施镁、硼等中微量元素肥3</w:t>
      </w:r>
      <w:r>
        <w:rPr>
          <w:rFonts w:hint="eastAsia" w:hAnsi="宋体"/>
        </w:rPr>
        <w:t>次～4次。</w:t>
      </w:r>
    </w:p>
    <w:p>
      <w:pPr>
        <w:pStyle w:val="228"/>
        <w:spacing w:before="156" w:beforeLines="50" w:after="156" w:afterLines="50"/>
        <w:rPr>
          <w:rFonts w:ascii="黑体" w:hAnsi="黑体" w:eastAsia="黑体"/>
        </w:rPr>
      </w:pPr>
      <w:r>
        <w:rPr>
          <w:rFonts w:hint="eastAsia" w:ascii="黑体" w:hAnsi="黑体" w:eastAsia="黑体"/>
        </w:rPr>
        <w:t>成龄树</w:t>
      </w:r>
    </w:p>
    <w:p>
      <w:pPr>
        <w:pStyle w:val="100"/>
        <w:spacing w:beforeLines="0" w:afterLines="0"/>
        <w:rPr>
          <w:rFonts w:ascii="宋体" w:hAnsi="宋体" w:eastAsia="宋体"/>
        </w:rPr>
      </w:pPr>
      <w:r>
        <w:rPr>
          <w:rFonts w:hint="eastAsia" w:ascii="宋体" w:hAnsi="宋体" w:eastAsia="宋体"/>
        </w:rPr>
        <w:t>一般中等肥力胡柚园，以每6</w:t>
      </w:r>
      <w:r>
        <w:rPr>
          <w:rFonts w:ascii="宋体" w:hAnsi="宋体" w:eastAsia="宋体"/>
        </w:rPr>
        <w:t xml:space="preserve">67 </w:t>
      </w:r>
      <w:r>
        <w:rPr>
          <w:rFonts w:hint="eastAsia" w:ascii="宋体" w:hAnsi="宋体" w:eastAsia="宋体"/>
        </w:rPr>
        <w:t>m</w:t>
      </w:r>
      <w:r>
        <w:rPr>
          <w:rFonts w:ascii="宋体" w:hAnsi="宋体" w:eastAsia="宋体"/>
          <w:vertAlign w:val="superscript"/>
        </w:rPr>
        <w:t>2</w:t>
      </w:r>
      <w:r>
        <w:rPr>
          <w:rFonts w:hint="eastAsia" w:ascii="宋体" w:hAnsi="宋体" w:eastAsia="宋体"/>
        </w:rPr>
        <w:t>（亩）产果</w:t>
      </w:r>
      <w:r>
        <w:rPr>
          <w:rFonts w:ascii="宋体" w:hAnsi="宋体" w:eastAsia="宋体"/>
        </w:rPr>
        <w:t xml:space="preserve">2500 </w:t>
      </w:r>
      <w:r>
        <w:rPr>
          <w:rFonts w:hint="eastAsia" w:ascii="宋体" w:hAnsi="宋体" w:eastAsia="宋体"/>
        </w:rPr>
        <w:t>kg计，施纯氮</w:t>
      </w:r>
      <w:r>
        <w:rPr>
          <w:rFonts w:ascii="宋体" w:hAnsi="宋体" w:eastAsia="宋体"/>
        </w:rPr>
        <w:t xml:space="preserve">10 </w:t>
      </w:r>
      <w:r>
        <w:rPr>
          <w:rFonts w:hint="eastAsia" w:ascii="宋体" w:hAnsi="宋体" w:eastAsia="宋体"/>
        </w:rPr>
        <w:t>kg～</w:t>
      </w:r>
      <w:r>
        <w:rPr>
          <w:rFonts w:ascii="宋体" w:hAnsi="宋体" w:eastAsia="宋体"/>
        </w:rPr>
        <w:t xml:space="preserve">11 </w:t>
      </w:r>
      <w:r>
        <w:rPr>
          <w:rFonts w:hint="eastAsia" w:ascii="宋体" w:hAnsi="宋体" w:eastAsia="宋体"/>
        </w:rPr>
        <w:t>kg。全年氮、磷、钾比例1:0.</w:t>
      </w:r>
      <w:r>
        <w:rPr>
          <w:rFonts w:ascii="宋体" w:hAnsi="宋体" w:eastAsia="宋体"/>
        </w:rPr>
        <w:t>5</w:t>
      </w:r>
      <w:r>
        <w:rPr>
          <w:rFonts w:hint="eastAsia" w:ascii="宋体" w:hAnsi="宋体" w:eastAsia="宋体"/>
        </w:rPr>
        <w:t>:0</w:t>
      </w:r>
      <w:r>
        <w:rPr>
          <w:rFonts w:ascii="宋体" w:hAnsi="宋体" w:eastAsia="宋体"/>
        </w:rPr>
        <w:t>.8</w:t>
      </w:r>
      <w:r>
        <w:rPr>
          <w:rFonts w:hint="eastAsia" w:ascii="宋体" w:hAnsi="宋体" w:eastAsia="宋体"/>
        </w:rPr>
        <w:t>。有针对性补充微量元素肥料。</w:t>
      </w:r>
    </w:p>
    <w:p>
      <w:pPr>
        <w:pStyle w:val="100"/>
        <w:spacing w:beforeLines="0" w:afterLines="0"/>
        <w:rPr>
          <w:rFonts w:ascii="宋体" w:hAnsi="宋体" w:eastAsia="宋体"/>
        </w:rPr>
      </w:pPr>
      <w:r>
        <w:rPr>
          <w:rFonts w:hint="eastAsia" w:ascii="宋体" w:hAnsi="宋体" w:eastAsia="宋体"/>
        </w:rPr>
        <w:t>年施肥3次，在2月中下旬施萌芽肥：株施复合肥1</w:t>
      </w:r>
      <w:r>
        <w:rPr>
          <w:rFonts w:ascii="宋体" w:hAnsi="宋体" w:eastAsia="宋体"/>
        </w:rPr>
        <w:t xml:space="preserve"> </w:t>
      </w:r>
      <w:r>
        <w:rPr>
          <w:rFonts w:hint="eastAsia" w:ascii="宋体" w:hAnsi="宋体" w:eastAsia="宋体"/>
        </w:rPr>
        <w:t>kg，或有机无机复混肥2 kg～2.5</w:t>
      </w:r>
      <w:r>
        <w:rPr>
          <w:rFonts w:ascii="宋体" w:hAnsi="宋体" w:eastAsia="宋体"/>
        </w:rPr>
        <w:t xml:space="preserve"> </w:t>
      </w:r>
      <w:r>
        <w:rPr>
          <w:rFonts w:hint="eastAsia" w:ascii="宋体" w:hAnsi="宋体" w:eastAsia="宋体"/>
        </w:rPr>
        <w:t>kg。7月中下旬施壮果肥：株施高钾复合肥1</w:t>
      </w:r>
      <w:r>
        <w:rPr>
          <w:rFonts w:ascii="宋体" w:hAnsi="宋体" w:eastAsia="宋体"/>
        </w:rPr>
        <w:t xml:space="preserve"> </w:t>
      </w:r>
      <w:r>
        <w:rPr>
          <w:rFonts w:hint="eastAsia" w:ascii="宋体" w:hAnsi="宋体" w:eastAsia="宋体"/>
        </w:rPr>
        <w:t>kg</w:t>
      </w:r>
      <w:r>
        <w:rPr>
          <w:rFonts w:ascii="宋体" w:hAnsi="宋体" w:eastAsia="宋体"/>
        </w:rPr>
        <w:t xml:space="preserve"> + </w:t>
      </w:r>
      <w:r>
        <w:rPr>
          <w:rFonts w:hint="eastAsia" w:ascii="宋体" w:hAnsi="宋体" w:eastAsia="宋体"/>
        </w:rPr>
        <w:t>饼肥</w:t>
      </w:r>
      <w:r>
        <w:rPr>
          <w:rFonts w:ascii="宋体" w:hAnsi="宋体" w:eastAsia="宋体"/>
        </w:rPr>
        <w:t xml:space="preserve">2 </w:t>
      </w:r>
      <w:r>
        <w:rPr>
          <w:rFonts w:hint="eastAsia" w:ascii="宋体" w:hAnsi="宋体" w:eastAsia="宋体"/>
        </w:rPr>
        <w:t>kg～3</w:t>
      </w:r>
      <w:r>
        <w:rPr>
          <w:rFonts w:ascii="宋体" w:hAnsi="宋体" w:eastAsia="宋体"/>
        </w:rPr>
        <w:t xml:space="preserve"> </w:t>
      </w:r>
      <w:r>
        <w:rPr>
          <w:rFonts w:hint="eastAsia" w:ascii="宋体" w:hAnsi="宋体" w:eastAsia="宋体"/>
        </w:rPr>
        <w:t>k</w:t>
      </w:r>
      <w:r>
        <w:rPr>
          <w:rFonts w:ascii="宋体" w:hAnsi="宋体" w:eastAsia="宋体"/>
        </w:rPr>
        <w:t>g</w:t>
      </w:r>
      <w:r>
        <w:rPr>
          <w:rFonts w:hint="eastAsia" w:ascii="宋体" w:hAnsi="宋体" w:eastAsia="宋体"/>
        </w:rPr>
        <w:t>；11月中下旬施采后肥：株施复合肥1</w:t>
      </w:r>
      <w:r>
        <w:rPr>
          <w:rFonts w:ascii="宋体" w:hAnsi="宋体" w:eastAsia="宋体"/>
        </w:rPr>
        <w:t xml:space="preserve"> </w:t>
      </w:r>
      <w:r>
        <w:rPr>
          <w:rFonts w:hint="eastAsia" w:ascii="宋体" w:hAnsi="宋体" w:eastAsia="宋体"/>
        </w:rPr>
        <w:t>kg</w:t>
      </w:r>
      <w:r>
        <w:rPr>
          <w:rFonts w:ascii="宋体" w:hAnsi="宋体" w:eastAsia="宋体"/>
        </w:rPr>
        <w:t xml:space="preserve"> </w:t>
      </w:r>
      <w:r>
        <w:rPr>
          <w:rFonts w:hint="eastAsia" w:ascii="宋体" w:hAnsi="宋体" w:eastAsia="宋体"/>
        </w:rPr>
        <w:t>+</w:t>
      </w:r>
      <w:r>
        <w:rPr>
          <w:rFonts w:ascii="宋体" w:hAnsi="宋体" w:eastAsia="宋体"/>
        </w:rPr>
        <w:t xml:space="preserve"> </w:t>
      </w:r>
      <w:r>
        <w:rPr>
          <w:rFonts w:hint="eastAsia" w:ascii="宋体" w:hAnsi="宋体" w:eastAsia="宋体"/>
        </w:rPr>
        <w:t>有机肥25</w:t>
      </w:r>
      <w:r>
        <w:rPr>
          <w:rFonts w:ascii="宋体" w:hAnsi="宋体" w:eastAsia="宋体"/>
        </w:rPr>
        <w:t xml:space="preserve"> </w:t>
      </w:r>
      <w:r>
        <w:rPr>
          <w:rFonts w:hint="eastAsia" w:ascii="宋体" w:hAnsi="宋体" w:eastAsia="宋体"/>
        </w:rPr>
        <w:t>kg。结合防治病虫害，根外追施镁、硼等中微量元素肥3次～4次。</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水分管理</w:t>
      </w:r>
    </w:p>
    <w:p>
      <w:pPr>
        <w:pStyle w:val="228"/>
        <w:spacing w:before="156" w:beforeLines="50" w:after="156" w:afterLines="50"/>
        <w:rPr>
          <w:rFonts w:ascii="黑体" w:hAnsi="黑体" w:eastAsia="黑体"/>
        </w:rPr>
      </w:pPr>
      <w:r>
        <w:rPr>
          <w:rFonts w:hint="eastAsia" w:ascii="黑体" w:hAnsi="黑体" w:eastAsia="黑体"/>
        </w:rPr>
        <w:t>灌溉</w:t>
      </w:r>
    </w:p>
    <w:p>
      <w:pPr>
        <w:pStyle w:val="234"/>
      </w:pPr>
      <w:r>
        <w:rPr>
          <w:rFonts w:hint="eastAsia"/>
        </w:rPr>
        <w:t>胡柚发生干旱，叶片卷曲应及时灌溉，果实膨大前期（7月～8月）充分灌溉；果实膨大后期（9月～1</w:t>
      </w:r>
      <w:r>
        <w:t>1</w:t>
      </w:r>
      <w:r>
        <w:rPr>
          <w:rFonts w:hint="eastAsia"/>
        </w:rPr>
        <w:t>月）适当控水；采果后为恢复树势和安全越冬防冻应浇足水。</w:t>
      </w:r>
    </w:p>
    <w:p>
      <w:pPr>
        <w:pStyle w:val="228"/>
        <w:spacing w:before="156" w:beforeLines="50" w:after="156" w:afterLines="50"/>
        <w:rPr>
          <w:rFonts w:ascii="黑体" w:hAnsi="黑体" w:eastAsia="黑体"/>
        </w:rPr>
      </w:pPr>
      <w:r>
        <w:rPr>
          <w:rFonts w:hint="eastAsia" w:ascii="黑体" w:hAnsi="黑体" w:eastAsia="黑体"/>
        </w:rPr>
        <w:t>排水</w:t>
      </w:r>
    </w:p>
    <w:p>
      <w:pPr>
        <w:pStyle w:val="234"/>
      </w:pPr>
      <w:r>
        <w:rPr>
          <w:rFonts w:hint="eastAsia"/>
        </w:rPr>
        <w:t>设置排水系统并及时清淤，多雨季节或果园积水时及时排水。地下水位较高应采取强制排水措施。</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整形修剪</w:t>
      </w:r>
    </w:p>
    <w:p>
      <w:pPr>
        <w:pStyle w:val="228"/>
        <w:spacing w:before="156" w:beforeLines="50" w:after="156" w:afterLines="50"/>
        <w:rPr>
          <w:rFonts w:ascii="黑体" w:hAnsi="黑体" w:eastAsia="黑体"/>
        </w:rPr>
      </w:pPr>
      <w:r>
        <w:rPr>
          <w:rFonts w:hint="eastAsia" w:ascii="黑体" w:hAnsi="黑体" w:eastAsia="黑体"/>
        </w:rPr>
        <w:t>整形</w:t>
      </w:r>
    </w:p>
    <w:p>
      <w:pPr>
        <w:pStyle w:val="100"/>
        <w:spacing w:beforeLines="0" w:afterLines="0"/>
        <w:rPr>
          <w:rFonts w:ascii="宋体" w:hAnsi="宋体" w:eastAsia="宋体"/>
        </w:rPr>
      </w:pPr>
      <w:r>
        <w:rPr>
          <w:rFonts w:hint="eastAsia" w:ascii="宋体" w:hAnsi="宋体" w:eastAsia="宋体"/>
        </w:rPr>
        <w:t>宜采用自然开心形整形，通过整形培养树体的主干和主枝，保持树体的通风透光。</w:t>
      </w:r>
    </w:p>
    <w:p>
      <w:pPr>
        <w:pStyle w:val="100"/>
        <w:spacing w:beforeLines="0" w:afterLines="0"/>
        <w:rPr>
          <w:rFonts w:ascii="宋体" w:hAnsi="宋体" w:eastAsia="宋体"/>
        </w:rPr>
      </w:pPr>
      <w:r>
        <w:rPr>
          <w:rFonts w:hint="eastAsia" w:ascii="宋体" w:hAnsi="宋体" w:eastAsia="宋体"/>
        </w:rPr>
        <w:t>第1年，定植时在高50</w:t>
      </w:r>
      <w:r>
        <w:rPr>
          <w:rFonts w:ascii="宋体" w:hAnsi="宋体" w:eastAsia="宋体"/>
        </w:rPr>
        <w:t xml:space="preserve"> </w:t>
      </w:r>
      <w:r>
        <w:rPr>
          <w:rFonts w:hint="eastAsia" w:ascii="宋体" w:hAnsi="宋体" w:eastAsia="宋体"/>
        </w:rPr>
        <w:t>cm～60</w:t>
      </w:r>
      <w:r>
        <w:rPr>
          <w:rFonts w:ascii="宋体" w:hAnsi="宋体" w:eastAsia="宋体"/>
        </w:rPr>
        <w:t xml:space="preserve"> </w:t>
      </w:r>
      <w:r>
        <w:rPr>
          <w:rFonts w:hint="eastAsia" w:ascii="宋体" w:hAnsi="宋体" w:eastAsia="宋体"/>
        </w:rPr>
        <w:t>cm处定干，抹除30</w:t>
      </w:r>
      <w:r>
        <w:rPr>
          <w:rFonts w:ascii="宋体" w:hAnsi="宋体" w:eastAsia="宋体"/>
        </w:rPr>
        <w:t xml:space="preserve"> </w:t>
      </w:r>
      <w:r>
        <w:rPr>
          <w:rFonts w:hint="eastAsia" w:ascii="宋体" w:hAnsi="宋体" w:eastAsia="宋体"/>
        </w:rPr>
        <w:t>cm以下的的嫩芽。选留3个～4个方位合理，分布均匀、生长强健的新梢做主枝，并抹去其余嫩芽。在主枝及其延长枝每次生长到20</w:t>
      </w:r>
      <w:r>
        <w:rPr>
          <w:rFonts w:ascii="宋体" w:hAnsi="宋体" w:eastAsia="宋体"/>
        </w:rPr>
        <w:t xml:space="preserve"> </w:t>
      </w:r>
      <w:r>
        <w:rPr>
          <w:rFonts w:hint="eastAsia" w:ascii="宋体" w:hAnsi="宋体" w:eastAsia="宋体"/>
        </w:rPr>
        <w:t>cm～25</w:t>
      </w:r>
      <w:r>
        <w:rPr>
          <w:rFonts w:ascii="宋体" w:hAnsi="宋体" w:eastAsia="宋体"/>
        </w:rPr>
        <w:t xml:space="preserve"> </w:t>
      </w:r>
      <w:r>
        <w:rPr>
          <w:rFonts w:hint="eastAsia" w:ascii="宋体" w:hAnsi="宋体" w:eastAsia="宋体"/>
        </w:rPr>
        <w:t>cm时进行摘心，使主枝长度保持在50</w:t>
      </w:r>
      <w:r>
        <w:rPr>
          <w:rFonts w:ascii="宋体" w:hAnsi="宋体" w:eastAsia="宋体"/>
        </w:rPr>
        <w:t xml:space="preserve"> </w:t>
      </w:r>
      <w:r>
        <w:rPr>
          <w:rFonts w:hint="eastAsia" w:ascii="宋体" w:hAnsi="宋体" w:eastAsia="宋体"/>
        </w:rPr>
        <w:t>cm～60</w:t>
      </w:r>
      <w:r>
        <w:rPr>
          <w:rFonts w:ascii="宋体" w:hAnsi="宋体" w:eastAsia="宋体"/>
        </w:rPr>
        <w:t xml:space="preserve"> </w:t>
      </w:r>
      <w:r>
        <w:rPr>
          <w:rFonts w:hint="eastAsia" w:ascii="宋体" w:hAnsi="宋体" w:eastAsia="宋体"/>
        </w:rPr>
        <w:t>cm。</w:t>
      </w:r>
    </w:p>
    <w:p>
      <w:pPr>
        <w:pStyle w:val="100"/>
        <w:spacing w:beforeLines="0" w:afterLines="0"/>
        <w:rPr>
          <w:rFonts w:ascii="宋体" w:hAnsi="宋体" w:eastAsia="宋体"/>
        </w:rPr>
      </w:pPr>
      <w:r>
        <w:rPr>
          <w:rFonts w:hint="eastAsia" w:ascii="宋体" w:hAnsi="宋体" w:eastAsia="宋体"/>
        </w:rPr>
        <w:t>第2年，在主枝延长枝下方培养1个～2个方向合理的副主枝，过长的摘心。</w:t>
      </w:r>
    </w:p>
    <w:p>
      <w:pPr>
        <w:pStyle w:val="100"/>
        <w:spacing w:beforeLines="0" w:afterLines="0"/>
        <w:rPr>
          <w:rFonts w:ascii="宋体" w:hAnsi="宋体" w:eastAsia="宋体"/>
        </w:rPr>
      </w:pPr>
      <w:r>
        <w:rPr>
          <w:rFonts w:hint="eastAsia" w:ascii="宋体" w:hAnsi="宋体" w:eastAsia="宋体"/>
        </w:rPr>
        <w:t>第3年，在已选留的副主枝上使其延长和培养侧枝，在副主枝培养间距合理的1个～2个侧枝。在主枝、副主枝和侧枝两侧配置结果枝组。在整形过程中，应注意保留一定数量的辅养枝，除去过密枝和弱枝。最终形成树冠紧凑、树形开张的丰产树冠。</w:t>
      </w:r>
    </w:p>
    <w:p>
      <w:pPr>
        <w:pStyle w:val="228"/>
        <w:spacing w:before="156" w:beforeLines="50" w:after="156" w:afterLines="50"/>
        <w:rPr>
          <w:rFonts w:ascii="黑体" w:hAnsi="黑体" w:eastAsia="黑体"/>
        </w:rPr>
      </w:pPr>
      <w:r>
        <w:rPr>
          <w:rFonts w:hint="eastAsia" w:ascii="黑体" w:hAnsi="黑体" w:eastAsia="黑体"/>
        </w:rPr>
        <w:t>修剪</w:t>
      </w:r>
    </w:p>
    <w:p>
      <w:pPr>
        <w:pStyle w:val="100"/>
        <w:spacing w:before="156" w:after="156"/>
        <w:outlineLvl w:val="9"/>
      </w:pPr>
      <w:r>
        <w:rPr>
          <w:rFonts w:hint="eastAsia"/>
        </w:rPr>
        <w:t>幼龄树</w:t>
      </w:r>
    </w:p>
    <w:p>
      <w:pPr>
        <w:pStyle w:val="234"/>
      </w:pPr>
      <w:r>
        <w:rPr>
          <w:rFonts w:hint="eastAsia"/>
        </w:rPr>
        <w:t>以轻剪为主，着重生长期修剪。每次新梢长20</w:t>
      </w:r>
      <w:r>
        <w:t xml:space="preserve"> </w:t>
      </w:r>
      <w:r>
        <w:rPr>
          <w:rFonts w:hint="eastAsia"/>
        </w:rPr>
        <w:t>cm～25</w:t>
      </w:r>
      <w:r>
        <w:t xml:space="preserve"> </w:t>
      </w:r>
      <w:r>
        <w:rPr>
          <w:rFonts w:hint="eastAsia"/>
        </w:rPr>
        <w:t>cm时摘心，做到每年培养3次～4次梢。避免重短截。除对过密枝群作适当疏删外，内膛枝和树冠中下部较弱的枝梢一般均应保留。</w:t>
      </w:r>
    </w:p>
    <w:p>
      <w:pPr>
        <w:pStyle w:val="229"/>
        <w:spacing w:before="156" w:beforeLines="50" w:after="156" w:afterLines="50"/>
        <w:rPr>
          <w:rFonts w:ascii="黑体" w:hAnsi="黑体" w:eastAsia="黑体"/>
        </w:rPr>
      </w:pPr>
      <w:r>
        <w:rPr>
          <w:rFonts w:hint="eastAsia" w:ascii="黑体" w:hAnsi="黑体" w:eastAsia="黑体"/>
        </w:rPr>
        <w:t>初结果树</w:t>
      </w:r>
    </w:p>
    <w:p>
      <w:pPr>
        <w:pStyle w:val="234"/>
      </w:pPr>
      <w:r>
        <w:rPr>
          <w:rFonts w:hint="eastAsia"/>
        </w:rPr>
        <w:t>继续选择和短截处理各级骨干枝延长枝,抹除夏梢,促发健壮秋梢，对过长的营养枝留20</w:t>
      </w:r>
      <w:r>
        <w:t xml:space="preserve"> </w:t>
      </w:r>
      <w:r>
        <w:rPr>
          <w:rFonts w:hint="eastAsia"/>
        </w:rPr>
        <w:t>cm～25</w:t>
      </w:r>
      <w:r>
        <w:t xml:space="preserve"> </w:t>
      </w:r>
      <w:r>
        <w:rPr>
          <w:rFonts w:hint="eastAsia"/>
        </w:rPr>
        <w:t>cm及时摘心,回缩或短截结果后的枝组。</w:t>
      </w:r>
    </w:p>
    <w:p>
      <w:pPr>
        <w:pStyle w:val="229"/>
        <w:spacing w:before="156" w:beforeLines="50" w:after="156" w:afterLines="50"/>
        <w:rPr>
          <w:rFonts w:ascii="黑体" w:hAnsi="黑体" w:eastAsia="黑体"/>
        </w:rPr>
      </w:pPr>
      <w:r>
        <w:rPr>
          <w:rFonts w:hint="eastAsia" w:ascii="黑体" w:hAnsi="黑体" w:eastAsia="黑体"/>
        </w:rPr>
        <w:t>成龄树</w:t>
      </w:r>
    </w:p>
    <w:p>
      <w:pPr>
        <w:pStyle w:val="234"/>
      </w:pPr>
      <w:r>
        <w:rPr>
          <w:rFonts w:hint="eastAsia"/>
        </w:rPr>
        <w:t>修剪原则是“上重、下轻、外重、内轻”。注意保留树冠内部和下部的弱枝。及时回缩结果枝组、落花落果枝组和衰退枝组。剪除枯枝、病虫枝。对当年抽生的夏、秋梢营养枝，通过短截、抹除其中部分枝梢调节翌年产量，防止大小年结果。对骨干枝偏多、树冠郁闭的采取大枝修剪技术，开“天窗”将光线引入树冠内膛，重新调整树体结构，改造成矮化紧凑、内部阳光通透、枝条配置合理的树形。树高控制在2.5</w:t>
      </w:r>
      <w:r>
        <w:t xml:space="preserve"> </w:t>
      </w:r>
      <w:r>
        <w:rPr>
          <w:rFonts w:hint="eastAsia"/>
        </w:rPr>
        <w:t>m以内，主枝3个～5个，每个主枝配置副主枝2个～3个。</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花果管理</w:t>
      </w:r>
    </w:p>
    <w:p>
      <w:pPr>
        <w:pStyle w:val="228"/>
        <w:spacing w:before="156" w:beforeLines="50" w:after="156" w:afterLines="50"/>
        <w:rPr>
          <w:rFonts w:ascii="黑体" w:hAnsi="黑体" w:eastAsia="黑体"/>
        </w:rPr>
      </w:pPr>
      <w:r>
        <w:rPr>
          <w:rFonts w:hint="eastAsia" w:ascii="黑体" w:hAnsi="黑体" w:eastAsia="黑体"/>
        </w:rPr>
        <w:t>促花</w:t>
      </w:r>
    </w:p>
    <w:p>
      <w:pPr>
        <w:pStyle w:val="234"/>
        <w:rPr>
          <w:rFonts w:hAnsi="宋体"/>
        </w:rPr>
      </w:pPr>
      <w:r>
        <w:rPr>
          <w:rFonts w:hint="eastAsia" w:hAnsi="宋体"/>
        </w:rPr>
        <w:t>旺长树宜在秋季采用环割、断根、拉枝、撑枝、吊枝、控水等措施促进花芽分化。环割不应割主干或整圈，宜左半圈右半圈错开环割。</w:t>
      </w:r>
    </w:p>
    <w:p>
      <w:pPr>
        <w:pStyle w:val="228"/>
        <w:spacing w:before="156" w:beforeLines="50" w:after="156" w:afterLines="50"/>
        <w:rPr>
          <w:rFonts w:ascii="黑体" w:hAnsi="黑体" w:eastAsia="黑体"/>
        </w:rPr>
      </w:pPr>
      <w:r>
        <w:rPr>
          <w:rFonts w:hint="eastAsia" w:ascii="黑体" w:hAnsi="黑体" w:eastAsia="黑体"/>
        </w:rPr>
        <w:t>保花保果</w:t>
      </w:r>
    </w:p>
    <w:p>
      <w:pPr>
        <w:pStyle w:val="234"/>
        <w:rPr>
          <w:rFonts w:hAnsi="宋体"/>
        </w:rPr>
      </w:pPr>
      <w:r>
        <w:rPr>
          <w:rFonts w:hint="eastAsia" w:hAnsi="宋体"/>
        </w:rPr>
        <w:t>对生长势较强的胡柚树，可采取花期环割保果。现蕾期和花谢三分之二期各喷施一次硼肥、磷酸二氢钾肥。</w:t>
      </w:r>
    </w:p>
    <w:p>
      <w:pPr>
        <w:pStyle w:val="228"/>
        <w:spacing w:before="156" w:beforeLines="50" w:after="156" w:afterLines="50"/>
        <w:rPr>
          <w:rFonts w:ascii="黑体" w:hAnsi="黑体" w:eastAsia="黑体"/>
        </w:rPr>
      </w:pPr>
      <w:r>
        <w:rPr>
          <w:rFonts w:hint="eastAsia" w:ascii="黑体" w:hAnsi="黑体" w:eastAsia="黑体"/>
        </w:rPr>
        <w:t>人工疏果</w:t>
      </w:r>
    </w:p>
    <w:p>
      <w:pPr>
        <w:pStyle w:val="234"/>
        <w:rPr>
          <w:rFonts w:hAnsi="宋体"/>
        </w:rPr>
      </w:pPr>
      <w:r>
        <w:rPr>
          <w:rFonts w:hint="eastAsia" w:hAnsi="宋体"/>
        </w:rPr>
        <w:t>按叶果比60:1～70:1进行疏果，在定果后（6月下旬）开始分次疏果，先疏除病虫果、机械伤果、畸形果、特小果；再按照留果标准继续疏除粗皮大果、小果，使留树果实大小一致。其中6月</w:t>
      </w:r>
      <w:r>
        <w:rPr>
          <w:rFonts w:hAnsi="宋体"/>
        </w:rPr>
        <w:t>25</w:t>
      </w:r>
      <w:r>
        <w:rPr>
          <w:rFonts w:hint="eastAsia" w:hAnsi="宋体"/>
        </w:rPr>
        <w:t>日～7月</w:t>
      </w:r>
      <w:r>
        <w:rPr>
          <w:rFonts w:hAnsi="宋体"/>
        </w:rPr>
        <w:t>25</w:t>
      </w:r>
      <w:r>
        <w:rPr>
          <w:rFonts w:hint="eastAsia" w:hAnsi="宋体"/>
        </w:rPr>
        <w:t>日期间疏除的果实可作为衢枳壳原药材使用。</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病虫害防治</w:t>
      </w:r>
    </w:p>
    <w:p>
      <w:pPr>
        <w:pStyle w:val="228"/>
        <w:spacing w:before="156" w:beforeLines="50" w:after="156" w:afterLines="50"/>
        <w:rPr>
          <w:rFonts w:ascii="黑体" w:hAnsi="黑体" w:eastAsia="黑体"/>
        </w:rPr>
      </w:pPr>
      <w:r>
        <w:rPr>
          <w:rFonts w:hint="eastAsia" w:ascii="黑体" w:hAnsi="黑体" w:eastAsia="黑体"/>
        </w:rPr>
        <w:t>防治原则</w:t>
      </w:r>
    </w:p>
    <w:p>
      <w:pPr>
        <w:pStyle w:val="234"/>
        <w:rPr>
          <w:rFonts w:hAnsi="宋体"/>
          <w:color w:val="000000"/>
        </w:rPr>
      </w:pPr>
      <w:r>
        <w:rPr>
          <w:rFonts w:hAnsi="宋体"/>
          <w:color w:val="000000"/>
        </w:rPr>
        <w:t>以农业防治、物理防治、生物防治为主，化学防治为辅。</w:t>
      </w:r>
    </w:p>
    <w:p>
      <w:pPr>
        <w:pStyle w:val="228"/>
        <w:spacing w:before="156" w:beforeLines="50" w:after="156" w:afterLines="50"/>
        <w:rPr>
          <w:rFonts w:ascii="黑体" w:hAnsi="黑体" w:eastAsia="黑体"/>
        </w:rPr>
      </w:pPr>
      <w:r>
        <w:rPr>
          <w:rFonts w:hint="eastAsia" w:ascii="黑体" w:hAnsi="黑体" w:eastAsia="黑体"/>
        </w:rPr>
        <w:t>防治方法</w:t>
      </w:r>
    </w:p>
    <w:p>
      <w:pPr>
        <w:pStyle w:val="229"/>
        <w:spacing w:before="156" w:beforeLines="50" w:after="156" w:afterLines="50"/>
        <w:rPr>
          <w:rFonts w:ascii="黑体" w:hAnsi="黑体" w:eastAsia="黑体"/>
        </w:rPr>
      </w:pPr>
      <w:r>
        <w:rPr>
          <w:rFonts w:hint="eastAsia" w:ascii="黑体" w:hAnsi="黑体" w:eastAsia="黑体"/>
        </w:rPr>
        <w:t>农业防治</w:t>
      </w:r>
    </w:p>
    <w:p>
      <w:pPr>
        <w:pStyle w:val="234"/>
      </w:pPr>
      <w:r>
        <w:rPr>
          <w:rFonts w:hint="eastAsia"/>
        </w:rPr>
        <w:t>因地制宜，选择抗性品种和砧木；科学施肥，合理负载，增强树势；科学整形，合理修剪，保持树冠通风透光良好；冬季清园，剪除病虫枝、清除枯枝落叶、树干刷白，减少病虫源；土壤改良，地面覆盖，促进树体健壮生长，增强树体抗性。</w:t>
      </w:r>
    </w:p>
    <w:p>
      <w:pPr>
        <w:pStyle w:val="229"/>
        <w:spacing w:before="156" w:beforeLines="50" w:after="156" w:afterLines="50"/>
        <w:rPr>
          <w:rFonts w:ascii="黑体" w:hAnsi="黑体" w:eastAsia="黑体"/>
        </w:rPr>
      </w:pPr>
      <w:r>
        <w:rPr>
          <w:rFonts w:hint="eastAsia" w:ascii="黑体" w:hAnsi="黑体" w:eastAsia="黑体"/>
        </w:rPr>
        <w:t>物理防治</w:t>
      </w:r>
    </w:p>
    <w:p>
      <w:pPr>
        <w:pStyle w:val="234"/>
        <w:rPr>
          <w:rFonts w:hAnsi="宋体"/>
        </w:rPr>
      </w:pPr>
      <w:r>
        <w:rPr>
          <w:rFonts w:hint="eastAsia"/>
        </w:rPr>
        <w:t>根据害虫生物学特性，采用糖醋液、黑光灯、频振式杀虫灯、黄板、防虫网等方法</w:t>
      </w:r>
      <w:r>
        <w:rPr>
          <w:rFonts w:hint="eastAsia" w:hAnsi="宋体"/>
        </w:rPr>
        <w:t>诱杀害虫。</w:t>
      </w:r>
    </w:p>
    <w:p>
      <w:pPr>
        <w:pStyle w:val="229"/>
        <w:spacing w:before="156" w:beforeLines="50" w:after="156" w:afterLines="50"/>
        <w:rPr>
          <w:rFonts w:ascii="黑体" w:hAnsi="黑体" w:eastAsia="黑体"/>
        </w:rPr>
      </w:pPr>
      <w:r>
        <w:rPr>
          <w:rFonts w:hint="eastAsia" w:ascii="黑体" w:hAnsi="黑体" w:eastAsia="黑体"/>
        </w:rPr>
        <w:t>生物防治</w:t>
      </w:r>
    </w:p>
    <w:p>
      <w:pPr>
        <w:pStyle w:val="234"/>
        <w:rPr>
          <w:rFonts w:hAnsi="宋体"/>
          <w:color w:val="000000"/>
        </w:rPr>
      </w:pPr>
      <w:r>
        <w:rPr>
          <w:rFonts w:hint="eastAsia" w:hAnsi="宋体"/>
          <w:color w:val="000000"/>
        </w:rPr>
        <w:t>保护利用尼氏钝绥螨等自然天敌。可人工释放胡瓜钝绥螨防治红蜘蛛、黄蜘蛛等害螨。释放方法：在平均每片叶红蜘蛛、黄蜘蛛等害螨数量不超过2头时，每株树挂1袋胡瓜钝绥螨产品。在果园安装性诱剂诱杀害虫。宜使用生物农药防治病虫害。</w:t>
      </w:r>
    </w:p>
    <w:p>
      <w:pPr>
        <w:pStyle w:val="229"/>
        <w:spacing w:before="156" w:beforeLines="50" w:after="156" w:afterLines="50"/>
        <w:rPr>
          <w:rFonts w:ascii="黑体" w:hAnsi="黑体" w:eastAsia="黑体"/>
        </w:rPr>
      </w:pPr>
      <w:r>
        <w:rPr>
          <w:rFonts w:hint="eastAsia" w:ascii="黑体" w:hAnsi="黑体" w:eastAsia="黑体"/>
        </w:rPr>
        <w:t>化学防治</w:t>
      </w:r>
    </w:p>
    <w:p>
      <w:pPr>
        <w:pStyle w:val="234"/>
      </w:pPr>
      <w:r>
        <w:rPr>
          <w:rFonts w:hint="eastAsia"/>
          <w:color w:val="000000"/>
        </w:rPr>
        <w:t>根据病虫监测，掌握病虫害发生动态，达到防治指标时根据环境和物候期适时对症用药。使用与环境相容性好、高效、低毒、低残留的</w:t>
      </w:r>
      <w:r>
        <w:rPr>
          <w:color w:val="000000"/>
        </w:rPr>
        <w:t>农药</w:t>
      </w:r>
      <w:r>
        <w:rPr>
          <w:rFonts w:hint="eastAsia"/>
          <w:color w:val="000000"/>
        </w:rPr>
        <w:t>。轮换使用不同作用机理的农药，根据农药标签合理使用，严格执行农药安全间隔期。农药按</w:t>
      </w:r>
      <w:r>
        <w:rPr>
          <w:rFonts w:hint="eastAsia"/>
        </w:rPr>
        <w:t>GB/T 8321的规定</w:t>
      </w:r>
      <w:r>
        <w:rPr>
          <w:rFonts w:hint="eastAsia"/>
          <w:color w:val="000000"/>
        </w:rPr>
        <w:t>执行，优先选用NY/T 393推荐农药。主要病虫</w:t>
      </w:r>
      <w:r>
        <w:rPr>
          <w:rFonts w:hint="eastAsia"/>
        </w:rPr>
        <w:t>害的化学防治部分药物推荐参见附录</w:t>
      </w:r>
      <w:r>
        <w:t>A</w:t>
      </w:r>
      <w:r>
        <w:rPr>
          <w:rFonts w:hint="eastAsia"/>
        </w:rPr>
        <w:t>。</w:t>
      </w:r>
    </w:p>
    <w:p>
      <w:pPr>
        <w:pStyle w:val="109"/>
        <w:spacing w:before="312" w:after="312"/>
        <w:rPr>
          <w:szCs w:val="21"/>
        </w:rPr>
      </w:pPr>
      <w:bookmarkStart w:id="41" w:name="_Toc320175190"/>
      <w:bookmarkStart w:id="42" w:name="_Toc320175209"/>
      <w:r>
        <w:rPr>
          <w:rFonts w:hint="eastAsia"/>
          <w:szCs w:val="21"/>
        </w:rPr>
        <w:t>采收与贮藏</w:t>
      </w:r>
      <w:bookmarkEnd w:id="41"/>
      <w:bookmarkEnd w:id="42"/>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采收</w:t>
      </w:r>
    </w:p>
    <w:p>
      <w:pPr>
        <w:pStyle w:val="72"/>
        <w:spacing w:before="156" w:after="156"/>
      </w:pPr>
      <w:r>
        <w:rPr>
          <w:rFonts w:hint="eastAsia"/>
        </w:rPr>
        <w:t>采收时间</w:t>
      </w:r>
    </w:p>
    <w:p>
      <w:pPr>
        <w:pStyle w:val="100"/>
        <w:spacing w:before="156" w:after="156"/>
      </w:pPr>
      <w:r>
        <w:rPr>
          <w:rFonts w:hint="eastAsia"/>
        </w:rPr>
        <w:t>鲜食果采收时间</w:t>
      </w:r>
    </w:p>
    <w:p>
      <w:pPr>
        <w:pStyle w:val="62"/>
        <w:ind w:firstLine="420"/>
      </w:pPr>
      <w:r>
        <w:rPr>
          <w:rFonts w:hint="eastAsia"/>
        </w:rPr>
        <w:t>果皮转色在80</w:t>
      </w:r>
      <w:r>
        <w:rPr>
          <w:rFonts w:hint="eastAsia" w:hAnsi="宋体"/>
        </w:rPr>
        <w:t>％</w:t>
      </w:r>
      <w:r>
        <w:rPr>
          <w:rFonts w:hint="eastAsia"/>
        </w:rPr>
        <w:t>以上，有浓郁的香气和风味，果实肉质已软化，可溶性固形物≥1</w:t>
      </w:r>
      <w:r>
        <w:t>0</w:t>
      </w:r>
      <w:r>
        <w:rPr>
          <w:rFonts w:hint="eastAsia" w:hAnsi="宋体"/>
        </w:rPr>
        <w:t>％时可采摘</w:t>
      </w:r>
      <w:r>
        <w:rPr>
          <w:rFonts w:hint="eastAsia"/>
        </w:rPr>
        <w:t>。</w:t>
      </w:r>
    </w:p>
    <w:p>
      <w:pPr>
        <w:pStyle w:val="100"/>
        <w:spacing w:before="156" w:after="156"/>
      </w:pPr>
      <w:r>
        <w:rPr>
          <w:rFonts w:hint="eastAsia"/>
        </w:rPr>
        <w:t>贮藏果采收时间</w:t>
      </w:r>
    </w:p>
    <w:p>
      <w:pPr>
        <w:pStyle w:val="62"/>
        <w:ind w:firstLine="420"/>
      </w:pPr>
      <w:r>
        <w:rPr>
          <w:rFonts w:hint="eastAsia"/>
        </w:rPr>
        <w:t>对贮藏或需长途运输的果实，比鲜食用果实采摘稍早，果皮转色70</w:t>
      </w:r>
      <w:r>
        <w:rPr>
          <w:rFonts w:hint="eastAsia" w:hAnsi="宋体"/>
        </w:rPr>
        <w:t>％以上</w:t>
      </w:r>
      <w:r>
        <w:rPr>
          <w:rFonts w:hint="eastAsia"/>
        </w:rPr>
        <w:t>，肉质尚未完全软化时即可采摘。</w:t>
      </w:r>
    </w:p>
    <w:p>
      <w:pPr>
        <w:pStyle w:val="72"/>
        <w:spacing w:before="156" w:after="156"/>
      </w:pPr>
      <w:r>
        <w:rPr>
          <w:rFonts w:hint="eastAsia"/>
        </w:rPr>
        <w:t>采收方法</w:t>
      </w:r>
    </w:p>
    <w:p>
      <w:pPr>
        <w:pStyle w:val="62"/>
        <w:ind w:firstLine="420"/>
      </w:pPr>
      <w:r>
        <w:rPr>
          <w:rFonts w:hint="eastAsia"/>
        </w:rPr>
        <w:t>应先熟先采，分批采摘。采摘应自下而上，由外到内进行。采用“双剪法”，第一剪果柄长2</w:t>
      </w:r>
      <w:r>
        <w:t xml:space="preserve"> </w:t>
      </w:r>
      <w:r>
        <w:rPr>
          <w:rFonts w:hint="eastAsia"/>
        </w:rPr>
        <w:t>cm～3cm，第二剪再剪平果蒂。</w:t>
      </w:r>
    </w:p>
    <w:p>
      <w:pPr>
        <w:pStyle w:val="72"/>
        <w:spacing w:before="156" w:after="156"/>
      </w:pPr>
      <w:r>
        <w:rPr>
          <w:rFonts w:hint="eastAsia"/>
        </w:rPr>
        <w:t>采收注意事项</w:t>
      </w:r>
    </w:p>
    <w:p>
      <w:pPr>
        <w:pStyle w:val="62"/>
        <w:ind w:firstLine="420"/>
      </w:pPr>
      <w:r>
        <w:rPr>
          <w:rFonts w:hint="eastAsia"/>
        </w:rPr>
        <w:t>宜在晴天或阴天采果，采果应轻拿、轻放、轻搬、轻卸，不应乱丢。将好果、落地果、伤果、病虫果分开堆放，落地果不应作为商品果出售。采果人员采收时应佩戴手套，以免伤及果皮。</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质量要求</w:t>
      </w:r>
    </w:p>
    <w:p>
      <w:pPr>
        <w:pStyle w:val="62"/>
        <w:ind w:firstLine="420"/>
      </w:pPr>
      <w:r>
        <w:rPr>
          <w:rFonts w:hint="eastAsia"/>
        </w:rPr>
        <w:t>污染物限量应符合G</w:t>
      </w:r>
      <w:r>
        <w:t xml:space="preserve">B </w:t>
      </w:r>
      <w:r>
        <w:rPr>
          <w:rFonts w:hint="eastAsia"/>
        </w:rPr>
        <w:t>2762的规定，农药残留限量应符合G</w:t>
      </w:r>
      <w:r>
        <w:t xml:space="preserve">B </w:t>
      </w:r>
      <w:r>
        <w:rPr>
          <w:rFonts w:hint="eastAsia"/>
        </w:rPr>
        <w:t>2763的规定。</w:t>
      </w:r>
    </w:p>
    <w:p>
      <w:pPr>
        <w:pStyle w:val="227"/>
        <w:spacing w:before="156" w:beforeLines="50" w:after="156" w:afterLines="50"/>
        <w:ind w:left="420" w:hanging="420" w:hangingChars="200"/>
        <w:outlineLvl w:val="1"/>
        <w:rPr>
          <w:rFonts w:ascii="黑体" w:hAnsi="黑体" w:eastAsia="黑体"/>
        </w:rPr>
      </w:pPr>
      <w:r>
        <w:rPr>
          <w:rFonts w:hint="eastAsia" w:ascii="黑体" w:hAnsi="黑体" w:eastAsia="黑体"/>
        </w:rPr>
        <w:t>贮藏</w:t>
      </w:r>
    </w:p>
    <w:p>
      <w:pPr>
        <w:pStyle w:val="228"/>
        <w:rPr>
          <w:rFonts w:hAnsi="宋体"/>
        </w:rPr>
      </w:pPr>
      <w:r>
        <w:rPr>
          <w:rFonts w:hint="eastAsia" w:hAnsi="宋体"/>
        </w:rPr>
        <w:t>产品仓库应</w:t>
      </w:r>
      <w:r>
        <w:rPr>
          <w:rFonts w:hAnsi="宋体"/>
        </w:rPr>
        <w:t>清洁无异味，远离有毒、有异味、有污染的物品；</w:t>
      </w:r>
      <w:r>
        <w:rPr>
          <w:rFonts w:hint="eastAsia" w:hAnsi="宋体"/>
        </w:rPr>
        <w:t>仓库应</w:t>
      </w:r>
      <w:r>
        <w:rPr>
          <w:rFonts w:hAnsi="宋体"/>
        </w:rPr>
        <w:t>通风、干燥、避光、配有除湿装置，并具有防虫、鼠、畜禽的措施。</w:t>
      </w:r>
    </w:p>
    <w:p>
      <w:pPr>
        <w:pStyle w:val="228"/>
        <w:rPr>
          <w:rFonts w:hAnsi="宋体"/>
        </w:rPr>
      </w:pPr>
      <w:r>
        <w:rPr>
          <w:rFonts w:hAnsi="宋体"/>
        </w:rPr>
        <w:t>应</w:t>
      </w:r>
      <w:r>
        <w:rPr>
          <w:rFonts w:hint="eastAsia" w:hAnsi="宋体"/>
        </w:rPr>
        <w:t>及时分级并防腐保鲜后套袋存放</w:t>
      </w:r>
      <w:r>
        <w:rPr>
          <w:rFonts w:hAnsi="宋体"/>
        </w:rPr>
        <w:t>，与墙壁保持</w:t>
      </w:r>
      <w:r>
        <w:rPr>
          <w:rFonts w:hint="eastAsia" w:hAnsi="宋体"/>
        </w:rPr>
        <w:t>适当</w:t>
      </w:r>
      <w:r>
        <w:rPr>
          <w:rFonts w:hAnsi="宋体"/>
        </w:rPr>
        <w:t>的距离，并定期检查</w:t>
      </w:r>
      <w:r>
        <w:rPr>
          <w:rFonts w:hint="eastAsia" w:hAnsi="宋体"/>
        </w:rPr>
        <w:t>。发现</w:t>
      </w:r>
      <w:r>
        <w:rPr>
          <w:rFonts w:hAnsi="宋体"/>
        </w:rPr>
        <w:t>虫蛀、腐烂等</w:t>
      </w:r>
      <w:r>
        <w:rPr>
          <w:rFonts w:hint="eastAsia" w:hAnsi="宋体"/>
        </w:rPr>
        <w:t>现象</w:t>
      </w:r>
      <w:r>
        <w:rPr>
          <w:rFonts w:hAnsi="宋体"/>
        </w:rPr>
        <w:t>，应当</w:t>
      </w:r>
      <w:r>
        <w:rPr>
          <w:rFonts w:hint="eastAsia" w:hAnsi="宋体"/>
        </w:rPr>
        <w:t>及时</w:t>
      </w:r>
      <w:r>
        <w:rPr>
          <w:rFonts w:hAnsi="宋体"/>
        </w:rPr>
        <w:t>剔除。</w:t>
      </w:r>
    </w:p>
    <w:p>
      <w:pPr>
        <w:pStyle w:val="109"/>
        <w:spacing w:before="312" w:after="312"/>
        <w:rPr>
          <w:szCs w:val="21"/>
        </w:rPr>
      </w:pPr>
      <w:r>
        <w:rPr>
          <w:rFonts w:hint="eastAsia"/>
          <w:szCs w:val="21"/>
        </w:rPr>
        <w:t>生产记录</w:t>
      </w:r>
    </w:p>
    <w:p>
      <w:pPr>
        <w:pStyle w:val="62"/>
        <w:ind w:firstLine="420"/>
      </w:pPr>
      <w:r>
        <w:rPr>
          <w:rFonts w:hint="eastAsia"/>
        </w:rPr>
        <w:t>应详细记录产地环境条件、投入品、生产技术、病虫害的发生和防治、采收及采后处理等情况并保存记录不少于</w:t>
      </w:r>
      <w:r>
        <w:t>2</w:t>
      </w:r>
      <w:r>
        <w:rPr>
          <w:rFonts w:hint="eastAsia"/>
        </w:rPr>
        <w:t>年。</w:t>
      </w:r>
    </w:p>
    <w:p>
      <w:pPr>
        <w:pStyle w:val="62"/>
        <w:ind w:firstLine="0" w:firstLineChars="0"/>
        <w:rPr>
          <w:b/>
          <w:bCs/>
        </w:rPr>
      </w:pPr>
    </w:p>
    <w:p>
      <w:pPr>
        <w:pStyle w:val="62"/>
        <w:ind w:firstLine="422"/>
        <w:rPr>
          <w:b/>
          <w:bCs/>
        </w:rPr>
        <w:sectPr>
          <w:headerReference r:id="rId13" w:type="default"/>
          <w:footerReference r:id="rId15" w:type="default"/>
          <w:headerReference r:id="rId14" w:type="even"/>
          <w:footerReference r:id="rId16" w:type="even"/>
          <w:pgSz w:w="11906" w:h="16838"/>
          <w:pgMar w:top="567" w:right="1134" w:bottom="1134" w:left="1134" w:header="1418" w:footer="1134" w:gutter="284"/>
          <w:pgNumType w:start="1"/>
          <w:cols w:space="720" w:num="1"/>
          <w:formProt w:val="0"/>
          <w:docGrid w:type="lines" w:linePitch="312" w:charSpace="0"/>
        </w:sectPr>
      </w:pPr>
    </w:p>
    <w:bookmarkEnd w:id="22"/>
    <w:p>
      <w:pPr>
        <w:pStyle w:val="202"/>
      </w:pPr>
      <w:bookmarkStart w:id="43" w:name="BookMark5"/>
    </w:p>
    <w:p>
      <w:pPr>
        <w:pStyle w:val="203"/>
      </w:pPr>
    </w:p>
    <w:p>
      <w:pPr>
        <w:pStyle w:val="83"/>
        <w:spacing w:before="78" w:after="156"/>
      </w:pPr>
      <w:r>
        <w:br w:type="textWrapping"/>
      </w:r>
      <w:r>
        <w:rPr>
          <w:rFonts w:hint="eastAsia"/>
        </w:rPr>
        <w:t>（资料性）</w:t>
      </w:r>
      <w:r>
        <w:br w:type="textWrapping"/>
      </w:r>
      <w:r>
        <w:rPr>
          <w:rFonts w:hint="eastAsia"/>
        </w:rPr>
        <w:t>常山胡柚主要病虫害化学防治及部分推荐农药</w:t>
      </w:r>
    </w:p>
    <w:tbl>
      <w:tblPr>
        <w:tblStyle w:val="29"/>
        <w:tblW w:w="95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211"/>
        <w:gridCol w:w="3260"/>
        <w:gridCol w:w="1189"/>
        <w:gridCol w:w="14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10" w:type="dxa"/>
            <w:tcBorders>
              <w:top w:val="single" w:color="auto" w:sz="8" w:space="0"/>
              <w:bottom w:val="single" w:color="auto" w:sz="8" w:space="0"/>
            </w:tcBorders>
            <w:vAlign w:val="center"/>
          </w:tcPr>
          <w:p>
            <w:pPr>
              <w:snapToGrid w:val="0"/>
              <w:spacing w:line="240" w:lineRule="auto"/>
              <w:jc w:val="center"/>
              <w:rPr>
                <w:rFonts w:ascii="宋体" w:hAnsi="宋体"/>
                <w:b/>
                <w:bCs/>
                <w:sz w:val="18"/>
                <w:szCs w:val="18"/>
              </w:rPr>
            </w:pPr>
            <w:r>
              <w:rPr>
                <w:rFonts w:hint="eastAsia" w:ascii="宋体" w:hAnsi="宋体"/>
                <w:b/>
                <w:bCs/>
                <w:sz w:val="18"/>
                <w:szCs w:val="18"/>
              </w:rPr>
              <w:t>防治对象</w:t>
            </w:r>
          </w:p>
        </w:tc>
        <w:tc>
          <w:tcPr>
            <w:tcW w:w="2211" w:type="dxa"/>
            <w:tcBorders>
              <w:top w:val="single" w:color="auto" w:sz="8" w:space="0"/>
              <w:bottom w:val="single" w:color="auto" w:sz="8" w:space="0"/>
            </w:tcBorders>
            <w:vAlign w:val="center"/>
          </w:tcPr>
          <w:p>
            <w:pPr>
              <w:pStyle w:val="128"/>
              <w:snapToGrid w:val="0"/>
              <w:spacing w:before="0" w:line="240" w:lineRule="auto"/>
              <w:rPr>
                <w:rFonts w:hAnsi="宋体"/>
                <w:b/>
                <w:bCs/>
                <w:kern w:val="2"/>
                <w:sz w:val="18"/>
                <w:szCs w:val="18"/>
              </w:rPr>
            </w:pPr>
            <w:r>
              <w:rPr>
                <w:rFonts w:hint="eastAsia" w:hAnsi="宋体"/>
                <w:b/>
                <w:bCs/>
                <w:kern w:val="2"/>
                <w:sz w:val="18"/>
                <w:szCs w:val="18"/>
              </w:rPr>
              <w:t>防治适期或指标</w:t>
            </w:r>
          </w:p>
        </w:tc>
        <w:tc>
          <w:tcPr>
            <w:tcW w:w="3260" w:type="dxa"/>
            <w:tcBorders>
              <w:top w:val="single" w:color="auto" w:sz="8" w:space="0"/>
              <w:bottom w:val="single" w:color="auto" w:sz="8" w:space="0"/>
            </w:tcBorders>
            <w:vAlign w:val="center"/>
          </w:tcPr>
          <w:p>
            <w:pPr>
              <w:pStyle w:val="19"/>
              <w:spacing w:line="240" w:lineRule="auto"/>
              <w:rPr>
                <w:rFonts w:ascii="宋体" w:hAnsi="宋体"/>
                <w:b/>
                <w:bCs/>
              </w:rPr>
            </w:pPr>
            <w:r>
              <w:rPr>
                <w:rFonts w:hint="eastAsia" w:ascii="宋体" w:hAnsi="宋体"/>
                <w:b/>
                <w:bCs/>
              </w:rPr>
              <w:t>推荐药剂及浓度</w:t>
            </w:r>
          </w:p>
        </w:tc>
        <w:tc>
          <w:tcPr>
            <w:tcW w:w="1189" w:type="dxa"/>
            <w:tcBorders>
              <w:top w:val="single" w:color="auto" w:sz="8" w:space="0"/>
              <w:bottom w:val="single" w:color="auto" w:sz="8" w:space="0"/>
            </w:tcBorders>
            <w:vAlign w:val="center"/>
          </w:tcPr>
          <w:p>
            <w:pPr>
              <w:snapToGrid w:val="0"/>
              <w:spacing w:line="240" w:lineRule="auto"/>
              <w:jc w:val="center"/>
              <w:rPr>
                <w:rFonts w:ascii="宋体" w:hAnsi="宋体"/>
                <w:b/>
                <w:bCs/>
                <w:sz w:val="18"/>
                <w:szCs w:val="18"/>
              </w:rPr>
            </w:pPr>
            <w:r>
              <w:rPr>
                <w:rFonts w:hint="eastAsia" w:ascii="宋体" w:hAnsi="宋体"/>
                <w:b/>
                <w:bCs/>
                <w:sz w:val="18"/>
                <w:szCs w:val="18"/>
              </w:rPr>
              <w:t>安全间隔期（</w:t>
            </w:r>
            <w:r>
              <w:rPr>
                <w:rFonts w:ascii="宋体" w:hAnsi="宋体"/>
                <w:b/>
                <w:bCs/>
                <w:sz w:val="18"/>
                <w:szCs w:val="18"/>
              </w:rPr>
              <w:t>d</w:t>
            </w:r>
            <w:r>
              <w:rPr>
                <w:rFonts w:hint="eastAsia" w:ascii="宋体" w:hAnsi="宋体"/>
                <w:b/>
                <w:bCs/>
                <w:sz w:val="18"/>
                <w:szCs w:val="18"/>
              </w:rPr>
              <w:t>）</w:t>
            </w:r>
          </w:p>
        </w:tc>
        <w:tc>
          <w:tcPr>
            <w:tcW w:w="1437" w:type="dxa"/>
            <w:tcBorders>
              <w:top w:val="single" w:color="auto" w:sz="8" w:space="0"/>
              <w:bottom w:val="single" w:color="auto" w:sz="8" w:space="0"/>
            </w:tcBorders>
            <w:vAlign w:val="center"/>
          </w:tcPr>
          <w:p>
            <w:pPr>
              <w:snapToGrid w:val="0"/>
              <w:spacing w:line="240" w:lineRule="auto"/>
              <w:jc w:val="center"/>
              <w:rPr>
                <w:rFonts w:ascii="宋体" w:hAnsi="宋体"/>
                <w:b/>
                <w:bCs/>
                <w:sz w:val="18"/>
                <w:szCs w:val="18"/>
              </w:rPr>
            </w:pPr>
            <w:r>
              <w:rPr>
                <w:rFonts w:hint="eastAsia" w:ascii="宋体" w:hAnsi="宋体"/>
                <w:b/>
                <w:bCs/>
                <w:sz w:val="18"/>
                <w:szCs w:val="18"/>
              </w:rPr>
              <w:t>注意事项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10" w:type="dxa"/>
            <w:tcBorders>
              <w:top w:val="single" w:color="auto" w:sz="8" w:space="0"/>
            </w:tcBorders>
            <w:vAlign w:val="center"/>
          </w:tcPr>
          <w:p>
            <w:pPr>
              <w:snapToGrid w:val="0"/>
              <w:spacing w:line="240" w:lineRule="auto"/>
              <w:jc w:val="center"/>
              <w:rPr>
                <w:rFonts w:ascii="宋体" w:hAnsi="宋体"/>
                <w:sz w:val="18"/>
                <w:szCs w:val="18"/>
              </w:rPr>
            </w:pPr>
            <w:r>
              <w:rPr>
                <w:rFonts w:hint="eastAsia" w:ascii="宋体" w:hAnsi="宋体"/>
                <w:sz w:val="18"/>
                <w:szCs w:val="18"/>
              </w:rPr>
              <w:t>桔全爪螨</w:t>
            </w:r>
          </w:p>
          <w:p>
            <w:pPr>
              <w:snapToGrid w:val="0"/>
              <w:spacing w:line="240" w:lineRule="auto"/>
              <w:rPr>
                <w:rFonts w:ascii="宋体" w:hAnsi="宋体"/>
                <w:sz w:val="18"/>
                <w:szCs w:val="18"/>
              </w:rPr>
            </w:pPr>
            <w:r>
              <w:rPr>
                <w:rFonts w:hint="eastAsia" w:ascii="宋体" w:hAnsi="宋体"/>
                <w:sz w:val="18"/>
                <w:szCs w:val="18"/>
              </w:rPr>
              <w:t>（柑桔红蜘蛛）</w:t>
            </w:r>
          </w:p>
        </w:tc>
        <w:tc>
          <w:tcPr>
            <w:tcW w:w="2211" w:type="dxa"/>
            <w:tcBorders>
              <w:top w:val="single" w:color="auto" w:sz="8" w:space="0"/>
            </w:tcBorders>
            <w:vAlign w:val="center"/>
          </w:tcPr>
          <w:p>
            <w:pPr>
              <w:pStyle w:val="19"/>
              <w:spacing w:line="240" w:lineRule="auto"/>
              <w:jc w:val="left"/>
              <w:rPr>
                <w:rFonts w:ascii="宋体" w:hAnsi="宋体"/>
              </w:rPr>
            </w:pPr>
            <w:r>
              <w:rPr>
                <w:rFonts w:hint="eastAsia" w:ascii="宋体" w:hAnsi="宋体"/>
              </w:rPr>
              <w:t>花前1头/叶～2头/叶，花后和秋</w:t>
            </w:r>
            <w:r>
              <w:rPr>
                <w:rFonts w:hint="eastAsia" w:ascii="宋体" w:hAnsi="宋体"/>
                <w:spacing w:val="6"/>
              </w:rPr>
              <w:t>季5头/叶</w:t>
            </w:r>
            <w:r>
              <w:rPr>
                <w:rFonts w:hint="eastAsia" w:ascii="宋体" w:hAnsi="宋体"/>
              </w:rPr>
              <w:t>～</w:t>
            </w:r>
            <w:r>
              <w:rPr>
                <w:rFonts w:hint="eastAsia" w:ascii="宋体" w:hAnsi="宋体"/>
                <w:spacing w:val="6"/>
              </w:rPr>
              <w:t>6头/叶</w:t>
            </w:r>
          </w:p>
        </w:tc>
        <w:tc>
          <w:tcPr>
            <w:tcW w:w="3260" w:type="dxa"/>
            <w:vMerge w:val="restart"/>
            <w:tcBorders>
              <w:top w:val="single" w:color="auto" w:sz="8" w:space="0"/>
            </w:tcBorders>
            <w:vAlign w:val="center"/>
          </w:tcPr>
          <w:p>
            <w:pPr>
              <w:snapToGrid w:val="0"/>
              <w:spacing w:line="240" w:lineRule="auto"/>
              <w:rPr>
                <w:rFonts w:ascii="宋体" w:hAnsi="宋体"/>
                <w:sz w:val="18"/>
                <w:szCs w:val="18"/>
              </w:rPr>
            </w:pPr>
            <w:r>
              <w:rPr>
                <w:rFonts w:ascii="宋体" w:hAnsi="宋体"/>
                <w:sz w:val="18"/>
                <w:szCs w:val="18"/>
              </w:rPr>
              <w:t>5</w:t>
            </w:r>
            <w:r>
              <w:rPr>
                <w:rFonts w:hint="eastAsia" w:ascii="宋体" w:hAnsi="宋体"/>
                <w:sz w:val="18"/>
                <w:szCs w:val="18"/>
              </w:rPr>
              <w:t>月～9月份喷2</w:t>
            </w:r>
            <w:r>
              <w:rPr>
                <w:rFonts w:ascii="宋体" w:hAnsi="宋体"/>
                <w:sz w:val="18"/>
                <w:szCs w:val="18"/>
              </w:rPr>
              <w:t>0</w:t>
            </w:r>
            <w:r>
              <w:rPr>
                <w:rFonts w:hint="eastAsia" w:ascii="宋体" w:hAnsi="宋体"/>
                <w:sz w:val="18"/>
                <w:szCs w:val="18"/>
              </w:rPr>
              <w:t>％乙螨唑2</w:t>
            </w:r>
            <w:r>
              <w:rPr>
                <w:rFonts w:ascii="宋体" w:hAnsi="宋体"/>
                <w:sz w:val="18"/>
                <w:szCs w:val="18"/>
              </w:rPr>
              <w:t>000</w:t>
            </w:r>
            <w:r>
              <w:rPr>
                <w:rFonts w:hint="eastAsia" w:ascii="宋体" w:hAnsi="宋体"/>
                <w:sz w:val="18"/>
                <w:szCs w:val="18"/>
              </w:rPr>
              <w:t>倍液或24％螺螨酯</w:t>
            </w:r>
            <w:r>
              <w:rPr>
                <w:rFonts w:ascii="宋体" w:hAnsi="宋体"/>
                <w:sz w:val="18"/>
                <w:szCs w:val="18"/>
              </w:rPr>
              <w:t>4000</w:t>
            </w:r>
            <w:r>
              <w:rPr>
                <w:rFonts w:hint="eastAsia" w:ascii="宋体" w:hAnsi="宋体"/>
                <w:sz w:val="18"/>
                <w:szCs w:val="18"/>
              </w:rPr>
              <w:t>倍液；萌芽前</w:t>
            </w:r>
            <w:r>
              <w:rPr>
                <w:rFonts w:hint="eastAsia" w:ascii="宋体" w:hAnsi="宋体"/>
                <w:sz w:val="18"/>
                <w:szCs w:val="18"/>
                <w:lang w:val="en-US" w:eastAsia="zh-CN"/>
              </w:rPr>
              <w:t>或</w:t>
            </w:r>
            <w:r>
              <w:rPr>
                <w:rFonts w:hint="eastAsia" w:ascii="宋体" w:hAnsi="宋体"/>
                <w:sz w:val="18"/>
                <w:szCs w:val="18"/>
              </w:rPr>
              <w:t>冬季清园30％松脂酸钠300倍液全园喷施</w:t>
            </w:r>
          </w:p>
          <w:p>
            <w:pPr>
              <w:snapToGrid w:val="0"/>
              <w:spacing w:line="240" w:lineRule="auto"/>
              <w:rPr>
                <w:rFonts w:ascii="宋体" w:hAnsi="宋体"/>
                <w:sz w:val="18"/>
                <w:szCs w:val="18"/>
              </w:rPr>
            </w:pPr>
          </w:p>
          <w:p>
            <w:pPr>
              <w:snapToGrid w:val="0"/>
              <w:spacing w:line="240" w:lineRule="auto"/>
              <w:rPr>
                <w:rFonts w:ascii="宋体" w:hAnsi="宋体"/>
                <w:sz w:val="18"/>
                <w:szCs w:val="18"/>
              </w:rPr>
            </w:pPr>
            <w:r>
              <w:rPr>
                <w:rFonts w:ascii="宋体" w:hAnsi="宋体"/>
                <w:sz w:val="18"/>
                <w:szCs w:val="18"/>
              </w:rPr>
              <w:t>1.8</w:t>
            </w:r>
            <w:r>
              <w:rPr>
                <w:rFonts w:hint="eastAsia" w:ascii="宋体" w:hAnsi="宋体"/>
                <w:sz w:val="18"/>
                <w:szCs w:val="18"/>
              </w:rPr>
              <w:t>％阿维菌素</w:t>
            </w:r>
            <w:r>
              <w:rPr>
                <w:rFonts w:ascii="宋体" w:hAnsi="宋体"/>
                <w:sz w:val="18"/>
                <w:szCs w:val="18"/>
              </w:rPr>
              <w:t>4 0</w:t>
            </w:r>
            <w:r>
              <w:rPr>
                <w:rFonts w:hint="eastAsia" w:ascii="宋体" w:hAnsi="宋体"/>
                <w:sz w:val="18"/>
                <w:szCs w:val="18"/>
              </w:rPr>
              <w:t>00倍～</w:t>
            </w:r>
            <w:r>
              <w:rPr>
                <w:rFonts w:ascii="宋体" w:hAnsi="宋体"/>
                <w:sz w:val="18"/>
                <w:szCs w:val="18"/>
              </w:rPr>
              <w:t>5 0</w:t>
            </w:r>
            <w:r>
              <w:rPr>
                <w:rFonts w:hint="eastAsia" w:ascii="宋体" w:hAnsi="宋体"/>
                <w:sz w:val="18"/>
                <w:szCs w:val="18"/>
              </w:rPr>
              <w:t>00倍液</w:t>
            </w:r>
          </w:p>
          <w:p>
            <w:pPr>
              <w:snapToGrid w:val="0"/>
              <w:spacing w:line="240" w:lineRule="auto"/>
              <w:rPr>
                <w:rFonts w:ascii="宋体" w:hAnsi="宋体"/>
                <w:sz w:val="18"/>
                <w:szCs w:val="18"/>
              </w:rPr>
            </w:pPr>
          </w:p>
          <w:p>
            <w:pPr>
              <w:snapToGrid w:val="0"/>
              <w:spacing w:line="240" w:lineRule="auto"/>
              <w:rPr>
                <w:rFonts w:ascii="宋体" w:hAnsi="宋体"/>
                <w:sz w:val="18"/>
                <w:szCs w:val="18"/>
              </w:rPr>
            </w:pPr>
            <w:r>
              <w:rPr>
                <w:rFonts w:hint="eastAsia" w:ascii="宋体" w:hAnsi="宋体"/>
                <w:sz w:val="18"/>
                <w:szCs w:val="18"/>
              </w:rPr>
              <w:t>5％噻螨酮1</w:t>
            </w:r>
            <w:r>
              <w:rPr>
                <w:rFonts w:ascii="宋体" w:hAnsi="宋体"/>
                <w:sz w:val="18"/>
                <w:szCs w:val="18"/>
              </w:rPr>
              <w:t xml:space="preserve"> 500</w:t>
            </w:r>
            <w:r>
              <w:rPr>
                <w:rFonts w:hint="eastAsia" w:ascii="宋体" w:hAnsi="宋体"/>
                <w:sz w:val="18"/>
                <w:szCs w:val="18"/>
              </w:rPr>
              <w:t>倍～</w:t>
            </w:r>
            <w:r>
              <w:rPr>
                <w:rFonts w:ascii="宋体" w:hAnsi="宋体"/>
                <w:sz w:val="18"/>
                <w:szCs w:val="18"/>
              </w:rPr>
              <w:t>2 000</w:t>
            </w:r>
            <w:r>
              <w:rPr>
                <w:rFonts w:hint="eastAsia" w:ascii="宋体" w:hAnsi="宋体"/>
                <w:sz w:val="18"/>
                <w:szCs w:val="18"/>
              </w:rPr>
              <w:t>倍液</w:t>
            </w:r>
          </w:p>
        </w:tc>
        <w:tc>
          <w:tcPr>
            <w:tcW w:w="1189" w:type="dxa"/>
            <w:vMerge w:val="restart"/>
            <w:tcBorders>
              <w:top w:val="single" w:color="auto" w:sz="8" w:space="0"/>
            </w:tcBorders>
            <w:vAlign w:val="center"/>
          </w:tcPr>
          <w:p>
            <w:pPr>
              <w:snapToGrid w:val="0"/>
              <w:spacing w:line="240" w:lineRule="auto"/>
              <w:jc w:val="center"/>
              <w:rPr>
                <w:rFonts w:ascii="宋体" w:hAnsi="宋体"/>
                <w:sz w:val="18"/>
                <w:szCs w:val="18"/>
              </w:rPr>
            </w:pPr>
          </w:p>
          <w:p>
            <w:pPr>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30</w:t>
            </w:r>
          </w:p>
          <w:p>
            <w:pPr>
              <w:snapToGrid w:val="0"/>
              <w:spacing w:line="240" w:lineRule="auto"/>
              <w:jc w:val="center"/>
              <w:rPr>
                <w:rFonts w:ascii="宋体" w:hAnsi="宋体"/>
                <w:sz w:val="18"/>
                <w:szCs w:val="18"/>
              </w:rPr>
            </w:pPr>
          </w:p>
          <w:p>
            <w:pPr>
              <w:snapToGrid w:val="0"/>
              <w:spacing w:line="240" w:lineRule="auto"/>
              <w:jc w:val="center"/>
              <w:rPr>
                <w:rFonts w:ascii="宋体" w:hAnsi="宋体"/>
                <w:sz w:val="18"/>
                <w:szCs w:val="18"/>
              </w:rPr>
            </w:pPr>
          </w:p>
          <w:p>
            <w:pPr>
              <w:snapToGrid w:val="0"/>
              <w:spacing w:line="240" w:lineRule="auto"/>
              <w:jc w:val="center"/>
              <w:rPr>
                <w:rFonts w:ascii="宋体" w:hAnsi="宋体"/>
                <w:sz w:val="18"/>
                <w:szCs w:val="18"/>
              </w:rPr>
            </w:pPr>
          </w:p>
          <w:p>
            <w:pPr>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21</w:t>
            </w:r>
          </w:p>
          <w:p>
            <w:pPr>
              <w:snapToGrid w:val="0"/>
              <w:spacing w:line="240" w:lineRule="auto"/>
              <w:jc w:val="center"/>
              <w:rPr>
                <w:rFonts w:ascii="宋体" w:hAnsi="宋体"/>
                <w:sz w:val="18"/>
                <w:szCs w:val="18"/>
              </w:rPr>
            </w:pPr>
          </w:p>
          <w:p>
            <w:pPr>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30</w:t>
            </w:r>
          </w:p>
        </w:tc>
        <w:tc>
          <w:tcPr>
            <w:tcW w:w="1437" w:type="dxa"/>
            <w:vMerge w:val="restart"/>
            <w:tcBorders>
              <w:top w:val="single" w:color="auto" w:sz="8" w:space="0"/>
            </w:tcBorders>
            <w:vAlign w:val="center"/>
          </w:tcPr>
          <w:p>
            <w:pPr>
              <w:pStyle w:val="146"/>
              <w:widowControl w:val="0"/>
              <w:snapToGrid w:val="0"/>
              <w:spacing w:line="240" w:lineRule="auto"/>
              <w:rPr>
                <w:rFonts w:hAnsi="宋体"/>
                <w:kern w:val="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410" w:type="dxa"/>
            <w:vAlign w:val="center"/>
          </w:tcPr>
          <w:p>
            <w:pPr>
              <w:snapToGrid w:val="0"/>
              <w:spacing w:line="240" w:lineRule="auto"/>
              <w:jc w:val="center"/>
              <w:rPr>
                <w:rFonts w:ascii="宋体" w:hAnsi="宋体"/>
                <w:sz w:val="18"/>
                <w:szCs w:val="18"/>
              </w:rPr>
            </w:pPr>
            <w:r>
              <w:rPr>
                <w:rFonts w:hint="eastAsia" w:ascii="宋体" w:hAnsi="宋体"/>
                <w:sz w:val="18"/>
                <w:szCs w:val="18"/>
              </w:rPr>
              <w:t>桔始叶螨</w:t>
            </w:r>
          </w:p>
          <w:p>
            <w:pPr>
              <w:snapToGrid w:val="0"/>
              <w:spacing w:line="240" w:lineRule="auto"/>
              <w:rPr>
                <w:rFonts w:ascii="宋体" w:hAnsi="宋体"/>
                <w:sz w:val="18"/>
                <w:szCs w:val="18"/>
              </w:rPr>
            </w:pPr>
            <w:r>
              <w:rPr>
                <w:rFonts w:hint="eastAsia" w:ascii="宋体" w:hAnsi="宋体"/>
                <w:sz w:val="18"/>
                <w:szCs w:val="18"/>
              </w:rPr>
              <w:t>（柑桔黄蜘蛛）</w:t>
            </w:r>
          </w:p>
        </w:tc>
        <w:tc>
          <w:tcPr>
            <w:tcW w:w="2211" w:type="dxa"/>
            <w:vAlign w:val="center"/>
          </w:tcPr>
          <w:p>
            <w:pPr>
              <w:pStyle w:val="18"/>
              <w:jc w:val="both"/>
              <w:rPr>
                <w:rFonts w:hAnsi="宋体"/>
              </w:rPr>
            </w:pPr>
            <w:r>
              <w:rPr>
                <w:rFonts w:hint="eastAsia" w:hAnsi="宋体"/>
              </w:rPr>
              <w:t>花前1头/叶，花后3头/叶</w:t>
            </w:r>
          </w:p>
        </w:tc>
        <w:tc>
          <w:tcPr>
            <w:tcW w:w="3260" w:type="dxa"/>
            <w:vMerge w:val="continue"/>
            <w:vAlign w:val="center"/>
          </w:tcPr>
          <w:p>
            <w:pPr>
              <w:snapToGrid w:val="0"/>
              <w:spacing w:line="240" w:lineRule="auto"/>
              <w:jc w:val="center"/>
              <w:rPr>
                <w:rFonts w:ascii="宋体" w:hAnsi="宋体"/>
                <w:sz w:val="18"/>
                <w:szCs w:val="18"/>
              </w:rPr>
            </w:pPr>
          </w:p>
        </w:tc>
        <w:tc>
          <w:tcPr>
            <w:tcW w:w="1189" w:type="dxa"/>
            <w:vMerge w:val="continue"/>
          </w:tcPr>
          <w:p>
            <w:pPr>
              <w:snapToGrid w:val="0"/>
              <w:spacing w:line="240" w:lineRule="auto"/>
              <w:jc w:val="center"/>
              <w:rPr>
                <w:rFonts w:ascii="宋体" w:hAnsi="宋体"/>
                <w:sz w:val="18"/>
                <w:szCs w:val="18"/>
              </w:rPr>
            </w:pPr>
          </w:p>
        </w:tc>
        <w:tc>
          <w:tcPr>
            <w:tcW w:w="1437" w:type="dxa"/>
            <w:vMerge w:val="continue"/>
            <w:vAlign w:val="center"/>
          </w:tcPr>
          <w:p>
            <w:pPr>
              <w:snapToGrid w:val="0"/>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1410" w:type="dxa"/>
            <w:vAlign w:val="center"/>
          </w:tcPr>
          <w:p>
            <w:pPr>
              <w:snapToGrid w:val="0"/>
              <w:spacing w:line="240" w:lineRule="auto"/>
              <w:jc w:val="center"/>
              <w:rPr>
                <w:rFonts w:ascii="宋体" w:hAnsi="宋体"/>
                <w:sz w:val="18"/>
                <w:szCs w:val="18"/>
              </w:rPr>
            </w:pPr>
            <w:r>
              <w:rPr>
                <w:rFonts w:hint="eastAsia" w:ascii="宋体" w:hAnsi="宋体"/>
                <w:sz w:val="18"/>
                <w:szCs w:val="18"/>
              </w:rPr>
              <w:t>锈壁虱</w:t>
            </w:r>
          </w:p>
        </w:tc>
        <w:tc>
          <w:tcPr>
            <w:tcW w:w="2211" w:type="dxa"/>
            <w:vAlign w:val="center"/>
          </w:tcPr>
          <w:p>
            <w:pPr>
              <w:pStyle w:val="18"/>
              <w:jc w:val="both"/>
              <w:rPr>
                <w:rFonts w:hAnsi="宋体"/>
              </w:rPr>
            </w:pPr>
            <w:r>
              <w:rPr>
                <w:rFonts w:hint="eastAsia" w:hAnsi="宋体"/>
              </w:rPr>
              <w:t>叶上或果上2头/视野～3头/视野；当年春梢叶背出现被害状；果园中发现一个果出现被害状</w:t>
            </w:r>
          </w:p>
        </w:tc>
        <w:tc>
          <w:tcPr>
            <w:tcW w:w="3260" w:type="dxa"/>
            <w:vMerge w:val="continue"/>
            <w:vAlign w:val="center"/>
          </w:tcPr>
          <w:p>
            <w:pPr>
              <w:snapToGrid w:val="0"/>
              <w:spacing w:line="240" w:lineRule="auto"/>
              <w:jc w:val="center"/>
              <w:rPr>
                <w:rFonts w:ascii="宋体" w:hAnsi="宋体"/>
                <w:sz w:val="18"/>
                <w:szCs w:val="18"/>
              </w:rPr>
            </w:pPr>
          </w:p>
        </w:tc>
        <w:tc>
          <w:tcPr>
            <w:tcW w:w="1189" w:type="dxa"/>
            <w:vMerge w:val="continue"/>
          </w:tcPr>
          <w:p>
            <w:pPr>
              <w:snapToGrid w:val="0"/>
              <w:spacing w:line="240" w:lineRule="auto"/>
              <w:jc w:val="center"/>
              <w:rPr>
                <w:rFonts w:ascii="宋体" w:hAnsi="宋体"/>
                <w:sz w:val="18"/>
                <w:szCs w:val="18"/>
              </w:rPr>
            </w:pPr>
          </w:p>
        </w:tc>
        <w:tc>
          <w:tcPr>
            <w:tcW w:w="1437" w:type="dxa"/>
            <w:vMerge w:val="continue"/>
            <w:vAlign w:val="center"/>
          </w:tcPr>
          <w:p>
            <w:pPr>
              <w:snapToGrid w:val="0"/>
              <w:spacing w:line="240" w:lineRule="auto"/>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410" w:type="dxa"/>
            <w:vMerge w:val="restart"/>
            <w:vAlign w:val="center"/>
          </w:tcPr>
          <w:p>
            <w:pPr>
              <w:snapToGrid w:val="0"/>
              <w:spacing w:line="240" w:lineRule="auto"/>
              <w:jc w:val="center"/>
              <w:rPr>
                <w:rFonts w:ascii="宋体" w:hAnsi="宋体"/>
                <w:sz w:val="18"/>
                <w:szCs w:val="18"/>
              </w:rPr>
            </w:pPr>
            <w:r>
              <w:rPr>
                <w:rFonts w:hint="eastAsia" w:ascii="宋体" w:hAnsi="宋体"/>
                <w:sz w:val="18"/>
                <w:szCs w:val="18"/>
              </w:rPr>
              <w:t>蚜虫</w:t>
            </w:r>
          </w:p>
        </w:tc>
        <w:tc>
          <w:tcPr>
            <w:tcW w:w="2211" w:type="dxa"/>
            <w:vMerge w:val="restart"/>
            <w:vAlign w:val="center"/>
          </w:tcPr>
          <w:p>
            <w:pPr>
              <w:pStyle w:val="18"/>
              <w:jc w:val="both"/>
              <w:rPr>
                <w:rFonts w:hAnsi="宋体"/>
              </w:rPr>
            </w:pPr>
            <w:r>
              <w:rPr>
                <w:rFonts w:hint="eastAsia" w:hAnsi="宋体"/>
              </w:rPr>
              <w:t>新梢有蚜率25％左右喷药</w:t>
            </w:r>
          </w:p>
        </w:tc>
        <w:tc>
          <w:tcPr>
            <w:tcW w:w="3260" w:type="dxa"/>
            <w:vAlign w:val="center"/>
          </w:tcPr>
          <w:p>
            <w:pPr>
              <w:snapToGrid w:val="0"/>
              <w:spacing w:line="240" w:lineRule="auto"/>
              <w:jc w:val="left"/>
              <w:rPr>
                <w:rFonts w:ascii="宋体" w:hAnsi="宋体"/>
                <w:sz w:val="18"/>
                <w:szCs w:val="18"/>
              </w:rPr>
            </w:pPr>
            <w:r>
              <w:rPr>
                <w:rFonts w:hint="eastAsia" w:ascii="宋体" w:hAnsi="宋体"/>
                <w:sz w:val="18"/>
                <w:szCs w:val="18"/>
              </w:rPr>
              <w:t>10％吡虫啉2 000倍～3 000倍液</w:t>
            </w:r>
          </w:p>
        </w:tc>
        <w:tc>
          <w:tcPr>
            <w:tcW w:w="1189" w:type="dxa"/>
            <w:vAlign w:val="center"/>
          </w:tcPr>
          <w:p>
            <w:pPr>
              <w:snapToGrid w:val="0"/>
              <w:spacing w:line="240" w:lineRule="auto"/>
              <w:jc w:val="center"/>
              <w:rPr>
                <w:rFonts w:ascii="宋体" w:hAnsi="宋体"/>
                <w:sz w:val="18"/>
                <w:szCs w:val="18"/>
              </w:rPr>
            </w:pPr>
            <w:r>
              <w:rPr>
                <w:rFonts w:hint="eastAsia" w:ascii="宋体" w:hAnsi="宋体"/>
                <w:sz w:val="18"/>
                <w:szCs w:val="18"/>
              </w:rPr>
              <w:t>≥21</w:t>
            </w:r>
          </w:p>
        </w:tc>
        <w:tc>
          <w:tcPr>
            <w:tcW w:w="1437" w:type="dxa"/>
            <w:vMerge w:val="restart"/>
            <w:vAlign w:val="center"/>
          </w:tcPr>
          <w:p>
            <w:pPr>
              <w:snapToGrid w:val="0"/>
              <w:spacing w:line="240" w:lineRule="auto"/>
              <w:rPr>
                <w:rFonts w:ascii="宋体" w:hAnsi="宋体"/>
                <w:sz w:val="18"/>
                <w:szCs w:val="18"/>
              </w:rPr>
            </w:pPr>
            <w:r>
              <w:rPr>
                <w:rFonts w:hint="eastAsia" w:ascii="宋体" w:hAnsi="宋体"/>
                <w:sz w:val="18"/>
                <w:szCs w:val="18"/>
              </w:rPr>
              <w:t>每季作物最多使用2次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410" w:type="dxa"/>
            <w:vMerge w:val="continue"/>
            <w:vAlign w:val="center"/>
          </w:tcPr>
          <w:p>
            <w:pPr>
              <w:snapToGrid w:val="0"/>
              <w:spacing w:line="240" w:lineRule="auto"/>
              <w:jc w:val="center"/>
              <w:rPr>
                <w:rFonts w:ascii="宋体" w:hAnsi="宋体"/>
                <w:sz w:val="18"/>
                <w:szCs w:val="18"/>
              </w:rPr>
            </w:pPr>
          </w:p>
        </w:tc>
        <w:tc>
          <w:tcPr>
            <w:tcW w:w="2211" w:type="dxa"/>
            <w:vMerge w:val="continue"/>
            <w:vAlign w:val="center"/>
          </w:tcPr>
          <w:p>
            <w:pPr>
              <w:pStyle w:val="18"/>
              <w:jc w:val="both"/>
              <w:rPr>
                <w:rFonts w:hAnsi="宋体"/>
              </w:rPr>
            </w:pPr>
          </w:p>
        </w:tc>
        <w:tc>
          <w:tcPr>
            <w:tcW w:w="3260" w:type="dxa"/>
            <w:vAlign w:val="center"/>
          </w:tcPr>
          <w:p>
            <w:pPr>
              <w:snapToGrid w:val="0"/>
              <w:spacing w:line="240" w:lineRule="auto"/>
              <w:jc w:val="left"/>
              <w:rPr>
                <w:rFonts w:ascii="宋体" w:hAnsi="宋体"/>
                <w:sz w:val="18"/>
                <w:szCs w:val="18"/>
              </w:rPr>
            </w:pPr>
            <w:r>
              <w:rPr>
                <w:rFonts w:ascii="宋体" w:hAnsi="宋体"/>
                <w:sz w:val="18"/>
                <w:szCs w:val="18"/>
              </w:rPr>
              <w:t>20</w:t>
            </w:r>
            <w:r>
              <w:rPr>
                <w:rFonts w:hint="eastAsia" w:ascii="宋体" w:hAnsi="宋体"/>
                <w:sz w:val="18"/>
                <w:szCs w:val="18"/>
              </w:rPr>
              <w:t>％啶虫脒</w:t>
            </w:r>
            <w:r>
              <w:rPr>
                <w:rFonts w:ascii="宋体" w:hAnsi="宋体"/>
                <w:sz w:val="18"/>
                <w:szCs w:val="18"/>
              </w:rPr>
              <w:t>10 000</w:t>
            </w:r>
            <w:r>
              <w:rPr>
                <w:rFonts w:hint="eastAsia" w:ascii="宋体" w:hAnsi="宋体"/>
                <w:sz w:val="18"/>
                <w:szCs w:val="18"/>
              </w:rPr>
              <w:t>倍～</w:t>
            </w:r>
            <w:r>
              <w:rPr>
                <w:rFonts w:ascii="宋体" w:hAnsi="宋体"/>
                <w:sz w:val="18"/>
                <w:szCs w:val="18"/>
              </w:rPr>
              <w:t>20 000</w:t>
            </w:r>
            <w:r>
              <w:rPr>
                <w:rFonts w:hint="eastAsia" w:ascii="宋体" w:hAnsi="宋体"/>
                <w:sz w:val="18"/>
                <w:szCs w:val="18"/>
              </w:rPr>
              <w:t>倍液</w:t>
            </w:r>
          </w:p>
        </w:tc>
        <w:tc>
          <w:tcPr>
            <w:tcW w:w="1189" w:type="dxa"/>
            <w:vAlign w:val="center"/>
          </w:tcPr>
          <w:p>
            <w:pPr>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14</w:t>
            </w:r>
          </w:p>
        </w:tc>
        <w:tc>
          <w:tcPr>
            <w:tcW w:w="1437" w:type="dxa"/>
            <w:vMerge w:val="continue"/>
            <w:vAlign w:val="center"/>
          </w:tcPr>
          <w:p>
            <w:pPr>
              <w:snapToGrid w:val="0"/>
              <w:spacing w:line="240" w:lineRule="auto"/>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410" w:type="dxa"/>
            <w:vAlign w:val="center"/>
          </w:tcPr>
          <w:p>
            <w:pPr>
              <w:snapToGrid w:val="0"/>
              <w:spacing w:line="240" w:lineRule="auto"/>
              <w:jc w:val="center"/>
              <w:rPr>
                <w:rFonts w:ascii="宋体" w:hAnsi="宋体"/>
                <w:sz w:val="18"/>
                <w:szCs w:val="18"/>
              </w:rPr>
            </w:pPr>
            <w:r>
              <w:rPr>
                <w:rFonts w:hint="eastAsia" w:ascii="宋体" w:hAnsi="宋体"/>
                <w:sz w:val="18"/>
                <w:szCs w:val="18"/>
              </w:rPr>
              <w:t>蚧壳虫</w:t>
            </w:r>
          </w:p>
          <w:p>
            <w:pPr>
              <w:snapToGrid w:val="0"/>
              <w:spacing w:line="240" w:lineRule="auto"/>
              <w:jc w:val="center"/>
              <w:rPr>
                <w:rFonts w:ascii="宋体" w:hAnsi="宋体"/>
                <w:sz w:val="18"/>
                <w:szCs w:val="18"/>
              </w:rPr>
            </w:pPr>
            <w:r>
              <w:rPr>
                <w:rFonts w:hint="eastAsia" w:ascii="宋体" w:hAnsi="宋体"/>
                <w:sz w:val="18"/>
                <w:szCs w:val="18"/>
              </w:rPr>
              <w:t>（长白蚧、黄圆蚧、矢尖蚧）</w:t>
            </w:r>
          </w:p>
        </w:tc>
        <w:tc>
          <w:tcPr>
            <w:tcW w:w="2211" w:type="dxa"/>
            <w:vAlign w:val="center"/>
          </w:tcPr>
          <w:p>
            <w:pPr>
              <w:snapToGrid w:val="0"/>
              <w:spacing w:line="240" w:lineRule="auto"/>
              <w:rPr>
                <w:rFonts w:ascii="宋体" w:hAnsi="宋体"/>
                <w:sz w:val="18"/>
                <w:szCs w:val="18"/>
              </w:rPr>
            </w:pPr>
            <w:r>
              <w:rPr>
                <w:rFonts w:hint="eastAsia" w:ascii="宋体" w:hAnsi="宋体"/>
                <w:sz w:val="18"/>
                <w:szCs w:val="18"/>
              </w:rPr>
              <w:t>5月中下旬第一代若虫</w:t>
            </w:r>
            <w:r>
              <w:rPr>
                <w:rFonts w:hint="eastAsia"/>
                <w:sz w:val="18"/>
                <w:szCs w:val="18"/>
              </w:rPr>
              <w:t>孵化高峰期</w:t>
            </w:r>
            <w:r>
              <w:rPr>
                <w:rFonts w:hint="eastAsia" w:ascii="宋体" w:hAnsi="宋体"/>
                <w:sz w:val="18"/>
                <w:szCs w:val="18"/>
              </w:rPr>
              <w:t>，</w:t>
            </w:r>
            <w:r>
              <w:rPr>
                <w:rFonts w:hint="eastAsia"/>
                <w:sz w:val="18"/>
                <w:szCs w:val="18"/>
              </w:rPr>
              <w:t>是全年防治的关键时期</w:t>
            </w:r>
            <w:r>
              <w:rPr>
                <w:rFonts w:hint="eastAsia" w:ascii="宋体" w:hAnsi="宋体"/>
                <w:sz w:val="18"/>
                <w:szCs w:val="18"/>
              </w:rPr>
              <w:t>，或有越冬雌成虫的秋梢叶达10％以上</w:t>
            </w:r>
          </w:p>
        </w:tc>
        <w:tc>
          <w:tcPr>
            <w:tcW w:w="3260" w:type="dxa"/>
            <w:vAlign w:val="center"/>
          </w:tcPr>
          <w:p>
            <w:pPr>
              <w:snapToGrid w:val="0"/>
              <w:spacing w:line="240" w:lineRule="auto"/>
              <w:rPr>
                <w:rFonts w:ascii="宋体" w:hAnsi="宋体"/>
                <w:sz w:val="18"/>
                <w:szCs w:val="18"/>
              </w:rPr>
            </w:pPr>
            <w:r>
              <w:rPr>
                <w:rFonts w:hint="eastAsia" w:ascii="宋体" w:hAnsi="宋体"/>
                <w:sz w:val="18"/>
                <w:szCs w:val="18"/>
              </w:rPr>
              <w:t>萌芽前</w:t>
            </w:r>
            <w:r>
              <w:rPr>
                <w:rFonts w:hint="eastAsia" w:ascii="宋体" w:hAnsi="宋体"/>
                <w:sz w:val="18"/>
                <w:szCs w:val="18"/>
                <w:lang w:val="en-US" w:eastAsia="zh-CN"/>
              </w:rPr>
              <w:t>或</w:t>
            </w:r>
            <w:r>
              <w:rPr>
                <w:rFonts w:hint="eastAsia" w:ascii="宋体" w:hAnsi="宋体"/>
                <w:sz w:val="18"/>
                <w:szCs w:val="18"/>
              </w:rPr>
              <w:t>冬春季清园30％松脂酸钠300倍液全园喷施；</w:t>
            </w:r>
            <w:r>
              <w:rPr>
                <w:rFonts w:ascii="宋体" w:hAnsi="宋体"/>
                <w:sz w:val="18"/>
                <w:szCs w:val="18"/>
              </w:rPr>
              <w:t>5</w:t>
            </w:r>
            <w:r>
              <w:rPr>
                <w:rFonts w:hint="eastAsia" w:ascii="宋体" w:hAnsi="宋体"/>
                <w:sz w:val="18"/>
                <w:szCs w:val="18"/>
              </w:rPr>
              <w:t>月～9月使用22.4％螺虫乙酯3</w:t>
            </w:r>
            <w:r>
              <w:rPr>
                <w:rFonts w:ascii="宋体" w:hAnsi="宋体"/>
                <w:sz w:val="18"/>
                <w:szCs w:val="18"/>
              </w:rPr>
              <w:t xml:space="preserve"> 000</w:t>
            </w:r>
            <w:r>
              <w:rPr>
                <w:rFonts w:hint="eastAsia" w:ascii="宋体" w:hAnsi="宋体"/>
                <w:sz w:val="18"/>
                <w:szCs w:val="18"/>
              </w:rPr>
              <w:t>倍～</w:t>
            </w:r>
            <w:r>
              <w:rPr>
                <w:rFonts w:ascii="宋体" w:hAnsi="宋体"/>
                <w:sz w:val="18"/>
                <w:szCs w:val="18"/>
              </w:rPr>
              <w:t>4 000</w:t>
            </w:r>
            <w:r>
              <w:rPr>
                <w:rFonts w:hint="eastAsia" w:ascii="宋体" w:hAnsi="宋体"/>
                <w:sz w:val="18"/>
                <w:szCs w:val="18"/>
              </w:rPr>
              <w:t>倍液喷雾或</w:t>
            </w:r>
            <w:r>
              <w:rPr>
                <w:rFonts w:ascii="宋体" w:hAnsi="宋体"/>
                <w:sz w:val="18"/>
                <w:szCs w:val="18"/>
              </w:rPr>
              <w:t>99</w:t>
            </w:r>
            <w:r>
              <w:rPr>
                <w:rFonts w:hint="eastAsia" w:ascii="宋体" w:hAnsi="宋体"/>
                <w:sz w:val="18"/>
                <w:szCs w:val="18"/>
              </w:rPr>
              <w:t>％</w:t>
            </w:r>
            <w:r>
              <w:rPr>
                <w:rFonts w:ascii="宋体" w:hAnsi="宋体"/>
                <w:sz w:val="18"/>
                <w:szCs w:val="18"/>
              </w:rPr>
              <w:t>矿物油200倍</w:t>
            </w:r>
            <w:r>
              <w:rPr>
                <w:rFonts w:hint="eastAsia" w:ascii="宋体" w:hAnsi="宋体"/>
                <w:sz w:val="18"/>
                <w:szCs w:val="18"/>
              </w:rPr>
              <w:t>～3</w:t>
            </w:r>
            <w:r>
              <w:rPr>
                <w:rFonts w:ascii="宋体" w:hAnsi="宋体"/>
                <w:sz w:val="18"/>
                <w:szCs w:val="18"/>
              </w:rPr>
              <w:t>00</w:t>
            </w:r>
            <w:r>
              <w:rPr>
                <w:rFonts w:hint="eastAsia" w:ascii="宋体" w:hAnsi="宋体"/>
                <w:sz w:val="18"/>
                <w:szCs w:val="18"/>
              </w:rPr>
              <w:t>倍</w:t>
            </w:r>
            <w:r>
              <w:rPr>
                <w:rFonts w:ascii="宋体" w:hAnsi="宋体"/>
                <w:sz w:val="18"/>
                <w:szCs w:val="18"/>
              </w:rPr>
              <w:t>，或噻嗪酮1 000倍，冬季清园99</w:t>
            </w:r>
            <w:r>
              <w:rPr>
                <w:rFonts w:hint="eastAsia" w:ascii="宋体" w:hAnsi="宋体"/>
                <w:sz w:val="18"/>
                <w:szCs w:val="18"/>
              </w:rPr>
              <w:t>％</w:t>
            </w:r>
            <w:r>
              <w:rPr>
                <w:rFonts w:ascii="宋体" w:hAnsi="宋体"/>
                <w:sz w:val="18"/>
                <w:szCs w:val="18"/>
              </w:rPr>
              <w:t>矿物油200倍</w:t>
            </w:r>
          </w:p>
        </w:tc>
        <w:tc>
          <w:tcPr>
            <w:tcW w:w="1189" w:type="dxa"/>
            <w:vAlign w:val="center"/>
          </w:tcPr>
          <w:p>
            <w:pPr>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20</w:t>
            </w:r>
          </w:p>
        </w:tc>
        <w:tc>
          <w:tcPr>
            <w:tcW w:w="1437" w:type="dxa"/>
            <w:vAlign w:val="center"/>
          </w:tcPr>
          <w:p>
            <w:pPr>
              <w:pStyle w:val="19"/>
              <w:spacing w:line="240" w:lineRule="auto"/>
              <w:jc w:val="both"/>
              <w:rPr>
                <w:rFonts w:ascii="宋体" w:hAnsi="宋体"/>
              </w:rPr>
            </w:pPr>
            <w:r>
              <w:rPr>
                <w:rFonts w:hint="eastAsia" w:ascii="宋体" w:hAnsi="宋体"/>
              </w:rPr>
              <w:t>蚧壳虫</w:t>
            </w:r>
            <w:r>
              <w:rPr>
                <w:rFonts w:hint="eastAsia" w:hAnsi="宋体"/>
              </w:rPr>
              <w:t>和</w:t>
            </w:r>
            <w:r>
              <w:rPr>
                <w:rFonts w:hint="eastAsia" w:ascii="宋体" w:hAnsi="宋体"/>
              </w:rPr>
              <w:t>黑刺粉虱</w:t>
            </w:r>
            <w:r>
              <w:rPr>
                <w:rFonts w:hint="eastAsia" w:hAnsi="宋体"/>
              </w:rPr>
              <w:t>可同时兼治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410" w:type="dxa"/>
            <w:vAlign w:val="center"/>
          </w:tcPr>
          <w:p>
            <w:pPr>
              <w:snapToGrid w:val="0"/>
              <w:spacing w:line="240" w:lineRule="auto"/>
              <w:jc w:val="center"/>
              <w:rPr>
                <w:rFonts w:ascii="宋体" w:hAnsi="宋体"/>
                <w:sz w:val="18"/>
                <w:szCs w:val="18"/>
              </w:rPr>
            </w:pPr>
            <w:r>
              <w:rPr>
                <w:rFonts w:hint="eastAsia" w:ascii="宋体" w:hAnsi="宋体"/>
                <w:sz w:val="18"/>
                <w:szCs w:val="18"/>
              </w:rPr>
              <w:t>红蜡蚧</w:t>
            </w:r>
          </w:p>
        </w:tc>
        <w:tc>
          <w:tcPr>
            <w:tcW w:w="2211" w:type="dxa"/>
            <w:vAlign w:val="center"/>
          </w:tcPr>
          <w:p>
            <w:pPr>
              <w:snapToGrid w:val="0"/>
              <w:spacing w:line="240" w:lineRule="auto"/>
              <w:rPr>
                <w:rFonts w:ascii="宋体" w:hAnsi="宋体"/>
                <w:sz w:val="18"/>
                <w:szCs w:val="18"/>
              </w:rPr>
            </w:pPr>
            <w:r>
              <w:rPr>
                <w:rFonts w:hint="eastAsia" w:ascii="宋体" w:hAnsi="宋体"/>
                <w:sz w:val="18"/>
                <w:szCs w:val="18"/>
              </w:rPr>
              <w:t>一年1代，6月中旬～7月上旬</w:t>
            </w:r>
            <w:r>
              <w:rPr>
                <w:rFonts w:hint="eastAsia"/>
                <w:sz w:val="18"/>
                <w:szCs w:val="18"/>
              </w:rPr>
              <w:t>是全年防治的关键时期</w:t>
            </w:r>
          </w:p>
        </w:tc>
        <w:tc>
          <w:tcPr>
            <w:tcW w:w="3260" w:type="dxa"/>
            <w:vAlign w:val="center"/>
          </w:tcPr>
          <w:p>
            <w:pPr>
              <w:snapToGrid w:val="0"/>
              <w:spacing w:line="240" w:lineRule="auto"/>
              <w:rPr>
                <w:rFonts w:ascii="宋体" w:hAnsi="宋体"/>
                <w:sz w:val="18"/>
                <w:szCs w:val="18"/>
              </w:rPr>
            </w:pPr>
            <w:r>
              <w:rPr>
                <w:rFonts w:hint="eastAsia" w:ascii="宋体" w:hAnsi="宋体"/>
                <w:sz w:val="18"/>
                <w:szCs w:val="18"/>
              </w:rPr>
              <w:t>萌芽前</w:t>
            </w:r>
            <w:r>
              <w:rPr>
                <w:rFonts w:hint="eastAsia" w:ascii="宋体" w:hAnsi="宋体"/>
                <w:sz w:val="18"/>
                <w:szCs w:val="18"/>
                <w:lang w:val="en-US" w:eastAsia="zh-CN"/>
              </w:rPr>
              <w:t>或</w:t>
            </w:r>
            <w:r>
              <w:rPr>
                <w:rFonts w:hint="eastAsia" w:ascii="宋体" w:hAnsi="宋体"/>
                <w:sz w:val="18"/>
                <w:szCs w:val="18"/>
              </w:rPr>
              <w:t>冬春季清园30％松脂酸钠300倍液全园喷施；6月～7月使用2</w:t>
            </w:r>
            <w:r>
              <w:rPr>
                <w:rFonts w:ascii="宋体" w:hAnsi="宋体"/>
                <w:sz w:val="18"/>
                <w:szCs w:val="18"/>
              </w:rPr>
              <w:t>2.4</w:t>
            </w:r>
            <w:r>
              <w:rPr>
                <w:rFonts w:hint="eastAsia" w:ascii="宋体" w:hAnsi="宋体"/>
                <w:sz w:val="18"/>
                <w:szCs w:val="18"/>
              </w:rPr>
              <w:t>％螺虫乙酯3</w:t>
            </w:r>
            <w:r>
              <w:rPr>
                <w:rFonts w:ascii="宋体" w:hAnsi="宋体"/>
                <w:sz w:val="18"/>
                <w:szCs w:val="18"/>
              </w:rPr>
              <w:t xml:space="preserve"> 000</w:t>
            </w:r>
            <w:r>
              <w:rPr>
                <w:rFonts w:hint="eastAsia" w:ascii="宋体" w:hAnsi="宋体"/>
                <w:sz w:val="18"/>
                <w:szCs w:val="18"/>
              </w:rPr>
              <w:t>倍～</w:t>
            </w:r>
            <w:r>
              <w:rPr>
                <w:rFonts w:ascii="宋体" w:hAnsi="宋体"/>
                <w:sz w:val="18"/>
                <w:szCs w:val="18"/>
              </w:rPr>
              <w:t>4 000</w:t>
            </w:r>
            <w:r>
              <w:rPr>
                <w:rFonts w:hint="eastAsia" w:ascii="宋体" w:hAnsi="宋体"/>
                <w:sz w:val="18"/>
                <w:szCs w:val="18"/>
              </w:rPr>
              <w:t>倍液喷雾</w:t>
            </w:r>
          </w:p>
        </w:tc>
        <w:tc>
          <w:tcPr>
            <w:tcW w:w="1189" w:type="dxa"/>
            <w:vAlign w:val="center"/>
          </w:tcPr>
          <w:p>
            <w:pPr>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20</w:t>
            </w:r>
          </w:p>
        </w:tc>
        <w:tc>
          <w:tcPr>
            <w:tcW w:w="1437" w:type="dxa"/>
            <w:vAlign w:val="center"/>
          </w:tcPr>
          <w:p>
            <w:pPr>
              <w:pStyle w:val="19"/>
              <w:spacing w:line="240" w:lineRule="auto"/>
              <w:jc w:val="both"/>
              <w:rPr>
                <w:rFonts w:ascii="宋体" w:hAnsi="宋体"/>
              </w:rPr>
            </w:pPr>
            <w:r>
              <w:rPr>
                <w:rFonts w:ascii="宋体" w:hAnsi="宋体"/>
              </w:rPr>
              <w:t>为害严重</w:t>
            </w:r>
            <w:r>
              <w:rPr>
                <w:rFonts w:hint="eastAsia" w:ascii="宋体" w:hAnsi="宋体"/>
              </w:rPr>
              <w:t>果园</w:t>
            </w:r>
            <w:r>
              <w:rPr>
                <w:rFonts w:ascii="宋体" w:hAnsi="宋体"/>
              </w:rPr>
              <w:t>于</w:t>
            </w:r>
            <w:r>
              <w:rPr>
                <w:rFonts w:hint="eastAsia" w:ascii="宋体" w:hAnsi="宋体"/>
              </w:rPr>
              <w:t>6月中旬、7月上旬防治二次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410" w:type="dxa"/>
            <w:vAlign w:val="center"/>
          </w:tcPr>
          <w:p>
            <w:pPr>
              <w:snapToGrid w:val="0"/>
              <w:spacing w:line="240" w:lineRule="auto"/>
              <w:jc w:val="center"/>
              <w:rPr>
                <w:rFonts w:ascii="宋体" w:hAnsi="宋体"/>
                <w:sz w:val="18"/>
                <w:szCs w:val="18"/>
              </w:rPr>
            </w:pPr>
            <w:r>
              <w:rPr>
                <w:rFonts w:hint="eastAsia" w:ascii="宋体" w:hAnsi="宋体"/>
                <w:sz w:val="18"/>
                <w:szCs w:val="18"/>
              </w:rPr>
              <w:t>黑刺粉虱</w:t>
            </w:r>
          </w:p>
        </w:tc>
        <w:tc>
          <w:tcPr>
            <w:tcW w:w="2211" w:type="dxa"/>
            <w:vAlign w:val="center"/>
          </w:tcPr>
          <w:p>
            <w:pPr>
              <w:snapToGrid w:val="0"/>
              <w:spacing w:line="240" w:lineRule="auto"/>
              <w:rPr>
                <w:rFonts w:ascii="宋体" w:hAnsi="宋体"/>
                <w:sz w:val="18"/>
                <w:szCs w:val="18"/>
              </w:rPr>
            </w:pPr>
            <w:r>
              <w:rPr>
                <w:rFonts w:hint="eastAsia" w:ascii="宋体" w:hAnsi="宋体"/>
                <w:sz w:val="18"/>
                <w:szCs w:val="18"/>
              </w:rPr>
              <w:t>6月上旬第一代若虫</w:t>
            </w:r>
            <w:r>
              <w:rPr>
                <w:rFonts w:hint="eastAsia"/>
                <w:sz w:val="18"/>
                <w:szCs w:val="18"/>
              </w:rPr>
              <w:t>孵化高峰期</w:t>
            </w:r>
            <w:r>
              <w:rPr>
                <w:rFonts w:hint="eastAsia" w:ascii="宋体" w:hAnsi="宋体"/>
                <w:sz w:val="18"/>
                <w:szCs w:val="18"/>
              </w:rPr>
              <w:t>，</w:t>
            </w:r>
            <w:r>
              <w:rPr>
                <w:rFonts w:hint="eastAsia"/>
                <w:sz w:val="18"/>
                <w:szCs w:val="18"/>
              </w:rPr>
              <w:t>是全年防治的关键时期</w:t>
            </w:r>
          </w:p>
        </w:tc>
        <w:tc>
          <w:tcPr>
            <w:tcW w:w="3260" w:type="dxa"/>
            <w:vAlign w:val="center"/>
          </w:tcPr>
          <w:p>
            <w:pPr>
              <w:snapToGrid w:val="0"/>
              <w:spacing w:line="240" w:lineRule="auto"/>
              <w:rPr>
                <w:rFonts w:ascii="宋体" w:hAnsi="宋体"/>
                <w:sz w:val="18"/>
                <w:szCs w:val="18"/>
              </w:rPr>
            </w:pPr>
            <w:r>
              <w:rPr>
                <w:rFonts w:hint="eastAsia" w:ascii="宋体" w:hAnsi="宋体"/>
                <w:sz w:val="18"/>
                <w:szCs w:val="18"/>
              </w:rPr>
              <w:t>萌芽前</w:t>
            </w:r>
            <w:r>
              <w:rPr>
                <w:rFonts w:hint="eastAsia" w:ascii="宋体" w:hAnsi="宋体"/>
                <w:sz w:val="18"/>
                <w:szCs w:val="18"/>
                <w:lang w:val="en-US" w:eastAsia="zh-CN"/>
              </w:rPr>
              <w:t>或</w:t>
            </w:r>
            <w:r>
              <w:rPr>
                <w:rFonts w:hint="eastAsia" w:ascii="宋体" w:hAnsi="宋体"/>
                <w:sz w:val="18"/>
                <w:szCs w:val="18"/>
              </w:rPr>
              <w:t>冬春季清园30％松脂酸钠300倍液全园喷施；6月～10月使用2</w:t>
            </w:r>
            <w:r>
              <w:rPr>
                <w:rFonts w:ascii="宋体" w:hAnsi="宋体"/>
                <w:sz w:val="18"/>
                <w:szCs w:val="18"/>
              </w:rPr>
              <w:t>2.4</w:t>
            </w:r>
            <w:r>
              <w:rPr>
                <w:rFonts w:hint="eastAsia" w:ascii="宋体" w:hAnsi="宋体"/>
                <w:sz w:val="18"/>
                <w:szCs w:val="18"/>
              </w:rPr>
              <w:t>％螺虫乙酯3</w:t>
            </w:r>
            <w:r>
              <w:rPr>
                <w:rFonts w:ascii="宋体" w:hAnsi="宋体"/>
                <w:sz w:val="18"/>
                <w:szCs w:val="18"/>
              </w:rPr>
              <w:t xml:space="preserve"> 000</w:t>
            </w:r>
            <w:r>
              <w:rPr>
                <w:rFonts w:hint="eastAsia" w:ascii="宋体" w:hAnsi="宋体"/>
                <w:sz w:val="18"/>
                <w:szCs w:val="18"/>
              </w:rPr>
              <w:t>倍～</w:t>
            </w:r>
            <w:r>
              <w:rPr>
                <w:rFonts w:ascii="宋体" w:hAnsi="宋体"/>
                <w:sz w:val="18"/>
                <w:szCs w:val="18"/>
              </w:rPr>
              <w:t>4 000</w:t>
            </w:r>
            <w:r>
              <w:rPr>
                <w:rFonts w:hint="eastAsia" w:ascii="宋体" w:hAnsi="宋体"/>
                <w:sz w:val="18"/>
                <w:szCs w:val="18"/>
              </w:rPr>
              <w:t>倍液喷雾</w:t>
            </w:r>
          </w:p>
        </w:tc>
        <w:tc>
          <w:tcPr>
            <w:tcW w:w="1189" w:type="dxa"/>
            <w:vAlign w:val="center"/>
          </w:tcPr>
          <w:p>
            <w:pPr>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20</w:t>
            </w:r>
          </w:p>
        </w:tc>
        <w:tc>
          <w:tcPr>
            <w:tcW w:w="1437" w:type="dxa"/>
            <w:vAlign w:val="center"/>
          </w:tcPr>
          <w:p>
            <w:pPr>
              <w:pStyle w:val="19"/>
              <w:spacing w:line="240" w:lineRule="auto"/>
              <w:jc w:val="both"/>
              <w:rPr>
                <w:rFonts w:ascii="宋体" w:hAnsi="宋体"/>
              </w:rPr>
            </w:pPr>
            <w:r>
              <w:rPr>
                <w:rFonts w:hint="eastAsia" w:ascii="宋体" w:hAnsi="宋体"/>
              </w:rPr>
              <w:t>黑刺粉虱和蚧壳虫可同时兼治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10" w:type="dxa"/>
            <w:vMerge w:val="restart"/>
            <w:vAlign w:val="center"/>
          </w:tcPr>
          <w:p>
            <w:pPr>
              <w:pStyle w:val="62"/>
              <w:snapToGrid w:val="0"/>
              <w:ind w:firstLine="0" w:firstLineChars="0"/>
              <w:jc w:val="center"/>
              <w:rPr>
                <w:sz w:val="18"/>
                <w:szCs w:val="18"/>
              </w:rPr>
            </w:pPr>
            <w:r>
              <w:rPr>
                <w:rFonts w:hint="eastAsia"/>
                <w:sz w:val="18"/>
                <w:szCs w:val="18"/>
              </w:rPr>
              <w:t>潜叶蛾</w:t>
            </w:r>
          </w:p>
        </w:tc>
        <w:tc>
          <w:tcPr>
            <w:tcW w:w="2211" w:type="dxa"/>
            <w:vMerge w:val="restart"/>
            <w:vAlign w:val="center"/>
          </w:tcPr>
          <w:p>
            <w:pPr>
              <w:pStyle w:val="62"/>
              <w:snapToGrid w:val="0"/>
              <w:ind w:firstLine="0" w:firstLineChars="0"/>
              <w:rPr>
                <w:rFonts w:hAnsi="Calibri"/>
                <w:kern w:val="2"/>
                <w:sz w:val="18"/>
                <w:szCs w:val="18"/>
              </w:rPr>
            </w:pPr>
            <w:r>
              <w:rPr>
                <w:rFonts w:hint="eastAsia" w:hAnsi="宋体"/>
                <w:sz w:val="18"/>
                <w:szCs w:val="18"/>
              </w:rPr>
              <w:t>多数新梢嫩芽长0</w:t>
            </w:r>
            <w:r>
              <w:rPr>
                <w:rFonts w:hAnsi="宋体"/>
                <w:sz w:val="18"/>
                <w:szCs w:val="18"/>
              </w:rPr>
              <w:t xml:space="preserve">.5 </w:t>
            </w:r>
            <w:r>
              <w:rPr>
                <w:rFonts w:hint="eastAsia" w:hAnsi="宋体"/>
                <w:sz w:val="18"/>
                <w:szCs w:val="18"/>
              </w:rPr>
              <w:t>cm～2c</w:t>
            </w:r>
            <w:r>
              <w:rPr>
                <w:rFonts w:hAnsi="宋体"/>
                <w:sz w:val="18"/>
                <w:szCs w:val="18"/>
              </w:rPr>
              <w:t>m</w:t>
            </w:r>
            <w:r>
              <w:rPr>
                <w:rFonts w:hint="eastAsia" w:hAnsi="宋体"/>
                <w:sz w:val="18"/>
                <w:szCs w:val="18"/>
              </w:rPr>
              <w:t>时喷药</w:t>
            </w:r>
          </w:p>
        </w:tc>
        <w:tc>
          <w:tcPr>
            <w:tcW w:w="3260" w:type="dxa"/>
            <w:vAlign w:val="center"/>
          </w:tcPr>
          <w:p>
            <w:pPr>
              <w:pStyle w:val="62"/>
              <w:snapToGrid w:val="0"/>
              <w:ind w:firstLine="0" w:firstLineChars="0"/>
              <w:rPr>
                <w:rFonts w:hAnsi="Calibri"/>
                <w:kern w:val="2"/>
                <w:sz w:val="18"/>
                <w:szCs w:val="18"/>
              </w:rPr>
            </w:pPr>
            <w:r>
              <w:rPr>
                <w:sz w:val="18"/>
                <w:szCs w:val="18"/>
              </w:rPr>
              <w:t>20</w:t>
            </w:r>
            <w:r>
              <w:rPr>
                <w:rFonts w:hint="eastAsia"/>
                <w:sz w:val="18"/>
                <w:szCs w:val="18"/>
              </w:rPr>
              <w:t>％啶虫脒12</w:t>
            </w:r>
            <w:r>
              <w:rPr>
                <w:sz w:val="18"/>
                <w:szCs w:val="18"/>
              </w:rPr>
              <w:t xml:space="preserve"> </w:t>
            </w:r>
            <w:r>
              <w:rPr>
                <w:rFonts w:hint="eastAsia"/>
                <w:sz w:val="18"/>
                <w:szCs w:val="18"/>
              </w:rPr>
              <w:t>000</w:t>
            </w:r>
            <w:r>
              <w:rPr>
                <w:rFonts w:hint="eastAsia" w:hAnsi="宋体"/>
                <w:sz w:val="18"/>
                <w:szCs w:val="18"/>
              </w:rPr>
              <w:t>倍</w:t>
            </w:r>
            <w:r>
              <w:rPr>
                <w:rFonts w:hint="eastAsia" w:hAnsi="宋体"/>
              </w:rPr>
              <w:t>～</w:t>
            </w:r>
            <w:r>
              <w:rPr>
                <w:rFonts w:hint="eastAsia"/>
                <w:sz w:val="18"/>
                <w:szCs w:val="18"/>
              </w:rPr>
              <w:t>16</w:t>
            </w:r>
            <w:r>
              <w:rPr>
                <w:sz w:val="18"/>
                <w:szCs w:val="18"/>
              </w:rPr>
              <w:t xml:space="preserve"> </w:t>
            </w:r>
            <w:r>
              <w:rPr>
                <w:rFonts w:hint="eastAsia"/>
                <w:sz w:val="18"/>
                <w:szCs w:val="18"/>
              </w:rPr>
              <w:t>000倍液</w:t>
            </w:r>
          </w:p>
        </w:tc>
        <w:tc>
          <w:tcPr>
            <w:tcW w:w="1189" w:type="dxa"/>
            <w:vAlign w:val="center"/>
          </w:tcPr>
          <w:p>
            <w:pPr>
              <w:pStyle w:val="62"/>
              <w:snapToGrid w:val="0"/>
              <w:ind w:firstLine="0" w:firstLineChars="0"/>
              <w:jc w:val="center"/>
              <w:rPr>
                <w:rFonts w:hAnsi="Calibri"/>
                <w:kern w:val="2"/>
                <w:sz w:val="18"/>
                <w:szCs w:val="18"/>
              </w:rPr>
            </w:pPr>
            <w:r>
              <w:rPr>
                <w:rFonts w:hint="eastAsia"/>
                <w:sz w:val="18"/>
                <w:szCs w:val="18"/>
              </w:rPr>
              <w:t>≥</w:t>
            </w:r>
            <w:r>
              <w:rPr>
                <w:sz w:val="18"/>
                <w:szCs w:val="18"/>
              </w:rPr>
              <w:t>14</w:t>
            </w:r>
          </w:p>
        </w:tc>
        <w:tc>
          <w:tcPr>
            <w:tcW w:w="1437" w:type="dxa"/>
            <w:vMerge w:val="restart"/>
            <w:vAlign w:val="center"/>
          </w:tcPr>
          <w:p>
            <w:pPr>
              <w:pStyle w:val="62"/>
              <w:snapToGrid w:val="0"/>
              <w:ind w:firstLine="0" w:firstLineChars="0"/>
              <w:rPr>
                <w:rFonts w:hAnsi="Calibri"/>
                <w:kern w:val="2"/>
                <w:sz w:val="18"/>
                <w:szCs w:val="18"/>
              </w:rPr>
            </w:pPr>
            <w:r>
              <w:rPr>
                <w:rFonts w:hint="eastAsia"/>
                <w:sz w:val="18"/>
                <w:szCs w:val="18"/>
              </w:rPr>
              <w:t>肥水控制，促使新梢抽发整齐，抹除过早和过晚抽发不整齐的夏、秋梢，以利施药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10" w:type="dxa"/>
            <w:vMerge w:val="continue"/>
            <w:vAlign w:val="center"/>
          </w:tcPr>
          <w:p>
            <w:pPr>
              <w:pStyle w:val="62"/>
              <w:snapToGrid w:val="0"/>
              <w:ind w:firstLine="0" w:firstLineChars="0"/>
              <w:jc w:val="center"/>
              <w:rPr>
                <w:rFonts w:hAnsi="Calibri"/>
                <w:kern w:val="2"/>
                <w:sz w:val="18"/>
                <w:szCs w:val="18"/>
              </w:rPr>
            </w:pPr>
          </w:p>
        </w:tc>
        <w:tc>
          <w:tcPr>
            <w:tcW w:w="2211" w:type="dxa"/>
            <w:vMerge w:val="continue"/>
            <w:vAlign w:val="center"/>
          </w:tcPr>
          <w:p>
            <w:pPr>
              <w:pStyle w:val="62"/>
              <w:snapToGrid w:val="0"/>
              <w:ind w:firstLine="0" w:firstLineChars="0"/>
              <w:rPr>
                <w:sz w:val="18"/>
                <w:szCs w:val="18"/>
              </w:rPr>
            </w:pPr>
          </w:p>
        </w:tc>
        <w:tc>
          <w:tcPr>
            <w:tcW w:w="3260" w:type="dxa"/>
            <w:vAlign w:val="center"/>
          </w:tcPr>
          <w:p>
            <w:pPr>
              <w:pStyle w:val="62"/>
              <w:snapToGrid w:val="0"/>
              <w:ind w:firstLine="0" w:firstLineChars="0"/>
              <w:rPr>
                <w:rFonts w:hAnsi="Calibri"/>
                <w:kern w:val="2"/>
                <w:sz w:val="18"/>
                <w:szCs w:val="18"/>
              </w:rPr>
            </w:pPr>
            <w:r>
              <w:rPr>
                <w:rFonts w:hint="eastAsia"/>
                <w:sz w:val="18"/>
                <w:szCs w:val="18"/>
              </w:rPr>
              <w:t>2</w:t>
            </w:r>
            <w:r>
              <w:rPr>
                <w:sz w:val="18"/>
                <w:szCs w:val="18"/>
              </w:rPr>
              <w:t>5</w:t>
            </w:r>
            <w:r>
              <w:rPr>
                <w:rFonts w:hint="eastAsia"/>
                <w:sz w:val="18"/>
                <w:szCs w:val="18"/>
              </w:rPr>
              <w:t>％除虫脲2</w:t>
            </w:r>
            <w:r>
              <w:rPr>
                <w:sz w:val="18"/>
                <w:szCs w:val="18"/>
              </w:rPr>
              <w:t xml:space="preserve"> </w:t>
            </w:r>
            <w:r>
              <w:rPr>
                <w:rFonts w:hint="eastAsia"/>
                <w:sz w:val="18"/>
                <w:szCs w:val="18"/>
              </w:rPr>
              <w:t>000</w:t>
            </w:r>
            <w:r>
              <w:rPr>
                <w:rFonts w:hint="eastAsia" w:hAnsi="宋体"/>
                <w:sz w:val="18"/>
                <w:szCs w:val="18"/>
              </w:rPr>
              <w:t>倍</w:t>
            </w:r>
            <w:r>
              <w:rPr>
                <w:rFonts w:hint="eastAsia" w:hAnsi="宋体"/>
              </w:rPr>
              <w:t>～</w:t>
            </w:r>
            <w:r>
              <w:rPr>
                <w:rFonts w:hint="eastAsia"/>
                <w:sz w:val="18"/>
                <w:szCs w:val="18"/>
              </w:rPr>
              <w:t>4</w:t>
            </w:r>
            <w:r>
              <w:rPr>
                <w:sz w:val="18"/>
                <w:szCs w:val="18"/>
              </w:rPr>
              <w:t xml:space="preserve"> </w:t>
            </w:r>
            <w:r>
              <w:rPr>
                <w:rFonts w:hint="eastAsia"/>
                <w:sz w:val="18"/>
                <w:szCs w:val="18"/>
              </w:rPr>
              <w:t>000倍液</w:t>
            </w:r>
          </w:p>
        </w:tc>
        <w:tc>
          <w:tcPr>
            <w:tcW w:w="1189" w:type="dxa"/>
            <w:vAlign w:val="center"/>
          </w:tcPr>
          <w:p>
            <w:pPr>
              <w:pStyle w:val="62"/>
              <w:snapToGrid w:val="0"/>
              <w:ind w:firstLine="0" w:firstLineChars="0"/>
              <w:jc w:val="center"/>
              <w:rPr>
                <w:rFonts w:hAnsi="Calibri"/>
                <w:kern w:val="2"/>
                <w:sz w:val="18"/>
                <w:szCs w:val="18"/>
              </w:rPr>
            </w:pPr>
            <w:r>
              <w:rPr>
                <w:rFonts w:hint="eastAsia"/>
                <w:sz w:val="18"/>
                <w:szCs w:val="18"/>
              </w:rPr>
              <w:t>≥</w:t>
            </w:r>
            <w:r>
              <w:rPr>
                <w:sz w:val="18"/>
                <w:szCs w:val="18"/>
              </w:rPr>
              <w:t>35</w:t>
            </w:r>
          </w:p>
        </w:tc>
        <w:tc>
          <w:tcPr>
            <w:tcW w:w="1437" w:type="dxa"/>
            <w:vMerge w:val="continue"/>
            <w:vAlign w:val="center"/>
          </w:tcPr>
          <w:p>
            <w:pPr>
              <w:pStyle w:val="62"/>
              <w:snapToGrid w:val="0"/>
              <w:ind w:firstLine="0" w:firstLineChars="0"/>
              <w:rPr>
                <w:rFonts w:hAnsi="Calibri"/>
                <w:kern w:val="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10" w:type="dxa"/>
            <w:vMerge w:val="continue"/>
            <w:vAlign w:val="center"/>
          </w:tcPr>
          <w:p>
            <w:pPr>
              <w:pStyle w:val="62"/>
              <w:snapToGrid w:val="0"/>
              <w:ind w:firstLine="0" w:firstLineChars="0"/>
              <w:jc w:val="center"/>
              <w:rPr>
                <w:rFonts w:hAnsi="Calibri"/>
                <w:kern w:val="2"/>
                <w:sz w:val="18"/>
                <w:szCs w:val="18"/>
              </w:rPr>
            </w:pPr>
          </w:p>
        </w:tc>
        <w:tc>
          <w:tcPr>
            <w:tcW w:w="2211" w:type="dxa"/>
            <w:vMerge w:val="continue"/>
            <w:vAlign w:val="center"/>
          </w:tcPr>
          <w:p>
            <w:pPr>
              <w:pStyle w:val="62"/>
              <w:snapToGrid w:val="0"/>
              <w:ind w:firstLine="0" w:firstLineChars="0"/>
              <w:rPr>
                <w:rFonts w:hAnsi="Calibri"/>
                <w:kern w:val="2"/>
                <w:sz w:val="18"/>
                <w:szCs w:val="18"/>
              </w:rPr>
            </w:pPr>
          </w:p>
        </w:tc>
        <w:tc>
          <w:tcPr>
            <w:tcW w:w="3260" w:type="dxa"/>
            <w:vAlign w:val="center"/>
          </w:tcPr>
          <w:p>
            <w:pPr>
              <w:pStyle w:val="62"/>
              <w:snapToGrid w:val="0"/>
              <w:ind w:firstLine="0" w:firstLineChars="0"/>
              <w:rPr>
                <w:rFonts w:hAnsi="Calibri"/>
                <w:kern w:val="2"/>
                <w:sz w:val="18"/>
                <w:szCs w:val="18"/>
              </w:rPr>
            </w:pPr>
            <w:r>
              <w:rPr>
                <w:rFonts w:hint="eastAsia"/>
                <w:sz w:val="18"/>
                <w:szCs w:val="18"/>
              </w:rPr>
              <w:t>1</w:t>
            </w:r>
            <w:r>
              <w:rPr>
                <w:sz w:val="18"/>
                <w:szCs w:val="18"/>
              </w:rPr>
              <w:t>.8</w:t>
            </w:r>
            <w:r>
              <w:rPr>
                <w:rFonts w:hint="eastAsia"/>
                <w:sz w:val="18"/>
                <w:szCs w:val="18"/>
              </w:rPr>
              <w:t>％阿维菌素2</w:t>
            </w:r>
            <w:r>
              <w:rPr>
                <w:sz w:val="18"/>
                <w:szCs w:val="18"/>
              </w:rPr>
              <w:t xml:space="preserve"> </w:t>
            </w:r>
            <w:r>
              <w:rPr>
                <w:rFonts w:hint="eastAsia"/>
                <w:sz w:val="18"/>
                <w:szCs w:val="18"/>
              </w:rPr>
              <w:t>000</w:t>
            </w:r>
            <w:r>
              <w:rPr>
                <w:rFonts w:hint="eastAsia" w:hAnsi="宋体"/>
                <w:sz w:val="18"/>
                <w:szCs w:val="18"/>
              </w:rPr>
              <w:t>倍</w:t>
            </w:r>
            <w:r>
              <w:rPr>
                <w:rFonts w:hint="eastAsia" w:hAnsi="宋体"/>
              </w:rPr>
              <w:t>～</w:t>
            </w:r>
            <w:r>
              <w:rPr>
                <w:rFonts w:hint="eastAsia"/>
                <w:sz w:val="18"/>
                <w:szCs w:val="18"/>
              </w:rPr>
              <w:t>4</w:t>
            </w:r>
            <w:r>
              <w:rPr>
                <w:sz w:val="18"/>
                <w:szCs w:val="18"/>
              </w:rPr>
              <w:t xml:space="preserve"> </w:t>
            </w:r>
            <w:r>
              <w:rPr>
                <w:rFonts w:hint="eastAsia"/>
                <w:sz w:val="18"/>
                <w:szCs w:val="18"/>
              </w:rPr>
              <w:t>000倍液</w:t>
            </w:r>
          </w:p>
        </w:tc>
        <w:tc>
          <w:tcPr>
            <w:tcW w:w="1189" w:type="dxa"/>
            <w:vAlign w:val="center"/>
          </w:tcPr>
          <w:p>
            <w:pPr>
              <w:pStyle w:val="62"/>
              <w:snapToGrid w:val="0"/>
              <w:ind w:firstLine="0" w:firstLineChars="0"/>
              <w:jc w:val="center"/>
              <w:rPr>
                <w:rFonts w:hAnsi="Calibri"/>
                <w:kern w:val="2"/>
                <w:sz w:val="18"/>
                <w:szCs w:val="18"/>
              </w:rPr>
            </w:pPr>
            <w:r>
              <w:rPr>
                <w:rFonts w:hint="eastAsia"/>
                <w:sz w:val="18"/>
                <w:szCs w:val="18"/>
              </w:rPr>
              <w:t>≥</w:t>
            </w:r>
            <w:r>
              <w:rPr>
                <w:sz w:val="18"/>
                <w:szCs w:val="18"/>
              </w:rPr>
              <w:t>14</w:t>
            </w:r>
          </w:p>
        </w:tc>
        <w:tc>
          <w:tcPr>
            <w:tcW w:w="1437" w:type="dxa"/>
            <w:vMerge w:val="continue"/>
            <w:vAlign w:val="center"/>
          </w:tcPr>
          <w:p>
            <w:pPr>
              <w:pStyle w:val="62"/>
              <w:snapToGrid w:val="0"/>
              <w:ind w:firstLine="0" w:firstLineChars="0"/>
              <w:rPr>
                <w:rFonts w:hAnsi="Calibri"/>
                <w:kern w:val="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10" w:type="dxa"/>
            <w:vAlign w:val="center"/>
          </w:tcPr>
          <w:p>
            <w:pPr>
              <w:pStyle w:val="62"/>
              <w:snapToGrid w:val="0"/>
              <w:ind w:firstLine="0" w:firstLineChars="0"/>
              <w:jc w:val="center"/>
              <w:rPr>
                <w:rFonts w:hAnsi="Calibri"/>
                <w:kern w:val="2"/>
                <w:sz w:val="18"/>
                <w:szCs w:val="18"/>
              </w:rPr>
            </w:pPr>
            <w:r>
              <w:rPr>
                <w:rFonts w:hint="eastAsia"/>
                <w:sz w:val="18"/>
                <w:szCs w:val="18"/>
              </w:rPr>
              <w:t>潜叶甲</w:t>
            </w:r>
          </w:p>
        </w:tc>
        <w:tc>
          <w:tcPr>
            <w:tcW w:w="2211" w:type="dxa"/>
            <w:vAlign w:val="center"/>
          </w:tcPr>
          <w:p>
            <w:pPr>
              <w:pStyle w:val="62"/>
              <w:snapToGrid w:val="0"/>
              <w:ind w:firstLine="0" w:firstLineChars="0"/>
              <w:rPr>
                <w:rFonts w:hAnsi="Calibri"/>
                <w:kern w:val="2"/>
                <w:sz w:val="18"/>
                <w:szCs w:val="18"/>
              </w:rPr>
            </w:pPr>
            <w:r>
              <w:rPr>
                <w:rFonts w:hint="eastAsia"/>
                <w:sz w:val="18"/>
                <w:szCs w:val="18"/>
              </w:rPr>
              <w:t>每年3月底至4月初春梢萌芽时，是全年防治的关键时期；春梢嫩叶有卵率1</w:t>
            </w:r>
            <w:r>
              <w:rPr>
                <w:sz w:val="18"/>
                <w:szCs w:val="18"/>
              </w:rPr>
              <w:t>5</w:t>
            </w:r>
            <w:r>
              <w:rPr>
                <w:rFonts w:hint="eastAsia" w:hAnsi="宋体"/>
                <w:sz w:val="18"/>
                <w:szCs w:val="18"/>
              </w:rPr>
              <w:t>％～2</w:t>
            </w:r>
            <w:r>
              <w:rPr>
                <w:rFonts w:hAnsi="宋体"/>
                <w:sz w:val="18"/>
                <w:szCs w:val="18"/>
              </w:rPr>
              <w:t>0</w:t>
            </w:r>
            <w:r>
              <w:rPr>
                <w:rFonts w:hint="eastAsia" w:hAnsi="宋体"/>
                <w:sz w:val="18"/>
                <w:szCs w:val="18"/>
              </w:rPr>
              <w:t>％</w:t>
            </w:r>
          </w:p>
        </w:tc>
        <w:tc>
          <w:tcPr>
            <w:tcW w:w="3260" w:type="dxa"/>
            <w:vAlign w:val="center"/>
          </w:tcPr>
          <w:p>
            <w:pPr>
              <w:pStyle w:val="62"/>
              <w:snapToGrid w:val="0"/>
              <w:ind w:firstLine="0" w:firstLineChars="0"/>
              <w:rPr>
                <w:rFonts w:hAnsi="宋体"/>
                <w:kern w:val="2"/>
                <w:sz w:val="18"/>
                <w:szCs w:val="18"/>
              </w:rPr>
            </w:pPr>
            <w:r>
              <w:rPr>
                <w:sz w:val="18"/>
                <w:szCs w:val="18"/>
              </w:rPr>
              <w:t>25</w:t>
            </w:r>
            <w:r>
              <w:rPr>
                <w:rFonts w:hint="eastAsia" w:hAnsi="宋体"/>
                <w:sz w:val="18"/>
                <w:szCs w:val="18"/>
              </w:rPr>
              <w:t>％</w:t>
            </w:r>
            <w:r>
              <w:rPr>
                <w:rFonts w:ascii="Helvetica" w:hAnsi="Helvetica"/>
                <w:color w:val="333333"/>
                <w:sz w:val="18"/>
                <w:szCs w:val="18"/>
                <w:shd w:val="clear" w:color="auto" w:fill="FFFFFF"/>
              </w:rPr>
              <w:t>哒螨·辛硫磷</w:t>
            </w:r>
            <w:r>
              <w:rPr>
                <w:rFonts w:hint="eastAsia"/>
                <w:sz w:val="18"/>
                <w:szCs w:val="18"/>
              </w:rPr>
              <w:t>1</w:t>
            </w:r>
            <w:r>
              <w:rPr>
                <w:sz w:val="18"/>
                <w:szCs w:val="18"/>
              </w:rPr>
              <w:t xml:space="preserve"> 000</w:t>
            </w:r>
            <w:r>
              <w:rPr>
                <w:rFonts w:hint="eastAsia"/>
                <w:sz w:val="18"/>
                <w:szCs w:val="18"/>
              </w:rPr>
              <w:t>倍～</w:t>
            </w:r>
            <w:r>
              <w:rPr>
                <w:sz w:val="18"/>
                <w:szCs w:val="18"/>
              </w:rPr>
              <w:t>1 500</w:t>
            </w:r>
            <w:r>
              <w:rPr>
                <w:rFonts w:hint="eastAsia"/>
                <w:sz w:val="18"/>
                <w:szCs w:val="18"/>
              </w:rPr>
              <w:t>倍</w:t>
            </w:r>
            <w:bookmarkStart w:id="44" w:name="_GoBack"/>
            <w:bookmarkEnd w:id="44"/>
            <w:r>
              <w:rPr>
                <w:rFonts w:hint="eastAsia"/>
                <w:sz w:val="18"/>
                <w:szCs w:val="18"/>
              </w:rPr>
              <w:t>液</w:t>
            </w:r>
          </w:p>
        </w:tc>
        <w:tc>
          <w:tcPr>
            <w:tcW w:w="1189" w:type="dxa"/>
            <w:tcBorders/>
            <w:vAlign w:val="center"/>
          </w:tcPr>
          <w:p>
            <w:pPr>
              <w:pStyle w:val="62"/>
              <w:snapToGrid w:val="0"/>
              <w:ind w:firstLine="0" w:firstLineChars="0"/>
              <w:jc w:val="center"/>
              <w:rPr>
                <w:sz w:val="18"/>
                <w:szCs w:val="18"/>
              </w:rPr>
            </w:pPr>
            <w:r>
              <w:rPr>
                <w:rFonts w:hint="eastAsia"/>
                <w:sz w:val="18"/>
                <w:szCs w:val="18"/>
              </w:rPr>
              <w:t>≥</w:t>
            </w:r>
            <w:r>
              <w:rPr>
                <w:sz w:val="18"/>
                <w:szCs w:val="18"/>
              </w:rPr>
              <w:t>20</w:t>
            </w:r>
          </w:p>
        </w:tc>
        <w:tc>
          <w:tcPr>
            <w:tcW w:w="1437" w:type="dxa"/>
            <w:vAlign w:val="center"/>
          </w:tcPr>
          <w:p>
            <w:pPr>
              <w:pStyle w:val="62"/>
              <w:snapToGrid w:val="0"/>
              <w:ind w:firstLine="0" w:firstLineChars="0"/>
              <w:rPr>
                <w:rFonts w:hAnsi="Calibri"/>
                <w:kern w:val="2"/>
                <w:sz w:val="18"/>
                <w:szCs w:val="18"/>
              </w:rPr>
            </w:pPr>
            <w:r>
              <w:rPr>
                <w:rFonts w:hint="eastAsia"/>
                <w:sz w:val="18"/>
                <w:szCs w:val="18"/>
              </w:rPr>
              <w:t>每季作物最多使用2次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10" w:type="dxa"/>
            <w:vAlign w:val="center"/>
          </w:tcPr>
          <w:p>
            <w:pPr>
              <w:pStyle w:val="62"/>
              <w:snapToGrid w:val="0"/>
              <w:ind w:firstLine="0" w:firstLineChars="0"/>
              <w:jc w:val="center"/>
              <w:rPr>
                <w:rFonts w:hAnsi="Calibri"/>
                <w:kern w:val="2"/>
                <w:sz w:val="18"/>
                <w:szCs w:val="18"/>
              </w:rPr>
            </w:pPr>
            <w:r>
              <w:rPr>
                <w:rFonts w:hint="eastAsia"/>
                <w:sz w:val="18"/>
                <w:szCs w:val="18"/>
              </w:rPr>
              <w:t>天牛</w:t>
            </w:r>
          </w:p>
        </w:tc>
        <w:tc>
          <w:tcPr>
            <w:tcW w:w="2211" w:type="dxa"/>
            <w:tcBorders>
              <w:bottom w:val="single" w:color="auto" w:sz="4" w:space="0"/>
            </w:tcBorders>
            <w:vAlign w:val="center"/>
          </w:tcPr>
          <w:p>
            <w:pPr>
              <w:pStyle w:val="62"/>
              <w:snapToGrid w:val="0"/>
              <w:ind w:firstLine="0" w:firstLineChars="0"/>
              <w:rPr>
                <w:rFonts w:hAnsi="Calibri"/>
                <w:kern w:val="2"/>
                <w:sz w:val="18"/>
                <w:szCs w:val="18"/>
              </w:rPr>
            </w:pPr>
            <w:r>
              <w:rPr>
                <w:rFonts w:hint="eastAsia" w:hAnsi="Calibri"/>
                <w:kern w:val="2"/>
                <w:sz w:val="18"/>
                <w:szCs w:val="18"/>
              </w:rPr>
              <w:t>树干或地上出现蚕食粉末</w:t>
            </w:r>
          </w:p>
        </w:tc>
        <w:tc>
          <w:tcPr>
            <w:tcW w:w="3260" w:type="dxa"/>
            <w:tcBorders>
              <w:bottom w:val="single" w:color="auto" w:sz="4" w:space="0"/>
            </w:tcBorders>
            <w:vAlign w:val="center"/>
          </w:tcPr>
          <w:p>
            <w:pPr>
              <w:pStyle w:val="62"/>
              <w:snapToGrid w:val="0"/>
              <w:ind w:firstLine="0" w:firstLineChars="0"/>
              <w:rPr>
                <w:rFonts w:hAnsi="Calibri"/>
                <w:kern w:val="2"/>
                <w:sz w:val="18"/>
                <w:szCs w:val="18"/>
              </w:rPr>
            </w:pPr>
            <w:r>
              <w:rPr>
                <w:rFonts w:hint="eastAsia"/>
                <w:sz w:val="18"/>
                <w:szCs w:val="18"/>
              </w:rPr>
              <w:t>4</w:t>
            </w:r>
            <w:r>
              <w:rPr>
                <w:sz w:val="18"/>
                <w:szCs w:val="18"/>
              </w:rPr>
              <w:t>0</w:t>
            </w:r>
            <w:r>
              <w:rPr>
                <w:rFonts w:hint="eastAsia" w:hAnsi="宋体"/>
                <w:sz w:val="18"/>
                <w:szCs w:val="18"/>
              </w:rPr>
              <w:t>％</w:t>
            </w:r>
            <w:r>
              <w:rPr>
                <w:rFonts w:hint="eastAsia"/>
                <w:sz w:val="18"/>
                <w:szCs w:val="18"/>
              </w:rPr>
              <w:t>噻虫啉3</w:t>
            </w:r>
            <w:r>
              <w:rPr>
                <w:sz w:val="18"/>
                <w:szCs w:val="18"/>
              </w:rPr>
              <w:t xml:space="preserve"> 000</w:t>
            </w:r>
            <w:r>
              <w:rPr>
                <w:rFonts w:hint="eastAsia"/>
                <w:sz w:val="18"/>
                <w:szCs w:val="18"/>
              </w:rPr>
              <w:t>倍～4</w:t>
            </w:r>
            <w:r>
              <w:rPr>
                <w:sz w:val="18"/>
                <w:szCs w:val="18"/>
              </w:rPr>
              <w:t xml:space="preserve"> 000</w:t>
            </w:r>
            <w:r>
              <w:rPr>
                <w:rFonts w:hint="eastAsia"/>
                <w:sz w:val="18"/>
                <w:szCs w:val="18"/>
              </w:rPr>
              <w:t>倍液喷淋主杆和主枝</w:t>
            </w:r>
          </w:p>
        </w:tc>
        <w:tc>
          <w:tcPr>
            <w:tcW w:w="1189" w:type="dxa"/>
            <w:tcBorders>
              <w:bottom w:val="single" w:color="auto" w:sz="4" w:space="0"/>
            </w:tcBorders>
            <w:vAlign w:val="center"/>
          </w:tcPr>
          <w:p>
            <w:pPr>
              <w:pStyle w:val="62"/>
              <w:snapToGrid w:val="0"/>
              <w:ind w:firstLine="0" w:firstLineChars="0"/>
              <w:jc w:val="center"/>
              <w:rPr>
                <w:rFonts w:hAnsi="Calibri"/>
                <w:kern w:val="2"/>
                <w:sz w:val="18"/>
                <w:szCs w:val="18"/>
              </w:rPr>
            </w:pPr>
            <w:r>
              <w:rPr>
                <w:rFonts w:hint="eastAsia"/>
                <w:sz w:val="18"/>
                <w:szCs w:val="18"/>
              </w:rPr>
              <w:t>≥2</w:t>
            </w:r>
            <w:r>
              <w:rPr>
                <w:sz w:val="18"/>
                <w:szCs w:val="18"/>
              </w:rPr>
              <w:t>1</w:t>
            </w:r>
          </w:p>
        </w:tc>
        <w:tc>
          <w:tcPr>
            <w:tcW w:w="1437" w:type="dxa"/>
            <w:tcBorders>
              <w:bottom w:val="single" w:color="auto" w:sz="4" w:space="0"/>
            </w:tcBorders>
            <w:vAlign w:val="center"/>
          </w:tcPr>
          <w:p>
            <w:pPr>
              <w:pStyle w:val="62"/>
              <w:snapToGrid w:val="0"/>
              <w:ind w:firstLine="0" w:firstLineChars="0"/>
              <w:rPr>
                <w:rFonts w:hAnsi="Calibri"/>
                <w:kern w:val="2"/>
                <w:sz w:val="18"/>
                <w:szCs w:val="18"/>
              </w:rPr>
            </w:pPr>
            <w:r>
              <w:rPr>
                <w:rFonts w:hint="eastAsia"/>
                <w:sz w:val="18"/>
                <w:szCs w:val="18"/>
              </w:rPr>
              <w:t>每季作物最多使用2次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10" w:type="dxa"/>
            <w:tcBorders>
              <w:bottom w:val="single" w:color="auto" w:sz="4" w:space="0"/>
            </w:tcBorders>
            <w:vAlign w:val="center"/>
          </w:tcPr>
          <w:p>
            <w:pPr>
              <w:pStyle w:val="62"/>
              <w:snapToGrid w:val="0"/>
              <w:ind w:firstLine="0" w:firstLineChars="0"/>
              <w:jc w:val="center"/>
              <w:rPr>
                <w:rFonts w:hAnsi="Calibri"/>
                <w:kern w:val="2"/>
                <w:sz w:val="18"/>
                <w:szCs w:val="18"/>
              </w:rPr>
            </w:pPr>
            <w:r>
              <w:rPr>
                <w:rFonts w:hint="eastAsia" w:hAnsi="宋体"/>
                <w:sz w:val="18"/>
                <w:szCs w:val="18"/>
              </w:rPr>
              <w:t>黑点病</w:t>
            </w:r>
          </w:p>
        </w:tc>
        <w:tc>
          <w:tcPr>
            <w:tcW w:w="2211" w:type="dxa"/>
            <w:tcBorders>
              <w:bottom w:val="single" w:color="auto" w:sz="4" w:space="0"/>
            </w:tcBorders>
            <w:vAlign w:val="center"/>
          </w:tcPr>
          <w:p>
            <w:pPr>
              <w:pStyle w:val="62"/>
              <w:snapToGrid w:val="0"/>
              <w:ind w:firstLine="0" w:firstLineChars="0"/>
              <w:rPr>
                <w:rFonts w:hAnsi="Calibri"/>
                <w:kern w:val="2"/>
                <w:sz w:val="18"/>
                <w:szCs w:val="18"/>
              </w:rPr>
            </w:pPr>
            <w:r>
              <w:rPr>
                <w:rFonts w:hint="eastAsia" w:hAnsi="宋体"/>
                <w:kern w:val="2"/>
                <w:sz w:val="18"/>
                <w:szCs w:val="18"/>
              </w:rPr>
              <w:t>发病前或发病初期</w:t>
            </w:r>
          </w:p>
        </w:tc>
        <w:tc>
          <w:tcPr>
            <w:tcW w:w="3260" w:type="dxa"/>
            <w:tcBorders>
              <w:bottom w:val="single" w:color="auto" w:sz="4" w:space="0"/>
            </w:tcBorders>
            <w:vAlign w:val="center"/>
          </w:tcPr>
          <w:p>
            <w:pPr>
              <w:pStyle w:val="19"/>
              <w:spacing w:line="240" w:lineRule="auto"/>
              <w:jc w:val="left"/>
              <w:rPr>
                <w:rFonts w:ascii="宋体" w:hAnsi="Times New Roman"/>
                <w:kern w:val="0"/>
              </w:rPr>
            </w:pPr>
            <w:r>
              <w:rPr>
                <w:rFonts w:ascii="宋体" w:hAnsi="Times New Roman"/>
                <w:kern w:val="0"/>
              </w:rPr>
              <w:t>80％</w:t>
            </w:r>
            <w:r>
              <w:rPr>
                <w:rFonts w:hint="eastAsia" w:ascii="宋体" w:hAnsi="Times New Roman"/>
                <w:kern w:val="0"/>
              </w:rPr>
              <w:t>代森锰锌</w:t>
            </w:r>
            <w:r>
              <w:rPr>
                <w:rFonts w:ascii="宋体" w:hAnsi="Times New Roman"/>
                <w:kern w:val="0"/>
              </w:rPr>
              <w:t>200</w:t>
            </w:r>
            <w:r>
              <w:rPr>
                <w:rFonts w:hint="eastAsia" w:ascii="宋体" w:hAnsi="Times New Roman"/>
                <w:kern w:val="0"/>
              </w:rPr>
              <w:t>倍～</w:t>
            </w:r>
            <w:r>
              <w:rPr>
                <w:rFonts w:ascii="宋体" w:hAnsi="Times New Roman"/>
                <w:kern w:val="0"/>
              </w:rPr>
              <w:t>600</w:t>
            </w:r>
            <w:r>
              <w:rPr>
                <w:rFonts w:hint="eastAsia" w:ascii="宋体" w:hAnsi="Times New Roman"/>
                <w:kern w:val="0"/>
              </w:rPr>
              <w:t>倍液</w:t>
            </w:r>
          </w:p>
          <w:p>
            <w:pPr>
              <w:pStyle w:val="19"/>
              <w:spacing w:line="240" w:lineRule="auto"/>
              <w:jc w:val="left"/>
              <w:rPr>
                <w:rFonts w:ascii="宋体" w:hAnsi="Times New Roman"/>
                <w:kern w:val="0"/>
              </w:rPr>
            </w:pPr>
            <w:r>
              <w:rPr>
                <w:rFonts w:ascii="宋体" w:hAnsi="Times New Roman"/>
                <w:kern w:val="0"/>
              </w:rPr>
              <w:t>10</w:t>
            </w:r>
            <w:r>
              <w:rPr>
                <w:rFonts w:hint="eastAsia" w:ascii="宋体" w:hAnsi="宋体"/>
                <w:kern w:val="0"/>
              </w:rPr>
              <w:t>％</w:t>
            </w:r>
            <w:r>
              <w:rPr>
                <w:rFonts w:hint="eastAsia" w:ascii="宋体" w:hAnsi="Times New Roman"/>
                <w:kern w:val="0"/>
              </w:rPr>
              <w:t>苯醚甲环唑2</w:t>
            </w:r>
            <w:r>
              <w:rPr>
                <w:rFonts w:ascii="宋体" w:hAnsi="Times New Roman"/>
                <w:kern w:val="0"/>
              </w:rPr>
              <w:t xml:space="preserve"> 000</w:t>
            </w:r>
            <w:r>
              <w:rPr>
                <w:rFonts w:hint="eastAsia" w:ascii="宋体" w:hAnsi="Times New Roman"/>
                <w:kern w:val="0"/>
              </w:rPr>
              <w:t>倍～2</w:t>
            </w:r>
            <w:r>
              <w:rPr>
                <w:rFonts w:ascii="宋体" w:hAnsi="Times New Roman"/>
                <w:kern w:val="0"/>
              </w:rPr>
              <w:t xml:space="preserve"> 500</w:t>
            </w:r>
            <w:r>
              <w:rPr>
                <w:rFonts w:hint="eastAsia" w:ascii="宋体" w:hAnsi="Times New Roman"/>
                <w:kern w:val="0"/>
              </w:rPr>
              <w:t>倍液</w:t>
            </w:r>
          </w:p>
        </w:tc>
        <w:tc>
          <w:tcPr>
            <w:tcW w:w="1189" w:type="dxa"/>
            <w:tcBorders>
              <w:bottom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14</w:t>
            </w:r>
          </w:p>
          <w:p>
            <w:pPr>
              <w:pStyle w:val="62"/>
              <w:snapToGrid w:val="0"/>
              <w:ind w:firstLine="0" w:firstLineChars="0"/>
              <w:jc w:val="center"/>
              <w:rPr>
                <w:sz w:val="18"/>
                <w:szCs w:val="18"/>
              </w:rPr>
            </w:pPr>
            <w:r>
              <w:rPr>
                <w:rFonts w:hint="eastAsia"/>
                <w:sz w:val="18"/>
                <w:szCs w:val="18"/>
              </w:rPr>
              <w:t>≥1</w:t>
            </w:r>
            <w:r>
              <w:rPr>
                <w:sz w:val="18"/>
                <w:szCs w:val="18"/>
              </w:rPr>
              <w:t>5</w:t>
            </w:r>
          </w:p>
        </w:tc>
        <w:tc>
          <w:tcPr>
            <w:tcW w:w="1437" w:type="dxa"/>
            <w:tcBorders>
              <w:bottom w:val="single" w:color="auto" w:sz="4" w:space="0"/>
            </w:tcBorders>
            <w:vAlign w:val="center"/>
          </w:tcPr>
          <w:p>
            <w:pPr>
              <w:pStyle w:val="62"/>
              <w:snapToGrid w:val="0"/>
              <w:ind w:firstLine="0" w:firstLineChars="0"/>
              <w:rPr>
                <w:rFonts w:hAnsi="Calibri"/>
                <w:kern w:val="2"/>
                <w:sz w:val="18"/>
                <w:szCs w:val="18"/>
              </w:rPr>
            </w:pPr>
            <w:r>
              <w:rPr>
                <w:rFonts w:hint="eastAsia"/>
                <w:sz w:val="18"/>
                <w:szCs w:val="18"/>
              </w:rPr>
              <w:t>每季作物最多使用</w:t>
            </w:r>
            <w:r>
              <w:rPr>
                <w:sz w:val="18"/>
                <w:szCs w:val="18"/>
              </w:rPr>
              <w:t>3</w:t>
            </w:r>
            <w:r>
              <w:rPr>
                <w:rFonts w:hint="eastAsia"/>
                <w:sz w:val="18"/>
                <w:szCs w:val="18"/>
              </w:rPr>
              <w:t>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0" w:type="dxa"/>
            <w:vMerge w:val="restart"/>
            <w:tcBorders>
              <w:top w:val="single" w:color="auto" w:sz="4" w:space="0"/>
              <w:bottom w:val="single" w:color="auto" w:sz="4" w:space="0"/>
            </w:tcBorders>
            <w:vAlign w:val="center"/>
          </w:tcPr>
          <w:p>
            <w:pPr>
              <w:pStyle w:val="62"/>
              <w:snapToGrid w:val="0"/>
              <w:ind w:firstLine="0" w:firstLineChars="0"/>
              <w:jc w:val="center"/>
              <w:rPr>
                <w:sz w:val="18"/>
                <w:szCs w:val="18"/>
              </w:rPr>
            </w:pPr>
            <w:r>
              <w:rPr>
                <w:rFonts w:hint="eastAsia" w:hAnsi="宋体"/>
                <w:sz w:val="18"/>
                <w:szCs w:val="18"/>
              </w:rPr>
              <w:t>炭疽病</w:t>
            </w:r>
          </w:p>
        </w:tc>
        <w:tc>
          <w:tcPr>
            <w:tcW w:w="2211" w:type="dxa"/>
            <w:vMerge w:val="restart"/>
            <w:tcBorders>
              <w:top w:val="single" w:color="auto" w:sz="4" w:space="0"/>
              <w:bottom w:val="single" w:color="auto" w:sz="4" w:space="0"/>
            </w:tcBorders>
            <w:vAlign w:val="center"/>
          </w:tcPr>
          <w:p>
            <w:pPr>
              <w:pStyle w:val="62"/>
              <w:snapToGrid w:val="0"/>
              <w:ind w:firstLine="0" w:firstLineChars="0"/>
              <w:rPr>
                <w:sz w:val="18"/>
                <w:szCs w:val="18"/>
              </w:rPr>
            </w:pPr>
            <w:r>
              <w:rPr>
                <w:rFonts w:hint="eastAsia" w:hAnsi="宋体"/>
                <w:kern w:val="2"/>
                <w:sz w:val="18"/>
                <w:szCs w:val="18"/>
              </w:rPr>
              <w:t>春、夏梢嫩梢期和果实接近成熟时，均需喷药</w:t>
            </w:r>
          </w:p>
        </w:tc>
        <w:tc>
          <w:tcPr>
            <w:tcW w:w="3260" w:type="dxa"/>
            <w:tcBorders>
              <w:top w:val="single" w:color="auto" w:sz="4" w:space="0"/>
              <w:bottom w:val="single" w:color="auto" w:sz="4" w:space="0"/>
            </w:tcBorders>
            <w:vAlign w:val="center"/>
          </w:tcPr>
          <w:p>
            <w:pPr>
              <w:pStyle w:val="19"/>
              <w:spacing w:line="240" w:lineRule="auto"/>
              <w:jc w:val="left"/>
              <w:rPr>
                <w:szCs w:val="21"/>
              </w:rPr>
            </w:pPr>
            <w:r>
              <w:rPr>
                <w:rFonts w:hint="eastAsia" w:ascii="宋体" w:hAnsi="Times New Roman"/>
                <w:kern w:val="0"/>
              </w:rPr>
              <w:t>嘧菌酯</w:t>
            </w:r>
            <w:r>
              <w:rPr>
                <w:rFonts w:ascii="宋体" w:hAnsi="Times New Roman"/>
                <w:kern w:val="0"/>
              </w:rPr>
              <w:t>250</w:t>
            </w:r>
            <w:r>
              <w:rPr>
                <w:rFonts w:hint="eastAsia" w:ascii="宋体" w:hAnsi="Times New Roman"/>
                <w:kern w:val="0"/>
              </w:rPr>
              <w:t>克</w:t>
            </w:r>
            <w:r>
              <w:rPr>
                <w:rFonts w:ascii="宋体" w:hAnsi="Times New Roman"/>
                <w:kern w:val="0"/>
              </w:rPr>
              <w:t>/升800倍～1 200倍液</w:t>
            </w:r>
          </w:p>
        </w:tc>
        <w:tc>
          <w:tcPr>
            <w:tcW w:w="1189" w:type="dxa"/>
            <w:tcBorders>
              <w:top w:val="single" w:color="auto" w:sz="4" w:space="0"/>
              <w:bottom w:val="single" w:color="auto" w:sz="4" w:space="0"/>
            </w:tcBorders>
            <w:vAlign w:val="center"/>
          </w:tcPr>
          <w:p>
            <w:pPr>
              <w:snapToGrid w:val="0"/>
              <w:spacing w:line="240" w:lineRule="auto"/>
              <w:jc w:val="center"/>
            </w:pPr>
            <w:r>
              <w:rPr>
                <w:rFonts w:hint="eastAsia" w:ascii="宋体" w:hAnsi="宋体"/>
                <w:sz w:val="18"/>
                <w:szCs w:val="18"/>
              </w:rPr>
              <w:t>≥</w:t>
            </w:r>
            <w:r>
              <w:rPr>
                <w:rFonts w:ascii="宋体" w:hAnsi="宋体"/>
                <w:sz w:val="18"/>
                <w:szCs w:val="18"/>
              </w:rPr>
              <w:t>14</w:t>
            </w:r>
          </w:p>
        </w:tc>
        <w:tc>
          <w:tcPr>
            <w:tcW w:w="1437" w:type="dxa"/>
            <w:tcBorders>
              <w:top w:val="single" w:color="auto" w:sz="4" w:space="0"/>
              <w:bottom w:val="single" w:color="auto" w:sz="4" w:space="0"/>
            </w:tcBorders>
            <w:vAlign w:val="center"/>
          </w:tcPr>
          <w:p>
            <w:pPr>
              <w:pStyle w:val="62"/>
              <w:snapToGrid w:val="0"/>
              <w:ind w:firstLine="0" w:firstLineChars="0"/>
              <w:rPr>
                <w:rFonts w:hAnsi="Calibri"/>
                <w:kern w:val="2"/>
                <w:sz w:val="18"/>
                <w:szCs w:val="18"/>
              </w:rPr>
            </w:pPr>
            <w:r>
              <w:rPr>
                <w:rFonts w:hint="eastAsia"/>
                <w:sz w:val="18"/>
                <w:szCs w:val="18"/>
              </w:rPr>
              <w:t>每季作物最多使用3次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10" w:type="dxa"/>
            <w:vMerge w:val="continue"/>
            <w:tcBorders>
              <w:top w:val="single" w:color="auto" w:sz="4" w:space="0"/>
              <w:bottom w:val="single" w:color="auto" w:sz="4" w:space="0"/>
            </w:tcBorders>
            <w:vAlign w:val="center"/>
          </w:tcPr>
          <w:p>
            <w:pPr>
              <w:pStyle w:val="62"/>
              <w:snapToGrid w:val="0"/>
              <w:ind w:firstLine="0" w:firstLineChars="0"/>
              <w:jc w:val="center"/>
              <w:rPr>
                <w:rFonts w:hAnsi="宋体"/>
                <w:sz w:val="18"/>
                <w:szCs w:val="18"/>
              </w:rPr>
            </w:pPr>
          </w:p>
        </w:tc>
        <w:tc>
          <w:tcPr>
            <w:tcW w:w="2211" w:type="dxa"/>
            <w:vMerge w:val="continue"/>
            <w:tcBorders>
              <w:top w:val="single" w:color="auto" w:sz="4" w:space="0"/>
              <w:bottom w:val="single" w:color="auto" w:sz="4" w:space="0"/>
            </w:tcBorders>
            <w:vAlign w:val="center"/>
          </w:tcPr>
          <w:p>
            <w:pPr>
              <w:pStyle w:val="62"/>
              <w:snapToGrid w:val="0"/>
              <w:ind w:firstLine="0" w:firstLineChars="0"/>
              <w:rPr>
                <w:rFonts w:hAnsi="宋体"/>
                <w:kern w:val="2"/>
                <w:sz w:val="18"/>
                <w:szCs w:val="18"/>
              </w:rPr>
            </w:pPr>
          </w:p>
        </w:tc>
        <w:tc>
          <w:tcPr>
            <w:tcW w:w="3260" w:type="dxa"/>
            <w:tcBorders>
              <w:top w:val="single" w:color="auto" w:sz="4" w:space="0"/>
              <w:bottom w:val="single" w:color="auto" w:sz="4" w:space="0"/>
            </w:tcBorders>
            <w:vAlign w:val="center"/>
          </w:tcPr>
          <w:p>
            <w:pPr>
              <w:pStyle w:val="62"/>
              <w:snapToGrid w:val="0"/>
              <w:ind w:firstLine="0" w:firstLineChars="0"/>
              <w:rPr>
                <w:rFonts w:hAnsi="Calibri"/>
                <w:kern w:val="2"/>
                <w:szCs w:val="21"/>
              </w:rPr>
            </w:pPr>
            <w:r>
              <w:rPr>
                <w:sz w:val="18"/>
                <w:szCs w:val="18"/>
              </w:rPr>
              <w:t>75</w:t>
            </w:r>
            <w:r>
              <w:rPr>
                <w:rFonts w:hint="eastAsia"/>
                <w:sz w:val="18"/>
                <w:szCs w:val="18"/>
              </w:rPr>
              <w:t>％肟菌·戊唑醇</w:t>
            </w:r>
            <w:r>
              <w:rPr>
                <w:sz w:val="18"/>
                <w:szCs w:val="18"/>
              </w:rPr>
              <w:t>4 000倍～6 000倍液</w:t>
            </w:r>
          </w:p>
        </w:tc>
        <w:tc>
          <w:tcPr>
            <w:tcW w:w="1189" w:type="dxa"/>
            <w:tcBorders>
              <w:top w:val="single" w:color="auto" w:sz="4" w:space="0"/>
              <w:bottom w:val="single" w:color="auto" w:sz="4" w:space="0"/>
            </w:tcBorders>
            <w:vAlign w:val="center"/>
          </w:tcPr>
          <w:p>
            <w:pPr>
              <w:pStyle w:val="62"/>
              <w:snapToGrid w:val="0"/>
              <w:ind w:firstLine="0" w:firstLineChars="0"/>
              <w:jc w:val="center"/>
              <w:rPr>
                <w:rFonts w:hAnsi="宋体"/>
                <w:sz w:val="18"/>
                <w:szCs w:val="18"/>
              </w:rPr>
            </w:pPr>
            <w:r>
              <w:rPr>
                <w:rFonts w:hint="eastAsia" w:hAnsi="宋体"/>
                <w:sz w:val="18"/>
                <w:szCs w:val="18"/>
              </w:rPr>
              <w:t>≥</w:t>
            </w:r>
            <w:r>
              <w:rPr>
                <w:rFonts w:hAnsi="宋体"/>
                <w:sz w:val="18"/>
                <w:szCs w:val="18"/>
              </w:rPr>
              <w:t>21</w:t>
            </w:r>
          </w:p>
        </w:tc>
        <w:tc>
          <w:tcPr>
            <w:tcW w:w="1437" w:type="dxa"/>
            <w:tcBorders>
              <w:top w:val="single" w:color="auto" w:sz="4" w:space="0"/>
              <w:bottom w:val="single" w:color="auto" w:sz="4" w:space="0"/>
            </w:tcBorders>
            <w:vAlign w:val="center"/>
          </w:tcPr>
          <w:p>
            <w:pPr>
              <w:pStyle w:val="62"/>
              <w:snapToGrid w:val="0"/>
              <w:ind w:firstLine="0" w:firstLineChars="0"/>
              <w:rPr>
                <w:rFonts w:hAnsi="Calibri"/>
                <w:kern w:val="2"/>
                <w:sz w:val="18"/>
                <w:szCs w:val="18"/>
              </w:rPr>
            </w:pPr>
            <w:r>
              <w:rPr>
                <w:rFonts w:hint="eastAsia"/>
                <w:sz w:val="18"/>
                <w:szCs w:val="18"/>
              </w:rPr>
              <w:t>每季作物最多使用</w:t>
            </w:r>
            <w:r>
              <w:rPr>
                <w:sz w:val="18"/>
                <w:szCs w:val="18"/>
              </w:rPr>
              <w:t>2</w:t>
            </w:r>
            <w:r>
              <w:rPr>
                <w:rFonts w:hint="eastAsia"/>
                <w:sz w:val="18"/>
                <w:szCs w:val="18"/>
              </w:rPr>
              <w:t>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10" w:type="dxa"/>
            <w:tcBorders>
              <w:top w:val="single" w:color="auto" w:sz="4" w:space="0"/>
              <w:left w:val="single" w:color="auto" w:sz="8" w:space="0"/>
              <w:bottom w:val="single" w:color="auto" w:sz="8" w:space="0"/>
            </w:tcBorders>
            <w:vAlign w:val="center"/>
          </w:tcPr>
          <w:p>
            <w:pPr>
              <w:pStyle w:val="62"/>
              <w:snapToGrid w:val="0"/>
              <w:ind w:firstLine="0" w:firstLineChars="0"/>
              <w:jc w:val="center"/>
              <w:rPr>
                <w:rFonts w:hAnsi="宋体"/>
                <w:kern w:val="2"/>
                <w:sz w:val="18"/>
                <w:szCs w:val="18"/>
              </w:rPr>
            </w:pPr>
            <w:r>
              <w:rPr>
                <w:rFonts w:hint="eastAsia" w:hAnsi="宋体"/>
                <w:sz w:val="18"/>
                <w:szCs w:val="18"/>
              </w:rPr>
              <w:t>黄斑病</w:t>
            </w:r>
          </w:p>
        </w:tc>
        <w:tc>
          <w:tcPr>
            <w:tcW w:w="2211" w:type="dxa"/>
            <w:tcBorders>
              <w:top w:val="single" w:color="auto" w:sz="4" w:space="0"/>
              <w:bottom w:val="single" w:color="auto" w:sz="8" w:space="0"/>
            </w:tcBorders>
            <w:vAlign w:val="center"/>
          </w:tcPr>
          <w:p>
            <w:pPr>
              <w:pStyle w:val="62"/>
              <w:snapToGrid w:val="0"/>
              <w:ind w:firstLine="0" w:firstLineChars="0"/>
              <w:rPr>
                <w:rFonts w:hAnsi="宋体"/>
                <w:kern w:val="2"/>
                <w:sz w:val="18"/>
                <w:szCs w:val="18"/>
              </w:rPr>
            </w:pPr>
            <w:r>
              <w:rPr>
                <w:rFonts w:hint="eastAsia" w:hAnsi="宋体"/>
                <w:kern w:val="2"/>
                <w:sz w:val="18"/>
                <w:szCs w:val="18"/>
              </w:rPr>
              <w:t>新梢长2</w:t>
            </w:r>
            <w:r>
              <w:rPr>
                <w:rFonts w:hAnsi="宋体"/>
                <w:kern w:val="2"/>
                <w:sz w:val="18"/>
                <w:szCs w:val="18"/>
              </w:rPr>
              <w:t xml:space="preserve"> </w:t>
            </w:r>
            <w:r>
              <w:rPr>
                <w:rFonts w:hint="eastAsia" w:hAnsi="宋体"/>
                <w:kern w:val="2"/>
                <w:sz w:val="18"/>
                <w:szCs w:val="18"/>
              </w:rPr>
              <w:t>cm～3</w:t>
            </w:r>
            <w:r>
              <w:rPr>
                <w:rFonts w:hAnsi="宋体"/>
                <w:kern w:val="2"/>
                <w:sz w:val="18"/>
                <w:szCs w:val="18"/>
              </w:rPr>
              <w:t xml:space="preserve"> </w:t>
            </w:r>
            <w:r>
              <w:rPr>
                <w:rFonts w:hint="eastAsia" w:hAnsi="宋体"/>
                <w:kern w:val="2"/>
                <w:sz w:val="18"/>
                <w:szCs w:val="18"/>
              </w:rPr>
              <w:t>cm</w:t>
            </w:r>
            <w:r>
              <w:rPr>
                <w:rFonts w:hAnsi="宋体"/>
                <w:kern w:val="2"/>
                <w:sz w:val="18"/>
                <w:szCs w:val="18"/>
              </w:rPr>
              <w:t xml:space="preserve"> </w:t>
            </w:r>
          </w:p>
        </w:tc>
        <w:tc>
          <w:tcPr>
            <w:tcW w:w="3260" w:type="dxa"/>
            <w:tcBorders>
              <w:top w:val="single" w:color="auto" w:sz="4" w:space="0"/>
              <w:bottom w:val="single" w:color="auto" w:sz="8" w:space="0"/>
            </w:tcBorders>
            <w:vAlign w:val="center"/>
          </w:tcPr>
          <w:p>
            <w:pPr>
              <w:pStyle w:val="62"/>
              <w:snapToGrid w:val="0"/>
              <w:ind w:firstLine="0" w:firstLineChars="0"/>
              <w:rPr>
                <w:rFonts w:hAnsi="宋体"/>
                <w:sz w:val="18"/>
                <w:szCs w:val="18"/>
              </w:rPr>
            </w:pPr>
            <w:r>
              <w:rPr>
                <w:rFonts w:hAnsi="宋体"/>
                <w:sz w:val="18"/>
                <w:szCs w:val="18"/>
              </w:rPr>
              <w:t>80</w:t>
            </w:r>
            <w:r>
              <w:rPr>
                <w:rFonts w:hint="eastAsia" w:hAnsi="宋体"/>
                <w:sz w:val="18"/>
                <w:szCs w:val="18"/>
              </w:rPr>
              <w:t>％代森锰锌200倍～</w:t>
            </w:r>
            <w:r>
              <w:rPr>
                <w:rFonts w:hAnsi="宋体"/>
                <w:sz w:val="18"/>
                <w:szCs w:val="18"/>
              </w:rPr>
              <w:t>600</w:t>
            </w:r>
            <w:r>
              <w:rPr>
                <w:rFonts w:hint="eastAsia" w:hAnsi="宋体"/>
                <w:sz w:val="18"/>
                <w:szCs w:val="18"/>
              </w:rPr>
              <w:t>倍液</w:t>
            </w:r>
          </w:p>
        </w:tc>
        <w:tc>
          <w:tcPr>
            <w:tcW w:w="1189" w:type="dxa"/>
            <w:tcBorders>
              <w:top w:val="single" w:color="auto" w:sz="4" w:space="0"/>
              <w:bottom w:val="single" w:color="auto" w:sz="8" w:space="0"/>
            </w:tcBorders>
            <w:vAlign w:val="center"/>
          </w:tcPr>
          <w:p>
            <w:pPr>
              <w:pStyle w:val="62"/>
              <w:snapToGrid w:val="0"/>
              <w:ind w:firstLine="0" w:firstLineChars="0"/>
              <w:jc w:val="center"/>
              <w:rPr>
                <w:sz w:val="18"/>
                <w:szCs w:val="18"/>
              </w:rPr>
            </w:pPr>
            <w:r>
              <w:rPr>
                <w:rFonts w:hint="eastAsia" w:hAnsi="宋体"/>
                <w:sz w:val="18"/>
                <w:szCs w:val="18"/>
              </w:rPr>
              <w:t>≥</w:t>
            </w:r>
            <w:r>
              <w:rPr>
                <w:rFonts w:hAnsi="宋体"/>
                <w:sz w:val="18"/>
                <w:szCs w:val="18"/>
              </w:rPr>
              <w:t>14</w:t>
            </w:r>
          </w:p>
        </w:tc>
        <w:tc>
          <w:tcPr>
            <w:tcW w:w="1437" w:type="dxa"/>
            <w:tcBorders>
              <w:top w:val="single" w:color="auto" w:sz="4" w:space="0"/>
              <w:bottom w:val="single" w:color="auto" w:sz="8" w:space="0"/>
              <w:right w:val="single" w:color="auto" w:sz="8" w:space="0"/>
            </w:tcBorders>
            <w:vAlign w:val="center"/>
          </w:tcPr>
          <w:p>
            <w:pPr>
              <w:pStyle w:val="62"/>
              <w:snapToGrid w:val="0"/>
              <w:ind w:firstLine="0" w:firstLineChars="0"/>
              <w:rPr>
                <w:rFonts w:hAnsi="Calibri"/>
                <w:kern w:val="2"/>
                <w:sz w:val="18"/>
                <w:szCs w:val="18"/>
              </w:rPr>
            </w:pPr>
            <w:r>
              <w:rPr>
                <w:rFonts w:hint="eastAsia" w:hAnsi="宋体"/>
                <w:sz w:val="18"/>
                <w:szCs w:val="18"/>
              </w:rPr>
              <w:t>黑点病和黄斑病可同时兼治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507" w:type="dxa"/>
            <w:gridSpan w:val="5"/>
            <w:tcBorders>
              <w:top w:val="single" w:color="auto" w:sz="8" w:space="0"/>
              <w:bottom w:val="single" w:color="auto" w:sz="8" w:space="0"/>
            </w:tcBorders>
            <w:vAlign w:val="center"/>
          </w:tcPr>
          <w:p>
            <w:pPr>
              <w:pStyle w:val="62"/>
              <w:snapToGrid w:val="0"/>
              <w:ind w:firstLine="300"/>
              <w:rPr>
                <w:sz w:val="15"/>
                <w:szCs w:val="15"/>
              </w:rPr>
            </w:pPr>
            <w:r>
              <w:rPr>
                <w:rFonts w:hint="eastAsia"/>
                <w:sz w:val="15"/>
                <w:szCs w:val="15"/>
              </w:rPr>
              <w:t>注：</w:t>
            </w:r>
            <w:r>
              <w:rPr>
                <w:rFonts w:hint="eastAsia" w:hAnsi="宋体"/>
                <w:sz w:val="15"/>
                <w:szCs w:val="15"/>
              </w:rPr>
              <w:t>如有新型高效低毒残留的化学农药，应优先选用。</w:t>
            </w:r>
          </w:p>
        </w:tc>
      </w:tr>
    </w:tbl>
    <w:p>
      <w:pPr>
        <w:pStyle w:val="62"/>
        <w:ind w:firstLine="0" w:firstLineChars="0"/>
      </w:pPr>
    </w:p>
    <w:p>
      <w:pPr>
        <w:pStyle w:val="245"/>
        <w:framePr w:wrap="around" w:y="1"/>
      </w:pPr>
      <w:r>
        <w:t>_________________________________</w:t>
      </w:r>
    </w:p>
    <w:bookmarkEnd w:id="43"/>
    <w:p>
      <w:pPr>
        <w:pStyle w:val="62"/>
        <w:ind w:firstLine="0" w:firstLineChars="0"/>
      </w:pPr>
    </w:p>
    <w:sectPr>
      <w:headerReference r:id="rId17" w:type="default"/>
      <w:footerReference r:id="rId19" w:type="default"/>
      <w:headerReference r:id="rId18" w:type="even"/>
      <w:footerReference r:id="rId20" w:type="even"/>
      <w:pgSz w:w="11906" w:h="16838"/>
      <w:pgMar w:top="567" w:right="1134" w:bottom="1134" w:left="1134" w:header="1418" w:footer="1134" w:gutter="284"/>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LF-3-0-980053736+ZHcCEE-2302">
    <w:altName w:val="Cambria"/>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 PAGE   \* MERGEFORMAT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DB3308/TXXXX—XXXX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STYLEREF  标准文件_文件编号 \* MERGEFORMAT </w:instrText>
    </w:r>
    <w:r>
      <w:fldChar w:fldCharType="separate"/>
    </w:r>
    <w:r>
      <w:t>DB3308/TXXXX—XXXX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DB3308/TXXXX—XXXX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STYLEREF  标准文件_文件编号 \* MERGEFORMAT </w:instrText>
    </w:r>
    <w:r>
      <w:fldChar w:fldCharType="separate"/>
    </w:r>
    <w:r>
      <w:t>DB3308/TXXXX—XXXX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DB3308/TXXXX—XXXX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STYLEREF  标准文件_文件编号 \* MERGEFORMAT </w:instrText>
    </w:r>
    <w:r>
      <w:fldChar w:fldCharType="separate"/>
    </w:r>
    <w:r>
      <w:t>DB3308/TXXXX—XXXX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hAnsi="等线" w:eastAsia="黑体"/>
        <w:b w:val="0"/>
        <w:i w:val="0"/>
        <w:sz w:val="21"/>
      </w:rPr>
    </w:lvl>
    <w:lvl w:ilvl="2" w:tentative="0">
      <w:start w:val="1"/>
      <w:numFmt w:val="decimal"/>
      <w:pStyle w:val="205"/>
      <w:suff w:val="nothing"/>
      <w:lvlText w:val="%10.%2.%3 "/>
      <w:lvlJc w:val="left"/>
      <w:pPr>
        <w:ind w:left="0" w:firstLine="0"/>
      </w:pPr>
      <w:rPr>
        <w:rFonts w:hint="eastAsia" w:ascii="黑体" w:hAnsi="等线" w:eastAsia="黑体"/>
        <w:b w:val="0"/>
        <w:i w:val="0"/>
        <w:sz w:val="21"/>
      </w:rPr>
    </w:lvl>
    <w:lvl w:ilvl="3" w:tentative="0">
      <w:start w:val="1"/>
      <w:numFmt w:val="decimal"/>
      <w:pStyle w:val="206"/>
      <w:suff w:val="nothing"/>
      <w:lvlText w:val="%10.%2.%3.%4 "/>
      <w:lvlJc w:val="left"/>
      <w:pPr>
        <w:ind w:left="0" w:firstLine="0"/>
      </w:pPr>
      <w:rPr>
        <w:rFonts w:hint="eastAsia" w:ascii="黑体" w:hAnsi="等线" w:eastAsia="黑体"/>
        <w:b w:val="0"/>
        <w:i w:val="0"/>
        <w:sz w:val="21"/>
      </w:rPr>
    </w:lvl>
    <w:lvl w:ilvl="4" w:tentative="0">
      <w:start w:val="1"/>
      <w:numFmt w:val="decimal"/>
      <w:pStyle w:val="207"/>
      <w:suff w:val="nothing"/>
      <w:lvlText w:val="%10.%2.%3.%4.%5 "/>
      <w:lvlJc w:val="left"/>
      <w:pPr>
        <w:ind w:left="0" w:firstLine="0"/>
      </w:pPr>
      <w:rPr>
        <w:rFonts w:hint="eastAsia" w:ascii="黑体" w:hAnsi="等线" w:eastAsia="黑体"/>
        <w:b w:val="0"/>
        <w:i w:val="0"/>
        <w:sz w:val="21"/>
      </w:rPr>
    </w:lvl>
    <w:lvl w:ilvl="5" w:tentative="0">
      <w:start w:val="1"/>
      <w:numFmt w:val="decimal"/>
      <w:pStyle w:val="208"/>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8"/>
      <w:suff w:val="nothing"/>
      <w:lvlText w:val="%1.%2.%3　"/>
      <w:lvlJc w:val="left"/>
      <w:pPr>
        <w:ind w:left="0" w:firstLine="0"/>
      </w:pPr>
      <w:rPr>
        <w:rFonts w:hint="eastAsia" w:ascii="黑体" w:hAnsi="Times New Roman" w:eastAsia="黑体"/>
        <w:b w:val="0"/>
        <w:i w:val="0"/>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pStyle w:val="240"/>
      <w:suff w:val="nothing"/>
      <w:lvlText w:val="%1.%2.%3.%4.%5　"/>
      <w:lvlJc w:val="left"/>
      <w:pPr>
        <w:ind w:left="0" w:firstLine="0"/>
      </w:pPr>
      <w:rPr>
        <w:rFonts w:hint="eastAsia" w:ascii="黑体" w:hAnsi="Times New Roman" w:eastAsia="黑体"/>
        <w:b w:val="0"/>
        <w:i w:val="0"/>
        <w:sz w:val="21"/>
      </w:rPr>
    </w:lvl>
    <w:lvl w:ilvl="5" w:tentative="0">
      <w:start w:val="1"/>
      <w:numFmt w:val="decimal"/>
      <w:pStyle w:val="24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eastAsia="黑体"/>
        <w:b w:val="0"/>
        <w:i w:val="0"/>
        <w:sz w:val="21"/>
      </w:rPr>
    </w:lvl>
    <w:lvl w:ilvl="3" w:tentative="0">
      <w:start w:val="1"/>
      <w:numFmt w:val="decimal"/>
      <w:pStyle w:val="88"/>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2"/>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CtkMbPsoiZ06QuvpNOZaVcyxEkkF9tMKSzqvuPZReKCNhQ9mhjSzrXVm1Xjn2adtXYjyxn2nGQU+VBtcvoTB+A==" w:salt="ULCcq095I+8PVjXfNXrx+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0NDJjMjA1MTk4NTI3N2NjNDQwNTU2MzYzYmQ5ZGQifQ=="/>
  </w:docVars>
  <w:rsids>
    <w:rsidRoot w:val="006B38FA"/>
    <w:rsid w:val="0000040A"/>
    <w:rsid w:val="00000A94"/>
    <w:rsid w:val="00001972"/>
    <w:rsid w:val="00001D9A"/>
    <w:rsid w:val="00007B3A"/>
    <w:rsid w:val="000107E0"/>
    <w:rsid w:val="00011FDE"/>
    <w:rsid w:val="00012044"/>
    <w:rsid w:val="00012FFD"/>
    <w:rsid w:val="00013FCE"/>
    <w:rsid w:val="00014162"/>
    <w:rsid w:val="00014340"/>
    <w:rsid w:val="00015829"/>
    <w:rsid w:val="00016A9C"/>
    <w:rsid w:val="000202EA"/>
    <w:rsid w:val="00022184"/>
    <w:rsid w:val="00022762"/>
    <w:rsid w:val="000238E0"/>
    <w:rsid w:val="000249DB"/>
    <w:rsid w:val="0002595E"/>
    <w:rsid w:val="000303C3"/>
    <w:rsid w:val="00032157"/>
    <w:rsid w:val="000331D3"/>
    <w:rsid w:val="00033E1B"/>
    <w:rsid w:val="000346A5"/>
    <w:rsid w:val="000359C3"/>
    <w:rsid w:val="00035A7D"/>
    <w:rsid w:val="000365ED"/>
    <w:rsid w:val="00037E55"/>
    <w:rsid w:val="0004249A"/>
    <w:rsid w:val="00043282"/>
    <w:rsid w:val="00044286"/>
    <w:rsid w:val="00047F28"/>
    <w:rsid w:val="000503AA"/>
    <w:rsid w:val="000506A1"/>
    <w:rsid w:val="000515DD"/>
    <w:rsid w:val="00051D6E"/>
    <w:rsid w:val="0005265A"/>
    <w:rsid w:val="00053115"/>
    <w:rsid w:val="000539DD"/>
    <w:rsid w:val="00053BD3"/>
    <w:rsid w:val="000556ED"/>
    <w:rsid w:val="00055FE2"/>
    <w:rsid w:val="0005616F"/>
    <w:rsid w:val="00060C2E"/>
    <w:rsid w:val="00061033"/>
    <w:rsid w:val="000619E9"/>
    <w:rsid w:val="00061DD3"/>
    <w:rsid w:val="000622D4"/>
    <w:rsid w:val="0006357D"/>
    <w:rsid w:val="00067F1E"/>
    <w:rsid w:val="00070A97"/>
    <w:rsid w:val="00071CC0"/>
    <w:rsid w:val="0007217A"/>
    <w:rsid w:val="00073C8C"/>
    <w:rsid w:val="000764E8"/>
    <w:rsid w:val="00077B64"/>
    <w:rsid w:val="00080A1C"/>
    <w:rsid w:val="00080FA3"/>
    <w:rsid w:val="00082317"/>
    <w:rsid w:val="00083D2C"/>
    <w:rsid w:val="00085557"/>
    <w:rsid w:val="00086AA1"/>
    <w:rsid w:val="00087A41"/>
    <w:rsid w:val="00087A77"/>
    <w:rsid w:val="00090CA6"/>
    <w:rsid w:val="00091897"/>
    <w:rsid w:val="00092B8A"/>
    <w:rsid w:val="00092FB0"/>
    <w:rsid w:val="000934C5"/>
    <w:rsid w:val="00093D25"/>
    <w:rsid w:val="00093DAB"/>
    <w:rsid w:val="000941A2"/>
    <w:rsid w:val="00094D73"/>
    <w:rsid w:val="00096D63"/>
    <w:rsid w:val="000A0B60"/>
    <w:rsid w:val="000A0EB8"/>
    <w:rsid w:val="000A19FC"/>
    <w:rsid w:val="000A296B"/>
    <w:rsid w:val="000A2AA4"/>
    <w:rsid w:val="000A7311"/>
    <w:rsid w:val="000B060F"/>
    <w:rsid w:val="000B1592"/>
    <w:rsid w:val="000B1FF2"/>
    <w:rsid w:val="000B20E0"/>
    <w:rsid w:val="000B3CDA"/>
    <w:rsid w:val="000B6A0B"/>
    <w:rsid w:val="000B6A96"/>
    <w:rsid w:val="000C00DE"/>
    <w:rsid w:val="000C065A"/>
    <w:rsid w:val="000C0F6C"/>
    <w:rsid w:val="000C11DB"/>
    <w:rsid w:val="000C126C"/>
    <w:rsid w:val="000C1492"/>
    <w:rsid w:val="000C2FBD"/>
    <w:rsid w:val="000C4B41"/>
    <w:rsid w:val="000C52FD"/>
    <w:rsid w:val="000C57D6"/>
    <w:rsid w:val="000C6362"/>
    <w:rsid w:val="000C7666"/>
    <w:rsid w:val="000D09CD"/>
    <w:rsid w:val="000D0A9C"/>
    <w:rsid w:val="000D1795"/>
    <w:rsid w:val="000D329A"/>
    <w:rsid w:val="000D4B9C"/>
    <w:rsid w:val="000D4EB6"/>
    <w:rsid w:val="000D753B"/>
    <w:rsid w:val="000E2AD5"/>
    <w:rsid w:val="000E4C9E"/>
    <w:rsid w:val="000E6FD7"/>
    <w:rsid w:val="000F06E1"/>
    <w:rsid w:val="000F0E3C"/>
    <w:rsid w:val="000F19D5"/>
    <w:rsid w:val="000F3A7D"/>
    <w:rsid w:val="000F4AEA"/>
    <w:rsid w:val="000F633F"/>
    <w:rsid w:val="000F67E9"/>
    <w:rsid w:val="000F6E3E"/>
    <w:rsid w:val="00101A69"/>
    <w:rsid w:val="00101D2C"/>
    <w:rsid w:val="00104926"/>
    <w:rsid w:val="00113B1E"/>
    <w:rsid w:val="00114472"/>
    <w:rsid w:val="00115E3A"/>
    <w:rsid w:val="0011711C"/>
    <w:rsid w:val="0012059C"/>
    <w:rsid w:val="0012268B"/>
    <w:rsid w:val="001243E4"/>
    <w:rsid w:val="00124E4F"/>
    <w:rsid w:val="001260B7"/>
    <w:rsid w:val="001265CB"/>
    <w:rsid w:val="00126CCA"/>
    <w:rsid w:val="001321C6"/>
    <w:rsid w:val="001325C4"/>
    <w:rsid w:val="00133010"/>
    <w:rsid w:val="001338EE"/>
    <w:rsid w:val="00133AAE"/>
    <w:rsid w:val="00135323"/>
    <w:rsid w:val="001356C4"/>
    <w:rsid w:val="00141114"/>
    <w:rsid w:val="00142969"/>
    <w:rsid w:val="00143051"/>
    <w:rsid w:val="0014357C"/>
    <w:rsid w:val="001446C2"/>
    <w:rsid w:val="001457E7"/>
    <w:rsid w:val="00145D9D"/>
    <w:rsid w:val="00146388"/>
    <w:rsid w:val="001529E5"/>
    <w:rsid w:val="00153C7E"/>
    <w:rsid w:val="00155D43"/>
    <w:rsid w:val="001561A9"/>
    <w:rsid w:val="00156B25"/>
    <w:rsid w:val="00156E1A"/>
    <w:rsid w:val="00157894"/>
    <w:rsid w:val="00157900"/>
    <w:rsid w:val="00157B55"/>
    <w:rsid w:val="00163C26"/>
    <w:rsid w:val="001642FA"/>
    <w:rsid w:val="00164813"/>
    <w:rsid w:val="001649EB"/>
    <w:rsid w:val="00164BAF"/>
    <w:rsid w:val="00164FA8"/>
    <w:rsid w:val="00165065"/>
    <w:rsid w:val="00165434"/>
    <w:rsid w:val="0016580B"/>
    <w:rsid w:val="00165F49"/>
    <w:rsid w:val="00166B88"/>
    <w:rsid w:val="00167479"/>
    <w:rsid w:val="0016770A"/>
    <w:rsid w:val="00170613"/>
    <w:rsid w:val="00170804"/>
    <w:rsid w:val="001708E9"/>
    <w:rsid w:val="0017340B"/>
    <w:rsid w:val="00173FB1"/>
    <w:rsid w:val="0017451A"/>
    <w:rsid w:val="00176DFD"/>
    <w:rsid w:val="00177EEA"/>
    <w:rsid w:val="0018176C"/>
    <w:rsid w:val="001852C9"/>
    <w:rsid w:val="001867A9"/>
    <w:rsid w:val="00190087"/>
    <w:rsid w:val="001910FF"/>
    <w:rsid w:val="001913C4"/>
    <w:rsid w:val="0019348F"/>
    <w:rsid w:val="00193A07"/>
    <w:rsid w:val="00194AFF"/>
    <w:rsid w:val="00194C95"/>
    <w:rsid w:val="00195C34"/>
    <w:rsid w:val="00196EF5"/>
    <w:rsid w:val="001A1A53"/>
    <w:rsid w:val="001A1B06"/>
    <w:rsid w:val="001A234A"/>
    <w:rsid w:val="001A4CF3"/>
    <w:rsid w:val="001A5298"/>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578"/>
    <w:rsid w:val="001E3CC4"/>
    <w:rsid w:val="001E44B8"/>
    <w:rsid w:val="001E4882"/>
    <w:rsid w:val="001E73AB"/>
    <w:rsid w:val="001E7BEE"/>
    <w:rsid w:val="001F092D"/>
    <w:rsid w:val="001F143A"/>
    <w:rsid w:val="001F1605"/>
    <w:rsid w:val="001F1EC4"/>
    <w:rsid w:val="001F2508"/>
    <w:rsid w:val="001F4816"/>
    <w:rsid w:val="001F4CC6"/>
    <w:rsid w:val="001F4EE9"/>
    <w:rsid w:val="001F5308"/>
    <w:rsid w:val="001F69B4"/>
    <w:rsid w:val="001F6A27"/>
    <w:rsid w:val="001F77C7"/>
    <w:rsid w:val="00200183"/>
    <w:rsid w:val="00200333"/>
    <w:rsid w:val="0020107D"/>
    <w:rsid w:val="00202410"/>
    <w:rsid w:val="00202AA4"/>
    <w:rsid w:val="002031F7"/>
    <w:rsid w:val="002040E6"/>
    <w:rsid w:val="0020527B"/>
    <w:rsid w:val="00205F2C"/>
    <w:rsid w:val="00210B15"/>
    <w:rsid w:val="002128C0"/>
    <w:rsid w:val="002142EA"/>
    <w:rsid w:val="002204BB"/>
    <w:rsid w:val="00221B79"/>
    <w:rsid w:val="00221C6B"/>
    <w:rsid w:val="002253A1"/>
    <w:rsid w:val="00225CF8"/>
    <w:rsid w:val="0022794E"/>
    <w:rsid w:val="00233D64"/>
    <w:rsid w:val="0023482A"/>
    <w:rsid w:val="002359CB"/>
    <w:rsid w:val="00243540"/>
    <w:rsid w:val="0024497B"/>
    <w:rsid w:val="0024515B"/>
    <w:rsid w:val="0024564B"/>
    <w:rsid w:val="00246021"/>
    <w:rsid w:val="0024666E"/>
    <w:rsid w:val="00247F52"/>
    <w:rsid w:val="00250B25"/>
    <w:rsid w:val="00250BBE"/>
    <w:rsid w:val="002515C2"/>
    <w:rsid w:val="0025194F"/>
    <w:rsid w:val="0026148A"/>
    <w:rsid w:val="00261D1F"/>
    <w:rsid w:val="00262696"/>
    <w:rsid w:val="00263D25"/>
    <w:rsid w:val="002643C3"/>
    <w:rsid w:val="00264A0C"/>
    <w:rsid w:val="00266EEB"/>
    <w:rsid w:val="00267EF4"/>
    <w:rsid w:val="00270CB8"/>
    <w:rsid w:val="00271388"/>
    <w:rsid w:val="00272B08"/>
    <w:rsid w:val="00274A5F"/>
    <w:rsid w:val="00280DB0"/>
    <w:rsid w:val="00281BB8"/>
    <w:rsid w:val="00281E9E"/>
    <w:rsid w:val="00282405"/>
    <w:rsid w:val="00285170"/>
    <w:rsid w:val="00285361"/>
    <w:rsid w:val="00292A1E"/>
    <w:rsid w:val="00292D60"/>
    <w:rsid w:val="00293B30"/>
    <w:rsid w:val="00294D34"/>
    <w:rsid w:val="00294E3B"/>
    <w:rsid w:val="00294FAB"/>
    <w:rsid w:val="002958BE"/>
    <w:rsid w:val="00296193"/>
    <w:rsid w:val="00296C66"/>
    <w:rsid w:val="00296EBE"/>
    <w:rsid w:val="002974E3"/>
    <w:rsid w:val="002A084B"/>
    <w:rsid w:val="002A1260"/>
    <w:rsid w:val="002A1589"/>
    <w:rsid w:val="002A1608"/>
    <w:rsid w:val="002A1D73"/>
    <w:rsid w:val="002A2026"/>
    <w:rsid w:val="002A25DC"/>
    <w:rsid w:val="002A3AAB"/>
    <w:rsid w:val="002A4CEA"/>
    <w:rsid w:val="002A5977"/>
    <w:rsid w:val="002A5A13"/>
    <w:rsid w:val="002A757F"/>
    <w:rsid w:val="002A7671"/>
    <w:rsid w:val="002A7F44"/>
    <w:rsid w:val="002B0C40"/>
    <w:rsid w:val="002B18D6"/>
    <w:rsid w:val="002B1964"/>
    <w:rsid w:val="002B1966"/>
    <w:rsid w:val="002B4508"/>
    <w:rsid w:val="002B5779"/>
    <w:rsid w:val="002B70E4"/>
    <w:rsid w:val="002B7332"/>
    <w:rsid w:val="002B7F51"/>
    <w:rsid w:val="002C09E7"/>
    <w:rsid w:val="002C1E06"/>
    <w:rsid w:val="002C1E1C"/>
    <w:rsid w:val="002C374A"/>
    <w:rsid w:val="002C3F07"/>
    <w:rsid w:val="002C5278"/>
    <w:rsid w:val="002C7EBB"/>
    <w:rsid w:val="002D06C1"/>
    <w:rsid w:val="002D0964"/>
    <w:rsid w:val="002D42B5"/>
    <w:rsid w:val="002D4F1A"/>
    <w:rsid w:val="002D5016"/>
    <w:rsid w:val="002D5DA8"/>
    <w:rsid w:val="002D6EC6"/>
    <w:rsid w:val="002D7814"/>
    <w:rsid w:val="002D79AC"/>
    <w:rsid w:val="002E0247"/>
    <w:rsid w:val="002E039D"/>
    <w:rsid w:val="002E108F"/>
    <w:rsid w:val="002E4D5A"/>
    <w:rsid w:val="002E6326"/>
    <w:rsid w:val="002E7F9B"/>
    <w:rsid w:val="002F30E0"/>
    <w:rsid w:val="002F35E4"/>
    <w:rsid w:val="002F3730"/>
    <w:rsid w:val="002F38E1"/>
    <w:rsid w:val="002F688B"/>
    <w:rsid w:val="002F789F"/>
    <w:rsid w:val="002F7AF6"/>
    <w:rsid w:val="00300E63"/>
    <w:rsid w:val="00302F5F"/>
    <w:rsid w:val="0030441D"/>
    <w:rsid w:val="00306063"/>
    <w:rsid w:val="0030662B"/>
    <w:rsid w:val="003066FC"/>
    <w:rsid w:val="00306706"/>
    <w:rsid w:val="003127E1"/>
    <w:rsid w:val="00313B85"/>
    <w:rsid w:val="0031428B"/>
    <w:rsid w:val="003157E1"/>
    <w:rsid w:val="00317988"/>
    <w:rsid w:val="003221B4"/>
    <w:rsid w:val="0032258D"/>
    <w:rsid w:val="00322E62"/>
    <w:rsid w:val="00324D13"/>
    <w:rsid w:val="00324D2A"/>
    <w:rsid w:val="00324EDD"/>
    <w:rsid w:val="003320D2"/>
    <w:rsid w:val="003331E4"/>
    <w:rsid w:val="003340A4"/>
    <w:rsid w:val="00336C64"/>
    <w:rsid w:val="00337162"/>
    <w:rsid w:val="0034194F"/>
    <w:rsid w:val="00343450"/>
    <w:rsid w:val="00344605"/>
    <w:rsid w:val="00344A5E"/>
    <w:rsid w:val="003474AA"/>
    <w:rsid w:val="00350D1D"/>
    <w:rsid w:val="0035117C"/>
    <w:rsid w:val="00352C83"/>
    <w:rsid w:val="0035410A"/>
    <w:rsid w:val="003615D2"/>
    <w:rsid w:val="003616D7"/>
    <w:rsid w:val="00361A37"/>
    <w:rsid w:val="0036429C"/>
    <w:rsid w:val="003649E7"/>
    <w:rsid w:val="00364A53"/>
    <w:rsid w:val="003654CB"/>
    <w:rsid w:val="00365AA9"/>
    <w:rsid w:val="00365F86"/>
    <w:rsid w:val="00365F87"/>
    <w:rsid w:val="00366E89"/>
    <w:rsid w:val="00367993"/>
    <w:rsid w:val="003705F4"/>
    <w:rsid w:val="00370D58"/>
    <w:rsid w:val="00371316"/>
    <w:rsid w:val="00374AB8"/>
    <w:rsid w:val="0037653B"/>
    <w:rsid w:val="00376713"/>
    <w:rsid w:val="00376D79"/>
    <w:rsid w:val="003773ED"/>
    <w:rsid w:val="00381815"/>
    <w:rsid w:val="003819AF"/>
    <w:rsid w:val="003820E9"/>
    <w:rsid w:val="00382DE7"/>
    <w:rsid w:val="0038301D"/>
    <w:rsid w:val="00383B02"/>
    <w:rsid w:val="00384FFC"/>
    <w:rsid w:val="0038642E"/>
    <w:rsid w:val="003867D5"/>
    <w:rsid w:val="003872FC"/>
    <w:rsid w:val="00387ADC"/>
    <w:rsid w:val="00390020"/>
    <w:rsid w:val="003903D6"/>
    <w:rsid w:val="003908E0"/>
    <w:rsid w:val="00390EE6"/>
    <w:rsid w:val="0039118F"/>
    <w:rsid w:val="00392740"/>
    <w:rsid w:val="00392AD7"/>
    <w:rsid w:val="003938D9"/>
    <w:rsid w:val="00393B56"/>
    <w:rsid w:val="00394376"/>
    <w:rsid w:val="003943FF"/>
    <w:rsid w:val="00395700"/>
    <w:rsid w:val="003974EB"/>
    <w:rsid w:val="00397CC5"/>
    <w:rsid w:val="003A1582"/>
    <w:rsid w:val="003A2989"/>
    <w:rsid w:val="003A4077"/>
    <w:rsid w:val="003A550B"/>
    <w:rsid w:val="003B09AD"/>
    <w:rsid w:val="003B1243"/>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4A9"/>
    <w:rsid w:val="003E49F6"/>
    <w:rsid w:val="003E660F"/>
    <w:rsid w:val="003F0841"/>
    <w:rsid w:val="003F188A"/>
    <w:rsid w:val="003F23D3"/>
    <w:rsid w:val="003F3F08"/>
    <w:rsid w:val="003F49F1"/>
    <w:rsid w:val="003F6272"/>
    <w:rsid w:val="00400E72"/>
    <w:rsid w:val="00401400"/>
    <w:rsid w:val="00404869"/>
    <w:rsid w:val="00405884"/>
    <w:rsid w:val="0040770D"/>
    <w:rsid w:val="00407D39"/>
    <w:rsid w:val="0041477A"/>
    <w:rsid w:val="00415B96"/>
    <w:rsid w:val="004167A3"/>
    <w:rsid w:val="004220A8"/>
    <w:rsid w:val="00424A61"/>
    <w:rsid w:val="00424ED5"/>
    <w:rsid w:val="0043092C"/>
    <w:rsid w:val="00432DAA"/>
    <w:rsid w:val="00434305"/>
    <w:rsid w:val="00435DF7"/>
    <w:rsid w:val="00437695"/>
    <w:rsid w:val="0044083F"/>
    <w:rsid w:val="00441AE7"/>
    <w:rsid w:val="00445574"/>
    <w:rsid w:val="004467FB"/>
    <w:rsid w:val="00452D6B"/>
    <w:rsid w:val="00454484"/>
    <w:rsid w:val="0045517B"/>
    <w:rsid w:val="00463B77"/>
    <w:rsid w:val="00463C7B"/>
    <w:rsid w:val="004644A6"/>
    <w:rsid w:val="004659BD"/>
    <w:rsid w:val="00465F4F"/>
    <w:rsid w:val="00470775"/>
    <w:rsid w:val="004720B3"/>
    <w:rsid w:val="0047210D"/>
    <w:rsid w:val="004732A1"/>
    <w:rsid w:val="004733AF"/>
    <w:rsid w:val="004746B1"/>
    <w:rsid w:val="00474B8E"/>
    <w:rsid w:val="0047583F"/>
    <w:rsid w:val="00475DE8"/>
    <w:rsid w:val="00481C44"/>
    <w:rsid w:val="00484936"/>
    <w:rsid w:val="00485C89"/>
    <w:rsid w:val="00486BE3"/>
    <w:rsid w:val="0049025A"/>
    <w:rsid w:val="004905E4"/>
    <w:rsid w:val="00490A89"/>
    <w:rsid w:val="00490AB4"/>
    <w:rsid w:val="00491A30"/>
    <w:rsid w:val="00491A82"/>
    <w:rsid w:val="00492F02"/>
    <w:rsid w:val="004939AE"/>
    <w:rsid w:val="00496C4C"/>
    <w:rsid w:val="004A0D41"/>
    <w:rsid w:val="004A12DF"/>
    <w:rsid w:val="004A17E6"/>
    <w:rsid w:val="004A1AF7"/>
    <w:rsid w:val="004A1BA8"/>
    <w:rsid w:val="004A47F9"/>
    <w:rsid w:val="004A4B57"/>
    <w:rsid w:val="004A5FCE"/>
    <w:rsid w:val="004A63FA"/>
    <w:rsid w:val="004A77C2"/>
    <w:rsid w:val="004B0272"/>
    <w:rsid w:val="004B0E07"/>
    <w:rsid w:val="004B179C"/>
    <w:rsid w:val="004B2701"/>
    <w:rsid w:val="004B2E1B"/>
    <w:rsid w:val="004B3AA8"/>
    <w:rsid w:val="004B3E93"/>
    <w:rsid w:val="004C19F7"/>
    <w:rsid w:val="004C1FBC"/>
    <w:rsid w:val="004C2782"/>
    <w:rsid w:val="004C30A0"/>
    <w:rsid w:val="004C3F1D"/>
    <w:rsid w:val="004C458D"/>
    <w:rsid w:val="004C7556"/>
    <w:rsid w:val="004C7E8B"/>
    <w:rsid w:val="004C7E9D"/>
    <w:rsid w:val="004C7F67"/>
    <w:rsid w:val="004D076D"/>
    <w:rsid w:val="004D0EF1"/>
    <w:rsid w:val="004D2253"/>
    <w:rsid w:val="004D4406"/>
    <w:rsid w:val="004D7163"/>
    <w:rsid w:val="004D7AC0"/>
    <w:rsid w:val="004D7C42"/>
    <w:rsid w:val="004E0465"/>
    <w:rsid w:val="004E127B"/>
    <w:rsid w:val="004E1C0A"/>
    <w:rsid w:val="004E2B06"/>
    <w:rsid w:val="004E30C5"/>
    <w:rsid w:val="004E4AA5"/>
    <w:rsid w:val="004E4AEE"/>
    <w:rsid w:val="004E59E3"/>
    <w:rsid w:val="004E67C0"/>
    <w:rsid w:val="004E7973"/>
    <w:rsid w:val="004F391A"/>
    <w:rsid w:val="004F3CFB"/>
    <w:rsid w:val="004F5384"/>
    <w:rsid w:val="004F6456"/>
    <w:rsid w:val="004F696E"/>
    <w:rsid w:val="004F6C71"/>
    <w:rsid w:val="00501139"/>
    <w:rsid w:val="0050363E"/>
    <w:rsid w:val="005039BC"/>
    <w:rsid w:val="005043BB"/>
    <w:rsid w:val="00504A3D"/>
    <w:rsid w:val="00504BA3"/>
    <w:rsid w:val="00505767"/>
    <w:rsid w:val="005071CB"/>
    <w:rsid w:val="005073F0"/>
    <w:rsid w:val="00510A7B"/>
    <w:rsid w:val="00512F6E"/>
    <w:rsid w:val="00512FCA"/>
    <w:rsid w:val="00513038"/>
    <w:rsid w:val="00514174"/>
    <w:rsid w:val="00516088"/>
    <w:rsid w:val="005168E0"/>
    <w:rsid w:val="00516B0B"/>
    <w:rsid w:val="00520807"/>
    <w:rsid w:val="005220EC"/>
    <w:rsid w:val="005222DD"/>
    <w:rsid w:val="00523F95"/>
    <w:rsid w:val="00524D65"/>
    <w:rsid w:val="00525B16"/>
    <w:rsid w:val="00533665"/>
    <w:rsid w:val="00533D04"/>
    <w:rsid w:val="00534804"/>
    <w:rsid w:val="00534BDF"/>
    <w:rsid w:val="005352B4"/>
    <w:rsid w:val="005354EA"/>
    <w:rsid w:val="0053585F"/>
    <w:rsid w:val="00535EC4"/>
    <w:rsid w:val="00535ED9"/>
    <w:rsid w:val="0053692B"/>
    <w:rsid w:val="00541853"/>
    <w:rsid w:val="00542208"/>
    <w:rsid w:val="00543BDA"/>
    <w:rsid w:val="005440E4"/>
    <w:rsid w:val="005441CC"/>
    <w:rsid w:val="0054707B"/>
    <w:rsid w:val="005479DA"/>
    <w:rsid w:val="00547BCC"/>
    <w:rsid w:val="0055013B"/>
    <w:rsid w:val="00551F6F"/>
    <w:rsid w:val="005520E7"/>
    <w:rsid w:val="00555044"/>
    <w:rsid w:val="005567D4"/>
    <w:rsid w:val="00557584"/>
    <w:rsid w:val="00561475"/>
    <w:rsid w:val="0056467C"/>
    <w:rsid w:val="0056487B"/>
    <w:rsid w:val="00564FB9"/>
    <w:rsid w:val="00573D9E"/>
    <w:rsid w:val="00575638"/>
    <w:rsid w:val="00576AE0"/>
    <w:rsid w:val="005801E3"/>
    <w:rsid w:val="00580417"/>
    <w:rsid w:val="00581802"/>
    <w:rsid w:val="005836A8"/>
    <w:rsid w:val="0058409C"/>
    <w:rsid w:val="00584262"/>
    <w:rsid w:val="00585C2A"/>
    <w:rsid w:val="00586630"/>
    <w:rsid w:val="00587ADD"/>
    <w:rsid w:val="00596160"/>
    <w:rsid w:val="005961F4"/>
    <w:rsid w:val="005966E2"/>
    <w:rsid w:val="00597007"/>
    <w:rsid w:val="005A083D"/>
    <w:rsid w:val="005A0966"/>
    <w:rsid w:val="005A11B7"/>
    <w:rsid w:val="005A260B"/>
    <w:rsid w:val="005A4A1B"/>
    <w:rsid w:val="005A574E"/>
    <w:rsid w:val="005A5962"/>
    <w:rsid w:val="005A7830"/>
    <w:rsid w:val="005A7FCE"/>
    <w:rsid w:val="005B031C"/>
    <w:rsid w:val="005B0F3F"/>
    <w:rsid w:val="005B139F"/>
    <w:rsid w:val="005B2287"/>
    <w:rsid w:val="005B4903"/>
    <w:rsid w:val="005B51CE"/>
    <w:rsid w:val="005B555D"/>
    <w:rsid w:val="005B5885"/>
    <w:rsid w:val="005B5CD7"/>
    <w:rsid w:val="005B6CF6"/>
    <w:rsid w:val="005B7422"/>
    <w:rsid w:val="005C29B8"/>
    <w:rsid w:val="005C5F21"/>
    <w:rsid w:val="005C7156"/>
    <w:rsid w:val="005C76AC"/>
    <w:rsid w:val="005C7A08"/>
    <w:rsid w:val="005D0B70"/>
    <w:rsid w:val="005D0C75"/>
    <w:rsid w:val="005D4171"/>
    <w:rsid w:val="005D61B8"/>
    <w:rsid w:val="005D6A95"/>
    <w:rsid w:val="005D6B2C"/>
    <w:rsid w:val="005D6D9C"/>
    <w:rsid w:val="005E0E5F"/>
    <w:rsid w:val="005E2335"/>
    <w:rsid w:val="005E34CA"/>
    <w:rsid w:val="005E3C18"/>
    <w:rsid w:val="005E5828"/>
    <w:rsid w:val="005E6812"/>
    <w:rsid w:val="005E7881"/>
    <w:rsid w:val="005E78E0"/>
    <w:rsid w:val="005F0D9C"/>
    <w:rsid w:val="005F284E"/>
    <w:rsid w:val="005F4712"/>
    <w:rsid w:val="005F47D8"/>
    <w:rsid w:val="005F7690"/>
    <w:rsid w:val="006015CE"/>
    <w:rsid w:val="00604784"/>
    <w:rsid w:val="00606419"/>
    <w:rsid w:val="00607D29"/>
    <w:rsid w:val="00612952"/>
    <w:rsid w:val="00613353"/>
    <w:rsid w:val="00614CC1"/>
    <w:rsid w:val="00615A9D"/>
    <w:rsid w:val="00616C9C"/>
    <w:rsid w:val="00617387"/>
    <w:rsid w:val="00617805"/>
    <w:rsid w:val="006205D6"/>
    <w:rsid w:val="00620BDA"/>
    <w:rsid w:val="0062428F"/>
    <w:rsid w:val="006252D8"/>
    <w:rsid w:val="006259BC"/>
    <w:rsid w:val="0062636B"/>
    <w:rsid w:val="00632182"/>
    <w:rsid w:val="00632AE0"/>
    <w:rsid w:val="00633C17"/>
    <w:rsid w:val="00633D4D"/>
    <w:rsid w:val="00634D9E"/>
    <w:rsid w:val="00636E3E"/>
    <w:rsid w:val="006379F7"/>
    <w:rsid w:val="00637E4D"/>
    <w:rsid w:val="00640620"/>
    <w:rsid w:val="00641A1F"/>
    <w:rsid w:val="00642CE6"/>
    <w:rsid w:val="00645904"/>
    <w:rsid w:val="00646B83"/>
    <w:rsid w:val="00651ACB"/>
    <w:rsid w:val="00651C47"/>
    <w:rsid w:val="0065229F"/>
    <w:rsid w:val="00652AB2"/>
    <w:rsid w:val="00653FED"/>
    <w:rsid w:val="006542C9"/>
    <w:rsid w:val="00654EC0"/>
    <w:rsid w:val="0065525B"/>
    <w:rsid w:val="00655D4F"/>
    <w:rsid w:val="00656D29"/>
    <w:rsid w:val="006640E5"/>
    <w:rsid w:val="006646F1"/>
    <w:rsid w:val="00664929"/>
    <w:rsid w:val="00664F62"/>
    <w:rsid w:val="006655E1"/>
    <w:rsid w:val="0067187B"/>
    <w:rsid w:val="00672060"/>
    <w:rsid w:val="00672BFD"/>
    <w:rsid w:val="006770F4"/>
    <w:rsid w:val="00677A84"/>
    <w:rsid w:val="0068026D"/>
    <w:rsid w:val="00680A27"/>
    <w:rsid w:val="006816A4"/>
    <w:rsid w:val="006819B8"/>
    <w:rsid w:val="00682E85"/>
    <w:rsid w:val="006840A6"/>
    <w:rsid w:val="006850CD"/>
    <w:rsid w:val="00685AAB"/>
    <w:rsid w:val="006872B4"/>
    <w:rsid w:val="00691596"/>
    <w:rsid w:val="006A07AA"/>
    <w:rsid w:val="006A25E5"/>
    <w:rsid w:val="006A2B46"/>
    <w:rsid w:val="006A336D"/>
    <w:rsid w:val="006A37B9"/>
    <w:rsid w:val="006A4DD7"/>
    <w:rsid w:val="006A7B90"/>
    <w:rsid w:val="006B04E3"/>
    <w:rsid w:val="006B19E7"/>
    <w:rsid w:val="006B2672"/>
    <w:rsid w:val="006B3865"/>
    <w:rsid w:val="006B38FA"/>
    <w:rsid w:val="006B54BF"/>
    <w:rsid w:val="006B5F44"/>
    <w:rsid w:val="006B5F90"/>
    <w:rsid w:val="006B62E4"/>
    <w:rsid w:val="006C1BBA"/>
    <w:rsid w:val="006C2079"/>
    <w:rsid w:val="006C22C8"/>
    <w:rsid w:val="006C47BF"/>
    <w:rsid w:val="006C5A62"/>
    <w:rsid w:val="006C5BFC"/>
    <w:rsid w:val="006C5D68"/>
    <w:rsid w:val="006C6976"/>
    <w:rsid w:val="006C6DD0"/>
    <w:rsid w:val="006D04EA"/>
    <w:rsid w:val="006D0E15"/>
    <w:rsid w:val="006D16C4"/>
    <w:rsid w:val="006D3E96"/>
    <w:rsid w:val="006D4515"/>
    <w:rsid w:val="006D4BB1"/>
    <w:rsid w:val="006D5522"/>
    <w:rsid w:val="006D6593"/>
    <w:rsid w:val="006E0106"/>
    <w:rsid w:val="006E23EA"/>
    <w:rsid w:val="006E7002"/>
    <w:rsid w:val="006F03A8"/>
    <w:rsid w:val="006F2ACA"/>
    <w:rsid w:val="006F2ADC"/>
    <w:rsid w:val="006F2BFE"/>
    <w:rsid w:val="006F31E9"/>
    <w:rsid w:val="006F6284"/>
    <w:rsid w:val="007002C5"/>
    <w:rsid w:val="00701264"/>
    <w:rsid w:val="0070193A"/>
    <w:rsid w:val="0070338B"/>
    <w:rsid w:val="00703BEE"/>
    <w:rsid w:val="00704387"/>
    <w:rsid w:val="00707669"/>
    <w:rsid w:val="00711CBA"/>
    <w:rsid w:val="00711FB5"/>
    <w:rsid w:val="0071214F"/>
    <w:rsid w:val="00712A01"/>
    <w:rsid w:val="00714F58"/>
    <w:rsid w:val="00722FBF"/>
    <w:rsid w:val="00722FC2"/>
    <w:rsid w:val="00724879"/>
    <w:rsid w:val="00724E1B"/>
    <w:rsid w:val="00725949"/>
    <w:rsid w:val="00727FA2"/>
    <w:rsid w:val="007310AC"/>
    <w:rsid w:val="007322D9"/>
    <w:rsid w:val="00732BC0"/>
    <w:rsid w:val="007350A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65"/>
    <w:rsid w:val="007600E3"/>
    <w:rsid w:val="00761AED"/>
    <w:rsid w:val="00762DD7"/>
    <w:rsid w:val="00765C43"/>
    <w:rsid w:val="00765EFB"/>
    <w:rsid w:val="00766F77"/>
    <w:rsid w:val="007671CA"/>
    <w:rsid w:val="00767C61"/>
    <w:rsid w:val="0077008A"/>
    <w:rsid w:val="00770ACD"/>
    <w:rsid w:val="00773C1F"/>
    <w:rsid w:val="00774DA4"/>
    <w:rsid w:val="00776599"/>
    <w:rsid w:val="0077728A"/>
    <w:rsid w:val="0078114B"/>
    <w:rsid w:val="00781DD2"/>
    <w:rsid w:val="007826B2"/>
    <w:rsid w:val="00783ECF"/>
    <w:rsid w:val="0078413A"/>
    <w:rsid w:val="00784201"/>
    <w:rsid w:val="00790709"/>
    <w:rsid w:val="007925FB"/>
    <w:rsid w:val="007959E8"/>
    <w:rsid w:val="00795E9C"/>
    <w:rsid w:val="00796AAC"/>
    <w:rsid w:val="007A0521"/>
    <w:rsid w:val="007A1B36"/>
    <w:rsid w:val="007A2E12"/>
    <w:rsid w:val="007A3475"/>
    <w:rsid w:val="007A41C8"/>
    <w:rsid w:val="007A46D9"/>
    <w:rsid w:val="007A54CE"/>
    <w:rsid w:val="007A5A6D"/>
    <w:rsid w:val="007A6FD9"/>
    <w:rsid w:val="007A7FFA"/>
    <w:rsid w:val="007B04EB"/>
    <w:rsid w:val="007B0D4F"/>
    <w:rsid w:val="007B4EBF"/>
    <w:rsid w:val="007B5A3D"/>
    <w:rsid w:val="007B5B95"/>
    <w:rsid w:val="007B68EA"/>
    <w:rsid w:val="007B7453"/>
    <w:rsid w:val="007C1E8B"/>
    <w:rsid w:val="007C2BD4"/>
    <w:rsid w:val="007C2D89"/>
    <w:rsid w:val="007C4593"/>
    <w:rsid w:val="007C5309"/>
    <w:rsid w:val="007C5D82"/>
    <w:rsid w:val="007C6069"/>
    <w:rsid w:val="007C6A71"/>
    <w:rsid w:val="007C79A7"/>
    <w:rsid w:val="007D06C4"/>
    <w:rsid w:val="007D10EF"/>
    <w:rsid w:val="007D1352"/>
    <w:rsid w:val="007D1EFA"/>
    <w:rsid w:val="007D2508"/>
    <w:rsid w:val="007D346A"/>
    <w:rsid w:val="007D6518"/>
    <w:rsid w:val="007D76BD"/>
    <w:rsid w:val="007E058E"/>
    <w:rsid w:val="007E0BF1"/>
    <w:rsid w:val="007E1F68"/>
    <w:rsid w:val="007F006B"/>
    <w:rsid w:val="007F0ED8"/>
    <w:rsid w:val="007F0F63"/>
    <w:rsid w:val="007F75CE"/>
    <w:rsid w:val="008013A4"/>
    <w:rsid w:val="008027CE"/>
    <w:rsid w:val="00802F42"/>
    <w:rsid w:val="00804383"/>
    <w:rsid w:val="0080446E"/>
    <w:rsid w:val="00804BB7"/>
    <w:rsid w:val="00804D41"/>
    <w:rsid w:val="00806ED8"/>
    <w:rsid w:val="00810257"/>
    <w:rsid w:val="008104F5"/>
    <w:rsid w:val="00811072"/>
    <w:rsid w:val="00811369"/>
    <w:rsid w:val="00815419"/>
    <w:rsid w:val="008163C8"/>
    <w:rsid w:val="008164A1"/>
    <w:rsid w:val="00817325"/>
    <w:rsid w:val="008209E6"/>
    <w:rsid w:val="008232FE"/>
    <w:rsid w:val="00823303"/>
    <w:rsid w:val="008233B2"/>
    <w:rsid w:val="00823A9F"/>
    <w:rsid w:val="00823C85"/>
    <w:rsid w:val="00824381"/>
    <w:rsid w:val="00824CA7"/>
    <w:rsid w:val="00825138"/>
    <w:rsid w:val="008269DD"/>
    <w:rsid w:val="00830621"/>
    <w:rsid w:val="00832CD3"/>
    <w:rsid w:val="0083348C"/>
    <w:rsid w:val="00833AE4"/>
    <w:rsid w:val="008373D3"/>
    <w:rsid w:val="00840617"/>
    <w:rsid w:val="00840F84"/>
    <w:rsid w:val="00842A47"/>
    <w:rsid w:val="00843C13"/>
    <w:rsid w:val="008454F8"/>
    <w:rsid w:val="00846A04"/>
    <w:rsid w:val="0085173A"/>
    <w:rsid w:val="00851784"/>
    <w:rsid w:val="00852C44"/>
    <w:rsid w:val="00854477"/>
    <w:rsid w:val="0085587E"/>
    <w:rsid w:val="00856316"/>
    <w:rsid w:val="008603CE"/>
    <w:rsid w:val="008620FC"/>
    <w:rsid w:val="008627A5"/>
    <w:rsid w:val="00863E05"/>
    <w:rsid w:val="00865927"/>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9D6"/>
    <w:rsid w:val="00893FD1"/>
    <w:rsid w:val="00894836"/>
    <w:rsid w:val="00895172"/>
    <w:rsid w:val="00895680"/>
    <w:rsid w:val="00896DFF"/>
    <w:rsid w:val="0089762C"/>
    <w:rsid w:val="008A1893"/>
    <w:rsid w:val="008A3037"/>
    <w:rsid w:val="008A3215"/>
    <w:rsid w:val="008A3402"/>
    <w:rsid w:val="008A57E6"/>
    <w:rsid w:val="008A6F81"/>
    <w:rsid w:val="008A769A"/>
    <w:rsid w:val="008B0C9C"/>
    <w:rsid w:val="008B166D"/>
    <w:rsid w:val="008B17F4"/>
    <w:rsid w:val="008B1E2A"/>
    <w:rsid w:val="008B3615"/>
    <w:rsid w:val="008B4AC4"/>
    <w:rsid w:val="008B50C8"/>
    <w:rsid w:val="008B5281"/>
    <w:rsid w:val="008B7E05"/>
    <w:rsid w:val="008C1797"/>
    <w:rsid w:val="008C1AF1"/>
    <w:rsid w:val="008C219C"/>
    <w:rsid w:val="008C475E"/>
    <w:rsid w:val="008C619A"/>
    <w:rsid w:val="008C6337"/>
    <w:rsid w:val="008D0CE8"/>
    <w:rsid w:val="008D2D1D"/>
    <w:rsid w:val="008D453D"/>
    <w:rsid w:val="008D53AD"/>
    <w:rsid w:val="008D562B"/>
    <w:rsid w:val="008D5733"/>
    <w:rsid w:val="008D5B05"/>
    <w:rsid w:val="008D622B"/>
    <w:rsid w:val="008D666C"/>
    <w:rsid w:val="008D7B54"/>
    <w:rsid w:val="008D7BCF"/>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1E5D"/>
    <w:rsid w:val="00913CA9"/>
    <w:rsid w:val="009145AE"/>
    <w:rsid w:val="009146CE"/>
    <w:rsid w:val="00914CA7"/>
    <w:rsid w:val="00914F51"/>
    <w:rsid w:val="00915C3E"/>
    <w:rsid w:val="009161A8"/>
    <w:rsid w:val="009245F5"/>
    <w:rsid w:val="009249EC"/>
    <w:rsid w:val="0092564D"/>
    <w:rsid w:val="009273B3"/>
    <w:rsid w:val="009305B5"/>
    <w:rsid w:val="009417D8"/>
    <w:rsid w:val="00942230"/>
    <w:rsid w:val="009429D5"/>
    <w:rsid w:val="00942BF1"/>
    <w:rsid w:val="00945180"/>
    <w:rsid w:val="00945428"/>
    <w:rsid w:val="009455F3"/>
    <w:rsid w:val="0094607B"/>
    <w:rsid w:val="00946C00"/>
    <w:rsid w:val="00951487"/>
    <w:rsid w:val="00952429"/>
    <w:rsid w:val="00952CA0"/>
    <w:rsid w:val="00953604"/>
    <w:rsid w:val="0095496B"/>
    <w:rsid w:val="009554DE"/>
    <w:rsid w:val="009610DC"/>
    <w:rsid w:val="00961490"/>
    <w:rsid w:val="009637AC"/>
    <w:rsid w:val="0096381A"/>
    <w:rsid w:val="00965E04"/>
    <w:rsid w:val="009674AD"/>
    <w:rsid w:val="00970CDC"/>
    <w:rsid w:val="00971DF3"/>
    <w:rsid w:val="00972918"/>
    <w:rsid w:val="00976553"/>
    <w:rsid w:val="00977010"/>
    <w:rsid w:val="00977D02"/>
    <w:rsid w:val="009809BB"/>
    <w:rsid w:val="009811D9"/>
    <w:rsid w:val="00981E15"/>
    <w:rsid w:val="00982330"/>
    <w:rsid w:val="0098364B"/>
    <w:rsid w:val="00986D3A"/>
    <w:rsid w:val="00990DC9"/>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51B"/>
    <w:rsid w:val="009B55A1"/>
    <w:rsid w:val="009B6029"/>
    <w:rsid w:val="009B6763"/>
    <w:rsid w:val="009B6971"/>
    <w:rsid w:val="009B6C27"/>
    <w:rsid w:val="009C27F1"/>
    <w:rsid w:val="009C3152"/>
    <w:rsid w:val="009C33DB"/>
    <w:rsid w:val="009C4963"/>
    <w:rsid w:val="009C4CFA"/>
    <w:rsid w:val="009C5070"/>
    <w:rsid w:val="009C7A21"/>
    <w:rsid w:val="009D112C"/>
    <w:rsid w:val="009D2F8F"/>
    <w:rsid w:val="009D36BA"/>
    <w:rsid w:val="009D47FA"/>
    <w:rsid w:val="009D4C5B"/>
    <w:rsid w:val="009D50D2"/>
    <w:rsid w:val="009D5FCD"/>
    <w:rsid w:val="009D6BCA"/>
    <w:rsid w:val="009E0F62"/>
    <w:rsid w:val="009E4A58"/>
    <w:rsid w:val="009E5A2D"/>
    <w:rsid w:val="009E5AB2"/>
    <w:rsid w:val="009E6219"/>
    <w:rsid w:val="009F03B3"/>
    <w:rsid w:val="009F2CF2"/>
    <w:rsid w:val="009F5720"/>
    <w:rsid w:val="009F644F"/>
    <w:rsid w:val="00A0096C"/>
    <w:rsid w:val="00A01757"/>
    <w:rsid w:val="00A028C0"/>
    <w:rsid w:val="00A02BAE"/>
    <w:rsid w:val="00A06A6B"/>
    <w:rsid w:val="00A074A7"/>
    <w:rsid w:val="00A07E47"/>
    <w:rsid w:val="00A11558"/>
    <w:rsid w:val="00A129D0"/>
    <w:rsid w:val="00A12C33"/>
    <w:rsid w:val="00A138BA"/>
    <w:rsid w:val="00A14C8E"/>
    <w:rsid w:val="00A153D9"/>
    <w:rsid w:val="00A15F09"/>
    <w:rsid w:val="00A169B6"/>
    <w:rsid w:val="00A2271D"/>
    <w:rsid w:val="00A237D5"/>
    <w:rsid w:val="00A27FA1"/>
    <w:rsid w:val="00A30EFC"/>
    <w:rsid w:val="00A31984"/>
    <w:rsid w:val="00A31ECE"/>
    <w:rsid w:val="00A31FF1"/>
    <w:rsid w:val="00A32D73"/>
    <w:rsid w:val="00A3367B"/>
    <w:rsid w:val="00A3597D"/>
    <w:rsid w:val="00A359DD"/>
    <w:rsid w:val="00A36DD1"/>
    <w:rsid w:val="00A4006C"/>
    <w:rsid w:val="00A40091"/>
    <w:rsid w:val="00A4030F"/>
    <w:rsid w:val="00A41C79"/>
    <w:rsid w:val="00A41CB5"/>
    <w:rsid w:val="00A42CDF"/>
    <w:rsid w:val="00A4452E"/>
    <w:rsid w:val="00A4472C"/>
    <w:rsid w:val="00A44E69"/>
    <w:rsid w:val="00A45106"/>
    <w:rsid w:val="00A4661E"/>
    <w:rsid w:val="00A55BD6"/>
    <w:rsid w:val="00A55D50"/>
    <w:rsid w:val="00A57142"/>
    <w:rsid w:val="00A62CE7"/>
    <w:rsid w:val="00A648CD"/>
    <w:rsid w:val="00A6537A"/>
    <w:rsid w:val="00A65EF3"/>
    <w:rsid w:val="00A67866"/>
    <w:rsid w:val="00A708F1"/>
    <w:rsid w:val="00A70B07"/>
    <w:rsid w:val="00A71E9F"/>
    <w:rsid w:val="00A723F8"/>
    <w:rsid w:val="00A75181"/>
    <w:rsid w:val="00A77CCB"/>
    <w:rsid w:val="00A83D8D"/>
    <w:rsid w:val="00A8446B"/>
    <w:rsid w:val="00A8473F"/>
    <w:rsid w:val="00A862D6"/>
    <w:rsid w:val="00A8715E"/>
    <w:rsid w:val="00A9295B"/>
    <w:rsid w:val="00A93B09"/>
    <w:rsid w:val="00A93D34"/>
    <w:rsid w:val="00A94247"/>
    <w:rsid w:val="00A952D7"/>
    <w:rsid w:val="00A953E4"/>
    <w:rsid w:val="00A963F7"/>
    <w:rsid w:val="00A96AD8"/>
    <w:rsid w:val="00A973BD"/>
    <w:rsid w:val="00AA052C"/>
    <w:rsid w:val="00AA1E45"/>
    <w:rsid w:val="00AA25D5"/>
    <w:rsid w:val="00AA26E1"/>
    <w:rsid w:val="00AA4286"/>
    <w:rsid w:val="00AA456B"/>
    <w:rsid w:val="00AA57F5"/>
    <w:rsid w:val="00AA672E"/>
    <w:rsid w:val="00AA6EC9"/>
    <w:rsid w:val="00AB20A3"/>
    <w:rsid w:val="00AB386E"/>
    <w:rsid w:val="00AB41D5"/>
    <w:rsid w:val="00AB6309"/>
    <w:rsid w:val="00AB6C5F"/>
    <w:rsid w:val="00AB7129"/>
    <w:rsid w:val="00AB75DC"/>
    <w:rsid w:val="00AC27A6"/>
    <w:rsid w:val="00AC30F7"/>
    <w:rsid w:val="00AC3A5A"/>
    <w:rsid w:val="00AC4D95"/>
    <w:rsid w:val="00AC5330"/>
    <w:rsid w:val="00AC5DF4"/>
    <w:rsid w:val="00AD0AEF"/>
    <w:rsid w:val="00AD11B7"/>
    <w:rsid w:val="00AD1A94"/>
    <w:rsid w:val="00AD1C05"/>
    <w:rsid w:val="00AD265B"/>
    <w:rsid w:val="00AD2D48"/>
    <w:rsid w:val="00AD4126"/>
    <w:rsid w:val="00AD421C"/>
    <w:rsid w:val="00AD44FA"/>
    <w:rsid w:val="00AD7DD0"/>
    <w:rsid w:val="00AE070A"/>
    <w:rsid w:val="00AE101C"/>
    <w:rsid w:val="00AE2693"/>
    <w:rsid w:val="00AE37E5"/>
    <w:rsid w:val="00AE5BD7"/>
    <w:rsid w:val="00AE5EB4"/>
    <w:rsid w:val="00AE6CE4"/>
    <w:rsid w:val="00AE7C50"/>
    <w:rsid w:val="00AF0C18"/>
    <w:rsid w:val="00AF4519"/>
    <w:rsid w:val="00AF47C5"/>
    <w:rsid w:val="00AF5398"/>
    <w:rsid w:val="00AF5BF0"/>
    <w:rsid w:val="00B02422"/>
    <w:rsid w:val="00B04873"/>
    <w:rsid w:val="00B049AF"/>
    <w:rsid w:val="00B04C0F"/>
    <w:rsid w:val="00B06808"/>
    <w:rsid w:val="00B07242"/>
    <w:rsid w:val="00B07550"/>
    <w:rsid w:val="00B10534"/>
    <w:rsid w:val="00B113DB"/>
    <w:rsid w:val="00B11D8A"/>
    <w:rsid w:val="00B123C3"/>
    <w:rsid w:val="00B12981"/>
    <w:rsid w:val="00B147DD"/>
    <w:rsid w:val="00B156FD"/>
    <w:rsid w:val="00B20C81"/>
    <w:rsid w:val="00B21F61"/>
    <w:rsid w:val="00B25472"/>
    <w:rsid w:val="00B25F0E"/>
    <w:rsid w:val="00B26192"/>
    <w:rsid w:val="00B261F1"/>
    <w:rsid w:val="00B265BC"/>
    <w:rsid w:val="00B30AA2"/>
    <w:rsid w:val="00B30BBC"/>
    <w:rsid w:val="00B31FB1"/>
    <w:rsid w:val="00B33952"/>
    <w:rsid w:val="00B33C5E"/>
    <w:rsid w:val="00B342F4"/>
    <w:rsid w:val="00B34369"/>
    <w:rsid w:val="00B34AAE"/>
    <w:rsid w:val="00B34DC2"/>
    <w:rsid w:val="00B378E5"/>
    <w:rsid w:val="00B4093F"/>
    <w:rsid w:val="00B4346D"/>
    <w:rsid w:val="00B440F4"/>
    <w:rsid w:val="00B447A5"/>
    <w:rsid w:val="00B4654C"/>
    <w:rsid w:val="00B47293"/>
    <w:rsid w:val="00B50E50"/>
    <w:rsid w:val="00B52120"/>
    <w:rsid w:val="00B54ABC"/>
    <w:rsid w:val="00B54DDE"/>
    <w:rsid w:val="00B56FBE"/>
    <w:rsid w:val="00B60ACF"/>
    <w:rsid w:val="00B61D80"/>
    <w:rsid w:val="00B61E3F"/>
    <w:rsid w:val="00B62B58"/>
    <w:rsid w:val="00B65149"/>
    <w:rsid w:val="00B66567"/>
    <w:rsid w:val="00B66F52"/>
    <w:rsid w:val="00B66FE5"/>
    <w:rsid w:val="00B67490"/>
    <w:rsid w:val="00B72880"/>
    <w:rsid w:val="00B758BF"/>
    <w:rsid w:val="00B77988"/>
    <w:rsid w:val="00B77EC8"/>
    <w:rsid w:val="00B81E4B"/>
    <w:rsid w:val="00B827A6"/>
    <w:rsid w:val="00B831CE"/>
    <w:rsid w:val="00B86677"/>
    <w:rsid w:val="00B87131"/>
    <w:rsid w:val="00B90930"/>
    <w:rsid w:val="00B91F2F"/>
    <w:rsid w:val="00B939B1"/>
    <w:rsid w:val="00B96D40"/>
    <w:rsid w:val="00B97386"/>
    <w:rsid w:val="00BA11F5"/>
    <w:rsid w:val="00BA2135"/>
    <w:rsid w:val="00BA263B"/>
    <w:rsid w:val="00BA42B2"/>
    <w:rsid w:val="00BA4FAF"/>
    <w:rsid w:val="00BA58D4"/>
    <w:rsid w:val="00BA5B9E"/>
    <w:rsid w:val="00BA7C9A"/>
    <w:rsid w:val="00BB5F8F"/>
    <w:rsid w:val="00BB657A"/>
    <w:rsid w:val="00BB7BED"/>
    <w:rsid w:val="00BC0C2D"/>
    <w:rsid w:val="00BC1A4E"/>
    <w:rsid w:val="00BC334D"/>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049"/>
    <w:rsid w:val="00C04587"/>
    <w:rsid w:val="00C04904"/>
    <w:rsid w:val="00C056B3"/>
    <w:rsid w:val="00C103E5"/>
    <w:rsid w:val="00C1249F"/>
    <w:rsid w:val="00C13319"/>
    <w:rsid w:val="00C13EE9"/>
    <w:rsid w:val="00C158ED"/>
    <w:rsid w:val="00C202BD"/>
    <w:rsid w:val="00C2115C"/>
    <w:rsid w:val="00C21540"/>
    <w:rsid w:val="00C21906"/>
    <w:rsid w:val="00C21BFA"/>
    <w:rsid w:val="00C22148"/>
    <w:rsid w:val="00C235C7"/>
    <w:rsid w:val="00C23CCC"/>
    <w:rsid w:val="00C24C8D"/>
    <w:rsid w:val="00C25FE2"/>
    <w:rsid w:val="00C26B53"/>
    <w:rsid w:val="00C279B2"/>
    <w:rsid w:val="00C33E50"/>
    <w:rsid w:val="00C34C20"/>
    <w:rsid w:val="00C35A3E"/>
    <w:rsid w:val="00C41BAF"/>
    <w:rsid w:val="00C42130"/>
    <w:rsid w:val="00C423A4"/>
    <w:rsid w:val="00C44BF5"/>
    <w:rsid w:val="00C467DB"/>
    <w:rsid w:val="00C5143E"/>
    <w:rsid w:val="00C521D6"/>
    <w:rsid w:val="00C55232"/>
    <w:rsid w:val="00C553A4"/>
    <w:rsid w:val="00C55A06"/>
    <w:rsid w:val="00C55D03"/>
    <w:rsid w:val="00C601BC"/>
    <w:rsid w:val="00C6329F"/>
    <w:rsid w:val="00C63340"/>
    <w:rsid w:val="00C643F9"/>
    <w:rsid w:val="00C64E95"/>
    <w:rsid w:val="00C71372"/>
    <w:rsid w:val="00C72410"/>
    <w:rsid w:val="00C7287F"/>
    <w:rsid w:val="00C74E7A"/>
    <w:rsid w:val="00C7600C"/>
    <w:rsid w:val="00C80CB8"/>
    <w:rsid w:val="00C81900"/>
    <w:rsid w:val="00C819F8"/>
    <w:rsid w:val="00C8248C"/>
    <w:rsid w:val="00C84E33"/>
    <w:rsid w:val="00C860D3"/>
    <w:rsid w:val="00C86804"/>
    <w:rsid w:val="00C86D6F"/>
    <w:rsid w:val="00C87CFA"/>
    <w:rsid w:val="00C905FC"/>
    <w:rsid w:val="00C92D03"/>
    <w:rsid w:val="00C9319C"/>
    <w:rsid w:val="00C9435D"/>
    <w:rsid w:val="00C94DF2"/>
    <w:rsid w:val="00C96741"/>
    <w:rsid w:val="00CA1979"/>
    <w:rsid w:val="00CA2D1B"/>
    <w:rsid w:val="00CA375D"/>
    <w:rsid w:val="00CA662A"/>
    <w:rsid w:val="00CA7AFD"/>
    <w:rsid w:val="00CA7C3C"/>
    <w:rsid w:val="00CB0189"/>
    <w:rsid w:val="00CB0BA2"/>
    <w:rsid w:val="00CB1A42"/>
    <w:rsid w:val="00CB1B0C"/>
    <w:rsid w:val="00CB2C0B"/>
    <w:rsid w:val="00CB517D"/>
    <w:rsid w:val="00CC02CC"/>
    <w:rsid w:val="00CC038D"/>
    <w:rsid w:val="00CC08DB"/>
    <w:rsid w:val="00CC2F4A"/>
    <w:rsid w:val="00CC39FF"/>
    <w:rsid w:val="00CC3C2F"/>
    <w:rsid w:val="00CC45F6"/>
    <w:rsid w:val="00CC4AC8"/>
    <w:rsid w:val="00CC5233"/>
    <w:rsid w:val="00CC5DE6"/>
    <w:rsid w:val="00CC6E4E"/>
    <w:rsid w:val="00CC6FE8"/>
    <w:rsid w:val="00CC7202"/>
    <w:rsid w:val="00CD2808"/>
    <w:rsid w:val="00CD28BF"/>
    <w:rsid w:val="00CD4092"/>
    <w:rsid w:val="00CD4A20"/>
    <w:rsid w:val="00CD50A1"/>
    <w:rsid w:val="00CD519E"/>
    <w:rsid w:val="00CD7C9B"/>
    <w:rsid w:val="00CE0C4F"/>
    <w:rsid w:val="00CE23DD"/>
    <w:rsid w:val="00CE30EA"/>
    <w:rsid w:val="00CE6894"/>
    <w:rsid w:val="00CF043E"/>
    <w:rsid w:val="00CF048A"/>
    <w:rsid w:val="00CF0A89"/>
    <w:rsid w:val="00CF155A"/>
    <w:rsid w:val="00CF2379"/>
    <w:rsid w:val="00CF2947"/>
    <w:rsid w:val="00CF686F"/>
    <w:rsid w:val="00CF6E60"/>
    <w:rsid w:val="00CF7BCA"/>
    <w:rsid w:val="00D001F6"/>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2433"/>
    <w:rsid w:val="00D230E5"/>
    <w:rsid w:val="00D25E37"/>
    <w:rsid w:val="00D2661A"/>
    <w:rsid w:val="00D27582"/>
    <w:rsid w:val="00D27EC4"/>
    <w:rsid w:val="00D3208D"/>
    <w:rsid w:val="00D32719"/>
    <w:rsid w:val="00D33333"/>
    <w:rsid w:val="00D33457"/>
    <w:rsid w:val="00D336B3"/>
    <w:rsid w:val="00D352A2"/>
    <w:rsid w:val="00D35F31"/>
    <w:rsid w:val="00D4162B"/>
    <w:rsid w:val="00D434A8"/>
    <w:rsid w:val="00D4514F"/>
    <w:rsid w:val="00D451E2"/>
    <w:rsid w:val="00D45E89"/>
    <w:rsid w:val="00D45E8D"/>
    <w:rsid w:val="00D466AE"/>
    <w:rsid w:val="00D4734F"/>
    <w:rsid w:val="00D51BF3"/>
    <w:rsid w:val="00D552C5"/>
    <w:rsid w:val="00D57F52"/>
    <w:rsid w:val="00D61EBB"/>
    <w:rsid w:val="00D66846"/>
    <w:rsid w:val="00D66C59"/>
    <w:rsid w:val="00D66D72"/>
    <w:rsid w:val="00D674BA"/>
    <w:rsid w:val="00D675FB"/>
    <w:rsid w:val="00D71F25"/>
    <w:rsid w:val="00D72A9C"/>
    <w:rsid w:val="00D73559"/>
    <w:rsid w:val="00D77031"/>
    <w:rsid w:val="00D77592"/>
    <w:rsid w:val="00D84941"/>
    <w:rsid w:val="00D84FA1"/>
    <w:rsid w:val="00D851F0"/>
    <w:rsid w:val="00D86DB7"/>
    <w:rsid w:val="00D926D0"/>
    <w:rsid w:val="00D93030"/>
    <w:rsid w:val="00D9500A"/>
    <w:rsid w:val="00D950E1"/>
    <w:rsid w:val="00D952A6"/>
    <w:rsid w:val="00D97F99"/>
    <w:rsid w:val="00DA1E08"/>
    <w:rsid w:val="00DA24F8"/>
    <w:rsid w:val="00DA2793"/>
    <w:rsid w:val="00DA28E8"/>
    <w:rsid w:val="00DA38D3"/>
    <w:rsid w:val="00DA3932"/>
    <w:rsid w:val="00DA3AFC"/>
    <w:rsid w:val="00DA64F8"/>
    <w:rsid w:val="00DA6C15"/>
    <w:rsid w:val="00DB0258"/>
    <w:rsid w:val="00DB38EE"/>
    <w:rsid w:val="00DB498B"/>
    <w:rsid w:val="00DB66AC"/>
    <w:rsid w:val="00DB66CA"/>
    <w:rsid w:val="00DB6BCA"/>
    <w:rsid w:val="00DB73F7"/>
    <w:rsid w:val="00DC0321"/>
    <w:rsid w:val="00DC3067"/>
    <w:rsid w:val="00DC370B"/>
    <w:rsid w:val="00DC5B90"/>
    <w:rsid w:val="00DC7DEF"/>
    <w:rsid w:val="00DD00FF"/>
    <w:rsid w:val="00DD0619"/>
    <w:rsid w:val="00DD07FB"/>
    <w:rsid w:val="00DD25C6"/>
    <w:rsid w:val="00DD4FE5"/>
    <w:rsid w:val="00DD54B0"/>
    <w:rsid w:val="00DD57EE"/>
    <w:rsid w:val="00DD6BCC"/>
    <w:rsid w:val="00DE0A4B"/>
    <w:rsid w:val="00DE2410"/>
    <w:rsid w:val="00DE2939"/>
    <w:rsid w:val="00DE6ADA"/>
    <w:rsid w:val="00DE6E81"/>
    <w:rsid w:val="00DE703F"/>
    <w:rsid w:val="00DE7595"/>
    <w:rsid w:val="00DF081B"/>
    <w:rsid w:val="00DF0FBD"/>
    <w:rsid w:val="00DF1961"/>
    <w:rsid w:val="00DF401C"/>
    <w:rsid w:val="00DF44DE"/>
    <w:rsid w:val="00DF5F11"/>
    <w:rsid w:val="00DF6DE8"/>
    <w:rsid w:val="00E01138"/>
    <w:rsid w:val="00E02DFB"/>
    <w:rsid w:val="00E030F9"/>
    <w:rsid w:val="00E0311A"/>
    <w:rsid w:val="00E03138"/>
    <w:rsid w:val="00E06404"/>
    <w:rsid w:val="00E11A85"/>
    <w:rsid w:val="00E12495"/>
    <w:rsid w:val="00E15CCD"/>
    <w:rsid w:val="00E202EF"/>
    <w:rsid w:val="00E210B5"/>
    <w:rsid w:val="00E23D99"/>
    <w:rsid w:val="00E24B90"/>
    <w:rsid w:val="00E24CE8"/>
    <w:rsid w:val="00E2552F"/>
    <w:rsid w:val="00E3137A"/>
    <w:rsid w:val="00E32CCF"/>
    <w:rsid w:val="00E347EA"/>
    <w:rsid w:val="00E34A98"/>
    <w:rsid w:val="00E35D1E"/>
    <w:rsid w:val="00E364F9"/>
    <w:rsid w:val="00E365FA"/>
    <w:rsid w:val="00E36789"/>
    <w:rsid w:val="00E44A83"/>
    <w:rsid w:val="00E502C1"/>
    <w:rsid w:val="00E502DD"/>
    <w:rsid w:val="00E50BF5"/>
    <w:rsid w:val="00E50D3A"/>
    <w:rsid w:val="00E51387"/>
    <w:rsid w:val="00E51E68"/>
    <w:rsid w:val="00E52EFD"/>
    <w:rsid w:val="00E5408A"/>
    <w:rsid w:val="00E544E2"/>
    <w:rsid w:val="00E562AF"/>
    <w:rsid w:val="00E56800"/>
    <w:rsid w:val="00E56D08"/>
    <w:rsid w:val="00E57E79"/>
    <w:rsid w:val="00E60C63"/>
    <w:rsid w:val="00E6124E"/>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3A0"/>
    <w:rsid w:val="00E85BFF"/>
    <w:rsid w:val="00E87D7D"/>
    <w:rsid w:val="00E90391"/>
    <w:rsid w:val="00E906C2"/>
    <w:rsid w:val="00E9311F"/>
    <w:rsid w:val="00E934D1"/>
    <w:rsid w:val="00E94AF0"/>
    <w:rsid w:val="00E95D13"/>
    <w:rsid w:val="00E95DD3"/>
    <w:rsid w:val="00E969D5"/>
    <w:rsid w:val="00EA58D1"/>
    <w:rsid w:val="00EA61BC"/>
    <w:rsid w:val="00EA6451"/>
    <w:rsid w:val="00EA681A"/>
    <w:rsid w:val="00EA6BF0"/>
    <w:rsid w:val="00EA735B"/>
    <w:rsid w:val="00EB17DE"/>
    <w:rsid w:val="00EB1E69"/>
    <w:rsid w:val="00EB2086"/>
    <w:rsid w:val="00EB438D"/>
    <w:rsid w:val="00EB475B"/>
    <w:rsid w:val="00EB5EDF"/>
    <w:rsid w:val="00EB60FE"/>
    <w:rsid w:val="00EB74DB"/>
    <w:rsid w:val="00EC3B07"/>
    <w:rsid w:val="00EC5359"/>
    <w:rsid w:val="00EC562A"/>
    <w:rsid w:val="00ED051C"/>
    <w:rsid w:val="00ED067A"/>
    <w:rsid w:val="00ED2133"/>
    <w:rsid w:val="00ED2B50"/>
    <w:rsid w:val="00ED75DA"/>
    <w:rsid w:val="00EE0350"/>
    <w:rsid w:val="00EE0719"/>
    <w:rsid w:val="00EE0E80"/>
    <w:rsid w:val="00EE2575"/>
    <w:rsid w:val="00EE54A6"/>
    <w:rsid w:val="00EE613F"/>
    <w:rsid w:val="00EE7295"/>
    <w:rsid w:val="00EE7869"/>
    <w:rsid w:val="00EF054A"/>
    <w:rsid w:val="00EF0EAD"/>
    <w:rsid w:val="00EF3235"/>
    <w:rsid w:val="00EF4A3B"/>
    <w:rsid w:val="00EF7E72"/>
    <w:rsid w:val="00F06082"/>
    <w:rsid w:val="00F06D37"/>
    <w:rsid w:val="00F07B9D"/>
    <w:rsid w:val="00F11586"/>
    <w:rsid w:val="00F1183B"/>
    <w:rsid w:val="00F11C9F"/>
    <w:rsid w:val="00F12263"/>
    <w:rsid w:val="00F123BA"/>
    <w:rsid w:val="00F1409D"/>
    <w:rsid w:val="00F14214"/>
    <w:rsid w:val="00F14BD2"/>
    <w:rsid w:val="00F157A9"/>
    <w:rsid w:val="00F25BB6"/>
    <w:rsid w:val="00F26B7E"/>
    <w:rsid w:val="00F27A3B"/>
    <w:rsid w:val="00F333E3"/>
    <w:rsid w:val="00F33817"/>
    <w:rsid w:val="00F34644"/>
    <w:rsid w:val="00F420D5"/>
    <w:rsid w:val="00F4518B"/>
    <w:rsid w:val="00F451EA"/>
    <w:rsid w:val="00F45447"/>
    <w:rsid w:val="00F456C6"/>
    <w:rsid w:val="00F4577B"/>
    <w:rsid w:val="00F46496"/>
    <w:rsid w:val="00F474D0"/>
    <w:rsid w:val="00F5015D"/>
    <w:rsid w:val="00F50179"/>
    <w:rsid w:val="00F515EE"/>
    <w:rsid w:val="00F547E5"/>
    <w:rsid w:val="00F5577A"/>
    <w:rsid w:val="00F56511"/>
    <w:rsid w:val="00F6194E"/>
    <w:rsid w:val="00F623AC"/>
    <w:rsid w:val="00F6412A"/>
    <w:rsid w:val="00F65893"/>
    <w:rsid w:val="00F66A4A"/>
    <w:rsid w:val="00F71E22"/>
    <w:rsid w:val="00F72142"/>
    <w:rsid w:val="00F72AE7"/>
    <w:rsid w:val="00F72F3D"/>
    <w:rsid w:val="00F72F50"/>
    <w:rsid w:val="00F81141"/>
    <w:rsid w:val="00F833BA"/>
    <w:rsid w:val="00F84A41"/>
    <w:rsid w:val="00F84FD0"/>
    <w:rsid w:val="00F859A8"/>
    <w:rsid w:val="00F86D87"/>
    <w:rsid w:val="00F9108B"/>
    <w:rsid w:val="00F91349"/>
    <w:rsid w:val="00F9203F"/>
    <w:rsid w:val="00F92764"/>
    <w:rsid w:val="00F93A8A"/>
    <w:rsid w:val="00F94CE8"/>
    <w:rsid w:val="00F95248"/>
    <w:rsid w:val="00F956A9"/>
    <w:rsid w:val="00F963ED"/>
    <w:rsid w:val="00F966CF"/>
    <w:rsid w:val="00F96CAE"/>
    <w:rsid w:val="00F97C99"/>
    <w:rsid w:val="00FA0743"/>
    <w:rsid w:val="00FA3981"/>
    <w:rsid w:val="00FA4DAC"/>
    <w:rsid w:val="00FA50AB"/>
    <w:rsid w:val="00FA5E0A"/>
    <w:rsid w:val="00FA662D"/>
    <w:rsid w:val="00FA73B1"/>
    <w:rsid w:val="00FA7810"/>
    <w:rsid w:val="00FA7D7C"/>
    <w:rsid w:val="00FB06C2"/>
    <w:rsid w:val="00FB0CB9"/>
    <w:rsid w:val="00FB231D"/>
    <w:rsid w:val="00FB45F1"/>
    <w:rsid w:val="00FB4A72"/>
    <w:rsid w:val="00FB54E8"/>
    <w:rsid w:val="00FB7054"/>
    <w:rsid w:val="00FC17B7"/>
    <w:rsid w:val="00FC2CB7"/>
    <w:rsid w:val="00FC3EDD"/>
    <w:rsid w:val="00FC4090"/>
    <w:rsid w:val="00FC423A"/>
    <w:rsid w:val="00FC55B4"/>
    <w:rsid w:val="00FC56B4"/>
    <w:rsid w:val="00FD00E6"/>
    <w:rsid w:val="00FD05C4"/>
    <w:rsid w:val="00FD09A1"/>
    <w:rsid w:val="00FD2A7C"/>
    <w:rsid w:val="00FD4D93"/>
    <w:rsid w:val="00FD59EB"/>
    <w:rsid w:val="00FD7299"/>
    <w:rsid w:val="00FE1FBE"/>
    <w:rsid w:val="00FE3901"/>
    <w:rsid w:val="00FE39D3"/>
    <w:rsid w:val="00FE4BCE"/>
    <w:rsid w:val="00FE54AE"/>
    <w:rsid w:val="00FE576A"/>
    <w:rsid w:val="00FE6C2B"/>
    <w:rsid w:val="00FE7E79"/>
    <w:rsid w:val="00FF3E7D"/>
    <w:rsid w:val="00FF4B6E"/>
    <w:rsid w:val="00FF5B99"/>
    <w:rsid w:val="00FF730C"/>
    <w:rsid w:val="00FF73F4"/>
    <w:rsid w:val="00FF7CE4"/>
    <w:rsid w:val="00FF7E39"/>
    <w:rsid w:val="021F19F3"/>
    <w:rsid w:val="043C40B2"/>
    <w:rsid w:val="0ABE63AA"/>
    <w:rsid w:val="0C4250B2"/>
    <w:rsid w:val="138F05EF"/>
    <w:rsid w:val="15B93B00"/>
    <w:rsid w:val="166C6D24"/>
    <w:rsid w:val="1A055A58"/>
    <w:rsid w:val="26BE239F"/>
    <w:rsid w:val="27CF218B"/>
    <w:rsid w:val="2C9E7359"/>
    <w:rsid w:val="3101423C"/>
    <w:rsid w:val="37DC440A"/>
    <w:rsid w:val="38315328"/>
    <w:rsid w:val="39C86A42"/>
    <w:rsid w:val="3AD55892"/>
    <w:rsid w:val="3BA87B56"/>
    <w:rsid w:val="3EB37E5D"/>
    <w:rsid w:val="47443F07"/>
    <w:rsid w:val="524B0130"/>
    <w:rsid w:val="534B50D0"/>
    <w:rsid w:val="53C3143E"/>
    <w:rsid w:val="542E0A02"/>
    <w:rsid w:val="56E91244"/>
    <w:rsid w:val="5C63669C"/>
    <w:rsid w:val="5DCA1796"/>
    <w:rsid w:val="5DD875FC"/>
    <w:rsid w:val="602E6161"/>
    <w:rsid w:val="62695767"/>
    <w:rsid w:val="6C1F4DF2"/>
    <w:rsid w:val="7D611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2"/>
    <w:semiHidden/>
    <w:unhideWhenUsed/>
    <w:qFormat/>
    <w:uiPriority w:val="99"/>
    <w:pPr>
      <w:jc w:val="left"/>
    </w:pPr>
  </w:style>
  <w:style w:type="paragraph" w:styleId="14">
    <w:name w:val="Body Text"/>
    <w:basedOn w:val="1"/>
    <w:link w:val="4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unhideWhenUsed/>
    <w:qFormat/>
    <w:uiPriority w:val="99"/>
    <w:rPr>
      <w:sz w:val="18"/>
      <w:szCs w:val="18"/>
    </w:rPr>
  </w:style>
  <w:style w:type="paragraph" w:styleId="18">
    <w:name w:val="footer"/>
    <w:basedOn w:val="1"/>
    <w:link w:val="49"/>
    <w:qFormat/>
    <w:uiPriority w:val="0"/>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0"/>
    <w:qFormat/>
    <w:uiPriority w:val="0"/>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5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rPr>
      <w:sz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53"/>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正文文本 字符"/>
    <w:link w:val="14"/>
    <w:qFormat/>
    <w:uiPriority w:val="0"/>
    <w:rPr>
      <w:rFonts w:ascii="Times New Roman" w:hAnsi="Times New Roman" w:eastAsia="宋体" w:cs="Times New Roman"/>
      <w:szCs w:val="20"/>
    </w:rPr>
  </w:style>
  <w:style w:type="character" w:customStyle="1" w:styleId="48">
    <w:name w:val="批注框文本 字符"/>
    <w:link w:val="17"/>
    <w:semiHidden/>
    <w:qFormat/>
    <w:uiPriority w:val="99"/>
    <w:rPr>
      <w:sz w:val="18"/>
      <w:szCs w:val="18"/>
    </w:rPr>
  </w:style>
  <w:style w:type="character" w:customStyle="1" w:styleId="49">
    <w:name w:val="页脚 字符"/>
    <w:link w:val="18"/>
    <w:qFormat/>
    <w:uiPriority w:val="99"/>
    <w:rPr>
      <w:rFonts w:ascii="宋体" w:hAnsi="Times New Roman" w:eastAsia="宋体" w:cs="Times New Roman"/>
      <w:sz w:val="18"/>
      <w:szCs w:val="18"/>
    </w:rPr>
  </w:style>
  <w:style w:type="character" w:customStyle="1" w:styleId="50">
    <w:name w:val="页眉 字符"/>
    <w:link w:val="19"/>
    <w:qFormat/>
    <w:uiPriority w:val="0"/>
    <w:rPr>
      <w:rFonts w:ascii="Times New Roman" w:hAnsi="Times New Roman" w:eastAsia="宋体" w:cs="Times New Roman"/>
      <w:sz w:val="18"/>
      <w:szCs w:val="18"/>
    </w:rPr>
  </w:style>
  <w:style w:type="character" w:customStyle="1" w:styleId="51">
    <w:name w:val="脚注文本 字符"/>
    <w:link w:val="22"/>
    <w:semiHidden/>
    <w:qFormat/>
    <w:uiPriority w:val="0"/>
    <w:rPr>
      <w:rFonts w:ascii="宋体" w:hAnsi="Times New Roman" w:eastAsia="宋体" w:cs="Times New Roman"/>
      <w:sz w:val="18"/>
      <w:szCs w:val="18"/>
    </w:rPr>
  </w:style>
  <w:style w:type="character" w:customStyle="1" w:styleId="52">
    <w:name w:val="标题 字符"/>
    <w:link w:val="27"/>
    <w:qFormat/>
    <w:uiPriority w:val="0"/>
    <w:rPr>
      <w:rFonts w:ascii="Arial" w:hAnsi="Arial" w:eastAsia="宋体" w:cs="Arial"/>
      <w:b/>
      <w:bCs/>
      <w:sz w:val="32"/>
      <w:szCs w:val="32"/>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
    <w:name w:val="标准文件_段 Char"/>
    <w:link w:val="62"/>
    <w:qFormat/>
    <w:uiPriority w:val="0"/>
    <w:rPr>
      <w:rFonts w:ascii="宋体" w:hAnsi="Times New Roman"/>
      <w:sz w:val="21"/>
    </w:rPr>
  </w:style>
  <w:style w:type="paragraph" w:customStyle="1" w:styleId="64">
    <w:name w:val="标准文件_版本"/>
    <w:basedOn w:val="61"/>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2">
    <w:name w:val="标准文件_二级条标题"/>
    <w:next w:val="62"/>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62"/>
    <w:qFormat/>
    <w:uiPriority w:val="0"/>
    <w:pPr>
      <w:numPr>
        <w:ilvl w:val="0"/>
        <w:numId w:val="3"/>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2"/>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2"/>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2"/>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2"/>
    <w:qFormat/>
    <w:uiPriority w:val="0"/>
    <w:pPr>
      <w:widowControl/>
      <w:numPr>
        <w:ilvl w:val="2"/>
      </w:numPr>
      <w:wordWrap w:val="0"/>
      <w:overflowPunct w:val="0"/>
      <w:autoSpaceDE w:val="0"/>
      <w:autoSpaceDN w:val="0"/>
      <w:textAlignment w:val="baseline"/>
      <w:outlineLvl w:val="3"/>
    </w:pPr>
  </w:style>
  <w:style w:type="paragraph" w:customStyle="1" w:styleId="87">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2"/>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2"/>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2"/>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1">
    <w:name w:val="标准文件_附录五级条标题"/>
    <w:next w:val="62"/>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pPr>
  </w:style>
  <w:style w:type="paragraph" w:customStyle="1" w:styleId="97">
    <w:name w:val="标准文件_目录标题"/>
    <w:basedOn w:val="1"/>
    <w:qFormat/>
    <w:uiPriority w:val="0"/>
    <w:pPr>
      <w:spacing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ind w:left="0" w:firstLine="200"/>
    </w:pPr>
  </w:style>
  <w:style w:type="paragraph" w:customStyle="1" w:styleId="100">
    <w:name w:val="标准文件_三级条标题"/>
    <w:basedOn w:val="72"/>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2"/>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2"/>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2"/>
    <w:qFormat/>
    <w:uiPriority w:val="0"/>
    <w:pPr>
      <w:numPr>
        <w:ilvl w:val="2"/>
      </w:numPr>
      <w:spacing w:beforeLines="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2"/>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2"/>
    <w:qFormat/>
    <w:uiPriority w:val="0"/>
    <w:pPr>
      <w:outlineLvl w:val="4"/>
    </w:pPr>
  </w:style>
  <w:style w:type="paragraph" w:customStyle="1" w:styleId="135">
    <w:name w:val="附录四级无标题条"/>
    <w:basedOn w:val="134"/>
    <w:next w:val="62"/>
    <w:qFormat/>
    <w:uiPriority w:val="0"/>
    <w:pPr>
      <w:outlineLvl w:val="5"/>
    </w:pPr>
  </w:style>
  <w:style w:type="paragraph" w:customStyle="1" w:styleId="136">
    <w:name w:val="附录图"/>
    <w:next w:val="62"/>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2"/>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3"/>
    <w:next w:val="62"/>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2"/>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2"/>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100"/>
    <w:qFormat/>
    <w:uiPriority w:val="0"/>
    <w:pPr>
      <w:spacing w:beforeLines="0" w:afterLines="0"/>
      <w:outlineLvl w:val="9"/>
    </w:pPr>
    <w:rPr>
      <w:rFonts w:ascii="宋体" w:eastAsia="宋体"/>
    </w:rPr>
  </w:style>
  <w:style w:type="paragraph" w:customStyle="1" w:styleId="170">
    <w:name w:val="标准文件_二级无标题"/>
    <w:basedOn w:val="72"/>
    <w:qFormat/>
    <w:uiPriority w:val="0"/>
    <w:pPr>
      <w:spacing w:beforeLines="0" w:afterLines="0"/>
      <w:outlineLvl w:val="9"/>
    </w:pPr>
    <w:rPr>
      <w:rFonts w:ascii="宋体" w:eastAsia="宋体"/>
    </w:rPr>
  </w:style>
  <w:style w:type="paragraph" w:customStyle="1" w:styleId="171">
    <w:name w:val="标准_四级无标题"/>
    <w:basedOn w:val="104"/>
    <w:next w:val="62"/>
    <w:qFormat/>
    <w:uiPriority w:val="0"/>
    <w:rPr>
      <w:rFonts w:eastAsia="宋体"/>
    </w:rPr>
  </w:style>
  <w:style w:type="paragraph" w:customStyle="1" w:styleId="172">
    <w:name w:val="标准文件_四级无标题"/>
    <w:basedOn w:val="104"/>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2"/>
    <w:qFormat/>
    <w:uiPriority w:val="0"/>
    <w:pPr>
      <w:numPr>
        <w:ilvl w:val="0"/>
        <w:numId w:val="24"/>
      </w:numPr>
      <w:ind w:firstLine="0" w:firstLineChars="0"/>
    </w:pPr>
    <w:rPr>
      <w:rFonts w:cs="Arial"/>
      <w:szCs w:val="28"/>
    </w:rPr>
  </w:style>
  <w:style w:type="paragraph" w:customStyle="1" w:styleId="175">
    <w:name w:val="标准文件_附录标题"/>
    <w:basedOn w:val="83"/>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2"/>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2"/>
    <w:qFormat/>
    <w:uiPriority w:val="0"/>
    <w:pPr>
      <w:ind w:firstLine="0" w:firstLineChars="0"/>
      <w:jc w:val="center"/>
    </w:pPr>
    <w:rPr>
      <w:sz w:val="18"/>
    </w:rPr>
  </w:style>
  <w:style w:type="paragraph" w:customStyle="1" w:styleId="184">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2"/>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89">
    <w:name w:val="标准文件_表格续"/>
    <w:basedOn w:val="62"/>
    <w:next w:val="62"/>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2"/>
    <w:qFormat/>
    <w:uiPriority w:val="0"/>
    <w:pPr>
      <w:numPr>
        <w:ilvl w:val="1"/>
        <w:numId w:val="21"/>
      </w:numPr>
      <w:ind w:left="1271" w:hanging="420" w:firstLineChars="0"/>
    </w:pPr>
  </w:style>
  <w:style w:type="paragraph" w:customStyle="1" w:styleId="192">
    <w:name w:val="标准文件_三级项2"/>
    <w:basedOn w:val="62"/>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2"/>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2"/>
    <w:next w:val="62"/>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5"/>
    <w:qFormat/>
    <w:uiPriority w:val="0"/>
    <w:pPr>
      <w:framePr w:w="3997" w:h="471" w:hRule="exact" w:hSpace="0" w:vSpace="181" w:wrap="around" w:vAnchor="page" w:hAnchor="page" w:x="1419" w:y="14097"/>
    </w:pPr>
  </w:style>
  <w:style w:type="paragraph" w:customStyle="1" w:styleId="198">
    <w:name w:val="其他实施日期"/>
    <w:basedOn w:val="159"/>
    <w:qFormat/>
    <w:uiPriority w:val="0"/>
    <w:pPr>
      <w:framePr w:w="3997" w:h="471" w:hRule="exact" w:vSpace="181" w:wrap="around" w:vAnchor="page" w:hAnchor="page" w:x="7089" w:y="14097"/>
    </w:pPr>
  </w:style>
  <w:style w:type="paragraph" w:customStyle="1" w:styleId="199">
    <w:name w:val="标准文件_文件编号"/>
    <w:basedOn w:val="6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62"/>
    <w:next w:val="62"/>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2"/>
    <w:next w:val="62"/>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2"/>
    <w:next w:val="62"/>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2"/>
    <w:next w:val="62"/>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2"/>
    <w:next w:val="62"/>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2"/>
    <w:next w:val="62"/>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2"/>
    <w:qFormat/>
    <w:uiPriority w:val="0"/>
    <w:pPr>
      <w:ind w:left="811" w:firstLine="0" w:firstLineChars="0"/>
    </w:pPr>
    <w:rPr>
      <w:sz w:val="18"/>
    </w:rPr>
  </w:style>
  <w:style w:type="paragraph" w:customStyle="1" w:styleId="210">
    <w:name w:val="标准文件_注X后"/>
    <w:basedOn w:val="62"/>
    <w:qFormat/>
    <w:uiPriority w:val="0"/>
    <w:pPr>
      <w:ind w:left="811" w:firstLine="0" w:firstLineChars="0"/>
    </w:pPr>
    <w:rPr>
      <w:sz w:val="18"/>
    </w:rPr>
  </w:style>
  <w:style w:type="paragraph" w:customStyle="1" w:styleId="211">
    <w:name w:val="标准文件_示例后"/>
    <w:basedOn w:val="62"/>
    <w:qFormat/>
    <w:uiPriority w:val="0"/>
    <w:pPr>
      <w:ind w:left="964" w:firstLine="0" w:firstLineChars="0"/>
    </w:pPr>
    <w:rPr>
      <w:sz w:val="18"/>
    </w:rPr>
  </w:style>
  <w:style w:type="paragraph" w:customStyle="1" w:styleId="212">
    <w:name w:val="标准文件_示例X后"/>
    <w:basedOn w:val="62"/>
    <w:link w:val="213"/>
    <w:qFormat/>
    <w:uiPriority w:val="0"/>
    <w:pPr>
      <w:ind w:left="1049" w:firstLine="0" w:firstLineChars="0"/>
    </w:pPr>
    <w:rPr>
      <w:sz w:val="18"/>
    </w:rPr>
  </w:style>
  <w:style w:type="character" w:customStyle="1" w:styleId="213">
    <w:name w:val="标准文件_示例X后 字符"/>
    <w:basedOn w:val="63"/>
    <w:link w:val="212"/>
    <w:qFormat/>
    <w:uiPriority w:val="0"/>
    <w:rPr>
      <w:rFonts w:ascii="宋体" w:hAnsi="Times New Roman"/>
      <w:sz w:val="18"/>
    </w:rPr>
  </w:style>
  <w:style w:type="paragraph" w:customStyle="1" w:styleId="214">
    <w:name w:val="标准文件_索引项"/>
    <w:basedOn w:val="62"/>
    <w:next w:val="62"/>
    <w:qFormat/>
    <w:uiPriority w:val="0"/>
    <w:pPr>
      <w:tabs>
        <w:tab w:val="right" w:leader="dot" w:pos="9356"/>
      </w:tabs>
      <w:ind w:left="210" w:hanging="210" w:firstLineChars="0"/>
      <w:jc w:val="left"/>
    </w:pPr>
  </w:style>
  <w:style w:type="paragraph" w:customStyle="1" w:styleId="215">
    <w:name w:val="标准文件_附录一级无标题"/>
    <w:basedOn w:val="85"/>
    <w:qFormat/>
    <w:uiPriority w:val="0"/>
    <w:pPr>
      <w:spacing w:beforeLines="0" w:afterLines="0" w:line="276" w:lineRule="auto"/>
      <w:outlineLvl w:val="9"/>
    </w:pPr>
    <w:rPr>
      <w:rFonts w:ascii="宋体" w:eastAsia="宋体"/>
    </w:rPr>
  </w:style>
  <w:style w:type="paragraph" w:customStyle="1" w:styleId="216">
    <w:name w:val="标准文件_附录二级无标题"/>
    <w:basedOn w:val="86"/>
    <w:qFormat/>
    <w:uiPriority w:val="0"/>
    <w:pPr>
      <w:spacing w:beforeLines="0" w:afterLines="0" w:line="276" w:lineRule="auto"/>
      <w:outlineLvl w:val="9"/>
    </w:pPr>
    <w:rPr>
      <w:rFonts w:ascii="宋体" w:eastAsia="宋体"/>
    </w:rPr>
  </w:style>
  <w:style w:type="paragraph" w:customStyle="1" w:styleId="217">
    <w:name w:val="标准文件_附录三级无标题"/>
    <w:basedOn w:val="88"/>
    <w:qFormat/>
    <w:uiPriority w:val="0"/>
    <w:pPr>
      <w:spacing w:beforeLines="0" w:afterLines="0" w:line="276" w:lineRule="auto"/>
      <w:outlineLvl w:val="9"/>
    </w:pPr>
    <w:rPr>
      <w:rFonts w:ascii="宋体" w:eastAsia="宋体"/>
    </w:rPr>
  </w:style>
  <w:style w:type="paragraph" w:customStyle="1" w:styleId="218">
    <w:name w:val="标准文件_附录四级无标题"/>
    <w:basedOn w:val="89"/>
    <w:qFormat/>
    <w:uiPriority w:val="0"/>
    <w:pPr>
      <w:spacing w:beforeLines="0" w:afterLines="0" w:line="276" w:lineRule="auto"/>
      <w:outlineLvl w:val="9"/>
    </w:pPr>
    <w:rPr>
      <w:rFonts w:ascii="宋体" w:eastAsia="宋体"/>
    </w:rPr>
  </w:style>
  <w:style w:type="paragraph" w:customStyle="1" w:styleId="219">
    <w:name w:val="标准文件_附录五级无标题"/>
    <w:basedOn w:val="91"/>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2"/>
    <w:qFormat/>
    <w:uiPriority w:val="0"/>
    <w:pPr>
      <w:spacing w:beforeLines="0" w:afterLines="0" w:line="276" w:lineRule="auto"/>
    </w:pPr>
    <w:rPr>
      <w:rFonts w:ascii="宋体" w:eastAsia="宋体"/>
    </w:rPr>
  </w:style>
  <w:style w:type="paragraph" w:customStyle="1" w:styleId="221">
    <w:name w:val="标准文件_引言二级无标题"/>
    <w:basedOn w:val="205"/>
    <w:next w:val="62"/>
    <w:qFormat/>
    <w:uiPriority w:val="0"/>
    <w:pPr>
      <w:spacing w:beforeLines="0" w:afterLines="0" w:line="276" w:lineRule="auto"/>
    </w:pPr>
    <w:rPr>
      <w:rFonts w:ascii="宋体" w:eastAsia="宋体"/>
    </w:rPr>
  </w:style>
  <w:style w:type="paragraph" w:customStyle="1" w:styleId="222">
    <w:name w:val="标准文件_引言三级无标题"/>
    <w:basedOn w:val="206"/>
    <w:next w:val="62"/>
    <w:qFormat/>
    <w:uiPriority w:val="0"/>
    <w:pPr>
      <w:spacing w:beforeLines="0" w:afterLines="0" w:line="276" w:lineRule="auto"/>
    </w:pPr>
    <w:rPr>
      <w:rFonts w:ascii="宋体" w:eastAsia="宋体"/>
    </w:rPr>
  </w:style>
  <w:style w:type="paragraph" w:customStyle="1" w:styleId="223">
    <w:name w:val="标准文件_引言四级无标题"/>
    <w:basedOn w:val="207"/>
    <w:next w:val="62"/>
    <w:qFormat/>
    <w:uiPriority w:val="0"/>
    <w:pPr>
      <w:spacing w:beforeLines="0" w:afterLines="0" w:line="276" w:lineRule="auto"/>
    </w:pPr>
    <w:rPr>
      <w:rFonts w:ascii="宋体" w:eastAsia="宋体"/>
    </w:rPr>
  </w:style>
  <w:style w:type="paragraph" w:customStyle="1" w:styleId="224">
    <w:name w:val="标准文件_引言五级无标题"/>
    <w:basedOn w:val="208"/>
    <w:next w:val="62"/>
    <w:qFormat/>
    <w:uiPriority w:val="0"/>
    <w:pPr>
      <w:spacing w:beforeLines="0" w:afterLines="0" w:line="276" w:lineRule="auto"/>
    </w:pPr>
    <w:rPr>
      <w:rFonts w:ascii="宋体" w:eastAsia="宋体"/>
    </w:rPr>
  </w:style>
  <w:style w:type="paragraph" w:customStyle="1" w:styleId="225">
    <w:name w:val="标准文件_索引标题"/>
    <w:basedOn w:val="70"/>
    <w:next w:val="62"/>
    <w:qFormat/>
    <w:uiPriority w:val="0"/>
    <w:rPr>
      <w:rFonts w:hAnsi="黑体"/>
    </w:rPr>
  </w:style>
  <w:style w:type="paragraph" w:customStyle="1" w:styleId="226">
    <w:name w:val="标准文件_脚注内容"/>
    <w:basedOn w:val="62"/>
    <w:qFormat/>
    <w:uiPriority w:val="0"/>
    <w:pPr>
      <w:ind w:left="400" w:leftChars="200" w:hanging="200" w:hangingChars="200"/>
    </w:pPr>
    <w:rPr>
      <w:sz w:val="15"/>
    </w:rPr>
  </w:style>
  <w:style w:type="paragraph" w:customStyle="1" w:styleId="227">
    <w:name w:val="标准文件_术语条一"/>
    <w:basedOn w:val="167"/>
    <w:next w:val="62"/>
    <w:qFormat/>
    <w:uiPriority w:val="0"/>
  </w:style>
  <w:style w:type="paragraph" w:customStyle="1" w:styleId="228">
    <w:name w:val="标准文件_术语条二"/>
    <w:basedOn w:val="170"/>
    <w:next w:val="62"/>
    <w:qFormat/>
    <w:uiPriority w:val="0"/>
  </w:style>
  <w:style w:type="paragraph" w:customStyle="1" w:styleId="229">
    <w:name w:val="标准文件_术语条三"/>
    <w:basedOn w:val="169"/>
    <w:next w:val="62"/>
    <w:qFormat/>
    <w:uiPriority w:val="0"/>
  </w:style>
  <w:style w:type="paragraph" w:customStyle="1" w:styleId="230">
    <w:name w:val="标准文件_术语条四"/>
    <w:basedOn w:val="172"/>
    <w:next w:val="62"/>
    <w:qFormat/>
    <w:uiPriority w:val="0"/>
  </w:style>
  <w:style w:type="paragraph" w:customStyle="1" w:styleId="231">
    <w:name w:val="标准文件_术语条五"/>
    <w:basedOn w:val="168"/>
    <w:next w:val="62"/>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99"/>
    <w:rPr>
      <w:rFonts w:ascii="宋体" w:hAnsi="Times New Roman"/>
      <w:sz w:val="21"/>
    </w:rPr>
  </w:style>
  <w:style w:type="paragraph" w:customStyle="1" w:styleId="236">
    <w:name w:val="一级条标题"/>
    <w:next w:val="234"/>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7">
    <w:name w:val="章标题"/>
    <w:next w:val="234"/>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8">
    <w:name w:val="二级条标题"/>
    <w:basedOn w:val="236"/>
    <w:next w:val="234"/>
    <w:qFormat/>
    <w:uiPriority w:val="0"/>
    <w:pPr>
      <w:numPr>
        <w:ilvl w:val="2"/>
      </w:numPr>
      <w:spacing w:before="50" w:after="50"/>
      <w:outlineLvl w:val="3"/>
    </w:pPr>
  </w:style>
  <w:style w:type="paragraph" w:customStyle="1" w:styleId="239">
    <w:name w:val="三级条标题"/>
    <w:basedOn w:val="238"/>
    <w:next w:val="234"/>
    <w:qFormat/>
    <w:uiPriority w:val="0"/>
    <w:pPr>
      <w:numPr>
        <w:ilvl w:val="3"/>
      </w:numPr>
      <w:outlineLvl w:val="4"/>
    </w:pPr>
  </w:style>
  <w:style w:type="paragraph" w:customStyle="1" w:styleId="240">
    <w:name w:val="四级条标题"/>
    <w:basedOn w:val="239"/>
    <w:next w:val="234"/>
    <w:qFormat/>
    <w:uiPriority w:val="0"/>
    <w:pPr>
      <w:numPr>
        <w:ilvl w:val="4"/>
      </w:numPr>
      <w:outlineLvl w:val="5"/>
    </w:pPr>
  </w:style>
  <w:style w:type="paragraph" w:customStyle="1" w:styleId="241">
    <w:name w:val="五级条标题"/>
    <w:basedOn w:val="240"/>
    <w:next w:val="234"/>
    <w:qFormat/>
    <w:uiPriority w:val="0"/>
    <w:pPr>
      <w:numPr>
        <w:ilvl w:val="5"/>
      </w:numPr>
      <w:outlineLvl w:val="6"/>
    </w:pPr>
  </w:style>
  <w:style w:type="paragraph" w:customStyle="1" w:styleId="242">
    <w:name w:val="注："/>
    <w:next w:val="234"/>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24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44">
    <w:name w:val="修订1"/>
    <w:semiHidden/>
    <w:qFormat/>
    <w:uiPriority w:val="99"/>
    <w:rPr>
      <w:rFonts w:ascii="Calibri" w:hAnsi="Calibri" w:eastAsia="宋体" w:cs="Times New Roman"/>
      <w:kern w:val="2"/>
      <w:sz w:val="21"/>
      <w:szCs w:val="21"/>
      <w:lang w:val="en-US" w:eastAsia="zh-CN" w:bidi="ar-SA"/>
    </w:rPr>
  </w:style>
  <w:style w:type="paragraph" w:customStyle="1" w:styleId="245">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character" w:customStyle="1" w:styleId="246">
    <w:name w:val="fontstyle01"/>
    <w:basedOn w:val="31"/>
    <w:qFormat/>
    <w:uiPriority w:val="0"/>
    <w:rPr>
      <w:rFonts w:hint="default" w:ascii="DLF-3-0-980053736+ZHcCEE-2302" w:hAnsi="DLF-3-0-980053736+ZHcCEE-2302"/>
      <w:color w:val="242021"/>
      <w:sz w:val="22"/>
      <w:szCs w:val="22"/>
    </w:rPr>
  </w:style>
  <w:style w:type="character" w:customStyle="1" w:styleId="247">
    <w:name w:val="fontstyle11"/>
    <w:basedOn w:val="31"/>
    <w:qFormat/>
    <w:uiPriority w:val="0"/>
    <w:rPr>
      <w:color w:val="242021"/>
      <w:sz w:val="20"/>
      <w:szCs w:val="20"/>
    </w:rPr>
  </w:style>
  <w:style w:type="character" w:customStyle="1" w:styleId="248">
    <w:name w:val="fontstyle21"/>
    <w:basedOn w:val="31"/>
    <w:qFormat/>
    <w:uiPriority w:val="0"/>
    <w:rPr>
      <w:rFonts w:hint="default" w:ascii="DLF-3-0-980053736+ZHcCEE-2302" w:hAnsi="DLF-3-0-980053736+ZHcCEE-2302"/>
      <w:color w:val="242021"/>
      <w:sz w:val="22"/>
      <w:szCs w:val="22"/>
    </w:rPr>
  </w:style>
  <w:style w:type="character" w:customStyle="1" w:styleId="249">
    <w:name w:val="fontstyle31"/>
    <w:basedOn w:val="31"/>
    <w:qFormat/>
    <w:uiPriority w:val="0"/>
    <w:rPr>
      <w:color w:val="242021"/>
      <w:sz w:val="22"/>
      <w:szCs w:val="22"/>
    </w:rPr>
  </w:style>
  <w:style w:type="character" w:customStyle="1" w:styleId="250">
    <w:name w:val="正文表标题 Char"/>
    <w:link w:val="251"/>
    <w:qFormat/>
    <w:locked/>
    <w:uiPriority w:val="0"/>
    <w:rPr>
      <w:rFonts w:ascii="黑体" w:eastAsia="黑体"/>
      <w:sz w:val="21"/>
    </w:rPr>
  </w:style>
  <w:style w:type="paragraph" w:customStyle="1" w:styleId="251">
    <w:name w:val="正文表标题"/>
    <w:next w:val="234"/>
    <w:link w:val="250"/>
    <w:qFormat/>
    <w:uiPriority w:val="0"/>
    <w:pPr>
      <w:tabs>
        <w:tab w:val="left" w:pos="360"/>
        <w:tab w:val="left" w:pos="851"/>
      </w:tabs>
      <w:spacing w:beforeLines="50" w:afterLines="50"/>
      <w:ind w:left="851" w:hanging="426"/>
      <w:jc w:val="center"/>
    </w:pPr>
    <w:rPr>
      <w:rFonts w:ascii="黑体" w:hAnsi="Times New Roman" w:eastAsia="黑体" w:cs="Times New Roman"/>
      <w:sz w:val="21"/>
      <w:lang w:val="en-US" w:eastAsia="zh-CN" w:bidi="ar-SA"/>
    </w:rPr>
  </w:style>
  <w:style w:type="character" w:customStyle="1" w:styleId="252">
    <w:name w:val="批注文字 字符"/>
    <w:basedOn w:val="31"/>
    <w:link w:val="13"/>
    <w:semiHidden/>
    <w:qFormat/>
    <w:uiPriority w:val="99"/>
    <w:rPr>
      <w:rFonts w:ascii="Calibri" w:hAnsi="Calibri"/>
      <w:kern w:val="2"/>
      <w:sz w:val="21"/>
      <w:szCs w:val="21"/>
    </w:rPr>
  </w:style>
  <w:style w:type="character" w:customStyle="1" w:styleId="253">
    <w:name w:val="批注主题 字符"/>
    <w:basedOn w:val="252"/>
    <w:link w:val="28"/>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954</Words>
  <Characters>5442</Characters>
  <Lines>45</Lines>
  <Paragraphs>12</Paragraphs>
  <TotalTime>0</TotalTime>
  <ScaleCrop>false</ScaleCrop>
  <LinksUpToDate>false</LinksUpToDate>
  <CharactersWithSpaces>6384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2022-07-28T16:14:00Z</dcterms:created>
  <dc:creator>Lenovo</dc:creator>
  <dc:description>&lt;config cover="true" show_menu="true" version="1.0.0" doctype="SDKXY"&gt;_x005f_x000d_
&lt;/config&gt;</dc:description>
  <cp:lastModifiedBy>cshy</cp:lastModifiedBy>
  <cp:lastPrinted>2022-07-18T08:11:00Z</cp:lastPrinted>
  <dcterms:modified xsi:type="dcterms:W3CDTF">2022-08-29T06:49:05Z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2052-11.8.2.9015</vt:lpwstr>
  </property>
  <property fmtid="{D5CDD505-2E9C-101B-9397-08002B2CF9AE}" pid="15" name="ICV">
    <vt:lpwstr>4EBD339D6ABA41F8B837C9602347DFB4</vt:lpwstr>
  </property>
  <property fmtid="{D5CDD505-2E9C-101B-9397-08002B2CF9AE}" pid="16" name="DoublePage">
    <vt:lpwstr>true</vt:lpwstr>
  </property>
</Properties>
</file>