
<file path=[Content_Types].xml><?xml version="1.0" encoding="utf-8"?>
<Types xmlns="http://schemas.openxmlformats.org/package/2006/content-types">
  <Default Extension="xml" ContentType="application/xml"/>
  <Default Extension="jpeg" ContentType="image/jpeg"/>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11.020</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 xml:space="preserve">C </w:t>
            </w:r>
            <w:r>
              <w:rPr>
                <w:rFonts w:ascii="黑体" w:hAnsi="黑体" w:eastAsia="黑体"/>
                <w:sz w:val="21"/>
                <w:szCs w:val="21"/>
              </w:rPr>
              <w:t>05</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true"/>
                          </pic:cNvPicPr>
                        </pic:nvPicPr>
                        <pic:blipFill>
                          <a:blip r:embed="rId13" cstate="print">
                            <a:extLst>
                              <a:ext uri="{28A0092B-C50C-407E-A947-70E740481C1C}">
                                <a14:useLocalDpi xmlns:a14="http://schemas.microsoft.com/office/drawing/2010/main" val="false"/>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45</w:t>
            </w:r>
            <w:r>
              <w:fldChar w:fldCharType="end"/>
            </w:r>
            <w:bookmarkEnd w:id="3"/>
          </w:p>
        </w:tc>
      </w:tr>
    </w:tbl>
    <w:p>
      <w:pPr>
        <w:pStyle w:val="50"/>
        <w:framePr w:w="9639" w:h="624" w:hRule="exact" w:hSpace="181" w:vSpace="181"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广西壮族</w:t>
      </w:r>
      <w:r>
        <w:rPr>
          <w:rFonts w:ascii="黑体" w:eastAsia="黑体"/>
          <w:b w:val="0"/>
          <w:w w:val="100"/>
          <w:sz w:val="48"/>
        </w:rPr>
        <w:t>自治区</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t>45</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pPr>
        <w:pStyle w:val="19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true"/>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WAAAAZHJzL1BLAQIUABQAAAAIAIdO4kAng0mW2AAAAAwB&#10;AAAPAAAAAAAAAAEAIAAAADgAAABkcnMvZG93bnJldi54bWxQSwECFAAUAAAACACHTuJASfTgWswB&#10;AABhAwAADgAAAAAAAAABACAAAAA9AQAAZHJzL2Uyb0RvYy54bWxQSwUGAAAAAAYABgBZAQAAewUA&#10;AAAA&#10;">
                <v:fill on="f" focussize="0,0"/>
                <v:stroke color="#000000" joinstyle="round"/>
                <v:imagedata o:title=""/>
                <o:lock v:ext="edit" aspectratio="f"/>
              </v:line>
            </w:pict>
          </mc:Fallback>
        </mc:AlternateContent>
      </w:r>
    </w:p>
    <w:p>
      <w:pPr>
        <w:pStyle w:val="50"/>
        <w:framePr w:w="9639" w:h="6976" w:hRule="exact" w:hSpace="0" w:vSpace="0" w:hAnchor="page" w:y="6408"/>
        <w:jc w:val="center"/>
        <w:rPr>
          <w:rFonts w:ascii="黑体" w:hAnsi="黑体" w:eastAsia="黑体"/>
          <w:b w:val="0"/>
          <w:bCs w:val="0"/>
          <w:w w:val="100"/>
        </w:rPr>
      </w:pPr>
    </w:p>
    <w:p>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 xml:space="preserve">壮医火针驱毒疗法操作规范 </w:t>
      </w:r>
      <w:r>
        <w:fldChar w:fldCharType="end"/>
      </w:r>
      <w:bookmarkEnd w:id="9"/>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eastAsia="黑体"/>
          <w:szCs w:val="28"/>
        </w:rPr>
        <w:t>Operational standard of fire needle detoxification therapy in Zhuang medicine</w:t>
      </w:r>
      <w:r>
        <w:rPr>
          <w:rFonts w:eastAsia="黑体"/>
          <w:szCs w:val="28"/>
        </w:rPr>
        <w:fldChar w:fldCharType="end"/>
      </w:r>
      <w:bookmarkEnd w:id="10"/>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rFonts w:hint="eastAsia"/>
          <w:sz w:val="21"/>
          <w:szCs w:val="28"/>
        </w:rPr>
        <w:t>（本草案完成时间：2021年5月4日）</w:t>
      </w:r>
      <w:r>
        <w:rPr>
          <w:sz w:val="21"/>
          <w:szCs w:val="28"/>
        </w:rPr>
        <w:fldChar w:fldCharType="end"/>
      </w:r>
      <w:bookmarkEnd w:id="12"/>
    </w:p>
    <w:p>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3"/>
        <w:framePr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4"/>
        <w:framePr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1"/>
        <w:framePr w:h="584" w:hRule="exact" w:hSpace="181" w:vSpace="181"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广</w:t>
      </w:r>
      <w:r>
        <w:rPr>
          <w:rFonts w:hAnsi="黑体"/>
          <w:w w:val="100"/>
          <w:sz w:val="28"/>
        </w:rPr>
        <w:t>西壮族自治区市场监督管理局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true"/>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WAAAAZHJzL1BLAQIUABQAAAAIAIdO4kCrMxz71wAAAA4BAAAP&#10;AAAAAAAAAAEAIAAAADgAAABkcnMvZG93bnJldi54bWxQSwECFAAUAAAACACHTuJAEc9x0soBAABf&#10;AwAADgAAAAAAAAABACAAAAA8AQAAZHJzL2Uyb0RvYy54bWxQSwUGAAAAAAYABgBZAQAAeAUAAAAA&#10;">
                <v:fill on="f" focussize="0,0"/>
                <v:stroke color="#000000" joinstyle="round"/>
                <v:imagedata o:title=""/>
                <o:lock v:ext="edit" aspectratio="f"/>
                <w10:anchorlock/>
              </v:line>
            </w:pict>
          </mc:Fallback>
        </mc:AlternateContent>
      </w:r>
    </w:p>
    <w:p>
      <w:pPr>
        <w:pStyle w:val="89"/>
        <w:spacing w:after="468"/>
        <w:rPr>
          <w:rFonts w:hint="eastAsia"/>
        </w:rPr>
      </w:pPr>
      <w:bookmarkStart w:id="21" w:name="BookMark2"/>
      <w:r>
        <w:rPr>
          <w:spacing w:val="320"/>
        </w:rPr>
        <w:t>前</w:t>
      </w:r>
      <w:r>
        <w:t>言</w:t>
      </w:r>
    </w:p>
    <w:p>
      <w:pPr>
        <w:pStyle w:val="56"/>
        <w:ind w:firstLine="420"/>
        <w:rPr>
          <w:rFonts w:hint="eastAsia"/>
        </w:rPr>
      </w:pPr>
      <w:r>
        <w:rPr>
          <w:rFonts w:hint="eastAsia"/>
        </w:rPr>
        <w:t>本文件按照GB/T 1.1—2020《标准化工作导则  第1部分：标准化文件的结构和起草规则》的规定起草。</w:t>
      </w:r>
    </w:p>
    <w:p>
      <w:pPr>
        <w:pStyle w:val="56"/>
        <w:ind w:firstLine="420"/>
      </w:pPr>
      <w:r>
        <w:rPr>
          <w:rFonts w:hint="eastAsia"/>
        </w:rPr>
        <w:t>本文件由广西壮族自治区中医药管理局提出并宣贯。</w:t>
      </w:r>
    </w:p>
    <w:p>
      <w:pPr>
        <w:pStyle w:val="56"/>
        <w:ind w:firstLine="420"/>
      </w:pPr>
      <w:r>
        <w:rPr>
          <w:rFonts w:hint="eastAsia"/>
        </w:rPr>
        <w:t>本文件由广西卫生标准化技术委员会归口。</w:t>
      </w:r>
    </w:p>
    <w:p>
      <w:pPr>
        <w:pStyle w:val="56"/>
        <w:ind w:firstLine="400"/>
        <w:rPr>
          <w:rFonts w:hint="eastAsia"/>
          <w:b w:val="0"/>
          <w:bCs w:val="0"/>
          <w:color w:val="auto"/>
        </w:rPr>
      </w:pPr>
      <w:r>
        <w:rPr>
          <w:rFonts w:hint="eastAsia"/>
          <w:b w:val="0"/>
          <w:bCs w:val="0"/>
          <w:color w:val="auto"/>
        </w:rPr>
        <w:t>本文件起草单位：广西中医药大学附属瑞康医院。</w:t>
      </w:r>
    </w:p>
    <w:p>
      <w:pPr>
        <w:pStyle w:val="56"/>
        <w:ind w:firstLine="400"/>
        <w:rPr>
          <w:rFonts w:hint="eastAsia"/>
          <w:b w:val="0"/>
          <w:bCs w:val="0"/>
          <w:color w:val="auto"/>
        </w:rPr>
        <w:sectPr>
          <w:headerReference r:id="rId9" w:type="default"/>
          <w:footerReference r:id="rId11" w:type="default"/>
          <w:headerReference r:id="rId10" w:type="even"/>
          <w:pgSz w:w="11906" w:h="16838"/>
          <w:pgMar w:top="2410" w:right="1134" w:bottom="1134" w:left="1134" w:header="1418" w:footer="1134" w:gutter="284"/>
          <w:pgNumType w:fmt="upperRoman" w:start="1"/>
          <w:cols w:space="425" w:num="1"/>
          <w:formProt w:val="0"/>
          <w:docGrid w:type="lines" w:linePitch="312" w:charSpace="0"/>
        </w:sectPr>
      </w:pPr>
      <w:r>
        <w:rPr>
          <w:rFonts w:hint="eastAsia"/>
          <w:b w:val="0"/>
          <w:bCs w:val="0"/>
          <w:color w:val="auto"/>
        </w:rPr>
        <w:t>本文件起草人：庞宇舟、曾振东、邢沙沙、梁明坤、蒋祖</w:t>
      </w:r>
      <w:bookmarkStart w:id="43" w:name="_GoBack"/>
      <w:bookmarkEnd w:id="43"/>
      <w:r>
        <w:rPr>
          <w:rFonts w:hint="eastAsia"/>
          <w:b w:val="0"/>
          <w:bCs w:val="0"/>
          <w:color w:val="auto"/>
        </w:rPr>
        <w:t>玲、徐晶、尚昱志、陈秋霞、区佩琪、吴笛、秦黄冠、覃歆媛、徐凤梅。</w:t>
      </w:r>
    </w:p>
    <w:bookmarkEnd w:id="21"/>
    <w:p>
      <w:pPr>
        <w:spacing w:line="20" w:lineRule="exact"/>
        <w:jc w:val="center"/>
        <w:rPr>
          <w:rFonts w:ascii="黑体" w:hAnsi="黑体" w:eastAsia="黑体"/>
          <w:sz w:val="32"/>
          <w:szCs w:val="32"/>
        </w:rPr>
      </w:pPr>
      <w:bookmarkStart w:id="22" w:name="BookMark4"/>
    </w:p>
    <w:p>
      <w:pPr>
        <w:spacing w:line="20" w:lineRule="exact"/>
        <w:jc w:val="center"/>
        <w:rPr>
          <w:rFonts w:ascii="黑体" w:hAnsi="黑体" w:eastAsia="黑体"/>
          <w:sz w:val="32"/>
          <w:szCs w:val="32"/>
        </w:rPr>
      </w:pPr>
    </w:p>
    <w:sdt>
      <w:sdtPr>
        <w:tag w:val="NEW_STAND_NAME"/>
        <w:id w:val="595910757"/>
        <w:lock w:val="sdtLocked"/>
        <w:placeholder>
          <w:docPart w:val="C9A528D5488E47DEB3DFB571ECAE687A"/>
        </w:placeholder>
      </w:sdtPr>
      <w:sdtContent>
        <w:p>
          <w:pPr>
            <w:pStyle w:val="177"/>
            <w:spacing w:before="3" w:beforeLines="1" w:after="686" w:afterLines="220"/>
          </w:pPr>
          <w:bookmarkStart w:id="23" w:name="NEW_STAND_NAME"/>
          <w:r>
            <w:rPr>
              <w:rFonts w:hint="eastAsia"/>
            </w:rPr>
            <w:t>壮医火针驱毒疗法操作规范</w:t>
          </w:r>
          <w:r>
            <w:t xml:space="preserve"> </w:t>
          </w:r>
        </w:p>
      </w:sdtContent>
    </w:sdt>
    <w:bookmarkEnd w:id="23"/>
    <w:p>
      <w:pPr>
        <w:pStyle w:val="104"/>
        <w:spacing w:before="312" w:after="312"/>
      </w:pPr>
      <w:bookmarkStart w:id="24" w:name="_Toc24884218"/>
      <w:bookmarkStart w:id="25" w:name="_Toc26986771"/>
      <w:bookmarkStart w:id="26" w:name="_Toc17233325"/>
      <w:bookmarkStart w:id="27" w:name="_Toc17233333"/>
      <w:bookmarkStart w:id="28" w:name="_Toc26986530"/>
      <w:bookmarkStart w:id="29" w:name="_Toc26648465"/>
      <w:bookmarkStart w:id="30" w:name="_Toc26718930"/>
      <w:bookmarkStart w:id="31" w:name="_Toc24884211"/>
      <w:r>
        <w:rPr>
          <w:rFonts w:hint="eastAsia"/>
        </w:rPr>
        <w:t>范围</w:t>
      </w:r>
      <w:bookmarkEnd w:id="24"/>
      <w:bookmarkEnd w:id="25"/>
      <w:bookmarkEnd w:id="26"/>
      <w:bookmarkEnd w:id="27"/>
      <w:bookmarkEnd w:id="28"/>
      <w:bookmarkEnd w:id="29"/>
      <w:bookmarkEnd w:id="30"/>
      <w:bookmarkEnd w:id="31"/>
    </w:p>
    <w:p>
      <w:pPr>
        <w:pStyle w:val="56"/>
        <w:ind w:firstLine="420"/>
        <w:rPr>
          <w:rFonts w:hint="eastAsia"/>
          <w:szCs w:val="21"/>
        </w:rPr>
      </w:pPr>
      <w:r>
        <w:rPr>
          <w:rFonts w:hint="eastAsia"/>
          <w:szCs w:val="21"/>
        </w:rPr>
        <w:t>本文件规定了壮医火针驱毒疗法技术的术语和定义、适用病种、禁忌症、操作规范、治疗疗程、注 意事项、意外处理。</w:t>
      </w:r>
    </w:p>
    <w:p>
      <w:pPr>
        <w:pStyle w:val="56"/>
        <w:ind w:firstLine="420"/>
        <w:rPr>
          <w:rFonts w:hint="eastAsia"/>
          <w:szCs w:val="21"/>
        </w:rPr>
      </w:pPr>
      <w:r>
        <w:rPr>
          <w:rFonts w:hint="eastAsia"/>
          <w:szCs w:val="21"/>
        </w:rPr>
        <w:t>本文件适用于壮医火针驱毒疗法的操作。</w:t>
      </w:r>
    </w:p>
    <w:p>
      <w:pPr>
        <w:pStyle w:val="104"/>
        <w:spacing w:before="312" w:after="312"/>
      </w:pPr>
      <w:bookmarkStart w:id="32" w:name="_Toc26986772"/>
      <w:bookmarkStart w:id="33" w:name="_Toc17233326"/>
      <w:bookmarkStart w:id="34" w:name="_Toc24884219"/>
      <w:bookmarkStart w:id="35" w:name="_Toc26648466"/>
      <w:bookmarkStart w:id="36" w:name="_Toc24884212"/>
      <w:bookmarkStart w:id="37" w:name="_Toc26718931"/>
      <w:bookmarkStart w:id="38" w:name="_Toc17233334"/>
      <w:bookmarkStart w:id="39" w:name="_Toc26986531"/>
      <w:r>
        <w:rPr>
          <w:rFonts w:hint="eastAsia"/>
        </w:rPr>
        <w:t>规范性引用文件</w:t>
      </w:r>
      <w:bookmarkEnd w:id="32"/>
      <w:bookmarkEnd w:id="33"/>
      <w:bookmarkEnd w:id="34"/>
      <w:bookmarkEnd w:id="35"/>
      <w:bookmarkEnd w:id="36"/>
      <w:bookmarkEnd w:id="37"/>
      <w:bookmarkEnd w:id="38"/>
      <w:bookmarkEnd w:id="39"/>
    </w:p>
    <w:sdt>
      <w:sdtPr>
        <w:rPr>
          <w:rFonts w:hint="eastAsia"/>
          <w:szCs w:val="21"/>
        </w:rPr>
        <w:id w:val="715848253"/>
        <w:placeholder>
          <w:docPart w:val="03EBDF2DB37D4B75BB678746F4EDF13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szCs w:val="21"/>
        </w:rPr>
      </w:sdtEndPr>
      <w:sdtContent>
        <w:p>
          <w:pPr>
            <w:pStyle w:val="56"/>
            <w:ind w:firstLine="420"/>
            <w:rPr>
              <w:szCs w:val="21"/>
            </w:rPr>
          </w:pPr>
          <w:r>
            <w:rPr>
              <w:rFonts w:hint="eastAsia"/>
              <w:szCs w:val="21"/>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6"/>
        <w:ind w:firstLine="420"/>
      </w:pPr>
    </w:p>
    <w:p>
      <w:pPr>
        <w:pStyle w:val="104"/>
        <w:spacing w:before="312" w:after="312"/>
      </w:pPr>
      <w:r>
        <w:rPr>
          <w:rFonts w:hint="eastAsia"/>
          <w:szCs w:val="21"/>
        </w:rPr>
        <w:t>术语和定义</w:t>
      </w:r>
    </w:p>
    <w:sdt>
      <w:sdtPr>
        <w:id w:val="-1909835108"/>
        <w:placeholder>
          <w:docPart w:val="AAE6A4977222447D95C8F2B4D749DC3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6"/>
            <w:ind w:firstLine="420"/>
          </w:pPr>
          <w:bookmarkStart w:id="40" w:name="_Toc26986532"/>
          <w:bookmarkEnd w:id="40"/>
          <w:r>
            <w:t>下列术语和定义适用于本文件。</w:t>
          </w:r>
        </w:p>
      </w:sdtContent>
    </w:sdt>
    <w:p>
      <w:pPr>
        <w:pStyle w:val="56"/>
        <w:ind w:firstLine="420"/>
      </w:pPr>
    </w:p>
    <w:p>
      <w:pPr>
        <w:pStyle w:val="105"/>
        <w:spacing w:before="156" w:after="156"/>
      </w:pPr>
    </w:p>
    <w:p>
      <w:pPr>
        <w:pStyle w:val="105"/>
        <w:numPr>
          <w:ilvl w:val="0"/>
          <w:numId w:val="0"/>
        </w:numPr>
        <w:spacing w:before="156" w:after="156"/>
        <w:ind w:firstLine="315" w:firstLineChars="150"/>
        <w:rPr>
          <w:rFonts w:hint="eastAsia" w:ascii="黑体" w:hAnsi="黑体" w:eastAsia="黑体" w:cs="黑体"/>
          <w:szCs w:val="21"/>
        </w:rPr>
      </w:pPr>
      <w:r>
        <w:rPr>
          <w:rFonts w:hint="eastAsia" w:ascii="黑体" w:hAnsi="黑体" w:eastAsia="黑体" w:cs="黑体"/>
          <w:szCs w:val="21"/>
        </w:rPr>
        <w:t>壮医火针驱毒疗法</w:t>
      </w:r>
    </w:p>
    <w:p>
      <w:pPr>
        <w:pStyle w:val="105"/>
        <w:numPr>
          <w:ilvl w:val="0"/>
          <w:numId w:val="0"/>
        </w:numPr>
        <w:spacing w:before="156" w:after="156"/>
        <w:ind w:firstLine="315" w:firstLineChars="150"/>
        <w:rPr>
          <w:rFonts w:ascii="宋体" w:hAnsi="宋体" w:eastAsia="宋体"/>
          <w:szCs w:val="21"/>
        </w:rPr>
      </w:pPr>
      <w:r>
        <w:rPr>
          <w:rFonts w:hint="eastAsia" w:ascii="宋体" w:hAnsi="宋体" w:eastAsia="宋体"/>
          <w:szCs w:val="21"/>
        </w:rPr>
        <w:t>壮医火针驱毒疗法是将针尖烧红后迅速刺入人体的一定穴位、病灶处或病理反应点后立即拔出以治 疗疾病的一种方法。该疗法一方面借助火针的温热，经人体网络的传导，调整人体气血、阴阳，一方面 通过火针的轻微烧灼作用，使体表形成细微的通道，让毒邪能够循路而出，排出体外。本疗法能够平阴 阳、调气血、通道路、驱毒邪，从而达到驱毒治病的目的。</w:t>
      </w:r>
    </w:p>
    <w:p>
      <w:pPr>
        <w:pStyle w:val="104"/>
        <w:spacing w:before="312" w:after="312"/>
      </w:pPr>
      <w:r>
        <w:rPr>
          <w:rFonts w:hint="eastAsia"/>
        </w:rPr>
        <w:t>适用病种</w:t>
      </w:r>
    </w:p>
    <w:p>
      <w:pPr>
        <w:pStyle w:val="56"/>
        <w:ind w:firstLine="420"/>
      </w:pPr>
      <w:r>
        <w:rPr>
          <w:rFonts w:hint="eastAsia"/>
        </w:rPr>
        <w:t>壮医火针驱毒疗法在临床上应用广泛，可以治疗包含内、外、妇科、五官科在内的多种疾病。外科 疾病，如肱骨外上髁炎、骨关节疾病、颈椎病、腰椎间盘突出症、肩周炎、膝关节骨性关节炎等；皮肤 病，如慢性湿疹、牛皮癣、带状疱疹等；肛肠疾病，如肛周脓肿；妇科疾病，如产后风湿、月经失调、 外阴白斑等；慢性消化系统疾病，如慢性胃炎、胃溃疡、慢性结肠炎、溃疡性结肠炎、慢性胆囊炎等疾 病；呼吸系统疾病，如慢性支气管炎、哮喘；神经系统疾病，如脑出血、脑梗死、格林巴利综合征等； 内分泌系统疾病，如甲状腺功能减退；风湿免疫疾病，如类风湿关节炎、风湿性关节炎、强直性脊柱炎 等；五官科疾病，如突发性耳鸣、耳聋、急慢性鼻窦炎、过敏性鼻炎、急性结膜炎、急性扁桃体炎、复 发性口腔溃疡以及翼状胬肉等。</w:t>
      </w:r>
    </w:p>
    <w:p>
      <w:pPr>
        <w:pStyle w:val="104"/>
        <w:spacing w:before="312" w:after="312"/>
      </w:pPr>
      <w:r>
        <w:rPr>
          <w:rFonts w:hint="eastAsia"/>
        </w:rPr>
        <w:t>禁忌症</w:t>
      </w:r>
    </w:p>
    <w:p>
      <w:pPr>
        <w:pStyle w:val="105"/>
        <w:spacing w:before="156" w:after="156"/>
      </w:pPr>
      <w:r>
        <w:rPr>
          <w:rFonts w:hint="eastAsia" w:ascii="宋体" w:hAnsi="宋体" w:eastAsia="宋体" w:cs="宋体"/>
        </w:rPr>
        <w:t>接触性皮肤病传染病；</w:t>
      </w:r>
    </w:p>
    <w:p>
      <w:pPr>
        <w:pStyle w:val="105"/>
        <w:spacing w:before="156" w:after="156"/>
        <w:rPr>
          <w:rFonts w:hint="eastAsia" w:ascii="宋体" w:hAnsi="宋体" w:eastAsia="宋体" w:cs="宋体"/>
        </w:rPr>
      </w:pPr>
      <w:r>
        <w:rPr>
          <w:rFonts w:hint="eastAsia" w:ascii="宋体" w:hAnsi="宋体" w:eastAsia="宋体" w:cs="宋体"/>
        </w:rPr>
        <w:t>火针刺激强烈，孕妇及年老体弱者禁用；</w:t>
      </w:r>
    </w:p>
    <w:p>
      <w:pPr>
        <w:pStyle w:val="105"/>
        <w:spacing w:before="156" w:after="156"/>
        <w:rPr>
          <w:rFonts w:hint="eastAsia" w:ascii="宋体" w:hAnsi="宋体" w:eastAsia="宋体" w:cs="宋体"/>
        </w:rPr>
      </w:pPr>
      <w:r>
        <w:rPr>
          <w:rFonts w:hint="eastAsia" w:ascii="宋体" w:hAnsi="宋体" w:eastAsia="宋体" w:cs="宋体"/>
        </w:rPr>
        <w:t>火热证候和局部红肿者禁用；</w:t>
      </w:r>
    </w:p>
    <w:p>
      <w:pPr>
        <w:pStyle w:val="105"/>
        <w:spacing w:before="156" w:after="156"/>
        <w:rPr>
          <w:rFonts w:hint="eastAsia" w:ascii="宋体" w:hAnsi="宋体" w:eastAsia="宋体" w:cs="宋体"/>
        </w:rPr>
      </w:pPr>
      <w:r>
        <w:rPr>
          <w:rFonts w:hint="eastAsia" w:ascii="宋体" w:hAnsi="宋体" w:eastAsia="宋体" w:cs="宋体"/>
        </w:rPr>
        <w:t>高血压、心脏病、恶性肿瘤等禁用；</w:t>
      </w:r>
    </w:p>
    <w:p>
      <w:pPr>
        <w:pStyle w:val="105"/>
        <w:spacing w:before="156" w:after="156"/>
        <w:rPr>
          <w:rFonts w:hint="eastAsia" w:ascii="宋体" w:hAnsi="宋体" w:eastAsia="宋体" w:cs="宋体"/>
        </w:rPr>
      </w:pPr>
      <w:r>
        <w:rPr>
          <w:rFonts w:hint="eastAsia" w:ascii="宋体" w:hAnsi="宋体" w:eastAsia="宋体" w:cs="宋体"/>
        </w:rPr>
        <w:t>过饥、过劳、醉酒状态；</w:t>
      </w:r>
    </w:p>
    <w:p>
      <w:pPr>
        <w:pStyle w:val="105"/>
        <w:spacing w:before="156" w:after="156"/>
        <w:rPr>
          <w:rFonts w:hint="eastAsia" w:ascii="宋体" w:hAnsi="宋体" w:eastAsia="宋体" w:cs="宋体"/>
        </w:rPr>
      </w:pPr>
      <w:r>
        <w:rPr>
          <w:rFonts w:hint="eastAsia" w:ascii="宋体" w:hAnsi="宋体" w:eastAsia="宋体" w:cs="宋体"/>
        </w:rPr>
        <w:t>精神病；</w:t>
      </w:r>
    </w:p>
    <w:p>
      <w:pPr>
        <w:pStyle w:val="105"/>
        <w:spacing w:before="156" w:after="156"/>
        <w:rPr>
          <w:rFonts w:hint="eastAsia" w:ascii="宋体" w:hAnsi="宋体" w:eastAsia="宋体" w:cs="宋体"/>
        </w:rPr>
      </w:pPr>
      <w:r>
        <w:rPr>
          <w:rFonts w:hint="eastAsia" w:ascii="宋体" w:hAnsi="宋体" w:eastAsia="宋体" w:cs="宋体"/>
        </w:rPr>
        <w:t>其它不适合</w:t>
      </w:r>
      <w:r>
        <w:rPr>
          <w:rFonts w:hint="eastAsia" w:ascii="宋体" w:hAnsi="宋体" w:eastAsia="宋体" w:cs="宋体"/>
          <w:lang w:eastAsia="zh-CN"/>
        </w:rPr>
        <w:t>火针治疗</w:t>
      </w:r>
      <w:r>
        <w:rPr>
          <w:rFonts w:hint="eastAsia" w:ascii="宋体" w:hAnsi="宋体" w:eastAsia="宋体" w:cs="宋体"/>
        </w:rPr>
        <w:t>的病证。</w:t>
      </w:r>
    </w:p>
    <w:p>
      <w:pPr>
        <w:pStyle w:val="104"/>
        <w:spacing w:before="312" w:after="312"/>
      </w:pPr>
      <w:r>
        <w:rPr>
          <w:rFonts w:hint="eastAsia"/>
        </w:rPr>
        <w:t>操作规范</w:t>
      </w:r>
    </w:p>
    <w:p>
      <w:pPr>
        <w:pStyle w:val="105"/>
        <w:spacing w:before="156" w:after="156"/>
      </w:pPr>
      <w:r>
        <w:rPr>
          <w:rFonts w:hint="eastAsia"/>
        </w:rPr>
        <w:t>器械准备</w:t>
      </w:r>
    </w:p>
    <w:p>
      <w:pPr>
        <w:pStyle w:val="56"/>
        <w:ind w:firstLine="420"/>
      </w:pPr>
      <w:r>
        <w:rPr>
          <w:rFonts w:hint="eastAsia"/>
        </w:rPr>
        <w:t>火针、打火机、酒精、碘酒、棉签、棉花、硫磺粉、茶油或花生油。</w:t>
      </w:r>
    </w:p>
    <w:p>
      <w:pPr>
        <w:pStyle w:val="105"/>
        <w:spacing w:before="156" w:after="156"/>
      </w:pPr>
      <w:r>
        <w:rPr>
          <w:rFonts w:hint="eastAsia"/>
        </w:rPr>
        <w:t>体位选择</w:t>
      </w:r>
    </w:p>
    <w:p>
      <w:pPr>
        <w:pStyle w:val="65"/>
        <w:spacing w:before="156" w:after="156"/>
      </w:pPr>
      <w:r>
        <w:rPr>
          <w:rFonts w:hint="eastAsia"/>
        </w:rPr>
        <w:t>选择原则</w:t>
      </w:r>
    </w:p>
    <w:p>
      <w:pPr>
        <w:pStyle w:val="56"/>
        <w:ind w:firstLine="420"/>
      </w:pPr>
      <w:r>
        <w:rPr>
          <w:rFonts w:hint="eastAsia"/>
        </w:rPr>
        <w:t>以有利于术者施针而不致患者疲劳为原则。</w:t>
      </w:r>
    </w:p>
    <w:p>
      <w:pPr>
        <w:pStyle w:val="65"/>
        <w:spacing w:before="156" w:after="156"/>
      </w:pPr>
      <w:r>
        <w:rPr>
          <w:rFonts w:hint="eastAsia"/>
        </w:rPr>
        <w:t>主要</w:t>
      </w:r>
      <w:r>
        <w:t>体位</w:t>
      </w:r>
    </w:p>
    <w:p>
      <w:pPr>
        <w:pStyle w:val="56"/>
        <w:ind w:firstLine="420"/>
      </w:pPr>
      <w:r>
        <w:rPr>
          <w:rFonts w:hint="eastAsia"/>
        </w:rPr>
        <w:t>有以下几种：</w:t>
      </w:r>
    </w:p>
    <w:p>
      <w:pPr>
        <w:pStyle w:val="132"/>
      </w:pPr>
      <w:r>
        <w:rPr>
          <w:rFonts w:hint="eastAsia"/>
        </w:rPr>
        <w:t>仰靠坐位：病人仰靠在靠背椅上，双膝垂直于地板，双上肢自然放置在两侧大腿上，使全身肌 肉放松。</w:t>
      </w:r>
    </w:p>
    <w:p>
      <w:pPr>
        <w:pStyle w:val="132"/>
      </w:pPr>
      <w:r>
        <w:rPr>
          <w:rFonts w:hint="eastAsia"/>
        </w:rPr>
        <w:t>俯伏坐位：病人俯伏坐在靠背椅上，双前臂和头部伏靠在靠背椅上，使全身肌肉放松。</w:t>
      </w:r>
    </w:p>
    <w:p>
      <w:pPr>
        <w:pStyle w:val="132"/>
      </w:pPr>
      <w:r>
        <w:rPr>
          <w:rFonts w:hint="eastAsia"/>
        </w:rPr>
        <w:t>仰卧位：病人仰卧在床上，四肢自然伸直，使全身肌肉放松。</w:t>
      </w:r>
    </w:p>
    <w:p>
      <w:pPr>
        <w:pStyle w:val="132"/>
      </w:pPr>
      <w:r>
        <w:rPr>
          <w:rFonts w:hint="eastAsia"/>
        </w:rPr>
        <w:t>俯卧位：病人俯卧在床上，胸部垫一小枕头，双上肢自然弯曲放在头部前方，双下肢自然伸直，使全身肌肉放松。</w:t>
      </w:r>
    </w:p>
    <w:p>
      <w:pPr>
        <w:pStyle w:val="132"/>
      </w:pPr>
      <w:r>
        <w:rPr>
          <w:rFonts w:hint="eastAsia"/>
        </w:rPr>
        <w:t>侧卧位：病人左侧 (或右侧) 卧于床上，胸、腰和双下肢微微弯曲，使全身肌肉放松。</w:t>
      </w:r>
    </w:p>
    <w:p>
      <w:pPr>
        <w:pStyle w:val="105"/>
        <w:spacing w:before="156" w:after="156"/>
      </w:pPr>
      <w:r>
        <w:rPr>
          <w:rFonts w:hint="eastAsia"/>
        </w:rPr>
        <w:t>治疗部位</w:t>
      </w:r>
    </w:p>
    <w:p>
      <w:pPr>
        <w:pStyle w:val="56"/>
        <w:ind w:firstLine="420"/>
      </w:pPr>
      <w:r>
        <w:rPr>
          <w:rFonts w:hint="eastAsia"/>
        </w:rPr>
        <w:t>主要病痛部位及相应穴位。</w:t>
      </w:r>
    </w:p>
    <w:p>
      <w:pPr>
        <w:pStyle w:val="105"/>
        <w:spacing w:before="156" w:after="156"/>
      </w:pPr>
      <w:r>
        <w:rPr>
          <w:rFonts w:hint="eastAsia"/>
        </w:rPr>
        <w:t>取穴方法</w:t>
      </w:r>
    </w:p>
    <w:p>
      <w:pPr>
        <w:pStyle w:val="65"/>
        <w:spacing w:before="156" w:after="156"/>
      </w:pPr>
      <w:r>
        <w:rPr>
          <w:rFonts w:hint="eastAsia"/>
        </w:rPr>
        <w:t>原则</w:t>
      </w:r>
    </w:p>
    <w:p>
      <w:pPr>
        <w:pStyle w:val="56"/>
        <w:ind w:firstLine="420"/>
      </w:pPr>
      <w:r>
        <w:rPr>
          <w:rFonts w:hint="eastAsia"/>
        </w:rPr>
        <w:t>与毫针选穴的基本规律相同，根据病症不同而辨证取穴。选定穴位后要采取适当体位以防止患者改 变姿势而影响取穴的准确性。取穴应根据病情而定，一般宜少，实证和青壮年患者取穴可略多。</w:t>
      </w:r>
    </w:p>
    <w:p>
      <w:pPr>
        <w:pStyle w:val="65"/>
        <w:spacing w:before="156" w:after="156"/>
      </w:pPr>
      <w:r>
        <w:rPr>
          <w:rFonts w:hint="eastAsia"/>
        </w:rPr>
        <w:t>针刺</w:t>
      </w:r>
      <w:r>
        <w:t>部位</w:t>
      </w:r>
    </w:p>
    <w:p>
      <w:pPr>
        <w:pStyle w:val="56"/>
        <w:ind w:firstLine="420"/>
      </w:pPr>
      <w:r>
        <w:rPr>
          <w:rFonts w:hint="eastAsia"/>
        </w:rPr>
        <w:t>头部、颈项部、四肢。</w:t>
      </w:r>
    </w:p>
    <w:p>
      <w:pPr>
        <w:pStyle w:val="65"/>
        <w:spacing w:before="156" w:after="156"/>
      </w:pPr>
      <w:r>
        <w:rPr>
          <w:rFonts w:hint="eastAsia"/>
        </w:rPr>
        <w:t>穴位</w:t>
      </w:r>
    </w:p>
    <w:p>
      <w:pPr>
        <w:pStyle w:val="94"/>
        <w:spacing w:before="156" w:after="156"/>
      </w:pPr>
      <w:r>
        <w:rPr>
          <w:rFonts w:hint="eastAsia"/>
        </w:rPr>
        <w:t>头颈部</w:t>
      </w:r>
    </w:p>
    <w:p>
      <w:pPr>
        <w:pStyle w:val="56"/>
        <w:ind w:firstLine="420"/>
      </w:pPr>
      <w:r>
        <w:rPr>
          <w:rFonts w:hint="eastAsia"/>
        </w:rPr>
        <w:t>百会、风池、头维、印堂、太阳穴、天突、大椎。</w:t>
      </w:r>
    </w:p>
    <w:p>
      <w:pPr>
        <w:pStyle w:val="94"/>
        <w:spacing w:before="156" w:after="156"/>
      </w:pPr>
      <w:r>
        <w:rPr>
          <w:rFonts w:hint="eastAsia"/>
        </w:rPr>
        <w:t>胸腹部</w:t>
      </w:r>
    </w:p>
    <w:p>
      <w:pPr>
        <w:pStyle w:val="56"/>
        <w:ind w:firstLine="420"/>
      </w:pPr>
      <w:r>
        <w:rPr>
          <w:rFonts w:hint="eastAsia"/>
        </w:rPr>
        <w:t>期门、 日月、太冲、上脘、中脘、下脘、气海、关元、天枢、大巨、归来。</w:t>
      </w:r>
    </w:p>
    <w:p>
      <w:pPr>
        <w:pStyle w:val="94"/>
        <w:spacing w:before="156" w:after="156"/>
      </w:pPr>
      <w:r>
        <w:rPr>
          <w:rFonts w:hint="eastAsia"/>
        </w:rPr>
        <w:t>腰背部</w:t>
      </w:r>
    </w:p>
    <w:p>
      <w:pPr>
        <w:pStyle w:val="56"/>
        <w:ind w:firstLine="420"/>
      </w:pPr>
      <w:r>
        <w:rPr>
          <w:rFonts w:hint="eastAsia"/>
        </w:rPr>
        <w:t>大椎到骶椎每一椎体棘突上、华佗夹脊穴 (双侧)、华佗夹脊旁开1.5寸、3寸平行线。</w:t>
      </w:r>
    </w:p>
    <w:p>
      <w:pPr>
        <w:pStyle w:val="94"/>
        <w:spacing w:before="156" w:after="156"/>
      </w:pPr>
      <w:r>
        <w:rPr>
          <w:rFonts w:hint="eastAsia"/>
        </w:rPr>
        <w:t>四肢</w:t>
      </w:r>
    </w:p>
    <w:p>
      <w:pPr>
        <w:pStyle w:val="56"/>
        <w:ind w:firstLine="420"/>
      </w:pPr>
      <w:r>
        <w:rPr>
          <w:rFonts w:hint="eastAsia"/>
        </w:rPr>
        <w:t>曲泽、尺泽、曲池、少海、环跳、委中、承山、足三里、商丘、中封、解溪、丘墟。</w:t>
      </w:r>
    </w:p>
    <w:p>
      <w:pPr>
        <w:pStyle w:val="105"/>
        <w:spacing w:before="156" w:after="156"/>
      </w:pPr>
      <w:r>
        <w:rPr>
          <w:rFonts w:hint="eastAsia"/>
        </w:rPr>
        <w:t>操作方法</w:t>
      </w:r>
    </w:p>
    <w:p>
      <w:pPr>
        <w:pStyle w:val="109"/>
      </w:pPr>
      <w:r>
        <w:rPr>
          <w:rFonts w:hint="eastAsia"/>
        </w:rPr>
        <w:t>消毒：选定穴位后使用碘伏进行常规消毒。</w:t>
      </w:r>
    </w:p>
    <w:p>
      <w:pPr>
        <w:pStyle w:val="109"/>
      </w:pPr>
      <w:r>
        <w:rPr>
          <w:rFonts w:hint="eastAsia"/>
        </w:rPr>
        <w:t>烧针：必须把针烧红，速刺速起，不能停留 (特殊情况除外)，深浅适度。较为方便的方法是用酒精灯烧针。烧针是使用火针的关键步骤，《针灸大成·火针》说“灯上烧，令通红，用方有功。若不红，不能去病，反损于人。”因此，在使用前必须把针烧红，才能起作用。</w:t>
      </w:r>
    </w:p>
    <w:p>
      <w:pPr>
        <w:pStyle w:val="109"/>
      </w:pPr>
      <w:r>
        <w:rPr>
          <w:rFonts w:hint="eastAsia"/>
        </w:rPr>
        <w:t>针刺与深度：针刺时，用烧红的针具，迅速刺入选定的穴位内，即迅速出针。使用火针时，必须细心慎重，动作敏捷、准确，避开血管、肌腱、神经干及内脏器官，以防损伤。火针针刺的深度要根据病情、体质、年龄和针刺部位的肌肉厚薄、血管深浅而定。一般四肢、腰腹针刺稍深，可刺2—5分深，胸背部穴位针刺宜浅，可刺1—2分深，夹脊穴可刺3—5分深。</w:t>
      </w:r>
    </w:p>
    <w:p>
      <w:pPr>
        <w:pStyle w:val="109"/>
      </w:pPr>
      <w:r>
        <w:rPr>
          <w:rFonts w:hint="eastAsia"/>
        </w:rPr>
        <w:t>针刺后如针眼渗血渗液需用消毒棉签或方纱擦拭干净并再次常规消毒。</w:t>
      </w:r>
    </w:p>
    <w:p>
      <w:pPr>
        <w:pStyle w:val="104"/>
        <w:spacing w:before="312" w:after="312"/>
      </w:pPr>
      <w:r>
        <w:rPr>
          <w:rFonts w:hint="eastAsia"/>
        </w:rPr>
        <w:t>治疗疗程</w:t>
      </w:r>
    </w:p>
    <w:p>
      <w:pPr>
        <w:pStyle w:val="56"/>
        <w:ind w:firstLine="420"/>
      </w:pPr>
      <w:r>
        <w:rPr>
          <w:rFonts w:hint="eastAsia"/>
        </w:rPr>
        <w:t>5～7日刺1次，连续针刺1个月次为1个疗程。</w:t>
      </w:r>
    </w:p>
    <w:p>
      <w:pPr>
        <w:pStyle w:val="104"/>
        <w:spacing w:before="312" w:after="312"/>
      </w:pPr>
      <w:r>
        <w:rPr>
          <w:rFonts w:hint="eastAsia"/>
        </w:rPr>
        <w:t>注意事项</w:t>
      </w:r>
    </w:p>
    <w:p>
      <w:pPr>
        <w:pStyle w:val="109"/>
        <w:numPr>
          <w:ilvl w:val="0"/>
          <w:numId w:val="0"/>
        </w:numPr>
        <w:ind w:left="1276" w:hanging="425"/>
      </w:pPr>
      <w:r>
        <w:rPr>
          <w:rFonts w:hint="eastAsia"/>
        </w:rPr>
        <w:t>1)</w:t>
      </w:r>
      <w:r>
        <w:rPr>
          <w:rFonts w:hint="eastAsia"/>
        </w:rPr>
        <w:tab/>
      </w:r>
      <w:r>
        <w:rPr>
          <w:rFonts w:hint="eastAsia"/>
        </w:rPr>
        <w:t>面部应用火针要慎重。因火针刺后，有可能遗留有小疤痕，因此除治疗面部小块白癜风、痣和扁平疣外，一般面部不用火针。</w:t>
      </w:r>
    </w:p>
    <w:p>
      <w:pPr>
        <w:pStyle w:val="109"/>
        <w:numPr>
          <w:ilvl w:val="0"/>
          <w:numId w:val="0"/>
        </w:numPr>
        <w:ind w:left="1276" w:hanging="425"/>
      </w:pPr>
      <w:r>
        <w:rPr>
          <w:rFonts w:hint="eastAsia"/>
        </w:rPr>
        <w:t>2)</w:t>
      </w:r>
      <w:r>
        <w:rPr>
          <w:rFonts w:hint="eastAsia"/>
        </w:rPr>
        <w:tab/>
      </w:r>
      <w:r>
        <w:rPr>
          <w:rFonts w:hint="eastAsia"/>
        </w:rPr>
        <w:t>对于血管和主要神经分布部位亦不宜施用火针。</w:t>
      </w:r>
    </w:p>
    <w:p>
      <w:pPr>
        <w:pStyle w:val="109"/>
        <w:numPr>
          <w:ilvl w:val="0"/>
          <w:numId w:val="0"/>
        </w:numPr>
        <w:ind w:left="1276" w:hanging="425"/>
      </w:pPr>
      <w:r>
        <w:rPr>
          <w:rFonts w:hint="eastAsia"/>
        </w:rPr>
        <w:t>3)</w:t>
      </w:r>
      <w:r>
        <w:rPr>
          <w:rFonts w:hint="eastAsia"/>
        </w:rPr>
        <w:tab/>
      </w:r>
      <w:r>
        <w:rPr>
          <w:rFonts w:hint="eastAsia"/>
        </w:rPr>
        <w:t>在针刺后，局部呈现红晕或红肿未能完全消失时，则应避免洗浴，以防感染。</w:t>
      </w:r>
    </w:p>
    <w:p>
      <w:pPr>
        <w:pStyle w:val="109"/>
        <w:numPr>
          <w:ilvl w:val="0"/>
          <w:numId w:val="0"/>
        </w:numPr>
        <w:ind w:left="1276" w:hanging="425"/>
      </w:pPr>
      <w:r>
        <w:rPr>
          <w:rFonts w:hint="eastAsia"/>
        </w:rPr>
        <w:t>4)</w:t>
      </w:r>
      <w:r>
        <w:rPr>
          <w:rFonts w:hint="eastAsia"/>
        </w:rPr>
        <w:tab/>
      </w:r>
      <w:r>
        <w:rPr>
          <w:rFonts w:hint="eastAsia"/>
        </w:rPr>
        <w:t>针后局部发痒，不能用手搔抓，以防感染。</w:t>
      </w:r>
    </w:p>
    <w:p>
      <w:pPr>
        <w:pStyle w:val="109"/>
      </w:pPr>
      <w:r>
        <w:rPr>
          <w:rFonts w:hint="eastAsia"/>
        </w:rPr>
        <w:t>针孔处理：针刺后如针眼渗血渗液，用消毒纱布贴敷，用胶布固定 1—2天，以防感染。</w:t>
      </w:r>
    </w:p>
    <w:p>
      <w:pPr>
        <w:pStyle w:val="104"/>
        <w:spacing w:before="312" w:after="312"/>
      </w:pPr>
      <w:r>
        <w:rPr>
          <w:rFonts w:hint="eastAsia"/>
        </w:rPr>
        <w:t>意外处理</w:t>
      </w:r>
    </w:p>
    <w:p>
      <w:pPr>
        <w:pStyle w:val="105"/>
        <w:spacing w:before="156" w:after="156"/>
      </w:pPr>
      <w:r>
        <w:rPr>
          <w:rFonts w:hint="eastAsia"/>
        </w:rPr>
        <w:t>晕针</w:t>
      </w:r>
    </w:p>
    <w:p>
      <w:pPr>
        <w:pStyle w:val="56"/>
        <w:ind w:firstLine="420"/>
      </w:pPr>
      <w:r>
        <w:rPr>
          <w:rFonts w:hint="eastAsia"/>
        </w:rPr>
        <w:t>立即停止操作，扶持患者平卧；头部放低，松解衣带，注意保暖。轻者静卧片刻，给饮温茶。如未能缓解者，用指掐或针刺急救穴，如人中、素髎、合谷、内关、足三里、涌泉、中冲等，也可灸百会、 气海、关元、神阙等，必要时可配用现代急救措施。晕针缓解后，仍需适当休息。</w:t>
      </w:r>
    </w:p>
    <w:p>
      <w:pPr>
        <w:pStyle w:val="105"/>
        <w:spacing w:before="156" w:after="156"/>
      </w:pPr>
      <w:r>
        <w:rPr>
          <w:rFonts w:hint="eastAsia"/>
        </w:rPr>
        <w:t>血肿</w:t>
      </w:r>
    </w:p>
    <w:p>
      <w:pPr>
        <w:pStyle w:val="56"/>
        <w:ind w:firstLine="420"/>
      </w:pPr>
      <w:r>
        <w:rPr>
          <w:rFonts w:hint="eastAsia"/>
        </w:rPr>
        <w:t>一般的小血肿不会留下后遗症，出血量大的血肿可以适当用温水热敷，或按揉局部，促使血液吸收，防止血块机化。</w:t>
      </w:r>
    </w:p>
    <w:p>
      <w:pPr>
        <w:pStyle w:val="105"/>
        <w:spacing w:before="156" w:after="156"/>
      </w:pPr>
      <w:r>
        <w:rPr>
          <w:rFonts w:hint="eastAsia"/>
        </w:rPr>
        <w:t>刺伤</w:t>
      </w:r>
      <w:r>
        <w:t>动脉</w:t>
      </w:r>
    </w:p>
    <w:p>
      <w:pPr>
        <w:pStyle w:val="56"/>
        <w:ind w:firstLine="420"/>
      </w:pPr>
      <w:r>
        <w:rPr>
          <w:rFonts w:hint="eastAsia"/>
        </w:rPr>
        <w:t>应用消毒棉球在局部加压止血。</w:t>
      </w:r>
    </w:p>
    <w:p>
      <w:pPr>
        <w:pStyle w:val="56"/>
        <w:ind w:firstLine="420"/>
      </w:pPr>
    </w:p>
    <w:p>
      <w:pPr>
        <w:pStyle w:val="109"/>
        <w:numPr>
          <w:ilvl w:val="0"/>
          <w:numId w:val="0"/>
        </w:numPr>
        <w:ind w:left="1276" w:hanging="425"/>
      </w:pPr>
    </w:p>
    <w:bookmarkEnd w:id="22"/>
    <w:p>
      <w:pPr>
        <w:pStyle w:val="109"/>
        <w:numPr>
          <w:ilvl w:val="0"/>
          <w:numId w:val="0"/>
        </w:numPr>
        <w:ind w:left="1276" w:hanging="425"/>
        <w:sectPr>
          <w:pgSz w:w="11906" w:h="16838"/>
          <w:pgMar w:top="2410" w:right="1134" w:bottom="1134" w:left="1134" w:header="1418" w:footer="1134" w:gutter="284"/>
          <w:pgNumType w:start="1"/>
          <w:cols w:space="425" w:num="1"/>
          <w:formProt w:val="0"/>
          <w:docGrid w:type="lines" w:linePitch="312" w:charSpace="0"/>
        </w:sectPr>
      </w:pPr>
      <w:bookmarkStart w:id="41" w:name="BookMark6"/>
    </w:p>
    <w:p>
      <w:pPr>
        <w:pStyle w:val="63"/>
        <w:spacing w:before="124" w:after="156"/>
      </w:pPr>
      <w:r>
        <w:rPr>
          <w:rFonts w:hint="eastAsia"/>
          <w:spacing w:val="105"/>
        </w:rPr>
        <w:t>参考文</w:t>
      </w:r>
      <w:r>
        <w:rPr>
          <w:rFonts w:hint="eastAsia"/>
        </w:rPr>
        <w:t>献</w:t>
      </w:r>
    </w:p>
    <w:p>
      <w:pPr>
        <w:pStyle w:val="56"/>
        <w:ind w:left="420" w:leftChars="200" w:firstLine="0" w:firstLineChars="0"/>
        <w:jc w:val="left"/>
      </w:pPr>
      <w:r>
        <w:rPr>
          <w:rFonts w:hint="eastAsia"/>
        </w:rPr>
        <w:t>[1]庞宇舟，林辰主编.《实用壮医学》[M].北京.北京大学出版社,2017,286-288.             、[2]林辰主编.中国壮医外治学[M].南宁：广西科学技术出版社,2015.07.                       [3]钟鸣主编.壮医技法技术规范壮汉双语[M]. 南宁：广西科学技术出版社, 2016.11.</w:t>
      </w:r>
    </w:p>
    <w:p>
      <w:pPr>
        <w:pStyle w:val="109"/>
        <w:numPr>
          <w:ilvl w:val="0"/>
          <w:numId w:val="0"/>
        </w:numPr>
        <w:ind w:left="1276" w:hanging="425"/>
      </w:pPr>
    </w:p>
    <w:bookmarkEnd w:id="41"/>
    <w:p>
      <w:pPr>
        <w:pStyle w:val="109"/>
        <w:numPr>
          <w:ilvl w:val="0"/>
          <w:numId w:val="0"/>
        </w:numPr>
        <w:ind w:left="1276"/>
        <w:jc w:val="center"/>
      </w:pPr>
      <w:bookmarkStart w:id="42" w:name="BookMark8"/>
      <w:r>
        <w:rPr>
          <w:rFonts w:hint="eastAsia"/>
        </w:rP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4">
                      <a:extLst>
                        <a:ext uri="{28A0092B-C50C-407E-A947-70E740481C1C}">
                          <a14:useLocalDpi xmlns:a14="http://schemas.microsoft.com/office/drawing/2010/main" val="false"/>
                        </a:ext>
                      </a:extLst>
                    </a:blip>
                    <a:stretch>
                      <a:fillRect/>
                    </a:stretch>
                  </pic:blipFill>
                  <pic:spPr>
                    <a:xfrm>
                      <a:off x="0" y="0"/>
                      <a:ext cx="1485900" cy="317500"/>
                    </a:xfrm>
                    <a:prstGeom prst="rect">
                      <a:avLst/>
                    </a:prstGeom>
                  </pic:spPr>
                </pic:pic>
              </a:graphicData>
            </a:graphic>
          </wp:inline>
        </w:drawing>
      </w:r>
      <w:bookmarkEnd w:id="42"/>
    </w:p>
    <w:sectPr>
      <w:pgSz w:w="11906" w:h="16838"/>
      <w:pgMar w:top="2410"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华文中宋"/>
    <w:panose1 w:val="02010600030101010101"/>
    <w:charset w:val="86"/>
    <w:family w:val="auto"/>
    <w:pitch w:val="default"/>
    <w:sig w:usb0="00000000" w:usb1="00000000" w:usb2="00000016" w:usb3="00000000" w:csb0="0004000F" w:csb1="00000000"/>
  </w:font>
  <w:font w:name="等线 Light">
    <w:altName w:val="华文中宋"/>
    <w:panose1 w:val="02010600030101010101"/>
    <w:charset w:val="86"/>
    <w:family w:val="auto"/>
    <w:pitch w:val="default"/>
    <w:sig w:usb0="00000000" w:usb1="00000000" w:usb2="00000016" w:usb3="00000000" w:csb0="0004000F"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DejaVu Math TeX Gyre">
    <w:panose1 w:val="02000503000000000000"/>
    <w:charset w:val="00"/>
    <w:family w:val="auto"/>
    <w:pitch w:val="default"/>
    <w:sig w:usb0="A10000EF" w:usb1="4201F9EE" w:usb2="02000000" w:usb3="00000000" w:csb0="60000193" w:csb1="0DD40000"/>
  </w:font>
  <w:font w:name="Liberation Serif">
    <w:panose1 w:val="02020603050405020304"/>
    <w:charset w:val="00"/>
    <w:family w:val="auto"/>
    <w:pitch w:val="default"/>
    <w:sig w:usb0="A00002AF" w:usb1="500078FB" w:usb2="00000000" w:usb3="00000000" w:csb0="6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45/T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45/T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true"/>
  <w:bordersDoNotSurroundFooter w:val="true"/>
  <w:attachedTemplate r:id="rId1"/>
  <w:documentProtection w:edit="forms" w:enforcement="1" w:cryptProviderType="rsaAES" w:cryptAlgorithmClass="hash" w:cryptAlgorithmType="typeAny" w:cryptAlgorithmSid="14" w:cryptSpinCount="100000" w:hash="hYUuFTqtgXFiXAg7tjkqOXRsAW5/mkArkWxuVG3zu2CQdlspfzA7N3lgR+XNx+ajlrXJzl3z4YNLmAIuKcUqSg==" w:salt="xj77az+bYMldBJGXoZVUUA=="/>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QxZGE0OGM0NmRlYzRhMWQzMjFjODA2YjQwMDcxOTIifQ=="/>
  </w:docVars>
  <w:rsids>
    <w:rsidRoot w:val="00D25873"/>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4C4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1903"/>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0EBF"/>
    <w:rsid w:val="00765C43"/>
    <w:rsid w:val="00765D2F"/>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5BA3"/>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2C26"/>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873"/>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11A85"/>
    <w:rsid w:val="00E12495"/>
    <w:rsid w:val="00E15CCD"/>
    <w:rsid w:val="00E202EF"/>
    <w:rsid w:val="00E210B5"/>
    <w:rsid w:val="00E23D99"/>
    <w:rsid w:val="00E2552F"/>
    <w:rsid w:val="00E3120E"/>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B5C3E34"/>
    <w:rsid w:val="0D402242"/>
    <w:rsid w:val="1514489B"/>
    <w:rsid w:val="1A7647E7"/>
    <w:rsid w:val="23C71C0F"/>
    <w:rsid w:val="31591E51"/>
    <w:rsid w:val="356647B9"/>
    <w:rsid w:val="373B7EB3"/>
    <w:rsid w:val="3BC8543C"/>
    <w:rsid w:val="4E295156"/>
    <w:rsid w:val="4FF22915"/>
    <w:rsid w:val="570401E9"/>
    <w:rsid w:val="59F143D1"/>
    <w:rsid w:val="62373333"/>
    <w:rsid w:val="642B3519"/>
    <w:rsid w:val="65DC4BD5"/>
    <w:rsid w:val="70474AAD"/>
    <w:rsid w:val="711D151C"/>
    <w:rsid w:val="729636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rFonts w:ascii="Times New Roman" w:hAnsi="Times New Roman" w:eastAsia="宋体" w:cs="Times New Roman"/>
      <w:b/>
      <w:bCs/>
      <w:kern w:val="44"/>
      <w:sz w:val="44"/>
      <w:szCs w:val="44"/>
    </w:rPr>
  </w:style>
  <w:style w:type="character" w:customStyle="1" w:styleId="35">
    <w:name w:val="标题 2 字符"/>
    <w:link w:val="3"/>
    <w:qFormat/>
    <w:uiPriority w:val="0"/>
    <w:rPr>
      <w:rFonts w:ascii="Arial" w:hAnsi="Arial" w:eastAsia="黑体" w:cs="Times New Roman"/>
      <w:b/>
      <w:bCs/>
      <w:sz w:val="32"/>
      <w:szCs w:val="32"/>
    </w:rPr>
  </w:style>
  <w:style w:type="character" w:customStyle="1" w:styleId="36">
    <w:name w:val="标题 3 字符"/>
    <w:link w:val="4"/>
    <w:qFormat/>
    <w:uiPriority w:val="0"/>
    <w:rPr>
      <w:rFonts w:ascii="Times New Roman" w:hAnsi="Times New Roman" w:eastAsia="宋体" w:cs="Times New Roman"/>
      <w:b/>
      <w:bCs/>
      <w:sz w:val="32"/>
      <w:szCs w:val="32"/>
    </w:rPr>
  </w:style>
  <w:style w:type="character" w:customStyle="1" w:styleId="37">
    <w:name w:val="标题 4 字符"/>
    <w:link w:val="5"/>
    <w:qFormat/>
    <w:uiPriority w:val="0"/>
    <w:rPr>
      <w:rFonts w:ascii="Arial" w:hAnsi="Arial" w:eastAsia="黑体" w:cs="Times New Roman"/>
      <w:b/>
      <w:bCs/>
      <w:sz w:val="28"/>
      <w:szCs w:val="28"/>
    </w:rPr>
  </w:style>
  <w:style w:type="character" w:customStyle="1" w:styleId="38">
    <w:name w:val="标题 5 字符"/>
    <w:link w:val="6"/>
    <w:qFormat/>
    <w:uiPriority w:val="0"/>
    <w:rPr>
      <w:rFonts w:ascii="Times New Roman" w:hAnsi="Times New Roman" w:eastAsia="宋体" w:cs="Times New Roman"/>
      <w:b/>
      <w:bCs/>
      <w:sz w:val="28"/>
      <w:szCs w:val="28"/>
    </w:rPr>
  </w:style>
  <w:style w:type="character" w:customStyle="1" w:styleId="39">
    <w:name w:val="标题 6 字符"/>
    <w:link w:val="7"/>
    <w:qFormat/>
    <w:uiPriority w:val="0"/>
    <w:rPr>
      <w:rFonts w:ascii="Arial" w:hAnsi="Arial" w:eastAsia="黑体" w:cs="Times New Roman"/>
      <w:b/>
      <w:bCs/>
      <w:sz w:val="24"/>
      <w:szCs w:val="24"/>
    </w:rPr>
  </w:style>
  <w:style w:type="character" w:customStyle="1" w:styleId="40">
    <w:name w:val="标题 7 字符"/>
    <w:link w:val="8"/>
    <w:qFormat/>
    <w:uiPriority w:val="0"/>
    <w:rPr>
      <w:rFonts w:ascii="Times New Roman" w:hAnsi="Times New Roman" w:eastAsia="宋体" w:cs="Times New Roman"/>
      <w:b/>
      <w:bCs/>
      <w:sz w:val="24"/>
      <w:szCs w:val="24"/>
    </w:rPr>
  </w:style>
  <w:style w:type="character" w:customStyle="1" w:styleId="41">
    <w:name w:val="标题 8 字符"/>
    <w:link w:val="9"/>
    <w:qFormat/>
    <w:uiPriority w:val="0"/>
    <w:rPr>
      <w:rFonts w:ascii="Arial" w:hAnsi="Arial" w:eastAsia="黑体" w:cs="Times New Roman"/>
      <w:sz w:val="24"/>
      <w:szCs w:val="24"/>
    </w:rPr>
  </w:style>
  <w:style w:type="character" w:customStyle="1" w:styleId="42">
    <w:name w:val="标题 9 字符"/>
    <w:link w:val="10"/>
    <w:qFormat/>
    <w:uiPriority w:val="0"/>
    <w:rPr>
      <w:rFonts w:ascii="Arial" w:hAnsi="Arial" w:eastAsia="黑体" w:cs="Times New Roman"/>
      <w:szCs w:val="21"/>
    </w:rPr>
  </w:style>
  <w:style w:type="character" w:customStyle="1" w:styleId="43">
    <w:name w:val="页眉 字符"/>
    <w:link w:val="18"/>
    <w:qFormat/>
    <w:uiPriority w:val="99"/>
    <w:rPr>
      <w:rFonts w:ascii="Times New Roman" w:hAnsi="Times New Roman" w:eastAsia="宋体" w:cs="Times New Roman"/>
      <w:sz w:val="18"/>
      <w:szCs w:val="18"/>
    </w:rPr>
  </w:style>
  <w:style w:type="character" w:customStyle="1" w:styleId="44">
    <w:name w:val="页脚 字符"/>
    <w:link w:val="17"/>
    <w:qFormat/>
    <w:uiPriority w:val="99"/>
    <w:rPr>
      <w:rFonts w:ascii="宋体" w:hAnsi="Times New Roman" w:eastAsia="宋体" w:cs="Times New Roman"/>
      <w:sz w:val="18"/>
      <w:szCs w:val="18"/>
    </w:rPr>
  </w:style>
  <w:style w:type="character" w:customStyle="1" w:styleId="45">
    <w:name w:val="批注框文本 字符"/>
    <w:link w:val="16"/>
    <w:semiHidden/>
    <w:qFormat/>
    <w:uiPriority w:val="99"/>
    <w:rPr>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rPr>
  </w:style>
  <w:style w:type="character" w:customStyle="1" w:styleId="48">
    <w:name w:val="标题 字符"/>
    <w:link w:val="25"/>
    <w:qFormat/>
    <w:uiPriority w:val="0"/>
    <w:rPr>
      <w:rFonts w:ascii="Arial" w:hAnsi="Arial" w:eastAsia="宋体" w:cs="Arial"/>
      <w:b/>
      <w:bCs/>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rFonts w:ascii="Times New Roman" w:hAnsi="Times New Roman" w:eastAsia="宋体" w:cs="Times New Roman"/>
      <w:szCs w:val="20"/>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after="150" w:afterLines="150"/>
      <w:ind w:left="0" w:firstLine="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pPr>
  </w:style>
  <w:style w:type="paragraph" w:customStyle="1" w:styleId="91">
    <w:name w:val="标准文件_目录标题"/>
    <w:basedOn w:val="1"/>
    <w:qFormat/>
    <w:uiPriority w:val="0"/>
    <w:pPr>
      <w:spacing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ind w:left="0" w:firstLine="200"/>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hAnsi="Times New Roman" w:eastAsia="宋体" w:cs="Times New Roman"/>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qFormat/>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semiHidden/>
    <w:qFormat/>
    <w:uiPriority w:val="0"/>
    <w:pPr>
      <w:spacing w:line="240" w:lineRule="auto"/>
    </w:pPr>
    <w:rPr>
      <w:rFonts w:ascii="宋体" w:hAnsi="宋体"/>
    </w:rPr>
  </w:style>
  <w:style w:type="paragraph" w:customStyle="1" w:styleId="146">
    <w:name w:val="目录 61"/>
    <w:basedOn w:val="1"/>
    <w:next w:val="1"/>
    <w:semiHidden/>
    <w:qFormat/>
    <w:uiPriority w:val="0"/>
    <w:pPr>
      <w:adjustRightInd/>
      <w:spacing w:line="240" w:lineRule="auto"/>
      <w:jc w:val="left"/>
    </w:pPr>
  </w:style>
  <w:style w:type="paragraph" w:customStyle="1" w:styleId="147">
    <w:name w:val="目录 71"/>
    <w:basedOn w:val="146"/>
    <w:semiHidden/>
    <w:qFormat/>
    <w:uiPriority w:val="0"/>
    <w:pPr>
      <w:ind w:left="1260"/>
    </w:pPr>
  </w:style>
  <w:style w:type="paragraph" w:customStyle="1" w:styleId="148">
    <w:name w:val="目录 81"/>
    <w:basedOn w:val="147"/>
    <w:semiHidden/>
    <w:qFormat/>
    <w:uiPriority w:val="0"/>
    <w:pPr>
      <w:ind w:left="1470"/>
    </w:pPr>
  </w:style>
  <w:style w:type="paragraph" w:customStyle="1" w:styleId="149">
    <w:name w:val="目录 91"/>
    <w:basedOn w:val="148"/>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ind w:left="783"/>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left="1271" w:hanging="420" w:firstLineChars="0"/>
    </w:pPr>
  </w:style>
  <w:style w:type="paragraph" w:customStyle="1" w:styleId="188">
    <w:name w:val="标准文件_三级项2"/>
    <w:basedOn w:val="56"/>
    <w:qFormat/>
    <w:uiPriority w:val="0"/>
    <w:pPr>
      <w:numPr>
        <w:ilvl w:val="0"/>
        <w:numId w:val="30"/>
      </w:numPr>
      <w:spacing w:line="300" w:lineRule="exact"/>
      <w:ind w:left="1276" w:hanging="425" w:firstLineChars="0"/>
    </w:pPr>
    <w:rPr>
      <w:rFonts w:ascii="Times New Roman"/>
    </w:rPr>
  </w:style>
  <w:style w:type="paragraph" w:customStyle="1" w:styleId="189">
    <w:name w:val="标准文件_一级项2"/>
    <w:basedOn w:val="56"/>
    <w:qFormat/>
    <w:uiPriority w:val="0"/>
    <w:pPr>
      <w:numPr>
        <w:ilvl w:val="0"/>
        <w:numId w:val="31"/>
      </w:numPr>
      <w:spacing w:line="300" w:lineRule="exact"/>
      <w:ind w:left="1271" w:hanging="420"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vAnchor="page" w:hAnchor="page" w:x="1419" w:y="14097"/>
    </w:pPr>
  </w:style>
  <w:style w:type="paragraph" w:customStyle="1" w:styleId="194">
    <w:name w:val="其他实施日期"/>
    <w:basedOn w:val="154"/>
    <w:qFormat/>
    <w:uiPriority w:val="0"/>
    <w:pPr>
      <w:framePr w:w="3997" w:h="471" w:hRule="exact" w:vSpace="181"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next w:val="56"/>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glossaryDocument" Target="glossary/document.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1.jpeg"/><Relationship Id="rId13" Type="http://schemas.openxmlformats.org/officeDocument/2006/relationships/image" Target="media/image1.tiff"/><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home/gxxc/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C9A528D5488E47DEB3DFB571ECAE687A"/>
        <w:style w:val=""/>
        <w:category>
          <w:name w:val="常规"/>
          <w:gallery w:val="placeholder"/>
        </w:category>
        <w:types>
          <w:type w:val="bbPlcHdr"/>
        </w:types>
        <w:behaviors>
          <w:behavior w:val="content"/>
        </w:behaviors>
        <w:description w:val=""/>
        <w:guid w:val="{49ADE73E-7DC0-467B-B284-A39203AD05E0}"/>
      </w:docPartPr>
      <w:docPartBody>
        <w:p>
          <w:pPr>
            <w:pStyle w:val="5"/>
          </w:pPr>
          <w:r>
            <w:rPr>
              <w:rStyle w:val="4"/>
              <w:rFonts w:hint="eastAsia"/>
            </w:rPr>
            <w:t>单击或点击此处输入文字。</w:t>
          </w:r>
        </w:p>
      </w:docPartBody>
    </w:docPart>
    <w:docPart>
      <w:docPartPr>
        <w:name w:val="03EBDF2DB37D4B75BB678746F4EDF135"/>
        <w:style w:val=""/>
        <w:category>
          <w:name w:val="常规"/>
          <w:gallery w:val="placeholder"/>
        </w:category>
        <w:types>
          <w:type w:val="bbPlcHdr"/>
        </w:types>
        <w:behaviors>
          <w:behavior w:val="content"/>
        </w:behaviors>
        <w:description w:val=""/>
        <w:guid w:val="{7A2DC7BF-3E62-418D-9DDC-82D1183285B7}"/>
      </w:docPartPr>
      <w:docPartBody>
        <w:p>
          <w:pPr>
            <w:pStyle w:val="6"/>
          </w:pPr>
          <w:r>
            <w:rPr>
              <w:rStyle w:val="4"/>
              <w:rFonts w:hint="eastAsia"/>
            </w:rPr>
            <w:t>选择一项。</w:t>
          </w:r>
        </w:p>
      </w:docPartBody>
    </w:docPart>
    <w:docPart>
      <w:docPartPr>
        <w:name w:val="AAE6A4977222447D95C8F2B4D749DC3B"/>
        <w:style w:val=""/>
        <w:category>
          <w:name w:val="常规"/>
          <w:gallery w:val="placeholder"/>
        </w:category>
        <w:types>
          <w:type w:val="bbPlcHdr"/>
        </w:types>
        <w:behaviors>
          <w:behavior w:val="content"/>
        </w:behaviors>
        <w:description w:val=""/>
        <w:guid w:val="{8E269357-BD14-444C-8DAA-446E8D4D844A}"/>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华文中宋"/>
    <w:panose1 w:val="02010600030101010101"/>
    <w:charset w:val="86"/>
    <w:family w:val="auto"/>
    <w:pitch w:val="default"/>
    <w:sig w:usb0="00000000" w:usb1="00000000" w:usb2="00000016" w:usb3="00000000" w:csb0="0004000F" w:csb1="00000000"/>
  </w:font>
  <w:font w:name="等线">
    <w:altName w:val="汉仪仿宋S"/>
    <w:panose1 w:val="00000000000000000000"/>
    <w:charset w:val="86"/>
    <w:family w:val="auto"/>
    <w:pitch w:val="default"/>
    <w:sig w:usb0="00000000" w:usb1="00000000" w:usb2="00000000" w:usb3="00000000" w:csb0="00000000" w:csb1="00000000"/>
  </w:font>
  <w:font w:name="等线">
    <w:altName w:val="汉仪仿宋S"/>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true"/>
  <w:bordersDoNotSurroundFooter w:val="true"/>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2A00"/>
    <w:rsid w:val="000F2A00"/>
    <w:rsid w:val="0052313E"/>
    <w:rsid w:val="00B201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C9A528D5488E47DEB3DFB571ECAE687A"/>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03EBDF2DB37D4B75BB678746F4EDF13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AAE6A4977222447D95C8F2B4D749DC3B"/>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7</Pages>
  <Words>2450</Words>
  <Characters>2604</Characters>
  <Lines>23</Lines>
  <Paragraphs>6</Paragraphs>
  <TotalTime>0</TotalTime>
  <ScaleCrop>false</ScaleCrop>
  <LinksUpToDate>false</LinksUpToDate>
  <CharactersWithSpaces>2697</CharactersWithSpaces>
  <Application>WPS Office_11.8.2.10290_F1E327BC-269C-435d-A152-05C5408002CA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2022-07-19T21:29:00Z</dcterms:created>
  <dc:creator>admin</dc:creator>
  <dc:description>&lt;config cover="true" show_menu="true" version="1.0.0" doctype="SDKXY"&gt;_x000d_
&lt;/config&gt;</dc:description>
  <cp:lastModifiedBy>朱俊荣</cp:lastModifiedBy>
  <cp:lastPrinted>2020-08-30T18:00:00Z</cp:lastPrinted>
  <dcterms:modified xsi:type="dcterms:W3CDTF">2022-09-07T11:12:33Z</dcterms:modified>
  <dc:title>地方标准</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2052-11.8.2.10290</vt:lpwstr>
  </property>
  <property fmtid="{D5CDD505-2E9C-101B-9397-08002B2CF9AE}" pid="15" name="ICV">
    <vt:lpwstr>33313E613F10415ABBC3FACAC867B393</vt:lpwstr>
  </property>
</Properties>
</file>