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3" w:rsidRDefault="00DC2B93" w:rsidP="00DC2B93">
      <w:pPr>
        <w:jc w:val="left"/>
        <w:rPr>
          <w:rFonts w:eastAsia="方正黑体_GBK"/>
          <w:szCs w:val="32"/>
        </w:rPr>
      </w:pPr>
      <w:r>
        <w:rPr>
          <w:rFonts w:eastAsia="仿宋_GB2312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margin">
                  <wp:posOffset>8404225</wp:posOffset>
                </wp:positionV>
                <wp:extent cx="5615940" cy="0"/>
                <wp:effectExtent l="40640" t="41910" r="39370" b="43815"/>
                <wp:wrapSquare wrapText="bothSides"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15pt,661.75pt" to="442.0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" strokecolor="red" strokeweight="6pt">
                <v:stroke linestyle="thinThick"/>
                <w10:wrap type="square" anchorx="margin" anchory="margin"/>
              </v:line>
            </w:pict>
          </mc:Fallback>
        </mc:AlternateContent>
      </w:r>
      <w:r>
        <w:rPr>
          <w:rFonts w:eastAsia="方正黑体_GBK" w:hint="eastAsia"/>
          <w:szCs w:val="32"/>
        </w:rPr>
        <w:t>附件</w:t>
      </w:r>
    </w:p>
    <w:p w:rsidR="00DC2B93" w:rsidRDefault="00DC2B93" w:rsidP="00DC2B93">
      <w:pPr>
        <w:jc w:val="left"/>
        <w:rPr>
          <w:rFonts w:eastAsia="方正黑体_GBK"/>
          <w:szCs w:val="32"/>
        </w:rPr>
      </w:pPr>
    </w:p>
    <w:p w:rsidR="00DC2B93" w:rsidRDefault="00DC2B93" w:rsidP="00DC2B93">
      <w:pPr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重庆市地方标准批准发布目录</w:t>
      </w:r>
    </w:p>
    <w:tbl>
      <w:tblPr>
        <w:tblW w:w="13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409"/>
        <w:gridCol w:w="5829"/>
        <w:gridCol w:w="1723"/>
        <w:gridCol w:w="1537"/>
        <w:gridCol w:w="1641"/>
      </w:tblGrid>
      <w:tr w:rsidR="00DC2B93" w:rsidTr="00EE134C">
        <w:trPr>
          <w:trHeight w:val="567"/>
          <w:tblHeader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DC2B93" w:rsidRDefault="00DC2B93" w:rsidP="00EE134C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地方标准编号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地方标准名称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rPr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代替标准编号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发布日期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tabs>
                <w:tab w:val="center" w:pos="813"/>
                <w:tab w:val="right" w:pos="1506"/>
              </w:tabs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 w:hint="eastAsia"/>
                <w:sz w:val="24"/>
                <w:szCs w:val="24"/>
              </w:rPr>
              <w:t>实施日期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1282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云南盘鮈人工繁殖技术规范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2022-08-25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2022-10-25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1283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地理标志产品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万州玫瑰香橙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2022-08-25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2022-10-25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1284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爆炸危险场所雷电防护指南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2022-08-25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2022-10-25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1286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重庆小面门店经营服务规范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2022-08-31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2022-11-30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1287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重庆火锅红油制作技术规程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2022-08-31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2022-11-30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1288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重庆火锅底料麻度分级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2022-08-31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2022-11-30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1289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家政服务机构等级评定方法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2022-08-31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2022-11-30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1290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智能网联汽车道路测试远程监控系统技术规范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1291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城镇天然气用户工程技术规程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1292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建筑消防设施维护管理规范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1297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w w:val="96"/>
                <w:sz w:val="24"/>
                <w:szCs w:val="24"/>
              </w:rPr>
              <w:t>丘陵山地玉米－大豆带状复合种植机械化生产技术规程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2022-12-30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1298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奇异变形杆菌和普通变形杆菌双重</w:t>
            </w:r>
            <w:r>
              <w:rPr>
                <w:rFonts w:hint="eastAsia"/>
                <w:sz w:val="24"/>
                <w:szCs w:val="24"/>
              </w:rPr>
              <w:t>Real-Time PCR</w:t>
            </w:r>
            <w:r>
              <w:rPr>
                <w:rFonts w:hint="eastAsia"/>
                <w:sz w:val="24"/>
                <w:szCs w:val="24"/>
              </w:rPr>
              <w:t>检测方法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2022-12-30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1299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饲用甜</w:t>
            </w:r>
            <w:proofErr w:type="gramStart"/>
            <w:r>
              <w:rPr>
                <w:rFonts w:hint="eastAsia"/>
                <w:sz w:val="24"/>
                <w:szCs w:val="24"/>
              </w:rPr>
              <w:t>高梁</w:t>
            </w:r>
            <w:proofErr w:type="gramEnd"/>
            <w:r>
              <w:rPr>
                <w:rFonts w:hint="eastAsia"/>
                <w:sz w:val="24"/>
                <w:szCs w:val="24"/>
              </w:rPr>
              <w:t>与多花黑麦草轮作技术规范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2022-12-30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1300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中华蜜蜂蜂蜜加工技术规范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2022-12-30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1301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生猪价格采集规范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2022-12-30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1307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柑橘类水果冷链作业规范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2022-12-30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1308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建设施工承包方安全生产责任管理规范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2022-12-30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867.33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安全生产技术规范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33</w:t>
            </w:r>
            <w:r>
              <w:rPr>
                <w:rFonts w:hint="eastAsia"/>
                <w:sz w:val="24"/>
                <w:szCs w:val="24"/>
              </w:rPr>
              <w:t>部分：橡胶、塑料制品企业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867.34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安全生产技术规范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34</w:t>
            </w:r>
            <w:r>
              <w:rPr>
                <w:rFonts w:hint="eastAsia"/>
                <w:sz w:val="24"/>
                <w:szCs w:val="24"/>
              </w:rPr>
              <w:t>部分：残疾人服务机构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rPr>
                <w:color w:val="0000FF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color w:val="0000F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  <w:tr w:rsidR="00DC2B93" w:rsidTr="00EE134C">
        <w:trPr>
          <w:trHeight w:val="670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867.35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安全生产技术规范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部分：食品、饲料及烟草制品批发市场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867.36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安全生产技术规范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36</w:t>
            </w:r>
            <w:r>
              <w:rPr>
                <w:rFonts w:hint="eastAsia"/>
                <w:sz w:val="24"/>
                <w:szCs w:val="24"/>
              </w:rPr>
              <w:t>部分：仓储企业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2022-12-20</w:t>
            </w:r>
          </w:p>
        </w:tc>
      </w:tr>
      <w:tr w:rsidR="00DC2B93" w:rsidTr="00EE134C">
        <w:trPr>
          <w:trHeight w:val="567"/>
          <w:jc w:val="center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DB50/T </w:t>
            </w:r>
            <w:r>
              <w:rPr>
                <w:rFonts w:hint="eastAsia"/>
                <w:sz w:val="24"/>
                <w:szCs w:val="24"/>
              </w:rPr>
              <w:t>867.37</w:t>
            </w:r>
            <w:r>
              <w:rPr>
                <w:rFonts w:ascii="方正仿宋_GBK" w:hAnsi="方正仿宋_GBK" w:cs="方正仿宋_GBK"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安全生产技术规范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37</w:t>
            </w:r>
            <w:r>
              <w:rPr>
                <w:rFonts w:hint="eastAsia"/>
                <w:sz w:val="24"/>
                <w:szCs w:val="24"/>
              </w:rPr>
              <w:t>部分：纸制品制造企业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2022-09-30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B93" w:rsidRDefault="00DC2B93" w:rsidP="00EE134C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2022-12-30</w:t>
            </w:r>
          </w:p>
        </w:tc>
      </w:tr>
    </w:tbl>
    <w:p w:rsidR="00AB60E5" w:rsidRDefault="00AB60E5"/>
    <w:sectPr w:rsidR="00AB60E5" w:rsidSect="00DC2B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93"/>
    <w:rsid w:val="00AB60E5"/>
    <w:rsid w:val="00D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3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3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罗宇</dc:creator>
  <cp:lastModifiedBy>罗宇</cp:lastModifiedBy>
  <cp:revision>1</cp:revision>
  <dcterms:created xsi:type="dcterms:W3CDTF">2022-10-08T07:43:00Z</dcterms:created>
  <dcterms:modified xsi:type="dcterms:W3CDTF">2022-10-08T07:44:00Z</dcterms:modified>
</cp:coreProperties>
</file>