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95"/>
          <w:tab w:val="left" w:pos="6720"/>
        </w:tabs>
        <w:spacing w:line="300" w:lineRule="auto"/>
        <w:jc w:val="left"/>
        <w:rPr>
          <w:sz w:val="24"/>
        </w:rPr>
      </w:pPr>
      <w:r>
        <w:rPr>
          <w:sz w:val="24"/>
        </w:rPr>
        <w:t>ICS 67.160.10</w:t>
      </w:r>
    </w:p>
    <w:p>
      <w:pPr>
        <w:tabs>
          <w:tab w:val="left" w:pos="1995"/>
          <w:tab w:val="left" w:pos="6720"/>
        </w:tabs>
        <w:spacing w:line="300" w:lineRule="auto"/>
        <w:jc w:val="left"/>
        <w:rPr>
          <w:sz w:val="24"/>
        </w:rPr>
      </w:pPr>
      <w:r>
        <w:rPr>
          <w:sz w:val="24"/>
        </w:rPr>
        <w:t>X 62</w:t>
      </w:r>
    </w:p>
    <w:p>
      <w:pPr>
        <w:tabs>
          <w:tab w:val="left" w:pos="1995"/>
          <w:tab w:val="left" w:pos="6720"/>
        </w:tabs>
        <w:spacing w:line="300" w:lineRule="auto"/>
        <w:jc w:val="left"/>
        <w:rPr>
          <w:sz w:val="28"/>
          <w:szCs w:val="28"/>
        </w:rPr>
      </w:pPr>
    </w:p>
    <w:p>
      <w:pPr>
        <w:tabs>
          <w:tab w:val="left" w:pos="1995"/>
          <w:tab w:val="left" w:pos="6720"/>
        </w:tabs>
        <w:spacing w:line="300" w:lineRule="auto"/>
        <w:jc w:val="distribute"/>
        <w:rPr>
          <w:rFonts w:eastAsia="黑体"/>
          <w:bCs/>
          <w:color w:val="000000"/>
          <w:w w:val="140"/>
          <w:sz w:val="40"/>
          <w:szCs w:val="44"/>
        </w:rPr>
      </w:pPr>
      <w:r>
        <w:rPr>
          <w:rFonts w:hint="eastAsia" w:eastAsia="黑体"/>
          <w:bCs/>
          <w:color w:val="000000"/>
          <w:w w:val="140"/>
          <w:sz w:val="40"/>
          <w:szCs w:val="44"/>
        </w:rPr>
        <w:t>团体标准</w:t>
      </w:r>
    </w:p>
    <w:p>
      <w:pPr>
        <w:pBdr>
          <w:bottom w:val="single" w:color="auto" w:sz="8" w:space="14"/>
        </w:pBdr>
        <w:spacing w:beforeLines="50" w:line="300" w:lineRule="auto"/>
        <w:jc w:val="right"/>
        <w:rPr>
          <w:rFonts w:eastAsia="黑体"/>
          <w:b/>
          <w:color w:val="000000"/>
          <w:sz w:val="28"/>
        </w:rPr>
      </w:pPr>
      <w:r>
        <w:rPr>
          <w:rFonts w:eastAsia="黑体"/>
          <w:b/>
          <w:color w:val="000000"/>
          <w:sz w:val="28"/>
        </w:rPr>
        <w:t xml:space="preserve">T/CNFIA </w:t>
      </w:r>
      <w:r>
        <w:rPr>
          <w:rFonts w:hint="eastAsia" w:eastAsia="黑体"/>
          <w:b/>
          <w:color w:val="000000"/>
          <w:sz w:val="28"/>
        </w:rPr>
        <w:t>×××-</w:t>
      </w:r>
      <w:r>
        <w:rPr>
          <w:rFonts w:hint="eastAsia" w:eastAsia="黑体"/>
          <w:b/>
          <w:color w:val="FF0000"/>
          <w:sz w:val="28"/>
        </w:rPr>
        <w:t>2022</w:t>
      </w: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r>
        <w:rPr>
          <w:rFonts w:hint="eastAsia"/>
          <w:color w:val="000000"/>
        </w:rPr>
        <w:t>　　　　</w:t>
      </w: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jc w:val="center"/>
        <w:rPr>
          <w:rFonts w:eastAsia="黑体"/>
          <w:bCs/>
          <w:color w:val="000000"/>
          <w:sz w:val="52"/>
          <w:szCs w:val="52"/>
        </w:rPr>
      </w:pPr>
      <w:r>
        <w:rPr>
          <w:rFonts w:hint="eastAsia" w:eastAsia="黑体"/>
          <w:bCs/>
          <w:color w:val="000000"/>
          <w:sz w:val="52"/>
          <w:szCs w:val="52"/>
        </w:rPr>
        <w:t>蚝      原      汁</w:t>
      </w:r>
    </w:p>
    <w:p>
      <w:pPr>
        <w:spacing w:line="300" w:lineRule="auto"/>
        <w:jc w:val="center"/>
        <w:rPr>
          <w:color w:val="000000"/>
          <w:sz w:val="28"/>
          <w:szCs w:val="28"/>
        </w:rPr>
      </w:pPr>
      <w:r>
        <w:rPr>
          <w:rFonts w:eastAsia="黑体"/>
          <w:bCs/>
          <w:color w:val="000000"/>
          <w:sz w:val="28"/>
          <w:szCs w:val="28"/>
        </w:rPr>
        <w:t>N</w:t>
      </w:r>
      <w:r>
        <w:rPr>
          <w:rFonts w:hint="eastAsia" w:eastAsia="黑体"/>
          <w:bCs/>
          <w:color w:val="000000"/>
          <w:sz w:val="28"/>
          <w:szCs w:val="28"/>
        </w:rPr>
        <w:t>atural oyster extractives</w:t>
      </w:r>
    </w:p>
    <w:p>
      <w:pPr>
        <w:spacing w:line="300" w:lineRule="auto"/>
        <w:jc w:val="center"/>
        <w:rPr>
          <w:rFonts w:eastAsia="楷体_GB2312"/>
          <w:color w:val="000000"/>
          <w:sz w:val="32"/>
          <w:szCs w:val="32"/>
        </w:rPr>
      </w:pPr>
      <w:r>
        <w:rPr>
          <w:rFonts w:hint="eastAsia" w:eastAsia="楷体_GB2312"/>
          <w:color w:val="000000"/>
          <w:sz w:val="32"/>
          <w:szCs w:val="32"/>
        </w:rPr>
        <w:t>（征求意见稿）</w:t>
      </w:r>
    </w:p>
    <w:p>
      <w:pPr>
        <w:spacing w:line="300" w:lineRule="auto"/>
        <w:rPr>
          <w:color w:val="000000"/>
        </w:rPr>
      </w:pPr>
    </w:p>
    <w:p>
      <w:pPr>
        <w:spacing w:line="300" w:lineRule="auto"/>
        <w:jc w:val="center"/>
        <w:rPr>
          <w:b/>
          <w:color w:val="000000"/>
          <w:sz w:val="28"/>
          <w:szCs w:val="28"/>
        </w:rPr>
      </w:pPr>
    </w:p>
    <w:p>
      <w:pPr>
        <w:spacing w:line="300" w:lineRule="auto"/>
        <w:jc w:val="center"/>
        <w:rPr>
          <w:b/>
          <w:color w:val="000000"/>
          <w:sz w:val="28"/>
          <w:szCs w:val="28"/>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color w:val="000000"/>
          <w:sz w:val="28"/>
          <w:szCs w:val="28"/>
        </w:rPr>
      </w:pPr>
    </w:p>
    <w:p>
      <w:pPr>
        <w:tabs>
          <w:tab w:val="left" w:pos="6405"/>
        </w:tabs>
        <w:spacing w:line="300" w:lineRule="auto"/>
        <w:jc w:val="center"/>
        <w:rPr>
          <w:rFonts w:eastAsia="黑体"/>
          <w:color w:val="000000"/>
          <w:sz w:val="24"/>
        </w:rPr>
      </w:pPr>
      <w:r>
        <w:rPr>
          <w:rFonts w:eastAsia="黑体"/>
          <w:color w:val="000000"/>
          <w:sz w:val="28"/>
        </w:rPr>
        <w:t>202</w:t>
      </w:r>
      <w:r>
        <w:rPr>
          <w:rFonts w:hint="eastAsia" w:eastAsia="黑体"/>
          <w:color w:val="000000"/>
          <w:sz w:val="28"/>
        </w:rPr>
        <w:t>2</w:t>
      </w:r>
      <w:r>
        <w:rPr>
          <w:rFonts w:eastAsia="黑体"/>
          <w:color w:val="000000"/>
          <w:sz w:val="28"/>
        </w:rPr>
        <w:t>-XX-XX</w:t>
      </w:r>
      <w:r>
        <w:rPr>
          <w:rFonts w:hint="eastAsia" w:eastAsia="黑体"/>
          <w:color w:val="000000"/>
          <w:sz w:val="28"/>
        </w:rPr>
        <w:t>发布</w:t>
      </w:r>
      <w:r>
        <w:rPr>
          <w:rFonts w:eastAsia="黑体"/>
          <w:color w:val="000000"/>
          <w:sz w:val="28"/>
        </w:rPr>
        <w:tab/>
      </w:r>
      <w:r>
        <w:rPr>
          <w:rFonts w:eastAsia="黑体"/>
          <w:color w:val="000000"/>
          <w:sz w:val="28"/>
        </w:rPr>
        <w:t>202</w:t>
      </w:r>
      <w:r>
        <w:rPr>
          <w:rFonts w:hint="eastAsia" w:eastAsia="黑体"/>
          <w:color w:val="000000"/>
          <w:sz w:val="28"/>
        </w:rPr>
        <w:t>2</w:t>
      </w:r>
      <w:r>
        <w:rPr>
          <w:rFonts w:eastAsia="黑体"/>
          <w:color w:val="000000"/>
          <w:sz w:val="28"/>
        </w:rPr>
        <w:t>-XX-XX</w:t>
      </w:r>
      <w:r>
        <w:rPr>
          <w:rFonts w:hint="eastAsia" w:eastAsia="黑体"/>
          <w:color w:val="000000"/>
          <w:sz w:val="28"/>
        </w:rPr>
        <w:t>实施</w:t>
      </w:r>
    </w:p>
    <w:p>
      <w:pPr>
        <w:pBdr>
          <w:top w:val="single" w:color="auto" w:sz="8" w:space="10"/>
        </w:pBdr>
        <w:spacing w:line="300" w:lineRule="auto"/>
        <w:jc w:val="center"/>
        <w:rPr>
          <w:rFonts w:eastAsia="黑体"/>
          <w:color w:val="000000"/>
          <w:w w:val="120"/>
          <w:sz w:val="32"/>
          <w:szCs w:val="32"/>
        </w:rPr>
      </w:pPr>
      <w:r>
        <w:rPr>
          <w:rFonts w:hint="eastAsia" w:eastAsia="黑体"/>
          <w:color w:val="000000"/>
          <w:w w:val="120"/>
          <w:sz w:val="32"/>
          <w:szCs w:val="32"/>
        </w:rPr>
        <w:t>中国食品工业协会</w:t>
      </w:r>
      <w:r>
        <w:rPr>
          <w:rFonts w:eastAsia="华文中宋"/>
          <w:color w:val="000000"/>
          <w:w w:val="120"/>
          <w:sz w:val="28"/>
          <w:szCs w:val="28"/>
        </w:rPr>
        <w:t xml:space="preserve">  </w:t>
      </w:r>
      <w:r>
        <w:rPr>
          <w:rFonts w:hint="eastAsia" w:eastAsia="华文中宋"/>
          <w:color w:val="000000"/>
          <w:w w:val="120"/>
          <w:sz w:val="28"/>
          <w:szCs w:val="28"/>
        </w:rPr>
        <w:t>发</w:t>
      </w:r>
      <w:r>
        <w:rPr>
          <w:rFonts w:eastAsia="华文中宋"/>
          <w:color w:val="000000"/>
          <w:w w:val="120"/>
          <w:sz w:val="28"/>
          <w:szCs w:val="28"/>
        </w:rPr>
        <w:t xml:space="preserve"> </w:t>
      </w:r>
      <w:r>
        <w:rPr>
          <w:rFonts w:hint="eastAsia" w:eastAsia="华文中宋"/>
          <w:color w:val="000000"/>
          <w:w w:val="120"/>
          <w:sz w:val="28"/>
          <w:szCs w:val="28"/>
        </w:rPr>
        <w:t>布</w:t>
      </w:r>
    </w:p>
    <w:p>
      <w:pPr>
        <w:rPr>
          <w:rFonts w:eastAsia="华文中宋"/>
          <w:sz w:val="32"/>
          <w:szCs w:val="32"/>
        </w:rPr>
      </w:pPr>
    </w:p>
    <w:p>
      <w:pPr>
        <w:rPr>
          <w:rFonts w:eastAsia="黑体"/>
          <w:color w:val="000000"/>
          <w:w w:val="120"/>
          <w:sz w:val="32"/>
          <w:szCs w:val="32"/>
        </w:rPr>
      </w:pPr>
    </w:p>
    <w:p>
      <w:pPr>
        <w:tabs>
          <w:tab w:val="center" w:pos="4465"/>
        </w:tabs>
        <w:rPr>
          <w:rFonts w:eastAsia="华文中宋"/>
          <w:sz w:val="32"/>
          <w:szCs w:val="32"/>
        </w:rPr>
        <w:sectPr>
          <w:headerReference r:id="rId3" w:type="default"/>
          <w:footerReference r:id="rId5" w:type="default"/>
          <w:headerReference r:id="rId4" w:type="even"/>
          <w:pgSz w:w="11906" w:h="16838"/>
          <w:pgMar w:top="1134" w:right="1416" w:bottom="851" w:left="1560" w:header="567" w:footer="567" w:gutter="0"/>
          <w:pgNumType w:start="1"/>
          <w:cols w:space="720" w:num="1"/>
          <w:rtlGutter w:val="1"/>
          <w:docGrid w:linePitch="312" w:charSpace="0"/>
        </w:sectPr>
      </w:pPr>
      <w:r>
        <w:rPr>
          <w:rFonts w:eastAsia="华文中宋"/>
          <w:sz w:val="32"/>
          <w:szCs w:val="32"/>
        </w:rPr>
        <w:tab/>
      </w:r>
    </w:p>
    <w:p>
      <w:pPr>
        <w:widowControl/>
        <w:jc w:val="center"/>
        <w:rPr>
          <w:rFonts w:eastAsia="黑体"/>
          <w:b/>
          <w:color w:val="000000"/>
          <w:szCs w:val="21"/>
        </w:rPr>
      </w:pPr>
      <w:r>
        <w:rPr>
          <w:rFonts w:hint="eastAsia" w:eastAsia="黑体"/>
          <w:b/>
          <w:color w:val="000000"/>
          <w:sz w:val="32"/>
          <w:szCs w:val="32"/>
        </w:rPr>
        <w:t>前</w:t>
      </w:r>
      <w:r>
        <w:rPr>
          <w:rFonts w:eastAsia="黑体"/>
          <w:b/>
          <w:color w:val="000000"/>
          <w:sz w:val="32"/>
          <w:szCs w:val="32"/>
        </w:rPr>
        <w:t xml:space="preserve">    </w:t>
      </w:r>
      <w:r>
        <w:rPr>
          <w:rFonts w:hint="eastAsia" w:eastAsia="黑体"/>
          <w:b/>
          <w:color w:val="000000"/>
          <w:sz w:val="32"/>
          <w:szCs w:val="32"/>
        </w:rPr>
        <w:t>言</w:t>
      </w:r>
    </w:p>
    <w:p>
      <w:pPr>
        <w:spacing w:line="300" w:lineRule="auto"/>
        <w:jc w:val="center"/>
        <w:rPr>
          <w:rFonts w:eastAsia="黑体"/>
          <w:b/>
          <w:szCs w:val="21"/>
        </w:rPr>
      </w:pPr>
    </w:p>
    <w:p>
      <w:pPr>
        <w:adjustRightInd w:val="0"/>
        <w:snapToGrid w:val="0"/>
        <w:spacing w:line="300" w:lineRule="auto"/>
        <w:ind w:firstLine="420" w:firstLineChars="200"/>
        <w:rPr>
          <w:bCs/>
          <w:szCs w:val="21"/>
        </w:rPr>
      </w:pPr>
      <w:r>
        <w:rPr>
          <w:bCs/>
          <w:szCs w:val="21"/>
        </w:rPr>
        <w:t>本</w:t>
      </w:r>
      <w:r>
        <w:rPr>
          <w:rFonts w:hint="eastAsia"/>
          <w:bCs/>
          <w:szCs w:val="21"/>
        </w:rPr>
        <w:t>标准</w:t>
      </w:r>
      <w:r>
        <w:rPr>
          <w:bCs/>
          <w:szCs w:val="21"/>
        </w:rPr>
        <w:t>按照GB/T 1.1</w:t>
      </w:r>
      <w:r>
        <w:rPr>
          <w:rFonts w:hint="eastAsia"/>
          <w:bCs/>
          <w:szCs w:val="21"/>
        </w:rPr>
        <w:t>—</w:t>
      </w:r>
      <w:r>
        <w:rPr>
          <w:bCs/>
          <w:szCs w:val="21"/>
        </w:rPr>
        <w:t>2020</w:t>
      </w:r>
      <w:r>
        <w:rPr>
          <w:rFonts w:hint="eastAsia"/>
          <w:bCs/>
          <w:szCs w:val="21"/>
        </w:rPr>
        <w:t>《标准化工作导则</w:t>
      </w:r>
      <w:r>
        <w:rPr>
          <w:bCs/>
          <w:szCs w:val="21"/>
        </w:rPr>
        <w:t xml:space="preserve">  </w:t>
      </w:r>
      <w:r>
        <w:rPr>
          <w:rFonts w:hint="eastAsia"/>
          <w:bCs/>
          <w:szCs w:val="21"/>
        </w:rPr>
        <w:t>第</w:t>
      </w:r>
      <w:r>
        <w:rPr>
          <w:bCs/>
          <w:szCs w:val="21"/>
        </w:rPr>
        <w:t>1</w:t>
      </w:r>
      <w:r>
        <w:rPr>
          <w:rFonts w:hint="eastAsia"/>
          <w:bCs/>
          <w:szCs w:val="21"/>
        </w:rPr>
        <w:t>部分：标准化文件的结构和起草规则》</w:t>
      </w:r>
      <w:r>
        <w:t>给出的规则</w:t>
      </w:r>
      <w:r>
        <w:rPr>
          <w:bCs/>
          <w:szCs w:val="21"/>
        </w:rPr>
        <w:t>起草。</w:t>
      </w:r>
    </w:p>
    <w:p>
      <w:pPr>
        <w:adjustRightInd w:val="0"/>
        <w:snapToGrid w:val="0"/>
        <w:spacing w:line="300" w:lineRule="auto"/>
        <w:ind w:firstLine="420" w:firstLineChars="200"/>
        <w:rPr>
          <w:bCs/>
          <w:szCs w:val="21"/>
        </w:rPr>
      </w:pPr>
      <w:r>
        <w:rPr>
          <w:bCs/>
          <w:szCs w:val="21"/>
        </w:rPr>
        <w:t>本</w:t>
      </w:r>
      <w:r>
        <w:rPr>
          <w:rFonts w:hint="eastAsia"/>
          <w:bCs/>
          <w:szCs w:val="21"/>
        </w:rPr>
        <w:t>标准</w:t>
      </w:r>
      <w:r>
        <w:rPr>
          <w:bCs/>
          <w:szCs w:val="21"/>
        </w:rPr>
        <w:t>由中国食品工业协会提出</w:t>
      </w:r>
      <w:r>
        <w:rPr>
          <w:rFonts w:hint="eastAsia"/>
          <w:bCs/>
          <w:szCs w:val="21"/>
        </w:rPr>
        <w:t>和归口。</w:t>
      </w:r>
    </w:p>
    <w:p>
      <w:pPr>
        <w:adjustRightInd w:val="0"/>
        <w:snapToGrid w:val="0"/>
        <w:spacing w:line="300" w:lineRule="auto"/>
        <w:ind w:firstLine="420" w:firstLineChars="200"/>
        <w:rPr>
          <w:szCs w:val="21"/>
        </w:rPr>
      </w:pPr>
      <w:r>
        <w:rPr>
          <w:szCs w:val="21"/>
        </w:rPr>
        <w:t>本</w:t>
      </w:r>
      <w:r>
        <w:rPr>
          <w:rFonts w:hint="eastAsia"/>
          <w:bCs/>
          <w:szCs w:val="21"/>
        </w:rPr>
        <w:t>标准</w:t>
      </w:r>
      <w:r>
        <w:rPr>
          <w:szCs w:val="21"/>
        </w:rPr>
        <w:t>起草单位：</w:t>
      </w:r>
      <w:bookmarkStart w:id="19" w:name="_GoBack"/>
      <w:bookmarkEnd w:id="19"/>
    </w:p>
    <w:p>
      <w:pPr>
        <w:spacing w:line="300" w:lineRule="auto"/>
        <w:ind w:firstLine="420" w:firstLineChars="200"/>
        <w:rPr>
          <w:bCs/>
          <w:szCs w:val="21"/>
        </w:rPr>
      </w:pPr>
      <w:r>
        <w:rPr>
          <w:szCs w:val="21"/>
        </w:rPr>
        <w:t>本</w:t>
      </w:r>
      <w:r>
        <w:rPr>
          <w:rFonts w:hint="eastAsia"/>
          <w:bCs/>
          <w:szCs w:val="21"/>
        </w:rPr>
        <w:t>标准</w:t>
      </w:r>
      <w:r>
        <w:rPr>
          <w:szCs w:val="21"/>
        </w:rPr>
        <w:t>主要起草人：</w:t>
      </w:r>
      <w:r>
        <w:rPr>
          <w:rFonts w:hint="eastAsia" w:ascii="宋体" w:hAnsi="宋体"/>
          <w:szCs w:val="21"/>
        </w:rPr>
        <w:t>×××、×××、×××</w:t>
      </w:r>
      <w:r>
        <w:rPr>
          <w:rFonts w:hint="eastAsia"/>
          <w:bCs/>
          <w:szCs w:val="21"/>
        </w:rPr>
        <w:t>……</w:t>
      </w:r>
    </w:p>
    <w:p>
      <w:pPr>
        <w:adjustRightInd w:val="0"/>
        <w:snapToGrid w:val="0"/>
        <w:spacing w:line="300" w:lineRule="auto"/>
        <w:ind w:firstLine="420" w:firstLineChars="200"/>
        <w:rPr>
          <w:szCs w:val="21"/>
        </w:rPr>
        <w:sectPr>
          <w:headerReference r:id="rId6" w:type="default"/>
          <w:footerReference r:id="rId8" w:type="default"/>
          <w:headerReference r:id="rId7" w:type="even"/>
          <w:pgSz w:w="11906" w:h="16838"/>
          <w:pgMar w:top="567" w:right="1134" w:bottom="1134" w:left="1417" w:header="851" w:footer="992" w:gutter="0"/>
          <w:cols w:space="720" w:num="1"/>
          <w:docGrid w:type="lines" w:linePitch="312" w:charSpace="0"/>
        </w:sectPr>
      </w:pPr>
      <w:r>
        <w:rPr>
          <w:szCs w:val="21"/>
        </w:rPr>
        <w:t>本</w:t>
      </w:r>
      <w:r>
        <w:rPr>
          <w:rFonts w:hint="eastAsia"/>
          <w:bCs/>
          <w:szCs w:val="21"/>
        </w:rPr>
        <w:t>标准为首次发布。</w:t>
      </w:r>
    </w:p>
    <w:p>
      <w:pPr>
        <w:snapToGrid w:val="0"/>
        <w:spacing w:beforeLines="100" w:afterLines="100" w:line="300" w:lineRule="auto"/>
        <w:jc w:val="center"/>
        <w:rPr>
          <w:rFonts w:eastAsia="黑体"/>
          <w:color w:val="000000"/>
          <w:sz w:val="32"/>
          <w:szCs w:val="32"/>
        </w:rPr>
      </w:pPr>
      <w:r>
        <w:rPr>
          <w:rFonts w:hint="eastAsia" w:eastAsia="黑体"/>
          <w:color w:val="000000"/>
          <w:sz w:val="32"/>
          <w:szCs w:val="32"/>
        </w:rPr>
        <w:t>蚝原汁</w:t>
      </w:r>
    </w:p>
    <w:p>
      <w:pPr>
        <w:snapToGrid w:val="0"/>
        <w:spacing w:beforeLines="100" w:afterLines="100" w:line="300" w:lineRule="auto"/>
        <w:jc w:val="left"/>
        <w:rPr>
          <w:rFonts w:eastAsia="黑体"/>
          <w:color w:val="000000"/>
          <w:sz w:val="32"/>
          <w:szCs w:val="32"/>
        </w:rPr>
      </w:pPr>
      <w:r>
        <w:rPr>
          <w:rFonts w:eastAsia="黑体"/>
          <w:szCs w:val="21"/>
        </w:rPr>
        <w:t xml:space="preserve">1  </w:t>
      </w:r>
      <w:bookmarkStart w:id="0" w:name="_Toc294091803"/>
      <w:bookmarkStart w:id="1" w:name="_Toc282441933"/>
      <w:bookmarkStart w:id="2" w:name="_Toc282450379"/>
      <w:bookmarkStart w:id="3" w:name="_Toc308102242"/>
      <w:bookmarkStart w:id="4" w:name="_Toc282450210"/>
      <w:bookmarkStart w:id="5" w:name="_Toc262651111"/>
      <w:bookmarkStart w:id="6" w:name="_Toc282442989"/>
      <w:bookmarkStart w:id="7" w:name="_Toc308102875"/>
      <w:bookmarkStart w:id="8" w:name="_Toc293492952"/>
      <w:r>
        <w:rPr>
          <w:rFonts w:hint="eastAsia" w:eastAsia="黑体"/>
          <w:szCs w:val="21"/>
        </w:rPr>
        <w:t>范围</w:t>
      </w:r>
      <w:bookmarkEnd w:id="0"/>
      <w:bookmarkEnd w:id="1"/>
      <w:bookmarkEnd w:id="2"/>
      <w:bookmarkEnd w:id="3"/>
      <w:bookmarkEnd w:id="4"/>
      <w:bookmarkEnd w:id="5"/>
      <w:bookmarkEnd w:id="6"/>
      <w:bookmarkEnd w:id="7"/>
      <w:bookmarkEnd w:id="8"/>
    </w:p>
    <w:p>
      <w:pPr>
        <w:spacing w:line="300" w:lineRule="auto"/>
        <w:ind w:firstLine="420" w:firstLineChars="200"/>
        <w:rPr>
          <w:szCs w:val="21"/>
        </w:rPr>
      </w:pPr>
      <w:r>
        <w:rPr>
          <w:rFonts w:hint="eastAsia"/>
          <w:szCs w:val="21"/>
        </w:rPr>
        <w:t>本标准规定了蚝原汁的术语和定义、产品分类、技术要求、分析方法、检验规则和标志、包装、运输、贮存。</w:t>
      </w:r>
    </w:p>
    <w:p>
      <w:pPr>
        <w:spacing w:line="300" w:lineRule="auto"/>
        <w:ind w:firstLine="420" w:firstLineChars="200"/>
        <w:rPr>
          <w:szCs w:val="21"/>
        </w:rPr>
      </w:pPr>
      <w:r>
        <w:rPr>
          <w:rFonts w:hint="eastAsia"/>
          <w:szCs w:val="21"/>
        </w:rPr>
        <w:t>本标准适用于蚝原汁的生产、检验与销售。</w:t>
      </w:r>
    </w:p>
    <w:p>
      <w:pPr>
        <w:spacing w:beforeLines="100" w:afterLines="100"/>
        <w:rPr>
          <w:rFonts w:eastAsia="黑体"/>
          <w:szCs w:val="21"/>
        </w:rPr>
      </w:pPr>
      <w:r>
        <w:rPr>
          <w:rFonts w:eastAsia="黑体"/>
          <w:szCs w:val="21"/>
        </w:rPr>
        <w:t xml:space="preserve">2. </w:t>
      </w:r>
      <w:bookmarkStart w:id="9" w:name="_Toc293492953"/>
      <w:bookmarkStart w:id="10" w:name="_Toc282450381"/>
      <w:bookmarkStart w:id="11" w:name="_Toc282441935"/>
      <w:bookmarkStart w:id="12" w:name="_Toc282442991"/>
      <w:bookmarkStart w:id="13" w:name="_Toc294091804"/>
      <w:bookmarkStart w:id="14" w:name="_Toc282450212"/>
      <w:bookmarkStart w:id="15" w:name="_Toc308102876"/>
      <w:bookmarkStart w:id="16" w:name="_Toc308102243"/>
      <w:r>
        <w:rPr>
          <w:rFonts w:hint="eastAsia" w:eastAsia="黑体"/>
          <w:szCs w:val="21"/>
        </w:rPr>
        <w:t>规范性引用</w:t>
      </w:r>
      <w:bookmarkEnd w:id="9"/>
      <w:bookmarkEnd w:id="10"/>
      <w:bookmarkEnd w:id="11"/>
      <w:bookmarkEnd w:id="12"/>
      <w:bookmarkEnd w:id="13"/>
      <w:bookmarkEnd w:id="14"/>
      <w:bookmarkEnd w:id="15"/>
      <w:bookmarkEnd w:id="16"/>
      <w:r>
        <w:rPr>
          <w:rFonts w:hint="eastAsia" w:eastAsia="黑体"/>
          <w:szCs w:val="21"/>
        </w:rPr>
        <w:t>文件</w:t>
      </w:r>
    </w:p>
    <w:p>
      <w:pPr>
        <w:spacing w:line="300" w:lineRule="auto"/>
        <w:ind w:firstLine="420" w:firstLineChars="200"/>
      </w:pPr>
      <w:r>
        <w:t>下列文件</w:t>
      </w:r>
      <w:r>
        <w:rPr>
          <w:rFonts w:hint="eastAsia"/>
        </w:rPr>
        <w:t>中的内容通过文中的规范性引用而构成本文件</w:t>
      </w:r>
      <w:r>
        <w:t>必不可少的</w:t>
      </w:r>
      <w:r>
        <w:rPr>
          <w:rFonts w:hint="eastAsia"/>
        </w:rPr>
        <w:t>条款</w:t>
      </w:r>
      <w:r>
        <w:t>。</w:t>
      </w:r>
      <w:r>
        <w:rPr>
          <w:rFonts w:hint="eastAsia"/>
        </w:rPr>
        <w:t>其中，</w:t>
      </w:r>
      <w:r>
        <w:t>注日期的引用文件，仅</w:t>
      </w:r>
      <w:r>
        <w:rPr>
          <w:rFonts w:hint="eastAsia"/>
        </w:rPr>
        <w:t>该</w:t>
      </w:r>
      <w:r>
        <w:t>日期</w:t>
      </w:r>
      <w:r>
        <w:rPr>
          <w:rFonts w:hint="eastAsia"/>
        </w:rPr>
        <w:t>对应</w:t>
      </w:r>
      <w:r>
        <w:t>的版本适用于本文件</w:t>
      </w:r>
      <w:r>
        <w:rPr>
          <w:rFonts w:hint="eastAsia"/>
        </w:rPr>
        <w:t>；</w:t>
      </w:r>
      <w:r>
        <w:t>不注日期的引用文件，其最新版本（包括所有的修改单）适用于本文件。</w:t>
      </w:r>
    </w:p>
    <w:p>
      <w:pPr>
        <w:pStyle w:val="19"/>
        <w:spacing w:line="400" w:lineRule="exact"/>
        <w:ind w:firstLine="420"/>
        <w:rPr>
          <w:rFonts w:ascii="Times New Roman"/>
          <w:szCs w:val="24"/>
        </w:rPr>
      </w:pPr>
      <w:r>
        <w:rPr>
          <w:rFonts w:hint="eastAsia" w:ascii="Times New Roman"/>
          <w:szCs w:val="24"/>
        </w:rPr>
        <w:t>GB</w:t>
      </w:r>
      <w:r>
        <w:rPr>
          <w:rFonts w:ascii="Times New Roman"/>
          <w:szCs w:val="24"/>
        </w:rPr>
        <w:t xml:space="preserve"> </w:t>
      </w:r>
      <w:r>
        <w:rPr>
          <w:rFonts w:hint="eastAsia" w:ascii="Times New Roman"/>
          <w:szCs w:val="24"/>
        </w:rPr>
        <w:t>/T  191</w:t>
      </w:r>
      <w:r>
        <w:rPr>
          <w:rFonts w:ascii="Times New Roman"/>
          <w:szCs w:val="24"/>
        </w:rPr>
        <w:t xml:space="preserve">  </w:t>
      </w:r>
      <w:r>
        <w:rPr>
          <w:rFonts w:hint="eastAsia" w:ascii="Times New Roman"/>
          <w:szCs w:val="24"/>
        </w:rPr>
        <w:t>包装储运图示标志</w:t>
      </w:r>
    </w:p>
    <w:p>
      <w:pPr>
        <w:spacing w:line="400" w:lineRule="exact"/>
        <w:ind w:firstLine="420" w:firstLineChars="200"/>
        <w:rPr>
          <w:szCs w:val="21"/>
        </w:rPr>
      </w:pPr>
      <w:r>
        <w:rPr>
          <w:szCs w:val="21"/>
        </w:rPr>
        <w:t>GB</w:t>
      </w:r>
      <w:r>
        <w:rPr>
          <w:rFonts w:hint="eastAsia"/>
          <w:szCs w:val="21"/>
        </w:rPr>
        <w:t xml:space="preserve">  </w:t>
      </w:r>
      <w:r>
        <w:rPr>
          <w:szCs w:val="21"/>
        </w:rPr>
        <w:t>2</w:t>
      </w:r>
      <w:r>
        <w:rPr>
          <w:rFonts w:hint="eastAsia"/>
          <w:szCs w:val="21"/>
        </w:rPr>
        <w:t>733</w:t>
      </w:r>
      <w:r>
        <w:rPr>
          <w:szCs w:val="21"/>
        </w:rPr>
        <w:t xml:space="preserve">  </w:t>
      </w:r>
      <w:r>
        <w:rPr>
          <w:rFonts w:hint="eastAsia"/>
          <w:szCs w:val="21"/>
        </w:rPr>
        <w:t>鲜、冻动物性水产品卫生标准</w:t>
      </w:r>
    </w:p>
    <w:p>
      <w:pPr>
        <w:spacing w:line="400" w:lineRule="exact"/>
        <w:ind w:firstLine="420" w:firstLineChars="200"/>
        <w:rPr>
          <w:szCs w:val="21"/>
        </w:rPr>
      </w:pPr>
      <w:r>
        <w:rPr>
          <w:rFonts w:hint="eastAsia"/>
          <w:szCs w:val="21"/>
        </w:rPr>
        <w:t>GB/T  5009.39-2003   酱油卫生标准的分析方法</w:t>
      </w:r>
    </w:p>
    <w:p>
      <w:pPr>
        <w:spacing w:line="400" w:lineRule="exact"/>
        <w:ind w:firstLine="420" w:firstLineChars="200"/>
        <w:rPr>
          <w:szCs w:val="21"/>
        </w:rPr>
      </w:pPr>
      <w:r>
        <w:rPr>
          <w:rFonts w:hint="eastAsia"/>
          <w:szCs w:val="21"/>
        </w:rPr>
        <w:t>GB  5009.43-2016   食品安全国家标准  味精中麸氨酸钠（谷氨酸钠）的测定</w:t>
      </w:r>
    </w:p>
    <w:p>
      <w:pPr>
        <w:spacing w:line="400" w:lineRule="exact"/>
        <w:ind w:firstLine="420" w:firstLineChars="200"/>
      </w:pPr>
      <w:r>
        <w:t xml:space="preserve">GB </w:t>
      </w:r>
      <w:r>
        <w:rPr>
          <w:rFonts w:hint="eastAsia"/>
        </w:rPr>
        <w:t>/T  5009.124-2003 食品中氨基酸的测定</w:t>
      </w:r>
    </w:p>
    <w:p>
      <w:pPr>
        <w:spacing w:line="400" w:lineRule="exact"/>
        <w:ind w:firstLine="420" w:firstLineChars="200"/>
        <w:rPr>
          <w:szCs w:val="21"/>
        </w:rPr>
      </w:pPr>
      <w:r>
        <w:t>GB</w:t>
      </w:r>
      <w:r>
        <w:rPr>
          <w:rFonts w:hint="eastAsia"/>
        </w:rPr>
        <w:t xml:space="preserve">  </w:t>
      </w:r>
      <w:r>
        <w:t>5009.228</w:t>
      </w:r>
      <w:r>
        <w:rPr>
          <w:rFonts w:hint="eastAsia"/>
        </w:rPr>
        <w:t>-</w:t>
      </w:r>
      <w:r>
        <w:t>2016</w:t>
      </w:r>
      <w:r>
        <w:rPr>
          <w:rFonts w:hint="eastAsia"/>
        </w:rPr>
        <w:t>食品安全国家标准  食品中挥发性盐基氮的测定</w:t>
      </w:r>
    </w:p>
    <w:p>
      <w:pPr>
        <w:pStyle w:val="19"/>
        <w:spacing w:line="400" w:lineRule="exact"/>
        <w:ind w:firstLine="420"/>
      </w:pPr>
      <w:r>
        <w:rPr>
          <w:rFonts w:ascii="Times New Roman"/>
          <w:szCs w:val="24"/>
        </w:rPr>
        <w:t>GB</w:t>
      </w:r>
      <w:r>
        <w:rPr>
          <w:rFonts w:hint="eastAsia" w:ascii="Times New Roman"/>
          <w:szCs w:val="24"/>
        </w:rPr>
        <w:t xml:space="preserve"> </w:t>
      </w:r>
      <w:r>
        <w:rPr>
          <w:rFonts w:ascii="Times New Roman"/>
          <w:szCs w:val="24"/>
        </w:rPr>
        <w:t xml:space="preserve"> </w:t>
      </w:r>
      <w:r>
        <w:rPr>
          <w:rFonts w:hint="eastAsia" w:ascii="Times New Roman"/>
          <w:szCs w:val="24"/>
        </w:rPr>
        <w:t>5461  食用盐</w:t>
      </w:r>
    </w:p>
    <w:p>
      <w:pPr>
        <w:spacing w:line="400" w:lineRule="exact"/>
        <w:ind w:firstLine="420" w:firstLineChars="200"/>
        <w:rPr>
          <w:szCs w:val="21"/>
        </w:rPr>
      </w:pPr>
      <w:r>
        <w:rPr>
          <w:szCs w:val="21"/>
        </w:rPr>
        <w:t xml:space="preserve">GB </w:t>
      </w:r>
      <w:r>
        <w:rPr>
          <w:rFonts w:hint="eastAsia"/>
          <w:szCs w:val="21"/>
        </w:rPr>
        <w:t xml:space="preserve"> 5749 生活饮用水卫生标准</w:t>
      </w:r>
    </w:p>
    <w:p>
      <w:pPr>
        <w:spacing w:line="400" w:lineRule="exact"/>
        <w:ind w:firstLine="420" w:firstLineChars="200"/>
        <w:rPr>
          <w:szCs w:val="21"/>
        </w:rPr>
      </w:pPr>
      <w:r>
        <w:rPr>
          <w:szCs w:val="21"/>
        </w:rPr>
        <w:t>GB</w:t>
      </w:r>
      <w:r>
        <w:rPr>
          <w:rFonts w:hint="eastAsia"/>
          <w:szCs w:val="21"/>
        </w:rPr>
        <w:t xml:space="preserve">  7718</w:t>
      </w:r>
      <w:r>
        <w:rPr>
          <w:szCs w:val="21"/>
        </w:rPr>
        <w:t xml:space="preserve"> </w:t>
      </w:r>
      <w:r>
        <w:rPr>
          <w:rFonts w:hint="eastAsia"/>
          <w:szCs w:val="21"/>
        </w:rPr>
        <w:t xml:space="preserve"> 食品安全国家标准   预包装食品标签通则</w:t>
      </w:r>
    </w:p>
    <w:p>
      <w:pPr>
        <w:spacing w:line="400" w:lineRule="exact"/>
        <w:ind w:firstLine="420" w:firstLineChars="200"/>
      </w:pPr>
      <w:r>
        <w:rPr>
          <w:rFonts w:hint="eastAsia"/>
        </w:rPr>
        <w:t>GB  10133  水产调味品卫生标准</w:t>
      </w:r>
    </w:p>
    <w:p>
      <w:pPr>
        <w:spacing w:line="400" w:lineRule="exact"/>
        <w:ind w:firstLine="420" w:firstLineChars="200"/>
      </w:pPr>
      <w:r>
        <w:rPr>
          <w:rFonts w:hint="eastAsia"/>
          <w:szCs w:val="21"/>
        </w:rPr>
        <w:t>SB/T  11191-2017  蚝汁</w:t>
      </w:r>
    </w:p>
    <w:p>
      <w:pPr>
        <w:spacing w:line="400" w:lineRule="exact"/>
        <w:ind w:firstLine="420" w:firstLineChars="200"/>
        <w:rPr>
          <w:szCs w:val="21"/>
        </w:rPr>
      </w:pPr>
      <w:r>
        <w:rPr>
          <w:rFonts w:hint="eastAsia"/>
          <w:szCs w:val="21"/>
        </w:rPr>
        <w:t>GB/T  13662-2018  黄酒</w:t>
      </w:r>
    </w:p>
    <w:p>
      <w:pPr>
        <w:spacing w:line="400" w:lineRule="exact"/>
        <w:ind w:firstLine="420" w:firstLineChars="200"/>
        <w:rPr>
          <w:szCs w:val="21"/>
        </w:rPr>
      </w:pPr>
      <w:r>
        <w:rPr>
          <w:rFonts w:hint="eastAsia"/>
          <w:szCs w:val="21"/>
        </w:rPr>
        <w:t>GB  14881 食品安全国家标准  食品生产通用卫生规范</w:t>
      </w:r>
    </w:p>
    <w:p>
      <w:pPr>
        <w:spacing w:line="400" w:lineRule="exact"/>
        <w:ind w:firstLine="420" w:firstLineChars="200"/>
      </w:pPr>
      <w:r>
        <w:rPr>
          <w:rFonts w:hint="eastAsia"/>
        </w:rPr>
        <w:t>GB  15203  食品安全国家标准  淀粉糖</w:t>
      </w:r>
    </w:p>
    <w:p>
      <w:pPr>
        <w:spacing w:line="400" w:lineRule="exact"/>
        <w:ind w:firstLine="420" w:firstLineChars="200"/>
        <w:rPr>
          <w:szCs w:val="21"/>
        </w:rPr>
      </w:pPr>
      <w:r>
        <w:rPr>
          <w:rFonts w:hint="eastAsia"/>
          <w:szCs w:val="21"/>
        </w:rPr>
        <w:t>GB  28050  食品安全国家标准  预包装食品营养标签通则</w:t>
      </w:r>
    </w:p>
    <w:p>
      <w:pPr>
        <w:spacing w:line="400" w:lineRule="exact"/>
        <w:ind w:firstLine="420" w:firstLineChars="200"/>
        <w:rPr>
          <w:szCs w:val="21"/>
        </w:rPr>
      </w:pPr>
      <w:r>
        <w:rPr>
          <w:szCs w:val="21"/>
        </w:rPr>
        <w:t>JJF</w:t>
      </w:r>
      <w:r>
        <w:rPr>
          <w:rFonts w:hint="eastAsia"/>
          <w:szCs w:val="21"/>
        </w:rPr>
        <w:t xml:space="preserve">  </w:t>
      </w:r>
      <w:r>
        <w:rPr>
          <w:szCs w:val="21"/>
        </w:rPr>
        <w:t xml:space="preserve">1070  </w:t>
      </w:r>
      <w:r>
        <w:rPr>
          <w:rFonts w:hint="eastAsia"/>
          <w:szCs w:val="21"/>
        </w:rPr>
        <w:t>定量包装商品净含量计量检验规则</w:t>
      </w:r>
    </w:p>
    <w:p>
      <w:pPr>
        <w:spacing w:line="400" w:lineRule="exact"/>
        <w:ind w:firstLine="420" w:firstLineChars="200"/>
        <w:rPr>
          <w:szCs w:val="21"/>
        </w:rPr>
      </w:pPr>
      <w:r>
        <w:rPr>
          <w:rFonts w:hint="eastAsia"/>
          <w:szCs w:val="21"/>
        </w:rPr>
        <w:t>定量包装商品计量监督管理办法（国家质量监督检验检疫总局〔</w:t>
      </w:r>
      <w:r>
        <w:rPr>
          <w:szCs w:val="21"/>
        </w:rPr>
        <w:t>2005</w:t>
      </w:r>
      <w:r>
        <w:rPr>
          <w:rFonts w:hint="eastAsia"/>
          <w:szCs w:val="21"/>
        </w:rPr>
        <w:t>〕第</w:t>
      </w:r>
      <w:r>
        <w:rPr>
          <w:szCs w:val="21"/>
        </w:rPr>
        <w:t>75</w:t>
      </w:r>
      <w:r>
        <w:rPr>
          <w:rFonts w:hint="eastAsia"/>
          <w:szCs w:val="21"/>
        </w:rPr>
        <w:t>号令）</w:t>
      </w:r>
    </w:p>
    <w:p>
      <w:pPr>
        <w:spacing w:beforeLines="100" w:afterLines="100"/>
        <w:rPr>
          <w:rFonts w:eastAsia="黑体"/>
          <w:szCs w:val="21"/>
        </w:rPr>
      </w:pPr>
      <w:r>
        <w:rPr>
          <w:rFonts w:eastAsia="黑体"/>
          <w:szCs w:val="21"/>
        </w:rPr>
        <w:t xml:space="preserve">3  </w:t>
      </w:r>
      <w:r>
        <w:rPr>
          <w:rFonts w:hint="eastAsia" w:eastAsia="黑体"/>
          <w:szCs w:val="21"/>
        </w:rPr>
        <w:t>术语和定义</w:t>
      </w:r>
    </w:p>
    <w:p>
      <w:pPr>
        <w:spacing w:beforeLines="100" w:afterLines="100"/>
        <w:ind w:firstLine="420" w:firstLineChars="200"/>
        <w:rPr>
          <w:rFonts w:eastAsia="黑体"/>
          <w:szCs w:val="21"/>
        </w:rPr>
      </w:pPr>
      <w:r>
        <w:rPr>
          <w:rFonts w:hint="eastAsia"/>
          <w:bCs/>
          <w:szCs w:val="21"/>
        </w:rPr>
        <w:t>下列术语和定义适用于本文件。</w:t>
      </w:r>
    </w:p>
    <w:p>
      <w:pPr>
        <w:spacing w:beforeLines="50" w:afterLines="50"/>
        <w:jc w:val="left"/>
        <w:rPr>
          <w:rFonts w:eastAsia="黑体"/>
        </w:rPr>
      </w:pPr>
      <w:r>
        <w:rPr>
          <w:rFonts w:eastAsia="黑体"/>
        </w:rPr>
        <w:t xml:space="preserve">3.1  </w:t>
      </w:r>
    </w:p>
    <w:p>
      <w:pPr>
        <w:spacing w:beforeLines="50" w:afterLines="50"/>
        <w:ind w:firstLine="420" w:firstLineChars="200"/>
        <w:jc w:val="left"/>
        <w:rPr>
          <w:rFonts w:eastAsia="黑体"/>
        </w:rPr>
      </w:pPr>
      <w:r>
        <w:rPr>
          <w:rFonts w:hint="eastAsia" w:eastAsia="黑体"/>
        </w:rPr>
        <w:t>蚝原汁natural oyster extractives</w:t>
      </w:r>
    </w:p>
    <w:p>
      <w:pPr>
        <w:spacing w:beforeLines="50" w:afterLines="50"/>
        <w:ind w:firstLine="420" w:firstLineChars="200"/>
        <w:jc w:val="left"/>
        <w:rPr>
          <w:bCs/>
          <w:szCs w:val="21"/>
        </w:rPr>
      </w:pPr>
      <w:r>
        <w:rPr>
          <w:rFonts w:hint="eastAsia"/>
          <w:bCs/>
          <w:szCs w:val="21"/>
        </w:rPr>
        <w:t>以新鲜或冰鲜牡蛎为主要原料经蒸、煮后或用新鲜或冰鲜牡蛎肉经蛋白酶酶解后浓缩或不浓缩的汁液，添加食用盐等辅料，不得添加外源性谷氨酸（钠）及糖类物质制成的液体水产调味品。</w:t>
      </w:r>
    </w:p>
    <w:p>
      <w:pPr>
        <w:spacing w:beforeLines="100" w:afterLines="100"/>
        <w:rPr>
          <w:rFonts w:eastAsia="黑体"/>
        </w:rPr>
      </w:pPr>
      <w:r>
        <w:rPr>
          <w:rFonts w:eastAsia="黑体"/>
        </w:rPr>
        <w:t xml:space="preserve">4  </w:t>
      </w:r>
      <w:r>
        <w:rPr>
          <w:rFonts w:hint="eastAsia" w:eastAsia="黑体"/>
        </w:rPr>
        <w:t>按产品工艺分类</w:t>
      </w:r>
    </w:p>
    <w:p>
      <w:pPr>
        <w:spacing w:beforeLines="100" w:afterLines="50"/>
        <w:rPr>
          <w:rFonts w:eastAsia="黑体"/>
          <w:color w:val="FF0000"/>
        </w:rPr>
      </w:pPr>
      <w:r>
        <w:rPr>
          <w:rFonts w:eastAsia="黑体"/>
        </w:rPr>
        <w:t>4.1</w:t>
      </w:r>
      <w:r>
        <w:rPr>
          <w:rFonts w:hint="eastAsia" w:eastAsia="黑体"/>
        </w:rPr>
        <w:t xml:space="preserve">  蒸煮工艺cooking process</w:t>
      </w:r>
    </w:p>
    <w:p>
      <w:pPr>
        <w:spacing w:beforeLines="50" w:afterLines="50"/>
        <w:ind w:firstLine="420" w:firstLineChars="200"/>
        <w:jc w:val="left"/>
        <w:rPr>
          <w:bCs/>
          <w:szCs w:val="21"/>
        </w:rPr>
      </w:pPr>
      <w:r>
        <w:rPr>
          <w:rFonts w:hint="eastAsia"/>
          <w:bCs/>
          <w:szCs w:val="21"/>
        </w:rPr>
        <w:t>以新鲜或冰鲜牡蛎为主要原料，经蒸、煮后的汁液浓缩或不浓缩，添加食用盐等辅料制成的液体水产调味品。</w:t>
      </w:r>
    </w:p>
    <w:p>
      <w:pPr>
        <w:spacing w:beforeLines="100" w:afterLines="50"/>
        <w:rPr>
          <w:rFonts w:eastAsia="黑体"/>
        </w:rPr>
      </w:pPr>
      <w:r>
        <w:rPr>
          <w:rFonts w:eastAsia="黑体"/>
        </w:rPr>
        <w:t>4.</w:t>
      </w:r>
      <w:r>
        <w:rPr>
          <w:rFonts w:hint="eastAsia" w:eastAsia="黑体"/>
        </w:rPr>
        <w:t>2  酶解工艺</w:t>
      </w:r>
      <w:r>
        <w:rPr>
          <w:color w:val="000000"/>
          <w:szCs w:val="21"/>
        </w:rPr>
        <w:t>enzymatic hydrolysis process</w:t>
      </w:r>
    </w:p>
    <w:p>
      <w:pPr>
        <w:spacing w:beforeLines="50" w:afterLines="50"/>
        <w:ind w:firstLine="420" w:firstLineChars="200"/>
        <w:jc w:val="left"/>
        <w:rPr>
          <w:bCs/>
          <w:szCs w:val="21"/>
        </w:rPr>
      </w:pPr>
      <w:r>
        <w:rPr>
          <w:rFonts w:hint="eastAsia"/>
          <w:bCs/>
          <w:szCs w:val="21"/>
        </w:rPr>
        <w:t>新鲜或冰鲜牡蛎肉经预煮或不预煮用蛋白酶酶解后的汁液浓缩或不浓缩，添加食用盐等辅料制成的液体水产调味品。</w:t>
      </w:r>
    </w:p>
    <w:p>
      <w:pPr>
        <w:spacing w:beforeLines="100" w:afterLines="100"/>
        <w:rPr>
          <w:rFonts w:eastAsia="黑体"/>
        </w:rPr>
      </w:pPr>
      <w:r>
        <w:rPr>
          <w:rFonts w:eastAsia="黑体"/>
        </w:rPr>
        <w:t xml:space="preserve">5  </w:t>
      </w:r>
      <w:r>
        <w:rPr>
          <w:rFonts w:hint="eastAsia" w:eastAsia="黑体"/>
        </w:rPr>
        <w:t>技术要求</w:t>
      </w:r>
    </w:p>
    <w:p>
      <w:pPr>
        <w:spacing w:beforeLines="50" w:afterLines="50"/>
        <w:jc w:val="left"/>
        <w:rPr>
          <w:rFonts w:eastAsia="黑体"/>
        </w:rPr>
      </w:pPr>
      <w:r>
        <w:rPr>
          <w:rFonts w:eastAsia="黑体"/>
        </w:rPr>
        <w:t xml:space="preserve">5.1  </w:t>
      </w:r>
      <w:r>
        <w:rPr>
          <w:rFonts w:hint="eastAsia" w:eastAsia="黑体"/>
        </w:rPr>
        <w:t>主要原料和辅料</w:t>
      </w:r>
    </w:p>
    <w:p>
      <w:pPr>
        <w:pStyle w:val="28"/>
        <w:spacing w:line="400" w:lineRule="exact"/>
        <w:jc w:val="both"/>
      </w:pPr>
      <w:r>
        <w:t>5.1.1</w:t>
      </w:r>
      <w:r>
        <w:rPr>
          <w:rFonts w:hint="eastAsia"/>
        </w:rPr>
        <w:t>牡蛎</w:t>
      </w:r>
    </w:p>
    <w:p>
      <w:pPr>
        <w:pStyle w:val="19"/>
        <w:ind w:firstLine="420"/>
      </w:pPr>
      <w:r>
        <w:rPr>
          <w:rFonts w:hint="eastAsia"/>
        </w:rPr>
        <w:t>应符合GB 2733的规定。</w:t>
      </w:r>
    </w:p>
    <w:p>
      <w:pPr>
        <w:pStyle w:val="28"/>
        <w:spacing w:line="400" w:lineRule="exact"/>
        <w:jc w:val="both"/>
        <w:rPr>
          <w:rFonts w:eastAsia="宋体"/>
        </w:rPr>
      </w:pPr>
      <w:r>
        <w:t xml:space="preserve">5.1.2 </w:t>
      </w:r>
      <w:r>
        <w:rPr>
          <w:rFonts w:hint="eastAsia" w:eastAsia="宋体"/>
        </w:rPr>
        <w:t>食用盐</w:t>
      </w:r>
    </w:p>
    <w:p>
      <w:pPr>
        <w:pStyle w:val="19"/>
        <w:ind w:firstLine="420"/>
      </w:pPr>
      <w:r>
        <w:rPr>
          <w:rFonts w:hint="eastAsia"/>
        </w:rPr>
        <w:t>应符合GB 2721和GB/T 5461的规定。</w:t>
      </w:r>
    </w:p>
    <w:p>
      <w:pPr>
        <w:pStyle w:val="28"/>
        <w:spacing w:line="400" w:lineRule="exact"/>
        <w:jc w:val="both"/>
      </w:pPr>
      <w:r>
        <w:t xml:space="preserve">5.1.3 </w:t>
      </w:r>
      <w:r>
        <w:rPr>
          <w:rFonts w:hint="eastAsia"/>
        </w:rPr>
        <w:t>水</w:t>
      </w:r>
    </w:p>
    <w:p>
      <w:pPr>
        <w:pStyle w:val="19"/>
        <w:ind w:firstLine="420"/>
      </w:pPr>
      <w:r>
        <w:rPr>
          <w:rFonts w:hint="eastAsia"/>
        </w:rPr>
        <w:t>应符合GB 5749的规定。</w:t>
      </w:r>
    </w:p>
    <w:p>
      <w:pPr>
        <w:pStyle w:val="19"/>
        <w:ind w:firstLine="0" w:firstLineChars="0"/>
      </w:pPr>
      <w:r>
        <w:rPr>
          <w:rFonts w:hint="eastAsia"/>
        </w:rPr>
        <w:t>5.1.4 其他辅料</w:t>
      </w:r>
    </w:p>
    <w:p>
      <w:pPr>
        <w:pStyle w:val="19"/>
        <w:ind w:firstLine="420"/>
      </w:pPr>
      <w:r>
        <w:rPr>
          <w:rFonts w:hint="eastAsia"/>
        </w:rPr>
        <w:t>应符合食品国家安全标准及相应的有关规定。</w:t>
      </w:r>
    </w:p>
    <w:p>
      <w:pPr>
        <w:pStyle w:val="19"/>
        <w:ind w:firstLine="0" w:firstLineChars="0"/>
      </w:pPr>
      <w:r>
        <w:rPr>
          <w:rFonts w:hint="eastAsia"/>
        </w:rPr>
        <w:t>5.1.5食品添加剂</w:t>
      </w:r>
    </w:p>
    <w:p>
      <w:pPr>
        <w:pStyle w:val="19"/>
        <w:ind w:firstLine="420"/>
      </w:pPr>
      <w:r>
        <w:rPr>
          <w:rFonts w:hint="eastAsia"/>
        </w:rPr>
        <w:t>食品添加剂的品种及使用量应符合GB 2760的规定，质量应符合相应的食品安全标准和有关规定。</w:t>
      </w:r>
    </w:p>
    <w:p>
      <w:pPr>
        <w:spacing w:beforeLines="50" w:afterLines="50"/>
        <w:jc w:val="left"/>
        <w:rPr>
          <w:rFonts w:eastAsia="黑体"/>
        </w:rPr>
      </w:pPr>
      <w:r>
        <w:rPr>
          <w:rFonts w:eastAsia="黑体"/>
        </w:rPr>
        <w:t>5.</w:t>
      </w:r>
      <w:r>
        <w:rPr>
          <w:rFonts w:hint="eastAsia" w:eastAsia="黑体"/>
        </w:rPr>
        <w:t>2</w:t>
      </w:r>
      <w:r>
        <w:rPr>
          <w:rFonts w:eastAsia="黑体"/>
        </w:rPr>
        <w:t xml:space="preserve">  </w:t>
      </w:r>
      <w:r>
        <w:rPr>
          <w:rFonts w:hint="eastAsia" w:eastAsia="黑体"/>
        </w:rPr>
        <w:t>感官要求</w:t>
      </w:r>
    </w:p>
    <w:p>
      <w:pPr>
        <w:ind w:right="23" w:rightChars="11" w:firstLine="420" w:firstLineChars="200"/>
        <w:rPr>
          <w:bCs/>
          <w:szCs w:val="21"/>
        </w:rPr>
      </w:pPr>
      <w:r>
        <w:rPr>
          <w:rFonts w:hint="eastAsia"/>
          <w:bCs/>
          <w:szCs w:val="21"/>
        </w:rPr>
        <w:t>蒸煮工艺和酶解工艺应符合表</w:t>
      </w:r>
      <w:r>
        <w:rPr>
          <w:bCs/>
          <w:szCs w:val="21"/>
        </w:rPr>
        <w:t>1</w:t>
      </w:r>
      <w:r>
        <w:rPr>
          <w:rFonts w:hint="eastAsia"/>
          <w:bCs/>
          <w:szCs w:val="21"/>
        </w:rPr>
        <w:t>的规定。</w:t>
      </w:r>
    </w:p>
    <w:p>
      <w:pPr>
        <w:spacing w:beforeLines="50" w:afterLines="20"/>
        <w:ind w:right="23" w:rightChars="11"/>
        <w:jc w:val="center"/>
        <w:rPr>
          <w:rFonts w:ascii="黑体" w:hAnsi="黑体" w:eastAsia="黑体"/>
          <w:szCs w:val="21"/>
        </w:rPr>
      </w:pPr>
      <w:r>
        <w:rPr>
          <w:rFonts w:hint="eastAsia" w:ascii="黑体" w:hAnsi="黑体" w:eastAsia="黑体"/>
          <w:szCs w:val="21"/>
        </w:rPr>
        <w:t>表1感官要求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项目</w:t>
            </w:r>
          </w:p>
        </w:tc>
        <w:tc>
          <w:tcPr>
            <w:tcW w:w="8204" w:type="dxa"/>
            <w:gridSpan w:val="6"/>
            <w:vAlign w:val="center"/>
          </w:tcPr>
          <w:p>
            <w:pPr>
              <w:ind w:right="23" w:rightChars="11"/>
              <w:jc w:val="center"/>
              <w:rPr>
                <w:bCs/>
                <w:szCs w:val="21"/>
              </w:rPr>
            </w:pP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工艺</w:t>
            </w:r>
          </w:p>
        </w:tc>
        <w:tc>
          <w:tcPr>
            <w:tcW w:w="4101" w:type="dxa"/>
            <w:gridSpan w:val="3"/>
            <w:vAlign w:val="center"/>
          </w:tcPr>
          <w:p>
            <w:pPr>
              <w:ind w:right="23" w:rightChars="11"/>
              <w:jc w:val="center"/>
              <w:rPr>
                <w:bCs/>
                <w:szCs w:val="21"/>
              </w:rPr>
            </w:pPr>
            <w:r>
              <w:rPr>
                <w:rFonts w:hint="eastAsia"/>
                <w:bCs/>
                <w:szCs w:val="21"/>
              </w:rPr>
              <w:t>蒸煮工艺</w:t>
            </w:r>
          </w:p>
        </w:tc>
        <w:tc>
          <w:tcPr>
            <w:tcW w:w="4103" w:type="dxa"/>
            <w:gridSpan w:val="3"/>
            <w:vAlign w:val="center"/>
          </w:tcPr>
          <w:p>
            <w:pPr>
              <w:ind w:right="23" w:rightChars="11"/>
              <w:jc w:val="center"/>
              <w:rPr>
                <w:bCs/>
                <w:szCs w:val="21"/>
              </w:rPr>
            </w:pPr>
            <w:r>
              <w:rPr>
                <w:rFonts w:hint="eastAsia"/>
                <w:bCs/>
                <w:szCs w:val="21"/>
              </w:rPr>
              <w:t>酶解工艺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等级</w:t>
            </w:r>
          </w:p>
        </w:tc>
        <w:tc>
          <w:tcPr>
            <w:tcW w:w="1367" w:type="dxa"/>
            <w:vAlign w:val="center"/>
          </w:tcPr>
          <w:p>
            <w:pPr>
              <w:ind w:right="23" w:rightChars="11"/>
              <w:jc w:val="center"/>
              <w:rPr>
                <w:bCs/>
                <w:szCs w:val="21"/>
              </w:rPr>
            </w:pPr>
            <w:r>
              <w:rPr>
                <w:rFonts w:hint="eastAsia"/>
                <w:bCs/>
                <w:szCs w:val="21"/>
              </w:rPr>
              <w:t>特级</w:t>
            </w:r>
          </w:p>
        </w:tc>
        <w:tc>
          <w:tcPr>
            <w:tcW w:w="1367" w:type="dxa"/>
            <w:vAlign w:val="center"/>
          </w:tcPr>
          <w:p>
            <w:pPr>
              <w:ind w:right="23" w:rightChars="11"/>
              <w:jc w:val="center"/>
              <w:rPr>
                <w:bCs/>
                <w:szCs w:val="21"/>
              </w:rPr>
            </w:pPr>
            <w:r>
              <w:rPr>
                <w:rFonts w:hint="eastAsia"/>
                <w:bCs/>
                <w:szCs w:val="21"/>
              </w:rPr>
              <w:t>一级</w:t>
            </w:r>
          </w:p>
        </w:tc>
        <w:tc>
          <w:tcPr>
            <w:tcW w:w="1367" w:type="dxa"/>
            <w:vAlign w:val="center"/>
          </w:tcPr>
          <w:p>
            <w:pPr>
              <w:ind w:right="23" w:rightChars="11"/>
              <w:jc w:val="center"/>
              <w:rPr>
                <w:bCs/>
                <w:szCs w:val="21"/>
              </w:rPr>
            </w:pPr>
            <w:r>
              <w:rPr>
                <w:rFonts w:hint="eastAsia"/>
                <w:bCs/>
                <w:szCs w:val="21"/>
              </w:rPr>
              <w:t>二级</w:t>
            </w:r>
          </w:p>
        </w:tc>
        <w:tc>
          <w:tcPr>
            <w:tcW w:w="1367" w:type="dxa"/>
            <w:vAlign w:val="center"/>
          </w:tcPr>
          <w:p>
            <w:pPr>
              <w:ind w:right="23" w:rightChars="11"/>
              <w:jc w:val="center"/>
              <w:rPr>
                <w:bCs/>
                <w:szCs w:val="21"/>
              </w:rPr>
            </w:pPr>
            <w:r>
              <w:rPr>
                <w:rFonts w:hint="eastAsia"/>
                <w:bCs/>
                <w:szCs w:val="21"/>
              </w:rPr>
              <w:t>特级</w:t>
            </w:r>
          </w:p>
        </w:tc>
        <w:tc>
          <w:tcPr>
            <w:tcW w:w="1368" w:type="dxa"/>
            <w:vAlign w:val="center"/>
          </w:tcPr>
          <w:p>
            <w:pPr>
              <w:ind w:right="23" w:rightChars="11"/>
              <w:jc w:val="center"/>
              <w:rPr>
                <w:bCs/>
                <w:szCs w:val="21"/>
              </w:rPr>
            </w:pPr>
            <w:r>
              <w:rPr>
                <w:rFonts w:hint="eastAsia"/>
                <w:bCs/>
                <w:szCs w:val="21"/>
              </w:rPr>
              <w:t>一级</w:t>
            </w:r>
          </w:p>
        </w:tc>
        <w:tc>
          <w:tcPr>
            <w:tcW w:w="1368" w:type="dxa"/>
            <w:vAlign w:val="center"/>
          </w:tcPr>
          <w:p>
            <w:pPr>
              <w:ind w:right="23" w:rightChars="11"/>
              <w:jc w:val="center"/>
              <w:rPr>
                <w:bCs/>
                <w:szCs w:val="21"/>
              </w:rPr>
            </w:pPr>
            <w:r>
              <w:rPr>
                <w:rFonts w:hint="eastAsia"/>
                <w:bCs/>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色泽</w:t>
            </w:r>
          </w:p>
        </w:tc>
        <w:tc>
          <w:tcPr>
            <w:tcW w:w="4101" w:type="dxa"/>
            <w:gridSpan w:val="3"/>
            <w:vAlign w:val="center"/>
          </w:tcPr>
          <w:p>
            <w:pPr>
              <w:ind w:right="23" w:rightChars="11"/>
              <w:jc w:val="center"/>
              <w:rPr>
                <w:bCs/>
                <w:szCs w:val="21"/>
              </w:rPr>
            </w:pPr>
            <w:r>
              <w:rPr>
                <w:rFonts w:hint="eastAsia"/>
                <w:sz w:val="18"/>
                <w:szCs w:val="18"/>
              </w:rPr>
              <w:t>浅灰色至棕色</w:t>
            </w:r>
          </w:p>
        </w:tc>
        <w:tc>
          <w:tcPr>
            <w:tcW w:w="4103" w:type="dxa"/>
            <w:gridSpan w:val="3"/>
            <w:vAlign w:val="center"/>
          </w:tcPr>
          <w:p>
            <w:pPr>
              <w:ind w:right="23" w:rightChars="11"/>
              <w:jc w:val="center"/>
              <w:rPr>
                <w:bCs/>
                <w:szCs w:val="21"/>
              </w:rPr>
            </w:pPr>
            <w:r>
              <w:rPr>
                <w:rFonts w:hint="eastAsia"/>
                <w:sz w:val="18"/>
                <w:szCs w:val="18"/>
              </w:rPr>
              <w:t>浅绿色至棕色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气味</w:t>
            </w:r>
          </w:p>
        </w:tc>
        <w:tc>
          <w:tcPr>
            <w:tcW w:w="1367" w:type="dxa"/>
            <w:vAlign w:val="center"/>
          </w:tcPr>
          <w:p>
            <w:pPr>
              <w:ind w:right="23" w:rightChars="11"/>
              <w:jc w:val="center"/>
              <w:rPr>
                <w:bCs/>
                <w:szCs w:val="21"/>
              </w:rPr>
            </w:pPr>
            <w:r>
              <w:rPr>
                <w:rFonts w:hint="eastAsia"/>
                <w:sz w:val="18"/>
                <w:szCs w:val="18"/>
              </w:rPr>
              <w:t>鲜蚝香气浓郁，无不良气味</w:t>
            </w:r>
          </w:p>
        </w:tc>
        <w:tc>
          <w:tcPr>
            <w:tcW w:w="1367" w:type="dxa"/>
            <w:vAlign w:val="center"/>
          </w:tcPr>
          <w:p>
            <w:pPr>
              <w:ind w:right="23" w:rightChars="11"/>
              <w:jc w:val="center"/>
              <w:rPr>
                <w:bCs/>
                <w:szCs w:val="21"/>
              </w:rPr>
            </w:pPr>
            <w:r>
              <w:rPr>
                <w:rFonts w:hint="eastAsia"/>
                <w:sz w:val="18"/>
                <w:szCs w:val="18"/>
              </w:rPr>
              <w:t>鲜蚝香气较浓，无不良气味</w:t>
            </w:r>
          </w:p>
        </w:tc>
        <w:tc>
          <w:tcPr>
            <w:tcW w:w="1367" w:type="dxa"/>
            <w:vAlign w:val="center"/>
          </w:tcPr>
          <w:p>
            <w:pPr>
              <w:ind w:right="23" w:rightChars="11"/>
              <w:jc w:val="center"/>
              <w:rPr>
                <w:bCs/>
                <w:szCs w:val="21"/>
              </w:rPr>
            </w:pPr>
            <w:r>
              <w:rPr>
                <w:rFonts w:hint="eastAsia"/>
                <w:sz w:val="18"/>
                <w:szCs w:val="18"/>
              </w:rPr>
              <w:t>有鲜蚝香气，无不良气味</w:t>
            </w:r>
          </w:p>
        </w:tc>
        <w:tc>
          <w:tcPr>
            <w:tcW w:w="1367" w:type="dxa"/>
            <w:vAlign w:val="center"/>
          </w:tcPr>
          <w:p>
            <w:pPr>
              <w:ind w:right="23" w:rightChars="11"/>
              <w:jc w:val="center"/>
              <w:rPr>
                <w:bCs/>
                <w:szCs w:val="21"/>
              </w:rPr>
            </w:pPr>
            <w:r>
              <w:rPr>
                <w:rFonts w:hint="eastAsia"/>
                <w:sz w:val="18"/>
                <w:szCs w:val="18"/>
              </w:rPr>
              <w:t>鲜蚝香气浓郁，无不良气味</w:t>
            </w:r>
          </w:p>
        </w:tc>
        <w:tc>
          <w:tcPr>
            <w:tcW w:w="1368" w:type="dxa"/>
            <w:vAlign w:val="center"/>
          </w:tcPr>
          <w:p>
            <w:pPr>
              <w:ind w:right="23" w:rightChars="11"/>
              <w:jc w:val="center"/>
              <w:rPr>
                <w:bCs/>
                <w:szCs w:val="21"/>
              </w:rPr>
            </w:pPr>
            <w:r>
              <w:rPr>
                <w:rFonts w:hint="eastAsia"/>
                <w:sz w:val="18"/>
                <w:szCs w:val="18"/>
              </w:rPr>
              <w:t>鲜蚝香气较浓，无不良气味</w:t>
            </w:r>
          </w:p>
        </w:tc>
        <w:tc>
          <w:tcPr>
            <w:tcW w:w="1368" w:type="dxa"/>
            <w:vAlign w:val="center"/>
          </w:tcPr>
          <w:p>
            <w:pPr>
              <w:ind w:right="23" w:rightChars="11"/>
              <w:jc w:val="center"/>
              <w:rPr>
                <w:bCs/>
                <w:szCs w:val="21"/>
              </w:rPr>
            </w:pPr>
            <w:r>
              <w:rPr>
                <w:rFonts w:hint="eastAsia"/>
                <w:sz w:val="18"/>
                <w:szCs w:val="18"/>
              </w:rPr>
              <w:t>有鲜蚝香气，无不良气味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滋味</w:t>
            </w:r>
          </w:p>
        </w:tc>
        <w:tc>
          <w:tcPr>
            <w:tcW w:w="1367" w:type="dxa"/>
            <w:vAlign w:val="center"/>
          </w:tcPr>
          <w:p>
            <w:pPr>
              <w:ind w:right="23" w:rightChars="11"/>
              <w:jc w:val="center"/>
              <w:rPr>
                <w:bCs/>
                <w:szCs w:val="21"/>
              </w:rPr>
            </w:pPr>
            <w:r>
              <w:rPr>
                <w:rFonts w:hint="eastAsia"/>
                <w:sz w:val="18"/>
                <w:szCs w:val="18"/>
              </w:rPr>
              <w:t>鲜美蚝味突出，咸度适中，无异味</w:t>
            </w:r>
          </w:p>
        </w:tc>
        <w:tc>
          <w:tcPr>
            <w:tcW w:w="1367" w:type="dxa"/>
            <w:vAlign w:val="center"/>
          </w:tcPr>
          <w:p>
            <w:pPr>
              <w:ind w:right="23" w:rightChars="11"/>
              <w:jc w:val="center"/>
              <w:rPr>
                <w:bCs/>
                <w:szCs w:val="21"/>
              </w:rPr>
            </w:pPr>
            <w:r>
              <w:rPr>
                <w:rFonts w:hint="eastAsia"/>
                <w:sz w:val="18"/>
                <w:szCs w:val="18"/>
              </w:rPr>
              <w:t>鲜美蚝味比较突出，咸度适中，无异味</w:t>
            </w:r>
          </w:p>
        </w:tc>
        <w:tc>
          <w:tcPr>
            <w:tcW w:w="1367" w:type="dxa"/>
            <w:vAlign w:val="center"/>
          </w:tcPr>
          <w:p>
            <w:pPr>
              <w:ind w:right="23" w:rightChars="11"/>
              <w:jc w:val="center"/>
              <w:rPr>
                <w:bCs/>
                <w:szCs w:val="21"/>
              </w:rPr>
            </w:pPr>
            <w:r>
              <w:rPr>
                <w:rFonts w:hint="eastAsia"/>
                <w:sz w:val="18"/>
                <w:szCs w:val="18"/>
              </w:rPr>
              <w:t>有鲜美蚝味，咸度适中，无异味</w:t>
            </w:r>
          </w:p>
        </w:tc>
        <w:tc>
          <w:tcPr>
            <w:tcW w:w="1367" w:type="dxa"/>
            <w:vAlign w:val="center"/>
          </w:tcPr>
          <w:p>
            <w:pPr>
              <w:ind w:right="23" w:rightChars="11"/>
              <w:jc w:val="center"/>
              <w:rPr>
                <w:bCs/>
                <w:szCs w:val="21"/>
              </w:rPr>
            </w:pPr>
            <w:r>
              <w:rPr>
                <w:rFonts w:hint="eastAsia"/>
                <w:sz w:val="18"/>
                <w:szCs w:val="18"/>
              </w:rPr>
              <w:t>鲜美蚝味突出，咸度适中，无异味</w:t>
            </w:r>
          </w:p>
        </w:tc>
        <w:tc>
          <w:tcPr>
            <w:tcW w:w="1368" w:type="dxa"/>
            <w:vAlign w:val="center"/>
          </w:tcPr>
          <w:p>
            <w:pPr>
              <w:ind w:right="23" w:rightChars="11"/>
              <w:jc w:val="center"/>
              <w:rPr>
                <w:bCs/>
                <w:szCs w:val="21"/>
              </w:rPr>
            </w:pPr>
            <w:r>
              <w:rPr>
                <w:rFonts w:hint="eastAsia"/>
                <w:sz w:val="18"/>
                <w:szCs w:val="18"/>
              </w:rPr>
              <w:t>鲜美蚝味比较突出，咸度适中，无异味</w:t>
            </w:r>
          </w:p>
        </w:tc>
        <w:tc>
          <w:tcPr>
            <w:tcW w:w="1368" w:type="dxa"/>
            <w:vAlign w:val="center"/>
          </w:tcPr>
          <w:p>
            <w:pPr>
              <w:ind w:right="23" w:rightChars="11"/>
              <w:jc w:val="center"/>
              <w:rPr>
                <w:bCs/>
                <w:szCs w:val="21"/>
              </w:rPr>
            </w:pPr>
            <w:r>
              <w:rPr>
                <w:rFonts w:hint="eastAsia"/>
                <w:sz w:val="18"/>
                <w:szCs w:val="18"/>
              </w:rPr>
              <w:t>有鲜美蚝味，咸度适中，无异味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ind w:right="23" w:rightChars="11"/>
              <w:jc w:val="center"/>
              <w:rPr>
                <w:bCs/>
                <w:szCs w:val="21"/>
              </w:rPr>
            </w:pPr>
            <w:r>
              <w:rPr>
                <w:rFonts w:hint="eastAsia"/>
                <w:bCs/>
                <w:szCs w:val="21"/>
              </w:rPr>
              <w:t>体态</w:t>
            </w:r>
          </w:p>
        </w:tc>
        <w:tc>
          <w:tcPr>
            <w:tcW w:w="8204" w:type="dxa"/>
            <w:gridSpan w:val="6"/>
            <w:vAlign w:val="center"/>
          </w:tcPr>
          <w:p>
            <w:pPr>
              <w:ind w:right="23" w:rightChars="11"/>
              <w:jc w:val="center"/>
              <w:rPr>
                <w:bCs/>
                <w:szCs w:val="21"/>
              </w:rPr>
            </w:pPr>
            <w:r>
              <w:rPr>
                <w:rFonts w:hint="eastAsia"/>
                <w:sz w:val="18"/>
                <w:szCs w:val="18"/>
              </w:rPr>
              <w:t>微稠或粘稠，均匀，无异物</w:t>
            </w:r>
          </w:p>
        </w:tc>
      </w:tr>
    </w:tbl>
    <w:p>
      <w:pPr>
        <w:tabs>
          <w:tab w:val="left" w:pos="525"/>
        </w:tabs>
        <w:spacing w:beforeLines="100" w:afterLines="50"/>
        <w:jc w:val="left"/>
        <w:rPr>
          <w:rFonts w:eastAsia="黑体"/>
        </w:rPr>
      </w:pPr>
      <w:r>
        <w:rPr>
          <w:rFonts w:eastAsia="黑体"/>
        </w:rPr>
        <w:t>5.</w:t>
      </w:r>
      <w:r>
        <w:rPr>
          <w:rFonts w:hint="eastAsia" w:eastAsia="黑体"/>
        </w:rPr>
        <w:t>3</w:t>
      </w:r>
      <w:r>
        <w:rPr>
          <w:rFonts w:eastAsia="黑体"/>
        </w:rPr>
        <w:t xml:space="preserve">  </w:t>
      </w:r>
      <w:r>
        <w:rPr>
          <w:rFonts w:hint="eastAsia" w:eastAsia="黑体"/>
        </w:rPr>
        <w:t>理化指标</w:t>
      </w:r>
    </w:p>
    <w:p>
      <w:pPr>
        <w:ind w:right="23" w:rightChars="11" w:firstLine="420" w:firstLineChars="200"/>
        <w:rPr>
          <w:bCs/>
          <w:szCs w:val="21"/>
        </w:rPr>
      </w:pPr>
      <w:r>
        <w:rPr>
          <w:rFonts w:hint="eastAsia"/>
          <w:bCs/>
          <w:szCs w:val="21"/>
        </w:rPr>
        <w:t>蒸煮工艺和酶解工艺应符合表2的规定。</w:t>
      </w:r>
    </w:p>
    <w:p>
      <w:pPr>
        <w:spacing w:beforeLines="50" w:afterLines="20"/>
        <w:ind w:right="23" w:rightChars="11"/>
        <w:jc w:val="center"/>
        <w:rPr>
          <w:rFonts w:eastAsia="黑体"/>
          <w:szCs w:val="21"/>
        </w:rPr>
      </w:pPr>
      <w:r>
        <w:rPr>
          <w:rFonts w:hint="eastAsia" w:eastAsia="黑体"/>
          <w:szCs w:val="21"/>
        </w:rPr>
        <w:t>表2</w:t>
      </w:r>
      <w:r>
        <w:rPr>
          <w:rFonts w:eastAsia="黑体"/>
          <w:szCs w:val="21"/>
        </w:rPr>
        <w:t xml:space="preserve">  </w:t>
      </w:r>
      <w:r>
        <w:rPr>
          <w:rFonts w:hint="eastAsia" w:eastAsia="黑体"/>
          <w:szCs w:val="21"/>
        </w:rPr>
        <w:t>理化指标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126"/>
        <w:gridCol w:w="226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center"/>
              <w:rPr>
                <w:b/>
                <w:szCs w:val="21"/>
              </w:rPr>
            </w:pPr>
            <w:r>
              <w:rPr>
                <w:rFonts w:hint="eastAsia"/>
                <w:b/>
                <w:szCs w:val="21"/>
              </w:rPr>
              <w:t>项目</w:t>
            </w:r>
          </w:p>
        </w:tc>
        <w:tc>
          <w:tcPr>
            <w:tcW w:w="6486" w:type="dxa"/>
            <w:gridSpan w:val="3"/>
          </w:tcPr>
          <w:p>
            <w:pPr>
              <w:spacing w:beforeLines="50" w:afterLines="20"/>
              <w:ind w:right="23" w:rightChars="11"/>
              <w:jc w:val="center"/>
              <w:rPr>
                <w:b/>
                <w:szCs w:val="21"/>
              </w:rPr>
            </w:pPr>
            <w:r>
              <w:rPr>
                <w:b/>
                <w:szCs w:val="21"/>
              </w:rPr>
              <w:tab/>
            </w:r>
            <w:r>
              <w:rPr>
                <w:rFonts w:hint="eastAsia"/>
                <w:b/>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center"/>
              <w:rPr>
                <w:b/>
                <w:szCs w:val="21"/>
              </w:rPr>
            </w:pPr>
            <w:r>
              <w:rPr>
                <w:rFonts w:hint="eastAsia"/>
                <w:b/>
                <w:szCs w:val="21"/>
              </w:rPr>
              <w:t>等级</w:t>
            </w:r>
          </w:p>
        </w:tc>
        <w:tc>
          <w:tcPr>
            <w:tcW w:w="2126" w:type="dxa"/>
          </w:tcPr>
          <w:p>
            <w:pPr>
              <w:spacing w:beforeLines="50" w:afterLines="20"/>
              <w:ind w:right="23" w:rightChars="11"/>
              <w:jc w:val="center"/>
              <w:rPr>
                <w:b/>
                <w:szCs w:val="21"/>
              </w:rPr>
            </w:pPr>
            <w:r>
              <w:rPr>
                <w:rFonts w:hint="eastAsia"/>
                <w:b/>
                <w:szCs w:val="21"/>
              </w:rPr>
              <w:t>特级</w:t>
            </w:r>
          </w:p>
        </w:tc>
        <w:tc>
          <w:tcPr>
            <w:tcW w:w="2268" w:type="dxa"/>
          </w:tcPr>
          <w:p>
            <w:pPr>
              <w:spacing w:beforeLines="50" w:afterLines="20"/>
              <w:ind w:right="23" w:rightChars="11"/>
              <w:jc w:val="center"/>
              <w:rPr>
                <w:b/>
                <w:szCs w:val="21"/>
              </w:rPr>
            </w:pPr>
            <w:r>
              <w:rPr>
                <w:rFonts w:hint="eastAsia"/>
                <w:b/>
                <w:szCs w:val="21"/>
              </w:rPr>
              <w:t>一级</w:t>
            </w:r>
          </w:p>
        </w:tc>
        <w:tc>
          <w:tcPr>
            <w:tcW w:w="2092" w:type="dxa"/>
          </w:tcPr>
          <w:p>
            <w:pPr>
              <w:spacing w:beforeLines="50" w:afterLines="20"/>
              <w:ind w:right="23" w:rightChars="11"/>
              <w:jc w:val="center"/>
              <w:rPr>
                <w:b/>
                <w:szCs w:val="21"/>
              </w:rPr>
            </w:pPr>
            <w:r>
              <w:rPr>
                <w:rFonts w:hint="eastAsia"/>
                <w:b/>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rPr>
                <w:b/>
                <w:szCs w:val="21"/>
              </w:rPr>
            </w:pPr>
            <w:r>
              <w:rPr>
                <w:rFonts w:hint="eastAsia"/>
                <w:b/>
                <w:szCs w:val="21"/>
              </w:rPr>
              <w:t>氨基酸态氮</w:t>
            </w:r>
            <w:r>
              <w:rPr>
                <w:rFonts w:hint="eastAsia" w:asciiTheme="majorEastAsia" w:hAnsiTheme="majorEastAsia" w:eastAsiaTheme="majorEastAsia"/>
                <w:bCs/>
                <w:sz w:val="18"/>
                <w:szCs w:val="18"/>
              </w:rPr>
              <w:t>g(/100g)</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w:t>
            </w:r>
          </w:p>
        </w:tc>
        <w:tc>
          <w:tcPr>
            <w:tcW w:w="2126" w:type="dxa"/>
          </w:tcPr>
          <w:p>
            <w:pPr>
              <w:spacing w:beforeLines="50" w:afterLines="20"/>
              <w:ind w:right="23" w:rightChars="11"/>
              <w:jc w:val="center"/>
              <w:rPr>
                <w:b/>
                <w:szCs w:val="21"/>
              </w:rPr>
            </w:pPr>
            <w:r>
              <w:rPr>
                <w:rFonts w:hint="eastAsia"/>
                <w:b/>
                <w:szCs w:val="21"/>
              </w:rPr>
              <w:t>0.55</w:t>
            </w:r>
          </w:p>
        </w:tc>
        <w:tc>
          <w:tcPr>
            <w:tcW w:w="2268" w:type="dxa"/>
          </w:tcPr>
          <w:p>
            <w:pPr>
              <w:spacing w:beforeLines="50" w:afterLines="20"/>
              <w:ind w:right="23" w:rightChars="11"/>
              <w:jc w:val="center"/>
              <w:rPr>
                <w:b/>
                <w:szCs w:val="21"/>
              </w:rPr>
            </w:pPr>
            <w:r>
              <w:rPr>
                <w:rFonts w:hint="eastAsia"/>
                <w:b/>
                <w:szCs w:val="21"/>
              </w:rPr>
              <w:t>0.45</w:t>
            </w:r>
          </w:p>
        </w:tc>
        <w:tc>
          <w:tcPr>
            <w:tcW w:w="2092" w:type="dxa"/>
          </w:tcPr>
          <w:p>
            <w:pPr>
              <w:spacing w:beforeLines="50" w:afterLines="20"/>
              <w:ind w:right="23" w:rightChars="11"/>
              <w:jc w:val="center"/>
              <w:rPr>
                <w:b/>
                <w:szCs w:val="21"/>
              </w:rPr>
            </w:pPr>
            <w:r>
              <w:rPr>
                <w:rFonts w:hint="eastAsia"/>
                <w:b/>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left"/>
              <w:rPr>
                <w:b/>
                <w:szCs w:val="21"/>
              </w:rPr>
            </w:pPr>
            <w:r>
              <w:rPr>
                <w:rFonts w:hint="eastAsia"/>
                <w:b/>
                <w:szCs w:val="21"/>
              </w:rPr>
              <w:t>无盐固形物</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 w:val="18"/>
                <w:szCs w:val="18"/>
              </w:rPr>
              <w:t>≥</w:t>
            </w:r>
          </w:p>
        </w:tc>
        <w:tc>
          <w:tcPr>
            <w:tcW w:w="2126" w:type="dxa"/>
          </w:tcPr>
          <w:p>
            <w:pPr>
              <w:spacing w:beforeLines="50" w:afterLines="20"/>
              <w:ind w:right="23" w:rightChars="11"/>
              <w:jc w:val="center"/>
              <w:rPr>
                <w:b/>
                <w:szCs w:val="21"/>
              </w:rPr>
            </w:pPr>
            <w:r>
              <w:rPr>
                <w:rFonts w:hint="eastAsia"/>
                <w:b/>
                <w:szCs w:val="21"/>
              </w:rPr>
              <w:t>14.0</w:t>
            </w:r>
          </w:p>
        </w:tc>
        <w:tc>
          <w:tcPr>
            <w:tcW w:w="2268" w:type="dxa"/>
          </w:tcPr>
          <w:p>
            <w:pPr>
              <w:spacing w:beforeLines="50" w:afterLines="20"/>
              <w:ind w:right="23" w:rightChars="11"/>
              <w:jc w:val="center"/>
              <w:rPr>
                <w:b/>
                <w:szCs w:val="21"/>
              </w:rPr>
            </w:pPr>
            <w:r>
              <w:rPr>
                <w:rFonts w:hint="eastAsia"/>
                <w:b/>
                <w:szCs w:val="21"/>
              </w:rPr>
              <w:t>12.0</w:t>
            </w:r>
          </w:p>
        </w:tc>
        <w:tc>
          <w:tcPr>
            <w:tcW w:w="2092" w:type="dxa"/>
          </w:tcPr>
          <w:p>
            <w:pPr>
              <w:spacing w:beforeLines="50" w:afterLines="20"/>
              <w:ind w:right="23" w:rightChars="11"/>
              <w:jc w:val="center"/>
              <w:rPr>
                <w:b/>
                <w:szCs w:val="21"/>
              </w:rPr>
            </w:pPr>
            <w:r>
              <w:rPr>
                <w:rFonts w:hint="eastAsia"/>
                <w:b/>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left"/>
              <w:rPr>
                <w:b/>
                <w:szCs w:val="21"/>
              </w:rPr>
            </w:pPr>
            <w:r>
              <w:rPr>
                <w:rFonts w:hint="eastAsia"/>
                <w:b/>
                <w:szCs w:val="21"/>
              </w:rPr>
              <w:t xml:space="preserve">谷氨酸钠   </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 xml:space="preserve"> </w:t>
            </w:r>
          </w:p>
        </w:tc>
        <w:tc>
          <w:tcPr>
            <w:tcW w:w="2126" w:type="dxa"/>
          </w:tcPr>
          <w:p>
            <w:pPr>
              <w:spacing w:beforeLines="50" w:afterLines="20"/>
              <w:ind w:right="23" w:rightChars="11"/>
              <w:jc w:val="center"/>
              <w:rPr>
                <w:b/>
                <w:szCs w:val="21"/>
              </w:rPr>
            </w:pPr>
            <w:r>
              <w:rPr>
                <w:rFonts w:hint="eastAsia"/>
                <w:b/>
                <w:szCs w:val="21"/>
              </w:rPr>
              <w:t>7.0</w:t>
            </w:r>
          </w:p>
        </w:tc>
        <w:tc>
          <w:tcPr>
            <w:tcW w:w="2268" w:type="dxa"/>
          </w:tcPr>
          <w:p>
            <w:pPr>
              <w:spacing w:beforeLines="50" w:afterLines="20"/>
              <w:ind w:right="23" w:rightChars="11"/>
              <w:jc w:val="center"/>
              <w:rPr>
                <w:b/>
                <w:szCs w:val="21"/>
              </w:rPr>
            </w:pPr>
            <w:r>
              <w:rPr>
                <w:rFonts w:hint="eastAsia"/>
                <w:b/>
                <w:szCs w:val="21"/>
              </w:rPr>
              <w:t>5.0</w:t>
            </w:r>
          </w:p>
        </w:tc>
        <w:tc>
          <w:tcPr>
            <w:tcW w:w="2092" w:type="dxa"/>
          </w:tcPr>
          <w:p>
            <w:pPr>
              <w:spacing w:beforeLines="50" w:afterLines="20"/>
              <w:ind w:right="23" w:rightChars="11"/>
              <w:jc w:val="center"/>
              <w:rPr>
                <w:b/>
                <w:szCs w:val="21"/>
              </w:rPr>
            </w:pPr>
            <w:r>
              <w:rPr>
                <w:rFonts w:hint="eastAsia"/>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left"/>
              <w:rPr>
                <w:b/>
                <w:szCs w:val="21"/>
              </w:rPr>
            </w:pPr>
            <w:r>
              <w:rPr>
                <w:rFonts w:hint="eastAsia"/>
                <w:b/>
                <w:szCs w:val="21"/>
              </w:rPr>
              <w:t>总糖</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Cs w:val="21"/>
              </w:rPr>
              <w:t>≤</w:t>
            </w:r>
          </w:p>
        </w:tc>
        <w:tc>
          <w:tcPr>
            <w:tcW w:w="6486" w:type="dxa"/>
            <w:gridSpan w:val="3"/>
          </w:tcPr>
          <w:p>
            <w:pPr>
              <w:spacing w:beforeLines="50" w:afterLines="20"/>
              <w:ind w:right="23" w:rightChars="11"/>
              <w:jc w:val="center"/>
              <w:rPr>
                <w:b/>
                <w:szCs w:val="21"/>
              </w:rPr>
            </w:pPr>
            <w:r>
              <w:rPr>
                <w:rFonts w:hint="eastAsia"/>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left"/>
              <w:rPr>
                <w:b/>
                <w:szCs w:val="21"/>
              </w:rPr>
            </w:pPr>
            <w:r>
              <w:rPr>
                <w:rFonts w:hint="eastAsia"/>
                <w:b/>
                <w:szCs w:val="21"/>
              </w:rPr>
              <w:t>食用盐</w:t>
            </w:r>
            <w:r>
              <w:rPr>
                <w:rFonts w:hint="eastAsia" w:asciiTheme="majorEastAsia" w:hAnsiTheme="majorEastAsia" w:eastAsiaTheme="majorEastAsia"/>
                <w:bCs/>
                <w:sz w:val="18"/>
                <w:szCs w:val="18"/>
              </w:rPr>
              <w:t>g(/100g)</w:t>
            </w:r>
            <w:r>
              <w:rPr>
                <w:rFonts w:hint="eastAsia"/>
                <w:b/>
                <w:szCs w:val="21"/>
              </w:rPr>
              <w:t xml:space="preserve">                      </w:t>
            </w:r>
            <w:r>
              <w:rPr>
                <w:rFonts w:asciiTheme="majorEastAsia" w:hAnsiTheme="majorEastAsia" w:eastAsiaTheme="majorEastAsia"/>
                <w:bCs/>
                <w:sz w:val="18"/>
                <w:szCs w:val="18"/>
              </w:rPr>
              <w:t>≤</w:t>
            </w:r>
          </w:p>
        </w:tc>
        <w:tc>
          <w:tcPr>
            <w:tcW w:w="6486" w:type="dxa"/>
            <w:gridSpan w:val="3"/>
          </w:tcPr>
          <w:p>
            <w:pPr>
              <w:spacing w:beforeLines="50" w:afterLines="20"/>
              <w:ind w:right="23" w:rightChars="11"/>
              <w:jc w:val="center"/>
              <w:rPr>
                <w:b/>
                <w:szCs w:val="21"/>
              </w:rPr>
            </w:pPr>
            <w:r>
              <w:rPr>
                <w:rFonts w:hint="eastAsia"/>
                <w:b/>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beforeLines="50" w:afterLines="20"/>
              <w:ind w:right="23" w:rightChars="11"/>
              <w:jc w:val="left"/>
              <w:rPr>
                <w:b/>
                <w:szCs w:val="21"/>
              </w:rPr>
            </w:pPr>
            <w:r>
              <w:rPr>
                <w:rFonts w:hint="eastAsia"/>
                <w:b/>
                <w:szCs w:val="21"/>
              </w:rPr>
              <w:t xml:space="preserve">甘氨酸、丙氨酸/(mg/kg)      </w:t>
            </w:r>
            <w:r>
              <w:rPr>
                <w:rFonts w:asciiTheme="majorEastAsia" w:hAnsiTheme="majorEastAsia" w:eastAsiaTheme="majorEastAsia"/>
                <w:bCs/>
                <w:sz w:val="18"/>
                <w:szCs w:val="18"/>
              </w:rPr>
              <w:t>≥</w:t>
            </w:r>
          </w:p>
        </w:tc>
        <w:tc>
          <w:tcPr>
            <w:tcW w:w="6486" w:type="dxa"/>
            <w:gridSpan w:val="3"/>
          </w:tcPr>
          <w:p>
            <w:pPr>
              <w:spacing w:beforeLines="50" w:afterLines="20"/>
              <w:ind w:right="23" w:rightChars="11"/>
              <w:jc w:val="center"/>
              <w:rPr>
                <w:b/>
                <w:szCs w:val="21"/>
              </w:rPr>
            </w:pPr>
            <w:r>
              <w:rPr>
                <w:rFonts w:hint="eastAsia"/>
                <w:b/>
                <w:szCs w:val="21"/>
              </w:rPr>
              <w:t>1000</w:t>
            </w:r>
          </w:p>
        </w:tc>
      </w:tr>
    </w:tbl>
    <w:p>
      <w:pPr>
        <w:spacing w:beforeLines="50" w:afterLines="50"/>
        <w:jc w:val="left"/>
        <w:rPr>
          <w:rFonts w:eastAsia="黑体"/>
        </w:rPr>
      </w:pPr>
    </w:p>
    <w:p>
      <w:pPr>
        <w:spacing w:beforeLines="50" w:afterLines="50"/>
        <w:jc w:val="left"/>
        <w:rPr>
          <w:rFonts w:eastAsia="黑体"/>
        </w:rPr>
      </w:pPr>
      <w:r>
        <w:rPr>
          <w:rFonts w:eastAsia="黑体"/>
        </w:rPr>
        <w:t>5.</w:t>
      </w:r>
      <w:r>
        <w:rPr>
          <w:rFonts w:hint="eastAsia" w:eastAsia="黑体"/>
        </w:rPr>
        <w:t>4</w:t>
      </w:r>
      <w:r>
        <w:rPr>
          <w:rFonts w:eastAsia="黑体"/>
        </w:rPr>
        <w:t xml:space="preserve"> </w:t>
      </w:r>
      <w:r>
        <w:rPr>
          <w:rFonts w:hint="eastAsia" w:eastAsia="黑体"/>
        </w:rPr>
        <w:t>食品安全</w:t>
      </w:r>
      <w:r>
        <w:rPr>
          <w:rFonts w:eastAsia="黑体"/>
        </w:rPr>
        <w:t xml:space="preserve">要求 </w:t>
      </w:r>
    </w:p>
    <w:p>
      <w:pPr>
        <w:spacing w:beforeLines="50" w:afterLines="20"/>
        <w:ind w:right="23" w:rightChars="11" w:firstLine="420" w:firstLineChars="200"/>
        <w:rPr>
          <w:bCs/>
          <w:szCs w:val="21"/>
        </w:rPr>
      </w:pPr>
      <w:bookmarkStart w:id="17" w:name="_Hlk65853896"/>
      <w:r>
        <w:rPr>
          <w:rFonts w:hint="eastAsia"/>
          <w:bCs/>
          <w:szCs w:val="21"/>
        </w:rPr>
        <w:t>应符合GB  10133规定。</w:t>
      </w:r>
    </w:p>
    <w:bookmarkEnd w:id="17"/>
    <w:p>
      <w:pPr>
        <w:spacing w:beforeLines="50" w:afterLines="50"/>
        <w:jc w:val="left"/>
        <w:rPr>
          <w:rFonts w:eastAsia="黑体"/>
        </w:rPr>
      </w:pPr>
      <w:r>
        <w:rPr>
          <w:rFonts w:hint="eastAsia" w:eastAsia="黑体"/>
        </w:rPr>
        <w:t>5.5</w:t>
      </w:r>
      <w:r>
        <w:rPr>
          <w:rFonts w:eastAsia="黑体"/>
        </w:rPr>
        <w:t xml:space="preserve"> </w:t>
      </w:r>
      <w:r>
        <w:rPr>
          <w:rFonts w:hint="eastAsia" w:eastAsia="黑体"/>
        </w:rPr>
        <w:t>净含量</w:t>
      </w:r>
    </w:p>
    <w:p>
      <w:pPr>
        <w:ind w:right="23" w:rightChars="11" w:firstLine="420" w:firstLineChars="200"/>
        <w:jc w:val="left"/>
        <w:rPr>
          <w:bCs/>
          <w:szCs w:val="21"/>
        </w:rPr>
      </w:pPr>
      <w:r>
        <w:rPr>
          <w:rFonts w:hint="eastAsia"/>
          <w:bCs/>
          <w:szCs w:val="21"/>
        </w:rPr>
        <w:t>按《定量包装商品计量监督管理办法》执行。</w:t>
      </w:r>
    </w:p>
    <w:p>
      <w:pPr>
        <w:spacing w:beforeLines="100" w:afterLines="50"/>
        <w:jc w:val="left"/>
        <w:rPr>
          <w:rFonts w:eastAsia="黑体"/>
        </w:rPr>
      </w:pPr>
      <w:r>
        <w:rPr>
          <w:rFonts w:eastAsia="黑体"/>
        </w:rPr>
        <w:t>5.</w:t>
      </w:r>
      <w:r>
        <w:rPr>
          <w:rFonts w:hint="eastAsia" w:eastAsia="黑体"/>
        </w:rPr>
        <w:t>6</w:t>
      </w:r>
      <w:r>
        <w:rPr>
          <w:rFonts w:eastAsia="黑体"/>
        </w:rPr>
        <w:t xml:space="preserve">  生产过程要求</w:t>
      </w:r>
    </w:p>
    <w:p>
      <w:pPr>
        <w:ind w:right="23" w:rightChars="11" w:firstLine="420" w:firstLineChars="200"/>
        <w:jc w:val="left"/>
        <w:rPr>
          <w:bCs/>
          <w:szCs w:val="21"/>
        </w:rPr>
      </w:pPr>
      <w:bookmarkStart w:id="18" w:name="_Hlk76549319"/>
      <w:r>
        <w:rPr>
          <w:rFonts w:hint="eastAsia"/>
          <w:bCs/>
          <w:szCs w:val="21"/>
        </w:rPr>
        <w:t>应符合G</w:t>
      </w:r>
      <w:r>
        <w:rPr>
          <w:bCs/>
          <w:szCs w:val="21"/>
        </w:rPr>
        <w:t>B</w:t>
      </w:r>
      <w:r>
        <w:rPr>
          <w:rFonts w:hint="eastAsia"/>
          <w:bCs/>
          <w:szCs w:val="21"/>
        </w:rPr>
        <w:t xml:space="preserve">  14881的规定</w:t>
      </w:r>
      <w:bookmarkEnd w:id="18"/>
      <w:r>
        <w:rPr>
          <w:rFonts w:hint="eastAsia"/>
          <w:bCs/>
          <w:szCs w:val="21"/>
        </w:rPr>
        <w:t>。</w:t>
      </w:r>
    </w:p>
    <w:p>
      <w:pPr>
        <w:spacing w:beforeLines="100" w:afterLines="100"/>
        <w:jc w:val="left"/>
        <w:rPr>
          <w:rFonts w:eastAsia="黑体"/>
        </w:rPr>
      </w:pPr>
      <w:r>
        <w:rPr>
          <w:rFonts w:eastAsia="黑体"/>
        </w:rPr>
        <w:t xml:space="preserve">6  </w:t>
      </w:r>
      <w:r>
        <w:rPr>
          <w:rFonts w:hint="eastAsia" w:eastAsia="黑体"/>
        </w:rPr>
        <w:t>分析方法</w:t>
      </w:r>
    </w:p>
    <w:p>
      <w:pPr>
        <w:spacing w:beforeLines="50" w:afterLines="50"/>
        <w:jc w:val="left"/>
        <w:rPr>
          <w:rFonts w:eastAsia="黑体"/>
        </w:rPr>
      </w:pPr>
      <w:r>
        <w:rPr>
          <w:rFonts w:eastAsia="黑体"/>
        </w:rPr>
        <w:t>6.1</w:t>
      </w:r>
      <w:r>
        <w:rPr>
          <w:rFonts w:hint="eastAsia" w:eastAsia="黑体"/>
        </w:rPr>
        <w:t xml:space="preserve"> 感官检验</w:t>
      </w:r>
    </w:p>
    <w:p>
      <w:pPr>
        <w:ind w:right="23" w:rightChars="11" w:firstLine="420" w:firstLineChars="200"/>
        <w:jc w:val="left"/>
        <w:rPr>
          <w:bCs/>
          <w:szCs w:val="21"/>
        </w:rPr>
      </w:pPr>
      <w:r>
        <w:rPr>
          <w:rFonts w:hint="eastAsia"/>
          <w:bCs/>
          <w:szCs w:val="21"/>
        </w:rPr>
        <w:t>按</w:t>
      </w:r>
      <w:r>
        <w:rPr>
          <w:szCs w:val="21"/>
        </w:rPr>
        <w:t>GB</w:t>
      </w:r>
      <w:r>
        <w:rPr>
          <w:rFonts w:hint="eastAsia"/>
          <w:szCs w:val="21"/>
        </w:rPr>
        <w:t xml:space="preserve">  10133中规定的方法执行</w:t>
      </w:r>
      <w:r>
        <w:rPr>
          <w:rFonts w:hint="eastAsia"/>
          <w:bCs/>
          <w:szCs w:val="21"/>
        </w:rPr>
        <w:t xml:space="preserve">。 </w:t>
      </w:r>
    </w:p>
    <w:p>
      <w:pPr>
        <w:spacing w:beforeLines="50" w:afterLines="50"/>
        <w:jc w:val="left"/>
        <w:rPr>
          <w:rFonts w:eastAsia="黑体"/>
        </w:rPr>
      </w:pPr>
      <w:r>
        <w:rPr>
          <w:rFonts w:eastAsia="黑体"/>
        </w:rPr>
        <w:t xml:space="preserve">6.2  </w:t>
      </w:r>
      <w:r>
        <w:rPr>
          <w:rFonts w:hint="eastAsia" w:eastAsia="黑体"/>
        </w:rPr>
        <w:t>氨基酸态氮</w:t>
      </w:r>
    </w:p>
    <w:p>
      <w:pPr>
        <w:spacing w:line="360" w:lineRule="auto"/>
        <w:ind w:right="23" w:rightChars="11" w:firstLine="435"/>
        <w:rPr>
          <w:szCs w:val="21"/>
        </w:rPr>
      </w:pPr>
      <w:r>
        <w:rPr>
          <w:rFonts w:hint="eastAsia"/>
          <w:szCs w:val="21"/>
        </w:rPr>
        <w:t>按</w:t>
      </w:r>
      <w:r>
        <w:rPr>
          <w:szCs w:val="21"/>
        </w:rPr>
        <w:t>GB</w:t>
      </w:r>
      <w:r>
        <w:rPr>
          <w:rFonts w:hint="eastAsia"/>
          <w:szCs w:val="21"/>
        </w:rPr>
        <w:t>/T  21999-2008中规定的方法执行。</w:t>
      </w:r>
    </w:p>
    <w:p>
      <w:pPr>
        <w:spacing w:beforeLines="50" w:afterLines="50"/>
        <w:jc w:val="left"/>
        <w:rPr>
          <w:rFonts w:eastAsia="黑体"/>
        </w:rPr>
      </w:pPr>
      <w:r>
        <w:rPr>
          <w:rFonts w:eastAsia="黑体"/>
        </w:rPr>
        <w:t xml:space="preserve">6.3  </w:t>
      </w:r>
      <w:r>
        <w:rPr>
          <w:rFonts w:hint="eastAsia" w:eastAsia="黑体"/>
        </w:rPr>
        <w:t>无盐固形物、食用盐、甘氨酸、丙氨酸</w:t>
      </w:r>
    </w:p>
    <w:p>
      <w:pPr>
        <w:spacing w:line="360" w:lineRule="auto"/>
        <w:ind w:right="23" w:rightChars="11" w:firstLine="435"/>
        <w:rPr>
          <w:szCs w:val="21"/>
        </w:rPr>
      </w:pPr>
      <w:r>
        <w:rPr>
          <w:rFonts w:hint="eastAsia"/>
          <w:szCs w:val="21"/>
        </w:rPr>
        <w:t>按SB/T  11191-2017中规定的方法执行。</w:t>
      </w:r>
    </w:p>
    <w:p>
      <w:pPr>
        <w:spacing w:line="360" w:lineRule="auto"/>
        <w:ind w:right="23" w:rightChars="11"/>
        <w:rPr>
          <w:szCs w:val="21"/>
        </w:rPr>
      </w:pPr>
      <w:r>
        <w:rPr>
          <w:rFonts w:hint="eastAsia"/>
          <w:szCs w:val="21"/>
        </w:rPr>
        <w:t>6.4</w:t>
      </w:r>
      <w:r>
        <w:rPr>
          <w:rFonts w:hint="eastAsia"/>
          <w:color w:val="FF0000"/>
          <w:szCs w:val="21"/>
        </w:rPr>
        <w:t xml:space="preserve"> </w:t>
      </w:r>
      <w:r>
        <w:rPr>
          <w:rFonts w:hint="eastAsia" w:ascii="黑体" w:hAnsi="黑体" w:eastAsia="黑体"/>
          <w:szCs w:val="21"/>
        </w:rPr>
        <w:t>总糖</w:t>
      </w:r>
    </w:p>
    <w:p>
      <w:pPr>
        <w:ind w:right="23" w:rightChars="11" w:firstLine="420" w:firstLineChars="200"/>
        <w:jc w:val="left"/>
        <w:rPr>
          <w:bCs/>
          <w:szCs w:val="21"/>
        </w:rPr>
      </w:pPr>
      <w:r>
        <w:rPr>
          <w:rFonts w:hint="eastAsia"/>
          <w:bCs/>
          <w:szCs w:val="21"/>
        </w:rPr>
        <w:t>按</w:t>
      </w:r>
      <w:r>
        <w:rPr>
          <w:szCs w:val="21"/>
        </w:rPr>
        <w:t>GB</w:t>
      </w:r>
      <w:r>
        <w:rPr>
          <w:rFonts w:hint="eastAsia"/>
          <w:szCs w:val="21"/>
        </w:rPr>
        <w:t>/T  13662-2018中规定的方法执行</w:t>
      </w:r>
      <w:r>
        <w:rPr>
          <w:rFonts w:hint="eastAsia"/>
          <w:bCs/>
          <w:szCs w:val="21"/>
        </w:rPr>
        <w:t xml:space="preserve">。 </w:t>
      </w:r>
    </w:p>
    <w:p>
      <w:pPr>
        <w:spacing w:beforeLines="50" w:afterLines="50"/>
        <w:jc w:val="left"/>
        <w:rPr>
          <w:rFonts w:eastAsia="黑体"/>
          <w:color w:val="FF0000"/>
        </w:rPr>
      </w:pPr>
      <w:r>
        <w:rPr>
          <w:rFonts w:eastAsia="黑体"/>
        </w:rPr>
        <w:t>6.</w:t>
      </w:r>
      <w:r>
        <w:rPr>
          <w:rFonts w:hint="eastAsia" w:eastAsia="黑体"/>
        </w:rPr>
        <w:t>5</w:t>
      </w:r>
      <w:r>
        <w:rPr>
          <w:rFonts w:eastAsia="黑体"/>
        </w:rPr>
        <w:t xml:space="preserve">  </w:t>
      </w:r>
      <w:r>
        <w:rPr>
          <w:rFonts w:hint="eastAsia" w:eastAsia="黑体"/>
        </w:rPr>
        <w:t xml:space="preserve"> 谷氨酸钠</w:t>
      </w:r>
    </w:p>
    <w:p>
      <w:pPr>
        <w:spacing w:line="360" w:lineRule="auto"/>
        <w:ind w:right="23" w:rightChars="11" w:firstLine="435"/>
        <w:rPr>
          <w:szCs w:val="21"/>
        </w:rPr>
      </w:pPr>
      <w:r>
        <w:rPr>
          <w:rFonts w:hint="eastAsia"/>
          <w:szCs w:val="21"/>
        </w:rPr>
        <w:t>按GB  5009.43-2016中规定的方法执行。</w:t>
      </w:r>
    </w:p>
    <w:p>
      <w:pPr>
        <w:spacing w:line="360" w:lineRule="auto"/>
        <w:ind w:right="23" w:rightChars="11"/>
        <w:rPr>
          <w:szCs w:val="21"/>
        </w:rPr>
      </w:pPr>
      <w:r>
        <w:rPr>
          <w:rFonts w:hint="eastAsia"/>
          <w:szCs w:val="21"/>
        </w:rPr>
        <w:t>6.6食品安全指标</w:t>
      </w:r>
    </w:p>
    <w:p>
      <w:pPr>
        <w:spacing w:line="360" w:lineRule="auto"/>
        <w:ind w:right="23" w:rightChars="11" w:firstLine="420" w:firstLineChars="200"/>
        <w:rPr>
          <w:szCs w:val="21"/>
        </w:rPr>
      </w:pPr>
      <w:r>
        <w:rPr>
          <w:rFonts w:hint="eastAsia"/>
          <w:szCs w:val="21"/>
        </w:rPr>
        <w:t>应按GB  10133规定执行。</w:t>
      </w:r>
    </w:p>
    <w:p>
      <w:pPr>
        <w:pStyle w:val="18"/>
        <w:spacing w:beforeLines="50" w:afterLines="50"/>
        <w:rPr>
          <w:kern w:val="2"/>
          <w:szCs w:val="24"/>
        </w:rPr>
      </w:pPr>
      <w:r>
        <w:rPr>
          <w:kern w:val="2"/>
          <w:szCs w:val="24"/>
        </w:rPr>
        <w:t>6.</w:t>
      </w:r>
      <w:r>
        <w:rPr>
          <w:rFonts w:hint="eastAsia"/>
          <w:kern w:val="2"/>
          <w:szCs w:val="24"/>
        </w:rPr>
        <w:t>7</w:t>
      </w:r>
      <w:r>
        <w:rPr>
          <w:kern w:val="2"/>
          <w:szCs w:val="24"/>
        </w:rPr>
        <w:t xml:space="preserve">  </w:t>
      </w:r>
      <w:r>
        <w:rPr>
          <w:rFonts w:hint="eastAsia"/>
          <w:kern w:val="2"/>
          <w:szCs w:val="24"/>
        </w:rPr>
        <w:t>净含量</w:t>
      </w:r>
    </w:p>
    <w:p>
      <w:pPr>
        <w:ind w:right="23" w:rightChars="11" w:firstLine="420" w:firstLineChars="200"/>
        <w:rPr>
          <w:bCs/>
          <w:szCs w:val="21"/>
        </w:rPr>
      </w:pPr>
      <w:r>
        <w:rPr>
          <w:rFonts w:hint="eastAsia"/>
          <w:bCs/>
          <w:szCs w:val="21"/>
        </w:rPr>
        <w:t>按</w:t>
      </w:r>
      <w:r>
        <w:rPr>
          <w:szCs w:val="21"/>
        </w:rPr>
        <w:t>JJF</w:t>
      </w:r>
      <w:r>
        <w:rPr>
          <w:rFonts w:hint="eastAsia"/>
          <w:szCs w:val="21"/>
        </w:rPr>
        <w:t xml:space="preserve">  </w:t>
      </w:r>
      <w:r>
        <w:rPr>
          <w:szCs w:val="21"/>
        </w:rPr>
        <w:t>1070</w:t>
      </w:r>
      <w:r>
        <w:rPr>
          <w:rFonts w:hint="eastAsia"/>
          <w:szCs w:val="21"/>
        </w:rPr>
        <w:t>中规定的方法执行。</w:t>
      </w:r>
    </w:p>
    <w:p>
      <w:pPr>
        <w:spacing w:beforeLines="100" w:afterLines="100"/>
        <w:jc w:val="left"/>
        <w:rPr>
          <w:rFonts w:eastAsia="黑体"/>
        </w:rPr>
      </w:pPr>
      <w:r>
        <w:rPr>
          <w:rFonts w:eastAsia="黑体"/>
        </w:rPr>
        <w:t xml:space="preserve">7  </w:t>
      </w:r>
      <w:r>
        <w:rPr>
          <w:rFonts w:hint="eastAsia" w:eastAsia="黑体"/>
        </w:rPr>
        <w:t>检验规则</w:t>
      </w:r>
    </w:p>
    <w:p>
      <w:pPr>
        <w:spacing w:beforeLines="100" w:afterLines="100"/>
        <w:jc w:val="left"/>
        <w:rPr>
          <w:rFonts w:eastAsia="黑体"/>
        </w:rPr>
      </w:pPr>
      <w:r>
        <w:rPr>
          <w:rFonts w:hint="eastAsia" w:eastAsia="黑体"/>
        </w:rPr>
        <w:t>7.1组批</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以同一天生产的同一品种的产品为一批。</w:t>
      </w:r>
    </w:p>
    <w:p>
      <w:pPr>
        <w:spacing w:beforeLines="100" w:afterLines="100"/>
        <w:jc w:val="left"/>
        <w:rPr>
          <w:rFonts w:eastAsia="黑体"/>
        </w:rPr>
      </w:pPr>
      <w:r>
        <w:rPr>
          <w:rFonts w:hint="eastAsia" w:eastAsia="黑体"/>
        </w:rPr>
        <w:t>7.2抽样</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按照实际需要从成品库同批产品的不同部位随机抽取6份分别做感官要求、理化指标、食品安全指标检验，留样。</w:t>
      </w:r>
    </w:p>
    <w:p>
      <w:pPr>
        <w:spacing w:beforeLines="100" w:afterLines="100"/>
        <w:jc w:val="left"/>
        <w:rPr>
          <w:rFonts w:eastAsia="黑体"/>
        </w:rPr>
      </w:pPr>
      <w:r>
        <w:rPr>
          <w:rFonts w:hint="eastAsia" w:eastAsia="黑体"/>
        </w:rPr>
        <w:t>7.3出厂检验</w:t>
      </w:r>
    </w:p>
    <w:p>
      <w:pPr>
        <w:spacing w:beforeLines="100" w:afterLines="100"/>
        <w:jc w:val="left"/>
        <w:rPr>
          <w:rFonts w:eastAsia="黑体"/>
        </w:rPr>
      </w:pPr>
      <w:r>
        <w:rPr>
          <w:rFonts w:hint="eastAsia" w:eastAsia="黑体"/>
        </w:rPr>
        <w:t>7.3.1 产品出厂前，应由生产企业的质量检验部门按本标准逐批检验，检验合格方可出厂。</w:t>
      </w:r>
    </w:p>
    <w:p>
      <w:pPr>
        <w:spacing w:beforeLines="100" w:afterLines="100"/>
        <w:jc w:val="left"/>
        <w:rPr>
          <w:rFonts w:eastAsia="黑体"/>
          <w:color w:val="FF0000"/>
        </w:rPr>
      </w:pPr>
      <w:r>
        <w:rPr>
          <w:rFonts w:hint="eastAsia" w:eastAsia="黑体"/>
        </w:rPr>
        <w:t>7.3.2出厂检验项目：感官要求、净含量，理化指标中的氨基酸态氮、食用盐、无盐固形物、谷氨酸钠、总糖。</w:t>
      </w:r>
    </w:p>
    <w:p>
      <w:pPr>
        <w:spacing w:beforeLines="100" w:afterLines="100"/>
        <w:jc w:val="left"/>
        <w:rPr>
          <w:rFonts w:eastAsia="黑体"/>
        </w:rPr>
      </w:pPr>
      <w:r>
        <w:rPr>
          <w:rFonts w:hint="eastAsia" w:eastAsia="黑体"/>
        </w:rPr>
        <w:t>7.4型式检验</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型式检验项目包括技术要求中的全部项目。</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正常生产时型式检验每半年一次，有下列情况之一时，亦应进行：</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a)新产品投产前；</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b）停产半年以上，恢复生产时；</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c)更改关键工艺或设备，可能影响产品质量时；</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d)出厂检验结果与上一次型式检验结果有较大差异时；</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e)国家食品管理监督机构提出时。</w:t>
      </w:r>
    </w:p>
    <w:p>
      <w:pPr>
        <w:spacing w:beforeLines="100" w:afterLines="100"/>
        <w:jc w:val="left"/>
        <w:rPr>
          <w:rFonts w:eastAsia="黑体"/>
        </w:rPr>
      </w:pPr>
      <w:r>
        <w:rPr>
          <w:rFonts w:hint="eastAsia" w:eastAsia="黑体"/>
        </w:rPr>
        <w:t>7.5判定规则</w:t>
      </w:r>
    </w:p>
    <w:p>
      <w:pPr>
        <w:spacing w:beforeLines="100" w:afterLines="100"/>
        <w:jc w:val="left"/>
        <w:rPr>
          <w:rFonts w:eastAsia="黑体"/>
        </w:rPr>
      </w:pPr>
      <w:r>
        <w:rPr>
          <w:rFonts w:hint="eastAsia" w:eastAsia="黑体"/>
        </w:rPr>
        <w:t>7.5.1检验结果全部符合本标准规定时，则判该批产品为合格品。</w:t>
      </w:r>
    </w:p>
    <w:p>
      <w:pPr>
        <w:spacing w:beforeLines="100" w:afterLines="100"/>
        <w:jc w:val="left"/>
        <w:rPr>
          <w:rFonts w:eastAsia="黑体"/>
        </w:rPr>
      </w:pPr>
      <w:r>
        <w:rPr>
          <w:rFonts w:hint="eastAsia" w:eastAsia="黑体"/>
        </w:rPr>
        <w:t>7.5.2检验结果中有一项或一项以上不符合本标准时，可从原批次产品中加倍抽样复检。复检结果合格时，则判定该批产品为合格品；复检结果仍有一项或一项以上不合格，则判定该批产品为不合格品。</w:t>
      </w:r>
    </w:p>
    <w:p>
      <w:pPr>
        <w:spacing w:beforeLines="100" w:afterLines="100"/>
        <w:jc w:val="left"/>
        <w:rPr>
          <w:rFonts w:eastAsia="黑体"/>
        </w:rPr>
      </w:pPr>
      <w:r>
        <w:rPr>
          <w:rFonts w:eastAsia="黑体"/>
        </w:rPr>
        <w:t xml:space="preserve">8  </w:t>
      </w:r>
      <w:r>
        <w:rPr>
          <w:rFonts w:hint="eastAsia" w:eastAsia="黑体"/>
        </w:rPr>
        <w:t>标志、包装、运输和贮存</w:t>
      </w:r>
    </w:p>
    <w:p>
      <w:pPr>
        <w:spacing w:beforeLines="100" w:afterLines="100"/>
        <w:jc w:val="left"/>
        <w:rPr>
          <w:rFonts w:eastAsia="黑体"/>
        </w:rPr>
      </w:pPr>
      <w:r>
        <w:rPr>
          <w:rFonts w:hint="eastAsia" w:eastAsia="黑体"/>
        </w:rPr>
        <w:t>8.1标签</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标签的标注内容应符合GB 7718、GB 28050的规定。产品还应标明产品分类、质量等级。</w:t>
      </w:r>
    </w:p>
    <w:p>
      <w:pPr>
        <w:spacing w:beforeLines="100" w:afterLines="100"/>
        <w:jc w:val="left"/>
        <w:rPr>
          <w:rFonts w:eastAsia="黑体"/>
        </w:rPr>
      </w:pPr>
      <w:r>
        <w:rPr>
          <w:rFonts w:hint="eastAsia" w:eastAsia="黑体"/>
        </w:rPr>
        <w:t>8.2包装</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包装材料和容器应符合相应的食品安全国家标准。</w:t>
      </w:r>
    </w:p>
    <w:p>
      <w:pPr>
        <w:spacing w:beforeLines="100" w:afterLines="100"/>
        <w:jc w:val="left"/>
        <w:rPr>
          <w:rFonts w:eastAsia="黑体"/>
        </w:rPr>
      </w:pPr>
      <w:r>
        <w:rPr>
          <w:rFonts w:hint="eastAsia" w:eastAsia="黑体"/>
        </w:rPr>
        <w:t>8.3运输</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产品在运输过程中应轻拿轻放，防止日晒、雨淋，运输工具应清洁卫生，不得与有毒、有害、有污染的物品混运。</w:t>
      </w:r>
    </w:p>
    <w:p>
      <w:pPr>
        <w:spacing w:beforeLines="100" w:afterLines="100"/>
        <w:jc w:val="left"/>
        <w:rPr>
          <w:rFonts w:eastAsia="黑体"/>
        </w:rPr>
      </w:pPr>
      <w:r>
        <w:rPr>
          <w:rFonts w:hint="eastAsia" w:eastAsia="黑体"/>
        </w:rPr>
        <w:t>8.4贮存</w:t>
      </w:r>
    </w:p>
    <w:p>
      <w:pPr>
        <w:spacing w:beforeLines="100" w:afterLines="100"/>
        <w:ind w:firstLine="420" w:firstLineChars="200"/>
        <w:jc w:val="left"/>
        <w:rPr>
          <w:rFonts w:asciiTheme="minorEastAsia" w:hAnsiTheme="minorEastAsia" w:eastAsiaTheme="minorEastAsia"/>
        </w:rPr>
      </w:pPr>
      <w:r>
        <w:rPr>
          <w:rFonts w:hint="eastAsia" w:asciiTheme="minorEastAsia" w:hAnsiTheme="minorEastAsia" w:eastAsiaTheme="minorEastAsia"/>
        </w:rPr>
        <w:t>产品应贮存在阴凉、干燥、通风的仓库。</w:t>
      </w:r>
    </w:p>
    <w:p>
      <w:r>
        <w:pict>
          <v:line id="直接连接符 1" o:spid="_x0000_s2050" o:spt="20" style="position:absolute;left:0pt;margin-top:42.8pt;height:0pt;width:153.05pt;mso-position-horizontal:center;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">
            <v:path arrowok="t"/>
            <v:fill focussize="0,0"/>
            <v:stroke/>
            <v:imagedata o:title=""/>
            <o:lock v:ext="edit"/>
          </v:line>
        </w:pict>
      </w:r>
    </w:p>
    <w:sectPr>
      <w:footerReference r:id="rId9" w:type="default"/>
      <w:footerReference r:id="rId10" w:type="even"/>
      <w:pgSz w:w="11906" w:h="16838"/>
      <w:pgMar w:top="567" w:right="1134" w:bottom="113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201673"/>
    </w:sdtPr>
    <w:sdtContent>
      <w:p>
        <w:pPr>
          <w:pStyle w:val="8"/>
          <w:jc w:val="right"/>
        </w:pPr>
      </w:p>
      <w:p>
        <w:pPr>
          <w:pStyle w:val="8"/>
          <w:jc w:val="right"/>
        </w:pPr>
        <w:r>
          <w:fldChar w:fldCharType="begin"/>
        </w:r>
        <w:r>
          <w:instrText xml:space="preserve">PAGE   \* MERGEFORMAT</w:instrText>
        </w:r>
        <w:r>
          <w:fldChar w:fldCharType="separate"/>
        </w:r>
        <w:r>
          <w:rPr>
            <w:lang w:val="zh-CN"/>
          </w:rPr>
          <w:t>3</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5548737"/>
    </w:sdtPr>
    <w:sdtContent>
      <w:p>
        <w:pPr>
          <w:pStyle w:val="8"/>
        </w:pPr>
      </w:p>
      <w:p>
        <w:pPr>
          <w:pStyle w:val="8"/>
        </w:pPr>
        <w:r>
          <w:fldChar w:fldCharType="begin"/>
        </w:r>
        <w:r>
          <w:instrText xml:space="preserve">PAGE   \* MERGEFORMAT</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100"/>
      <w:jc w:val="right"/>
      <w:rPr>
        <w:b/>
        <w:bCs/>
        <w:sz w:val="28"/>
        <w:szCs w:val="28"/>
      </w:rPr>
    </w:pPr>
    <w:r>
      <w:rPr>
        <w:b/>
        <w:bCs/>
        <w:sz w:val="28"/>
        <w:szCs w:val="28"/>
      </w:rPr>
      <w:t>T/CNFIA 123-2021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100"/>
      <w:jc w:val="right"/>
      <w:rPr>
        <w:b/>
        <w:bCs/>
        <w:sz w:val="28"/>
        <w:szCs w:val="28"/>
      </w:rPr>
    </w:pPr>
    <w:r>
      <w:rPr>
        <w:b/>
        <w:bCs/>
        <w:sz w:val="28"/>
        <w:szCs w:val="28"/>
      </w:rPr>
      <w:t xml:space="preserve">T/CNFIA </w:t>
    </w:r>
    <w:r>
      <w:rPr>
        <w:rFonts w:hint="eastAsia"/>
        <w:b/>
        <w:bCs/>
        <w:sz w:val="28"/>
        <w:szCs w:val="28"/>
      </w:rPr>
      <w:t>X</w:t>
    </w:r>
    <w:r>
      <w:rPr>
        <w:b/>
        <w:bCs/>
        <w:sz w:val="28"/>
        <w:szCs w:val="28"/>
      </w:rPr>
      <w:t>XX-2021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Lines="100"/>
      <w:jc w:val="right"/>
      <w:rPr>
        <w:b/>
        <w:bCs/>
        <w:sz w:val="28"/>
        <w:szCs w:val="28"/>
      </w:rPr>
    </w:pPr>
    <w:r>
      <w:rPr>
        <w:b/>
        <w:bCs/>
        <w:sz w:val="28"/>
        <w:szCs w:val="28"/>
      </w:rPr>
      <w:t xml:space="preserve">T/CNFIA </w:t>
    </w:r>
    <w:r>
      <w:rPr>
        <w:rFonts w:hint="eastAsia"/>
        <w:b/>
        <w:bCs/>
        <w:sz w:val="28"/>
        <w:szCs w:val="28"/>
      </w:rPr>
      <w:t>×××</w:t>
    </w:r>
    <w:r>
      <w:rPr>
        <w:b/>
        <w:bCs/>
        <w:sz w:val="28"/>
        <w:szCs w:val="28"/>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92C60"/>
    <w:multiLevelType w:val="multilevel"/>
    <w:tmpl w:val="68892C60"/>
    <w:lvl w:ilvl="0" w:tentative="0">
      <w:start w:val="1"/>
      <w:numFmt w:val="decimal"/>
      <w:pStyle w:val="22"/>
      <w:lvlText w:val="%1."/>
      <w:lvlJc w:val="left"/>
      <w:pPr>
        <w:tabs>
          <w:tab w:val="left" w:pos="0"/>
        </w:tabs>
        <w:ind w:left="720" w:hanging="720"/>
      </w:pPr>
      <w:rPr>
        <w:rFonts w:cs="Times New Roman"/>
      </w:rPr>
    </w:lvl>
    <w:lvl w:ilvl="1" w:tentative="0">
      <w:start w:val="1"/>
      <w:numFmt w:val="decimal"/>
      <w:pStyle w:val="21"/>
      <w:lvlText w:val="%2."/>
      <w:lvlJc w:val="left"/>
      <w:pPr>
        <w:tabs>
          <w:tab w:val="left" w:pos="0"/>
        </w:tabs>
        <w:ind w:left="1440" w:hanging="720"/>
      </w:pPr>
      <w:rPr>
        <w:rFonts w:cs="Times New Roman"/>
      </w:rPr>
    </w:lvl>
    <w:lvl w:ilvl="2" w:tentative="0">
      <w:start w:val="1"/>
      <w:numFmt w:val="decimal"/>
      <w:lvlText w:val="%3."/>
      <w:lvlJc w:val="left"/>
      <w:pPr>
        <w:tabs>
          <w:tab w:val="left" w:pos="0"/>
        </w:tabs>
        <w:ind w:left="2160" w:hanging="720"/>
      </w:pPr>
      <w:rPr>
        <w:rFonts w:cs="Times New Roman"/>
      </w:rPr>
    </w:lvl>
    <w:lvl w:ilvl="3" w:tentative="0">
      <w:start w:val="1"/>
      <w:numFmt w:val="decimal"/>
      <w:pStyle w:val="20"/>
      <w:lvlText w:val="%4."/>
      <w:lvlJc w:val="left"/>
      <w:pPr>
        <w:tabs>
          <w:tab w:val="left" w:pos="0"/>
        </w:tabs>
        <w:ind w:left="2880" w:hanging="720"/>
      </w:pPr>
      <w:rPr>
        <w:rFonts w:cs="Times New Roman"/>
      </w:rPr>
    </w:lvl>
    <w:lvl w:ilvl="4" w:tentative="0">
      <w:start w:val="1"/>
      <w:numFmt w:val="decimal"/>
      <w:lvlText w:val="%5."/>
      <w:lvlJc w:val="left"/>
      <w:pPr>
        <w:tabs>
          <w:tab w:val="left" w:pos="0"/>
        </w:tabs>
        <w:ind w:left="3600" w:hanging="720"/>
      </w:pPr>
      <w:rPr>
        <w:rFonts w:cs="Times New Roman"/>
      </w:rPr>
    </w:lvl>
    <w:lvl w:ilvl="5" w:tentative="0">
      <w:start w:val="1"/>
      <w:numFmt w:val="decimal"/>
      <w:lvlText w:val="%6."/>
      <w:lvlJc w:val="left"/>
      <w:pPr>
        <w:tabs>
          <w:tab w:val="left" w:pos="0"/>
        </w:tabs>
        <w:ind w:left="4320" w:hanging="720"/>
      </w:pPr>
      <w:rPr>
        <w:rFonts w:cs="Times New Roman"/>
      </w:rPr>
    </w:lvl>
    <w:lvl w:ilvl="6" w:tentative="0">
      <w:start w:val="1"/>
      <w:numFmt w:val="decimal"/>
      <w:lvlText w:val="%7."/>
      <w:lvlJc w:val="left"/>
      <w:pPr>
        <w:tabs>
          <w:tab w:val="left" w:pos="0"/>
        </w:tabs>
        <w:ind w:left="5040" w:hanging="720"/>
      </w:pPr>
      <w:rPr>
        <w:rFonts w:cs="Times New Roman"/>
      </w:rPr>
    </w:lvl>
    <w:lvl w:ilvl="7" w:tentative="0">
      <w:start w:val="1"/>
      <w:numFmt w:val="decimal"/>
      <w:lvlText w:val="%8."/>
      <w:lvlJc w:val="left"/>
      <w:pPr>
        <w:tabs>
          <w:tab w:val="left" w:pos="0"/>
        </w:tabs>
        <w:ind w:left="5760" w:hanging="720"/>
      </w:pPr>
      <w:rPr>
        <w:rFonts w:cs="Times New Roman"/>
      </w:rPr>
    </w:lvl>
    <w:lvl w:ilvl="8" w:tentative="0">
      <w:start w:val="1"/>
      <w:numFmt w:val="decimal"/>
      <w:lvlText w:val="%9."/>
      <w:lvlJc w:val="left"/>
      <w:pPr>
        <w:tabs>
          <w:tab w:val="left" w:pos="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trackedChanges" w:enforcement="0"/>
  <w:defaultTabStop w:val="420"/>
  <w:evenAndOddHeaders w:val="1"/>
  <w:characterSpacingControl w:val="doNotCompress"/>
  <w:noLineBreaksAfter w:lang="zh-CN" w:val="$([{£¥·‘“〈《「『【〔〖〝﹙﹛﹝＄（．［｛￡￥"/>
  <w:noLineBreaksBefore w:lang="zh-CN" w:val="!%),.:;&gt;?]}¢¨°·ˇˉ―‖’”…‰′″›℃∶、。〃〉》」』】〕〗〞︶︺︾﹀﹄﹚﹜﹞！＂％＇），．：；？］｀｜｝～￠"/>
  <w:compat>
    <w:useFELayout/>
    <w:compatSetting w:name="compatibilityMode" w:uri="http://schemas.microsoft.com/office/word" w:val="12"/>
  </w:compat>
  <w:rsids>
    <w:rsidRoot w:val="00DE590D"/>
    <w:rsid w:val="00000918"/>
    <w:rsid w:val="00001B5A"/>
    <w:rsid w:val="000116F5"/>
    <w:rsid w:val="000165A6"/>
    <w:rsid w:val="00023280"/>
    <w:rsid w:val="00032BDA"/>
    <w:rsid w:val="00032EF8"/>
    <w:rsid w:val="0004075E"/>
    <w:rsid w:val="000457CF"/>
    <w:rsid w:val="00076262"/>
    <w:rsid w:val="0008121A"/>
    <w:rsid w:val="000848B3"/>
    <w:rsid w:val="000914EF"/>
    <w:rsid w:val="000A7AB5"/>
    <w:rsid w:val="000B0CDC"/>
    <w:rsid w:val="000B75DF"/>
    <w:rsid w:val="000C15BC"/>
    <w:rsid w:val="000C5F7C"/>
    <w:rsid w:val="000D7D8A"/>
    <w:rsid w:val="000E2CBC"/>
    <w:rsid w:val="000F0384"/>
    <w:rsid w:val="000F64AB"/>
    <w:rsid w:val="000F6E62"/>
    <w:rsid w:val="0010015B"/>
    <w:rsid w:val="001078C4"/>
    <w:rsid w:val="00121550"/>
    <w:rsid w:val="00123CAA"/>
    <w:rsid w:val="00126665"/>
    <w:rsid w:val="00127B41"/>
    <w:rsid w:val="00132F60"/>
    <w:rsid w:val="00140F76"/>
    <w:rsid w:val="00151D5E"/>
    <w:rsid w:val="001664B9"/>
    <w:rsid w:val="00192A26"/>
    <w:rsid w:val="00197069"/>
    <w:rsid w:val="001C2EAF"/>
    <w:rsid w:val="001D0BAB"/>
    <w:rsid w:val="001D3528"/>
    <w:rsid w:val="001E1023"/>
    <w:rsid w:val="001E295D"/>
    <w:rsid w:val="001F237C"/>
    <w:rsid w:val="001F40C9"/>
    <w:rsid w:val="00202467"/>
    <w:rsid w:val="00205955"/>
    <w:rsid w:val="00205B27"/>
    <w:rsid w:val="002117C4"/>
    <w:rsid w:val="002174ED"/>
    <w:rsid w:val="0022029B"/>
    <w:rsid w:val="002212BE"/>
    <w:rsid w:val="00226180"/>
    <w:rsid w:val="00231E54"/>
    <w:rsid w:val="0025198E"/>
    <w:rsid w:val="002A23C1"/>
    <w:rsid w:val="002A7677"/>
    <w:rsid w:val="002B002E"/>
    <w:rsid w:val="002D0606"/>
    <w:rsid w:val="002D2E7A"/>
    <w:rsid w:val="00305035"/>
    <w:rsid w:val="003052AD"/>
    <w:rsid w:val="00305B1A"/>
    <w:rsid w:val="00306AFD"/>
    <w:rsid w:val="00313BBA"/>
    <w:rsid w:val="003209DF"/>
    <w:rsid w:val="00326E52"/>
    <w:rsid w:val="00350FFF"/>
    <w:rsid w:val="003659C0"/>
    <w:rsid w:val="003674D6"/>
    <w:rsid w:val="00371666"/>
    <w:rsid w:val="00397BD2"/>
    <w:rsid w:val="003A3396"/>
    <w:rsid w:val="003A3F2E"/>
    <w:rsid w:val="003B0461"/>
    <w:rsid w:val="003B0E34"/>
    <w:rsid w:val="003B16EB"/>
    <w:rsid w:val="003D144F"/>
    <w:rsid w:val="003D3CFD"/>
    <w:rsid w:val="003E66FC"/>
    <w:rsid w:val="003F590F"/>
    <w:rsid w:val="0041170B"/>
    <w:rsid w:val="004150F1"/>
    <w:rsid w:val="004170FD"/>
    <w:rsid w:val="00425A81"/>
    <w:rsid w:val="0044369C"/>
    <w:rsid w:val="00444981"/>
    <w:rsid w:val="004503C2"/>
    <w:rsid w:val="00452AE2"/>
    <w:rsid w:val="00462192"/>
    <w:rsid w:val="00473D1D"/>
    <w:rsid w:val="00481BD6"/>
    <w:rsid w:val="00484998"/>
    <w:rsid w:val="00486420"/>
    <w:rsid w:val="00490B1B"/>
    <w:rsid w:val="00497F01"/>
    <w:rsid w:val="004A7595"/>
    <w:rsid w:val="004B20EC"/>
    <w:rsid w:val="004C4DD5"/>
    <w:rsid w:val="004F1D25"/>
    <w:rsid w:val="00501EF6"/>
    <w:rsid w:val="0050664A"/>
    <w:rsid w:val="00506E40"/>
    <w:rsid w:val="005510C8"/>
    <w:rsid w:val="005512F9"/>
    <w:rsid w:val="00553BC6"/>
    <w:rsid w:val="005604A4"/>
    <w:rsid w:val="00562333"/>
    <w:rsid w:val="0056425A"/>
    <w:rsid w:val="00565A1A"/>
    <w:rsid w:val="00572BCF"/>
    <w:rsid w:val="00584A32"/>
    <w:rsid w:val="00586AFC"/>
    <w:rsid w:val="00586C27"/>
    <w:rsid w:val="00586D49"/>
    <w:rsid w:val="0059342D"/>
    <w:rsid w:val="005937DC"/>
    <w:rsid w:val="005956F4"/>
    <w:rsid w:val="005A141C"/>
    <w:rsid w:val="005A1D73"/>
    <w:rsid w:val="005A69EF"/>
    <w:rsid w:val="005B08FB"/>
    <w:rsid w:val="005B4F2F"/>
    <w:rsid w:val="005C2356"/>
    <w:rsid w:val="005D7423"/>
    <w:rsid w:val="005E3FD0"/>
    <w:rsid w:val="005E766F"/>
    <w:rsid w:val="005F0FFB"/>
    <w:rsid w:val="005F5FE8"/>
    <w:rsid w:val="00612D84"/>
    <w:rsid w:val="006213C1"/>
    <w:rsid w:val="00622D40"/>
    <w:rsid w:val="00623A46"/>
    <w:rsid w:val="006300C2"/>
    <w:rsid w:val="006304E2"/>
    <w:rsid w:val="00642F5A"/>
    <w:rsid w:val="00647AD4"/>
    <w:rsid w:val="00666374"/>
    <w:rsid w:val="00680388"/>
    <w:rsid w:val="006853AB"/>
    <w:rsid w:val="006908B5"/>
    <w:rsid w:val="006B3ECB"/>
    <w:rsid w:val="006D42CC"/>
    <w:rsid w:val="006E35AD"/>
    <w:rsid w:val="006F1F01"/>
    <w:rsid w:val="00711326"/>
    <w:rsid w:val="00712904"/>
    <w:rsid w:val="00721C33"/>
    <w:rsid w:val="00724F8B"/>
    <w:rsid w:val="007272A5"/>
    <w:rsid w:val="00731C95"/>
    <w:rsid w:val="007376BE"/>
    <w:rsid w:val="00744CFE"/>
    <w:rsid w:val="00745799"/>
    <w:rsid w:val="00746CAD"/>
    <w:rsid w:val="00754447"/>
    <w:rsid w:val="007749F8"/>
    <w:rsid w:val="0079065F"/>
    <w:rsid w:val="007C22B3"/>
    <w:rsid w:val="007C42D9"/>
    <w:rsid w:val="007D1BCF"/>
    <w:rsid w:val="007D6398"/>
    <w:rsid w:val="007F5035"/>
    <w:rsid w:val="007F606A"/>
    <w:rsid w:val="008072E3"/>
    <w:rsid w:val="00813861"/>
    <w:rsid w:val="008141A1"/>
    <w:rsid w:val="00815D6F"/>
    <w:rsid w:val="008209A9"/>
    <w:rsid w:val="00824E18"/>
    <w:rsid w:val="00837D21"/>
    <w:rsid w:val="0084404F"/>
    <w:rsid w:val="00850F14"/>
    <w:rsid w:val="008543AD"/>
    <w:rsid w:val="008546BF"/>
    <w:rsid w:val="00857C9E"/>
    <w:rsid w:val="00865E64"/>
    <w:rsid w:val="00871272"/>
    <w:rsid w:val="00882335"/>
    <w:rsid w:val="00884236"/>
    <w:rsid w:val="0088501F"/>
    <w:rsid w:val="008B6DE5"/>
    <w:rsid w:val="008D76A3"/>
    <w:rsid w:val="008E0600"/>
    <w:rsid w:val="008E466A"/>
    <w:rsid w:val="008E5DC1"/>
    <w:rsid w:val="008E6BDB"/>
    <w:rsid w:val="009046BE"/>
    <w:rsid w:val="00914878"/>
    <w:rsid w:val="00921751"/>
    <w:rsid w:val="009241BA"/>
    <w:rsid w:val="00926F58"/>
    <w:rsid w:val="009311B8"/>
    <w:rsid w:val="00935902"/>
    <w:rsid w:val="00941A6F"/>
    <w:rsid w:val="009447B5"/>
    <w:rsid w:val="009562E1"/>
    <w:rsid w:val="009601BF"/>
    <w:rsid w:val="00962417"/>
    <w:rsid w:val="00964825"/>
    <w:rsid w:val="00965C97"/>
    <w:rsid w:val="009811D6"/>
    <w:rsid w:val="00982633"/>
    <w:rsid w:val="009861F5"/>
    <w:rsid w:val="00996355"/>
    <w:rsid w:val="009A083E"/>
    <w:rsid w:val="009A2050"/>
    <w:rsid w:val="009A332D"/>
    <w:rsid w:val="009B01F8"/>
    <w:rsid w:val="009B418A"/>
    <w:rsid w:val="009C2C63"/>
    <w:rsid w:val="009D4CD4"/>
    <w:rsid w:val="009D6F99"/>
    <w:rsid w:val="009E2A84"/>
    <w:rsid w:val="009E4A27"/>
    <w:rsid w:val="009F1CE3"/>
    <w:rsid w:val="009F3376"/>
    <w:rsid w:val="009F5A11"/>
    <w:rsid w:val="00A02891"/>
    <w:rsid w:val="00A1415C"/>
    <w:rsid w:val="00A22B39"/>
    <w:rsid w:val="00A25625"/>
    <w:rsid w:val="00A325BD"/>
    <w:rsid w:val="00A44073"/>
    <w:rsid w:val="00A53081"/>
    <w:rsid w:val="00A55C7B"/>
    <w:rsid w:val="00A71D31"/>
    <w:rsid w:val="00A72ECB"/>
    <w:rsid w:val="00A81774"/>
    <w:rsid w:val="00A86E4E"/>
    <w:rsid w:val="00A909B3"/>
    <w:rsid w:val="00AA4595"/>
    <w:rsid w:val="00AA7966"/>
    <w:rsid w:val="00AA7C82"/>
    <w:rsid w:val="00AB44C6"/>
    <w:rsid w:val="00AC7904"/>
    <w:rsid w:val="00AD03C2"/>
    <w:rsid w:val="00AD0602"/>
    <w:rsid w:val="00AD3FFD"/>
    <w:rsid w:val="00AE32E4"/>
    <w:rsid w:val="00B07C9A"/>
    <w:rsid w:val="00B223B3"/>
    <w:rsid w:val="00B359BF"/>
    <w:rsid w:val="00B47D5B"/>
    <w:rsid w:val="00B509EF"/>
    <w:rsid w:val="00B57B13"/>
    <w:rsid w:val="00B71E2C"/>
    <w:rsid w:val="00B81BB9"/>
    <w:rsid w:val="00B85E40"/>
    <w:rsid w:val="00B9363F"/>
    <w:rsid w:val="00BA2A9B"/>
    <w:rsid w:val="00BB20EE"/>
    <w:rsid w:val="00BB4351"/>
    <w:rsid w:val="00BC2717"/>
    <w:rsid w:val="00C05351"/>
    <w:rsid w:val="00C15795"/>
    <w:rsid w:val="00C211C8"/>
    <w:rsid w:val="00C3214C"/>
    <w:rsid w:val="00C357E6"/>
    <w:rsid w:val="00C37078"/>
    <w:rsid w:val="00C555B9"/>
    <w:rsid w:val="00C60B20"/>
    <w:rsid w:val="00C66151"/>
    <w:rsid w:val="00C75121"/>
    <w:rsid w:val="00C819BA"/>
    <w:rsid w:val="00C871A3"/>
    <w:rsid w:val="00C9000E"/>
    <w:rsid w:val="00CA20D1"/>
    <w:rsid w:val="00CA5555"/>
    <w:rsid w:val="00CB3C89"/>
    <w:rsid w:val="00CB5994"/>
    <w:rsid w:val="00CC67D4"/>
    <w:rsid w:val="00CD4BBD"/>
    <w:rsid w:val="00CE4539"/>
    <w:rsid w:val="00CE54BC"/>
    <w:rsid w:val="00CF576A"/>
    <w:rsid w:val="00CF72E3"/>
    <w:rsid w:val="00CF73AB"/>
    <w:rsid w:val="00D00537"/>
    <w:rsid w:val="00D24555"/>
    <w:rsid w:val="00D264B0"/>
    <w:rsid w:val="00D32951"/>
    <w:rsid w:val="00D36301"/>
    <w:rsid w:val="00D36CBE"/>
    <w:rsid w:val="00D4568B"/>
    <w:rsid w:val="00D53B9F"/>
    <w:rsid w:val="00D54325"/>
    <w:rsid w:val="00D72454"/>
    <w:rsid w:val="00D771C3"/>
    <w:rsid w:val="00D868C9"/>
    <w:rsid w:val="00D94093"/>
    <w:rsid w:val="00D96922"/>
    <w:rsid w:val="00DA44AC"/>
    <w:rsid w:val="00DA663A"/>
    <w:rsid w:val="00DC61D6"/>
    <w:rsid w:val="00DC745A"/>
    <w:rsid w:val="00DD2991"/>
    <w:rsid w:val="00DE590D"/>
    <w:rsid w:val="00DF1218"/>
    <w:rsid w:val="00E0749B"/>
    <w:rsid w:val="00E078DE"/>
    <w:rsid w:val="00E150FB"/>
    <w:rsid w:val="00E2400A"/>
    <w:rsid w:val="00E247AC"/>
    <w:rsid w:val="00E2513C"/>
    <w:rsid w:val="00E348EB"/>
    <w:rsid w:val="00E4669F"/>
    <w:rsid w:val="00E752A0"/>
    <w:rsid w:val="00E811CE"/>
    <w:rsid w:val="00E9159B"/>
    <w:rsid w:val="00E93975"/>
    <w:rsid w:val="00EA37AC"/>
    <w:rsid w:val="00EB24EC"/>
    <w:rsid w:val="00EB299A"/>
    <w:rsid w:val="00EB3083"/>
    <w:rsid w:val="00EC1699"/>
    <w:rsid w:val="00EE45B7"/>
    <w:rsid w:val="00EE66C2"/>
    <w:rsid w:val="00EF015D"/>
    <w:rsid w:val="00EF3632"/>
    <w:rsid w:val="00EF6165"/>
    <w:rsid w:val="00F1676B"/>
    <w:rsid w:val="00F16889"/>
    <w:rsid w:val="00F4092E"/>
    <w:rsid w:val="00F6400A"/>
    <w:rsid w:val="00F65ECF"/>
    <w:rsid w:val="00F66C91"/>
    <w:rsid w:val="00F73213"/>
    <w:rsid w:val="00F92230"/>
    <w:rsid w:val="00F95333"/>
    <w:rsid w:val="00FD413F"/>
    <w:rsid w:val="00FE3174"/>
    <w:rsid w:val="00FF706B"/>
    <w:rsid w:val="09697100"/>
    <w:rsid w:val="135079C0"/>
    <w:rsid w:val="14997957"/>
    <w:rsid w:val="2142329E"/>
    <w:rsid w:val="219D5F36"/>
    <w:rsid w:val="24BE0FD7"/>
    <w:rsid w:val="25425E78"/>
    <w:rsid w:val="27A25897"/>
    <w:rsid w:val="2E2B1F4D"/>
    <w:rsid w:val="3C895F3D"/>
    <w:rsid w:val="3FF016A6"/>
    <w:rsid w:val="458E64AD"/>
    <w:rsid w:val="4C8E5DCD"/>
    <w:rsid w:val="5264613C"/>
    <w:rsid w:val="5DF20031"/>
    <w:rsid w:val="5ECB6B5B"/>
    <w:rsid w:val="64087C2C"/>
    <w:rsid w:val="64B8674B"/>
    <w:rsid w:val="68A27A81"/>
    <w:rsid w:val="70F95EE6"/>
    <w:rsid w:val="74A33469"/>
    <w:rsid w:val="7BD9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99"/>
    <w:pPr>
      <w:jc w:val="left"/>
    </w:pPr>
  </w:style>
  <w:style w:type="paragraph" w:styleId="6">
    <w:name w:val="Date"/>
    <w:basedOn w:val="1"/>
    <w:next w:val="1"/>
    <w:link w:val="24"/>
    <w:unhideWhenUsed/>
    <w:uiPriority w:val="99"/>
    <w:pPr>
      <w:ind w:left="100" w:leftChars="2500"/>
    </w:pPr>
  </w:style>
  <w:style w:type="paragraph" w:styleId="7">
    <w:name w:val="Balloon Text"/>
    <w:basedOn w:val="1"/>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rPr>
      <w:sz w:val="24"/>
    </w:rPr>
  </w:style>
  <w:style w:type="paragraph" w:styleId="11">
    <w:name w:val="annotation subject"/>
    <w:basedOn w:val="5"/>
    <w:next w:val="5"/>
    <w:link w:val="26"/>
    <w:unhideWhenUsed/>
    <w:qFormat/>
    <w:uiPriority w:val="99"/>
    <w:rPr>
      <w:b/>
      <w:bCs/>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cs="Times New Roman"/>
    </w:rPr>
  </w:style>
  <w:style w:type="character" w:styleId="16">
    <w:name w:val="Emphasis"/>
    <w:basedOn w:val="14"/>
    <w:qFormat/>
    <w:uiPriority w:val="20"/>
    <w:rPr>
      <w:i/>
      <w:iCs/>
    </w:rPr>
  </w:style>
  <w:style w:type="character" w:styleId="17">
    <w:name w:val="annotation reference"/>
    <w:basedOn w:val="14"/>
    <w:unhideWhenUsed/>
    <w:qFormat/>
    <w:uiPriority w:val="99"/>
    <w:rPr>
      <w:sz w:val="21"/>
      <w:szCs w:val="21"/>
    </w:rPr>
  </w:style>
  <w:style w:type="paragraph" w:customStyle="1" w:styleId="18">
    <w:name w:val="一级条标题"/>
    <w:next w:val="19"/>
    <w:qFormat/>
    <w:uiPriority w:val="0"/>
    <w:pPr>
      <w:outlineLvl w:val="2"/>
    </w:pPr>
    <w:rPr>
      <w:rFonts w:ascii="Times New Roman" w:hAnsi="Times New Roman" w:eastAsia="黑体" w:cs="Times New Roman"/>
      <w:sz w:val="21"/>
      <w:lang w:val="en-US" w:eastAsia="zh-CN" w:bidi="ar-SA"/>
    </w:rPr>
  </w:style>
  <w:style w:type="paragraph" w:customStyle="1" w:styleId="19">
    <w:name w:val="段"/>
    <w:link w:val="27"/>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20">
    <w:name w:val="附录二级无"/>
    <w:basedOn w:val="1"/>
    <w:qFormat/>
    <w:uiPriority w:val="0"/>
    <w:pPr>
      <w:widowControl/>
      <w:numPr>
        <w:ilvl w:val="3"/>
        <w:numId w:val="1"/>
      </w:numPr>
      <w:wordWrap w:val="0"/>
      <w:overflowPunct w:val="0"/>
      <w:autoSpaceDE w:val="0"/>
      <w:autoSpaceDN w:val="0"/>
      <w:textAlignment w:val="baseline"/>
      <w:outlineLvl w:val="3"/>
    </w:pPr>
    <w:rPr>
      <w:rFonts w:ascii="宋体"/>
      <w:kern w:val="21"/>
      <w:szCs w:val="21"/>
    </w:rPr>
  </w:style>
  <w:style w:type="paragraph" w:customStyle="1" w:styleId="21">
    <w:name w:val="附录章标题"/>
    <w:next w:val="19"/>
    <w:qFormat/>
    <w:uiPriority w:val="0"/>
    <w:pPr>
      <w:numPr>
        <w:ilvl w:val="1"/>
        <w:numId w:val="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2">
    <w:name w:val="附录标识"/>
    <w:basedOn w:val="1"/>
    <w:next w:val="19"/>
    <w:qFormat/>
    <w:uiPriority w:val="0"/>
    <w:pPr>
      <w:keepNext/>
      <w:widowControl/>
      <w:numPr>
        <w:ilvl w:val="0"/>
        <w:numId w:val="1"/>
      </w:numPr>
      <w:shd w:val="clear" w:color="FFFFFF" w:fill="FFFFFF"/>
      <w:tabs>
        <w:tab w:val="left" w:pos="360"/>
        <w:tab w:val="left" w:pos="6405"/>
      </w:tabs>
      <w:spacing w:before="640" w:after="280"/>
      <w:ind w:left="284"/>
      <w:jc w:val="center"/>
      <w:outlineLvl w:val="0"/>
    </w:pPr>
    <w:rPr>
      <w:rFonts w:ascii="黑体" w:eastAsia="黑体"/>
      <w:kern w:val="0"/>
      <w:szCs w:val="20"/>
    </w:rPr>
  </w:style>
  <w:style w:type="character" w:customStyle="1" w:styleId="23">
    <w:name w:val="占位符文本1"/>
    <w:basedOn w:val="14"/>
    <w:uiPriority w:val="0"/>
    <w:rPr>
      <w:color w:val="808080"/>
    </w:rPr>
  </w:style>
  <w:style w:type="character" w:customStyle="1" w:styleId="24">
    <w:name w:val="日期 Char"/>
    <w:basedOn w:val="14"/>
    <w:link w:val="6"/>
    <w:semiHidden/>
    <w:qFormat/>
    <w:uiPriority w:val="99"/>
    <w:rPr>
      <w:kern w:val="2"/>
      <w:sz w:val="21"/>
      <w:szCs w:val="24"/>
    </w:rPr>
  </w:style>
  <w:style w:type="character" w:customStyle="1" w:styleId="25">
    <w:name w:val="批注文字 Char"/>
    <w:basedOn w:val="14"/>
    <w:link w:val="5"/>
    <w:semiHidden/>
    <w:qFormat/>
    <w:uiPriority w:val="99"/>
    <w:rPr>
      <w:kern w:val="2"/>
      <w:sz w:val="21"/>
      <w:szCs w:val="24"/>
    </w:rPr>
  </w:style>
  <w:style w:type="character" w:customStyle="1" w:styleId="26">
    <w:name w:val="批注主题 Char"/>
    <w:basedOn w:val="25"/>
    <w:link w:val="11"/>
    <w:semiHidden/>
    <w:uiPriority w:val="99"/>
    <w:rPr>
      <w:b/>
      <w:bCs/>
      <w:kern w:val="2"/>
      <w:sz w:val="21"/>
      <w:szCs w:val="24"/>
    </w:rPr>
  </w:style>
  <w:style w:type="character" w:customStyle="1" w:styleId="27">
    <w:name w:val="段 Char"/>
    <w:link w:val="19"/>
    <w:qFormat/>
    <w:uiPriority w:val="0"/>
    <w:rPr>
      <w:rFonts w:ascii="宋体"/>
      <w:kern w:val="2"/>
      <w:sz w:val="21"/>
      <w:szCs w:val="22"/>
    </w:rPr>
  </w:style>
  <w:style w:type="paragraph" w:customStyle="1" w:styleId="28">
    <w:name w:val="二级条标题"/>
    <w:basedOn w:val="18"/>
    <w:next w:val="19"/>
    <w:qFormat/>
    <w:uiPriority w:val="0"/>
    <w:pPr>
      <w:outlineLvl w:val="3"/>
    </w:pPr>
  </w:style>
  <w:style w:type="character" w:customStyle="1" w:styleId="29">
    <w:name w:val="页脚 Char"/>
    <w:basedOn w:val="14"/>
    <w:link w:val="8"/>
    <w:qFormat/>
    <w:uiPriority w:val="99"/>
    <w:rPr>
      <w:kern w:val="2"/>
      <w:sz w:val="18"/>
      <w:szCs w:val="18"/>
    </w:rPr>
  </w:style>
  <w:style w:type="paragraph" w:customStyle="1" w:styleId="3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6AE07-F325-4DAD-9959-FF53B30EF62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462</Words>
  <Characters>2640</Characters>
  <Lines>22</Lines>
  <Paragraphs>6</Paragraphs>
  <TotalTime>0</TotalTime>
  <ScaleCrop>false</ScaleCrop>
  <LinksUpToDate>false</LinksUpToDate>
  <CharactersWithSpaces>3096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2021-11-26T23:30:00Z</dcterms:created>
  <dc:creator>〖预感〗</dc:creator>
  <cp:lastModifiedBy>梁</cp:lastModifiedBy>
  <cp:lastPrinted>2021-12-03T02:41:00Z</cp:lastPrinted>
  <dcterms:modified xsi:type="dcterms:W3CDTF">2022-01-18T02:20:39Z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E779C45620DA4079A8C6511E22F17365</vt:lpwstr>
  </property>
</Properties>
</file>