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360" w:lineRule="auto"/>
        <w:jc w:val="center"/>
        <w:rPr>
          <w:rFonts w:ascii="宋体" w:hAnsi="宋体"/>
          <w:b/>
          <w:color w:val="000000"/>
          <w:sz w:val="36"/>
          <w:szCs w:val="36"/>
        </w:rPr>
      </w:pPr>
      <w:r>
        <w:rPr>
          <w:rFonts w:hint="eastAsia" w:ascii="宋体" w:hAnsi="宋体"/>
          <w:b/>
          <w:color w:val="000000"/>
          <w:sz w:val="36"/>
          <w:szCs w:val="36"/>
        </w:rPr>
        <w:t>《蚝原汁》国家团体标准编制说明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9" w:hRule="atLeast"/>
        </w:trPr>
        <w:tc>
          <w:tcPr>
            <w:tcW w:w="8946" w:type="dxa"/>
          </w:tcPr>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任务来源及起草单位</w:t>
            </w:r>
          </w:p>
          <w:p>
            <w:pPr>
              <w:spacing w:line="360" w:lineRule="auto"/>
              <w:ind w:firstLine="420" w:firstLineChars="200"/>
              <w:rPr>
                <w:rFonts w:ascii="仿宋_GB2312" w:eastAsia="仿宋_GB2312"/>
                <w:color w:val="000000"/>
                <w:szCs w:val="21"/>
              </w:rPr>
            </w:pPr>
            <w:r>
              <w:rPr>
                <w:rFonts w:hint="eastAsia" w:ascii="宋体" w:hAnsi="宋体"/>
                <w:szCs w:val="21"/>
              </w:rPr>
              <w:t>2021年11月，中国食品工业协会调味品专家委员会决定组织制订《蚝原汁》团体标准，并</w:t>
            </w:r>
            <w:r>
              <w:rPr>
                <w:rFonts w:hint="eastAsia" w:ascii="宋体" w:hAnsi="宋体"/>
                <w:szCs w:val="21"/>
                <w:lang w:val="en-US" w:eastAsia="zh-CN"/>
              </w:rPr>
              <w:t>组织有关企业成立标准起草小组，负责</w:t>
            </w:r>
            <w:r>
              <w:rPr>
                <w:rFonts w:hint="eastAsia" w:ascii="宋体" w:hAnsi="宋体"/>
                <w:szCs w:val="21"/>
              </w:rPr>
              <w:t>《蚝原汁》团体标准的研究制订工作。</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标准制订的目的和意义</w:t>
            </w:r>
          </w:p>
          <w:p>
            <w:pPr>
              <w:spacing w:beforeLines="50" w:afterLines="50" w:line="360" w:lineRule="auto"/>
              <w:ind w:firstLine="420" w:firstLineChars="200"/>
              <w:jc w:val="left"/>
              <w:rPr>
                <w:bCs/>
                <w:szCs w:val="21"/>
              </w:rPr>
            </w:pPr>
            <w:r>
              <w:rPr>
                <w:rFonts w:hint="eastAsia" w:ascii="宋体" w:hAnsi="宋体"/>
                <w:szCs w:val="21"/>
              </w:rPr>
              <w:t>蚝原汁：</w:t>
            </w:r>
            <w:r>
              <w:rPr>
                <w:rFonts w:hint="eastAsia"/>
                <w:bCs/>
                <w:szCs w:val="21"/>
              </w:rPr>
              <w:t>以新鲜或冰鲜牡蛎为主要原料经蒸、煮后或用新鲜或冰鲜牡蛎肉酶解后浓缩或不浓缩的汁液，添加食用盐等辅料，不得添加外源性谷氨酸及糖类物质制成的液体水产调味品</w:t>
            </w:r>
            <w:r>
              <w:rPr>
                <w:rFonts w:hint="eastAsia" w:ascii="宋体" w:hAnsi="宋体"/>
                <w:szCs w:val="21"/>
              </w:rPr>
              <w:t>。因为富含小分子肽和对人体健康有益的微量元素等，在广东、福建、浙江、山东以及港、澳、台等地区，也是人们非常喜爱的调味产品。同时，蚝原汁还是畅销市场的大宗蚝油产品的主体呈鲜原料。</w:t>
            </w:r>
          </w:p>
          <w:p>
            <w:pPr>
              <w:spacing w:line="360" w:lineRule="auto"/>
              <w:ind w:firstLine="420" w:firstLineChars="200"/>
              <w:rPr>
                <w:szCs w:val="21"/>
              </w:rPr>
            </w:pPr>
            <w:r>
              <w:rPr>
                <w:rFonts w:hint="eastAsia"/>
                <w:szCs w:val="21"/>
              </w:rPr>
              <w:t>蚝汁其特殊的风味特征和营养等而被广泛应用到调味品中，同时也是蚝油必不可少的主要原料。近年来随着消费者对食品营养健康和天然食品意识的不断提高，目前市场蚝油销量增加，使</w:t>
            </w:r>
            <w:bookmarkStart w:id="0" w:name="_Hlk87956560"/>
            <w:r>
              <w:rPr>
                <w:rFonts w:hint="eastAsia"/>
                <w:szCs w:val="21"/>
              </w:rPr>
              <w:t>蚝汁</w:t>
            </w:r>
            <w:bookmarkEnd w:id="0"/>
            <w:r>
              <w:rPr>
                <w:rFonts w:hint="eastAsia"/>
                <w:szCs w:val="21"/>
              </w:rPr>
              <w:t>的需求也逐年</w:t>
            </w:r>
            <w:bookmarkStart w:id="1" w:name="_Hlk87956295"/>
            <w:r>
              <w:rPr>
                <w:rFonts w:hint="eastAsia"/>
                <w:szCs w:val="21"/>
              </w:rPr>
              <w:t>增加</w:t>
            </w:r>
            <w:bookmarkEnd w:id="1"/>
            <w:r>
              <w:rPr>
                <w:rFonts w:hint="eastAsia"/>
                <w:szCs w:val="21"/>
              </w:rPr>
              <w:t>，特别利用天然海域养殖生蚝作为原料加工蚝汁，市场前景广阔。拟定在</w:t>
            </w:r>
            <w:r>
              <w:rPr>
                <w:szCs w:val="21"/>
              </w:rPr>
              <w:t>SB/T11191-2017</w:t>
            </w:r>
            <w:bookmarkStart w:id="2" w:name="_Hlk87956127"/>
            <w:r>
              <w:rPr>
                <w:szCs w:val="21"/>
              </w:rPr>
              <w:t>《蚝汁》</w:t>
            </w:r>
            <w:bookmarkEnd w:id="2"/>
            <w:r>
              <w:rPr>
                <w:szCs w:val="21"/>
              </w:rPr>
              <w:t>行业标准</w:t>
            </w:r>
            <w:r>
              <w:rPr>
                <w:rFonts w:hint="eastAsia"/>
                <w:szCs w:val="21"/>
              </w:rPr>
              <w:t>基础上，根据现《蚝汁》生产工艺和食品加工企业的要求。进行制定《</w:t>
            </w:r>
            <w:bookmarkStart w:id="3" w:name="_Hlk87956610"/>
            <w:r>
              <w:rPr>
                <w:rFonts w:hint="eastAsia"/>
                <w:szCs w:val="21"/>
              </w:rPr>
              <w:t>天然蚝汁</w:t>
            </w:r>
            <w:bookmarkEnd w:id="3"/>
            <w:r>
              <w:rPr>
                <w:rFonts w:hint="eastAsia"/>
                <w:szCs w:val="21"/>
              </w:rPr>
              <w:t>》的团体标准，</w:t>
            </w:r>
            <w:r>
              <w:rPr>
                <w:szCs w:val="21"/>
              </w:rPr>
              <w:t>对《蚝汁》质量提出更高要求和满足市场</w:t>
            </w:r>
            <w:r>
              <w:rPr>
                <w:rFonts w:hint="eastAsia"/>
                <w:szCs w:val="21"/>
              </w:rPr>
              <w:t>及我国食品生产企业</w:t>
            </w:r>
            <w:r>
              <w:rPr>
                <w:szCs w:val="21"/>
              </w:rPr>
              <w:t>的需求。</w:t>
            </w:r>
            <w:r>
              <w:rPr>
                <w:rFonts w:hint="eastAsia" w:ascii="宋体" w:hAnsi="宋体"/>
                <w:szCs w:val="21"/>
              </w:rPr>
              <w:t>为了推动蚝养殖产业的发展，整合和规范综合加工秩序，提升蚝产品质量和保证食品安全，在国家行业标准“蚝汁”的基础上，起草制订更加完善和升级版的“蚝原汁”国家团体标准成为必要。</w:t>
            </w:r>
          </w:p>
          <w:p>
            <w:pPr>
              <w:spacing w:line="360" w:lineRule="auto"/>
              <w:ind w:firstLine="420" w:firstLineChars="200"/>
              <w:rPr>
                <w:szCs w:val="21"/>
              </w:rPr>
            </w:pPr>
            <w:r>
              <w:rPr>
                <w:rFonts w:hint="eastAsia"/>
                <w:szCs w:val="21"/>
              </w:rPr>
              <w:t>本标准规定了蚝原汁的术语和定义、产品分类分级（</w:t>
            </w:r>
            <w:r>
              <w:rPr>
                <w:rFonts w:hint="eastAsia"/>
                <w:b/>
                <w:bCs/>
                <w:szCs w:val="21"/>
              </w:rPr>
              <w:t>增加了酶解蚝原汁的产品类型和产品分级</w:t>
            </w:r>
            <w:r>
              <w:rPr>
                <w:rFonts w:hint="eastAsia"/>
                <w:szCs w:val="21"/>
              </w:rPr>
              <w:t>）、技术要求、分析方法、检验规则和标志、包装、运输、贮存。</w:t>
            </w:r>
          </w:p>
          <w:p>
            <w:pPr>
              <w:spacing w:line="360" w:lineRule="auto"/>
              <w:ind w:firstLine="420" w:firstLineChars="200"/>
              <w:rPr>
                <w:color w:val="FF0000"/>
                <w:szCs w:val="21"/>
              </w:rPr>
            </w:pPr>
            <w:r>
              <w:rPr>
                <w:rFonts w:hint="eastAsia"/>
                <w:szCs w:val="21"/>
              </w:rPr>
              <w:t>本标准适用于蚝原汁的生产、检验与销售。</w:t>
            </w:r>
            <w:r>
              <w:rPr>
                <w:rFonts w:hint="eastAsia"/>
                <w:b/>
                <w:bCs/>
                <w:szCs w:val="21"/>
              </w:rPr>
              <w:t>增加了非蚝源性鲜味成分谷氨酸钠的限量指标和总糖含量指标，</w:t>
            </w:r>
            <w:r>
              <w:rPr>
                <w:rFonts w:hint="eastAsia"/>
                <w:szCs w:val="21"/>
              </w:rPr>
              <w:t>突出了原汁原味的蚝原汁属性。</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编制过程</w:t>
            </w:r>
          </w:p>
          <w:p>
            <w:pPr>
              <w:spacing w:line="360" w:lineRule="auto"/>
              <w:ind w:left="420"/>
              <w:rPr>
                <w:rFonts w:ascii="仿宋_GB2312" w:eastAsia="仿宋_GB2312"/>
                <w:color w:val="000000"/>
                <w:sz w:val="24"/>
                <w:szCs w:val="24"/>
              </w:rPr>
            </w:pPr>
            <w:r>
              <w:rPr>
                <w:rFonts w:hint="eastAsia" w:ascii="仿宋_GB2312" w:eastAsia="仿宋_GB2312"/>
                <w:b/>
                <w:bCs/>
                <w:color w:val="000000"/>
                <w:sz w:val="24"/>
                <w:szCs w:val="24"/>
              </w:rPr>
              <w:t>一、</w:t>
            </w:r>
            <w:r>
              <w:rPr>
                <w:rFonts w:hint="eastAsia" w:asciiTheme="minorEastAsia" w:hAnsiTheme="minorEastAsia" w:eastAsiaTheme="minorEastAsia"/>
                <w:color w:val="000000"/>
                <w:szCs w:val="21"/>
              </w:rPr>
              <w:t>2021年11月25日，经与各方商讨研究，</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组建成立了</w:t>
            </w:r>
            <w:r>
              <w:rPr>
                <w:rFonts w:hint="eastAsia" w:asciiTheme="minorEastAsia" w:hAnsiTheme="minorEastAsia" w:eastAsiaTheme="minorEastAsia"/>
                <w:szCs w:val="21"/>
              </w:rPr>
              <w:t>“蚝原汁</w:t>
            </w:r>
            <w:r>
              <w:rPr>
                <w:rFonts w:asciiTheme="minorEastAsia" w:hAnsiTheme="minorEastAsia" w:eastAsiaTheme="minorEastAsia"/>
                <w:szCs w:val="21"/>
              </w:rPr>
              <w:t>”</w:t>
            </w:r>
            <w:r>
              <w:rPr>
                <w:rFonts w:hint="eastAsia" w:asciiTheme="minorEastAsia" w:hAnsiTheme="minorEastAsia" w:eastAsiaTheme="minorEastAsia"/>
                <w:szCs w:val="21"/>
              </w:rPr>
              <w:t>团体标准起草小组。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bookmarkStart w:id="4" w:name="OLE_LINK9"/>
            <w:r>
              <w:rPr>
                <w:rFonts w:asciiTheme="minorEastAsia" w:hAnsiTheme="minorEastAsia" w:eastAsiaTheme="minorEastAsia"/>
                <w:szCs w:val="21"/>
              </w:rPr>
              <w:t>11月25日</w:t>
            </w:r>
            <w:bookmarkStart w:id="5" w:name="OLE_LINK31"/>
            <w:r>
              <w:rPr>
                <w:rFonts w:hint="eastAsia" w:asciiTheme="minorEastAsia" w:hAnsiTheme="minorEastAsia" w:eastAsiaTheme="minorEastAsia"/>
                <w:szCs w:val="21"/>
              </w:rPr>
              <w:t xml:space="preserve"> “蚝原汁</w:t>
            </w:r>
            <w:r>
              <w:rPr>
                <w:rFonts w:asciiTheme="minorEastAsia" w:hAnsiTheme="minorEastAsia" w:eastAsiaTheme="minorEastAsia"/>
                <w:szCs w:val="21"/>
              </w:rPr>
              <w:t>”</w:t>
            </w:r>
            <w:r>
              <w:rPr>
                <w:rFonts w:hint="eastAsia" w:asciiTheme="minorEastAsia" w:hAnsiTheme="minorEastAsia" w:eastAsiaTheme="minorEastAsia"/>
                <w:szCs w:val="21"/>
              </w:rPr>
              <w:t>国家团体标准起草小组首次会议。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起草小组对起草工作安排进行了分工</w:t>
            </w:r>
            <w:bookmarkEnd w:id="4"/>
            <w:bookmarkEnd w:id="5"/>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请专家对</w:t>
            </w:r>
            <w:r>
              <w:rPr>
                <w:rFonts w:hint="eastAsia" w:asciiTheme="minorEastAsia" w:hAnsiTheme="minorEastAsia" w:eastAsiaTheme="minorEastAsia"/>
                <w:szCs w:val="21"/>
              </w:rPr>
              <w:t>按照</w:t>
            </w:r>
            <w:r>
              <w:rPr>
                <w:rFonts w:asciiTheme="minorEastAsia" w:hAnsiTheme="minorEastAsia" w:eastAsiaTheme="minorEastAsia"/>
                <w:szCs w:val="21"/>
              </w:rPr>
              <w:t>GB/T1.1-2020《标准化工作导则,第1部分:标准化文件的结构和起草规则》的规定起草</w:t>
            </w:r>
            <w:bookmarkStart w:id="6" w:name="OLE_LINK12"/>
            <w:r>
              <w:rPr>
                <w:rFonts w:hint="eastAsia" w:asciiTheme="minorEastAsia" w:hAnsiTheme="minorEastAsia" w:eastAsiaTheme="minorEastAsia"/>
                <w:szCs w:val="21"/>
              </w:rPr>
              <w:t>《蚝原汁》</w:t>
            </w:r>
            <w:bookmarkEnd w:id="6"/>
            <w:bookmarkStart w:id="7" w:name="OLE_LINK17"/>
            <w:r>
              <w:rPr>
                <w:rFonts w:hint="eastAsia" w:asciiTheme="minorEastAsia" w:hAnsiTheme="minorEastAsia" w:eastAsiaTheme="minorEastAsia"/>
                <w:szCs w:val="21"/>
              </w:rPr>
              <w:t>国家团体标准</w:t>
            </w:r>
            <w:bookmarkEnd w:id="7"/>
            <w:r>
              <w:rPr>
                <w:rFonts w:hint="eastAsia" w:asciiTheme="minorEastAsia" w:hAnsiTheme="minorEastAsia" w:eastAsiaTheme="minorEastAsia"/>
                <w:szCs w:val="21"/>
              </w:rPr>
              <w:t>进行辅导讲解。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11月25日</w:t>
            </w:r>
            <w:r>
              <w:rPr>
                <w:rFonts w:hint="eastAsia" w:asciiTheme="minorEastAsia" w:hAnsiTheme="minorEastAsia" w:eastAsiaTheme="minorEastAsia"/>
                <w:szCs w:val="21"/>
              </w:rPr>
              <w:t>下</w:t>
            </w:r>
            <w:r>
              <w:rPr>
                <w:rFonts w:asciiTheme="minorEastAsia" w:hAnsiTheme="minorEastAsia" w:eastAsiaTheme="minorEastAsia"/>
                <w:szCs w:val="21"/>
              </w:rPr>
              <w:t>午</w:t>
            </w:r>
            <w:bookmarkStart w:id="8" w:name="OLE_LINK25"/>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请专家</w:t>
            </w:r>
            <w:r>
              <w:rPr>
                <w:rFonts w:hint="eastAsia" w:asciiTheme="minorEastAsia" w:hAnsiTheme="minorEastAsia" w:eastAsiaTheme="minorEastAsia"/>
                <w:szCs w:val="21"/>
              </w:rPr>
              <w:t>向标准起草组成员对《蚝原汁》标准</w:t>
            </w:r>
            <w:bookmarkEnd w:id="8"/>
            <w:r>
              <w:rPr>
                <w:rFonts w:hint="eastAsia" w:asciiTheme="minorEastAsia" w:hAnsiTheme="minorEastAsia" w:eastAsiaTheme="minorEastAsia"/>
                <w:szCs w:val="21"/>
              </w:rPr>
              <w:t>产品的</w:t>
            </w:r>
            <w:r>
              <w:rPr>
                <w:rFonts w:asciiTheme="minorEastAsia" w:hAnsiTheme="minorEastAsia" w:eastAsiaTheme="minorEastAsia"/>
                <w:szCs w:val="21"/>
              </w:rPr>
              <w:t>范围</w:t>
            </w:r>
            <w:r>
              <w:rPr>
                <w:rFonts w:hint="eastAsia" w:asciiTheme="minorEastAsia" w:hAnsiTheme="minorEastAsia" w:eastAsiaTheme="minorEastAsia"/>
                <w:szCs w:val="21"/>
              </w:rPr>
              <w:t>、</w:t>
            </w:r>
            <w:r>
              <w:rPr>
                <w:rFonts w:asciiTheme="minorEastAsia" w:hAnsiTheme="minorEastAsia" w:eastAsiaTheme="minorEastAsia"/>
                <w:szCs w:val="21"/>
              </w:rPr>
              <w:t>规范性引用文件</w:t>
            </w:r>
            <w:r>
              <w:rPr>
                <w:rFonts w:hint="eastAsia" w:asciiTheme="minorEastAsia" w:hAnsiTheme="minorEastAsia" w:eastAsiaTheme="minorEastAsia"/>
                <w:szCs w:val="21"/>
              </w:rPr>
              <w:t>、术语和定义、产品工艺分类、产品等级设定、技术要求、生产加工过程的卫生要求、试验方法、检验规则和标签、包装、运输、贮存等标准化文件的结构起草进行指导。</w:t>
            </w:r>
            <w:r>
              <w:rPr>
                <w:rFonts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bookmarkStart w:id="9" w:name="OLE_LINK14"/>
            <w:r>
              <w:rPr>
                <w:rFonts w:asciiTheme="minorEastAsia" w:hAnsiTheme="minorEastAsia" w:eastAsiaTheme="minorEastAsia"/>
                <w:szCs w:val="21"/>
              </w:rPr>
              <w:t>11月26日上午</w:t>
            </w:r>
            <w:bookmarkEnd w:id="9"/>
            <w:bookmarkStart w:id="10" w:name="OLE_LINK15"/>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有关专家对</w:t>
            </w:r>
            <w:r>
              <w:rPr>
                <w:rFonts w:hint="eastAsia" w:asciiTheme="minorEastAsia" w:hAnsiTheme="minorEastAsia" w:eastAsiaTheme="minorEastAsia"/>
                <w:szCs w:val="21"/>
              </w:rPr>
              <w:t>标准起草组成员对《蚝原汁》标准</w:t>
            </w:r>
            <w:bookmarkEnd w:id="10"/>
            <w:bookmarkStart w:id="11" w:name="OLE_LINK26"/>
            <w:r>
              <w:rPr>
                <w:rFonts w:hint="eastAsia" w:asciiTheme="minorEastAsia" w:hAnsiTheme="minorEastAsia" w:eastAsiaTheme="minorEastAsia"/>
                <w:szCs w:val="21"/>
              </w:rPr>
              <w:t>编制说明</w:t>
            </w:r>
            <w:bookmarkEnd w:id="11"/>
            <w:r>
              <w:rPr>
                <w:rFonts w:hint="eastAsia" w:asciiTheme="minorEastAsia" w:hAnsiTheme="minorEastAsia" w:eastAsiaTheme="minorEastAsia"/>
                <w:szCs w:val="21"/>
              </w:rPr>
              <w:t>的编写要求进行讲解。</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11月26日上午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请专家</w:t>
            </w:r>
            <w:r>
              <w:rPr>
                <w:rFonts w:hint="eastAsia" w:asciiTheme="minorEastAsia" w:hAnsiTheme="minorEastAsia" w:eastAsiaTheme="minorEastAsia"/>
                <w:kern w:val="0"/>
                <w:szCs w:val="21"/>
              </w:rPr>
              <w:t>向公司标准起草组成员对《蚝原汁》标准文件中技术要求的《蚝原汁》感官</w:t>
            </w:r>
            <w:bookmarkStart w:id="12" w:name="OLE_LINK16"/>
            <w:r>
              <w:rPr>
                <w:rFonts w:hint="eastAsia" w:asciiTheme="minorEastAsia" w:hAnsiTheme="minorEastAsia" w:eastAsiaTheme="minorEastAsia"/>
                <w:kern w:val="0"/>
                <w:szCs w:val="21"/>
              </w:rPr>
              <w:t>指标要求</w:t>
            </w:r>
            <w:bookmarkEnd w:id="12"/>
            <w:r>
              <w:rPr>
                <w:rFonts w:hint="eastAsia" w:asciiTheme="minorEastAsia" w:hAnsiTheme="minorEastAsia" w:eastAsiaTheme="minorEastAsia"/>
                <w:kern w:val="0"/>
                <w:szCs w:val="21"/>
              </w:rPr>
              <w:t>的描述，</w:t>
            </w:r>
            <w:bookmarkStart w:id="13" w:name="OLE_LINK18"/>
            <w:r>
              <w:rPr>
                <w:rFonts w:hint="eastAsia" w:asciiTheme="minorEastAsia" w:hAnsiTheme="minorEastAsia" w:eastAsiaTheme="minorEastAsia"/>
                <w:kern w:val="0"/>
                <w:szCs w:val="21"/>
              </w:rPr>
              <w:t>理化指标要求的参数</w:t>
            </w:r>
            <w:bookmarkEnd w:id="13"/>
            <w:r>
              <w:rPr>
                <w:rFonts w:hint="eastAsia" w:asciiTheme="minorEastAsia" w:hAnsiTheme="minorEastAsia" w:eastAsiaTheme="minorEastAsia"/>
                <w:kern w:val="0"/>
                <w:szCs w:val="21"/>
              </w:rPr>
              <w:t>，如何样品采集、理化指标参数的实验数据进行讲解。首次会议结束并分头工作。</w:t>
            </w:r>
          </w:p>
          <w:p>
            <w:pPr>
              <w:spacing w:line="360" w:lineRule="auto"/>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kern w:val="0"/>
                <w:szCs w:val="21"/>
              </w:rPr>
              <w:t>二、</w:t>
            </w:r>
            <w:r>
              <w:rPr>
                <w:rFonts w:hint="eastAsia" w:ascii="宋体" w:hAnsi="宋体"/>
                <w:szCs w:val="21"/>
              </w:rPr>
              <w:t>2021年11月-2021年12月，起草小组完成行业调研、样品的收集、检测及分析，完成</w:t>
            </w:r>
            <w:r>
              <w:rPr>
                <w:rFonts w:hint="eastAsia" w:asciiTheme="minorEastAsia" w:hAnsiTheme="minorEastAsia" w:eastAsiaTheme="minorEastAsia"/>
                <w:szCs w:val="21"/>
              </w:rPr>
              <w:t>标准草案稿及编制说明的编写。</w:t>
            </w:r>
            <w:r>
              <w:rPr>
                <w:rFonts w:hint="eastAsia" w:asciiTheme="minorEastAsia" w:hAnsiTheme="minorEastAsia" w:eastAsiaTheme="minorEastAsia"/>
                <w:color w:val="000000"/>
                <w:szCs w:val="21"/>
              </w:rPr>
              <w:t>蚝原汁团体标准基本框架草拟完成并提交小组讨论。</w:t>
            </w:r>
          </w:p>
          <w:p>
            <w:pPr>
              <w:numPr>
                <w:ilvl w:val="0"/>
                <w:numId w:val="1"/>
              </w:num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标准制订的基本原则和依据</w:t>
            </w:r>
          </w:p>
          <w:p>
            <w:pPr>
              <w:numPr>
                <w:ilvl w:val="0"/>
                <w:numId w:val="2"/>
              </w:numPr>
              <w:spacing w:line="360" w:lineRule="auto"/>
              <w:rPr>
                <w:rFonts w:ascii="仿宋_GB2312" w:eastAsia="仿宋_GB2312"/>
                <w:color w:val="000000"/>
                <w:sz w:val="24"/>
                <w:szCs w:val="24"/>
              </w:rPr>
            </w:pPr>
            <w:r>
              <w:rPr>
                <w:rFonts w:hint="eastAsia" w:ascii="仿宋_GB2312" w:eastAsia="仿宋_GB2312"/>
                <w:color w:val="000000"/>
                <w:sz w:val="24"/>
                <w:szCs w:val="24"/>
              </w:rPr>
              <w:t>国内依据：</w:t>
            </w:r>
          </w:p>
          <w:p>
            <w:pPr>
              <w:spacing w:line="360"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本</w:t>
            </w:r>
            <w:r>
              <w:rPr>
                <w:rFonts w:hint="eastAsia" w:asciiTheme="minorEastAsia" w:hAnsiTheme="minorEastAsia" w:eastAsiaTheme="minorEastAsia"/>
                <w:bCs/>
                <w:szCs w:val="21"/>
              </w:rPr>
              <w:t>标准</w:t>
            </w:r>
            <w:r>
              <w:rPr>
                <w:rFonts w:asciiTheme="minorEastAsia" w:hAnsiTheme="minorEastAsia" w:eastAsiaTheme="minorEastAsia"/>
                <w:bCs/>
                <w:szCs w:val="21"/>
              </w:rPr>
              <w:t>按照GB/T 1.1</w:t>
            </w:r>
            <w:r>
              <w:rPr>
                <w:rFonts w:hint="eastAsia" w:asciiTheme="minorEastAsia" w:hAnsiTheme="minorEastAsia" w:eastAsiaTheme="minorEastAsia"/>
                <w:bCs/>
                <w:szCs w:val="21"/>
              </w:rPr>
              <w:t>—</w:t>
            </w:r>
            <w:r>
              <w:rPr>
                <w:rFonts w:asciiTheme="minorEastAsia" w:hAnsiTheme="minorEastAsia" w:eastAsiaTheme="minorEastAsia"/>
                <w:bCs/>
                <w:szCs w:val="21"/>
              </w:rPr>
              <w:t>2020</w:t>
            </w:r>
            <w:r>
              <w:rPr>
                <w:rFonts w:hint="eastAsia" w:asciiTheme="minorEastAsia" w:hAnsiTheme="minorEastAsia" w:eastAsiaTheme="minorEastAsia"/>
                <w:bCs/>
                <w:szCs w:val="21"/>
              </w:rPr>
              <w:t>《标准化工作导则</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第</w:t>
            </w:r>
            <w:r>
              <w:rPr>
                <w:rFonts w:asciiTheme="minorEastAsia" w:hAnsiTheme="minorEastAsia" w:eastAsiaTheme="minorEastAsia"/>
                <w:bCs/>
                <w:szCs w:val="21"/>
              </w:rPr>
              <w:t>1</w:t>
            </w:r>
            <w:r>
              <w:rPr>
                <w:rFonts w:hint="eastAsia" w:asciiTheme="minorEastAsia" w:hAnsiTheme="minorEastAsia" w:eastAsiaTheme="minorEastAsia"/>
                <w:bCs/>
                <w:szCs w:val="21"/>
              </w:rPr>
              <w:t>部分：标准化文件的结构和起草规则》</w:t>
            </w:r>
            <w:r>
              <w:rPr>
                <w:rFonts w:asciiTheme="minorEastAsia" w:hAnsiTheme="minorEastAsia" w:eastAsiaTheme="minorEastAsia"/>
              </w:rPr>
              <w:t>给出的规则</w:t>
            </w:r>
            <w:r>
              <w:rPr>
                <w:rFonts w:asciiTheme="minorEastAsia" w:hAnsiTheme="minorEastAsia" w:eastAsiaTheme="minorEastAsia"/>
                <w:bCs/>
                <w:szCs w:val="21"/>
              </w:rPr>
              <w:t>起草。</w:t>
            </w:r>
            <w:r>
              <w:rPr>
                <w:rFonts w:hint="eastAsia" w:asciiTheme="minorEastAsia" w:hAnsiTheme="minorEastAsia" w:eastAsiaTheme="minorEastAsia"/>
                <w:color w:val="000000"/>
                <w:szCs w:val="21"/>
              </w:rPr>
              <w:t>并</w:t>
            </w:r>
            <w:r>
              <w:rPr>
                <w:rFonts w:hint="eastAsia" w:asciiTheme="minorEastAsia" w:hAnsiTheme="minorEastAsia" w:eastAsiaTheme="minorEastAsia"/>
                <w:szCs w:val="21"/>
              </w:rPr>
              <w:t>结合产品的实际特点，参照相关国家标准要求制定。</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（二）行业调研及样品收集、检测情况</w:t>
            </w:r>
          </w:p>
          <w:p>
            <w:pPr>
              <w:spacing w:line="360" w:lineRule="auto"/>
              <w:ind w:firstLine="420" w:firstLineChars="200"/>
              <w:rPr>
                <w:rFonts w:ascii="宋体" w:hAnsi="宋体"/>
                <w:szCs w:val="21"/>
              </w:rPr>
            </w:pPr>
            <w:r>
              <w:rPr>
                <w:rFonts w:hint="eastAsia" w:ascii="宋体" w:hAnsi="宋体"/>
                <w:szCs w:val="21"/>
              </w:rPr>
              <w:t>根据对行业的调研，起草小组对目前市面上以鲜蚝为原料制作的名称为“蚝汁”的产品以及我国广东，福建，山东等地区主要品牌的蚝汁产品进行了收集，主要情况如下：</w:t>
            </w:r>
          </w:p>
          <w:p>
            <w:pPr>
              <w:spacing w:line="360" w:lineRule="auto"/>
              <w:jc w:val="center"/>
              <w:rPr>
                <w:rFonts w:ascii="宋体" w:hAnsi="宋体"/>
                <w:b/>
                <w:szCs w:val="21"/>
              </w:rPr>
            </w:pPr>
            <w:r>
              <w:rPr>
                <w:rFonts w:hint="eastAsia" w:ascii="宋体" w:hAnsi="宋体"/>
                <w:b/>
                <w:szCs w:val="21"/>
              </w:rPr>
              <w:t>表1 收集的蚝汁样品分布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00" w:type="dxa"/>
                  <w:shd w:val="clear" w:color="auto" w:fill="auto"/>
                </w:tcPr>
                <w:p>
                  <w:pPr>
                    <w:spacing w:line="360" w:lineRule="auto"/>
                    <w:jc w:val="center"/>
                    <w:rPr>
                      <w:rFonts w:ascii="宋体" w:hAnsi="宋体"/>
                      <w:szCs w:val="21"/>
                    </w:rPr>
                  </w:pPr>
                  <w:r>
                    <w:rPr>
                      <w:rFonts w:hint="eastAsia" w:ascii="宋体" w:hAnsi="宋体"/>
                      <w:szCs w:val="21"/>
                    </w:rPr>
                    <w:t>产地</w:t>
                  </w:r>
                </w:p>
              </w:tc>
              <w:tc>
                <w:tcPr>
                  <w:tcW w:w="5262" w:type="dxa"/>
                  <w:shd w:val="clear" w:color="auto" w:fill="auto"/>
                </w:tcPr>
                <w:p>
                  <w:pPr>
                    <w:spacing w:line="360" w:lineRule="auto"/>
                    <w:jc w:val="center"/>
                    <w:rPr>
                      <w:rFonts w:ascii="宋体" w:hAnsi="宋体"/>
                      <w:szCs w:val="21"/>
                    </w:rPr>
                  </w:pPr>
                  <w:r>
                    <w:rPr>
                      <w:rFonts w:hint="eastAsia" w:ascii="宋体" w:hAnsi="宋体"/>
                      <w:szCs w:val="21"/>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00" w:type="dxa"/>
                  <w:shd w:val="clear" w:color="auto" w:fill="auto"/>
                </w:tcPr>
                <w:p>
                  <w:pPr>
                    <w:spacing w:line="360" w:lineRule="auto"/>
                    <w:jc w:val="center"/>
                    <w:rPr>
                      <w:rFonts w:ascii="宋体" w:hAnsi="宋体"/>
                      <w:szCs w:val="21"/>
                    </w:rPr>
                  </w:pPr>
                  <w:r>
                    <w:rPr>
                      <w:rFonts w:hint="eastAsia" w:ascii="宋体" w:hAnsi="宋体"/>
                      <w:szCs w:val="21"/>
                    </w:rPr>
                    <w:t>福建省</w:t>
                  </w:r>
                </w:p>
              </w:tc>
              <w:tc>
                <w:tcPr>
                  <w:tcW w:w="5262" w:type="dxa"/>
                  <w:shd w:val="clear" w:color="auto" w:fill="auto"/>
                </w:tcPr>
                <w:p>
                  <w:pPr>
                    <w:spacing w:line="360" w:lineRule="auto"/>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00" w:type="dxa"/>
                  <w:shd w:val="clear" w:color="auto" w:fill="auto"/>
                </w:tcPr>
                <w:p>
                  <w:pPr>
                    <w:spacing w:line="360" w:lineRule="auto"/>
                    <w:jc w:val="center"/>
                    <w:rPr>
                      <w:rFonts w:ascii="宋体" w:hAnsi="宋体"/>
                      <w:szCs w:val="21"/>
                    </w:rPr>
                  </w:pPr>
                  <w:r>
                    <w:rPr>
                      <w:rFonts w:hint="eastAsia" w:ascii="宋体" w:hAnsi="宋体"/>
                      <w:szCs w:val="21"/>
                    </w:rPr>
                    <w:t>广东</w:t>
                  </w:r>
                  <w:r>
                    <w:rPr>
                      <w:rFonts w:ascii="宋体" w:hAnsi="宋体"/>
                      <w:szCs w:val="21"/>
                    </w:rPr>
                    <w:t>省</w:t>
                  </w:r>
                </w:p>
              </w:tc>
              <w:tc>
                <w:tcPr>
                  <w:tcW w:w="5262" w:type="dxa"/>
                  <w:shd w:val="clear" w:color="auto" w:fill="auto"/>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900" w:type="dxa"/>
                  <w:shd w:val="clear" w:color="auto" w:fill="auto"/>
                </w:tcPr>
                <w:p>
                  <w:pPr>
                    <w:spacing w:line="360" w:lineRule="auto"/>
                    <w:jc w:val="center"/>
                    <w:rPr>
                      <w:rFonts w:ascii="宋体" w:hAnsi="宋体"/>
                      <w:szCs w:val="21"/>
                    </w:rPr>
                  </w:pPr>
                  <w:r>
                    <w:rPr>
                      <w:rFonts w:hint="eastAsia" w:ascii="宋体" w:hAnsi="宋体"/>
                      <w:szCs w:val="21"/>
                    </w:rPr>
                    <w:t>山东</w:t>
                  </w:r>
                  <w:r>
                    <w:rPr>
                      <w:rFonts w:ascii="宋体" w:hAnsi="宋体"/>
                      <w:szCs w:val="21"/>
                    </w:rPr>
                    <w:t>省</w:t>
                  </w:r>
                </w:p>
              </w:tc>
              <w:tc>
                <w:tcPr>
                  <w:tcW w:w="5262" w:type="dxa"/>
                  <w:shd w:val="clear" w:color="auto" w:fill="auto"/>
                </w:tcPr>
                <w:p>
                  <w:pPr>
                    <w:spacing w:line="360" w:lineRule="auto"/>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3900" w:type="dxa"/>
                  <w:shd w:val="clear" w:color="auto" w:fill="auto"/>
                </w:tcPr>
                <w:p>
                  <w:pPr>
                    <w:spacing w:line="360" w:lineRule="auto"/>
                    <w:jc w:val="center"/>
                    <w:rPr>
                      <w:rFonts w:ascii="宋体" w:hAnsi="宋体"/>
                      <w:szCs w:val="21"/>
                    </w:rPr>
                  </w:pPr>
                  <w:r>
                    <w:rPr>
                      <w:rFonts w:hint="eastAsia" w:ascii="宋体" w:hAnsi="宋体"/>
                      <w:szCs w:val="21"/>
                    </w:rPr>
                    <w:t>浙江省</w:t>
                  </w:r>
                </w:p>
              </w:tc>
              <w:tc>
                <w:tcPr>
                  <w:tcW w:w="5262" w:type="dxa"/>
                  <w:shd w:val="clear" w:color="auto" w:fill="auto"/>
                </w:tcPr>
                <w:p>
                  <w:pPr>
                    <w:spacing w:line="360" w:lineRule="auto"/>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3900" w:type="dxa"/>
                  <w:shd w:val="clear" w:color="auto" w:fill="auto"/>
                </w:tcPr>
                <w:p>
                  <w:pPr>
                    <w:spacing w:line="360" w:lineRule="auto"/>
                    <w:jc w:val="center"/>
                    <w:rPr>
                      <w:rFonts w:ascii="宋体" w:hAnsi="宋体"/>
                      <w:szCs w:val="21"/>
                    </w:rPr>
                  </w:pPr>
                  <w:r>
                    <w:rPr>
                      <w:rFonts w:ascii="宋体" w:hAnsi="宋体"/>
                      <w:szCs w:val="21"/>
                    </w:rPr>
                    <w:t>广西省</w:t>
                  </w:r>
                </w:p>
              </w:tc>
              <w:tc>
                <w:tcPr>
                  <w:tcW w:w="5262" w:type="dxa"/>
                  <w:shd w:val="clear" w:color="auto" w:fill="auto"/>
                </w:tcPr>
                <w:p>
                  <w:pPr>
                    <w:spacing w:line="360" w:lineRule="auto"/>
                    <w:jc w:val="center"/>
                    <w:rPr>
                      <w:rFonts w:ascii="宋体" w:hAnsi="宋体"/>
                      <w:szCs w:val="21"/>
                    </w:rPr>
                  </w:pPr>
                  <w:r>
                    <w:rPr>
                      <w:rFonts w:hint="eastAsia" w:ascii="宋体" w:hAnsi="宋体"/>
                      <w:szCs w:val="21"/>
                    </w:rPr>
                    <w:t>3</w:t>
                  </w:r>
                </w:p>
              </w:tc>
            </w:tr>
          </w:tbl>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从上表可以看出，目前我国蚝汁产品在福建省、广东省、山东省、浙江省、广西省等地都有生产，但规模化生产企业不多。</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通过收集蚝汁样品，考察了解生产企业，并对样品检测后的指标来看，存在部分地方性企业或家庭作坊式生产的蚝汁产品，标签标识信息不够规范。所收集的样品执行标准各异，有执行</w:t>
            </w:r>
            <w:r>
              <w:rPr>
                <w:rFonts w:asciiTheme="minorEastAsia" w:hAnsiTheme="minorEastAsia" w:eastAsiaTheme="minorEastAsia"/>
                <w:szCs w:val="21"/>
              </w:rPr>
              <w:t>SB/T 11191—2017</w:t>
            </w:r>
            <w:r>
              <w:rPr>
                <w:rFonts w:hint="eastAsia" w:asciiTheme="minorEastAsia" w:hAnsiTheme="minorEastAsia" w:eastAsiaTheme="minorEastAsia"/>
                <w:szCs w:val="21"/>
              </w:rPr>
              <w:t>的，但大部分样品执行的是企业标准；配料构成也不同，但基本都是以鲜蚝，食盐为主要原料，添加食用色素，味精，食用香精等成分。</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在对样品进行检测和数据分析时，</w:t>
            </w:r>
            <w:r>
              <w:rPr>
                <w:rFonts w:hint="eastAsia" w:asciiTheme="minorEastAsia" w:hAnsiTheme="minorEastAsia" w:eastAsiaTheme="minorEastAsia"/>
                <w:szCs w:val="21"/>
                <w:lang w:val="en-US" w:eastAsia="zh-CN"/>
              </w:rPr>
              <w:t>起草小组</w:t>
            </w:r>
            <w:r>
              <w:rPr>
                <w:rFonts w:hint="eastAsia" w:asciiTheme="minorEastAsia" w:hAnsiTheme="minorEastAsia" w:eastAsiaTheme="minorEastAsia"/>
                <w:szCs w:val="21"/>
              </w:rPr>
              <w:t>发现福建、广东、山东、浙江和广西收集的9个样品焦糖色素含量过高，基本都是焦糖色素风味，不符合蚝汁的基本生产工艺及定义；还发现有少量产品“蚝原汁”含量很少，与“蚝原汁”的本质特征不符，所以有的样品不具备参考性，不作为本标准制订的参考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食品用酶及其应用技术的发展，为蚝汁的酶提取和品质的提升提供了条件。本次“蚝原汁”国家团体标准的起草，除了蒸煮蚝汁，还增加了酶解蚝原汁的标准内容。</w:t>
            </w:r>
            <w:r>
              <w:rPr>
                <w:rFonts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总之，依据传统蒸煮蚝汁原汁原味的本味原则，避非蚝源性成分的添加，保证蚝原汁产品的质量；并纳入现代酶解新技术产品的内容，起草“蚝原汁”国家团体标准。</w:t>
            </w:r>
            <w:r>
              <w:rPr>
                <w:rFonts w:asciiTheme="minorEastAsia" w:hAnsiTheme="minorEastAsia" w:eastAsiaTheme="minorEastAsia"/>
                <w:szCs w:val="21"/>
              </w:rPr>
              <w:t xml:space="preserve"> </w:t>
            </w:r>
          </w:p>
          <w:p>
            <w:pPr>
              <w:spacing w:line="360" w:lineRule="auto"/>
              <w:ind w:firstLine="480" w:firstLineChars="200"/>
              <w:rPr>
                <w:rFonts w:ascii="宋体" w:hAnsi="宋体"/>
                <w:sz w:val="24"/>
              </w:rPr>
            </w:pPr>
            <w:bookmarkStart w:id="15" w:name="_GoBack"/>
            <w:bookmarkEnd w:id="15"/>
            <w:r>
              <w:rPr>
                <w:rFonts w:hint="eastAsia" w:ascii="宋体" w:hAnsi="宋体"/>
                <w:sz w:val="24"/>
              </w:rPr>
              <w:t>（三）国内外相关标准情况</w:t>
            </w:r>
          </w:p>
          <w:p>
            <w:pPr>
              <w:spacing w:line="360" w:lineRule="auto"/>
              <w:ind w:firstLine="480" w:firstLineChars="200"/>
              <w:rPr>
                <w:rFonts w:ascii="仿宋" w:hAnsi="仿宋" w:eastAsia="仿宋"/>
                <w:color w:val="000000"/>
                <w:sz w:val="24"/>
                <w:szCs w:val="24"/>
              </w:rPr>
            </w:pPr>
            <w:r>
              <w:rPr>
                <w:rFonts w:hint="eastAsia" w:ascii="仿宋_GB2312" w:eastAsia="仿宋_GB2312"/>
                <w:color w:val="000000"/>
                <w:sz w:val="24"/>
                <w:szCs w:val="24"/>
              </w:rPr>
              <w:t>国内蚝汁国家行业标准</w:t>
            </w:r>
            <w:r>
              <w:rPr>
                <w:rFonts w:hint="eastAsia" w:ascii="仿宋" w:hAnsi="仿宋" w:eastAsia="仿宋"/>
                <w:color w:val="000000"/>
                <w:sz w:val="24"/>
                <w:szCs w:val="24"/>
              </w:rPr>
              <w:t>《</w:t>
            </w:r>
            <w:r>
              <w:t>SB/T 11191—2017</w:t>
            </w:r>
            <w:r>
              <w:rPr>
                <w:rFonts w:hint="eastAsia" w:ascii="仿宋" w:hAnsi="仿宋" w:eastAsia="仿宋"/>
                <w:color w:val="000000"/>
                <w:sz w:val="24"/>
                <w:szCs w:val="24"/>
              </w:rPr>
              <w:t>》中对蚝汁的定义为:以牡蛎为原料经蒸煮后浓缩加盐制成的产品。</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主要章、条确定的原则</w:t>
            </w:r>
          </w:p>
          <w:p>
            <w:pPr>
              <w:spacing w:line="360" w:lineRule="auto"/>
              <w:ind w:firstLine="480"/>
              <w:rPr>
                <w:rFonts w:ascii="宋体" w:hAnsi="宋体"/>
                <w:szCs w:val="21"/>
              </w:rPr>
            </w:pPr>
            <w:r>
              <w:rPr>
                <w:rFonts w:ascii="宋体" w:hAnsi="宋体"/>
                <w:szCs w:val="21"/>
              </w:rPr>
              <w:t>标准起草工作组收集了</w:t>
            </w:r>
            <w:r>
              <w:rPr>
                <w:rFonts w:hint="eastAsia" w:ascii="宋体" w:hAnsi="宋体"/>
                <w:szCs w:val="21"/>
              </w:rPr>
              <w:t>不同区域生产企业的样品，对样品进行了相关指标检测和分析，结合行业实际及产品特点，认为：蚝汁产品是以新鲜或者冰鲜蚝为主要原料生产的产品，对于定义、指标等应当主要参考大多企业产品和起草单位反复实验质量指标数据，并结合蚝原汁的实际特点进行拟定，可以保证标准内容更加科学合理，同时也能达到引导行业、促进产品高质量发展的目的。</w:t>
            </w:r>
          </w:p>
          <w:p>
            <w:pPr>
              <w:spacing w:line="360" w:lineRule="auto"/>
              <w:ind w:firstLine="480"/>
              <w:rPr>
                <w:rFonts w:ascii="宋体" w:hAnsi="宋体"/>
                <w:szCs w:val="21"/>
              </w:rPr>
            </w:pPr>
            <w:r>
              <w:rPr>
                <w:rFonts w:hint="eastAsia" w:ascii="宋体" w:hAnsi="宋体"/>
                <w:szCs w:val="21"/>
              </w:rPr>
              <w:t>具体说明如下：</w:t>
            </w:r>
          </w:p>
          <w:p>
            <w:pPr>
              <w:pStyle w:val="8"/>
              <w:numPr>
                <w:ilvl w:val="0"/>
                <w:numId w:val="3"/>
              </w:numPr>
              <w:spacing w:line="360" w:lineRule="auto"/>
              <w:ind w:firstLineChars="0"/>
              <w:rPr>
                <w:rFonts w:ascii="宋体" w:hAnsi="宋体"/>
                <w:b/>
                <w:bCs/>
                <w:szCs w:val="21"/>
              </w:rPr>
            </w:pPr>
            <w:r>
              <w:rPr>
                <w:rFonts w:hint="eastAsia" w:ascii="宋体" w:hAnsi="宋体"/>
                <w:b/>
                <w:bCs/>
                <w:szCs w:val="21"/>
              </w:rPr>
              <w:t>标准名称</w:t>
            </w:r>
          </w:p>
          <w:p>
            <w:pPr>
              <w:adjustRightInd w:val="0"/>
              <w:snapToGrid w:val="0"/>
              <w:spacing w:line="360" w:lineRule="auto"/>
              <w:ind w:firstLine="420" w:firstLineChars="200"/>
              <w:jc w:val="left"/>
              <w:rPr>
                <w:rFonts w:asciiTheme="minorEastAsia" w:hAnsiTheme="minorEastAsia" w:eastAsiaTheme="minorEastAsia"/>
                <w:bCs/>
                <w:szCs w:val="21"/>
              </w:rPr>
            </w:pPr>
            <w:r>
              <w:rPr>
                <w:rFonts w:hint="eastAsia" w:ascii="宋体" w:hAnsi="宋体"/>
                <w:szCs w:val="21"/>
              </w:rPr>
              <w:t>起草小组通过查阅蚝汁的历史沿革，并对国内主要的生产企业相关样品进行了收集，</w:t>
            </w:r>
            <w:r>
              <w:rPr>
                <w:rFonts w:hint="eastAsia" w:asciiTheme="minorEastAsia" w:hAnsiTheme="minorEastAsia" w:eastAsiaTheme="minorEastAsia"/>
                <w:bCs/>
                <w:szCs w:val="21"/>
              </w:rPr>
              <w:t>考虑到目前市场销售的蚝汁产品，大多添加了谷氨酸钠、酱油、食用香精、焦糖色素等非蚝提取物原料，很难鉴定和控制产品的真伪与优劣，不利于保护用户的知情权和质量控制。本着原汁原味的原则，确定了 “</w:t>
            </w:r>
            <w:r>
              <w:rPr>
                <w:rFonts w:hint="eastAsia" w:asciiTheme="minorEastAsia" w:hAnsiTheme="minorEastAsia" w:eastAsiaTheme="minorEastAsia"/>
                <w:b/>
                <w:szCs w:val="21"/>
              </w:rPr>
              <w:t>蚝原汁</w:t>
            </w:r>
            <w:r>
              <w:rPr>
                <w:rFonts w:hint="eastAsia" w:asciiTheme="minorEastAsia" w:hAnsiTheme="minorEastAsia" w:eastAsiaTheme="minorEastAsia"/>
                <w:bCs/>
                <w:szCs w:val="21"/>
              </w:rPr>
              <w:t>”的标准名称。</w:t>
            </w:r>
          </w:p>
          <w:p>
            <w:pPr>
              <w:adjustRightInd w:val="0"/>
              <w:snapToGrid w:val="0"/>
              <w:spacing w:line="360" w:lineRule="auto"/>
              <w:ind w:left="480"/>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（二）术语、定义</w:t>
            </w:r>
          </w:p>
          <w:p>
            <w:pPr>
              <w:spacing w:line="360" w:lineRule="auto"/>
              <w:ind w:firstLine="422" w:firstLineChars="200"/>
              <w:rPr>
                <w:rFonts w:ascii="宋体" w:hAnsi="宋体"/>
                <w:b/>
                <w:bCs/>
                <w:szCs w:val="21"/>
              </w:rPr>
            </w:pPr>
            <w:r>
              <w:rPr>
                <w:rFonts w:hint="eastAsia" w:ascii="宋体" w:hAnsi="宋体"/>
                <w:b/>
                <w:bCs/>
                <w:szCs w:val="21"/>
              </w:rPr>
              <w:t>蚝原汁</w:t>
            </w:r>
          </w:p>
          <w:p>
            <w:pPr>
              <w:spacing w:line="360" w:lineRule="auto"/>
              <w:ind w:firstLine="420" w:firstLineChars="200"/>
              <w:rPr>
                <w:rFonts w:ascii="宋体" w:hAnsi="宋体"/>
                <w:szCs w:val="21"/>
              </w:rPr>
            </w:pPr>
            <w:r>
              <w:rPr>
                <w:rFonts w:hint="eastAsia" w:ascii="宋体" w:hAnsi="宋体"/>
                <w:szCs w:val="21"/>
              </w:rPr>
              <w:t>本标准对蚝原汁产品的定义规定为“</w:t>
            </w:r>
            <w:r>
              <w:rPr>
                <w:rFonts w:hint="eastAsia" w:ascii="宋体" w:hAnsi="宋体"/>
                <w:b/>
                <w:bCs/>
                <w:szCs w:val="21"/>
              </w:rPr>
              <w:t>以新鲜或冰鲜蚝、水为主要原料，添加食盐等辅料加工而成的水产调味品。</w:t>
            </w:r>
            <w:r>
              <w:rPr>
                <w:rFonts w:hint="eastAsia" w:ascii="宋体" w:hAnsi="宋体"/>
                <w:szCs w:val="21"/>
              </w:rPr>
              <w:t>”</w:t>
            </w:r>
          </w:p>
          <w:p>
            <w:pPr>
              <w:pStyle w:val="8"/>
              <w:numPr>
                <w:ilvl w:val="0"/>
                <w:numId w:val="4"/>
              </w:numPr>
              <w:spacing w:line="360" w:lineRule="auto"/>
              <w:ind w:firstLineChars="0"/>
              <w:rPr>
                <w:rFonts w:ascii="宋体" w:hAnsi="宋体"/>
                <w:szCs w:val="21"/>
              </w:rPr>
            </w:pPr>
            <w:r>
              <w:rPr>
                <w:rFonts w:hint="eastAsia" w:ascii="宋体" w:hAnsi="宋体"/>
                <w:szCs w:val="21"/>
              </w:rPr>
              <w:t>蚝原汁产品为水产调味品，所以首先要符合GB 10133《食品安全国家标准 水产调味品》的定义。</w:t>
            </w:r>
          </w:p>
          <w:p>
            <w:pPr>
              <w:pStyle w:val="8"/>
              <w:numPr>
                <w:ilvl w:val="0"/>
                <w:numId w:val="4"/>
              </w:numPr>
              <w:spacing w:line="360" w:lineRule="auto"/>
              <w:ind w:firstLineChars="0"/>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蚝原汁产品的原料与工艺定义</w:t>
            </w:r>
            <w:r>
              <w:rPr>
                <w:rFonts w:hint="eastAsia" w:asciiTheme="minorEastAsia" w:hAnsiTheme="minorEastAsia" w:eastAsiaTheme="minorEastAsia"/>
                <w:b/>
                <w:bCs/>
                <w:color w:val="000000"/>
                <w:szCs w:val="21"/>
              </w:rPr>
              <w:t>：</w:t>
            </w:r>
            <w:r>
              <w:rPr>
                <w:rFonts w:hint="eastAsia" w:asciiTheme="minorEastAsia" w:hAnsiTheme="minorEastAsia" w:eastAsiaTheme="minorEastAsia"/>
                <w:bCs/>
                <w:szCs w:val="21"/>
              </w:rPr>
              <w:t>以冰鲜牡蛎为主要原料蒸煮的汁或用冰鲜牡蛎肉、水为原料酶解的汁，浓缩或不浓缩，添加食用盐等辅料（不得添加外源性谷氨酸钠及糖类物质）制成的液体水产调味品。</w:t>
            </w:r>
          </w:p>
          <w:p>
            <w:pPr>
              <w:pStyle w:val="8"/>
              <w:numPr>
                <w:ilvl w:val="0"/>
                <w:numId w:val="5"/>
              </w:numPr>
              <w:spacing w:line="360" w:lineRule="auto"/>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技术要求</w:t>
            </w:r>
          </w:p>
          <w:p>
            <w:pPr>
              <w:spacing w:beforeLines="50" w:afterLines="50" w:line="360" w:lineRule="auto"/>
              <w:jc w:val="left"/>
              <w:rPr>
                <w:rFonts w:eastAsia="黑体"/>
              </w:rPr>
            </w:pPr>
            <w:r>
              <w:rPr>
                <w:rFonts w:hint="eastAsia" w:eastAsia="黑体"/>
              </w:rPr>
              <w:t>（1） 主要原料和辅料</w:t>
            </w:r>
          </w:p>
          <w:p>
            <w:pPr>
              <w:pStyle w:val="11"/>
              <w:spacing w:line="360" w:lineRule="auto"/>
              <w:ind w:firstLine="420" w:firstLineChars="200"/>
              <w:jc w:val="both"/>
            </w:pPr>
            <w:r>
              <w:rPr>
                <w:rFonts w:hint="eastAsia"/>
              </w:rPr>
              <w:t>1）牡蛎</w:t>
            </w:r>
          </w:p>
          <w:p>
            <w:pPr>
              <w:pStyle w:val="9"/>
              <w:spacing w:line="360" w:lineRule="auto"/>
              <w:ind w:firstLine="420"/>
            </w:pPr>
            <w:r>
              <w:rPr>
                <w:rFonts w:hint="eastAsia"/>
              </w:rPr>
              <w:t>应符合GB2733的规定。</w:t>
            </w:r>
          </w:p>
          <w:p>
            <w:pPr>
              <w:pStyle w:val="11"/>
              <w:spacing w:line="360" w:lineRule="auto"/>
              <w:ind w:firstLine="420" w:firstLineChars="200"/>
              <w:jc w:val="both"/>
              <w:rPr>
                <w:rFonts w:eastAsia="宋体"/>
              </w:rPr>
            </w:pPr>
            <w:r>
              <w:rPr>
                <w:rFonts w:hint="eastAsia"/>
              </w:rPr>
              <w:t>2）</w:t>
            </w:r>
            <w:r>
              <w:rPr>
                <w:rFonts w:hint="eastAsia" w:eastAsia="宋体"/>
              </w:rPr>
              <w:t>食用盐</w:t>
            </w:r>
          </w:p>
          <w:p>
            <w:pPr>
              <w:pStyle w:val="9"/>
              <w:spacing w:line="360" w:lineRule="auto"/>
              <w:ind w:firstLine="420"/>
            </w:pPr>
            <w:r>
              <w:rPr>
                <w:rFonts w:hint="eastAsia"/>
              </w:rPr>
              <w:t>应符合GB2721和GB/T5461的规定。</w:t>
            </w:r>
          </w:p>
          <w:p>
            <w:pPr>
              <w:pStyle w:val="11"/>
              <w:spacing w:line="360" w:lineRule="auto"/>
              <w:ind w:firstLine="420" w:firstLineChars="200"/>
              <w:jc w:val="both"/>
            </w:pPr>
            <w:r>
              <w:rPr>
                <w:rFonts w:hint="eastAsia"/>
              </w:rPr>
              <w:t>3）水</w:t>
            </w:r>
          </w:p>
          <w:p>
            <w:pPr>
              <w:pStyle w:val="9"/>
              <w:spacing w:line="360" w:lineRule="auto"/>
              <w:ind w:firstLine="420"/>
            </w:pPr>
            <w:r>
              <w:rPr>
                <w:rFonts w:hint="eastAsia"/>
              </w:rPr>
              <w:t>应符合5749的规定。</w:t>
            </w:r>
          </w:p>
          <w:p>
            <w:pPr>
              <w:pStyle w:val="9"/>
              <w:spacing w:line="360" w:lineRule="auto"/>
              <w:ind w:firstLine="420"/>
            </w:pPr>
            <w:r>
              <w:rPr>
                <w:rFonts w:hint="eastAsia"/>
              </w:rPr>
              <w:t>4）其他辅料</w:t>
            </w:r>
          </w:p>
          <w:p>
            <w:pPr>
              <w:pStyle w:val="9"/>
              <w:spacing w:line="360" w:lineRule="auto"/>
              <w:ind w:firstLine="420"/>
            </w:pPr>
            <w:r>
              <w:rPr>
                <w:rFonts w:hint="eastAsia"/>
              </w:rPr>
              <w:t>应符合食品国家安全标准及相应的有关规定。</w:t>
            </w:r>
          </w:p>
          <w:p>
            <w:pPr>
              <w:pStyle w:val="9"/>
              <w:spacing w:line="360" w:lineRule="auto"/>
              <w:ind w:firstLine="420"/>
            </w:pPr>
            <w:r>
              <w:rPr>
                <w:rFonts w:hint="eastAsia"/>
              </w:rPr>
              <w:t>5）食品添加剂</w:t>
            </w:r>
          </w:p>
          <w:p>
            <w:pPr>
              <w:pStyle w:val="9"/>
              <w:spacing w:line="360" w:lineRule="auto"/>
              <w:ind w:firstLine="420"/>
            </w:pPr>
            <w:r>
              <w:rPr>
                <w:rFonts w:hint="eastAsia"/>
              </w:rPr>
              <w:t>食品添加剂的品种及使用量应符合GB 2760的规定，质量应符合相应的食品安全标准和有关规定。</w:t>
            </w:r>
          </w:p>
          <w:p>
            <w:pPr>
              <w:pStyle w:val="9"/>
              <w:spacing w:line="360" w:lineRule="auto"/>
              <w:ind w:firstLine="0" w:firstLineChars="0"/>
            </w:pPr>
            <w:r>
              <w:rPr>
                <w:rFonts w:hint="eastAsia"/>
              </w:rPr>
              <w:t xml:space="preserve">（2）  </w:t>
            </w:r>
            <w:r>
              <w:rPr>
                <w:rFonts w:hint="eastAsia" w:eastAsia="黑体"/>
              </w:rPr>
              <w:t>感官要求</w:t>
            </w:r>
          </w:p>
          <w:p>
            <w:pPr>
              <w:spacing w:line="360" w:lineRule="auto"/>
              <w:ind w:right="23" w:rightChars="11" w:firstLine="420" w:firstLineChars="200"/>
              <w:rPr>
                <w:bCs/>
                <w:szCs w:val="21"/>
              </w:rPr>
            </w:pPr>
            <w:r>
              <w:rPr>
                <w:rFonts w:hint="eastAsia"/>
                <w:bCs/>
                <w:szCs w:val="21"/>
              </w:rPr>
              <w:t>应符合表</w:t>
            </w:r>
            <w:r>
              <w:rPr>
                <w:bCs/>
                <w:szCs w:val="21"/>
              </w:rPr>
              <w:t>1</w:t>
            </w:r>
            <w:r>
              <w:rPr>
                <w:rFonts w:hint="eastAsia"/>
                <w:bCs/>
                <w:szCs w:val="21"/>
              </w:rPr>
              <w:t>的规定。</w:t>
            </w:r>
          </w:p>
          <w:p>
            <w:pPr>
              <w:spacing w:beforeLines="50" w:afterLines="20" w:line="360" w:lineRule="auto"/>
              <w:ind w:right="23" w:rightChars="11"/>
              <w:jc w:val="center"/>
              <w:rPr>
                <w:rFonts w:eastAsia="黑体"/>
                <w:szCs w:val="21"/>
              </w:rPr>
            </w:pPr>
            <w:r>
              <w:rPr>
                <w:rFonts w:hint="eastAsia" w:eastAsia="黑体"/>
                <w:szCs w:val="21"/>
              </w:rPr>
              <w:t>表</w:t>
            </w:r>
            <w:r>
              <w:rPr>
                <w:rFonts w:eastAsia="黑体"/>
                <w:szCs w:val="21"/>
              </w:rPr>
              <w:t xml:space="preserve">1  </w:t>
            </w:r>
            <w:r>
              <w:rPr>
                <w:rFonts w:hint="eastAsia" w:eastAsia="黑体"/>
                <w:szCs w:val="21"/>
              </w:rPr>
              <w:t>感官要求</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05"/>
              <w:gridCol w:w="1276"/>
              <w:gridCol w:w="1286"/>
              <w:gridCol w:w="140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8" w:type="dxa"/>
                  <w:vMerge w:val="restart"/>
                  <w:vAlign w:val="center"/>
                </w:tcPr>
                <w:p>
                  <w:pPr>
                    <w:spacing w:line="360" w:lineRule="auto"/>
                    <w:ind w:right="23" w:rightChars="11"/>
                    <w:jc w:val="center"/>
                    <w:rPr>
                      <w:bCs/>
                      <w:sz w:val="18"/>
                      <w:szCs w:val="18"/>
                    </w:rPr>
                  </w:pPr>
                  <w:r>
                    <w:rPr>
                      <w:rFonts w:hint="eastAsia"/>
                      <w:bCs/>
                      <w:sz w:val="18"/>
                      <w:szCs w:val="18"/>
                    </w:rPr>
                    <w:t>项目</w:t>
                  </w:r>
                </w:p>
              </w:tc>
              <w:tc>
                <w:tcPr>
                  <w:tcW w:w="3867" w:type="dxa"/>
                  <w:gridSpan w:val="3"/>
                  <w:vAlign w:val="center"/>
                </w:tcPr>
                <w:p>
                  <w:pPr>
                    <w:spacing w:line="360" w:lineRule="auto"/>
                    <w:ind w:right="23" w:rightChars="11"/>
                    <w:jc w:val="center"/>
                    <w:rPr>
                      <w:bCs/>
                      <w:sz w:val="18"/>
                      <w:szCs w:val="18"/>
                    </w:rPr>
                  </w:pPr>
                  <w:r>
                    <w:rPr>
                      <w:rFonts w:hint="eastAsia"/>
                      <w:bCs/>
                      <w:sz w:val="18"/>
                      <w:szCs w:val="18"/>
                    </w:rPr>
                    <w:t>蒸煮工艺</w:t>
                  </w:r>
                </w:p>
              </w:tc>
              <w:tc>
                <w:tcPr>
                  <w:tcW w:w="3959" w:type="dxa"/>
                  <w:gridSpan w:val="3"/>
                  <w:vAlign w:val="center"/>
                </w:tcPr>
                <w:p>
                  <w:pPr>
                    <w:spacing w:line="360" w:lineRule="auto"/>
                    <w:ind w:right="23" w:rightChars="11"/>
                    <w:jc w:val="center"/>
                    <w:rPr>
                      <w:bCs/>
                      <w:sz w:val="18"/>
                      <w:szCs w:val="18"/>
                    </w:rPr>
                  </w:pPr>
                  <w:r>
                    <w:rPr>
                      <w:rFonts w:hint="eastAsia"/>
                      <w:bCs/>
                      <w:sz w:val="18"/>
                      <w:szCs w:val="18"/>
                    </w:rPr>
                    <w:t>酶解工艺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8" w:type="dxa"/>
                  <w:vMerge w:val="continue"/>
                  <w:vAlign w:val="center"/>
                </w:tcPr>
                <w:p>
                  <w:pPr>
                    <w:spacing w:line="360" w:lineRule="auto"/>
                    <w:ind w:right="23" w:rightChars="11"/>
                    <w:jc w:val="center"/>
                    <w:rPr>
                      <w:bCs/>
                      <w:sz w:val="18"/>
                      <w:szCs w:val="18"/>
                    </w:rPr>
                  </w:pPr>
                </w:p>
              </w:tc>
              <w:tc>
                <w:tcPr>
                  <w:tcW w:w="1305" w:type="dxa"/>
                  <w:vAlign w:val="center"/>
                </w:tcPr>
                <w:p>
                  <w:pPr>
                    <w:spacing w:line="360" w:lineRule="auto"/>
                    <w:ind w:right="23" w:rightChars="11"/>
                    <w:jc w:val="center"/>
                    <w:rPr>
                      <w:bCs/>
                      <w:sz w:val="18"/>
                      <w:szCs w:val="18"/>
                    </w:rPr>
                  </w:pPr>
                  <w:r>
                    <w:rPr>
                      <w:rFonts w:hint="eastAsia"/>
                      <w:bCs/>
                      <w:sz w:val="18"/>
                      <w:szCs w:val="18"/>
                    </w:rPr>
                    <w:t>特级</w:t>
                  </w:r>
                </w:p>
              </w:tc>
              <w:tc>
                <w:tcPr>
                  <w:tcW w:w="1276" w:type="dxa"/>
                  <w:vAlign w:val="center"/>
                </w:tcPr>
                <w:p>
                  <w:pPr>
                    <w:spacing w:line="360" w:lineRule="auto"/>
                    <w:ind w:right="23" w:rightChars="11"/>
                    <w:jc w:val="center"/>
                    <w:rPr>
                      <w:bCs/>
                      <w:sz w:val="18"/>
                      <w:szCs w:val="18"/>
                    </w:rPr>
                  </w:pPr>
                  <w:r>
                    <w:rPr>
                      <w:rFonts w:hint="eastAsia"/>
                      <w:bCs/>
                      <w:sz w:val="18"/>
                      <w:szCs w:val="18"/>
                    </w:rPr>
                    <w:t>一级</w:t>
                  </w:r>
                </w:p>
              </w:tc>
              <w:tc>
                <w:tcPr>
                  <w:tcW w:w="1286" w:type="dxa"/>
                  <w:vAlign w:val="center"/>
                </w:tcPr>
                <w:p>
                  <w:pPr>
                    <w:spacing w:line="360" w:lineRule="auto"/>
                    <w:ind w:right="23" w:rightChars="11"/>
                    <w:jc w:val="center"/>
                    <w:rPr>
                      <w:bCs/>
                      <w:sz w:val="18"/>
                      <w:szCs w:val="18"/>
                    </w:rPr>
                  </w:pPr>
                  <w:r>
                    <w:rPr>
                      <w:rFonts w:hint="eastAsia"/>
                      <w:bCs/>
                      <w:sz w:val="18"/>
                      <w:szCs w:val="18"/>
                    </w:rPr>
                    <w:t>二级</w:t>
                  </w:r>
                </w:p>
              </w:tc>
              <w:tc>
                <w:tcPr>
                  <w:tcW w:w="1407" w:type="dxa"/>
                  <w:vAlign w:val="center"/>
                </w:tcPr>
                <w:p>
                  <w:pPr>
                    <w:spacing w:line="360" w:lineRule="auto"/>
                    <w:ind w:right="23" w:rightChars="11"/>
                    <w:jc w:val="center"/>
                    <w:rPr>
                      <w:bCs/>
                      <w:sz w:val="18"/>
                      <w:szCs w:val="18"/>
                    </w:rPr>
                  </w:pPr>
                  <w:r>
                    <w:rPr>
                      <w:rFonts w:hint="eastAsia"/>
                      <w:bCs/>
                      <w:sz w:val="18"/>
                      <w:szCs w:val="18"/>
                    </w:rPr>
                    <w:t>特级</w:t>
                  </w:r>
                </w:p>
              </w:tc>
              <w:tc>
                <w:tcPr>
                  <w:tcW w:w="1276" w:type="dxa"/>
                  <w:vAlign w:val="center"/>
                </w:tcPr>
                <w:p>
                  <w:pPr>
                    <w:spacing w:line="360" w:lineRule="auto"/>
                    <w:ind w:right="23" w:rightChars="11"/>
                    <w:jc w:val="center"/>
                    <w:rPr>
                      <w:bCs/>
                      <w:sz w:val="18"/>
                      <w:szCs w:val="18"/>
                    </w:rPr>
                  </w:pPr>
                  <w:r>
                    <w:rPr>
                      <w:rFonts w:hint="eastAsia"/>
                      <w:bCs/>
                      <w:sz w:val="18"/>
                      <w:szCs w:val="18"/>
                    </w:rPr>
                    <w:t>一级</w:t>
                  </w:r>
                </w:p>
              </w:tc>
              <w:tc>
                <w:tcPr>
                  <w:tcW w:w="1276" w:type="dxa"/>
                  <w:vAlign w:val="center"/>
                </w:tcPr>
                <w:p>
                  <w:pPr>
                    <w:spacing w:line="360" w:lineRule="auto"/>
                    <w:ind w:right="23" w:rightChars="11"/>
                    <w:jc w:val="center"/>
                    <w:rPr>
                      <w:bCs/>
                      <w:sz w:val="18"/>
                      <w:szCs w:val="18"/>
                    </w:rPr>
                  </w:pPr>
                  <w:r>
                    <w:rPr>
                      <w:rFonts w:hint="eastAsia"/>
                      <w:bCs/>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8" w:type="dxa"/>
                  <w:vAlign w:val="center"/>
                </w:tcPr>
                <w:p>
                  <w:pPr>
                    <w:spacing w:line="360" w:lineRule="auto"/>
                    <w:ind w:right="23" w:rightChars="11"/>
                    <w:jc w:val="center"/>
                    <w:rPr>
                      <w:bCs/>
                      <w:sz w:val="18"/>
                      <w:szCs w:val="18"/>
                    </w:rPr>
                  </w:pPr>
                  <w:r>
                    <w:rPr>
                      <w:rFonts w:hint="eastAsia"/>
                      <w:bCs/>
                      <w:sz w:val="18"/>
                      <w:szCs w:val="18"/>
                    </w:rPr>
                    <w:t>色泽</w:t>
                  </w:r>
                </w:p>
              </w:tc>
              <w:tc>
                <w:tcPr>
                  <w:tcW w:w="3867" w:type="dxa"/>
                  <w:gridSpan w:val="3"/>
                </w:tcPr>
                <w:p>
                  <w:pPr>
                    <w:spacing w:beforeLines="50" w:afterLines="20"/>
                    <w:ind w:right="23" w:rightChars="11"/>
                    <w:jc w:val="center"/>
                    <w:rPr>
                      <w:szCs w:val="21"/>
                    </w:rPr>
                  </w:pPr>
                  <w:r>
                    <w:rPr>
                      <w:rFonts w:hint="eastAsia"/>
                      <w:szCs w:val="21"/>
                    </w:rPr>
                    <w:t>浅灰色至棕色</w:t>
                  </w:r>
                </w:p>
              </w:tc>
              <w:tc>
                <w:tcPr>
                  <w:tcW w:w="3959" w:type="dxa"/>
                  <w:gridSpan w:val="3"/>
                </w:tcPr>
                <w:p>
                  <w:pPr>
                    <w:spacing w:beforeLines="50" w:afterLines="20"/>
                    <w:ind w:right="23" w:rightChars="11"/>
                    <w:jc w:val="center"/>
                    <w:rPr>
                      <w:szCs w:val="21"/>
                    </w:rPr>
                  </w:pPr>
                  <w:r>
                    <w:rPr>
                      <w:rFonts w:hint="eastAsia"/>
                      <w:szCs w:val="21"/>
                    </w:rPr>
                    <w:t>浅绿色至棕色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8" w:type="dxa"/>
                  <w:vAlign w:val="center"/>
                </w:tcPr>
                <w:p>
                  <w:pPr>
                    <w:spacing w:line="360" w:lineRule="auto"/>
                    <w:ind w:right="23" w:rightChars="11"/>
                    <w:jc w:val="center"/>
                    <w:rPr>
                      <w:bCs/>
                      <w:sz w:val="18"/>
                      <w:szCs w:val="18"/>
                    </w:rPr>
                  </w:pPr>
                  <w:r>
                    <w:rPr>
                      <w:rFonts w:hint="eastAsia"/>
                      <w:bCs/>
                      <w:sz w:val="18"/>
                      <w:szCs w:val="18"/>
                    </w:rPr>
                    <w:t>香气</w:t>
                  </w:r>
                </w:p>
              </w:tc>
              <w:tc>
                <w:tcPr>
                  <w:tcW w:w="1305" w:type="dxa"/>
                </w:tcPr>
                <w:p>
                  <w:pPr>
                    <w:spacing w:beforeLines="50" w:afterLines="20"/>
                    <w:ind w:right="23" w:rightChars="11"/>
                    <w:jc w:val="center"/>
                    <w:rPr>
                      <w:szCs w:val="21"/>
                    </w:rPr>
                  </w:pPr>
                  <w:r>
                    <w:rPr>
                      <w:rFonts w:hint="eastAsia"/>
                      <w:szCs w:val="21"/>
                    </w:rPr>
                    <w:t>鲜蚝香气浓郁，无不良气味</w:t>
                  </w:r>
                </w:p>
              </w:tc>
              <w:tc>
                <w:tcPr>
                  <w:tcW w:w="1276" w:type="dxa"/>
                </w:tcPr>
                <w:p>
                  <w:pPr>
                    <w:spacing w:beforeLines="50" w:afterLines="20"/>
                    <w:ind w:right="23" w:rightChars="11"/>
                    <w:jc w:val="center"/>
                    <w:rPr>
                      <w:szCs w:val="21"/>
                    </w:rPr>
                  </w:pPr>
                  <w:r>
                    <w:rPr>
                      <w:rFonts w:hint="eastAsia"/>
                      <w:szCs w:val="21"/>
                    </w:rPr>
                    <w:t>鲜蚝香气较浓，无不良气味</w:t>
                  </w:r>
                </w:p>
              </w:tc>
              <w:tc>
                <w:tcPr>
                  <w:tcW w:w="1286" w:type="dxa"/>
                </w:tcPr>
                <w:p>
                  <w:pPr>
                    <w:spacing w:beforeLines="50" w:afterLines="20"/>
                    <w:ind w:right="23" w:rightChars="11"/>
                    <w:jc w:val="center"/>
                    <w:rPr>
                      <w:szCs w:val="21"/>
                    </w:rPr>
                  </w:pPr>
                  <w:r>
                    <w:rPr>
                      <w:rFonts w:hint="eastAsia"/>
                      <w:szCs w:val="21"/>
                    </w:rPr>
                    <w:t>有鲜蚝香气，无不良气味</w:t>
                  </w:r>
                </w:p>
              </w:tc>
              <w:tc>
                <w:tcPr>
                  <w:tcW w:w="1407" w:type="dxa"/>
                </w:tcPr>
                <w:p>
                  <w:pPr>
                    <w:spacing w:beforeLines="50" w:afterLines="20"/>
                    <w:ind w:right="23" w:rightChars="11"/>
                    <w:jc w:val="center"/>
                    <w:rPr>
                      <w:szCs w:val="21"/>
                    </w:rPr>
                  </w:pPr>
                  <w:r>
                    <w:rPr>
                      <w:rFonts w:hint="eastAsia"/>
                      <w:szCs w:val="21"/>
                    </w:rPr>
                    <w:t>鲜蚝香气浓郁，无不良气味</w:t>
                  </w:r>
                </w:p>
              </w:tc>
              <w:tc>
                <w:tcPr>
                  <w:tcW w:w="1276" w:type="dxa"/>
                </w:tcPr>
                <w:p>
                  <w:pPr>
                    <w:spacing w:beforeLines="50" w:afterLines="20"/>
                    <w:ind w:right="23" w:rightChars="11"/>
                    <w:jc w:val="center"/>
                    <w:rPr>
                      <w:szCs w:val="21"/>
                    </w:rPr>
                  </w:pPr>
                  <w:r>
                    <w:rPr>
                      <w:rFonts w:hint="eastAsia"/>
                      <w:szCs w:val="21"/>
                    </w:rPr>
                    <w:t>鲜蚝香气较浓，无不良气味</w:t>
                  </w:r>
                </w:p>
              </w:tc>
              <w:tc>
                <w:tcPr>
                  <w:tcW w:w="1276" w:type="dxa"/>
                </w:tcPr>
                <w:p>
                  <w:pPr>
                    <w:spacing w:beforeLines="50" w:afterLines="20"/>
                    <w:ind w:right="23" w:rightChars="11"/>
                    <w:jc w:val="center"/>
                    <w:rPr>
                      <w:szCs w:val="21"/>
                    </w:rPr>
                  </w:pPr>
                  <w:r>
                    <w:rPr>
                      <w:rFonts w:hint="eastAsia"/>
                      <w:szCs w:val="21"/>
                    </w:rPr>
                    <w:t>有鲜蚝香气，无不良气味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8" w:type="dxa"/>
                  <w:vAlign w:val="center"/>
                </w:tcPr>
                <w:p>
                  <w:pPr>
                    <w:spacing w:line="360" w:lineRule="auto"/>
                    <w:ind w:right="23" w:rightChars="11"/>
                    <w:jc w:val="center"/>
                    <w:rPr>
                      <w:bCs/>
                      <w:sz w:val="18"/>
                      <w:szCs w:val="18"/>
                    </w:rPr>
                  </w:pPr>
                  <w:r>
                    <w:rPr>
                      <w:rFonts w:hint="eastAsia"/>
                      <w:bCs/>
                      <w:sz w:val="18"/>
                      <w:szCs w:val="18"/>
                    </w:rPr>
                    <w:t>滋味</w:t>
                  </w:r>
                </w:p>
              </w:tc>
              <w:tc>
                <w:tcPr>
                  <w:tcW w:w="1305" w:type="dxa"/>
                </w:tcPr>
                <w:p>
                  <w:pPr>
                    <w:spacing w:beforeLines="50" w:afterLines="20"/>
                    <w:ind w:right="23" w:rightChars="11"/>
                    <w:jc w:val="center"/>
                    <w:rPr>
                      <w:szCs w:val="21"/>
                    </w:rPr>
                  </w:pPr>
                  <w:r>
                    <w:rPr>
                      <w:rFonts w:hint="eastAsia"/>
                      <w:szCs w:val="21"/>
                    </w:rPr>
                    <w:t>鲜美蚝味突出，咸度适中，无异味</w:t>
                  </w:r>
                </w:p>
              </w:tc>
              <w:tc>
                <w:tcPr>
                  <w:tcW w:w="1276" w:type="dxa"/>
                </w:tcPr>
                <w:p>
                  <w:pPr>
                    <w:spacing w:beforeLines="50" w:afterLines="20"/>
                    <w:ind w:right="23" w:rightChars="11"/>
                    <w:jc w:val="center"/>
                    <w:rPr>
                      <w:szCs w:val="21"/>
                    </w:rPr>
                  </w:pPr>
                  <w:r>
                    <w:rPr>
                      <w:rFonts w:hint="eastAsia"/>
                      <w:szCs w:val="21"/>
                    </w:rPr>
                    <w:t>鲜美蚝味比较突出，咸度适中，无异味</w:t>
                  </w:r>
                </w:p>
              </w:tc>
              <w:tc>
                <w:tcPr>
                  <w:tcW w:w="1286" w:type="dxa"/>
                </w:tcPr>
                <w:p>
                  <w:pPr>
                    <w:spacing w:beforeLines="50" w:afterLines="20"/>
                    <w:ind w:right="23" w:rightChars="11"/>
                    <w:jc w:val="center"/>
                    <w:rPr>
                      <w:szCs w:val="21"/>
                    </w:rPr>
                  </w:pPr>
                  <w:r>
                    <w:rPr>
                      <w:rFonts w:hint="eastAsia"/>
                      <w:szCs w:val="21"/>
                    </w:rPr>
                    <w:t>有鲜美蚝味，咸度适中，无异味</w:t>
                  </w:r>
                </w:p>
              </w:tc>
              <w:tc>
                <w:tcPr>
                  <w:tcW w:w="1407" w:type="dxa"/>
                </w:tcPr>
                <w:p>
                  <w:pPr>
                    <w:spacing w:beforeLines="50" w:afterLines="20"/>
                    <w:ind w:right="23" w:rightChars="11"/>
                    <w:jc w:val="center"/>
                    <w:rPr>
                      <w:szCs w:val="21"/>
                    </w:rPr>
                  </w:pPr>
                  <w:r>
                    <w:rPr>
                      <w:rFonts w:hint="eastAsia"/>
                      <w:szCs w:val="21"/>
                    </w:rPr>
                    <w:t>鲜美蚝味突出，咸度适中，无异味</w:t>
                  </w:r>
                </w:p>
              </w:tc>
              <w:tc>
                <w:tcPr>
                  <w:tcW w:w="1276" w:type="dxa"/>
                </w:tcPr>
                <w:p>
                  <w:pPr>
                    <w:spacing w:beforeLines="50" w:afterLines="20"/>
                    <w:ind w:right="23" w:rightChars="11"/>
                    <w:jc w:val="center"/>
                    <w:rPr>
                      <w:szCs w:val="21"/>
                    </w:rPr>
                  </w:pPr>
                  <w:r>
                    <w:rPr>
                      <w:rFonts w:hint="eastAsia"/>
                      <w:szCs w:val="21"/>
                    </w:rPr>
                    <w:t>鲜美蚝味比较突出，咸度适中，无异味</w:t>
                  </w:r>
                </w:p>
              </w:tc>
              <w:tc>
                <w:tcPr>
                  <w:tcW w:w="1276" w:type="dxa"/>
                </w:tcPr>
                <w:p>
                  <w:pPr>
                    <w:spacing w:beforeLines="50" w:afterLines="20"/>
                    <w:ind w:right="23" w:rightChars="11"/>
                    <w:jc w:val="center"/>
                    <w:rPr>
                      <w:szCs w:val="21"/>
                    </w:rPr>
                  </w:pPr>
                  <w:r>
                    <w:rPr>
                      <w:rFonts w:hint="eastAsia"/>
                      <w:szCs w:val="21"/>
                    </w:rPr>
                    <w:t>有鲜美蚝味，咸度适中，无异味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8" w:type="dxa"/>
                  <w:vAlign w:val="center"/>
                </w:tcPr>
                <w:p>
                  <w:pPr>
                    <w:spacing w:line="360" w:lineRule="auto"/>
                    <w:ind w:right="23" w:rightChars="11"/>
                    <w:jc w:val="center"/>
                    <w:rPr>
                      <w:bCs/>
                      <w:sz w:val="18"/>
                      <w:szCs w:val="18"/>
                    </w:rPr>
                  </w:pPr>
                  <w:r>
                    <w:rPr>
                      <w:rFonts w:hint="eastAsia"/>
                      <w:bCs/>
                      <w:sz w:val="18"/>
                      <w:szCs w:val="18"/>
                    </w:rPr>
                    <w:t>体态</w:t>
                  </w:r>
                </w:p>
              </w:tc>
              <w:tc>
                <w:tcPr>
                  <w:tcW w:w="7826" w:type="dxa"/>
                  <w:gridSpan w:val="6"/>
                </w:tcPr>
                <w:p>
                  <w:pPr>
                    <w:spacing w:beforeLines="50" w:afterLines="20"/>
                    <w:ind w:right="23" w:rightChars="11"/>
                    <w:jc w:val="center"/>
                    <w:rPr>
                      <w:szCs w:val="21"/>
                    </w:rPr>
                  </w:pPr>
                  <w:r>
                    <w:rPr>
                      <w:rFonts w:hint="eastAsia"/>
                      <w:szCs w:val="21"/>
                    </w:rPr>
                    <w:t>微稠或粘稠，均匀，无异物</w:t>
                  </w:r>
                </w:p>
              </w:tc>
            </w:tr>
          </w:tbl>
          <w:p>
            <w:pPr>
              <w:adjustRightInd w:val="0"/>
              <w:snapToGrid w:val="0"/>
              <w:spacing w:line="360" w:lineRule="auto"/>
              <w:ind w:firstLine="720" w:firstLineChars="300"/>
              <w:rPr>
                <w:rFonts w:ascii="仿宋_GB2312" w:eastAsia="仿宋_GB2312"/>
                <w:color w:val="000000"/>
                <w:sz w:val="24"/>
                <w:szCs w:val="24"/>
              </w:rPr>
            </w:pPr>
          </w:p>
          <w:p>
            <w:pPr>
              <w:adjustRightInd w:val="0"/>
              <w:snapToGrid w:val="0"/>
              <w:spacing w:line="360" w:lineRule="auto"/>
              <w:ind w:firstLine="120" w:firstLineChars="50"/>
              <w:rPr>
                <w:rFonts w:ascii="仿宋_GB2312" w:eastAsia="仿宋_GB2312"/>
                <w:b/>
                <w:bCs/>
                <w:color w:val="000000"/>
                <w:sz w:val="24"/>
                <w:szCs w:val="24"/>
              </w:rPr>
            </w:pPr>
            <w:r>
              <w:rPr>
                <w:rFonts w:hint="eastAsia" w:ascii="仿宋_GB2312" w:eastAsia="仿宋_GB2312"/>
                <w:b/>
                <w:bCs/>
                <w:color w:val="000000"/>
                <w:sz w:val="24"/>
                <w:szCs w:val="24"/>
              </w:rPr>
              <w:t xml:space="preserve">(3)  </w:t>
            </w:r>
            <w:r>
              <w:rPr>
                <w:rFonts w:hint="eastAsia" w:ascii="黑体" w:hAnsi="黑体" w:eastAsia="黑体"/>
                <w:bCs/>
                <w:color w:val="000000"/>
                <w:sz w:val="24"/>
                <w:szCs w:val="24"/>
              </w:rPr>
              <w:t>理化指标</w:t>
            </w:r>
          </w:p>
          <w:p>
            <w:pPr>
              <w:spacing w:line="360" w:lineRule="auto"/>
              <w:ind w:right="23" w:rightChars="11" w:firstLine="420" w:firstLineChars="200"/>
              <w:rPr>
                <w:bCs/>
                <w:szCs w:val="21"/>
              </w:rPr>
            </w:pPr>
            <w:r>
              <w:rPr>
                <w:rFonts w:hint="eastAsia"/>
                <w:bCs/>
                <w:szCs w:val="21"/>
              </w:rPr>
              <w:t>应符合表</w:t>
            </w:r>
            <w:r>
              <w:rPr>
                <w:bCs/>
                <w:szCs w:val="21"/>
              </w:rPr>
              <w:t>2</w:t>
            </w:r>
            <w:r>
              <w:rPr>
                <w:rFonts w:hint="eastAsia"/>
                <w:bCs/>
                <w:szCs w:val="21"/>
              </w:rPr>
              <w:t>的规定。</w:t>
            </w:r>
          </w:p>
          <w:p>
            <w:pPr>
              <w:spacing w:beforeLines="50" w:afterLines="20" w:line="360" w:lineRule="auto"/>
              <w:ind w:right="23" w:rightChars="11"/>
              <w:jc w:val="center"/>
              <w:rPr>
                <w:rFonts w:eastAsia="黑体"/>
                <w:szCs w:val="21"/>
              </w:rPr>
            </w:pPr>
            <w:bookmarkStart w:id="14" w:name="_Hlk76548792"/>
            <w:r>
              <w:rPr>
                <w:rFonts w:hint="eastAsia" w:eastAsia="黑体"/>
                <w:szCs w:val="21"/>
              </w:rPr>
              <w:t>表</w:t>
            </w:r>
            <w:r>
              <w:rPr>
                <w:rFonts w:eastAsia="黑体"/>
                <w:szCs w:val="21"/>
              </w:rPr>
              <w:t xml:space="preserve">2  </w:t>
            </w:r>
            <w:r>
              <w:rPr>
                <w:rFonts w:hint="eastAsia" w:eastAsia="黑体"/>
                <w:szCs w:val="21"/>
              </w:rPr>
              <w:t>蚝原汁理化要求</w:t>
            </w: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560"/>
              <w:gridCol w:w="713"/>
              <w:gridCol w:w="108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97" w:type="dxa"/>
                  <w:vAlign w:val="center"/>
                </w:tcPr>
                <w:p>
                  <w:pPr>
                    <w:spacing w:line="360" w:lineRule="auto"/>
                    <w:ind w:right="23" w:rightChars="11"/>
                    <w:jc w:val="center"/>
                    <w:rPr>
                      <w:b/>
                      <w:bCs/>
                      <w:szCs w:val="21"/>
                    </w:rPr>
                  </w:pPr>
                  <w:r>
                    <w:rPr>
                      <w:rFonts w:hint="eastAsia"/>
                      <w:b/>
                      <w:bCs/>
                      <w:szCs w:val="21"/>
                    </w:rPr>
                    <w:t>项目</w:t>
                  </w:r>
                </w:p>
              </w:tc>
              <w:tc>
                <w:tcPr>
                  <w:tcW w:w="2273" w:type="dxa"/>
                  <w:gridSpan w:val="2"/>
                  <w:vAlign w:val="center"/>
                </w:tcPr>
                <w:p>
                  <w:pPr>
                    <w:spacing w:line="360" w:lineRule="auto"/>
                    <w:ind w:left="72" w:right="23" w:rightChars="11"/>
                    <w:jc w:val="center"/>
                    <w:rPr>
                      <w:bCs/>
                      <w:sz w:val="18"/>
                      <w:szCs w:val="18"/>
                    </w:rPr>
                  </w:pPr>
                  <w:r>
                    <w:rPr>
                      <w:rFonts w:hint="eastAsia"/>
                      <w:bCs/>
                      <w:sz w:val="18"/>
                      <w:szCs w:val="18"/>
                    </w:rPr>
                    <w:t>煮汁</w:t>
                  </w:r>
                </w:p>
              </w:tc>
              <w:tc>
                <w:tcPr>
                  <w:tcW w:w="3256" w:type="dxa"/>
                  <w:gridSpan w:val="2"/>
                  <w:vAlign w:val="center"/>
                </w:tcPr>
                <w:p>
                  <w:pPr>
                    <w:spacing w:line="360" w:lineRule="auto"/>
                    <w:ind w:left="72" w:right="23" w:rightChars="11"/>
                    <w:jc w:val="center"/>
                    <w:rPr>
                      <w:bCs/>
                      <w:sz w:val="18"/>
                      <w:szCs w:val="18"/>
                    </w:rPr>
                  </w:pPr>
                  <w:r>
                    <w:rPr>
                      <w:rFonts w:hint="eastAsia"/>
                      <w:bCs/>
                      <w:sz w:val="18"/>
                      <w:szCs w:val="18"/>
                    </w:rPr>
                    <w:t>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97" w:type="dxa"/>
                  <w:vAlign w:val="center"/>
                </w:tcPr>
                <w:p>
                  <w:pPr>
                    <w:spacing w:line="360" w:lineRule="auto"/>
                    <w:ind w:right="23" w:rightChars="11"/>
                    <w:jc w:val="center"/>
                    <w:rPr>
                      <w:b/>
                      <w:bCs/>
                      <w:szCs w:val="21"/>
                    </w:rPr>
                  </w:pPr>
                  <w:r>
                    <w:rPr>
                      <w:rFonts w:hint="eastAsia"/>
                      <w:b/>
                      <w:bCs/>
                      <w:szCs w:val="21"/>
                    </w:rPr>
                    <w:t>等级</w:t>
                  </w:r>
                </w:p>
              </w:tc>
              <w:tc>
                <w:tcPr>
                  <w:tcW w:w="1560" w:type="dxa"/>
                  <w:vAlign w:val="center"/>
                </w:tcPr>
                <w:p>
                  <w:pPr>
                    <w:spacing w:line="360" w:lineRule="auto"/>
                    <w:ind w:left="72" w:right="23" w:rightChars="11"/>
                    <w:jc w:val="center"/>
                    <w:rPr>
                      <w:bCs/>
                      <w:sz w:val="18"/>
                      <w:szCs w:val="18"/>
                    </w:rPr>
                  </w:pPr>
                  <w:r>
                    <w:rPr>
                      <w:rFonts w:hint="eastAsia"/>
                      <w:bCs/>
                      <w:sz w:val="18"/>
                      <w:szCs w:val="18"/>
                    </w:rPr>
                    <w:t>特级</w:t>
                  </w:r>
                </w:p>
              </w:tc>
              <w:tc>
                <w:tcPr>
                  <w:tcW w:w="1798" w:type="dxa"/>
                  <w:gridSpan w:val="2"/>
                  <w:vAlign w:val="center"/>
                </w:tcPr>
                <w:p>
                  <w:pPr>
                    <w:spacing w:line="360" w:lineRule="auto"/>
                    <w:ind w:left="72" w:right="23" w:rightChars="11"/>
                    <w:jc w:val="center"/>
                    <w:rPr>
                      <w:bCs/>
                      <w:sz w:val="18"/>
                      <w:szCs w:val="18"/>
                    </w:rPr>
                  </w:pPr>
                  <w:r>
                    <w:rPr>
                      <w:rFonts w:hint="eastAsia"/>
                      <w:bCs/>
                      <w:sz w:val="18"/>
                      <w:szCs w:val="18"/>
                    </w:rPr>
                    <w:t>一级</w:t>
                  </w:r>
                </w:p>
              </w:tc>
              <w:tc>
                <w:tcPr>
                  <w:tcW w:w="2171" w:type="dxa"/>
                  <w:vAlign w:val="center"/>
                </w:tcPr>
                <w:p>
                  <w:pPr>
                    <w:spacing w:line="360" w:lineRule="auto"/>
                    <w:ind w:left="72" w:right="23" w:rightChars="11"/>
                    <w:jc w:val="center"/>
                    <w:rPr>
                      <w:bCs/>
                      <w:sz w:val="18"/>
                      <w:szCs w:val="18"/>
                    </w:rPr>
                  </w:pPr>
                  <w:r>
                    <w:rPr>
                      <w:rFonts w:hint="eastAsia"/>
                      <w:bCs/>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rPr>
                      <w:b/>
                      <w:szCs w:val="21"/>
                    </w:rPr>
                  </w:pPr>
                  <w:r>
                    <w:rPr>
                      <w:rFonts w:hint="eastAsia"/>
                      <w:b/>
                      <w:szCs w:val="21"/>
                    </w:rPr>
                    <w:t>氨基酸态氮</w:t>
                  </w:r>
                  <w:r>
                    <w:rPr>
                      <w:rFonts w:hint="eastAsia" w:asciiTheme="majorEastAsia" w:hAnsiTheme="majorEastAsia" w:eastAsiaTheme="majorEastAsia"/>
                      <w:bCs/>
                      <w:sz w:val="18"/>
                      <w:szCs w:val="18"/>
                    </w:rPr>
                    <w:t>g(/100g)</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w:t>
                  </w:r>
                </w:p>
              </w:tc>
              <w:tc>
                <w:tcPr>
                  <w:tcW w:w="1560" w:type="dxa"/>
                </w:tcPr>
                <w:p>
                  <w:pPr>
                    <w:spacing w:beforeLines="50" w:afterLines="20"/>
                    <w:ind w:right="23" w:rightChars="11"/>
                    <w:jc w:val="center"/>
                    <w:rPr>
                      <w:b/>
                      <w:szCs w:val="21"/>
                    </w:rPr>
                  </w:pPr>
                  <w:r>
                    <w:rPr>
                      <w:rFonts w:hint="eastAsia"/>
                      <w:b/>
                      <w:szCs w:val="21"/>
                    </w:rPr>
                    <w:t>0.55</w:t>
                  </w:r>
                </w:p>
              </w:tc>
              <w:tc>
                <w:tcPr>
                  <w:tcW w:w="1798" w:type="dxa"/>
                  <w:gridSpan w:val="2"/>
                </w:tcPr>
                <w:p>
                  <w:pPr>
                    <w:spacing w:beforeLines="50" w:afterLines="20"/>
                    <w:ind w:right="23" w:rightChars="11"/>
                    <w:jc w:val="center"/>
                    <w:rPr>
                      <w:b/>
                      <w:szCs w:val="21"/>
                    </w:rPr>
                  </w:pPr>
                  <w:r>
                    <w:rPr>
                      <w:rFonts w:hint="eastAsia"/>
                      <w:b/>
                      <w:szCs w:val="21"/>
                    </w:rPr>
                    <w:t>0.45</w:t>
                  </w:r>
                </w:p>
              </w:tc>
              <w:tc>
                <w:tcPr>
                  <w:tcW w:w="2171" w:type="dxa"/>
                </w:tcPr>
                <w:p>
                  <w:pPr>
                    <w:spacing w:beforeLines="50" w:afterLines="20"/>
                    <w:ind w:right="23" w:rightChars="11"/>
                    <w:jc w:val="center"/>
                    <w:rPr>
                      <w:b/>
                      <w:szCs w:val="21"/>
                    </w:rPr>
                  </w:pPr>
                  <w:r>
                    <w:rPr>
                      <w:rFonts w:hint="eastAsia"/>
                      <w:b/>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jc w:val="left"/>
                    <w:rPr>
                      <w:b/>
                      <w:szCs w:val="21"/>
                    </w:rPr>
                  </w:pPr>
                  <w:r>
                    <w:rPr>
                      <w:rFonts w:hint="eastAsia"/>
                      <w:b/>
                      <w:szCs w:val="21"/>
                    </w:rPr>
                    <w:t>无盐固形物</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p>
              </w:tc>
              <w:tc>
                <w:tcPr>
                  <w:tcW w:w="1560" w:type="dxa"/>
                </w:tcPr>
                <w:p>
                  <w:pPr>
                    <w:spacing w:beforeLines="50" w:afterLines="20"/>
                    <w:ind w:right="23" w:rightChars="11"/>
                    <w:jc w:val="center"/>
                    <w:rPr>
                      <w:b/>
                      <w:szCs w:val="21"/>
                    </w:rPr>
                  </w:pPr>
                  <w:r>
                    <w:rPr>
                      <w:rFonts w:hint="eastAsia"/>
                      <w:b/>
                      <w:szCs w:val="21"/>
                    </w:rPr>
                    <w:t>14.0</w:t>
                  </w:r>
                </w:p>
              </w:tc>
              <w:tc>
                <w:tcPr>
                  <w:tcW w:w="1798" w:type="dxa"/>
                  <w:gridSpan w:val="2"/>
                </w:tcPr>
                <w:p>
                  <w:pPr>
                    <w:spacing w:beforeLines="50" w:afterLines="20"/>
                    <w:ind w:right="23" w:rightChars="11"/>
                    <w:jc w:val="center"/>
                    <w:rPr>
                      <w:b/>
                      <w:szCs w:val="21"/>
                    </w:rPr>
                  </w:pPr>
                  <w:r>
                    <w:rPr>
                      <w:rFonts w:hint="eastAsia"/>
                      <w:b/>
                      <w:szCs w:val="21"/>
                    </w:rPr>
                    <w:t>12.0</w:t>
                  </w:r>
                </w:p>
              </w:tc>
              <w:tc>
                <w:tcPr>
                  <w:tcW w:w="2171" w:type="dxa"/>
                </w:tcPr>
                <w:p>
                  <w:pPr>
                    <w:spacing w:beforeLines="50" w:afterLines="20"/>
                    <w:ind w:right="23" w:rightChars="11"/>
                    <w:jc w:val="center"/>
                    <w:rPr>
                      <w:b/>
                      <w:szCs w:val="21"/>
                    </w:rPr>
                  </w:pPr>
                  <w:r>
                    <w:rPr>
                      <w:rFonts w:hint="eastAsia"/>
                      <w:b/>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jc w:val="left"/>
                    <w:rPr>
                      <w:b/>
                      <w:szCs w:val="21"/>
                    </w:rPr>
                  </w:pPr>
                  <w:r>
                    <w:rPr>
                      <w:rFonts w:hint="eastAsia"/>
                      <w:b/>
                      <w:szCs w:val="21"/>
                    </w:rPr>
                    <w:t xml:space="preserve">谷氨酸钠   </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 xml:space="preserve"> </w:t>
                  </w:r>
                </w:p>
              </w:tc>
              <w:tc>
                <w:tcPr>
                  <w:tcW w:w="1560" w:type="dxa"/>
                </w:tcPr>
                <w:p>
                  <w:pPr>
                    <w:spacing w:beforeLines="50" w:afterLines="20"/>
                    <w:ind w:right="23" w:rightChars="11"/>
                    <w:jc w:val="center"/>
                    <w:rPr>
                      <w:b/>
                      <w:szCs w:val="21"/>
                    </w:rPr>
                  </w:pPr>
                  <w:r>
                    <w:rPr>
                      <w:rFonts w:hint="eastAsia"/>
                      <w:b/>
                      <w:szCs w:val="21"/>
                    </w:rPr>
                    <w:t>7.0</w:t>
                  </w:r>
                </w:p>
              </w:tc>
              <w:tc>
                <w:tcPr>
                  <w:tcW w:w="1798" w:type="dxa"/>
                  <w:gridSpan w:val="2"/>
                </w:tcPr>
                <w:p>
                  <w:pPr>
                    <w:spacing w:beforeLines="50" w:afterLines="20"/>
                    <w:ind w:right="23" w:rightChars="11"/>
                    <w:jc w:val="center"/>
                    <w:rPr>
                      <w:b/>
                      <w:szCs w:val="21"/>
                    </w:rPr>
                  </w:pPr>
                  <w:r>
                    <w:rPr>
                      <w:rFonts w:hint="eastAsia"/>
                      <w:b/>
                      <w:szCs w:val="21"/>
                    </w:rPr>
                    <w:t>5.0</w:t>
                  </w:r>
                </w:p>
              </w:tc>
              <w:tc>
                <w:tcPr>
                  <w:tcW w:w="2171" w:type="dxa"/>
                </w:tcPr>
                <w:p>
                  <w:pPr>
                    <w:spacing w:beforeLines="50" w:afterLines="20"/>
                    <w:ind w:right="23" w:rightChars="11"/>
                    <w:jc w:val="center"/>
                    <w:rPr>
                      <w:b/>
                      <w:szCs w:val="21"/>
                    </w:rPr>
                  </w:pPr>
                  <w:r>
                    <w:rPr>
                      <w:rFonts w:hint="eastAsia"/>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jc w:val="left"/>
                    <w:rPr>
                      <w:b/>
                      <w:szCs w:val="21"/>
                    </w:rPr>
                  </w:pPr>
                  <w:r>
                    <w:rPr>
                      <w:rFonts w:hint="eastAsia"/>
                      <w:b/>
                      <w:szCs w:val="21"/>
                    </w:rPr>
                    <w:t>总糖</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Cs w:val="21"/>
                    </w:rPr>
                    <w:t>≤</w:t>
                  </w:r>
                </w:p>
              </w:tc>
              <w:tc>
                <w:tcPr>
                  <w:tcW w:w="5529" w:type="dxa"/>
                  <w:gridSpan w:val="4"/>
                </w:tcPr>
                <w:p>
                  <w:pPr>
                    <w:spacing w:beforeLines="50" w:afterLines="20"/>
                    <w:ind w:right="23" w:rightChars="11"/>
                    <w:jc w:val="center"/>
                    <w:rPr>
                      <w:b/>
                      <w:szCs w:val="21"/>
                    </w:rPr>
                  </w:pPr>
                  <w:r>
                    <w:rPr>
                      <w:rFonts w:hint="eastAsia"/>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jc w:val="left"/>
                    <w:rPr>
                      <w:b/>
                      <w:szCs w:val="21"/>
                    </w:rPr>
                  </w:pPr>
                  <w:r>
                    <w:rPr>
                      <w:rFonts w:hint="eastAsia"/>
                      <w:b/>
                      <w:szCs w:val="21"/>
                    </w:rPr>
                    <w:t>食用盐</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p>
              </w:tc>
              <w:tc>
                <w:tcPr>
                  <w:tcW w:w="5529" w:type="dxa"/>
                  <w:gridSpan w:val="4"/>
                </w:tcPr>
                <w:p>
                  <w:pPr>
                    <w:spacing w:beforeLines="50" w:afterLines="20"/>
                    <w:ind w:right="23" w:rightChars="11"/>
                    <w:jc w:val="center"/>
                    <w:rPr>
                      <w:b/>
                      <w:szCs w:val="21"/>
                    </w:rPr>
                  </w:pPr>
                  <w:r>
                    <w:rPr>
                      <w:rFonts w:hint="eastAsia"/>
                      <w:b/>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tcPr>
                <w:p>
                  <w:pPr>
                    <w:spacing w:beforeLines="50" w:afterLines="20"/>
                    <w:ind w:right="23" w:rightChars="11"/>
                    <w:jc w:val="left"/>
                    <w:rPr>
                      <w:b/>
                      <w:szCs w:val="21"/>
                    </w:rPr>
                  </w:pPr>
                  <w:r>
                    <w:rPr>
                      <w:rFonts w:hint="eastAsia"/>
                      <w:b/>
                      <w:szCs w:val="21"/>
                    </w:rPr>
                    <w:t xml:space="preserve">甘氨酸、丙氨酸/(mg/kg)      </w:t>
                  </w:r>
                  <w:r>
                    <w:rPr>
                      <w:rFonts w:asciiTheme="majorEastAsia" w:hAnsiTheme="majorEastAsia" w:eastAsiaTheme="majorEastAsia"/>
                      <w:bCs/>
                      <w:sz w:val="18"/>
                      <w:szCs w:val="18"/>
                    </w:rPr>
                    <w:t>≥</w:t>
                  </w:r>
                </w:p>
              </w:tc>
              <w:tc>
                <w:tcPr>
                  <w:tcW w:w="5529" w:type="dxa"/>
                  <w:gridSpan w:val="4"/>
                </w:tcPr>
                <w:p>
                  <w:pPr>
                    <w:spacing w:beforeLines="50" w:afterLines="20"/>
                    <w:ind w:right="23" w:rightChars="11"/>
                    <w:jc w:val="center"/>
                    <w:rPr>
                      <w:b/>
                      <w:szCs w:val="21"/>
                    </w:rPr>
                  </w:pPr>
                  <w:r>
                    <w:rPr>
                      <w:rFonts w:hint="eastAsia"/>
                      <w:b/>
                      <w:szCs w:val="21"/>
                    </w:rPr>
                    <w:t>1000</w:t>
                  </w:r>
                </w:p>
              </w:tc>
            </w:tr>
            <w:bookmarkEnd w:id="14"/>
          </w:tbl>
          <w:p>
            <w:pPr>
              <w:adjustRightInd w:val="0"/>
              <w:snapToGrid w:val="0"/>
              <w:spacing w:line="360" w:lineRule="auto"/>
              <w:ind w:firstLine="720" w:firstLineChars="300"/>
              <w:rPr>
                <w:rFonts w:ascii="仿宋_GB2312" w:eastAsia="仿宋_GB2312"/>
                <w:color w:val="000000"/>
                <w:sz w:val="24"/>
                <w:szCs w:val="24"/>
              </w:rPr>
            </w:pPr>
            <w:r>
              <w:rPr>
                <w:rFonts w:hint="eastAsia" w:ascii="仿宋_GB2312" w:eastAsia="仿宋_GB2312"/>
                <w:color w:val="000000"/>
                <w:sz w:val="24"/>
                <w:szCs w:val="24"/>
              </w:rPr>
              <w:t>1）食盐指标的设定：既保证了蚝原汁的品质，又起到防腐、保鲜作用。</w:t>
            </w:r>
          </w:p>
          <w:p>
            <w:pPr>
              <w:adjustRightInd w:val="0"/>
              <w:snapToGrid w:val="0"/>
              <w:spacing w:line="360" w:lineRule="auto"/>
              <w:ind w:firstLine="720" w:firstLineChars="300"/>
              <w:rPr>
                <w:rFonts w:ascii="仿宋_GB2312" w:eastAsia="仿宋_GB2312"/>
                <w:color w:val="000000"/>
                <w:sz w:val="24"/>
                <w:szCs w:val="24"/>
              </w:rPr>
            </w:pPr>
            <w:r>
              <w:rPr>
                <w:rFonts w:hint="eastAsia" w:ascii="仿宋_GB2312" w:eastAsia="仿宋_GB2312"/>
                <w:color w:val="000000"/>
                <w:sz w:val="24"/>
                <w:szCs w:val="24"/>
              </w:rPr>
              <w:t>2）氨基酸态氮指标的设定：根据蚝原汁样品及大量实验的质量结构情况，设定了氨基酸态氮分级指标标准。</w:t>
            </w:r>
          </w:p>
          <w:p>
            <w:pPr>
              <w:adjustRightInd w:val="0"/>
              <w:snapToGrid w:val="0"/>
              <w:spacing w:line="360" w:lineRule="auto"/>
              <w:ind w:firstLine="720" w:firstLineChars="300"/>
              <w:rPr>
                <w:rFonts w:ascii="仿宋_GB2312" w:eastAsia="仿宋_GB2312"/>
                <w:color w:val="000000"/>
                <w:sz w:val="24"/>
                <w:szCs w:val="24"/>
              </w:rPr>
            </w:pPr>
            <w:r>
              <w:rPr>
                <w:rFonts w:hint="eastAsia" w:ascii="仿宋_GB2312" w:eastAsia="仿宋_GB2312"/>
                <w:color w:val="000000"/>
                <w:sz w:val="24"/>
                <w:szCs w:val="24"/>
              </w:rPr>
              <w:t>3）味精限量指标的设定；收集的蚝汁样品中发现有添加谷氨酸钠以提高氨基酸态氮含量的问题，因此设定了谷氨酸钠限量指标，考虑到检测条件的限制和简单易行的原则而设定了谷氨酸钠的检测方法。</w:t>
            </w:r>
          </w:p>
          <w:p>
            <w:pPr>
              <w:adjustRightInd w:val="0"/>
              <w:snapToGrid w:val="0"/>
              <w:spacing w:line="360" w:lineRule="auto"/>
              <w:ind w:firstLine="840" w:firstLineChars="400"/>
              <w:rPr>
                <w:rFonts w:ascii="仿宋_GB2312" w:eastAsia="仿宋_GB2312"/>
                <w:bCs/>
                <w:color w:val="000000"/>
                <w:sz w:val="24"/>
                <w:szCs w:val="24"/>
              </w:rPr>
            </w:pPr>
            <w:r>
              <w:rPr>
                <w:rFonts w:hint="eastAsia"/>
                <w:bCs/>
                <w:szCs w:val="21"/>
              </w:rPr>
              <w:t>4）总糖指标的设定：</w:t>
            </w:r>
          </w:p>
          <w:p>
            <w:pPr>
              <w:adjustRightInd w:val="0"/>
              <w:snapToGrid w:val="0"/>
              <w:spacing w:line="360" w:lineRule="auto"/>
              <w:ind w:firstLine="420" w:firstLineChars="200"/>
              <w:rPr>
                <w:rFonts w:ascii="仿宋_GB2312" w:eastAsia="仿宋_GB2312"/>
                <w:bCs/>
                <w:color w:val="000000"/>
                <w:sz w:val="24"/>
                <w:szCs w:val="24"/>
              </w:rPr>
            </w:pPr>
            <w:r>
              <w:rPr>
                <w:rFonts w:hint="eastAsia"/>
                <w:bCs/>
                <w:szCs w:val="21"/>
              </w:rPr>
              <w:t>主要是考虑煮汁提取蚝原汁固形物和酶解蚝原汁固形物的含量，规避其他没有鲜味的填充物如糊精等碳水化合物。</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征求意见处理结果</w:t>
            </w:r>
          </w:p>
          <w:p>
            <w:pPr>
              <w:spacing w:line="360" w:lineRule="auto"/>
              <w:ind w:left="704"/>
              <w:rPr>
                <w:color w:val="000000"/>
                <w:sz w:val="24"/>
                <w:szCs w:val="24"/>
              </w:rPr>
            </w:pPr>
          </w:p>
          <w:p>
            <w:pPr>
              <w:spacing w:line="360" w:lineRule="auto"/>
              <w:rPr>
                <w:color w:val="000000"/>
                <w:sz w:val="24"/>
                <w:szCs w:val="24"/>
              </w:rPr>
            </w:pPr>
            <w:r>
              <w:rPr>
                <w:rFonts w:hint="eastAsia"/>
                <w:color w:val="000000"/>
                <w:sz w:val="24"/>
                <w:szCs w:val="24"/>
              </w:rPr>
              <w:t xml:space="preserve"> </w:t>
            </w:r>
            <w:r>
              <w:rPr>
                <w:color w:val="000000"/>
                <w:sz w:val="24"/>
                <w:szCs w:val="24"/>
              </w:rPr>
              <w:t xml:space="preserve">     </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标准实施建议</w:t>
            </w:r>
          </w:p>
          <w:p>
            <w:pPr>
              <w:spacing w:line="360" w:lineRule="auto"/>
              <w:rPr>
                <w:color w:val="000000"/>
                <w:sz w:val="24"/>
                <w:szCs w:val="24"/>
              </w:rPr>
            </w:pPr>
            <w:r>
              <w:rPr>
                <w:rFonts w:hint="eastAsia"/>
                <w:color w:val="000000"/>
                <w:sz w:val="24"/>
                <w:szCs w:val="24"/>
              </w:rPr>
              <w:t xml:space="preserve"> </w:t>
            </w:r>
            <w:r>
              <w:rPr>
                <w:color w:val="000000"/>
                <w:sz w:val="24"/>
                <w:szCs w:val="24"/>
              </w:rPr>
              <w:t xml:space="preserve">     </w:t>
            </w:r>
          </w:p>
          <w:p>
            <w:pPr>
              <w:spacing w:line="360" w:lineRule="auto"/>
              <w:rPr>
                <w:color w:val="000000"/>
                <w:sz w:val="24"/>
                <w:szCs w:val="24"/>
              </w:rPr>
            </w:pPr>
            <w:r>
              <w:rPr>
                <w:rFonts w:hint="eastAsia"/>
                <w:color w:val="000000"/>
                <w:sz w:val="24"/>
                <w:szCs w:val="24"/>
              </w:rPr>
              <w:t xml:space="preserve"> </w:t>
            </w:r>
            <w:r>
              <w:rPr>
                <w:color w:val="000000"/>
                <w:sz w:val="24"/>
                <w:szCs w:val="24"/>
              </w:rPr>
              <w:t xml:space="preserve">     </w:t>
            </w:r>
          </w:p>
          <w:p>
            <w:pPr>
              <w:numPr>
                <w:ilvl w:val="0"/>
                <w:numId w:val="1"/>
              </w:numPr>
              <w:spacing w:line="360" w:lineRule="auto"/>
              <w:rPr>
                <w:rFonts w:ascii="黑体" w:hAnsi="黑体" w:eastAsia="黑体"/>
                <w:color w:val="000000"/>
                <w:sz w:val="24"/>
                <w:szCs w:val="24"/>
              </w:rPr>
            </w:pPr>
            <w:r>
              <w:rPr>
                <w:rFonts w:hint="eastAsia" w:ascii="黑体" w:hAnsi="黑体" w:eastAsia="黑体"/>
                <w:color w:val="000000"/>
                <w:sz w:val="24"/>
                <w:szCs w:val="24"/>
              </w:rPr>
              <w:t>其他需要说明的问题</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4"/>
        <w:szCs w:val="24"/>
      </w:rPr>
    </w:pPr>
    <w:r>
      <w:rPr>
        <w:rStyle w:val="7"/>
        <w:rFonts w:hint="eastAsia" w:ascii="宋体" w:hAnsi="宋体"/>
        <w:sz w:val="24"/>
        <w:szCs w:val="24"/>
      </w:rPr>
      <w:t xml:space="preserve">— </w:t>
    </w:r>
    <w:r>
      <w:rPr>
        <w:rFonts w:ascii="宋体" w:hAnsi="宋体"/>
        <w:sz w:val="24"/>
        <w:szCs w:val="24"/>
      </w:rPr>
      <w:fldChar w:fldCharType="begin"/>
    </w:r>
    <w:r>
      <w:rPr>
        <w:rStyle w:val="7"/>
        <w:rFonts w:ascii="宋体" w:hAnsi="宋体"/>
        <w:sz w:val="24"/>
        <w:szCs w:val="24"/>
      </w:rPr>
      <w:instrText xml:space="preserve">PAGE  </w:instrText>
    </w:r>
    <w:r>
      <w:rPr>
        <w:rFonts w:ascii="宋体" w:hAnsi="宋体"/>
        <w:sz w:val="24"/>
        <w:szCs w:val="24"/>
      </w:rPr>
      <w:fldChar w:fldCharType="separate"/>
    </w:r>
    <w:r>
      <w:rPr>
        <w:rStyle w:val="7"/>
        <w:rFonts w:ascii="宋体" w:hAnsi="宋体"/>
        <w:sz w:val="24"/>
        <w:szCs w:val="24"/>
      </w:rPr>
      <w:t>5</w:t>
    </w:r>
    <w:r>
      <w:rPr>
        <w:rFonts w:ascii="宋体" w:hAnsi="宋体"/>
        <w:sz w:val="24"/>
        <w:szCs w:val="24"/>
      </w:rPr>
      <w:fldChar w:fldCharType="end"/>
    </w:r>
    <w:r>
      <w:rPr>
        <w:rStyle w:val="7"/>
        <w:rFonts w:hint="eastAsia" w:ascii="宋体" w:hAnsi="宋体"/>
        <w:sz w:val="24"/>
        <w:szCs w:val="24"/>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60D8"/>
    <w:multiLevelType w:val="multilevel"/>
    <w:tmpl w:val="1AE860D8"/>
    <w:lvl w:ilvl="0" w:tentative="0">
      <w:start w:val="1"/>
      <w:numFmt w:val="japaneseCounting"/>
      <w:lvlText w:val="(%1)"/>
      <w:lvlJc w:val="left"/>
      <w:pPr>
        <w:ind w:left="930" w:hanging="45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2F25439"/>
    <w:multiLevelType w:val="multilevel"/>
    <w:tmpl w:val="22F25439"/>
    <w:lvl w:ilvl="0" w:tentative="0">
      <w:start w:val="1"/>
      <w:numFmt w:val="japaneseCounting"/>
      <w:lvlText w:val="（%1）"/>
      <w:lvlJc w:val="left"/>
      <w:pPr>
        <w:ind w:left="1140" w:hanging="720"/>
      </w:pPr>
      <w:rPr>
        <w:rFonts w:hint="eastAsia" w:cs="Times New Roman"/>
      </w:rPr>
    </w:lvl>
    <w:lvl w:ilvl="1" w:tentative="0">
      <w:start w:val="1"/>
      <w:numFmt w:val="lowerLetter"/>
      <w:lvlText w:val="%2)"/>
      <w:lvlJc w:val="left"/>
      <w:pPr>
        <w:ind w:left="1380" w:hanging="480"/>
      </w:pPr>
      <w:rPr>
        <w:rFonts w:cs="Times New Roman"/>
      </w:rPr>
    </w:lvl>
    <w:lvl w:ilvl="2" w:tentative="0">
      <w:start w:val="1"/>
      <w:numFmt w:val="lowerRoman"/>
      <w:lvlText w:val="%3."/>
      <w:lvlJc w:val="right"/>
      <w:pPr>
        <w:ind w:left="1860" w:hanging="480"/>
      </w:pPr>
      <w:rPr>
        <w:rFonts w:cs="Times New Roman"/>
      </w:rPr>
    </w:lvl>
    <w:lvl w:ilvl="3" w:tentative="0">
      <w:start w:val="1"/>
      <w:numFmt w:val="decimal"/>
      <w:lvlText w:val="%4."/>
      <w:lvlJc w:val="left"/>
      <w:pPr>
        <w:ind w:left="2340" w:hanging="480"/>
      </w:pPr>
      <w:rPr>
        <w:rFonts w:cs="Times New Roman"/>
      </w:rPr>
    </w:lvl>
    <w:lvl w:ilvl="4" w:tentative="0">
      <w:start w:val="1"/>
      <w:numFmt w:val="lowerLetter"/>
      <w:lvlText w:val="%5)"/>
      <w:lvlJc w:val="left"/>
      <w:pPr>
        <w:ind w:left="2820" w:hanging="480"/>
      </w:pPr>
      <w:rPr>
        <w:rFonts w:cs="Times New Roman"/>
      </w:rPr>
    </w:lvl>
    <w:lvl w:ilvl="5" w:tentative="0">
      <w:start w:val="1"/>
      <w:numFmt w:val="lowerRoman"/>
      <w:lvlText w:val="%6."/>
      <w:lvlJc w:val="right"/>
      <w:pPr>
        <w:ind w:left="3300" w:hanging="480"/>
      </w:pPr>
      <w:rPr>
        <w:rFonts w:cs="Times New Roman"/>
      </w:rPr>
    </w:lvl>
    <w:lvl w:ilvl="6" w:tentative="0">
      <w:start w:val="1"/>
      <w:numFmt w:val="decimal"/>
      <w:lvlText w:val="%7."/>
      <w:lvlJc w:val="left"/>
      <w:pPr>
        <w:ind w:left="3780" w:hanging="480"/>
      </w:pPr>
      <w:rPr>
        <w:rFonts w:cs="Times New Roman"/>
      </w:rPr>
    </w:lvl>
    <w:lvl w:ilvl="7" w:tentative="0">
      <w:start w:val="1"/>
      <w:numFmt w:val="lowerLetter"/>
      <w:lvlText w:val="%8)"/>
      <w:lvlJc w:val="left"/>
      <w:pPr>
        <w:ind w:left="4260" w:hanging="480"/>
      </w:pPr>
      <w:rPr>
        <w:rFonts w:cs="Times New Roman"/>
      </w:rPr>
    </w:lvl>
    <w:lvl w:ilvl="8" w:tentative="0">
      <w:start w:val="1"/>
      <w:numFmt w:val="lowerRoman"/>
      <w:lvlText w:val="%9."/>
      <w:lvlJc w:val="right"/>
      <w:pPr>
        <w:ind w:left="4740" w:hanging="480"/>
      </w:pPr>
      <w:rPr>
        <w:rFonts w:cs="Times New Roman"/>
      </w:rPr>
    </w:lvl>
  </w:abstractNum>
  <w:abstractNum w:abstractNumId="2">
    <w:nsid w:val="2F6F6466"/>
    <w:multiLevelType w:val="multilevel"/>
    <w:tmpl w:val="2F6F646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81F1C66"/>
    <w:multiLevelType w:val="multilevel"/>
    <w:tmpl w:val="481F1C66"/>
    <w:lvl w:ilvl="0" w:tentative="0">
      <w:start w:val="1"/>
      <w:numFmt w:val="japaneseCounting"/>
      <w:lvlText w:val="%1、"/>
      <w:lvlJc w:val="left"/>
      <w:pPr>
        <w:tabs>
          <w:tab w:val="left" w:pos="704"/>
        </w:tabs>
        <w:ind w:left="704" w:hanging="420"/>
      </w:pPr>
      <w:rPr>
        <w:rFonts w:hint="default" w:cs="Times New Roman"/>
        <w:b w:val="0"/>
      </w:rPr>
    </w:lvl>
    <w:lvl w:ilvl="1" w:tentative="0">
      <w:start w:val="1"/>
      <w:numFmt w:val="lowerLetter"/>
      <w:lvlText w:val="%2)"/>
      <w:lvlJc w:val="left"/>
      <w:pPr>
        <w:tabs>
          <w:tab w:val="left" w:pos="1124"/>
        </w:tabs>
        <w:ind w:left="1124" w:hanging="420"/>
      </w:pPr>
      <w:rPr>
        <w:rFonts w:cs="Times New Roman"/>
      </w:rPr>
    </w:lvl>
    <w:lvl w:ilvl="2" w:tentative="0">
      <w:start w:val="1"/>
      <w:numFmt w:val="lowerRoman"/>
      <w:lvlText w:val="%3."/>
      <w:lvlJc w:val="right"/>
      <w:pPr>
        <w:tabs>
          <w:tab w:val="left" w:pos="1544"/>
        </w:tabs>
        <w:ind w:left="1544" w:hanging="420"/>
      </w:pPr>
      <w:rPr>
        <w:rFonts w:cs="Times New Roman"/>
      </w:rPr>
    </w:lvl>
    <w:lvl w:ilvl="3" w:tentative="0">
      <w:start w:val="1"/>
      <w:numFmt w:val="decimal"/>
      <w:lvlText w:val="%4."/>
      <w:lvlJc w:val="left"/>
      <w:pPr>
        <w:tabs>
          <w:tab w:val="left" w:pos="1964"/>
        </w:tabs>
        <w:ind w:left="1964" w:hanging="420"/>
      </w:pPr>
      <w:rPr>
        <w:rFonts w:cs="Times New Roman"/>
      </w:rPr>
    </w:lvl>
    <w:lvl w:ilvl="4" w:tentative="0">
      <w:start w:val="1"/>
      <w:numFmt w:val="lowerLetter"/>
      <w:lvlText w:val="%5)"/>
      <w:lvlJc w:val="left"/>
      <w:pPr>
        <w:tabs>
          <w:tab w:val="left" w:pos="2384"/>
        </w:tabs>
        <w:ind w:left="2384" w:hanging="420"/>
      </w:pPr>
      <w:rPr>
        <w:rFonts w:cs="Times New Roman"/>
      </w:rPr>
    </w:lvl>
    <w:lvl w:ilvl="5" w:tentative="0">
      <w:start w:val="1"/>
      <w:numFmt w:val="lowerRoman"/>
      <w:lvlText w:val="%6."/>
      <w:lvlJc w:val="right"/>
      <w:pPr>
        <w:tabs>
          <w:tab w:val="left" w:pos="2804"/>
        </w:tabs>
        <w:ind w:left="2804" w:hanging="420"/>
      </w:pPr>
      <w:rPr>
        <w:rFonts w:cs="Times New Roman"/>
      </w:rPr>
    </w:lvl>
    <w:lvl w:ilvl="6" w:tentative="0">
      <w:start w:val="1"/>
      <w:numFmt w:val="decimal"/>
      <w:lvlText w:val="%7."/>
      <w:lvlJc w:val="left"/>
      <w:pPr>
        <w:tabs>
          <w:tab w:val="left" w:pos="3224"/>
        </w:tabs>
        <w:ind w:left="3224" w:hanging="420"/>
      </w:pPr>
      <w:rPr>
        <w:rFonts w:cs="Times New Roman"/>
      </w:rPr>
    </w:lvl>
    <w:lvl w:ilvl="7" w:tentative="0">
      <w:start w:val="1"/>
      <w:numFmt w:val="lowerLetter"/>
      <w:lvlText w:val="%8)"/>
      <w:lvlJc w:val="left"/>
      <w:pPr>
        <w:tabs>
          <w:tab w:val="left" w:pos="3644"/>
        </w:tabs>
        <w:ind w:left="3644" w:hanging="420"/>
      </w:pPr>
      <w:rPr>
        <w:rFonts w:cs="Times New Roman"/>
      </w:rPr>
    </w:lvl>
    <w:lvl w:ilvl="8" w:tentative="0">
      <w:start w:val="1"/>
      <w:numFmt w:val="lowerRoman"/>
      <w:lvlText w:val="%9."/>
      <w:lvlJc w:val="right"/>
      <w:pPr>
        <w:tabs>
          <w:tab w:val="left" w:pos="4064"/>
        </w:tabs>
        <w:ind w:left="4064" w:hanging="420"/>
      </w:pPr>
      <w:rPr>
        <w:rFonts w:cs="Times New Roman"/>
      </w:rPr>
    </w:lvl>
  </w:abstractNum>
  <w:abstractNum w:abstractNumId="4">
    <w:nsid w:val="79F03FC3"/>
    <w:multiLevelType w:val="multilevel"/>
    <w:tmpl w:val="79F03FC3"/>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D1071E"/>
    <w:rsid w:val="00002081"/>
    <w:rsid w:val="00011ABD"/>
    <w:rsid w:val="00011E0A"/>
    <w:rsid w:val="00015586"/>
    <w:rsid w:val="00026FDF"/>
    <w:rsid w:val="00036F7A"/>
    <w:rsid w:val="00050B7D"/>
    <w:rsid w:val="00055C2E"/>
    <w:rsid w:val="000662B1"/>
    <w:rsid w:val="00096268"/>
    <w:rsid w:val="000976C6"/>
    <w:rsid w:val="000A007A"/>
    <w:rsid w:val="000D025E"/>
    <w:rsid w:val="000E0AE1"/>
    <w:rsid w:val="00100330"/>
    <w:rsid w:val="00123805"/>
    <w:rsid w:val="001246B0"/>
    <w:rsid w:val="00132727"/>
    <w:rsid w:val="001529FB"/>
    <w:rsid w:val="00153F34"/>
    <w:rsid w:val="0015706C"/>
    <w:rsid w:val="0016472F"/>
    <w:rsid w:val="00170051"/>
    <w:rsid w:val="001705EE"/>
    <w:rsid w:val="00174CFC"/>
    <w:rsid w:val="00182FFF"/>
    <w:rsid w:val="001A4CBE"/>
    <w:rsid w:val="001A7189"/>
    <w:rsid w:val="001B20D5"/>
    <w:rsid w:val="001B6C57"/>
    <w:rsid w:val="001C6F0C"/>
    <w:rsid w:val="001D775E"/>
    <w:rsid w:val="001F0D34"/>
    <w:rsid w:val="001F1E7A"/>
    <w:rsid w:val="0021162C"/>
    <w:rsid w:val="002212FE"/>
    <w:rsid w:val="00234106"/>
    <w:rsid w:val="00236043"/>
    <w:rsid w:val="0026068D"/>
    <w:rsid w:val="0026528B"/>
    <w:rsid w:val="002734B8"/>
    <w:rsid w:val="00286467"/>
    <w:rsid w:val="002A20EB"/>
    <w:rsid w:val="002A7F29"/>
    <w:rsid w:val="002B1310"/>
    <w:rsid w:val="002B15DD"/>
    <w:rsid w:val="002C21BF"/>
    <w:rsid w:val="002E048C"/>
    <w:rsid w:val="002E0AE6"/>
    <w:rsid w:val="002E2612"/>
    <w:rsid w:val="00305311"/>
    <w:rsid w:val="00310275"/>
    <w:rsid w:val="0031230E"/>
    <w:rsid w:val="00313E3A"/>
    <w:rsid w:val="0032337C"/>
    <w:rsid w:val="00335FC9"/>
    <w:rsid w:val="00341DB5"/>
    <w:rsid w:val="0034626D"/>
    <w:rsid w:val="003655BF"/>
    <w:rsid w:val="00365723"/>
    <w:rsid w:val="00366BE3"/>
    <w:rsid w:val="003758F3"/>
    <w:rsid w:val="00382E05"/>
    <w:rsid w:val="0039099E"/>
    <w:rsid w:val="0039277C"/>
    <w:rsid w:val="00396C1A"/>
    <w:rsid w:val="003A4FF8"/>
    <w:rsid w:val="003A7441"/>
    <w:rsid w:val="003D48BC"/>
    <w:rsid w:val="003D6FED"/>
    <w:rsid w:val="003E542F"/>
    <w:rsid w:val="0040476A"/>
    <w:rsid w:val="00411E53"/>
    <w:rsid w:val="00416DD3"/>
    <w:rsid w:val="00446D37"/>
    <w:rsid w:val="00451FD6"/>
    <w:rsid w:val="004522CE"/>
    <w:rsid w:val="004561AB"/>
    <w:rsid w:val="004912C3"/>
    <w:rsid w:val="004A17C1"/>
    <w:rsid w:val="004C4663"/>
    <w:rsid w:val="004E775D"/>
    <w:rsid w:val="004F07DC"/>
    <w:rsid w:val="004F6901"/>
    <w:rsid w:val="005025A2"/>
    <w:rsid w:val="00534EAB"/>
    <w:rsid w:val="00546523"/>
    <w:rsid w:val="005560B7"/>
    <w:rsid w:val="005643FB"/>
    <w:rsid w:val="005774C7"/>
    <w:rsid w:val="005870F8"/>
    <w:rsid w:val="0059107E"/>
    <w:rsid w:val="00596A47"/>
    <w:rsid w:val="005B6D4F"/>
    <w:rsid w:val="005C1FBD"/>
    <w:rsid w:val="005C26CA"/>
    <w:rsid w:val="005C2FC8"/>
    <w:rsid w:val="005D5D17"/>
    <w:rsid w:val="005E14F5"/>
    <w:rsid w:val="00627138"/>
    <w:rsid w:val="00660650"/>
    <w:rsid w:val="006626AA"/>
    <w:rsid w:val="00666696"/>
    <w:rsid w:val="00680605"/>
    <w:rsid w:val="00680DBE"/>
    <w:rsid w:val="006A52ED"/>
    <w:rsid w:val="006D4769"/>
    <w:rsid w:val="006D6150"/>
    <w:rsid w:val="006E096C"/>
    <w:rsid w:val="006F443E"/>
    <w:rsid w:val="007337AD"/>
    <w:rsid w:val="007355BB"/>
    <w:rsid w:val="00744BCC"/>
    <w:rsid w:val="00745D4C"/>
    <w:rsid w:val="0074716F"/>
    <w:rsid w:val="0076767D"/>
    <w:rsid w:val="007865B8"/>
    <w:rsid w:val="007B227E"/>
    <w:rsid w:val="007B4ECF"/>
    <w:rsid w:val="007B74BF"/>
    <w:rsid w:val="007C24DE"/>
    <w:rsid w:val="007F68F4"/>
    <w:rsid w:val="008125F2"/>
    <w:rsid w:val="008210A8"/>
    <w:rsid w:val="00824ECB"/>
    <w:rsid w:val="00843F20"/>
    <w:rsid w:val="00845C05"/>
    <w:rsid w:val="008631C0"/>
    <w:rsid w:val="00872BAA"/>
    <w:rsid w:val="0088065A"/>
    <w:rsid w:val="00890D77"/>
    <w:rsid w:val="008C2530"/>
    <w:rsid w:val="008C2FF5"/>
    <w:rsid w:val="008D6822"/>
    <w:rsid w:val="008E70BE"/>
    <w:rsid w:val="009039D4"/>
    <w:rsid w:val="00913D28"/>
    <w:rsid w:val="00916025"/>
    <w:rsid w:val="00916489"/>
    <w:rsid w:val="00924601"/>
    <w:rsid w:val="00925BD8"/>
    <w:rsid w:val="009307CD"/>
    <w:rsid w:val="00931A41"/>
    <w:rsid w:val="009416C2"/>
    <w:rsid w:val="00950A37"/>
    <w:rsid w:val="00960109"/>
    <w:rsid w:val="00966B7B"/>
    <w:rsid w:val="00986EF1"/>
    <w:rsid w:val="009873A2"/>
    <w:rsid w:val="009A4FCE"/>
    <w:rsid w:val="009A7D34"/>
    <w:rsid w:val="009C00CC"/>
    <w:rsid w:val="009D2FF8"/>
    <w:rsid w:val="009E723B"/>
    <w:rsid w:val="009E774B"/>
    <w:rsid w:val="009F4667"/>
    <w:rsid w:val="009F6AE9"/>
    <w:rsid w:val="00A07E33"/>
    <w:rsid w:val="00A20DD4"/>
    <w:rsid w:val="00A425C1"/>
    <w:rsid w:val="00A57C18"/>
    <w:rsid w:val="00A704B7"/>
    <w:rsid w:val="00A8294F"/>
    <w:rsid w:val="00A87C23"/>
    <w:rsid w:val="00A97BFC"/>
    <w:rsid w:val="00AA55C3"/>
    <w:rsid w:val="00AB163A"/>
    <w:rsid w:val="00AC2E31"/>
    <w:rsid w:val="00AD0B89"/>
    <w:rsid w:val="00AD34E8"/>
    <w:rsid w:val="00AE0085"/>
    <w:rsid w:val="00AE4203"/>
    <w:rsid w:val="00B057E7"/>
    <w:rsid w:val="00B1373E"/>
    <w:rsid w:val="00B3077B"/>
    <w:rsid w:val="00B3384C"/>
    <w:rsid w:val="00B41456"/>
    <w:rsid w:val="00B666D7"/>
    <w:rsid w:val="00B66AE8"/>
    <w:rsid w:val="00B77F2A"/>
    <w:rsid w:val="00BB5A83"/>
    <w:rsid w:val="00BD39D9"/>
    <w:rsid w:val="00BD4290"/>
    <w:rsid w:val="00BD7C35"/>
    <w:rsid w:val="00BE5056"/>
    <w:rsid w:val="00BE6623"/>
    <w:rsid w:val="00BF1EB4"/>
    <w:rsid w:val="00C20596"/>
    <w:rsid w:val="00C35446"/>
    <w:rsid w:val="00C40ED9"/>
    <w:rsid w:val="00C42A65"/>
    <w:rsid w:val="00C559DB"/>
    <w:rsid w:val="00C571F4"/>
    <w:rsid w:val="00C663CB"/>
    <w:rsid w:val="00C66FB8"/>
    <w:rsid w:val="00C93B0A"/>
    <w:rsid w:val="00CD6E4C"/>
    <w:rsid w:val="00CF290C"/>
    <w:rsid w:val="00CF48AA"/>
    <w:rsid w:val="00CF6EC2"/>
    <w:rsid w:val="00D01D48"/>
    <w:rsid w:val="00D20F0A"/>
    <w:rsid w:val="00D30A25"/>
    <w:rsid w:val="00D56B06"/>
    <w:rsid w:val="00D735BD"/>
    <w:rsid w:val="00D92B54"/>
    <w:rsid w:val="00DB3E28"/>
    <w:rsid w:val="00DC535D"/>
    <w:rsid w:val="00DD1480"/>
    <w:rsid w:val="00DE2904"/>
    <w:rsid w:val="00DE2D77"/>
    <w:rsid w:val="00DF33D2"/>
    <w:rsid w:val="00DF36D0"/>
    <w:rsid w:val="00E02C13"/>
    <w:rsid w:val="00E11242"/>
    <w:rsid w:val="00E153F5"/>
    <w:rsid w:val="00E2191F"/>
    <w:rsid w:val="00E2611C"/>
    <w:rsid w:val="00E30FB7"/>
    <w:rsid w:val="00E4551D"/>
    <w:rsid w:val="00E65282"/>
    <w:rsid w:val="00E8573E"/>
    <w:rsid w:val="00E94618"/>
    <w:rsid w:val="00EC02F9"/>
    <w:rsid w:val="00EE067E"/>
    <w:rsid w:val="00EF36F3"/>
    <w:rsid w:val="00F06452"/>
    <w:rsid w:val="00F07C3A"/>
    <w:rsid w:val="00F133EC"/>
    <w:rsid w:val="00F153A0"/>
    <w:rsid w:val="00F239FE"/>
    <w:rsid w:val="00F45036"/>
    <w:rsid w:val="00F71088"/>
    <w:rsid w:val="00F711DD"/>
    <w:rsid w:val="00F7319E"/>
    <w:rsid w:val="00F85EF4"/>
    <w:rsid w:val="00F93263"/>
    <w:rsid w:val="00F93552"/>
    <w:rsid w:val="00F96FD5"/>
    <w:rsid w:val="00F970E7"/>
    <w:rsid w:val="00FA65D4"/>
    <w:rsid w:val="00FC3B0E"/>
    <w:rsid w:val="00FD73FC"/>
    <w:rsid w:val="00FE1322"/>
    <w:rsid w:val="00FE413A"/>
    <w:rsid w:val="00FF028E"/>
    <w:rsid w:val="068428E9"/>
    <w:rsid w:val="0AE61DC4"/>
    <w:rsid w:val="21D1071E"/>
    <w:rsid w:val="269C55D5"/>
    <w:rsid w:val="2FB219C5"/>
    <w:rsid w:val="51B64EEE"/>
    <w:rsid w:val="61972646"/>
    <w:rsid w:val="61D2367E"/>
    <w:rsid w:val="70C364EC"/>
    <w:rsid w:val="72952988"/>
    <w:rsid w:val="77F7438B"/>
    <w:rsid w:val="7821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semiHidden/>
    <w:uiPriority w:val="0"/>
    <w:rPr>
      <w:rFonts w:cs="Times New Roman"/>
    </w:rPr>
  </w:style>
  <w:style w:type="paragraph" w:styleId="8">
    <w:name w:val="List Paragraph"/>
    <w:basedOn w:val="1"/>
    <w:uiPriority w:val="99"/>
    <w:pPr>
      <w:ind w:firstLine="420" w:firstLineChars="200"/>
    </w:pPr>
  </w:style>
  <w:style w:type="paragraph" w:customStyle="1" w:styleId="9">
    <w:name w:val="段"/>
    <w:link w:val="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
    <w:name w:val="段 Char"/>
    <w:basedOn w:val="6"/>
    <w:link w:val="9"/>
    <w:qFormat/>
    <w:uiPriority w:val="0"/>
    <w:rPr>
      <w:rFonts w:ascii="宋体" w:hAnsi="Times New Roman"/>
      <w:sz w:val="21"/>
    </w:rPr>
  </w:style>
  <w:style w:type="paragraph" w:customStyle="1" w:styleId="11">
    <w:name w:val="二级条标题"/>
    <w:basedOn w:val="1"/>
    <w:next w:val="9"/>
    <w:uiPriority w:val="0"/>
    <w:pPr>
      <w:widowControl/>
      <w:jc w:val="left"/>
      <w:outlineLvl w:val="3"/>
    </w:pPr>
    <w:rPr>
      <w:rFonts w:ascii="Times New Roman" w:hAnsi="Times New Roman"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2C5B8-DA81-4AFA-8243-76FE8B6CF283}">
  <ds:schemaRefs/>
</ds:datastoreItem>
</file>

<file path=docProps/app.xml><?xml version="1.0" encoding="utf-8"?>
<Properties xmlns="http://schemas.openxmlformats.org/officeDocument/2006/extended-properties" xmlns:vt="http://schemas.openxmlformats.org/officeDocument/2006/docPropsVTypes">
  <Template>Normal</Template>
  <Pages>6</Pages>
  <Words>648</Words>
  <Characters>3696</Characters>
  <Lines>30</Lines>
  <Paragraphs>8</Paragraphs>
  <TotalTime>1161</TotalTime>
  <ScaleCrop>false</ScaleCrop>
  <LinksUpToDate>false</LinksUpToDate>
  <CharactersWithSpaces>4336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2020-06-01T02:33:00Z</dcterms:created>
  <dc:creator>cnfia_kjb</dc:creator>
  <cp:lastModifiedBy>梁</cp:lastModifiedBy>
  <cp:lastPrinted>2021-04-22T03:10:00Z</cp:lastPrinted>
  <dcterms:modified xsi:type="dcterms:W3CDTF">2022-01-18T02:38:55Z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277381BC8C8F4633A282C0E96C53E20B</vt:lpwstr>
  </property>
</Properties>
</file>