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95"/>
          <w:tab w:val="left" w:pos="6720"/>
        </w:tabs>
        <w:spacing w:line="300" w:lineRule="auto"/>
        <w:rPr>
          <w:rFonts w:ascii="Times New Roman" w:hAnsi="Times New Roman"/>
          <w:kern w:val="2"/>
          <w:lang w:eastAsia="zh-CN" w:bidi="ar-SA"/>
        </w:rPr>
      </w:pPr>
      <w:r>
        <w:rPr>
          <w:rFonts w:ascii="Times New Roman" w:hAnsi="Times New Roman"/>
          <w:kern w:val="2"/>
          <w:lang w:eastAsia="zh-CN" w:bidi="ar-SA"/>
        </w:rPr>
        <w:t>ICS 67.160.10</w:t>
      </w:r>
    </w:p>
    <w:p>
      <w:pPr>
        <w:widowControl w:val="0"/>
        <w:tabs>
          <w:tab w:val="left" w:pos="1995"/>
          <w:tab w:val="left" w:pos="6720"/>
        </w:tabs>
        <w:spacing w:line="300" w:lineRule="auto"/>
        <w:rPr>
          <w:rFonts w:ascii="Times New Roman" w:hAnsi="Times New Roman"/>
          <w:kern w:val="2"/>
          <w:lang w:eastAsia="zh-CN" w:bidi="ar-SA"/>
        </w:rPr>
      </w:pPr>
      <w:r>
        <w:rPr>
          <w:rFonts w:ascii="Times New Roman" w:hAnsi="Times New Roman"/>
          <w:kern w:val="2"/>
          <w:lang w:eastAsia="zh-CN" w:bidi="ar-SA"/>
        </w:rPr>
        <w:t>X 62</w:t>
      </w:r>
    </w:p>
    <w:p>
      <w:pPr>
        <w:widowControl w:val="0"/>
        <w:tabs>
          <w:tab w:val="left" w:pos="1995"/>
          <w:tab w:val="left" w:pos="6720"/>
        </w:tabs>
        <w:spacing w:line="300" w:lineRule="auto"/>
        <w:rPr>
          <w:rFonts w:ascii="Times New Roman" w:hAnsi="Times New Roman"/>
          <w:kern w:val="2"/>
          <w:sz w:val="28"/>
          <w:szCs w:val="28"/>
          <w:lang w:eastAsia="zh-CN" w:bidi="ar-SA"/>
        </w:rPr>
      </w:pPr>
    </w:p>
    <w:p>
      <w:pPr>
        <w:widowControl w:val="0"/>
        <w:tabs>
          <w:tab w:val="left" w:pos="1995"/>
          <w:tab w:val="left" w:pos="6720"/>
        </w:tabs>
        <w:spacing w:line="300" w:lineRule="auto"/>
        <w:jc w:val="distribute"/>
        <w:rPr>
          <w:rFonts w:ascii="Times New Roman" w:hAnsi="Times New Roman" w:eastAsia="黑体"/>
          <w:bCs/>
          <w:color w:val="000000"/>
          <w:w w:val="140"/>
          <w:kern w:val="2"/>
          <w:sz w:val="40"/>
          <w:szCs w:val="44"/>
          <w:lang w:eastAsia="zh-CN" w:bidi="ar-SA"/>
        </w:rPr>
      </w:pPr>
      <w:r>
        <w:rPr>
          <w:rFonts w:hint="eastAsia" w:ascii="Times New Roman" w:hAnsi="Times New Roman" w:eastAsia="黑体"/>
          <w:bCs/>
          <w:color w:val="000000"/>
          <w:w w:val="140"/>
          <w:kern w:val="2"/>
          <w:sz w:val="40"/>
          <w:szCs w:val="44"/>
          <w:lang w:eastAsia="zh-CN" w:bidi="ar-SA"/>
        </w:rPr>
        <w:t>团体标准</w:t>
      </w:r>
    </w:p>
    <w:p>
      <w:pPr>
        <w:widowControl w:val="0"/>
        <w:pBdr>
          <w:bottom w:val="single" w:color="auto" w:sz="8" w:space="14"/>
        </w:pBdr>
        <w:spacing w:before="156" w:beforeLines="50" w:line="300" w:lineRule="auto"/>
        <w:jc w:val="right"/>
        <w:rPr>
          <w:rFonts w:ascii="Times New Roman" w:hAnsi="Times New Roman" w:eastAsia="黑体"/>
          <w:b/>
          <w:color w:val="auto"/>
          <w:kern w:val="2"/>
          <w:sz w:val="28"/>
          <w:lang w:eastAsia="zh-CN" w:bidi="ar-SA"/>
        </w:rPr>
      </w:pPr>
      <w:r>
        <w:rPr>
          <w:rFonts w:ascii="Times New Roman" w:hAnsi="Times New Roman" w:eastAsia="黑体"/>
          <w:b/>
          <w:color w:val="auto"/>
          <w:kern w:val="2"/>
          <w:sz w:val="28"/>
          <w:lang w:eastAsia="zh-CN" w:bidi="ar-SA"/>
        </w:rPr>
        <w:t xml:space="preserve">T/CNFIA </w:t>
      </w:r>
      <w:r>
        <w:rPr>
          <w:rFonts w:hint="eastAsia" w:ascii="Times New Roman" w:hAnsi="Times New Roman" w:eastAsia="黑体"/>
          <w:b/>
          <w:color w:val="auto"/>
          <w:kern w:val="2"/>
          <w:sz w:val="28"/>
          <w:lang w:eastAsia="zh-CN" w:bidi="ar-SA"/>
        </w:rPr>
        <w:t>-2022</w:t>
      </w: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  <w:r>
        <w:rPr>
          <w:rFonts w:hint="eastAsia" w:ascii="Times New Roman" w:hAnsi="Times New Roman"/>
          <w:color w:val="000000"/>
          <w:kern w:val="2"/>
          <w:sz w:val="21"/>
          <w:lang w:eastAsia="zh-CN" w:bidi="ar-SA"/>
        </w:rPr>
        <w:t>　　　</w:t>
      </w:r>
    </w:p>
    <w:p>
      <w:pPr>
        <w:widowControl w:val="0"/>
        <w:spacing w:line="300" w:lineRule="auto"/>
        <w:jc w:val="center"/>
        <w:rPr>
          <w:rFonts w:ascii="Times New Roman" w:hAnsi="Times New Roman" w:eastAsia="黑体"/>
          <w:bCs/>
          <w:color w:val="000000"/>
          <w:kern w:val="2"/>
          <w:sz w:val="52"/>
          <w:szCs w:val="52"/>
          <w:lang w:eastAsia="zh-CN" w:bidi="ar-SA"/>
        </w:rPr>
      </w:pPr>
      <w:r>
        <w:rPr>
          <w:rFonts w:hint="eastAsia" w:ascii="Times New Roman" w:hAnsi="Times New Roman" w:eastAsia="黑体"/>
          <w:bCs/>
          <w:color w:val="000000"/>
          <w:kern w:val="2"/>
          <w:sz w:val="52"/>
          <w:szCs w:val="52"/>
          <w:lang w:eastAsia="zh-CN" w:bidi="ar-SA"/>
        </w:rPr>
        <w:t>黑果腺肋花楸果酒团体标准</w:t>
      </w:r>
    </w:p>
    <w:p>
      <w:pPr>
        <w:widowControl w:val="0"/>
        <w:spacing w:line="300" w:lineRule="auto"/>
        <w:jc w:val="center"/>
        <w:rPr>
          <w:rFonts w:ascii="Times New Roman" w:hAnsi="Times New Roman" w:eastAsia="楷体_GB2312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/>
          <w:color w:val="000000"/>
          <w:kern w:val="2"/>
          <w:sz w:val="32"/>
          <w:szCs w:val="32"/>
          <w:lang w:eastAsia="zh-CN" w:bidi="ar-SA"/>
        </w:rPr>
        <w:t>（征求意见稿）</w:t>
      </w:r>
    </w:p>
    <w:p>
      <w:pPr>
        <w:widowControl w:val="0"/>
        <w:spacing w:line="300" w:lineRule="auto"/>
        <w:jc w:val="center"/>
        <w:rPr>
          <w:rFonts w:ascii="Times New Roman" w:hAnsi="Times New Roman"/>
          <w:color w:val="auto"/>
          <w:kern w:val="2"/>
          <w:sz w:val="21"/>
          <w:lang w:eastAsia="zh-CN" w:bidi="ar-SA"/>
        </w:rPr>
      </w:pPr>
      <w:r>
        <w:rPr>
          <w:rFonts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>A</w:t>
      </w:r>
      <w:r>
        <w:rPr>
          <w:rFonts w:hint="eastAsia"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>ssociation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 xml:space="preserve"> S</w:t>
      </w:r>
      <w:r>
        <w:rPr>
          <w:rFonts w:hint="eastAsia"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>tandard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>on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 xml:space="preserve"> </w:t>
      </w:r>
      <w:bookmarkStart w:id="0" w:name="_Hlk92710537"/>
      <w:r>
        <w:rPr>
          <w:rFonts w:ascii="Times New Roman" w:hAnsi="Times New Roman" w:eastAsia="楷体_GB2312"/>
          <w:color w:val="auto"/>
          <w:kern w:val="2"/>
          <w:sz w:val="32"/>
          <w:szCs w:val="32"/>
          <w:u w:val="none"/>
          <w:lang w:eastAsia="zh-CN" w:bidi="ar-SA"/>
        </w:rPr>
        <w:t>Aronia melanocarpa (</w:t>
      </w:r>
      <w:r>
        <w:rPr>
          <w:rFonts w:ascii="Times New Roman" w:hAnsi="Times New Roman" w:eastAsia="楷体_GB2312"/>
          <w:i/>
          <w:iCs/>
          <w:color w:val="auto"/>
          <w:kern w:val="2"/>
          <w:sz w:val="32"/>
          <w:szCs w:val="32"/>
          <w:u w:val="none"/>
          <w:lang w:eastAsia="zh-CN" w:bidi="ar-SA"/>
        </w:rPr>
        <w:t>Michx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u w:val="none"/>
          <w:lang w:eastAsia="zh-CN" w:bidi="ar-SA"/>
        </w:rPr>
        <w:t>.</w:t>
      </w:r>
      <w:r>
        <w:rPr>
          <w:rFonts w:ascii="Times New Roman" w:hAnsi="Times New Roman" w:eastAsia="楷体_GB2312"/>
          <w:color w:val="auto"/>
          <w:kern w:val="2"/>
          <w:sz w:val="32"/>
          <w:szCs w:val="32"/>
          <w:lang w:eastAsia="zh-CN" w:bidi="ar-SA"/>
        </w:rPr>
        <w:t>)Elliott Wine</w:t>
      </w:r>
      <w:bookmarkEnd w:id="0"/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center"/>
        <w:rPr>
          <w:rFonts w:ascii="Times New Roman" w:hAnsi="Times New Roman"/>
          <w:b/>
          <w:color w:val="000000"/>
          <w:kern w:val="2"/>
          <w:sz w:val="28"/>
          <w:szCs w:val="28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spacing w:line="300" w:lineRule="auto"/>
        <w:jc w:val="both"/>
        <w:rPr>
          <w:rFonts w:ascii="Times New Roman" w:hAnsi="Times New Roman"/>
          <w:color w:val="000000"/>
          <w:kern w:val="2"/>
          <w:sz w:val="21"/>
          <w:lang w:eastAsia="zh-CN" w:bidi="ar-SA"/>
        </w:rPr>
      </w:pPr>
    </w:p>
    <w:p>
      <w:pPr>
        <w:widowControl w:val="0"/>
        <w:tabs>
          <w:tab w:val="left" w:pos="6125"/>
        </w:tabs>
        <w:spacing w:line="300" w:lineRule="auto"/>
        <w:rPr>
          <w:rFonts w:ascii="Times New Roman" w:hAnsi="Times New Roman" w:eastAsia="黑体"/>
          <w:color w:val="000000"/>
          <w:kern w:val="2"/>
          <w:lang w:eastAsia="zh-CN" w:bidi="ar-SA"/>
        </w:rPr>
      </w:pPr>
      <w:r>
        <w:rPr>
          <w:rFonts w:ascii="Times New Roman" w:hAnsi="Times New Roman" w:eastAsia="黑体"/>
          <w:color w:val="000000"/>
          <w:kern w:val="2"/>
          <w:sz w:val="28"/>
          <w:lang w:eastAsia="zh-CN" w:bidi="ar-SA"/>
        </w:rPr>
        <w:t>202</w:t>
      </w:r>
      <w:r>
        <w:rPr>
          <w:rFonts w:hint="eastAsia" w:ascii="Times New Roman" w:hAnsi="Times New Roman" w:eastAsia="黑体"/>
          <w:color w:val="000000"/>
          <w:kern w:val="2"/>
          <w:sz w:val="28"/>
          <w:lang w:eastAsia="zh-CN" w:bidi="ar-SA"/>
        </w:rPr>
        <w:t>2</w:t>
      </w:r>
      <w:r>
        <w:rPr>
          <w:rFonts w:ascii="Times New Roman" w:hAnsi="Times New Roman" w:eastAsia="黑体"/>
          <w:color w:val="000000"/>
          <w:kern w:val="2"/>
          <w:sz w:val="28"/>
          <w:lang w:eastAsia="zh-CN" w:bidi="ar-SA"/>
        </w:rPr>
        <w:t>-XX-XX</w:t>
      </w:r>
      <w:r>
        <w:rPr>
          <w:rFonts w:hint="eastAsia" w:ascii="Times New Roman" w:hAnsi="Times New Roman" w:eastAsia="黑体"/>
          <w:color w:val="000000"/>
          <w:kern w:val="2"/>
          <w:sz w:val="28"/>
          <w:lang w:eastAsia="zh-CN" w:bidi="ar-SA"/>
        </w:rPr>
        <w:t>发布</w:t>
      </w:r>
      <w:r>
        <w:rPr>
          <w:rFonts w:ascii="Times New Roman" w:hAnsi="Times New Roman" w:eastAsia="黑体"/>
          <w:color w:val="000000"/>
          <w:kern w:val="2"/>
          <w:sz w:val="28"/>
          <w:lang w:eastAsia="zh-CN" w:bidi="ar-SA"/>
        </w:rPr>
        <w:tab/>
      </w:r>
      <w:r>
        <w:rPr>
          <w:rFonts w:ascii="Times New Roman" w:hAnsi="Times New Roman" w:eastAsia="黑体"/>
          <w:color w:val="000000"/>
          <w:kern w:val="2"/>
          <w:sz w:val="28"/>
          <w:lang w:eastAsia="zh-CN" w:bidi="ar-SA"/>
        </w:rPr>
        <w:t>202</w:t>
      </w:r>
      <w:r>
        <w:rPr>
          <w:rFonts w:hint="eastAsia" w:ascii="Times New Roman" w:hAnsi="Times New Roman" w:eastAsia="黑体"/>
          <w:color w:val="000000"/>
          <w:kern w:val="2"/>
          <w:sz w:val="28"/>
          <w:lang w:eastAsia="zh-CN" w:bidi="ar-SA"/>
        </w:rPr>
        <w:t>2</w:t>
      </w:r>
      <w:r>
        <w:rPr>
          <w:rFonts w:ascii="Times New Roman" w:hAnsi="Times New Roman" w:eastAsia="黑体"/>
          <w:color w:val="000000"/>
          <w:kern w:val="2"/>
          <w:sz w:val="28"/>
          <w:lang w:eastAsia="zh-CN" w:bidi="ar-SA"/>
        </w:rPr>
        <w:t>-XX-XX</w:t>
      </w:r>
      <w:r>
        <w:rPr>
          <w:rFonts w:hint="eastAsia" w:ascii="Times New Roman" w:hAnsi="Times New Roman" w:eastAsia="黑体"/>
          <w:color w:val="000000"/>
          <w:kern w:val="2"/>
          <w:sz w:val="28"/>
          <w:lang w:eastAsia="zh-CN" w:bidi="ar-SA"/>
        </w:rPr>
        <w:t>实施</w:t>
      </w:r>
    </w:p>
    <w:p>
      <w:pPr>
        <w:widowControl w:val="0"/>
        <w:pBdr>
          <w:top w:val="single" w:color="auto" w:sz="8" w:space="10"/>
        </w:pBdr>
        <w:spacing w:line="300" w:lineRule="auto"/>
        <w:jc w:val="center"/>
        <w:rPr>
          <w:rFonts w:ascii="Times New Roman" w:hAnsi="Times New Roman" w:eastAsia="黑体"/>
          <w:color w:val="000000"/>
          <w:w w:val="12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/>
          <w:color w:val="000000"/>
          <w:w w:val="120"/>
          <w:kern w:val="2"/>
          <w:sz w:val="32"/>
          <w:szCs w:val="32"/>
          <w:lang w:eastAsia="zh-CN" w:bidi="ar-SA"/>
        </w:rPr>
        <w:t>中国食品工业协会</w:t>
      </w:r>
      <w:r>
        <w:rPr>
          <w:rFonts w:ascii="Times New Roman" w:hAnsi="Times New Roman" w:eastAsia="华文中宋"/>
          <w:color w:val="000000"/>
          <w:w w:val="120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="Times New Roman" w:hAnsi="Times New Roman" w:eastAsia="华文中宋"/>
          <w:color w:val="000000"/>
          <w:w w:val="120"/>
          <w:kern w:val="2"/>
          <w:sz w:val="28"/>
          <w:szCs w:val="28"/>
          <w:lang w:eastAsia="zh-CN" w:bidi="ar-SA"/>
        </w:rPr>
        <w:t>发</w:t>
      </w:r>
      <w:r>
        <w:rPr>
          <w:rFonts w:ascii="Times New Roman" w:hAnsi="Times New Roman" w:eastAsia="华文中宋"/>
          <w:color w:val="000000"/>
          <w:w w:val="120"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="Times New Roman" w:hAnsi="Times New Roman" w:eastAsia="华文中宋"/>
          <w:color w:val="000000"/>
          <w:w w:val="120"/>
          <w:kern w:val="2"/>
          <w:sz w:val="28"/>
          <w:szCs w:val="28"/>
          <w:lang w:eastAsia="zh-CN" w:bidi="ar-SA"/>
        </w:rPr>
        <w:t>布</w:t>
      </w:r>
    </w:p>
    <w:p>
      <w:pPr>
        <w:pStyle w:val="8"/>
        <w:jc w:val="left"/>
        <w:sectPr>
          <w:headerReference r:id="rId3" w:type="default"/>
          <w:pgSz w:w="11906" w:h="16838"/>
          <w:pgMar w:top="1440" w:right="1800" w:bottom="1440" w:left="1800" w:header="1418" w:footer="1134" w:gutter="0"/>
          <w:pgNumType w:start="1"/>
          <w:cols w:space="720" w:num="1"/>
          <w:formProt w:val="0"/>
          <w:docGrid w:type="lines" w:linePitch="312" w:charSpace="0"/>
        </w:sectPr>
      </w:pPr>
    </w:p>
    <w:p>
      <w:pPr>
        <w:pStyle w:val="8"/>
      </w:pPr>
      <w:r>
        <w:rPr>
          <w:rFonts w:hint="eastAsia"/>
        </w:rPr>
        <w:t>前</w:t>
      </w:r>
      <w:bookmarkStart w:id="1" w:name="BKQY"/>
      <w:r>
        <w:rPr>
          <w:rFonts w:hAnsi="黑体"/>
        </w:rPr>
        <w:t>    </w:t>
      </w:r>
      <w:r>
        <w:rPr>
          <w:rFonts w:hint="eastAsia"/>
        </w:rPr>
        <w:t>言</w:t>
      </w:r>
      <w:bookmarkEnd w:id="1"/>
    </w:p>
    <w:p>
      <w:pPr>
        <w:pStyle w:val="9"/>
      </w:pPr>
      <w:bookmarkStart w:id="2" w:name="_Hlk92449002"/>
      <w:r>
        <w:rPr>
          <w:rFonts w:hint="eastAsia"/>
        </w:rPr>
        <w:t>本文件按照GB/T 1.1-2020《标准化工作导则  第1部分：标准的结构和编写》的规定。</w:t>
      </w:r>
    </w:p>
    <w:p>
      <w:pPr>
        <w:pStyle w:val="9"/>
      </w:pPr>
      <w:r>
        <w:rPr>
          <w:rFonts w:hint="eastAsia"/>
        </w:rPr>
        <w:t>本文件由中国食品工业协会提出和归口。</w:t>
      </w:r>
    </w:p>
    <w:p>
      <w:pPr>
        <w:pStyle w:val="9"/>
      </w:pPr>
      <w:r>
        <w:rPr>
          <w:rFonts w:hint="eastAsia"/>
        </w:rPr>
        <w:t>本标准起草单位:秦皇岛金樽酒业</w:t>
      </w:r>
      <w:r>
        <w:rPr>
          <w:rFonts w:hint="eastAsia" w:hAnsi="宋体"/>
          <w:color w:val="000000"/>
        </w:rPr>
        <w:t>有限公司、秦皇岛海关技术中心、中国食品工业协会</w:t>
      </w:r>
      <w:r>
        <w:rPr>
          <w:rFonts w:hint="eastAsia" w:hAnsi="宋体"/>
          <w:color w:val="000000"/>
          <w:lang w:val="en-US" w:eastAsia="zh-CN"/>
        </w:rPr>
        <w:t>葡</w:t>
      </w:r>
      <w:bookmarkStart w:id="9" w:name="_GoBack"/>
      <w:bookmarkEnd w:id="9"/>
      <w:r>
        <w:rPr>
          <w:rFonts w:hint="eastAsia" w:hAnsi="宋体"/>
          <w:color w:val="000000"/>
          <w:lang w:val="en-US" w:eastAsia="zh-CN"/>
        </w:rPr>
        <w:t>、果酒专家委员会</w:t>
      </w:r>
      <w:r>
        <w:rPr>
          <w:rFonts w:hint="eastAsia" w:hAnsi="宋体"/>
          <w:color w:val="000000"/>
        </w:rPr>
        <w:t>、阿诺尼亚（秦皇岛）生物科技有限公司</w:t>
      </w:r>
      <w:r>
        <w:rPr>
          <w:rFonts w:hint="eastAsia"/>
        </w:rPr>
        <w:t>。</w:t>
      </w:r>
    </w:p>
    <w:p>
      <w:pPr>
        <w:pStyle w:val="9"/>
      </w:pPr>
      <w:r>
        <w:rPr>
          <w:rFonts w:hint="eastAsia"/>
        </w:rPr>
        <w:t>本标准主要起草人：周钇佟、温永红、张克义、周志波、陈小波、张进杰、张昂、张亚祥。</w:t>
      </w:r>
    </w:p>
    <w:bookmarkEnd w:id="2"/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ind w:firstLine="0" w:firstLineChars="0"/>
        <w:rPr>
          <w:sz w:val="32"/>
          <w:szCs w:val="32"/>
        </w:rPr>
      </w:pPr>
    </w:p>
    <w:p>
      <w:pPr>
        <w:pStyle w:val="9"/>
        <w:spacing w:line="400" w:lineRule="exact"/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黑果腺肋花楸果酒</w:t>
      </w:r>
    </w:p>
    <w:p>
      <w:pPr>
        <w:pStyle w:val="11"/>
        <w:spacing w:line="400" w:lineRule="exact"/>
      </w:pPr>
      <w:r>
        <w:rPr>
          <w:rFonts w:hint="eastAsia"/>
        </w:rPr>
        <w:t>范围</w:t>
      </w:r>
    </w:p>
    <w:p>
      <w:pPr>
        <w:pStyle w:val="9"/>
      </w:pPr>
      <w:r>
        <w:rPr>
          <w:rFonts w:hint="eastAsia"/>
        </w:rPr>
        <w:t>本标准规定了</w:t>
      </w:r>
      <w:bookmarkStart w:id="3" w:name="_Hlk91515960"/>
      <w:r>
        <w:rPr>
          <w:rFonts w:hint="eastAsia"/>
        </w:rPr>
        <w:t>黑果腺肋花楸果酒</w:t>
      </w:r>
      <w:bookmarkEnd w:id="3"/>
      <w:r>
        <w:rPr>
          <w:rFonts w:hint="eastAsia"/>
        </w:rPr>
        <w:t>的术语和定义、产品分类</w:t>
      </w:r>
      <w:bookmarkStart w:id="4" w:name="_Hlk92453168"/>
      <w:r>
        <w:rPr>
          <w:rFonts w:hint="eastAsia"/>
        </w:rPr>
        <w:t>、</w:t>
      </w:r>
      <w:bookmarkEnd w:id="4"/>
      <w:r>
        <w:rPr>
          <w:rFonts w:hint="eastAsia"/>
        </w:rPr>
        <w:t>技术要求、检验方法、检验规则、标识、包装 、运输、贮存。</w:t>
      </w:r>
    </w:p>
    <w:p>
      <w:pPr>
        <w:pStyle w:val="9"/>
      </w:pPr>
    </w:p>
    <w:p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本标准适用于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黑果腺肋花楸果酒的生产、检验与销售</w:t>
      </w:r>
    </w:p>
    <w:p>
      <w:pPr>
        <w:pStyle w:val="11"/>
        <w:spacing w:line="400" w:lineRule="exact"/>
      </w:pPr>
      <w:r>
        <w:rPr>
          <w:rFonts w:hint="eastAsia"/>
        </w:rPr>
        <w:t>规范性引用文件</w:t>
      </w:r>
    </w:p>
    <w:p>
      <w:pPr>
        <w:pStyle w:val="9"/>
        <w:spacing w:line="400" w:lineRule="exact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  <w:szCs w:val="21"/>
        </w:rPr>
        <w:t>JJF 1070  定量包装商品净含量计量检验规则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  <w:szCs w:val="21"/>
        </w:rPr>
        <w:t>GB 12696  食品安全国家标准  发酵酒及其配制酒生产卫生规范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</w:rPr>
        <w:t>GB 13104  白砂糖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  <w:szCs w:val="21"/>
        </w:rPr>
        <w:t>GB 13736  食品添加剂</w:t>
      </w:r>
    </w:p>
    <w:p>
      <w:pPr>
        <w:pStyle w:val="9"/>
        <w:spacing w:line="400" w:lineRule="exact"/>
      </w:pPr>
      <w:r>
        <w:rPr>
          <w:rFonts w:hint="eastAsia"/>
        </w:rPr>
        <w:t>GB/T 15038  葡萄酒、果酒通用分析方法</w:t>
      </w:r>
    </w:p>
    <w:p>
      <w:pPr>
        <w:pStyle w:val="9"/>
        <w:spacing w:line="400" w:lineRule="exact"/>
      </w:pPr>
      <w:r>
        <w:rPr>
          <w:rFonts w:hint="eastAsia"/>
        </w:rPr>
        <w:t>GB 2758   食品安全国家标准  发酵酒及其配制酒</w:t>
      </w:r>
    </w:p>
    <w:p>
      <w:pPr>
        <w:pStyle w:val="9"/>
        <w:spacing w:line="400" w:lineRule="exact"/>
      </w:pPr>
      <w:r>
        <w:rPr>
          <w:rFonts w:hint="eastAsia"/>
        </w:rPr>
        <w:t>GB 2760  食品安全国家标准  食品添加剂使用标准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</w:rPr>
        <w:t xml:space="preserve">GB 31639  </w:t>
      </w:r>
      <w:r>
        <w:rPr>
          <w:rFonts w:hint="eastAsia"/>
          <w:szCs w:val="21"/>
        </w:rPr>
        <w:t>食品安全国家标准  食品加工用酵母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</w:rPr>
        <w:t xml:space="preserve">GB 5009.12  食品安全国家标准  </w:t>
      </w:r>
      <w:r>
        <w:rPr>
          <w:rFonts w:hint="eastAsia"/>
          <w:szCs w:val="21"/>
        </w:rPr>
        <w:t>食品中铅的测定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</w:rPr>
        <w:t xml:space="preserve">GB 5009.266  食品安全国家标准  </w:t>
      </w:r>
      <w:r>
        <w:rPr>
          <w:rFonts w:hint="eastAsia"/>
          <w:szCs w:val="21"/>
        </w:rPr>
        <w:t>食品中甲醇的测定</w:t>
      </w:r>
    </w:p>
    <w:p>
      <w:pPr>
        <w:pStyle w:val="9"/>
        <w:spacing w:line="400" w:lineRule="exact"/>
        <w:rPr>
          <w:szCs w:val="21"/>
        </w:rPr>
      </w:pPr>
      <w:r>
        <w:rPr>
          <w:rFonts w:hint="eastAsia"/>
          <w:szCs w:val="21"/>
        </w:rPr>
        <w:t>GB 7718  食品安全国家标准  预包装食品标签通则</w:t>
      </w:r>
    </w:p>
    <w:p>
      <w:pPr>
        <w:pStyle w:val="9"/>
        <w:spacing w:line="400" w:lineRule="exact"/>
      </w:pPr>
      <w:r>
        <w:rPr>
          <w:rFonts w:hint="eastAsia" w:hAnsi="宋体"/>
        </w:rPr>
        <w:t>国家质量监督检验检疫总局令第75号  《定量包装商品计量监督管理办法》</w:t>
      </w:r>
    </w:p>
    <w:p>
      <w:pPr>
        <w:pStyle w:val="9"/>
        <w:spacing w:line="400" w:lineRule="exact"/>
        <w:rPr>
          <w:rFonts w:hAnsi="宋体"/>
        </w:rPr>
      </w:pPr>
    </w:p>
    <w:p>
      <w:pPr>
        <w:pStyle w:val="11"/>
      </w:pPr>
      <w:bookmarkStart w:id="5" w:name="_Hlk92453157"/>
      <w:r>
        <w:rPr>
          <w:rFonts w:hint="eastAsia"/>
        </w:rPr>
        <w:t>术语和定义</w:t>
      </w:r>
      <w:bookmarkEnd w:id="5"/>
    </w:p>
    <w:p>
      <w:pPr>
        <w:pStyle w:val="11"/>
        <w:numPr>
          <w:ilvl w:val="0"/>
          <w:numId w:val="0"/>
        </w:numPr>
        <w:ind w:firstLine="420" w:firstLineChars="200"/>
        <w:rPr>
          <w:rFonts w:hAnsi="宋体"/>
        </w:rPr>
      </w:pPr>
      <w:r>
        <w:rPr>
          <w:rFonts w:hint="eastAsia" w:hAnsi="宋体"/>
        </w:rPr>
        <w:t>下列术语和定义适用于本文件。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黑果腺肋花楸果酒</w:t>
      </w:r>
      <w:r>
        <w:rPr>
          <w:rFonts w:hint="eastAsia" w:hAnsi="宋体"/>
          <w:color w:val="auto"/>
        </w:rPr>
        <w:t>（</w:t>
      </w:r>
      <w:r>
        <w:rPr>
          <w:rFonts w:ascii="Times New Roman"/>
          <w:color w:val="auto"/>
        </w:rPr>
        <w:t>Aronia melanocarpa (</w:t>
      </w:r>
      <w:r>
        <w:rPr>
          <w:rFonts w:ascii="Times New Roman"/>
          <w:i/>
          <w:iCs/>
          <w:color w:val="auto"/>
        </w:rPr>
        <w:t>Michx</w:t>
      </w:r>
      <w:r>
        <w:rPr>
          <w:rFonts w:ascii="Times New Roman"/>
          <w:color w:val="auto"/>
        </w:rPr>
        <w:t>.)Elliott Wine</w:t>
      </w:r>
      <w:r>
        <w:rPr>
          <w:rFonts w:hint="eastAsia"/>
          <w:color w:val="auto"/>
        </w:rPr>
        <w:t>）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以新鲜黑果腺肋花楸果实为原料，添加或不加白砂糖，经全部或部分发酵、添加或不添加山梨酸钾而成的,含有一定酒精度的发酵酒。</w:t>
      </w:r>
    </w:p>
    <w:p>
      <w:pPr>
        <w:pStyle w:val="9"/>
        <w:spacing w:line="400" w:lineRule="exact"/>
        <w:ind w:firstLine="0" w:firstLineChars="0"/>
        <w:rPr>
          <w:rFonts w:hAnsi="宋体"/>
        </w:rPr>
      </w:pPr>
    </w:p>
    <w:p>
      <w:pPr>
        <w:pStyle w:val="9"/>
        <w:spacing w:line="400" w:lineRule="exact"/>
        <w:rPr>
          <w:rFonts w:hAnsi="宋体"/>
        </w:rPr>
      </w:pP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4．产品分类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按含糖量分类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4.1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为干黑果腺肋花楸果酒、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4.2</w:t>
      </w:r>
      <w:r>
        <w:rPr>
          <w:rFonts w:hAnsi="宋体"/>
        </w:rPr>
        <w:t xml:space="preserve"> </w:t>
      </w:r>
      <w:r>
        <w:rPr>
          <w:rFonts w:hint="eastAsia" w:hAnsi="宋体"/>
        </w:rPr>
        <w:t>半干黑果腺肋花楸果酒、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4.3</w:t>
      </w:r>
      <w:r>
        <w:rPr>
          <w:rFonts w:hAnsi="宋体"/>
        </w:rPr>
        <w:t xml:space="preserve"> </w:t>
      </w:r>
      <w:r>
        <w:rPr>
          <w:rFonts w:hint="eastAsia" w:hAnsi="宋体"/>
        </w:rPr>
        <w:t>半甜黑果腺肋花楸果酒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4.4</w:t>
      </w:r>
      <w:r>
        <w:rPr>
          <w:rFonts w:hAnsi="宋体"/>
        </w:rPr>
        <w:t xml:space="preserve"> </w:t>
      </w:r>
      <w:r>
        <w:rPr>
          <w:rFonts w:hint="eastAsia" w:hAnsi="宋体"/>
        </w:rPr>
        <w:t>甜黑果腺肋花楸果酒。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5 技术要求</w:t>
      </w:r>
    </w:p>
    <w:p>
      <w:pPr>
        <w:pStyle w:val="9"/>
        <w:spacing w:line="400" w:lineRule="exact"/>
        <w:rPr>
          <w:rFonts w:hAnsi="宋体"/>
        </w:rPr>
      </w:pPr>
      <w:r>
        <w:rPr>
          <w:rFonts w:hAnsi="宋体"/>
        </w:rPr>
        <w:t>5</w:t>
      </w:r>
      <w:r>
        <w:rPr>
          <w:rFonts w:hint="eastAsia" w:hAnsi="宋体"/>
        </w:rPr>
        <w:t>.1  原料要求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5.1.1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黑果腺肋花楸新鲜果实呈紫黑色，成熟适度，无畸形、无腐烂、无病虫害及机械伤。同时应符合</w:t>
      </w:r>
      <w:bookmarkStart w:id="6" w:name="_Hlk92465751"/>
      <w:r>
        <w:rPr>
          <w:rFonts w:hint="eastAsia" w:hAnsi="宋体"/>
        </w:rPr>
        <w:t>食品安全国家标准相应要求和有关规定。</w:t>
      </w:r>
      <w:bookmarkEnd w:id="6"/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5.1.2  白砂糖应符合GB/T 317、GB/T 13104 的规定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5.1.3  食品加工用酵母应符合GB 31639的规定。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5.1.4  水应符合GB 5749的规定。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5.1.5</w:t>
      </w:r>
      <w:r>
        <w:rPr>
          <w:rFonts w:hint="eastAsia" w:hAnsi="宋体"/>
          <w:lang w:val="en-US" w:eastAsia="zh-CN"/>
        </w:rPr>
        <w:t xml:space="preserve">  </w:t>
      </w:r>
      <w:r>
        <w:rPr>
          <w:rFonts w:hint="eastAsia" w:hAnsi="宋体"/>
        </w:rPr>
        <w:t>其他辅料 应符合食品国家安全标准及相应的有关规定。</w:t>
      </w:r>
    </w:p>
    <w:p>
      <w:pPr>
        <w:pStyle w:val="9"/>
        <w:spacing w:line="400" w:lineRule="exact"/>
        <w:rPr>
          <w:rFonts w:hAnsi="宋体"/>
        </w:rPr>
      </w:pPr>
      <w:r>
        <w:rPr>
          <w:rFonts w:hint="eastAsia" w:hAnsi="宋体"/>
        </w:rPr>
        <w:t>5.1.6</w:t>
      </w:r>
      <w:r>
        <w:rPr>
          <w:rFonts w:hint="eastAsia" w:hAnsi="宋体"/>
          <w:lang w:val="en-US" w:eastAsia="zh-CN"/>
        </w:rPr>
        <w:t xml:space="preserve">  </w:t>
      </w:r>
      <w:r>
        <w:rPr>
          <w:rFonts w:hint="eastAsia" w:hAnsi="宋体"/>
        </w:rPr>
        <w:t>食品添加剂</w:t>
      </w:r>
    </w:p>
    <w:p>
      <w:pPr>
        <w:pStyle w:val="9"/>
        <w:spacing w:line="400" w:lineRule="exact"/>
        <w:ind w:firstLine="1050" w:firstLineChars="500"/>
        <w:rPr>
          <w:rFonts w:hAnsi="宋体"/>
        </w:rPr>
      </w:pPr>
      <w:r>
        <w:rPr>
          <w:rFonts w:hint="eastAsia" w:hAnsi="宋体"/>
        </w:rPr>
        <w:t>质量应符合相应的食品安全标准和有关规定。</w:t>
      </w:r>
    </w:p>
    <w:p>
      <w:pPr>
        <w:pStyle w:val="9"/>
        <w:spacing w:line="400" w:lineRule="exact"/>
        <w:ind w:firstLine="0" w:firstLineChars="0"/>
        <w:rPr>
          <w:rFonts w:hAnsi="宋体"/>
        </w:rPr>
      </w:pPr>
    </w:p>
    <w:p>
      <w:pPr>
        <w:pStyle w:val="9"/>
        <w:spacing w:line="400" w:lineRule="exact"/>
        <w:ind w:firstLine="0" w:firstLineChars="0"/>
      </w:pPr>
      <w:r>
        <w:t>5</w:t>
      </w:r>
      <w:r>
        <w:rPr>
          <w:rFonts w:hint="eastAsia"/>
        </w:rPr>
        <w:t>.2  感官</w:t>
      </w:r>
      <w:bookmarkStart w:id="7" w:name="_Hlk92453282"/>
      <w:r>
        <w:rPr>
          <w:rFonts w:hint="eastAsia"/>
        </w:rPr>
        <w:t>要求</w:t>
      </w:r>
      <w:bookmarkEnd w:id="7"/>
      <w:r>
        <w:rPr>
          <w:rFonts w:hint="eastAsia"/>
        </w:rPr>
        <w:t xml:space="preserve">  </w:t>
      </w:r>
    </w:p>
    <w:p>
      <w:pPr>
        <w:pStyle w:val="9"/>
        <w:spacing w:line="400" w:lineRule="exact"/>
        <w:ind w:firstLine="525" w:firstLineChars="250"/>
      </w:pPr>
      <w:r>
        <w:rPr>
          <w:rFonts w:hint="eastAsia"/>
        </w:rPr>
        <w:t>应符合表1的规定。</w:t>
      </w:r>
    </w:p>
    <w:tbl>
      <w:tblPr>
        <w:tblStyle w:val="4"/>
        <w:tblpPr w:leftFromText="180" w:rightFromText="180" w:vertAnchor="text" w:horzAnchor="page" w:tblpX="1598" w:tblpY="542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88"/>
        <w:gridCol w:w="440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项    目</w:t>
            </w:r>
          </w:p>
        </w:tc>
        <w:tc>
          <w:tcPr>
            <w:tcW w:w="44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要    求 </w:t>
            </w:r>
          </w:p>
        </w:tc>
        <w:tc>
          <w:tcPr>
            <w:tcW w:w="114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外观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色泽</w:t>
            </w:r>
          </w:p>
        </w:tc>
        <w:tc>
          <w:tcPr>
            <w:tcW w:w="4408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红色，宝石红色</w:t>
            </w:r>
          </w:p>
        </w:tc>
        <w:tc>
          <w:tcPr>
            <w:tcW w:w="114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GB/T 15038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2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68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澄清度</w:t>
            </w:r>
          </w:p>
        </w:tc>
        <w:tc>
          <w:tcPr>
            <w:tcW w:w="440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清澈透明，有光泽，无明显悬浮物，使用软木塞封口的酒，允许有少量软木渣</w:t>
            </w:r>
          </w:p>
        </w:tc>
        <w:tc>
          <w:tcPr>
            <w:tcW w:w="11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27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香气</w:t>
            </w:r>
          </w:p>
        </w:tc>
        <w:tc>
          <w:tcPr>
            <w:tcW w:w="268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香气</w:t>
            </w:r>
          </w:p>
        </w:tc>
        <w:tc>
          <w:tcPr>
            <w:tcW w:w="440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具有纯正和谐的花楸香和酒香</w:t>
            </w:r>
          </w:p>
        </w:tc>
        <w:tc>
          <w:tcPr>
            <w:tcW w:w="11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2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滋味</w:t>
            </w:r>
          </w:p>
        </w:tc>
        <w:tc>
          <w:tcPr>
            <w:tcW w:w="268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干、半干黑果腺肋花楸果酒</w:t>
            </w:r>
          </w:p>
        </w:tc>
        <w:tc>
          <w:tcPr>
            <w:tcW w:w="4408" w:type="dxa"/>
            <w:vAlign w:val="center"/>
          </w:tcPr>
          <w:p>
            <w:pPr>
              <w:spacing w:line="400" w:lineRule="exact"/>
              <w:rPr>
                <w:color w:val="000000"/>
                <w:sz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具有甘甜醇厚、单宁强劲、口香绵长，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酒体完整</w:t>
            </w:r>
          </w:p>
        </w:tc>
        <w:tc>
          <w:tcPr>
            <w:tcW w:w="11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2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21"/>
                <w:lang w:eastAsia="zh-CN"/>
              </w:rPr>
            </w:pPr>
          </w:p>
        </w:tc>
        <w:tc>
          <w:tcPr>
            <w:tcW w:w="268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半甜、甜黑果腺肋花楸果酒</w:t>
            </w:r>
          </w:p>
        </w:tc>
        <w:tc>
          <w:tcPr>
            <w:tcW w:w="4408" w:type="dxa"/>
            <w:vAlign w:val="center"/>
          </w:tcPr>
          <w:p>
            <w:pPr>
              <w:spacing w:line="400" w:lineRule="exact"/>
              <w:rPr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具有甜润醇厚的品味，均衡协调</w:t>
            </w:r>
          </w:p>
        </w:tc>
        <w:tc>
          <w:tcPr>
            <w:tcW w:w="11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91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典型性</w:t>
            </w:r>
          </w:p>
        </w:tc>
        <w:tc>
          <w:tcPr>
            <w:tcW w:w="4408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香气突出，风味独特</w:t>
            </w:r>
          </w:p>
        </w:tc>
        <w:tc>
          <w:tcPr>
            <w:tcW w:w="114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23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360" w:firstLineChars="20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使用软木塞封口的酒允许有少量软木塞渣，瓶装酒超过1年的允许有少量沉淀</w:t>
            </w:r>
          </w:p>
        </w:tc>
        <w:tc>
          <w:tcPr>
            <w:tcW w:w="1145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pStyle w:val="14"/>
        <w:numPr>
          <w:ilvl w:val="0"/>
          <w:numId w:val="2"/>
        </w:numPr>
        <w:spacing w:line="400" w:lineRule="exact"/>
      </w:pPr>
      <w:r>
        <w:rPr>
          <w:rFonts w:hint="eastAsia"/>
        </w:rPr>
        <w:t>感官要求</w:t>
      </w:r>
    </w:p>
    <w:p>
      <w:pPr>
        <w:pStyle w:val="13"/>
        <w:numPr>
          <w:ilvl w:val="1"/>
          <w:numId w:val="0"/>
        </w:numPr>
        <w:spacing w:line="400" w:lineRule="exact"/>
      </w:pPr>
    </w:p>
    <w:p>
      <w:pPr>
        <w:pStyle w:val="13"/>
        <w:numPr>
          <w:ilvl w:val="1"/>
          <w:numId w:val="0"/>
        </w:numPr>
        <w:spacing w:line="400" w:lineRule="exact"/>
      </w:pPr>
    </w:p>
    <w:p>
      <w:pPr>
        <w:pStyle w:val="13"/>
        <w:numPr>
          <w:ilvl w:val="1"/>
          <w:numId w:val="0"/>
        </w:numPr>
        <w:spacing w:line="400" w:lineRule="exact"/>
      </w:pPr>
      <w:r>
        <w:t>5</w:t>
      </w:r>
      <w:r>
        <w:rPr>
          <w:rFonts w:hint="eastAsia"/>
        </w:rPr>
        <w:t xml:space="preserve">.3  理化要求  </w:t>
      </w:r>
    </w:p>
    <w:p>
      <w:pPr>
        <w:pStyle w:val="9"/>
        <w:spacing w:line="400" w:lineRule="exact"/>
      </w:pPr>
      <w:r>
        <w:rPr>
          <w:rFonts w:hint="eastAsia"/>
        </w:rPr>
        <w:t>应符合表2</w:t>
      </w:r>
      <w:bookmarkStart w:id="8" w:name="_Hlk92453311"/>
      <w:r>
        <w:rPr>
          <w:rFonts w:hint="eastAsia"/>
        </w:rPr>
        <w:t>的规定</w:t>
      </w:r>
      <w:bookmarkEnd w:id="8"/>
      <w:r>
        <w:rPr>
          <w:rFonts w:hint="eastAsia"/>
        </w:rPr>
        <w:t>。</w:t>
      </w:r>
    </w:p>
    <w:p>
      <w:pPr>
        <w:pStyle w:val="14"/>
        <w:spacing w:line="400" w:lineRule="exact"/>
        <w:jc w:val="both"/>
      </w:pPr>
      <w:r>
        <w:rPr>
          <w:rFonts w:hint="eastAsia"/>
        </w:rPr>
        <w:t xml:space="preserve">                                   </w:t>
      </w:r>
    </w:p>
    <w:p>
      <w:pPr>
        <w:pStyle w:val="14"/>
        <w:spacing w:line="400" w:lineRule="exact"/>
        <w:jc w:val="both"/>
      </w:pPr>
      <w:r>
        <w:rPr>
          <w:rFonts w:hint="eastAsia"/>
        </w:rPr>
        <w:t xml:space="preserve">  表2   理化要求</w:t>
      </w:r>
    </w:p>
    <w:tbl>
      <w:tblPr>
        <w:tblStyle w:val="4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777"/>
        <w:gridCol w:w="2087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项    目</w:t>
            </w:r>
          </w:p>
        </w:tc>
        <w:tc>
          <w:tcPr>
            <w:tcW w:w="2087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指    标</w:t>
            </w:r>
          </w:p>
        </w:tc>
        <w:tc>
          <w:tcPr>
            <w:tcW w:w="21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酒精度</w:t>
            </w:r>
            <w:r>
              <w:rPr>
                <w:rFonts w:ascii="宋体" w:hAnsi="宋体" w:cs="宋体"/>
                <w:position w:val="-4"/>
                <w:sz w:val="18"/>
                <w:szCs w:val="18"/>
                <w:lang w:eastAsia="zh-CN"/>
              </w:rPr>
              <w:object>
                <v:shape id="_x0000_i1025" o:spt="75" type="#_x0000_t75" style="height:15pt;width: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（20℃）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/(</w:t>
            </w:r>
            <w:r>
              <w:rPr>
                <w:rFonts w:ascii="宋体" w:hAnsi="宋体" w:cs="宋体"/>
                <w:sz w:val="18"/>
                <w:szCs w:val="18"/>
                <w:lang w:eastAsia="zh-CN"/>
              </w:rPr>
              <w:t>％vol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)                </w:t>
            </w:r>
          </w:p>
        </w:tc>
        <w:tc>
          <w:tcPr>
            <w:tcW w:w="2087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≥ 7.0</w:t>
            </w:r>
          </w:p>
        </w:tc>
        <w:tc>
          <w:tcPr>
            <w:tcW w:w="217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GB/T 15038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  <w:lang w:eastAsia="zh-CN"/>
              </w:rPr>
              <w:t>总糖（以葡萄糖计）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/（g/L）           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干黑果腺肋花楸果酒</w:t>
            </w:r>
            <w:r>
              <w:rPr>
                <w:rFonts w:hint="eastAsia" w:ascii="宋体" w:hAnsi="宋体" w:cs="宋体"/>
                <w:position w:val="-4"/>
                <w:sz w:val="18"/>
                <w:szCs w:val="18"/>
                <w:lang w:eastAsia="zh-CN"/>
              </w:rPr>
              <w:object>
                <v:shape id="_x0000_i1026" o:spt="75" type="#_x0000_t75" style="height:15pt;width:6.9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20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≤ 8.0</w:t>
            </w:r>
          </w:p>
        </w:tc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半干黑果腺肋花楸果酒</w:t>
            </w:r>
            <w:r>
              <w:rPr>
                <w:rFonts w:hint="eastAsia" w:ascii="宋体" w:hAnsi="宋体" w:cs="宋体"/>
                <w:position w:val="-4"/>
                <w:sz w:val="18"/>
                <w:szCs w:val="18"/>
                <w:lang w:eastAsia="zh-CN"/>
              </w:rPr>
              <w:object>
                <v:shape id="_x0000_i1027" o:spt="75" type="#_x0000_t75" style="height:15pt;width:6.9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208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8.1～12.0</w:t>
            </w:r>
          </w:p>
        </w:tc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半甜干黑果腺肋花楸果酒</w:t>
            </w:r>
          </w:p>
        </w:tc>
        <w:tc>
          <w:tcPr>
            <w:tcW w:w="208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12.1～45.0</w:t>
            </w:r>
          </w:p>
        </w:tc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2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77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甜干黑果腺肋花楸果酒     </w:t>
            </w:r>
          </w:p>
        </w:tc>
        <w:tc>
          <w:tcPr>
            <w:tcW w:w="208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≥ 45.1</w:t>
            </w:r>
          </w:p>
        </w:tc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干浸出物/（g/L）                        </w:t>
            </w:r>
          </w:p>
        </w:tc>
        <w:tc>
          <w:tcPr>
            <w:tcW w:w="208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≥ 30.0</w:t>
            </w:r>
          </w:p>
        </w:tc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挥发酸（以乙酸计）/（g/L）             </w:t>
            </w:r>
          </w:p>
        </w:tc>
        <w:tc>
          <w:tcPr>
            <w:tcW w:w="208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≤ 1.2</w:t>
            </w:r>
          </w:p>
        </w:tc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二氧化硫残留量/（mg/L）                        </w:t>
            </w:r>
          </w:p>
        </w:tc>
        <w:tc>
          <w:tcPr>
            <w:tcW w:w="208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≤ 250</w:t>
            </w:r>
          </w:p>
        </w:tc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甲醇/（mg/L）                                 </w:t>
            </w:r>
          </w:p>
        </w:tc>
        <w:tc>
          <w:tcPr>
            <w:tcW w:w="2087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≤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2174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  GB/T 5009.266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铅（以Pb计）/（mg/kg）                   </w:t>
            </w:r>
          </w:p>
        </w:tc>
        <w:tc>
          <w:tcPr>
            <w:tcW w:w="20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≤ 0.16</w:t>
            </w:r>
          </w:p>
        </w:tc>
        <w:tc>
          <w:tcPr>
            <w:tcW w:w="2174" w:type="dxa"/>
            <w:tcBorders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   GB/T 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position w:val="-4"/>
                <w:sz w:val="18"/>
                <w:szCs w:val="18"/>
                <w:vertAlign w:val="superscript"/>
                <w:lang w:eastAsia="zh-CN"/>
              </w:rPr>
              <w:object>
                <v:shape id="_x0000_i1028" o:spt="75" type="#_x0000_t75" style="height:15pt;width:6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当总糖与总酸（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以酒石酸计 g/L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）的差值小于或等于2.0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g/L时，含糖最高为9.0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g/L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position w:val="-4"/>
                <w:sz w:val="18"/>
                <w:szCs w:val="18"/>
                <w:lang w:eastAsia="zh-CN"/>
              </w:rPr>
              <w:object>
                <v:shape id="_x0000_i1029" o:spt="75" type="#_x0000_t75" style="height:15pt;width:6.9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当总糖与总酸（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以酒石酸计 g/L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）的差值小于或等于2.0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g/L时，含糖最高为18.0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g/L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注：总酸不作要求，以实测值表示（以酒石酸计 g/L)</w:t>
            </w:r>
          </w:p>
        </w:tc>
      </w:tr>
    </w:tbl>
    <w:p>
      <w:pPr>
        <w:pStyle w:val="13"/>
        <w:numPr>
          <w:ilvl w:val="1"/>
          <w:numId w:val="0"/>
        </w:numPr>
        <w:spacing w:line="400" w:lineRule="exact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 xml:space="preserve">.4 食品安全要求 </w:t>
      </w:r>
    </w:p>
    <w:p>
      <w:pPr>
        <w:pStyle w:val="13"/>
        <w:numPr>
          <w:ilvl w:val="1"/>
          <w:numId w:val="0"/>
        </w:numPr>
        <w:spacing w:line="400" w:lineRule="exact"/>
        <w:ind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应符合GB 2758的规定</w:t>
      </w:r>
      <w:r>
        <w:rPr>
          <w:rFonts w:hint="eastAsia"/>
          <w:color w:val="000000"/>
        </w:rPr>
        <w:t>。</w:t>
      </w:r>
    </w:p>
    <w:p>
      <w:pPr>
        <w:pStyle w:val="9"/>
        <w:ind w:firstLine="0" w:firstLineChars="0"/>
      </w:pPr>
      <w:r>
        <w:rPr>
          <w:rFonts w:hint="eastAsia"/>
        </w:rPr>
        <w:t>5</w:t>
      </w:r>
      <w:r>
        <w:t>.5</w:t>
      </w:r>
      <w:r>
        <w:rPr>
          <w:rFonts w:hint="eastAsia"/>
        </w:rPr>
        <w:t>生产加工过程中的卫生要求</w:t>
      </w:r>
    </w:p>
    <w:p>
      <w:pPr>
        <w:pStyle w:val="9"/>
        <w:spacing w:line="400" w:lineRule="exact"/>
      </w:pPr>
      <w:r>
        <w:rPr>
          <w:rFonts w:hint="eastAsia"/>
        </w:rPr>
        <w:t>应符合GB 12696的规定</w:t>
      </w:r>
    </w:p>
    <w:p>
      <w:pPr>
        <w:pStyle w:val="11"/>
        <w:numPr>
          <w:ilvl w:val="0"/>
          <w:numId w:val="0"/>
        </w:numPr>
        <w:spacing w:line="400" w:lineRule="exact"/>
      </w:pPr>
      <w:r>
        <w:t>5</w:t>
      </w:r>
      <w:r>
        <w:rPr>
          <w:rFonts w:hint="eastAsia"/>
        </w:rPr>
        <w:t>.</w:t>
      </w:r>
      <w:r>
        <w:t>6</w:t>
      </w:r>
      <w:r>
        <w:rPr>
          <w:rFonts w:hint="eastAsia"/>
        </w:rPr>
        <w:t xml:space="preserve"> 净含量</w:t>
      </w:r>
    </w:p>
    <w:p>
      <w:pPr>
        <w:pStyle w:val="11"/>
        <w:numPr>
          <w:ilvl w:val="0"/>
          <w:numId w:val="0"/>
        </w:numPr>
        <w:spacing w:line="400" w:lineRule="exact"/>
      </w:pPr>
      <w:r>
        <w:rPr>
          <w:rFonts w:hint="eastAsia"/>
        </w:rPr>
        <w:t>应符合JJF1070《定量包装商品计量监督管理办法》的要求。。</w:t>
      </w:r>
    </w:p>
    <w:p>
      <w:pPr>
        <w:pStyle w:val="9"/>
        <w:spacing w:line="400" w:lineRule="exact"/>
        <w:ind w:firstLine="0" w:firstLineChars="0"/>
      </w:pPr>
      <w:r>
        <w:t>6</w:t>
      </w:r>
      <w:r>
        <w:rPr>
          <w:rFonts w:hint="eastAsia"/>
        </w:rPr>
        <w:t xml:space="preserve">  检验规则</w:t>
      </w:r>
    </w:p>
    <w:p>
      <w:pPr>
        <w:pStyle w:val="9"/>
        <w:spacing w:line="400" w:lineRule="exact"/>
        <w:ind w:firstLine="0" w:firstLineChars="0"/>
      </w:pPr>
      <w:r>
        <w:t>6</w:t>
      </w:r>
      <w:r>
        <w:rPr>
          <w:rFonts w:hint="eastAsia"/>
        </w:rPr>
        <w:t>.1  组批</w:t>
      </w:r>
    </w:p>
    <w:p>
      <w:pPr>
        <w:pStyle w:val="9"/>
        <w:spacing w:line="400" w:lineRule="exact"/>
        <w:ind w:firstLine="0" w:firstLineChars="0"/>
      </w:pPr>
      <w:r>
        <w:rPr>
          <w:rFonts w:hint="eastAsia"/>
        </w:rPr>
        <w:t xml:space="preserve"> 以同一生产日期、同一班次、同一生产线生产的包装完整的同一品种产品为一批。</w:t>
      </w:r>
    </w:p>
    <w:p>
      <w:pPr>
        <w:pStyle w:val="13"/>
        <w:numPr>
          <w:ilvl w:val="1"/>
          <w:numId w:val="0"/>
        </w:numPr>
        <w:spacing w:line="400" w:lineRule="exact"/>
      </w:pPr>
      <w:r>
        <w:t>6</w:t>
      </w:r>
      <w:r>
        <w:rPr>
          <w:rFonts w:hint="eastAsia"/>
        </w:rPr>
        <w:t>.2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抽样方法和数量</w:t>
      </w:r>
    </w:p>
    <w:p>
      <w:pPr>
        <w:pStyle w:val="9"/>
        <w:spacing w:line="400" w:lineRule="exact"/>
        <w:ind w:firstLine="315" w:firstLineChars="150"/>
      </w:pPr>
      <w:r>
        <w:rPr>
          <w:rFonts w:hint="eastAsia"/>
        </w:rPr>
        <w:t>按照表3抽取样本，单件包装净含量小于500ml，但总取样量不足1500ml时，可按比例增加抽样数量。</w:t>
      </w:r>
    </w:p>
    <w:p>
      <w:pPr>
        <w:pStyle w:val="9"/>
        <w:spacing w:line="400" w:lineRule="exact"/>
        <w:jc w:val="center"/>
      </w:pPr>
      <w:r>
        <w:rPr>
          <w:rFonts w:hint="eastAsia"/>
        </w:rPr>
        <w:t>表3 抽样表</w:t>
      </w:r>
    </w:p>
    <w:tbl>
      <w:tblPr>
        <w:tblStyle w:val="5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批量范围/箱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样本数/箱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单位样本数/箱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&lt;50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51-1200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1201-3500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3500以上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widowControl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pStyle w:val="12"/>
        <w:numPr>
          <w:ilvl w:val="2"/>
          <w:numId w:val="0"/>
        </w:numPr>
        <w:spacing w:before="156" w:beforeLines="50" w:after="156" w:afterLines="50" w:line="400" w:lineRule="exact"/>
        <w:rPr>
          <w:rFonts w:hAnsi="宋体"/>
        </w:rPr>
      </w:pPr>
      <w:r>
        <w:rPr>
          <w:rFonts w:hint="eastAsia"/>
        </w:rPr>
        <w:t>7.3  检验分类</w:t>
      </w:r>
    </w:p>
    <w:p>
      <w:pPr>
        <w:pStyle w:val="12"/>
        <w:numPr>
          <w:ilvl w:val="2"/>
          <w:numId w:val="0"/>
        </w:numPr>
        <w:spacing w:before="156" w:beforeLines="50" w:after="156" w:afterLines="50" w:line="400" w:lineRule="exact"/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7.3.1  出厂检验</w:t>
      </w:r>
    </w:p>
    <w:p>
      <w:pPr>
        <w:pStyle w:val="9"/>
        <w:spacing w:line="400" w:lineRule="exact"/>
        <w:ind w:firstLine="210" w:firstLineChars="100"/>
        <w:rPr>
          <w:rFonts w:hAnsi="宋体"/>
          <w:szCs w:val="21"/>
        </w:rPr>
      </w:pPr>
      <w:r>
        <w:rPr>
          <w:rFonts w:hint="eastAsia" w:hAnsi="宋体"/>
        </w:rPr>
        <w:t xml:space="preserve">7.3.1.1 </w:t>
      </w:r>
      <w:r>
        <w:rPr>
          <w:rFonts w:hint="eastAsia"/>
          <w:color w:val="000000"/>
        </w:rPr>
        <w:t>感官要求、净含量、酒精度、挥发酸、总糖、干浸出物、</w:t>
      </w:r>
      <w:r>
        <w:rPr>
          <w:rFonts w:hint="eastAsia" w:hAnsi="宋体"/>
          <w:szCs w:val="21"/>
        </w:rPr>
        <w:t>二氧化硫残留量。</w:t>
      </w:r>
    </w:p>
    <w:p>
      <w:pPr>
        <w:pStyle w:val="9"/>
        <w:spacing w:line="400" w:lineRule="exact"/>
        <w:ind w:firstLine="210" w:firstLineChars="100"/>
        <w:rPr>
          <w:rFonts w:hAnsi="宋体"/>
        </w:rPr>
      </w:pPr>
      <w:r>
        <w:rPr>
          <w:rFonts w:hint="eastAsia" w:hAnsi="宋体"/>
          <w:szCs w:val="21"/>
        </w:rPr>
        <w:t xml:space="preserve">7.3.1.2 </w:t>
      </w:r>
      <w:r>
        <w:rPr>
          <w:rFonts w:hint="eastAsia" w:hAnsi="宋体"/>
        </w:rPr>
        <w:t>产品出厂前，由本公司检验部门按本标准规定逐批进行检验，检验合格证，并附上质量合格证明的，方可出厂。</w:t>
      </w:r>
    </w:p>
    <w:p>
      <w:pPr>
        <w:pStyle w:val="13"/>
        <w:numPr>
          <w:ilvl w:val="1"/>
          <w:numId w:val="0"/>
        </w:numPr>
        <w:spacing w:line="400" w:lineRule="exact"/>
        <w:rPr>
          <w:rFonts w:hAnsi="宋体" w:eastAsia="宋体"/>
        </w:rPr>
      </w:pPr>
      <w:r>
        <w:rPr>
          <w:rFonts w:hint="eastAsia"/>
        </w:rPr>
        <w:t xml:space="preserve">7.3.2  型式检验  </w:t>
      </w:r>
      <w:r>
        <w:rPr>
          <w:rFonts w:hint="eastAsia" w:ascii="宋体" w:hAnsi="宋体" w:eastAsia="宋体"/>
        </w:rPr>
        <w:t xml:space="preserve"> </w:t>
      </w:r>
    </w:p>
    <w:p>
      <w:pPr>
        <w:pStyle w:val="9"/>
        <w:spacing w:line="400" w:lineRule="exact"/>
        <w:ind w:firstLine="0" w:firstLineChars="0"/>
        <w:rPr>
          <w:rFonts w:hAnsi="宋体"/>
        </w:rPr>
      </w:pPr>
      <w:r>
        <w:rPr>
          <w:rFonts w:hint="eastAsia" w:hAnsi="宋体"/>
        </w:rPr>
        <w:t>7.3.2.1  检验项目为本标准技术要求中规定的全部项目。</w:t>
      </w:r>
    </w:p>
    <w:p>
      <w:pPr>
        <w:pStyle w:val="9"/>
        <w:spacing w:line="400" w:lineRule="exact"/>
        <w:ind w:firstLine="0" w:firstLineChars="0"/>
        <w:rPr>
          <w:rFonts w:hAnsi="宋体"/>
        </w:rPr>
      </w:pPr>
      <w:r>
        <w:rPr>
          <w:rFonts w:hint="eastAsia" w:hAnsi="宋体"/>
        </w:rPr>
        <w:t>7.3.2.2  正常生产时，型式检验每半年进行一次， 发生下列情况之一时亦应进行：</w:t>
      </w:r>
    </w:p>
    <w:p>
      <w:pPr>
        <w:widowControl w:val="0"/>
        <w:numPr>
          <w:ilvl w:val="0"/>
          <w:numId w:val="3"/>
        </w:numPr>
        <w:spacing w:before="156" w:beforeLines="50" w:after="156" w:afterLines="50"/>
        <w:jc w:val="both"/>
        <w:outlineLvl w:val="3"/>
        <w:rPr>
          <w:rFonts w:ascii="宋体" w:hAnsi="宋体" w:cs="宋体"/>
          <w:sz w:val="21"/>
          <w:szCs w:val="21"/>
          <w:lang w:eastAsia="zh-CN" w:bidi="ar-SA"/>
        </w:rPr>
      </w:pPr>
      <w:r>
        <w:rPr>
          <w:rFonts w:hint="eastAsia" w:ascii="宋体" w:hAnsi="宋体" w:cs="宋体"/>
          <w:sz w:val="21"/>
          <w:szCs w:val="21"/>
          <w:lang w:eastAsia="zh-CN" w:bidi="ar-SA"/>
        </w:rPr>
        <w:t>新产品投产前；</w:t>
      </w:r>
    </w:p>
    <w:p>
      <w:pPr>
        <w:widowControl w:val="0"/>
        <w:numPr>
          <w:ilvl w:val="0"/>
          <w:numId w:val="3"/>
        </w:numPr>
        <w:spacing w:before="156" w:beforeLines="50" w:after="156" w:afterLines="50"/>
        <w:jc w:val="both"/>
        <w:outlineLvl w:val="3"/>
        <w:rPr>
          <w:rFonts w:ascii="宋体" w:hAnsi="宋体" w:cs="宋体"/>
          <w:sz w:val="21"/>
          <w:szCs w:val="21"/>
          <w:lang w:eastAsia="zh-CN" w:bidi="ar-SA"/>
        </w:rPr>
      </w:pPr>
      <w:r>
        <w:rPr>
          <w:rFonts w:hint="eastAsia" w:ascii="宋体" w:hAnsi="宋体" w:cs="宋体"/>
          <w:sz w:val="21"/>
          <w:szCs w:val="21"/>
          <w:lang w:eastAsia="zh-CN" w:bidi="ar-SA"/>
        </w:rPr>
        <w:t>停产半年以上，恢复生产时；</w:t>
      </w:r>
    </w:p>
    <w:p>
      <w:pPr>
        <w:widowControl w:val="0"/>
        <w:numPr>
          <w:ilvl w:val="0"/>
          <w:numId w:val="3"/>
        </w:numPr>
        <w:spacing w:before="156" w:beforeLines="50" w:after="156" w:afterLines="50"/>
        <w:jc w:val="both"/>
        <w:outlineLvl w:val="3"/>
        <w:rPr>
          <w:rFonts w:ascii="宋体" w:hAnsi="宋体" w:cs="宋体"/>
          <w:sz w:val="21"/>
          <w:szCs w:val="21"/>
          <w:lang w:eastAsia="zh-CN" w:bidi="ar-SA"/>
        </w:rPr>
      </w:pPr>
      <w:r>
        <w:rPr>
          <w:rFonts w:hint="eastAsia" w:ascii="宋体" w:hAnsi="宋体" w:cs="宋体"/>
          <w:sz w:val="21"/>
          <w:szCs w:val="21"/>
          <w:lang w:eastAsia="zh-CN" w:bidi="ar-SA"/>
        </w:rPr>
        <w:t>更改主要原料，可能影响产品质量时；</w:t>
      </w:r>
    </w:p>
    <w:p>
      <w:pPr>
        <w:widowControl w:val="0"/>
        <w:numPr>
          <w:ilvl w:val="0"/>
          <w:numId w:val="3"/>
        </w:numPr>
        <w:spacing w:before="156" w:beforeLines="50" w:after="156" w:afterLines="50"/>
        <w:jc w:val="both"/>
        <w:outlineLvl w:val="3"/>
        <w:rPr>
          <w:rFonts w:ascii="宋体" w:hAnsi="宋体" w:cs="宋体"/>
          <w:sz w:val="21"/>
          <w:szCs w:val="21"/>
          <w:lang w:eastAsia="zh-CN" w:bidi="ar-SA"/>
        </w:rPr>
      </w:pPr>
      <w:r>
        <w:rPr>
          <w:rFonts w:hint="eastAsia" w:ascii="宋体" w:hAnsi="宋体" w:cs="宋体"/>
          <w:sz w:val="21"/>
          <w:szCs w:val="21"/>
          <w:lang w:eastAsia="zh-CN" w:bidi="ar-SA"/>
        </w:rPr>
        <w:t>更改关键工艺或设备，可能影响产品质量时；</w:t>
      </w:r>
    </w:p>
    <w:p>
      <w:pPr>
        <w:widowControl w:val="0"/>
        <w:numPr>
          <w:ilvl w:val="0"/>
          <w:numId w:val="3"/>
        </w:numPr>
        <w:spacing w:before="156" w:beforeLines="50" w:after="156" w:afterLines="50"/>
        <w:jc w:val="both"/>
        <w:outlineLvl w:val="3"/>
        <w:rPr>
          <w:rFonts w:ascii="宋体" w:hAnsi="宋体" w:cs="宋体"/>
          <w:sz w:val="21"/>
          <w:szCs w:val="21"/>
          <w:lang w:eastAsia="zh-CN" w:bidi="ar-SA"/>
        </w:rPr>
      </w:pPr>
      <w:r>
        <w:rPr>
          <w:rFonts w:hint="eastAsia" w:ascii="宋体" w:hAnsi="宋体" w:cs="宋体"/>
          <w:sz w:val="21"/>
          <w:szCs w:val="21"/>
          <w:lang w:eastAsia="zh-CN" w:bidi="ar-SA"/>
        </w:rPr>
        <w:t>出厂检验结果与上一次型式检验结果有较大差异时；</w:t>
      </w:r>
    </w:p>
    <w:p>
      <w:pPr>
        <w:widowControl w:val="0"/>
        <w:numPr>
          <w:ilvl w:val="0"/>
          <w:numId w:val="3"/>
        </w:numPr>
        <w:spacing w:before="156" w:beforeLines="50" w:after="156" w:afterLines="50"/>
        <w:jc w:val="both"/>
        <w:outlineLvl w:val="3"/>
        <w:rPr>
          <w:rFonts w:ascii="宋体" w:hAnsi="宋体" w:cs="宋体"/>
          <w:sz w:val="21"/>
          <w:szCs w:val="21"/>
          <w:lang w:eastAsia="zh-CN" w:bidi="ar-SA"/>
        </w:rPr>
      </w:pPr>
      <w:r>
        <w:rPr>
          <w:rFonts w:hint="eastAsia" w:ascii="宋体" w:hAnsi="宋体" w:cs="宋体"/>
          <w:sz w:val="21"/>
          <w:szCs w:val="21"/>
          <w:lang w:eastAsia="zh-CN" w:bidi="ar-SA"/>
        </w:rPr>
        <w:t>国家质量监督部门提出进行型式检验要求</w:t>
      </w:r>
      <w:r>
        <w:rPr>
          <w:rFonts w:hint="eastAsia" w:ascii="宋体" w:hAnsi="宋体" w:cs="宋体"/>
          <w:lang w:eastAsia="zh-CN" w:bidi="ar-SA"/>
        </w:rPr>
        <w:t>时；</w:t>
      </w:r>
    </w:p>
    <w:p>
      <w:pPr>
        <w:widowControl w:val="0"/>
        <w:numPr>
          <w:ilvl w:val="0"/>
          <w:numId w:val="3"/>
        </w:numPr>
        <w:spacing w:before="156" w:beforeLines="50" w:after="156" w:afterLines="50"/>
        <w:jc w:val="both"/>
        <w:outlineLvl w:val="3"/>
        <w:rPr>
          <w:rFonts w:ascii="宋体" w:hAnsi="宋体" w:cs="宋体"/>
          <w:sz w:val="21"/>
          <w:szCs w:val="21"/>
          <w:lang w:eastAsia="zh-CN" w:bidi="ar-SA"/>
        </w:rPr>
      </w:pPr>
      <w:r>
        <w:rPr>
          <w:rFonts w:hint="eastAsia" w:ascii="宋体" w:hAnsi="宋体" w:cs="宋体"/>
          <w:sz w:val="21"/>
          <w:szCs w:val="21"/>
          <w:lang w:eastAsia="zh-CN" w:bidi="ar-SA"/>
        </w:rPr>
        <w:t>对质量有争议，提出仲裁时</w:t>
      </w:r>
      <w:r>
        <w:rPr>
          <w:rFonts w:hint="eastAsia" w:ascii="宋体" w:hAnsi="宋体" w:cs="宋体"/>
          <w:lang w:eastAsia="zh-CN" w:bidi="ar-SA"/>
        </w:rPr>
        <w:t>。</w:t>
      </w:r>
    </w:p>
    <w:p>
      <w:pPr>
        <w:pStyle w:val="13"/>
        <w:numPr>
          <w:ilvl w:val="1"/>
          <w:numId w:val="0"/>
        </w:numPr>
        <w:spacing w:line="400" w:lineRule="exact"/>
      </w:pPr>
      <w:r>
        <w:rPr>
          <w:rFonts w:hint="eastAsia"/>
        </w:rPr>
        <w:t xml:space="preserve">7.4  判定规则 </w:t>
      </w:r>
    </w:p>
    <w:p>
      <w:pPr>
        <w:pStyle w:val="9"/>
        <w:spacing w:line="400" w:lineRule="exact"/>
      </w:pPr>
      <w:r>
        <w:rPr>
          <w:rFonts w:hint="eastAsia"/>
        </w:rPr>
        <w:t>检验项目全部符合本标准规定的要求，判定为合格。检验项目如不符合本标准规定时，对不符合项目从该批次产品中加倍抽样复检，以复检结果为准，复检结果仍有一项不合格，判定该批次产品为不合格。</w:t>
      </w:r>
    </w:p>
    <w:p>
      <w:pPr>
        <w:pStyle w:val="11"/>
        <w:numPr>
          <w:ilvl w:val="0"/>
          <w:numId w:val="0"/>
        </w:num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8  标识、包装、贮存、运输、保质期 </w:t>
      </w:r>
    </w:p>
    <w:p>
      <w:pPr>
        <w:pStyle w:val="13"/>
        <w:numPr>
          <w:ilvl w:val="1"/>
          <w:numId w:val="0"/>
        </w:numPr>
        <w:spacing w:line="400" w:lineRule="exact"/>
      </w:pPr>
      <w:r>
        <w:rPr>
          <w:rFonts w:hint="eastAsia"/>
        </w:rPr>
        <w:t>8.1  标识</w:t>
      </w:r>
    </w:p>
    <w:p>
      <w:pPr>
        <w:pStyle w:val="12"/>
        <w:numPr>
          <w:ilvl w:val="2"/>
          <w:numId w:val="0"/>
        </w:numPr>
        <w:spacing w:before="0" w:after="0" w:line="400" w:lineRule="exact"/>
        <w:rPr>
          <w:rFonts w:eastAsia="宋体"/>
          <w:color w:val="000000"/>
        </w:rPr>
      </w:pPr>
      <w:r>
        <w:rPr>
          <w:rFonts w:hint="eastAsia" w:ascii="宋体" w:hAnsi="宋体" w:eastAsia="宋体"/>
          <w:color w:val="000000"/>
        </w:rPr>
        <w:t>8.1.1  产品标签按GB 7718和 GB 2758规定执行，并按糖量标注产品类型(或含糖量</w:t>
      </w:r>
      <w:r>
        <w:rPr>
          <w:rFonts w:ascii="宋体" w:hAnsi="宋体" w:eastAsia="宋体"/>
          <w:color w:val="000000"/>
        </w:rPr>
        <w:t>)</w:t>
      </w:r>
      <w:r>
        <w:rPr>
          <w:rFonts w:hint="eastAsia" w:ascii="宋体" w:hAnsi="宋体" w:eastAsia="宋体"/>
          <w:color w:val="000000"/>
        </w:rPr>
        <w:t xml:space="preserve">。 </w:t>
      </w:r>
    </w:p>
    <w:p>
      <w:pPr>
        <w:pStyle w:val="12"/>
        <w:numPr>
          <w:ilvl w:val="2"/>
          <w:numId w:val="0"/>
        </w:numPr>
        <w:spacing w:before="156" w:beforeLines="50" w:after="156" w:afterLines="50" w:line="400" w:lineRule="exac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8.1.2   包装贮运标志应符合GB/T 191规定。</w:t>
      </w:r>
    </w:p>
    <w:p>
      <w:pPr>
        <w:pStyle w:val="13"/>
        <w:numPr>
          <w:ilvl w:val="1"/>
          <w:numId w:val="0"/>
        </w:numPr>
        <w:spacing w:line="400" w:lineRule="exact"/>
      </w:pPr>
      <w:r>
        <w:rPr>
          <w:rFonts w:hint="eastAsia"/>
        </w:rPr>
        <w:t>8.2  包装</w:t>
      </w:r>
    </w:p>
    <w:p>
      <w:pPr>
        <w:pStyle w:val="9"/>
        <w:spacing w:line="400" w:lineRule="exact"/>
        <w:ind w:firstLine="0" w:firstLineChars="0"/>
      </w:pPr>
      <w:r>
        <w:rPr>
          <w:rFonts w:hint="eastAsia"/>
        </w:rPr>
        <w:t>8.2.1  包装材料应符合食品安全国家标准相应要求和有关规定。。</w:t>
      </w:r>
    </w:p>
    <w:p>
      <w:pPr>
        <w:pStyle w:val="9"/>
        <w:spacing w:line="400" w:lineRule="exact"/>
        <w:ind w:firstLine="0" w:firstLineChars="0"/>
      </w:pPr>
      <w:r>
        <w:rPr>
          <w:rFonts w:hint="eastAsia"/>
        </w:rPr>
        <w:t>8.2.2  包装容器应清洁，封装严密，无漏酒现象。</w:t>
      </w:r>
    </w:p>
    <w:p>
      <w:pPr>
        <w:pStyle w:val="13"/>
        <w:numPr>
          <w:ilvl w:val="1"/>
          <w:numId w:val="0"/>
        </w:numPr>
        <w:spacing w:line="400" w:lineRule="exact"/>
      </w:pPr>
      <w:r>
        <w:rPr>
          <w:rFonts w:hint="eastAsia"/>
        </w:rPr>
        <w:t>8.3  贮存</w:t>
      </w:r>
    </w:p>
    <w:p>
      <w:pPr>
        <w:pStyle w:val="9"/>
        <w:spacing w:line="400" w:lineRule="exact"/>
        <w:ind w:firstLine="0" w:firstLineChars="0"/>
      </w:pPr>
      <w:r>
        <w:rPr>
          <w:rFonts w:hint="eastAsia"/>
        </w:rPr>
        <w:t>8.3.1  产品不得与有毒、有害、有腐蚀性、易挥发或者有异味的物品同库贮存。</w:t>
      </w:r>
    </w:p>
    <w:p>
      <w:pPr>
        <w:pStyle w:val="9"/>
        <w:spacing w:line="400" w:lineRule="exact"/>
        <w:ind w:firstLine="0" w:firstLineChars="0"/>
      </w:pPr>
      <w:r>
        <w:rPr>
          <w:rFonts w:hint="eastAsia"/>
        </w:rPr>
        <w:t>8.3.2  产品应存放在阴凉、干燥、清洁卫生的仓库中, 严禁火种。</w:t>
      </w:r>
    </w:p>
    <w:p>
      <w:pPr>
        <w:pStyle w:val="9"/>
        <w:spacing w:line="400" w:lineRule="exact"/>
        <w:ind w:firstLine="0" w:firstLineChars="0"/>
      </w:pPr>
      <w:r>
        <w:rPr>
          <w:rFonts w:hint="eastAsia"/>
        </w:rPr>
        <w:t>8.3.3  运输温度宜保持在5</w:t>
      </w:r>
      <w:r>
        <w:rPr>
          <w:rFonts w:hint="eastAsia" w:hAnsi="宋体" w:cs="宋体"/>
        </w:rPr>
        <w:t>℃</w:t>
      </w:r>
      <w:r>
        <w:rPr>
          <w:rFonts w:hint="eastAsia"/>
        </w:rPr>
        <w:t>-35</w:t>
      </w:r>
      <w:r>
        <w:rPr>
          <w:rFonts w:hint="eastAsia" w:hAnsi="宋体" w:cs="宋体"/>
        </w:rPr>
        <w:t>℃，贮存温度宜保持在</w:t>
      </w:r>
      <w:r>
        <w:rPr>
          <w:rFonts w:hint="eastAsia"/>
        </w:rPr>
        <w:t>5</w:t>
      </w:r>
      <w:r>
        <w:rPr>
          <w:rFonts w:hint="eastAsia" w:hAnsi="宋体" w:cs="宋体"/>
        </w:rPr>
        <w:t>℃</w:t>
      </w:r>
      <w:r>
        <w:rPr>
          <w:rFonts w:hint="eastAsia"/>
        </w:rPr>
        <w:t>-25</w:t>
      </w:r>
      <w:r>
        <w:rPr>
          <w:rFonts w:hint="eastAsia" w:hAnsi="宋体" w:cs="宋体"/>
        </w:rPr>
        <w:t>℃，应防止冰冻。</w:t>
      </w:r>
    </w:p>
    <w:p>
      <w:pPr>
        <w:pStyle w:val="13"/>
        <w:numPr>
          <w:ilvl w:val="1"/>
          <w:numId w:val="0"/>
        </w:numPr>
        <w:spacing w:line="400" w:lineRule="exact"/>
      </w:pPr>
      <w:r>
        <w:rPr>
          <w:rFonts w:hint="eastAsia"/>
        </w:rPr>
        <w:t>8.4  运输</w:t>
      </w:r>
    </w:p>
    <w:p>
      <w:pPr>
        <w:pStyle w:val="9"/>
        <w:spacing w:line="400" w:lineRule="exact"/>
      </w:pPr>
      <w:r>
        <w:rPr>
          <w:rFonts w:hint="eastAsia"/>
        </w:rPr>
        <w:t>用软木塞（或替代品）封装的酒，在贮运时应“倒放”或“卧放”，装卸时应轻拿轻放。</w:t>
      </w:r>
    </w:p>
    <w:p>
      <w:pPr>
        <w:pStyle w:val="9"/>
        <w:spacing w:line="400" w:lineRule="exact"/>
      </w:pPr>
    </w:p>
    <w:p>
      <w:pPr>
        <w:pStyle w:val="9"/>
        <w:spacing w:line="400" w:lineRule="exact"/>
      </w:pPr>
    </w:p>
    <w:p>
      <w:pPr>
        <w:pStyle w:val="9"/>
        <w:spacing w:line="40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231775</wp:posOffset>
                </wp:positionV>
                <wp:extent cx="2286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8.25pt;height:0pt;width:180pt;z-index:251660288;mso-width-relative:page;mso-height-relative:page;" filled="f" stroked="t" coordsize="21600,21600" o:gfxdata="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h&#10;q4rWAAAACQEAAA8AAAAAAAAAAQAgAAAAIgAAAGRycy9kb3ducmV2LnhtbFBLAQIUABQAAAAIAIdO&#10;4kDxWznQ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lang w:eastAsia="zh-CN"/>
        </w:rPr>
      </w:pPr>
    </w:p>
    <w:sectPr>
      <w:footerReference r:id="rId4" w:type="default"/>
      <w:pgSz w:w="11906" w:h="16838"/>
      <w:pgMar w:top="1440" w:right="1800" w:bottom="1440" w:left="1800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ECDB7"/>
    <w:multiLevelType w:val="singleLevel"/>
    <w:tmpl w:val="801ECDB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72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108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861AA"/>
    <w:rsid w:val="00005F7B"/>
    <w:rsid w:val="000177D3"/>
    <w:rsid w:val="00020047"/>
    <w:rsid w:val="000824B1"/>
    <w:rsid w:val="000A3C34"/>
    <w:rsid w:val="000A55A6"/>
    <w:rsid w:val="00140222"/>
    <w:rsid w:val="00163BE2"/>
    <w:rsid w:val="001D13C8"/>
    <w:rsid w:val="00271F4E"/>
    <w:rsid w:val="00295348"/>
    <w:rsid w:val="00360912"/>
    <w:rsid w:val="00386705"/>
    <w:rsid w:val="004E4C46"/>
    <w:rsid w:val="00511172"/>
    <w:rsid w:val="00585D3F"/>
    <w:rsid w:val="006F021A"/>
    <w:rsid w:val="007013C1"/>
    <w:rsid w:val="00734AAC"/>
    <w:rsid w:val="00742181"/>
    <w:rsid w:val="0078732E"/>
    <w:rsid w:val="009C36A3"/>
    <w:rsid w:val="009D01BF"/>
    <w:rsid w:val="009D1F25"/>
    <w:rsid w:val="009E5807"/>
    <w:rsid w:val="00A10470"/>
    <w:rsid w:val="00A4795C"/>
    <w:rsid w:val="00A54516"/>
    <w:rsid w:val="00AF1034"/>
    <w:rsid w:val="00B91938"/>
    <w:rsid w:val="00BC3562"/>
    <w:rsid w:val="00C1790F"/>
    <w:rsid w:val="00CB72FC"/>
    <w:rsid w:val="00CD3F8E"/>
    <w:rsid w:val="00E4340B"/>
    <w:rsid w:val="00EF27A1"/>
    <w:rsid w:val="00F5095A"/>
    <w:rsid w:val="01490C9E"/>
    <w:rsid w:val="04D50EB0"/>
    <w:rsid w:val="096E230E"/>
    <w:rsid w:val="0A5E4E84"/>
    <w:rsid w:val="0AC32B45"/>
    <w:rsid w:val="0AF3267A"/>
    <w:rsid w:val="0B8A5851"/>
    <w:rsid w:val="10BA50D8"/>
    <w:rsid w:val="123C44AA"/>
    <w:rsid w:val="126351F2"/>
    <w:rsid w:val="1288579F"/>
    <w:rsid w:val="14841A7C"/>
    <w:rsid w:val="19E97476"/>
    <w:rsid w:val="1C8B3C71"/>
    <w:rsid w:val="1D9A0A60"/>
    <w:rsid w:val="1DDC3BD1"/>
    <w:rsid w:val="1F291B47"/>
    <w:rsid w:val="1F8D4F1D"/>
    <w:rsid w:val="21051EDA"/>
    <w:rsid w:val="21496691"/>
    <w:rsid w:val="243E62F2"/>
    <w:rsid w:val="25921C98"/>
    <w:rsid w:val="27F53D4E"/>
    <w:rsid w:val="2820355E"/>
    <w:rsid w:val="29CB2B42"/>
    <w:rsid w:val="2A747BFE"/>
    <w:rsid w:val="2C8A02C3"/>
    <w:rsid w:val="2CDD641A"/>
    <w:rsid w:val="2FC84A65"/>
    <w:rsid w:val="300139C1"/>
    <w:rsid w:val="31677CD0"/>
    <w:rsid w:val="31743D5D"/>
    <w:rsid w:val="317A4A9A"/>
    <w:rsid w:val="344F4B58"/>
    <w:rsid w:val="37B86E50"/>
    <w:rsid w:val="38DD45F3"/>
    <w:rsid w:val="39D41CBE"/>
    <w:rsid w:val="39F62B85"/>
    <w:rsid w:val="3BFA0F4D"/>
    <w:rsid w:val="3CF86C72"/>
    <w:rsid w:val="3F1D06FA"/>
    <w:rsid w:val="408A037C"/>
    <w:rsid w:val="41582DBB"/>
    <w:rsid w:val="41892ECD"/>
    <w:rsid w:val="426D634C"/>
    <w:rsid w:val="42E6787B"/>
    <w:rsid w:val="44D525F3"/>
    <w:rsid w:val="470B5E75"/>
    <w:rsid w:val="47317E57"/>
    <w:rsid w:val="4C69749E"/>
    <w:rsid w:val="4CFA2B40"/>
    <w:rsid w:val="4E5C1022"/>
    <w:rsid w:val="512C3D56"/>
    <w:rsid w:val="54314B86"/>
    <w:rsid w:val="54CB67C3"/>
    <w:rsid w:val="54F51065"/>
    <w:rsid w:val="56181713"/>
    <w:rsid w:val="57A65DA1"/>
    <w:rsid w:val="57C71F77"/>
    <w:rsid w:val="582A0F9B"/>
    <w:rsid w:val="59B410CF"/>
    <w:rsid w:val="5BCC670B"/>
    <w:rsid w:val="5E131ECC"/>
    <w:rsid w:val="5F2167B2"/>
    <w:rsid w:val="5F6067C5"/>
    <w:rsid w:val="5FAE5957"/>
    <w:rsid w:val="60AE05E6"/>
    <w:rsid w:val="60E20401"/>
    <w:rsid w:val="629163E6"/>
    <w:rsid w:val="645A77BF"/>
    <w:rsid w:val="655C0DF9"/>
    <w:rsid w:val="66016D82"/>
    <w:rsid w:val="66C30B0A"/>
    <w:rsid w:val="69B97777"/>
    <w:rsid w:val="6CB74FB1"/>
    <w:rsid w:val="707024C5"/>
    <w:rsid w:val="70F861AA"/>
    <w:rsid w:val="71360BC2"/>
    <w:rsid w:val="724870B9"/>
    <w:rsid w:val="73133643"/>
    <w:rsid w:val="75343A32"/>
    <w:rsid w:val="7C3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Times New Roman" w:hAnsi="Times New Roman" w:eastAsia="宋体"/>
      <w:sz w:val="18"/>
    </w:rPr>
  </w:style>
  <w:style w:type="paragraph" w:customStyle="1" w:styleId="8">
    <w:name w:val="前言、引言标题"/>
    <w:next w:val="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目次、标准名称标题"/>
    <w:basedOn w:val="1"/>
    <w:next w:val="9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sz w:val="32"/>
      <w:szCs w:val="20"/>
      <w:lang w:eastAsia="zh-CN" w:bidi="ar-SA"/>
    </w:rPr>
  </w:style>
  <w:style w:type="paragraph" w:customStyle="1" w:styleId="11">
    <w:name w:val="章标题"/>
    <w:next w:val="9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3"/>
    <w:next w:val="9"/>
    <w:qFormat/>
    <w:uiPriority w:val="0"/>
    <w:pPr>
      <w:numPr>
        <w:ilvl w:val="2"/>
      </w:numPr>
      <w:spacing w:before="50" w:beforeLines="0" w:after="50" w:afterLines="0"/>
      <w:outlineLvl w:val="3"/>
    </w:pPr>
  </w:style>
  <w:style w:type="paragraph" w:customStyle="1" w:styleId="13">
    <w:name w:val="一级条标题"/>
    <w:next w:val="9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4">
    <w:name w:val="正文表标题"/>
    <w:next w:val="9"/>
    <w:qFormat/>
    <w:uiPriority w:val="0"/>
    <w:p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9">
    <w:name w:val="发布部门"/>
    <w:next w:val="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20">
    <w:name w:val="发布"/>
    <w:basedOn w:val="6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21">
    <w:name w:val="页眉 字符"/>
    <w:basedOn w:val="6"/>
    <w:link w:val="3"/>
    <w:qFormat/>
    <w:uiPriority w:val="0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2946</Characters>
  <Lines>24</Lines>
  <Paragraphs>6</Paragraphs>
  <TotalTime>2</TotalTime>
  <ScaleCrop>false</ScaleCrop>
  <LinksUpToDate>false</LinksUpToDate>
  <CharactersWithSpaces>3456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2021-12-14T08:28:00Z</dcterms:created>
  <dc:creator>Administrator</dc:creator>
  <cp:lastModifiedBy>梁</cp:lastModifiedBy>
  <cp:lastPrinted>2021-12-31T06:35:00Z</cp:lastPrinted>
  <dcterms:modified xsi:type="dcterms:W3CDTF">2022-01-17T02:05:25Z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5004FDE5D3EC499292754F554C6C7CC1</vt:lpwstr>
  </property>
</Properties>
</file>