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w:t>
      </w:r>
      <w:r>
        <w:rPr>
          <w:rFonts w:hint="eastAsia" w:ascii="方正小标宋简体" w:hAnsi="方正小标宋简体" w:eastAsia="方正小标宋简体" w:cs="方正小标宋简体"/>
          <w:b/>
          <w:bCs/>
          <w:sz w:val="44"/>
          <w:szCs w:val="44"/>
          <w:lang w:val="en-US" w:eastAsia="zh-CN"/>
        </w:rPr>
        <w:t>食品安全地方标准 餐饮服务领域</w:t>
      </w:r>
      <w:r>
        <w:rPr>
          <w:rFonts w:hint="eastAsia" w:ascii="方正小标宋简体" w:hAnsi="方正小标宋简体" w:eastAsia="方正小标宋简体" w:cs="方正小标宋简体"/>
          <w:b/>
          <w:bCs/>
          <w:sz w:val="44"/>
          <w:szCs w:val="44"/>
        </w:rPr>
        <w:t>非预包装即食食品微生物限量》修订标准编制说明</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（征求意见</w:t>
      </w:r>
      <w:r>
        <w:rPr>
          <w:rFonts w:hint="eastAsia" w:ascii="方正小标宋简体" w:hAnsi="方正小标宋简体" w:eastAsia="方正小标宋简体" w:cs="方正小标宋简体"/>
          <w:b/>
          <w:bCs/>
          <w:sz w:val="44"/>
          <w:szCs w:val="44"/>
        </w:rPr>
        <w:t>稿）</w:t>
      </w:r>
    </w:p>
    <w:p>
      <w:pPr>
        <w:ind w:firstLine="602" w:firstLineChars="200"/>
        <w:jc w:val="left"/>
        <w:rPr>
          <w:rFonts w:hint="eastAsia" w:ascii="宋体" w:hAnsi="宋体" w:eastAsia="宋体" w:cs="宋体"/>
          <w:b/>
          <w:bCs/>
          <w:sz w:val="30"/>
          <w:szCs w:val="30"/>
        </w:rPr>
      </w:pPr>
    </w:p>
    <w:p>
      <w:pPr>
        <w:ind w:firstLine="602" w:firstLineChars="200"/>
        <w:jc w:val="left"/>
        <w:rPr>
          <w:rFonts w:ascii="宋体" w:hAnsi="宋体" w:eastAsia="宋体" w:cs="宋体"/>
          <w:b/>
          <w:bCs/>
          <w:sz w:val="30"/>
          <w:szCs w:val="30"/>
        </w:rPr>
      </w:pPr>
      <w:bookmarkStart w:id="2" w:name="_GoBack"/>
      <w:bookmarkEnd w:id="2"/>
      <w:r>
        <w:rPr>
          <w:rFonts w:hint="eastAsia" w:ascii="宋体" w:hAnsi="宋体" w:eastAsia="宋体" w:cs="宋体"/>
          <w:b/>
          <w:bCs/>
          <w:sz w:val="30"/>
          <w:szCs w:val="30"/>
        </w:rPr>
        <w:t>一、工作简况</w:t>
      </w:r>
    </w:p>
    <w:p>
      <w:pPr>
        <w:pStyle w:val="12"/>
        <w:spacing w:line="360" w:lineRule="auto"/>
        <w:ind w:firstLine="562" w:firstLineChars="200"/>
        <w:outlineLvl w:val="1"/>
        <w:rPr>
          <w:rFonts w:ascii="黑体" w:eastAsia="黑体" w:cs="黑体"/>
          <w:color w:val="auto"/>
          <w:sz w:val="28"/>
          <w:szCs w:val="28"/>
        </w:rPr>
      </w:pPr>
      <w:bookmarkStart w:id="0" w:name="_Toc413404596"/>
      <w:bookmarkStart w:id="1" w:name="_Toc421173442"/>
      <w:r>
        <w:rPr>
          <w:rFonts w:hint="eastAsia" w:ascii="黑体" w:hAnsi="宋体" w:eastAsia="黑体" w:cs="Times New Roman"/>
          <w:b/>
          <w:color w:val="auto"/>
          <w:kern w:val="2"/>
          <w:sz w:val="28"/>
          <w:szCs w:val="28"/>
        </w:rPr>
        <w:t>1</w:t>
      </w:r>
      <w:r>
        <w:rPr>
          <w:rFonts w:hint="eastAsia" w:ascii="黑体" w:hAnsi="宋体" w:eastAsia="黑体" w:cs="Times New Roman"/>
          <w:b/>
          <w:color w:val="auto"/>
          <w:kern w:val="2"/>
          <w:sz w:val="28"/>
          <w:szCs w:val="28"/>
          <w:lang w:eastAsia="zh-CN"/>
        </w:rPr>
        <w:t>.</w:t>
      </w:r>
      <w:r>
        <w:rPr>
          <w:rFonts w:hint="eastAsia" w:ascii="黑体" w:hAnsi="宋体" w:eastAsia="黑体" w:cs="Times New Roman"/>
          <w:b/>
          <w:color w:val="auto"/>
          <w:kern w:val="2"/>
          <w:sz w:val="28"/>
          <w:szCs w:val="28"/>
        </w:rPr>
        <w:t>任务来源、起草单位、起草人</w:t>
      </w:r>
      <w:bookmarkEnd w:id="0"/>
      <w:bookmarkEnd w:id="1"/>
      <w:r>
        <w:rPr>
          <w:rFonts w:cs="黑体"/>
          <w:color w:val="auto"/>
          <w:sz w:val="28"/>
          <w:szCs w:val="28"/>
        </w:rPr>
        <w:t xml:space="preserve"> </w:t>
      </w:r>
    </w:p>
    <w:p>
      <w:pPr>
        <w:autoSpaceDE w:val="0"/>
        <w:autoSpaceDN w:val="0"/>
        <w:adjustRightInd w:val="0"/>
        <w:spacing w:line="360" w:lineRule="auto"/>
        <w:ind w:firstLine="460" w:firstLineChars="192"/>
        <w:rPr>
          <w:rFonts w:ascii="宋体" w:hAnsi="宋体" w:cs="Courier New"/>
          <w:sz w:val="24"/>
        </w:rPr>
      </w:pPr>
      <w:r>
        <w:rPr>
          <w:rFonts w:hint="eastAsia" w:ascii="宋体" w:hAnsi="宋体" w:cs="Courier New"/>
          <w:sz w:val="24"/>
        </w:rPr>
        <w:t>广东省卫生健康委员会于2020年12月9日正式下达了</w:t>
      </w:r>
      <w:r>
        <w:rPr>
          <w:rFonts w:ascii="宋体" w:hAnsi="宋体" w:cs="Courier New"/>
          <w:sz w:val="24"/>
        </w:rPr>
        <w:t>20</w:t>
      </w:r>
      <w:r>
        <w:rPr>
          <w:rFonts w:hint="eastAsia" w:ascii="宋体" w:hAnsi="宋体" w:cs="Courier New"/>
          <w:sz w:val="24"/>
        </w:rPr>
        <w:t>20</w:t>
      </w:r>
      <w:r>
        <w:rPr>
          <w:rFonts w:ascii="宋体" w:hAnsi="宋体" w:cs="Courier New"/>
          <w:sz w:val="24"/>
        </w:rPr>
        <w:t>年</w:t>
      </w:r>
      <w:r>
        <w:rPr>
          <w:rFonts w:hint="eastAsia" w:ascii="宋体" w:hAnsi="宋体" w:cs="Courier New"/>
          <w:sz w:val="24"/>
        </w:rPr>
        <w:t>广东省</w:t>
      </w:r>
      <w:r>
        <w:rPr>
          <w:rFonts w:ascii="宋体" w:hAnsi="宋体" w:cs="Courier New"/>
          <w:sz w:val="24"/>
        </w:rPr>
        <w:t>食品安全地方标准《非预包装即食食品微生物</w:t>
      </w:r>
      <w:r>
        <w:rPr>
          <w:rFonts w:hint="eastAsia" w:ascii="宋体" w:hAnsi="宋体" w:cs="Courier New"/>
          <w:sz w:val="24"/>
        </w:rPr>
        <w:t>限量</w:t>
      </w:r>
      <w:r>
        <w:rPr>
          <w:rFonts w:ascii="宋体" w:hAnsi="宋体" w:cs="Courier New"/>
          <w:sz w:val="24"/>
        </w:rPr>
        <w:t>》</w:t>
      </w:r>
      <w:r>
        <w:rPr>
          <w:rFonts w:hint="eastAsia" w:ascii="宋体" w:hAnsi="宋体" w:cs="Courier New"/>
          <w:sz w:val="24"/>
        </w:rPr>
        <w:t>修订计划的通知</w:t>
      </w:r>
      <w:r>
        <w:rPr>
          <w:rFonts w:ascii="宋体" w:hAnsi="宋体" w:cs="Courier New"/>
          <w:sz w:val="24"/>
        </w:rPr>
        <w:t>。</w:t>
      </w:r>
    </w:p>
    <w:p>
      <w:pPr>
        <w:autoSpaceDE w:val="0"/>
        <w:autoSpaceDN w:val="0"/>
        <w:adjustRightInd w:val="0"/>
        <w:spacing w:line="360" w:lineRule="auto"/>
        <w:ind w:firstLine="460" w:firstLineChars="192"/>
        <w:rPr>
          <w:rFonts w:ascii="宋体"/>
          <w:sz w:val="24"/>
        </w:rPr>
      </w:pPr>
      <w:r>
        <w:rPr>
          <w:rFonts w:ascii="宋体" w:hAnsi="宋体" w:cs="Courier New"/>
          <w:sz w:val="24"/>
        </w:rPr>
        <w:t>本标准</w:t>
      </w:r>
      <w:r>
        <w:rPr>
          <w:rFonts w:hint="eastAsia" w:ascii="宋体" w:hAnsi="宋体" w:cs="Courier New"/>
          <w:sz w:val="24"/>
        </w:rPr>
        <w:t>修订计划</w:t>
      </w:r>
      <w:r>
        <w:rPr>
          <w:rFonts w:ascii="宋体" w:hAnsi="宋体" w:cs="Courier New"/>
          <w:sz w:val="24"/>
        </w:rPr>
        <w:t>由</w:t>
      </w:r>
      <w:r>
        <w:rPr>
          <w:rFonts w:hint="eastAsia"/>
          <w:sz w:val="24"/>
        </w:rPr>
        <w:t>深圳市计量质量检测研究院、广东省食品检验所</w:t>
      </w:r>
      <w:r>
        <w:rPr>
          <w:rFonts w:hint="eastAsia" w:ascii="宋体" w:hAnsi="宋体" w:cs="Courier New"/>
          <w:sz w:val="24"/>
        </w:rPr>
        <w:t>负责</w:t>
      </w:r>
      <w:r>
        <w:rPr>
          <w:rFonts w:ascii="宋体" w:hAnsi="宋体" w:cs="Courier New"/>
          <w:sz w:val="24"/>
        </w:rPr>
        <w:t>起草</w:t>
      </w:r>
      <w:r>
        <w:rPr>
          <w:rFonts w:hint="eastAsia" w:ascii="宋体" w:hAnsi="宋体" w:cs="Courier New"/>
          <w:sz w:val="24"/>
        </w:rPr>
        <w:t>，</w:t>
      </w:r>
      <w:r>
        <w:rPr>
          <w:rFonts w:hint="eastAsia"/>
          <w:sz w:val="24"/>
        </w:rPr>
        <w:t>深圳市食品药品监督管理局</w:t>
      </w:r>
      <w:r>
        <w:rPr>
          <w:rFonts w:hint="eastAsia" w:ascii="宋体" w:hAnsi="宋体" w:cs="Courier New"/>
          <w:sz w:val="24"/>
        </w:rPr>
        <w:t>、深圳市分析测试协会等单位参与起草工作</w:t>
      </w:r>
      <w:r>
        <w:rPr>
          <w:rFonts w:ascii="宋体" w:hAnsi="宋体" w:cs="Courier New"/>
          <w:sz w:val="24"/>
        </w:rPr>
        <w:t>。</w:t>
      </w:r>
      <w:r>
        <w:rPr>
          <w:rFonts w:hint="eastAsia" w:ascii="宋体" w:hAnsi="宋体" w:cs="Courier New"/>
          <w:sz w:val="24"/>
        </w:rPr>
        <w:t>主要起草人包括：刘芳、周露、许俊妹、张念、徐彩凤、蔡潼玲、陈晶、黄叙城、杨国武</w:t>
      </w:r>
      <w:r>
        <w:rPr>
          <w:rFonts w:hint="eastAsia" w:ascii="Verdana" w:hAnsi="Verdana"/>
          <w:sz w:val="24"/>
          <w:shd w:val="clear" w:color="auto" w:fill="FFFFFF"/>
        </w:rPr>
        <w:t>。</w:t>
      </w:r>
    </w:p>
    <w:p>
      <w:pPr>
        <w:numPr>
          <w:numId w:val="0"/>
        </w:numPr>
        <w:ind w:firstLine="562" w:firstLineChars="200"/>
        <w:jc w:val="left"/>
        <w:rPr>
          <w:rFonts w:ascii="黑体" w:hAnsi="宋体" w:eastAsia="黑体" w:cs="Times New Roman"/>
          <w:b/>
          <w:sz w:val="28"/>
          <w:szCs w:val="28"/>
        </w:rPr>
      </w:pPr>
      <w:r>
        <w:rPr>
          <w:rFonts w:hint="eastAsia" w:ascii="黑体" w:hAnsi="宋体" w:eastAsia="黑体" w:cs="Times New Roman"/>
          <w:b/>
          <w:sz w:val="28"/>
          <w:szCs w:val="28"/>
          <w:lang w:val="en-US" w:eastAsia="zh-CN"/>
        </w:rPr>
        <w:t>2</w:t>
      </w:r>
      <w:r>
        <w:rPr>
          <w:rFonts w:hint="default" w:ascii="黑体" w:hAnsi="宋体" w:eastAsia="黑体" w:cs="Times New Roman"/>
          <w:b/>
          <w:sz w:val="28"/>
          <w:szCs w:val="28"/>
          <w:lang w:val="en" w:eastAsia="zh-CN"/>
        </w:rPr>
        <w:t>.</w:t>
      </w:r>
      <w:r>
        <w:rPr>
          <w:rFonts w:hint="eastAsia" w:ascii="黑体" w:hAnsi="宋体" w:eastAsia="黑体" w:cs="Times New Roman"/>
          <w:b/>
          <w:sz w:val="28"/>
          <w:szCs w:val="28"/>
        </w:rPr>
        <w:t>简要修订过程</w:t>
      </w:r>
    </w:p>
    <w:p>
      <w:pPr>
        <w:pStyle w:val="12"/>
        <w:spacing w:line="360" w:lineRule="auto"/>
        <w:ind w:firstLine="480" w:firstLineChars="200"/>
        <w:jc w:val="both"/>
        <w:rPr>
          <w:rFonts w:ascii="宋体" w:hAnsi="宋体" w:cs="Courier New" w:eastAsiaTheme="minorEastAsia"/>
          <w:color w:val="auto"/>
          <w:kern w:val="2"/>
        </w:rPr>
      </w:pPr>
      <w:r>
        <w:rPr>
          <w:rFonts w:hint="eastAsia" w:ascii="宋体" w:hAnsi="宋体" w:cs="Courier New" w:eastAsiaTheme="minorEastAsia"/>
          <w:color w:val="auto"/>
          <w:kern w:val="2"/>
        </w:rPr>
        <w:t>2021年1月，项目承担单位成立标准修订工作组，通过收集2015年以来国内外食品安全标准、食品质量标准、行业标准等相关资料，经专家研讨、企业调研、学术交流等多种形式，在参考和借鉴国际食品法典委员会、澳大利亚和新西兰、英国、中国香港和中国澳门等国家和地区标准的基础上，结合广东省餐饮服务业发展态势和地方特色食品制作工艺要求，修订了部分内容形成初稿。最后，在广泛征求各方专家、生产企业、商超企业、网络平台企业的意见和建议后，完成了标准修订征求意见稿。</w:t>
      </w:r>
    </w:p>
    <w:p>
      <w:pPr>
        <w:spacing w:line="360" w:lineRule="auto"/>
        <w:ind w:firstLine="480" w:firstLineChars="200"/>
        <w:jc w:val="left"/>
        <w:rPr>
          <w:rFonts w:ascii="宋体" w:hAnsi="宋体" w:cs="Courier New"/>
          <w:sz w:val="24"/>
        </w:rPr>
      </w:pPr>
      <w:r>
        <w:rPr>
          <w:rFonts w:hint="eastAsia" w:ascii="宋体" w:hAnsi="宋体" w:cs="Courier New"/>
          <w:sz w:val="24"/>
        </w:rPr>
        <w:t>标准修订工作组于2021年4月在深圳召开了企业交流研讨会，与会专家、相关行业协会和企业代表出席了会议，对标准修订内容和编制说明提出了修改意见和建议。</w:t>
      </w:r>
    </w:p>
    <w:p>
      <w:pPr>
        <w:spacing w:line="360" w:lineRule="auto"/>
        <w:jc w:val="left"/>
        <w:rPr>
          <w:rFonts w:ascii="宋体" w:hAnsi="宋体" w:cs="Courier New"/>
          <w:sz w:val="24"/>
          <w:highlight w:val="yellow"/>
        </w:rPr>
      </w:pPr>
    </w:p>
    <w:p>
      <w:pPr>
        <w:ind w:firstLine="602" w:firstLineChars="200"/>
        <w:jc w:val="left"/>
        <w:rPr>
          <w:rFonts w:ascii="宋体" w:hAnsi="宋体" w:eastAsia="宋体" w:cs="宋体"/>
          <w:b/>
          <w:bCs/>
          <w:sz w:val="30"/>
          <w:szCs w:val="30"/>
        </w:rPr>
      </w:pPr>
      <w:r>
        <w:rPr>
          <w:rFonts w:hint="eastAsia" w:ascii="宋体" w:hAnsi="宋体" w:eastAsia="宋体" w:cs="宋体"/>
          <w:b/>
          <w:bCs/>
          <w:sz w:val="30"/>
          <w:szCs w:val="30"/>
        </w:rPr>
        <w:t>二、标准体系发展概况</w:t>
      </w:r>
    </w:p>
    <w:p>
      <w:pPr>
        <w:spacing w:line="360" w:lineRule="auto"/>
        <w:ind w:firstLine="480" w:firstLineChars="200"/>
        <w:jc w:val="left"/>
        <w:rPr>
          <w:rFonts w:ascii="宋体" w:hAnsi="宋体" w:cs="Courier New"/>
          <w:sz w:val="24"/>
        </w:rPr>
      </w:pPr>
      <w:r>
        <w:rPr>
          <w:rFonts w:hint="eastAsia" w:ascii="宋体" w:hAnsi="宋体" w:cs="Courier New"/>
          <w:sz w:val="24"/>
        </w:rPr>
        <w:t>《中华人民共和国 食品安全法》（2021.4.29修正）（以下简称《食品安全法》）第二十九条规定，对地方特色食品，没有食品安全国家标准的，省、自治区、直辖市人民政府卫生行政部门可以制定并公布食品安全地方标准，报国务院卫生行政部门备案。食品安全国家标准制定后，该地方标准即行废止。</w:t>
      </w:r>
    </w:p>
    <w:p>
      <w:pPr>
        <w:spacing w:line="360" w:lineRule="auto"/>
        <w:ind w:firstLine="480" w:firstLineChars="200"/>
        <w:jc w:val="left"/>
        <w:rPr>
          <w:rFonts w:ascii="宋体" w:hAnsi="宋体" w:cs="Courier New"/>
          <w:sz w:val="24"/>
        </w:rPr>
      </w:pPr>
      <w:r>
        <w:rPr>
          <w:rFonts w:hint="eastAsia" w:ascii="宋体" w:hAnsi="宋体" w:cs="Courier New"/>
          <w:sz w:val="24"/>
        </w:rPr>
        <w:t>《中华人民共和国 食品安全法实施条例》（2019.12.1实施）（以下简称《食品安全法实施条例》）第十一条规定，省、自治区、直辖市人民政府卫生行政部门依照食品安全法第二十九条的规定制定食品安全地方标准，应当公开征求意见。省、自治区、直辖市人民政府卫生行政部门应当自食品安全地方标准公布之日起30个工作日内，将地方标准报国务院卫生行政部门备案。国务院卫生行政部门发现备案的食品安全地方标准违反法律、法规或者食品安全国家标准的，应当及时予以纠正。《</w:t>
      </w:r>
      <w:r>
        <w:rPr>
          <w:rFonts w:ascii="宋体" w:hAnsi="宋体" w:cs="Courier New"/>
          <w:sz w:val="24"/>
        </w:rPr>
        <w:t>地方标准管理办法</w:t>
      </w:r>
      <w:r>
        <w:rPr>
          <w:rFonts w:hint="eastAsia" w:ascii="宋体" w:hAnsi="宋体" w:cs="Courier New"/>
          <w:sz w:val="24"/>
        </w:rPr>
        <w:t>》（2020.3.1实施）第二十四条规定，设区的市级以上地方标准化行政主管部门应当建立地方标准实施信息反馈和评估机制，并根据反馈和评估情况，对其制定的地方标准进行复审。《食品安全法》明确了地方标准修订的必要性，《食品安全法实施条例》细化明确了地方标准的制定范围以及发布程序，《</w:t>
      </w:r>
      <w:r>
        <w:rPr>
          <w:rFonts w:ascii="宋体" w:hAnsi="宋体" w:cs="Courier New"/>
          <w:sz w:val="24"/>
        </w:rPr>
        <w:t>地方标准管理办法</w:t>
      </w:r>
      <w:r>
        <w:rPr>
          <w:rFonts w:hint="eastAsia" w:ascii="宋体" w:hAnsi="宋体" w:cs="Courier New"/>
          <w:sz w:val="24"/>
        </w:rPr>
        <w:t>》明确了地方标准的修订程序。</w:t>
      </w:r>
    </w:p>
    <w:p>
      <w:pPr>
        <w:spacing w:line="360" w:lineRule="auto"/>
        <w:ind w:firstLine="480" w:firstLineChars="200"/>
        <w:jc w:val="left"/>
        <w:rPr>
          <w:rFonts w:ascii="宋体" w:hAnsi="宋体" w:cs="Courier New"/>
          <w:sz w:val="24"/>
        </w:rPr>
      </w:pPr>
      <w:r>
        <w:rPr>
          <w:rFonts w:hint="eastAsia" w:ascii="宋体" w:hAnsi="宋体" w:cs="Courier New"/>
          <w:sz w:val="24"/>
        </w:rPr>
        <w:t>GB 29921-2021《食品安全国家标准 预包装食品中致病菌限量》（2021.11.22实施）对乳制品、肉制品、水产制品、即食蛋制品、粮食制品、即食豆制品、巧克力类及可可制品、即食果蔬制品、饮料、冷冻饮品、即食调味品、坚果与籽类食品、特殊膳食用食品等13类食品的沙门氏菌、单核细胞增生李斯特氏菌、致泻大肠埃希氏菌、金黄色葡萄球菌、副溶血性弧菌、克罗诺杆菌属（阪崎肠杆菌）等致病菌限量要求作出了规定，同时明确该标准的适用范围为预包装食品，</w:t>
      </w:r>
      <w:r>
        <w:rPr>
          <w:rFonts w:ascii="宋体" w:hAnsi="宋体" w:cs="Courier New"/>
          <w:sz w:val="24"/>
        </w:rPr>
        <w:t>不适用于执行商业无菌要求的食品、包装饮用水、饮用天然矿泉水。</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GB 31607-2021《食品安全国家标准 散装即食食品中致病菌限量》（2022.3.7实施）对热处理散装即食食品的沙门氏菌、金黄色葡萄球菌、蜡样芽胞杆菌项目，部分或未经热处理散装即食食品的沙门氏菌、金黄色葡萄球菌、单核细胞增生李斯特氏菌、副溶血性弧菌和蜡样芽胞杆菌项目，以及其他散装食品的沙门氏菌和金黄色葡萄球菌项目做出了规定，同时明确该标准不适用于餐饮服务中的食品、执行商业无菌要求的食品、未经加工或处理的初级农产品。</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GB 29921-2021《食品安全国家标准 预包装食品中致病菌限量》与GB 31607-2021《食品安全国家标准 散装即食食品中致病菌限量》两项强制性食品安全国家标准的出台，为预包装食品和散装即食食品致病菌的质量控制和政府监管提供了有力的科学依据和技术支撑。与此同时，也暴露了餐饮服务领域即食食品微生物项目缺乏相关技术标准的困境，为全面保障食品安全和人民群众身体健康，餐饮领域即食食品相关标准的编制是大势所趋，势在必行。</w:t>
      </w:r>
    </w:p>
    <w:p>
      <w:pPr>
        <w:spacing w:line="360" w:lineRule="auto"/>
        <w:ind w:firstLine="480" w:firstLineChars="200"/>
        <w:jc w:val="left"/>
        <w:rPr>
          <w:rFonts w:ascii="宋体" w:hAnsi="宋体" w:cs="Courier New"/>
          <w:sz w:val="24"/>
        </w:rPr>
      </w:pPr>
      <w:r>
        <w:rPr>
          <w:rFonts w:hint="eastAsia" w:ascii="宋体" w:hAnsi="宋体" w:cs="Courier New"/>
          <w:sz w:val="24"/>
        </w:rPr>
        <w:t>近年来，我国食品标准体系不断更新完善，颁布实施了大批食品安全标准和产品标准，其中部分涉及即食食品的相关标准也陆续出台（表1）。此类标准适用范围涵盖</w:t>
      </w:r>
      <w:r>
        <w:rPr>
          <w:rFonts w:ascii="宋体" w:hAnsi="宋体" w:cs="Courier New"/>
          <w:sz w:val="24"/>
        </w:rPr>
        <w:t>谷物制品、肉制品</w:t>
      </w:r>
      <w:r>
        <w:rPr>
          <w:rFonts w:hint="eastAsia" w:ascii="宋体" w:hAnsi="宋体" w:cs="Courier New"/>
          <w:sz w:val="24"/>
        </w:rPr>
        <w:t>、</w:t>
      </w:r>
      <w:r>
        <w:rPr>
          <w:rFonts w:ascii="宋体" w:hAnsi="宋体" w:cs="Courier New"/>
          <w:sz w:val="24"/>
        </w:rPr>
        <w:t>酱腌菜、水产品</w:t>
      </w:r>
      <w:r>
        <w:rPr>
          <w:rFonts w:hint="eastAsia" w:ascii="宋体" w:hAnsi="宋体" w:cs="Courier New"/>
          <w:sz w:val="24"/>
        </w:rPr>
        <w:t>、水果制品，检测项目包括</w:t>
      </w:r>
      <w:r>
        <w:rPr>
          <w:rFonts w:ascii="宋体" w:hAnsi="宋体" w:cs="Courier New"/>
          <w:sz w:val="24"/>
        </w:rPr>
        <w:t>菌落总数、大肠菌群、沙门氏菌、金黄色葡萄球菌、副溶血性弧菌、单核细胞增生李斯特氏菌、霍乱弧菌</w:t>
      </w:r>
      <w:r>
        <w:rPr>
          <w:rFonts w:hint="eastAsia" w:ascii="宋体" w:hAnsi="宋体" w:cs="Courier New"/>
          <w:sz w:val="24"/>
        </w:rPr>
        <w:t>等</w:t>
      </w:r>
      <w:r>
        <w:rPr>
          <w:rFonts w:ascii="宋体" w:hAnsi="宋体" w:cs="Courier New"/>
          <w:sz w:val="24"/>
        </w:rPr>
        <w:t>。</w:t>
      </w:r>
      <w:r>
        <w:rPr>
          <w:rFonts w:hint="eastAsia" w:ascii="宋体" w:hAnsi="宋体" w:cs="Courier New"/>
          <w:sz w:val="24"/>
        </w:rPr>
        <w:t>新出台的即食食品标准，给</w:t>
      </w:r>
      <w:r>
        <w:rPr>
          <w:rFonts w:ascii="宋体" w:hAnsi="宋体" w:cs="Courier New"/>
          <w:sz w:val="24"/>
        </w:rPr>
        <w:t>本标准的修订</w:t>
      </w:r>
      <w:r>
        <w:rPr>
          <w:rFonts w:hint="eastAsia" w:ascii="宋体" w:hAnsi="宋体" w:cs="Courier New"/>
          <w:sz w:val="24"/>
        </w:rPr>
        <w:t>工作</w:t>
      </w:r>
      <w:r>
        <w:rPr>
          <w:rFonts w:ascii="宋体" w:hAnsi="宋体" w:cs="Courier New"/>
          <w:sz w:val="24"/>
        </w:rPr>
        <w:t>提供了</w:t>
      </w:r>
      <w:r>
        <w:rPr>
          <w:rFonts w:hint="eastAsia" w:ascii="宋体" w:hAnsi="宋体" w:cs="Courier New"/>
          <w:sz w:val="24"/>
        </w:rPr>
        <w:t>良好的技术参考。</w:t>
      </w:r>
    </w:p>
    <w:p>
      <w:pPr>
        <w:spacing w:line="360" w:lineRule="auto"/>
        <w:ind w:firstLine="480" w:firstLineChars="200"/>
        <w:jc w:val="center"/>
        <w:rPr>
          <w:rFonts w:ascii="宋体" w:hAnsi="宋体" w:cs="Courier New"/>
          <w:sz w:val="24"/>
        </w:rPr>
      </w:pPr>
      <w:r>
        <w:rPr>
          <w:rFonts w:hint="eastAsia" w:ascii="黑体" w:hAnsi="黑体" w:eastAsia="黑体" w:cs="黑体"/>
          <w:sz w:val="24"/>
        </w:rPr>
        <w:t>表1 即食食品相关标准汇总</w:t>
      </w:r>
    </w:p>
    <w:tbl>
      <w:tblPr>
        <w:tblStyle w:val="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2341"/>
        <w:gridCol w:w="3655"/>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933" w:type="dxa"/>
            <w:shd w:val="clear" w:color="auto" w:fill="auto"/>
            <w:noWrap/>
            <w:vAlign w:val="center"/>
          </w:tcPr>
          <w:p>
            <w:pPr>
              <w:widowControl/>
              <w:jc w:val="center"/>
              <w:textAlignment w:val="center"/>
              <w:rPr>
                <w:rFonts w:ascii="Times New Roman" w:hAnsi="Times New Roman" w:eastAsia="宋体" w:cs="Times New Roman"/>
                <w:b/>
                <w:bCs/>
                <w:color w:val="000000"/>
                <w:szCs w:val="21"/>
              </w:rPr>
            </w:pPr>
            <w:r>
              <w:rPr>
                <w:rFonts w:ascii="Times New Roman" w:hAnsi="Times New Roman" w:eastAsia="宋体" w:cs="Times New Roman"/>
                <w:b/>
                <w:bCs/>
                <w:color w:val="000000"/>
                <w:kern w:val="0"/>
                <w:szCs w:val="21"/>
                <w:lang w:bidi="ar"/>
              </w:rPr>
              <w:t>序号</w:t>
            </w:r>
          </w:p>
        </w:tc>
        <w:tc>
          <w:tcPr>
            <w:tcW w:w="2341" w:type="dxa"/>
            <w:shd w:val="clear" w:color="auto" w:fill="auto"/>
            <w:vAlign w:val="center"/>
          </w:tcPr>
          <w:p>
            <w:pPr>
              <w:widowControl/>
              <w:jc w:val="center"/>
              <w:textAlignment w:val="top"/>
              <w:rPr>
                <w:rFonts w:ascii="Times New Roman" w:hAnsi="Times New Roman" w:eastAsia="宋体" w:cs="Times New Roman"/>
                <w:b/>
                <w:bCs/>
                <w:color w:val="000000"/>
                <w:szCs w:val="21"/>
              </w:rPr>
            </w:pPr>
            <w:r>
              <w:rPr>
                <w:rFonts w:ascii="Times New Roman" w:hAnsi="Times New Roman" w:eastAsia="宋体" w:cs="Times New Roman"/>
                <w:b/>
                <w:bCs/>
                <w:color w:val="000000"/>
                <w:kern w:val="0"/>
                <w:szCs w:val="21"/>
                <w:lang w:bidi="ar"/>
              </w:rPr>
              <w:t>标准号</w:t>
            </w:r>
          </w:p>
        </w:tc>
        <w:tc>
          <w:tcPr>
            <w:tcW w:w="3655" w:type="dxa"/>
            <w:shd w:val="clear" w:color="auto" w:fill="auto"/>
            <w:vAlign w:val="center"/>
          </w:tcPr>
          <w:p>
            <w:pPr>
              <w:widowControl/>
              <w:jc w:val="center"/>
              <w:textAlignment w:val="top"/>
              <w:rPr>
                <w:rFonts w:ascii="Times New Roman" w:hAnsi="Times New Roman" w:eastAsia="宋体" w:cs="Times New Roman"/>
                <w:b/>
                <w:bCs/>
                <w:color w:val="000000"/>
                <w:szCs w:val="21"/>
              </w:rPr>
            </w:pPr>
            <w:r>
              <w:rPr>
                <w:rFonts w:ascii="Times New Roman" w:hAnsi="Times New Roman" w:eastAsia="宋体" w:cs="Times New Roman"/>
                <w:b/>
                <w:bCs/>
                <w:color w:val="000000"/>
                <w:kern w:val="0"/>
                <w:szCs w:val="21"/>
                <w:lang w:bidi="ar"/>
              </w:rPr>
              <w:t>标准名称</w:t>
            </w:r>
          </w:p>
        </w:tc>
        <w:tc>
          <w:tcPr>
            <w:tcW w:w="1590" w:type="dxa"/>
            <w:shd w:val="clear" w:color="auto" w:fill="auto"/>
            <w:vAlign w:val="center"/>
          </w:tcPr>
          <w:p>
            <w:pPr>
              <w:widowControl/>
              <w:jc w:val="center"/>
              <w:textAlignment w:val="top"/>
              <w:rPr>
                <w:rFonts w:ascii="Times New Roman" w:hAnsi="Times New Roman" w:eastAsia="宋体" w:cs="Times New Roman"/>
                <w:b/>
                <w:bCs/>
                <w:color w:val="000000"/>
                <w:szCs w:val="21"/>
              </w:rPr>
            </w:pPr>
            <w:r>
              <w:rPr>
                <w:rFonts w:ascii="Times New Roman" w:hAnsi="Times New Roman" w:eastAsia="宋体" w:cs="Times New Roman"/>
                <w:b/>
                <w:bCs/>
                <w:color w:val="000000"/>
                <w:kern w:val="0"/>
                <w:szCs w:val="21"/>
                <w:lang w:bidi="ar"/>
              </w:rPr>
              <w:t>实施日期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933" w:type="dxa"/>
            <w:shd w:val="clear" w:color="auto" w:fill="auto"/>
            <w:noWrap/>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w:t>
            </w:r>
          </w:p>
        </w:tc>
        <w:tc>
          <w:tcPr>
            <w:tcW w:w="2341" w:type="dxa"/>
            <w:shd w:val="clear" w:color="auto" w:fill="auto"/>
            <w:vAlign w:val="center"/>
          </w:tcPr>
          <w:p>
            <w:pPr>
              <w:widowControl/>
              <w:jc w:val="left"/>
              <w:textAlignment w:val="top"/>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GB 31607-2021 </w:t>
            </w:r>
          </w:p>
        </w:tc>
        <w:tc>
          <w:tcPr>
            <w:tcW w:w="3655" w:type="dxa"/>
            <w:shd w:val="clear" w:color="auto" w:fill="auto"/>
            <w:vAlign w:val="center"/>
          </w:tcPr>
          <w:p>
            <w:pPr>
              <w:widowControl/>
              <w:jc w:val="left"/>
              <w:textAlignment w:val="top"/>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《食品安全国家标准 散装即食食品中致病菌限量》</w:t>
            </w:r>
          </w:p>
        </w:tc>
        <w:tc>
          <w:tcPr>
            <w:tcW w:w="1590" w:type="dxa"/>
            <w:shd w:val="clear" w:color="auto" w:fill="auto"/>
            <w:vAlign w:val="center"/>
          </w:tcPr>
          <w:p>
            <w:pPr>
              <w:widowControl/>
              <w:jc w:val="center"/>
              <w:textAlignment w:val="top"/>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2022.03.07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933" w:type="dxa"/>
            <w:shd w:val="clear" w:color="auto" w:fill="auto"/>
            <w:noWrap/>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2</w:t>
            </w:r>
          </w:p>
        </w:tc>
        <w:tc>
          <w:tcPr>
            <w:tcW w:w="2341" w:type="dxa"/>
            <w:shd w:val="clear" w:color="auto" w:fill="auto"/>
            <w:vAlign w:val="center"/>
          </w:tcPr>
          <w:p>
            <w:pPr>
              <w:widowControl/>
              <w:jc w:val="left"/>
              <w:textAlignment w:val="top"/>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GB 29921-2021</w:t>
            </w:r>
          </w:p>
        </w:tc>
        <w:tc>
          <w:tcPr>
            <w:tcW w:w="3655" w:type="dxa"/>
            <w:shd w:val="clear" w:color="auto" w:fill="auto"/>
            <w:vAlign w:val="center"/>
          </w:tcPr>
          <w:p>
            <w:pPr>
              <w:widowControl/>
              <w:jc w:val="left"/>
              <w:textAlignment w:val="top"/>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《食品安全国家标准 预包装食品中致病菌限量》</w:t>
            </w:r>
          </w:p>
        </w:tc>
        <w:tc>
          <w:tcPr>
            <w:tcW w:w="1590" w:type="dxa"/>
            <w:shd w:val="clear" w:color="auto" w:fill="auto"/>
            <w:vAlign w:val="center"/>
          </w:tcPr>
          <w:p>
            <w:pPr>
              <w:widowControl/>
              <w:jc w:val="center"/>
              <w:textAlignment w:val="top"/>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2021.11.22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933" w:type="dxa"/>
            <w:shd w:val="clear" w:color="auto" w:fill="auto"/>
            <w:noWrap/>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3</w:t>
            </w:r>
          </w:p>
        </w:tc>
        <w:tc>
          <w:tcPr>
            <w:tcW w:w="2341" w:type="dxa"/>
            <w:shd w:val="clear" w:color="auto" w:fill="auto"/>
            <w:vAlign w:val="center"/>
          </w:tcPr>
          <w:p>
            <w:pPr>
              <w:widowControl/>
              <w:jc w:val="left"/>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DB15/T 2295-2021</w:t>
            </w:r>
          </w:p>
        </w:tc>
        <w:tc>
          <w:tcPr>
            <w:tcW w:w="3655" w:type="dxa"/>
            <w:shd w:val="clear" w:color="auto" w:fill="auto"/>
            <w:vAlign w:val="center"/>
          </w:tcPr>
          <w:p>
            <w:pPr>
              <w:widowControl/>
              <w:jc w:val="left"/>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《即食燕麦片》</w:t>
            </w:r>
          </w:p>
        </w:tc>
        <w:tc>
          <w:tcPr>
            <w:tcW w:w="1590" w:type="dxa"/>
            <w:shd w:val="clear" w:color="auto" w:fill="auto"/>
            <w:vAlign w:val="cente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2021.09.20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933" w:type="dxa"/>
            <w:shd w:val="clear" w:color="auto" w:fill="auto"/>
            <w:noWrap/>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4</w:t>
            </w:r>
          </w:p>
        </w:tc>
        <w:tc>
          <w:tcPr>
            <w:tcW w:w="2341" w:type="dxa"/>
            <w:shd w:val="clear" w:color="auto" w:fill="auto"/>
            <w:vAlign w:val="center"/>
          </w:tcPr>
          <w:p>
            <w:pPr>
              <w:widowControl/>
              <w:jc w:val="left"/>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T/QGCML 100-2021</w:t>
            </w:r>
          </w:p>
        </w:tc>
        <w:tc>
          <w:tcPr>
            <w:tcW w:w="3655" w:type="dxa"/>
            <w:shd w:val="clear" w:color="auto" w:fill="auto"/>
            <w:vAlign w:val="center"/>
          </w:tcPr>
          <w:p>
            <w:pPr>
              <w:widowControl/>
              <w:jc w:val="left"/>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《半成品即食肉制品》</w:t>
            </w:r>
          </w:p>
        </w:tc>
        <w:tc>
          <w:tcPr>
            <w:tcW w:w="1590" w:type="dxa"/>
            <w:shd w:val="clear" w:color="auto" w:fill="auto"/>
            <w:vAlign w:val="cente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2021.04.29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933" w:type="dxa"/>
            <w:shd w:val="clear" w:color="auto" w:fill="auto"/>
            <w:noWrap/>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5</w:t>
            </w:r>
          </w:p>
        </w:tc>
        <w:tc>
          <w:tcPr>
            <w:tcW w:w="2341" w:type="dxa"/>
            <w:shd w:val="clear" w:color="auto" w:fill="auto"/>
            <w:vAlign w:val="center"/>
          </w:tcPr>
          <w:p>
            <w:pPr>
              <w:widowControl/>
              <w:jc w:val="left"/>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QB/T 5499-2020</w:t>
            </w:r>
          </w:p>
        </w:tc>
        <w:tc>
          <w:tcPr>
            <w:tcW w:w="3655" w:type="dxa"/>
            <w:shd w:val="clear" w:color="auto" w:fill="auto"/>
            <w:vAlign w:val="center"/>
          </w:tcPr>
          <w:p>
            <w:pPr>
              <w:widowControl/>
              <w:jc w:val="left"/>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《即食虾》</w:t>
            </w:r>
          </w:p>
        </w:tc>
        <w:tc>
          <w:tcPr>
            <w:tcW w:w="1590" w:type="dxa"/>
            <w:shd w:val="clear" w:color="auto" w:fill="auto"/>
            <w:vAlign w:val="cente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2021.04.01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3" w:type="dxa"/>
            <w:shd w:val="clear" w:color="auto" w:fill="auto"/>
            <w:noWrap/>
            <w:vAlign w:val="center"/>
          </w:tcPr>
          <w:p>
            <w:pPr>
              <w:widowControl/>
              <w:jc w:val="center"/>
              <w:textAlignment w:val="top"/>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6</w:t>
            </w:r>
          </w:p>
        </w:tc>
        <w:tc>
          <w:tcPr>
            <w:tcW w:w="2341" w:type="dxa"/>
            <w:shd w:val="clear" w:color="auto" w:fill="auto"/>
            <w:vAlign w:val="center"/>
          </w:tcPr>
          <w:p>
            <w:pPr>
              <w:widowControl/>
              <w:jc w:val="left"/>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T/JXAS 008-2020</w:t>
            </w:r>
          </w:p>
        </w:tc>
        <w:tc>
          <w:tcPr>
            <w:tcW w:w="3655" w:type="dxa"/>
            <w:shd w:val="clear" w:color="auto" w:fill="auto"/>
            <w:vAlign w:val="center"/>
          </w:tcPr>
          <w:p>
            <w:pPr>
              <w:widowControl/>
              <w:jc w:val="left"/>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《即食大头菜》</w:t>
            </w:r>
          </w:p>
        </w:tc>
        <w:tc>
          <w:tcPr>
            <w:tcW w:w="1590" w:type="dxa"/>
            <w:shd w:val="clear" w:color="auto" w:fill="auto"/>
            <w:vAlign w:val="cente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2020.12.23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3" w:type="dxa"/>
            <w:shd w:val="clear" w:color="auto" w:fill="auto"/>
            <w:noWrap/>
            <w:vAlign w:val="center"/>
          </w:tcPr>
          <w:p>
            <w:pPr>
              <w:widowControl/>
              <w:jc w:val="center"/>
              <w:textAlignment w:val="top"/>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7</w:t>
            </w:r>
          </w:p>
        </w:tc>
        <w:tc>
          <w:tcPr>
            <w:tcW w:w="2341" w:type="dxa"/>
            <w:shd w:val="clear" w:color="auto" w:fill="auto"/>
            <w:vAlign w:val="center"/>
          </w:tcPr>
          <w:p>
            <w:pPr>
              <w:widowControl/>
              <w:jc w:val="left"/>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T/JXAS 005-2020</w:t>
            </w:r>
          </w:p>
        </w:tc>
        <w:tc>
          <w:tcPr>
            <w:tcW w:w="3655" w:type="dxa"/>
            <w:shd w:val="clear" w:color="auto" w:fill="auto"/>
            <w:vAlign w:val="center"/>
          </w:tcPr>
          <w:p>
            <w:pPr>
              <w:widowControl/>
              <w:jc w:val="left"/>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《即食藕片》</w:t>
            </w:r>
          </w:p>
        </w:tc>
        <w:tc>
          <w:tcPr>
            <w:tcW w:w="1590" w:type="dxa"/>
            <w:shd w:val="clear" w:color="auto" w:fill="auto"/>
            <w:vAlign w:val="cente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2020.12.23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3" w:type="dxa"/>
            <w:shd w:val="clear" w:color="auto" w:fill="auto"/>
            <w:noWrap/>
            <w:vAlign w:val="center"/>
          </w:tcPr>
          <w:p>
            <w:pPr>
              <w:widowControl/>
              <w:jc w:val="center"/>
              <w:textAlignment w:val="top"/>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8</w:t>
            </w:r>
          </w:p>
        </w:tc>
        <w:tc>
          <w:tcPr>
            <w:tcW w:w="2341" w:type="dxa"/>
            <w:shd w:val="clear" w:color="auto" w:fill="auto"/>
            <w:vAlign w:val="center"/>
          </w:tcPr>
          <w:p>
            <w:pPr>
              <w:widowControl/>
              <w:jc w:val="left"/>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T/CNFIA 120-2020</w:t>
            </w:r>
          </w:p>
        </w:tc>
        <w:tc>
          <w:tcPr>
            <w:tcW w:w="3655" w:type="dxa"/>
            <w:shd w:val="clear" w:color="auto" w:fill="auto"/>
            <w:vAlign w:val="center"/>
          </w:tcPr>
          <w:p>
            <w:pPr>
              <w:widowControl/>
              <w:jc w:val="left"/>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《即食发酵火腿》</w:t>
            </w:r>
          </w:p>
        </w:tc>
        <w:tc>
          <w:tcPr>
            <w:tcW w:w="1590" w:type="dxa"/>
            <w:shd w:val="clear" w:color="auto" w:fill="auto"/>
            <w:vAlign w:val="cente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2020.12.28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3" w:type="dxa"/>
            <w:shd w:val="clear" w:color="auto" w:fill="auto"/>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9</w:t>
            </w:r>
          </w:p>
        </w:tc>
        <w:tc>
          <w:tcPr>
            <w:tcW w:w="2341" w:type="dxa"/>
            <w:shd w:val="clear" w:color="auto" w:fill="auto"/>
            <w:vAlign w:val="center"/>
          </w:tcPr>
          <w:p>
            <w:pPr>
              <w:widowControl/>
              <w:jc w:val="left"/>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T/ZFS 003-2020</w:t>
            </w:r>
          </w:p>
        </w:tc>
        <w:tc>
          <w:tcPr>
            <w:tcW w:w="3655" w:type="dxa"/>
            <w:shd w:val="clear" w:color="auto" w:fill="auto"/>
            <w:vAlign w:val="center"/>
          </w:tcPr>
          <w:p>
            <w:pPr>
              <w:widowControl/>
              <w:jc w:val="left"/>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《即食豆制品》</w:t>
            </w:r>
          </w:p>
        </w:tc>
        <w:tc>
          <w:tcPr>
            <w:tcW w:w="1590" w:type="dxa"/>
            <w:shd w:val="clear" w:color="auto" w:fill="auto"/>
            <w:vAlign w:val="cente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2020.10.30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3" w:type="dxa"/>
            <w:shd w:val="clear" w:color="auto" w:fill="auto"/>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10</w:t>
            </w:r>
          </w:p>
        </w:tc>
        <w:tc>
          <w:tcPr>
            <w:tcW w:w="2341" w:type="dxa"/>
            <w:shd w:val="clear" w:color="auto" w:fill="auto"/>
            <w:vAlign w:val="center"/>
          </w:tcPr>
          <w:p>
            <w:pPr>
              <w:widowControl/>
              <w:jc w:val="left"/>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T/LFSA 004-2020</w:t>
            </w:r>
          </w:p>
        </w:tc>
        <w:tc>
          <w:tcPr>
            <w:tcW w:w="3655" w:type="dxa"/>
            <w:shd w:val="clear" w:color="auto" w:fill="auto"/>
            <w:vAlign w:val="center"/>
          </w:tcPr>
          <w:p>
            <w:pPr>
              <w:widowControl/>
              <w:jc w:val="left"/>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《魔芋即食食品》</w:t>
            </w:r>
          </w:p>
        </w:tc>
        <w:tc>
          <w:tcPr>
            <w:tcW w:w="1590" w:type="dxa"/>
            <w:shd w:val="clear" w:color="auto" w:fill="auto"/>
            <w:vAlign w:val="cente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2020.10.01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3" w:type="dxa"/>
            <w:shd w:val="clear" w:color="auto" w:fill="auto"/>
            <w:noWrap/>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11</w:t>
            </w:r>
          </w:p>
        </w:tc>
        <w:tc>
          <w:tcPr>
            <w:tcW w:w="2341" w:type="dxa"/>
            <w:shd w:val="clear" w:color="auto" w:fill="auto"/>
            <w:vAlign w:val="center"/>
          </w:tcPr>
          <w:p>
            <w:pPr>
              <w:widowControl/>
              <w:jc w:val="left"/>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T/GZHPSPSA</w:t>
            </w:r>
          </w:p>
        </w:tc>
        <w:tc>
          <w:tcPr>
            <w:tcW w:w="3655" w:type="dxa"/>
            <w:shd w:val="clear" w:color="auto" w:fill="auto"/>
            <w:vAlign w:val="center"/>
          </w:tcPr>
          <w:p>
            <w:pPr>
              <w:widowControl/>
              <w:jc w:val="left"/>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《即食鲜果蔬》</w:t>
            </w:r>
          </w:p>
        </w:tc>
        <w:tc>
          <w:tcPr>
            <w:tcW w:w="1590" w:type="dxa"/>
            <w:shd w:val="clear" w:color="auto" w:fill="auto"/>
            <w:vAlign w:val="cente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2020.10.01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3" w:type="dxa"/>
            <w:shd w:val="clear" w:color="auto" w:fill="auto"/>
            <w:noWrap/>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12</w:t>
            </w:r>
          </w:p>
        </w:tc>
        <w:tc>
          <w:tcPr>
            <w:tcW w:w="2341" w:type="dxa"/>
            <w:shd w:val="clear" w:color="auto" w:fill="auto"/>
            <w:vAlign w:val="center"/>
          </w:tcPr>
          <w:p>
            <w:pPr>
              <w:widowControl/>
              <w:jc w:val="left"/>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T/ZZB 1638-2020</w:t>
            </w:r>
          </w:p>
        </w:tc>
        <w:tc>
          <w:tcPr>
            <w:tcW w:w="3655" w:type="dxa"/>
            <w:shd w:val="clear" w:color="auto" w:fill="auto"/>
            <w:vAlign w:val="center"/>
          </w:tcPr>
          <w:p>
            <w:pPr>
              <w:widowControl/>
              <w:jc w:val="left"/>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《即食深海鳕鱼鱼糜制品 鱼豆腐》</w:t>
            </w:r>
          </w:p>
        </w:tc>
        <w:tc>
          <w:tcPr>
            <w:tcW w:w="1590" w:type="dxa"/>
            <w:shd w:val="clear" w:color="auto" w:fill="auto"/>
            <w:vAlign w:val="cente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2020.07.30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3" w:type="dxa"/>
            <w:shd w:val="clear" w:color="auto" w:fill="auto"/>
            <w:noWrap/>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13</w:t>
            </w:r>
          </w:p>
        </w:tc>
        <w:tc>
          <w:tcPr>
            <w:tcW w:w="2341" w:type="dxa"/>
            <w:shd w:val="clear" w:color="auto" w:fill="auto"/>
            <w:vAlign w:val="center"/>
          </w:tcPr>
          <w:p>
            <w:pPr>
              <w:widowControl/>
              <w:jc w:val="left"/>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T/ZZB 1238-2019</w:t>
            </w:r>
          </w:p>
        </w:tc>
        <w:tc>
          <w:tcPr>
            <w:tcW w:w="3655" w:type="dxa"/>
            <w:shd w:val="clear" w:color="auto" w:fill="auto"/>
            <w:vAlign w:val="center"/>
          </w:tcPr>
          <w:p>
            <w:pPr>
              <w:widowControl/>
              <w:jc w:val="left"/>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《即食羊栖菜》</w:t>
            </w:r>
          </w:p>
        </w:tc>
        <w:tc>
          <w:tcPr>
            <w:tcW w:w="1590" w:type="dxa"/>
            <w:shd w:val="clear" w:color="auto" w:fill="auto"/>
            <w:vAlign w:val="cente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2019.10.31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3" w:type="dxa"/>
            <w:shd w:val="clear" w:color="auto" w:fill="auto"/>
            <w:noWrap/>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14</w:t>
            </w:r>
          </w:p>
        </w:tc>
        <w:tc>
          <w:tcPr>
            <w:tcW w:w="2341" w:type="dxa"/>
            <w:shd w:val="clear" w:color="auto" w:fill="auto"/>
            <w:vAlign w:val="center"/>
          </w:tcPr>
          <w:p>
            <w:pPr>
              <w:widowControl/>
              <w:jc w:val="left"/>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T/AHFIA 036-2019</w:t>
            </w:r>
          </w:p>
        </w:tc>
        <w:tc>
          <w:tcPr>
            <w:tcW w:w="3655" w:type="dxa"/>
            <w:shd w:val="clear" w:color="auto" w:fill="auto"/>
            <w:vAlign w:val="center"/>
          </w:tcPr>
          <w:p>
            <w:pPr>
              <w:widowControl/>
              <w:jc w:val="left"/>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《即食香椿》</w:t>
            </w:r>
          </w:p>
        </w:tc>
        <w:tc>
          <w:tcPr>
            <w:tcW w:w="1590" w:type="dxa"/>
            <w:shd w:val="clear" w:color="auto" w:fill="auto"/>
            <w:vAlign w:val="cente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2019.09.20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3" w:type="dxa"/>
            <w:shd w:val="clear" w:color="auto" w:fill="auto"/>
            <w:noWrap/>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15</w:t>
            </w:r>
          </w:p>
        </w:tc>
        <w:tc>
          <w:tcPr>
            <w:tcW w:w="2341" w:type="dxa"/>
            <w:shd w:val="clear" w:color="auto" w:fill="auto"/>
            <w:vAlign w:val="center"/>
          </w:tcPr>
          <w:p>
            <w:pPr>
              <w:widowControl/>
              <w:jc w:val="left"/>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SC/T 3311-2018</w:t>
            </w:r>
          </w:p>
        </w:tc>
        <w:tc>
          <w:tcPr>
            <w:tcW w:w="3655" w:type="dxa"/>
            <w:shd w:val="clear" w:color="auto" w:fill="auto"/>
            <w:vAlign w:val="center"/>
          </w:tcPr>
          <w:p>
            <w:pPr>
              <w:widowControl/>
              <w:jc w:val="left"/>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《即食海蜇》</w:t>
            </w:r>
          </w:p>
        </w:tc>
        <w:tc>
          <w:tcPr>
            <w:tcW w:w="1590" w:type="dxa"/>
            <w:shd w:val="clear" w:color="auto" w:fill="auto"/>
            <w:vAlign w:val="cente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2019.06.01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3" w:type="dxa"/>
            <w:shd w:val="clear" w:color="auto" w:fill="auto"/>
            <w:noWrap/>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16</w:t>
            </w:r>
          </w:p>
        </w:tc>
        <w:tc>
          <w:tcPr>
            <w:tcW w:w="2341" w:type="dxa"/>
            <w:shd w:val="clear" w:color="auto" w:fill="auto"/>
            <w:vAlign w:val="center"/>
          </w:tcPr>
          <w:p>
            <w:pPr>
              <w:widowControl/>
              <w:jc w:val="left"/>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T/ZZB 0868-2018</w:t>
            </w:r>
          </w:p>
        </w:tc>
        <w:tc>
          <w:tcPr>
            <w:tcW w:w="3655" w:type="dxa"/>
            <w:shd w:val="clear" w:color="auto" w:fill="auto"/>
            <w:vAlign w:val="center"/>
          </w:tcPr>
          <w:p>
            <w:pPr>
              <w:widowControl/>
              <w:jc w:val="left"/>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《即食鱿鱼仔》</w:t>
            </w:r>
          </w:p>
        </w:tc>
        <w:tc>
          <w:tcPr>
            <w:tcW w:w="1590" w:type="dxa"/>
            <w:shd w:val="clear" w:color="auto" w:fill="auto"/>
            <w:vAlign w:val="cente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2018.12.31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3" w:type="dxa"/>
            <w:shd w:val="clear" w:color="auto" w:fill="auto"/>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17</w:t>
            </w:r>
          </w:p>
        </w:tc>
        <w:tc>
          <w:tcPr>
            <w:tcW w:w="2341" w:type="dxa"/>
            <w:shd w:val="clear" w:color="auto" w:fill="auto"/>
            <w:vAlign w:val="center"/>
          </w:tcPr>
          <w:p>
            <w:pPr>
              <w:widowControl/>
              <w:jc w:val="left"/>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T/CPCS 001-2018</w:t>
            </w:r>
          </w:p>
        </w:tc>
        <w:tc>
          <w:tcPr>
            <w:tcW w:w="3655" w:type="dxa"/>
            <w:shd w:val="clear" w:color="auto" w:fill="auto"/>
            <w:vAlign w:val="center"/>
          </w:tcPr>
          <w:p>
            <w:pPr>
              <w:widowControl/>
              <w:jc w:val="left"/>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《即食燕窝》</w:t>
            </w:r>
          </w:p>
        </w:tc>
        <w:tc>
          <w:tcPr>
            <w:tcW w:w="1590" w:type="dxa"/>
            <w:shd w:val="clear" w:color="auto" w:fill="auto"/>
            <w:vAlign w:val="cente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2018.05.01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3" w:type="dxa"/>
            <w:shd w:val="clear" w:color="auto" w:fill="auto"/>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18</w:t>
            </w:r>
          </w:p>
        </w:tc>
        <w:tc>
          <w:tcPr>
            <w:tcW w:w="2341" w:type="dxa"/>
            <w:shd w:val="clear" w:color="auto" w:fill="auto"/>
            <w:vAlign w:val="center"/>
          </w:tcPr>
          <w:p>
            <w:pPr>
              <w:widowControl/>
              <w:jc w:val="left"/>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DBS45/044-2017</w:t>
            </w:r>
          </w:p>
        </w:tc>
        <w:tc>
          <w:tcPr>
            <w:tcW w:w="3655" w:type="dxa"/>
            <w:shd w:val="clear" w:color="auto" w:fill="auto"/>
            <w:vAlign w:val="center"/>
          </w:tcPr>
          <w:p>
            <w:pPr>
              <w:widowControl/>
              <w:jc w:val="left"/>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《食品安全地方标准 即食桄榔粉》</w:t>
            </w:r>
          </w:p>
        </w:tc>
        <w:tc>
          <w:tcPr>
            <w:tcW w:w="1590" w:type="dxa"/>
            <w:shd w:val="clear" w:color="auto" w:fill="auto"/>
            <w:vAlign w:val="cente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2017.06.01</w:t>
            </w:r>
          </w:p>
        </w:tc>
      </w:tr>
    </w:tbl>
    <w:p>
      <w:pPr>
        <w:spacing w:line="360" w:lineRule="auto"/>
        <w:ind w:firstLine="480" w:firstLineChars="200"/>
        <w:jc w:val="left"/>
        <w:rPr>
          <w:rFonts w:ascii="宋体" w:hAnsi="宋体" w:cs="Courier New"/>
          <w:sz w:val="24"/>
        </w:rPr>
      </w:pPr>
    </w:p>
    <w:p>
      <w:pPr>
        <w:spacing w:line="360" w:lineRule="auto"/>
        <w:ind w:firstLine="480" w:firstLineChars="200"/>
        <w:jc w:val="left"/>
        <w:rPr>
          <w:rFonts w:ascii="宋体" w:hAnsi="宋体" w:eastAsia="宋体" w:cs="宋体"/>
          <w:sz w:val="30"/>
          <w:szCs w:val="30"/>
          <w:highlight w:val="green"/>
        </w:rPr>
      </w:pPr>
      <w:r>
        <w:rPr>
          <w:rFonts w:ascii="宋体" w:hAnsi="宋体" w:cs="Courier New"/>
          <w:sz w:val="24"/>
        </w:rPr>
        <w:t>DBS 44/006-2016《非预包装即食食品微生物限量》</w:t>
      </w:r>
      <w:r>
        <w:rPr>
          <w:rFonts w:hint="eastAsia" w:ascii="宋体" w:hAnsi="宋体" w:cs="Courier New"/>
          <w:sz w:val="24"/>
        </w:rPr>
        <w:t>实施以来，有效填补了餐饮领域即食食品质量控制和安全监管的技术空白，为餐饮行业的健康有序发展提供了强大的技术支撑。为了进一步完善标准适用性，针对</w:t>
      </w:r>
      <w:r>
        <w:rPr>
          <w:rFonts w:ascii="宋体" w:hAnsi="宋体" w:cs="Courier New"/>
          <w:sz w:val="24"/>
        </w:rPr>
        <w:t>《非预包装即食食品微生物限量》</w:t>
      </w:r>
      <w:r>
        <w:rPr>
          <w:rFonts w:hint="eastAsia" w:ascii="宋体" w:hAnsi="宋体" w:cs="Courier New"/>
          <w:sz w:val="24"/>
        </w:rPr>
        <w:t>的实施情况进行数据分析并修订是大势所趋，标准修订后将更加贴合餐饮行业的发展以及监管需求。</w:t>
      </w:r>
    </w:p>
    <w:p>
      <w:pPr>
        <w:ind w:firstLine="602" w:firstLineChars="200"/>
        <w:jc w:val="left"/>
        <w:rPr>
          <w:rFonts w:ascii="宋体" w:hAnsi="宋体" w:eastAsia="宋体" w:cs="宋体"/>
          <w:b/>
          <w:bCs/>
          <w:sz w:val="30"/>
          <w:szCs w:val="30"/>
        </w:rPr>
      </w:pPr>
      <w:r>
        <w:rPr>
          <w:rFonts w:hint="eastAsia" w:ascii="宋体" w:hAnsi="宋体" w:eastAsia="宋体" w:cs="宋体"/>
          <w:b/>
          <w:bCs/>
          <w:sz w:val="30"/>
          <w:szCs w:val="30"/>
        </w:rPr>
        <w:t>三、标准修订的必要性</w:t>
      </w:r>
    </w:p>
    <w:p>
      <w:pPr>
        <w:spacing w:line="360" w:lineRule="auto"/>
        <w:ind w:firstLine="480" w:firstLineChars="200"/>
        <w:jc w:val="left"/>
        <w:rPr>
          <w:rFonts w:ascii="宋体" w:hAnsi="宋体" w:cs="Courier New"/>
          <w:sz w:val="24"/>
        </w:rPr>
      </w:pPr>
      <w:r>
        <w:rPr>
          <w:rFonts w:hint="eastAsia" w:ascii="宋体" w:hAnsi="宋体" w:cs="Courier New"/>
          <w:sz w:val="24"/>
        </w:rPr>
        <w:t>即食食品在广东具有深厚的历史文化底蕴，广东地区的即食食品消费处于全国领先水平，食品安全是即食食品产业又快又好发展的首要条件。根据广东统计年鉴2019数据显示：至2019年底，限额以上餐饮企业数量为5486 个，营业额达到1024.4亿元。广东气候湿热，非预包装即食食品对运输、贮存和经营现场要求较高，否则容易产生食物腐败变质和致病微生物的大量繁殖，具有较高的食品安全风险。</w:t>
      </w:r>
    </w:p>
    <w:p>
      <w:pPr>
        <w:spacing w:line="360" w:lineRule="auto"/>
        <w:ind w:firstLine="480" w:firstLineChars="200"/>
        <w:jc w:val="left"/>
        <w:rPr>
          <w:rFonts w:ascii="宋体" w:hAnsi="宋体" w:cs="Courier New"/>
          <w:sz w:val="24"/>
        </w:rPr>
      </w:pPr>
      <w:r>
        <w:rPr>
          <w:rFonts w:hint="eastAsia" w:ascii="宋体" w:hAnsi="宋体" w:cs="Courier New"/>
          <w:sz w:val="24"/>
        </w:rPr>
        <w:t>根据突发公共卫生事件管理信息系统统计结果，近年来由微生物引发的食物中毒类突发公共卫生事件占比最多，占食物中毒事件总数的50%，主要致病因子有志贺氏菌、变形杆菌、沙门氏菌、蜡样芽胞杆菌、金黄色葡萄球菌及其肠毒素、副溶血性弧菌、大肠埃希氏菌等。</w:t>
      </w:r>
    </w:p>
    <w:p>
      <w:pPr>
        <w:spacing w:line="360" w:lineRule="auto"/>
        <w:ind w:firstLine="480" w:firstLineChars="200"/>
        <w:jc w:val="left"/>
        <w:rPr>
          <w:rFonts w:ascii="宋体" w:hAnsi="宋体" w:cs="Courier New"/>
          <w:sz w:val="24"/>
        </w:rPr>
      </w:pPr>
      <w:r>
        <w:rPr>
          <w:rFonts w:hint="eastAsia" w:ascii="宋体" w:hAnsi="宋体" w:cs="Courier New"/>
          <w:sz w:val="24"/>
        </w:rPr>
        <w:t>2019年，国内报告多起托幼机构和学校暴发诺如病毒感染事件。诺如病毒是导致病毒性腹泻及胃肠炎的首要病源，引发儿童病毒性腹泻案例中仅次于轮状病毒，其引起的胃肠炎是一种急性消化道疾病，通常通过污染的水源、食物引起暴发流行。2020年8月，广东省发生一起椰毒假单胞菌酵米面亚种食物中毒事件，造成11人中毒、1人死亡的严重后果。椰毒假单胞菌引起的食物中毒发病急，潜伏期多数为2-24小时，最长可为3天。引起椰毒假单胞菌酵米面亚种食物中毒的食品主要包括三种类别：谷类发酵制品（发酵玉米面、糯玉米汤圆粉、玉米淀粉、发酵糯小米、吊浆粑、糍粑、醋凉粉等）、变质银耳及薯类制品（马铃薯粉条、甘薯面、山芋淀粉等）。</w:t>
      </w:r>
    </w:p>
    <w:p>
      <w:pPr>
        <w:spacing w:line="360" w:lineRule="auto"/>
        <w:ind w:firstLine="480" w:firstLineChars="200"/>
        <w:jc w:val="left"/>
        <w:rPr>
          <w:rFonts w:ascii="宋体" w:hAnsi="宋体" w:cs="Courier New"/>
          <w:sz w:val="24"/>
        </w:rPr>
      </w:pPr>
      <w:r>
        <w:rPr>
          <w:rFonts w:hint="eastAsia" w:ascii="宋体" w:hAnsi="宋体" w:cs="Courier New"/>
          <w:sz w:val="24"/>
        </w:rPr>
        <w:t>餐饮领域即食食品的微生物卫生质量影响因素多且复杂，食品原料方面，品种繁多，基本覆盖所有的食品原料；操作工序方面，覆盖洗、炒、焖、煎、烤等各种方式；加工环境方面，基本为敞开式，受外界影响极大；储存方面，接触复用餐饮具或一次性餐饮具，间接受餐饮具的卫生安全影响；配送方面，存在配送条件（冷藏与否）、配送时长等因素影响。以上方面的因素控制不当，容易影响餐饮即食食品的微生物项目指标，引起卫生安全事件，因此有必要加强餐饮即食食品的微生物项目的质量管理。</w:t>
      </w:r>
    </w:p>
    <w:p>
      <w:pPr>
        <w:spacing w:line="360" w:lineRule="auto"/>
        <w:ind w:firstLine="480" w:firstLineChars="200"/>
        <w:jc w:val="left"/>
        <w:rPr>
          <w:rFonts w:ascii="宋体" w:hAnsi="宋体" w:cs="Courier New"/>
          <w:sz w:val="24"/>
        </w:rPr>
      </w:pPr>
      <w:r>
        <w:rPr>
          <w:rFonts w:ascii="宋体" w:hAnsi="宋体" w:cs="Courier New"/>
          <w:sz w:val="24"/>
        </w:rPr>
        <w:t>DBS 44/006-2016《非预包装即食食品微生物限量》</w:t>
      </w:r>
      <w:r>
        <w:rPr>
          <w:rFonts w:hint="eastAsia" w:ascii="宋体" w:hAnsi="宋体" w:cs="Courier New"/>
          <w:sz w:val="24"/>
        </w:rPr>
        <w:t>实施至今已有五年，为餐饮领域非预包装即食食品质量把控和安全监管提供了有力的技术支撑，为进一步满足经济社会发展需求和日新月异的产业发展态势，需对本标准进行修订，进一步完善标准的适用范围、术语和定义、技术要求、检验方法，使标准更切合政府的科学监管以及企业的质量管理。</w:t>
      </w:r>
    </w:p>
    <w:p>
      <w:pPr>
        <w:ind w:firstLine="480" w:firstLineChars="200"/>
        <w:jc w:val="left"/>
        <w:rPr>
          <w:rFonts w:ascii="宋体" w:hAnsi="宋体" w:cs="Courier New"/>
          <w:sz w:val="24"/>
        </w:rPr>
      </w:pPr>
    </w:p>
    <w:p>
      <w:pPr>
        <w:numPr>
          <w:numId w:val="0"/>
        </w:numPr>
        <w:ind w:firstLine="602" w:firstLineChars="200"/>
        <w:jc w:val="left"/>
        <w:rPr>
          <w:rFonts w:ascii="宋体" w:hAnsi="宋体" w:eastAsia="宋体" w:cs="宋体"/>
          <w:b/>
          <w:bCs/>
          <w:sz w:val="30"/>
          <w:szCs w:val="30"/>
        </w:rPr>
      </w:pPr>
      <w:r>
        <w:rPr>
          <w:rFonts w:hint="eastAsia" w:ascii="宋体" w:hAnsi="宋体" w:eastAsia="宋体" w:cs="宋体"/>
          <w:b/>
          <w:bCs/>
          <w:sz w:val="30"/>
          <w:szCs w:val="30"/>
          <w:lang w:eastAsia="zh-CN"/>
        </w:rPr>
        <w:t>四、</w:t>
      </w:r>
      <w:r>
        <w:rPr>
          <w:rFonts w:hint="eastAsia" w:ascii="宋体" w:hAnsi="宋体" w:eastAsia="宋体" w:cs="宋体"/>
          <w:b/>
          <w:bCs/>
          <w:sz w:val="30"/>
          <w:szCs w:val="30"/>
        </w:rPr>
        <w:t>非预包装即食食品的抽检情况</w:t>
      </w:r>
    </w:p>
    <w:p>
      <w:pPr>
        <w:spacing w:line="360" w:lineRule="auto"/>
        <w:ind w:firstLine="480" w:firstLineChars="200"/>
        <w:jc w:val="left"/>
        <w:rPr>
          <w:rFonts w:ascii="宋体" w:hAnsi="宋体" w:cs="Courier New"/>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查询</w:t>
      </w:r>
      <w:r>
        <w:rPr>
          <w:rFonts w:ascii="宋体" w:hAnsi="宋体" w:eastAsia="宋体" w:cs="宋体"/>
          <w:color w:val="000000" w:themeColor="text1"/>
          <w:sz w:val="24"/>
          <w14:textFill>
            <w14:solidFill>
              <w14:schemeClr w14:val="tx1"/>
            </w14:solidFill>
          </w14:textFill>
        </w:rPr>
        <w:t>广东省市场监督管理局</w:t>
      </w:r>
      <w:r>
        <w:rPr>
          <w:rFonts w:hint="eastAsia" w:ascii="宋体" w:hAnsi="宋体" w:cs="Courier New"/>
          <w:color w:val="000000" w:themeColor="text1"/>
          <w:sz w:val="24"/>
          <w14:textFill>
            <w14:solidFill>
              <w14:schemeClr w14:val="tx1"/>
            </w14:solidFill>
          </w14:textFill>
        </w:rPr>
        <w:t>的食品安全抽检统计数据，2018年广东省食品安全抽检共406568批次，不合格9633批次，其中微生物污染问题2551批次，微生物污染问题占不合格总数的比例为26.48%；2019年广东省食品安全抽检共496449批次，不合格10188批次，其中微生物污染问题2056批次，微生物污染问题占不合格总数的比例为20.18%；2020年广东省食品安全抽检共664900批次，不合格14931批次，其中微生物污染问题3464批次，微生物污染问题占不合格总数的比例为23.2%；2021年1月-6月广东省食品安全抽检共284590批次，不合格6460批次，其中微生物污染问题1077批次，微生物污染问题占不合格总数的比例为16.67%。</w:t>
      </w:r>
    </w:p>
    <w:p>
      <w:pPr>
        <w:spacing w:line="360" w:lineRule="auto"/>
        <w:ind w:firstLine="480" w:firstLineChars="200"/>
        <w:jc w:val="left"/>
        <w:rPr>
          <w:rFonts w:ascii="宋体" w:hAnsi="宋体" w:cs="Courier New"/>
          <w:sz w:val="24"/>
        </w:rPr>
      </w:pPr>
      <w:r>
        <w:rPr>
          <w:rFonts w:hint="eastAsia" w:ascii="宋体" w:hAnsi="宋体" w:cs="Courier New"/>
          <w:color w:val="000000" w:themeColor="text1"/>
          <w:sz w:val="24"/>
          <w14:textFill>
            <w14:solidFill>
              <w14:schemeClr w14:val="tx1"/>
            </w14:solidFill>
          </w14:textFill>
        </w:rPr>
        <w:t>查询</w:t>
      </w:r>
      <w:r>
        <w:rPr>
          <w:rFonts w:ascii="宋体" w:hAnsi="宋体" w:eastAsia="宋体" w:cs="宋体"/>
          <w:color w:val="000000" w:themeColor="text1"/>
          <w:sz w:val="24"/>
          <w14:textFill>
            <w14:solidFill>
              <w14:schemeClr w14:val="tx1"/>
            </w14:solidFill>
          </w14:textFill>
        </w:rPr>
        <w:t>深圳市市场监督管理局</w:t>
      </w:r>
      <w:r>
        <w:rPr>
          <w:rFonts w:hint="eastAsia" w:ascii="宋体" w:hAnsi="宋体" w:cs="Courier New"/>
          <w:color w:val="000000" w:themeColor="text1"/>
          <w:sz w:val="24"/>
          <w14:textFill>
            <w14:solidFill>
              <w14:schemeClr w14:val="tx1"/>
            </w14:solidFill>
          </w14:textFill>
        </w:rPr>
        <w:t>的食品安全抽检统计数据，2016年深圳市食品安全抽检共44531批次，不合格623批次，其中微生物污染问题102批次，微生物污染问题占不合格总数的比例为16.4%；2017年深圳市食品安全抽检共71615 批次，不合格1360批次，其中微生物污染问题254批次，微生物污染问题占不合格总数的比例为18.7%；2018年深圳市食品安全抽检共67902批次，不合格1086批次，其中微生物污染问题140批次，微生物污染问题占不合格总数的比例为12.9%；2019年深圳市食品安全抽检共69065批次，不合格910批次，其中微生物污染问题125批次，微生物污染问题占不合格总数的比例为13.79%；2020年深圳市食品安全抽检共146194批次，不合格4780批次，其中微生物污染问题1329批次，微生物污染问题占不合格总数的比例为27.8%。</w:t>
      </w:r>
    </w:p>
    <w:p>
      <w:pPr>
        <w:rPr>
          <w:rFonts w:ascii="宋体" w:hAnsi="宋体" w:cs="Courier New"/>
          <w:sz w:val="24"/>
        </w:rPr>
        <w:sectPr>
          <w:footerReference r:id="rId3" w:type="default"/>
          <w:pgSz w:w="11906" w:h="16838"/>
          <w:pgMar w:top="1440" w:right="1800" w:bottom="1440" w:left="1800" w:header="851" w:footer="992" w:gutter="0"/>
          <w:cols w:space="720" w:num="1"/>
          <w:docGrid w:type="lines" w:linePitch="312" w:charSpace="0"/>
        </w:sectPr>
      </w:pPr>
    </w:p>
    <w:p>
      <w:pPr>
        <w:spacing w:line="360" w:lineRule="auto"/>
        <w:rPr>
          <w:rFonts w:ascii="宋体" w:hAnsi="宋体" w:cs="Courier New"/>
          <w:sz w:val="24"/>
        </w:rPr>
      </w:pPr>
      <w:r>
        <w:drawing>
          <wp:inline distT="0" distB="0" distL="114300" distR="114300">
            <wp:extent cx="5417185" cy="3557270"/>
            <wp:effectExtent l="4445" t="4445" r="7620" b="19685"/>
            <wp:docPr id="3"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ind w:left="420" w:leftChars="200"/>
        <w:jc w:val="center"/>
      </w:pPr>
      <w:r>
        <w:rPr>
          <w:rFonts w:hint="eastAsia"/>
        </w:rPr>
        <w:t>图1 广东省食品安全抽检统计数据</w:t>
      </w:r>
    </w:p>
    <w:p>
      <w:pPr>
        <w:ind w:left="420" w:leftChars="200"/>
        <w:jc w:val="center"/>
      </w:pPr>
    </w:p>
    <w:p>
      <w:pPr>
        <w:ind w:left="420" w:leftChars="200"/>
        <w:jc w:val="center"/>
      </w:pPr>
    </w:p>
    <w:p>
      <w:pPr>
        <w:rPr>
          <w:rFonts w:ascii="宋体" w:hAnsi="宋体" w:cs="Courier New"/>
          <w:sz w:val="24"/>
        </w:rPr>
      </w:pPr>
      <w:r>
        <w:drawing>
          <wp:inline distT="0" distB="0" distL="114300" distR="114300">
            <wp:extent cx="5444490" cy="3559175"/>
            <wp:effectExtent l="4445" t="4445" r="18415" b="17780"/>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ind w:left="420" w:leftChars="200"/>
        <w:jc w:val="center"/>
      </w:pPr>
      <w:r>
        <w:rPr>
          <w:rFonts w:hint="eastAsia"/>
        </w:rPr>
        <w:t>图2 深圳市食品安全抽检统计数据</w:t>
      </w:r>
    </w:p>
    <w:p>
      <w:pPr>
        <w:spacing w:line="360" w:lineRule="auto"/>
        <w:jc w:val="left"/>
        <w:rPr>
          <w:rFonts w:ascii="宋体" w:hAnsi="宋体" w:cs="Courier New"/>
          <w:sz w:val="24"/>
        </w:rPr>
      </w:pPr>
    </w:p>
    <w:p>
      <w:pPr>
        <w:pStyle w:val="3"/>
        <w:spacing w:line="360" w:lineRule="auto"/>
        <w:ind w:firstLine="480" w:firstLineChars="200"/>
        <w:rPr>
          <w:rFonts w:hAnsi="宋体" w:eastAsiaTheme="minorEastAsia"/>
          <w:sz w:val="24"/>
          <w:szCs w:val="24"/>
          <w:highlight w:val="yellow"/>
        </w:rPr>
      </w:pPr>
      <w:r>
        <w:rPr>
          <w:rFonts w:hint="eastAsia" w:hAnsi="宋体"/>
          <w:sz w:val="24"/>
          <w:szCs w:val="24"/>
        </w:rPr>
        <w:t>从广东省食品安全抽检统计数据来</w:t>
      </w:r>
      <w:r>
        <w:rPr>
          <w:rFonts w:hint="eastAsia" w:hAnsi="宋体"/>
          <w:color w:val="000000" w:themeColor="text1"/>
          <w:sz w:val="24"/>
          <w:szCs w:val="24"/>
          <w14:textFill>
            <w14:solidFill>
              <w14:schemeClr w14:val="tx1"/>
            </w14:solidFill>
          </w14:textFill>
        </w:rPr>
        <w:t>看（图1），2018年至2020年随着总体抽检批次的上升，不合格批次呈现小幅上涨趋势，微生物污染占不合格比例维持在20%以上，2021上半年微生物不合格比例为16.67%。从深圳市食品安全抽检统计数据来看（图2），2016年至202</w:t>
      </w:r>
      <w:r>
        <w:rPr>
          <w:rFonts w:hint="eastAsia" w:hAnsi="宋体"/>
          <w:sz w:val="24"/>
          <w:szCs w:val="24"/>
        </w:rPr>
        <w:t>0年总体抽检批次和不合格批次呈现出波动走势，数据上扬后下降再上扬，2020年出现翻倍式增长，微生物污染占不合格总数比例亦呈现先升后降，而后翻倍增长。据广东省和深圳市总体数据显示，微生物污染占不合格总数的平均比例约为15%，微生物污染问题需引起高度重视。</w:t>
      </w:r>
    </w:p>
    <w:p>
      <w:pPr>
        <w:pStyle w:val="3"/>
        <w:spacing w:line="360" w:lineRule="auto"/>
        <w:ind w:firstLine="480" w:firstLineChars="200"/>
        <w:rPr>
          <w:rFonts w:hAnsi="宋体" w:eastAsiaTheme="minorEastAsia"/>
          <w:sz w:val="24"/>
          <w:szCs w:val="24"/>
        </w:rPr>
      </w:pPr>
      <w:r>
        <w:rPr>
          <w:rFonts w:hint="eastAsia" w:hAnsi="宋体" w:eastAsiaTheme="minorEastAsia"/>
          <w:sz w:val="24"/>
          <w:szCs w:val="24"/>
        </w:rPr>
        <w:t>为准确掌握</w:t>
      </w:r>
      <w:r>
        <w:rPr>
          <w:rFonts w:hAnsi="宋体"/>
          <w:sz w:val="24"/>
          <w:szCs w:val="24"/>
        </w:rPr>
        <w:t>DBS 44/006-2016《非预包装即食食品微生物限量》</w:t>
      </w:r>
      <w:r>
        <w:rPr>
          <w:rFonts w:hint="eastAsia" w:hAnsi="宋体"/>
          <w:sz w:val="24"/>
          <w:szCs w:val="24"/>
        </w:rPr>
        <w:t>标准实施与应用情况，</w:t>
      </w:r>
      <w:r>
        <w:rPr>
          <w:rFonts w:hint="eastAsia"/>
          <w:sz w:val="24"/>
          <w:szCs w:val="24"/>
        </w:rPr>
        <w:t>深圳市计量质量检测研究院、广东省食品检验所作为</w:t>
      </w:r>
      <w:r>
        <w:rPr>
          <w:rFonts w:hint="eastAsia" w:hAnsi="宋体"/>
          <w:sz w:val="24"/>
          <w:szCs w:val="24"/>
        </w:rPr>
        <w:t>标准修订起草单位，配合深圳市和广州市相关政府监管机构的食品安全监测计划，拟定了多个餐饮领域非预包装即食食品抽检方案，分别汇总了各个检验项目的检测数据并进行分析研究（表2）。2019年7月-2021年7月，深圳市和广州市餐饮领域非预包装即食食品共抽检5128批次样品</w:t>
      </w:r>
      <w:r>
        <w:rPr>
          <w:rFonts w:hint="eastAsia" w:hAnsi="宋体" w:eastAsiaTheme="minorEastAsia"/>
          <w:sz w:val="24"/>
          <w:szCs w:val="24"/>
        </w:rPr>
        <w:t>，其中</w:t>
      </w:r>
      <w:r>
        <w:rPr>
          <w:rFonts w:hint="eastAsia" w:hAnsi="宋体"/>
          <w:sz w:val="24"/>
          <w:szCs w:val="24"/>
        </w:rPr>
        <w:t>深圳市</w:t>
      </w:r>
      <w:r>
        <w:rPr>
          <w:rFonts w:hint="eastAsia" w:hAnsi="宋体" w:eastAsiaTheme="minorEastAsia"/>
          <w:sz w:val="24"/>
          <w:szCs w:val="24"/>
        </w:rPr>
        <w:t>抽检</w:t>
      </w:r>
      <w:r>
        <w:rPr>
          <w:rFonts w:hint="eastAsia" w:hAnsi="宋体"/>
          <w:sz w:val="24"/>
          <w:szCs w:val="24"/>
        </w:rPr>
        <w:t>3583批次样品，</w:t>
      </w:r>
      <w:r>
        <w:rPr>
          <w:rFonts w:hint="eastAsia" w:hAnsi="宋体" w:eastAsiaTheme="minorEastAsia"/>
          <w:sz w:val="24"/>
          <w:szCs w:val="24"/>
        </w:rPr>
        <w:t>广州市抽检1545批次样品。菌落总数项目抽检2543项次，</w:t>
      </w:r>
      <w:r>
        <w:rPr>
          <w:rFonts w:hint="eastAsia" w:hAnsi="宋体"/>
          <w:sz w:val="24"/>
          <w:szCs w:val="24"/>
        </w:rPr>
        <w:t>深圳市和广州市分别为1591项次和</w:t>
      </w:r>
      <w:r>
        <w:rPr>
          <w:rFonts w:hint="eastAsia" w:hAnsi="宋体" w:eastAsiaTheme="minorEastAsia"/>
          <w:sz w:val="24"/>
          <w:szCs w:val="24"/>
        </w:rPr>
        <w:t>952</w:t>
      </w:r>
      <w:r>
        <w:rPr>
          <w:rFonts w:hint="eastAsia" w:hAnsi="宋体"/>
          <w:sz w:val="24"/>
          <w:szCs w:val="24"/>
        </w:rPr>
        <w:t>项次</w:t>
      </w:r>
      <w:r>
        <w:rPr>
          <w:rFonts w:hint="eastAsia" w:hAnsi="宋体" w:eastAsiaTheme="minorEastAsia"/>
          <w:sz w:val="24"/>
          <w:szCs w:val="24"/>
        </w:rPr>
        <w:t>，其中第一类1694项次，第二类441项次，第三类160项次，其他类248项次，其他类包括自制饮料（例如奶茶、水果茶、自制果蔬汁）、汉堡、披萨、生制凉拌菜、菜肴等，检验结果满意1912项次，可接受312项次，不合格319项次。大肠埃希氏菌项目抽检1709项次，</w:t>
      </w:r>
      <w:r>
        <w:rPr>
          <w:rFonts w:hint="eastAsia" w:hAnsi="宋体"/>
          <w:sz w:val="24"/>
          <w:szCs w:val="24"/>
        </w:rPr>
        <w:t>深圳市和广州市分别为1181项次和</w:t>
      </w:r>
      <w:r>
        <w:rPr>
          <w:rFonts w:hint="eastAsia" w:hAnsi="宋体" w:eastAsiaTheme="minorEastAsia"/>
          <w:sz w:val="24"/>
          <w:szCs w:val="24"/>
        </w:rPr>
        <w:t>528</w:t>
      </w:r>
      <w:r>
        <w:rPr>
          <w:rFonts w:hint="eastAsia" w:hAnsi="宋体"/>
          <w:sz w:val="24"/>
          <w:szCs w:val="24"/>
        </w:rPr>
        <w:t>项次</w:t>
      </w:r>
      <w:r>
        <w:rPr>
          <w:rFonts w:hint="eastAsia" w:hAnsi="宋体" w:eastAsiaTheme="minorEastAsia"/>
          <w:sz w:val="24"/>
          <w:szCs w:val="24"/>
        </w:rPr>
        <w:t>，其中满意1680项次，可接受18项次，不合格11项次。大肠埃希氏菌O157项目抽检991项次，</w:t>
      </w:r>
      <w:r>
        <w:rPr>
          <w:rFonts w:hint="eastAsia" w:hAnsi="宋体"/>
          <w:sz w:val="24"/>
          <w:szCs w:val="24"/>
        </w:rPr>
        <w:t>深圳市和广州市分别为713项次和</w:t>
      </w:r>
      <w:r>
        <w:rPr>
          <w:rFonts w:hint="eastAsia" w:hAnsi="宋体" w:eastAsiaTheme="minorEastAsia"/>
          <w:sz w:val="24"/>
          <w:szCs w:val="24"/>
        </w:rPr>
        <w:t>278项次，检验结果均为满意。沙门氏菌项目抽检4317项次，</w:t>
      </w:r>
      <w:r>
        <w:rPr>
          <w:rFonts w:hint="eastAsia" w:hAnsi="宋体"/>
          <w:sz w:val="24"/>
          <w:szCs w:val="24"/>
        </w:rPr>
        <w:t>深圳市和广州市分别为2772项次和</w:t>
      </w:r>
      <w:r>
        <w:rPr>
          <w:rFonts w:hint="eastAsia" w:hAnsi="宋体" w:eastAsiaTheme="minorEastAsia"/>
          <w:sz w:val="24"/>
          <w:szCs w:val="24"/>
        </w:rPr>
        <w:t>1545项次，其中满意4315项次，不合格2项次。金黄色葡萄球菌项目抽检3803项次，</w:t>
      </w:r>
      <w:r>
        <w:rPr>
          <w:rFonts w:hint="eastAsia" w:hAnsi="宋体"/>
          <w:sz w:val="24"/>
          <w:szCs w:val="24"/>
        </w:rPr>
        <w:t>深圳市和广州市分别为2325项次和</w:t>
      </w:r>
      <w:r>
        <w:rPr>
          <w:rFonts w:hint="eastAsia" w:hAnsi="宋体" w:eastAsiaTheme="minorEastAsia"/>
          <w:sz w:val="24"/>
          <w:szCs w:val="24"/>
        </w:rPr>
        <w:t>1478项次，其中满意3789项次，可接受13项次，不合格2项次。蜡样芽孢杆菌项目抽检1805项次，</w:t>
      </w:r>
      <w:r>
        <w:rPr>
          <w:rFonts w:hint="eastAsia" w:hAnsi="宋体"/>
          <w:sz w:val="24"/>
          <w:szCs w:val="24"/>
        </w:rPr>
        <w:t>深圳市和广州市分别为1549项次和</w:t>
      </w:r>
      <w:r>
        <w:rPr>
          <w:rFonts w:hint="eastAsia" w:hAnsi="宋体" w:eastAsiaTheme="minorEastAsia"/>
          <w:sz w:val="24"/>
          <w:szCs w:val="24"/>
        </w:rPr>
        <w:t>256项次，其中满意1763项次，可接受42项次。副溶血性弧菌项目抽检377项次，</w:t>
      </w:r>
      <w:r>
        <w:rPr>
          <w:rFonts w:hint="eastAsia" w:hAnsi="宋体"/>
          <w:sz w:val="24"/>
          <w:szCs w:val="24"/>
        </w:rPr>
        <w:t>深圳市和广州市分别为284项次和</w:t>
      </w:r>
      <w:r>
        <w:rPr>
          <w:rFonts w:hint="eastAsia" w:hAnsi="宋体" w:eastAsiaTheme="minorEastAsia"/>
          <w:sz w:val="24"/>
          <w:szCs w:val="24"/>
        </w:rPr>
        <w:t>93批次，检验结果均为满意。单核细胞增生李斯特氏菌项目抽检1682项次，</w:t>
      </w:r>
      <w:r>
        <w:rPr>
          <w:rFonts w:hint="eastAsia" w:hAnsi="宋体"/>
          <w:sz w:val="24"/>
          <w:szCs w:val="24"/>
        </w:rPr>
        <w:t>深圳市和广州市分别为1120项次和</w:t>
      </w:r>
      <w:r>
        <w:rPr>
          <w:rFonts w:hint="eastAsia" w:hAnsi="宋体" w:eastAsiaTheme="minorEastAsia"/>
          <w:sz w:val="24"/>
          <w:szCs w:val="24"/>
        </w:rPr>
        <w:t>562项次，其中满意1679项次，不合格3项次。</w:t>
      </w:r>
    </w:p>
    <w:p>
      <w:pPr>
        <w:spacing w:line="360" w:lineRule="auto"/>
        <w:jc w:val="left"/>
        <w:rPr>
          <w:rFonts w:ascii="宋体" w:hAnsi="宋体" w:cs="Courier New"/>
          <w:sz w:val="24"/>
        </w:rPr>
        <w:sectPr>
          <w:pgSz w:w="11906" w:h="16838"/>
          <w:pgMar w:top="1440" w:right="1800" w:bottom="1440" w:left="1800" w:header="851" w:footer="992" w:gutter="0"/>
          <w:cols w:space="720" w:num="1"/>
          <w:docGrid w:type="lines" w:linePitch="312" w:charSpace="0"/>
        </w:sectPr>
      </w:pPr>
    </w:p>
    <w:p>
      <w:pPr>
        <w:ind w:left="420" w:leftChars="200"/>
        <w:jc w:val="center"/>
        <w:rPr>
          <w:rFonts w:ascii="宋体" w:hAnsi="宋体" w:cs="Courier New"/>
          <w:sz w:val="24"/>
        </w:rPr>
      </w:pPr>
      <w:r>
        <w:rPr>
          <w:rFonts w:hint="eastAsia" w:ascii="宋体" w:hAnsi="宋体" w:cs="Courier New"/>
          <w:b/>
          <w:bCs/>
          <w:color w:val="000000" w:themeColor="text1"/>
          <w:sz w:val="24"/>
          <w14:textFill>
            <w14:solidFill>
              <w14:schemeClr w14:val="tx1"/>
            </w14:solidFill>
          </w14:textFill>
        </w:rPr>
        <w:t>表2</w:t>
      </w:r>
      <w:r>
        <w:rPr>
          <w:rFonts w:hint="eastAsia" w:ascii="宋体" w:hAnsi="宋体" w:cs="Courier New"/>
          <w:b/>
          <w:bCs/>
          <w:sz w:val="24"/>
        </w:rPr>
        <w:t xml:space="preserve">  深圳市和广州市各类即食食品检验数据统计</w:t>
      </w:r>
    </w:p>
    <w:tbl>
      <w:tblPr>
        <w:tblStyle w:val="7"/>
        <w:tblW w:w="14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849"/>
        <w:gridCol w:w="1252"/>
        <w:gridCol w:w="1125"/>
        <w:gridCol w:w="1070"/>
        <w:gridCol w:w="880"/>
        <w:gridCol w:w="1263"/>
        <w:gridCol w:w="1186"/>
        <w:gridCol w:w="1066"/>
        <w:gridCol w:w="918"/>
        <w:gridCol w:w="1269"/>
        <w:gridCol w:w="1172"/>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552" w:type="dxa"/>
            <w:vMerge w:val="restart"/>
            <w:shd w:val="clear" w:color="auto" w:fill="auto"/>
            <w:noWrap/>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项目</w:t>
            </w:r>
          </w:p>
        </w:tc>
        <w:tc>
          <w:tcPr>
            <w:tcW w:w="4296" w:type="dxa"/>
            <w:gridSpan w:val="4"/>
            <w:shd w:val="clear" w:color="auto" w:fill="auto"/>
            <w:noWrap/>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深圳市</w:t>
            </w:r>
          </w:p>
        </w:tc>
        <w:tc>
          <w:tcPr>
            <w:tcW w:w="4395" w:type="dxa"/>
            <w:gridSpan w:val="4"/>
            <w:shd w:val="clear" w:color="auto" w:fill="auto"/>
            <w:noWrap/>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广州市</w:t>
            </w:r>
          </w:p>
        </w:tc>
        <w:tc>
          <w:tcPr>
            <w:tcW w:w="4475" w:type="dxa"/>
            <w:gridSpan w:val="4"/>
            <w:shd w:val="clear" w:color="auto" w:fill="auto"/>
            <w:noWrap/>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合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552" w:type="dxa"/>
            <w:vMerge w:val="continue"/>
            <w:shd w:val="clear" w:color="auto" w:fill="auto"/>
            <w:vAlign w:val="center"/>
          </w:tcPr>
          <w:p>
            <w:pPr>
              <w:widowControl/>
              <w:jc w:val="center"/>
              <w:textAlignment w:val="center"/>
              <w:rPr>
                <w:rFonts w:ascii="Times New Roman" w:hAnsi="Times New Roman" w:eastAsia="宋体" w:cs="Times New Roman"/>
                <w:b/>
                <w:bCs/>
                <w:szCs w:val="21"/>
              </w:rPr>
            </w:pPr>
          </w:p>
        </w:tc>
        <w:tc>
          <w:tcPr>
            <w:tcW w:w="849" w:type="dxa"/>
            <w:vMerge w:val="restart"/>
            <w:shd w:val="clear" w:color="auto" w:fill="auto"/>
            <w:vAlign w:val="center"/>
          </w:tcPr>
          <w:p>
            <w:pPr>
              <w:widowControl/>
              <w:jc w:val="center"/>
              <w:textAlignment w:val="center"/>
              <w:rPr>
                <w:rFonts w:ascii="Times New Roman" w:hAnsi="Times New Roman" w:eastAsia="宋体" w:cs="Times New Roman"/>
                <w:b/>
                <w:bCs/>
                <w:kern w:val="0"/>
                <w:szCs w:val="21"/>
                <w:lang w:bidi="ar"/>
              </w:rPr>
            </w:pPr>
            <w:r>
              <w:rPr>
                <w:rFonts w:ascii="Times New Roman" w:hAnsi="Times New Roman" w:eastAsia="宋体" w:cs="Times New Roman"/>
                <w:b/>
                <w:bCs/>
                <w:kern w:val="0"/>
                <w:szCs w:val="21"/>
                <w:lang w:bidi="ar"/>
              </w:rPr>
              <w:t>类别/</w:t>
            </w:r>
          </w:p>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项次</w:t>
            </w:r>
          </w:p>
        </w:tc>
        <w:tc>
          <w:tcPr>
            <w:tcW w:w="3447" w:type="dxa"/>
            <w:gridSpan w:val="3"/>
            <w:shd w:val="clear" w:color="auto" w:fill="auto"/>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评价等级</w:t>
            </w:r>
          </w:p>
        </w:tc>
        <w:tc>
          <w:tcPr>
            <w:tcW w:w="880" w:type="dxa"/>
            <w:vMerge w:val="restart"/>
            <w:shd w:val="clear" w:color="auto" w:fill="auto"/>
            <w:vAlign w:val="center"/>
          </w:tcPr>
          <w:p>
            <w:pPr>
              <w:widowControl/>
              <w:jc w:val="center"/>
              <w:textAlignment w:val="center"/>
              <w:rPr>
                <w:rFonts w:ascii="Times New Roman" w:hAnsi="Times New Roman" w:eastAsia="宋体" w:cs="Times New Roman"/>
                <w:b/>
                <w:bCs/>
                <w:kern w:val="0"/>
                <w:szCs w:val="21"/>
                <w:lang w:bidi="ar"/>
              </w:rPr>
            </w:pPr>
            <w:r>
              <w:rPr>
                <w:rFonts w:ascii="Times New Roman" w:hAnsi="Times New Roman" w:eastAsia="宋体" w:cs="Times New Roman"/>
                <w:b/>
                <w:bCs/>
                <w:kern w:val="0"/>
                <w:szCs w:val="21"/>
                <w:lang w:bidi="ar"/>
              </w:rPr>
              <w:t>类别/</w:t>
            </w:r>
          </w:p>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项次</w:t>
            </w:r>
          </w:p>
        </w:tc>
        <w:tc>
          <w:tcPr>
            <w:tcW w:w="3515" w:type="dxa"/>
            <w:gridSpan w:val="3"/>
            <w:shd w:val="clear" w:color="auto" w:fill="auto"/>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评价等级</w:t>
            </w:r>
          </w:p>
        </w:tc>
        <w:tc>
          <w:tcPr>
            <w:tcW w:w="918" w:type="dxa"/>
            <w:vMerge w:val="restart"/>
            <w:shd w:val="clear" w:color="auto" w:fill="auto"/>
            <w:vAlign w:val="center"/>
          </w:tcPr>
          <w:p>
            <w:pPr>
              <w:widowControl/>
              <w:jc w:val="center"/>
              <w:textAlignment w:val="center"/>
              <w:rPr>
                <w:rFonts w:ascii="Times New Roman" w:hAnsi="Times New Roman" w:eastAsia="宋体" w:cs="Times New Roman"/>
                <w:b/>
                <w:bCs/>
                <w:kern w:val="0"/>
                <w:szCs w:val="21"/>
                <w:lang w:bidi="ar"/>
              </w:rPr>
            </w:pPr>
            <w:r>
              <w:rPr>
                <w:rFonts w:ascii="Times New Roman" w:hAnsi="Times New Roman" w:eastAsia="宋体" w:cs="Times New Roman"/>
                <w:b/>
                <w:bCs/>
                <w:kern w:val="0"/>
                <w:szCs w:val="21"/>
                <w:lang w:bidi="ar"/>
              </w:rPr>
              <w:t>类别/</w:t>
            </w:r>
          </w:p>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项次</w:t>
            </w:r>
          </w:p>
        </w:tc>
        <w:tc>
          <w:tcPr>
            <w:tcW w:w="3557" w:type="dxa"/>
            <w:gridSpan w:val="3"/>
            <w:shd w:val="clear" w:color="auto" w:fill="auto"/>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552" w:type="dxa"/>
            <w:vMerge w:val="continue"/>
            <w:shd w:val="clear" w:color="auto" w:fill="auto"/>
            <w:vAlign w:val="center"/>
          </w:tcPr>
          <w:p>
            <w:pPr>
              <w:jc w:val="center"/>
              <w:rPr>
                <w:rFonts w:ascii="Times New Roman" w:hAnsi="Times New Roman" w:eastAsia="宋体" w:cs="Times New Roman"/>
                <w:b/>
                <w:bCs/>
                <w:szCs w:val="21"/>
              </w:rPr>
            </w:pPr>
          </w:p>
        </w:tc>
        <w:tc>
          <w:tcPr>
            <w:tcW w:w="849" w:type="dxa"/>
            <w:vMerge w:val="continue"/>
            <w:shd w:val="clear" w:color="auto" w:fill="auto"/>
            <w:vAlign w:val="center"/>
          </w:tcPr>
          <w:p>
            <w:pPr>
              <w:jc w:val="center"/>
              <w:rPr>
                <w:rFonts w:ascii="Times New Roman" w:hAnsi="Times New Roman" w:eastAsia="宋体" w:cs="Times New Roman"/>
                <w:b/>
                <w:bCs/>
                <w:szCs w:val="21"/>
              </w:rPr>
            </w:pPr>
          </w:p>
        </w:tc>
        <w:tc>
          <w:tcPr>
            <w:tcW w:w="1252" w:type="dxa"/>
            <w:shd w:val="clear" w:color="auto" w:fill="auto"/>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满意</w:t>
            </w:r>
          </w:p>
        </w:tc>
        <w:tc>
          <w:tcPr>
            <w:tcW w:w="1125" w:type="dxa"/>
            <w:shd w:val="clear" w:color="auto" w:fill="auto"/>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可接受</w:t>
            </w:r>
          </w:p>
        </w:tc>
        <w:tc>
          <w:tcPr>
            <w:tcW w:w="1070" w:type="dxa"/>
            <w:shd w:val="clear" w:color="auto" w:fill="auto"/>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不合格</w:t>
            </w:r>
          </w:p>
        </w:tc>
        <w:tc>
          <w:tcPr>
            <w:tcW w:w="880" w:type="dxa"/>
            <w:vMerge w:val="continue"/>
            <w:shd w:val="clear" w:color="auto" w:fill="auto"/>
            <w:vAlign w:val="center"/>
          </w:tcPr>
          <w:p>
            <w:pPr>
              <w:jc w:val="center"/>
              <w:rPr>
                <w:rFonts w:ascii="Times New Roman" w:hAnsi="Times New Roman" w:eastAsia="宋体" w:cs="Times New Roman"/>
                <w:b/>
                <w:bCs/>
                <w:szCs w:val="21"/>
              </w:rPr>
            </w:pPr>
          </w:p>
        </w:tc>
        <w:tc>
          <w:tcPr>
            <w:tcW w:w="1263" w:type="dxa"/>
            <w:shd w:val="clear" w:color="auto" w:fill="auto"/>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满意</w:t>
            </w:r>
          </w:p>
        </w:tc>
        <w:tc>
          <w:tcPr>
            <w:tcW w:w="1186" w:type="dxa"/>
            <w:shd w:val="clear" w:color="auto" w:fill="auto"/>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可接受</w:t>
            </w:r>
          </w:p>
        </w:tc>
        <w:tc>
          <w:tcPr>
            <w:tcW w:w="1066" w:type="dxa"/>
            <w:shd w:val="clear" w:color="auto" w:fill="auto"/>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不合格</w:t>
            </w:r>
          </w:p>
        </w:tc>
        <w:tc>
          <w:tcPr>
            <w:tcW w:w="918" w:type="dxa"/>
            <w:vMerge w:val="continue"/>
            <w:shd w:val="clear" w:color="auto" w:fill="auto"/>
            <w:vAlign w:val="center"/>
          </w:tcPr>
          <w:p>
            <w:pPr>
              <w:jc w:val="center"/>
              <w:rPr>
                <w:rFonts w:ascii="Times New Roman" w:hAnsi="Times New Roman" w:eastAsia="宋体" w:cs="Times New Roman"/>
                <w:b/>
                <w:bCs/>
                <w:szCs w:val="21"/>
              </w:rPr>
            </w:pPr>
          </w:p>
        </w:tc>
        <w:tc>
          <w:tcPr>
            <w:tcW w:w="1269" w:type="dxa"/>
            <w:shd w:val="clear" w:color="auto" w:fill="auto"/>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满意</w:t>
            </w:r>
          </w:p>
        </w:tc>
        <w:tc>
          <w:tcPr>
            <w:tcW w:w="1172" w:type="dxa"/>
            <w:shd w:val="clear" w:color="auto" w:fill="auto"/>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可接受</w:t>
            </w:r>
          </w:p>
        </w:tc>
        <w:tc>
          <w:tcPr>
            <w:tcW w:w="1116" w:type="dxa"/>
            <w:shd w:val="clear" w:color="auto" w:fill="auto"/>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552" w:type="dxa"/>
            <w:vMerge w:val="restart"/>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菌落总数（CFU/g）</w:t>
            </w:r>
          </w:p>
        </w:tc>
        <w:tc>
          <w:tcPr>
            <w:tcW w:w="849" w:type="dxa"/>
            <w:shd w:val="clear" w:color="auto" w:fill="D7D7D7" w:themeFill="background1" w:themeFillShade="D8"/>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第一类</w:t>
            </w:r>
          </w:p>
        </w:tc>
        <w:tc>
          <w:tcPr>
            <w:tcW w:w="1252"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＜10</w:t>
            </w:r>
            <w:r>
              <w:rPr>
                <w:rStyle w:val="19"/>
                <w:rFonts w:hint="default" w:ascii="Times New Roman" w:hAnsi="Times New Roman" w:cs="Times New Roman"/>
                <w:color w:val="auto"/>
                <w:lang w:bidi="ar"/>
              </w:rPr>
              <w:t>4</w:t>
            </w:r>
          </w:p>
        </w:tc>
        <w:tc>
          <w:tcPr>
            <w:tcW w:w="1125"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10</w:t>
            </w:r>
            <w:r>
              <w:rPr>
                <w:rStyle w:val="19"/>
                <w:rFonts w:hint="default" w:ascii="Times New Roman" w:hAnsi="Times New Roman" w:cs="Times New Roman"/>
                <w:color w:val="auto"/>
                <w:lang w:bidi="ar"/>
              </w:rPr>
              <w:t>4</w:t>
            </w:r>
            <w:r>
              <w:rPr>
                <w:rFonts w:ascii="Times New Roman" w:hAnsi="Times New Roman" w:eastAsia="宋体" w:cs="Times New Roman"/>
                <w:b/>
                <w:bCs/>
                <w:kern w:val="0"/>
                <w:szCs w:val="21"/>
                <w:lang w:bidi="ar"/>
              </w:rPr>
              <w:t>-＜10</w:t>
            </w:r>
            <w:r>
              <w:rPr>
                <w:rStyle w:val="19"/>
                <w:rFonts w:hint="default" w:ascii="Times New Roman" w:hAnsi="Times New Roman" w:cs="Times New Roman"/>
                <w:color w:val="auto"/>
                <w:lang w:bidi="ar"/>
              </w:rPr>
              <w:t>5</w:t>
            </w:r>
          </w:p>
        </w:tc>
        <w:tc>
          <w:tcPr>
            <w:tcW w:w="1070"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≥10</w:t>
            </w:r>
            <w:r>
              <w:rPr>
                <w:rStyle w:val="19"/>
                <w:rFonts w:hint="default" w:ascii="Times New Roman" w:hAnsi="Times New Roman" w:cs="Times New Roman"/>
                <w:color w:val="auto"/>
                <w:lang w:bidi="ar"/>
              </w:rPr>
              <w:t>5</w:t>
            </w:r>
          </w:p>
        </w:tc>
        <w:tc>
          <w:tcPr>
            <w:tcW w:w="880" w:type="dxa"/>
            <w:shd w:val="clear" w:color="auto" w:fill="D7D7D7" w:themeFill="background1" w:themeFillShade="D8"/>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第一类</w:t>
            </w:r>
          </w:p>
        </w:tc>
        <w:tc>
          <w:tcPr>
            <w:tcW w:w="1263"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＜10</w:t>
            </w:r>
            <w:r>
              <w:rPr>
                <w:rStyle w:val="20"/>
                <w:rFonts w:eastAsia="宋体"/>
                <w:color w:val="auto"/>
                <w:lang w:bidi="ar"/>
              </w:rPr>
              <w:t>4</w:t>
            </w:r>
          </w:p>
        </w:tc>
        <w:tc>
          <w:tcPr>
            <w:tcW w:w="1186"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10</w:t>
            </w:r>
            <w:r>
              <w:rPr>
                <w:rStyle w:val="20"/>
                <w:rFonts w:eastAsia="宋体"/>
                <w:color w:val="auto"/>
                <w:lang w:bidi="ar"/>
              </w:rPr>
              <w:t>4</w:t>
            </w:r>
            <w:r>
              <w:rPr>
                <w:rStyle w:val="21"/>
                <w:rFonts w:eastAsia="宋体"/>
                <w:color w:val="auto"/>
                <w:lang w:bidi="ar"/>
              </w:rPr>
              <w:t>-</w:t>
            </w:r>
            <w:r>
              <w:rPr>
                <w:rFonts w:ascii="Times New Roman" w:hAnsi="Times New Roman" w:eastAsia="宋体" w:cs="Times New Roman"/>
                <w:b/>
                <w:bCs/>
                <w:kern w:val="0"/>
                <w:szCs w:val="21"/>
                <w:lang w:bidi="ar"/>
              </w:rPr>
              <w:t>＜10</w:t>
            </w:r>
            <w:r>
              <w:rPr>
                <w:rStyle w:val="20"/>
                <w:rFonts w:eastAsia="宋体"/>
                <w:color w:val="auto"/>
                <w:lang w:bidi="ar"/>
              </w:rPr>
              <w:t>5</w:t>
            </w:r>
          </w:p>
        </w:tc>
        <w:tc>
          <w:tcPr>
            <w:tcW w:w="1066"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≥10</w:t>
            </w:r>
            <w:r>
              <w:rPr>
                <w:rStyle w:val="20"/>
                <w:rFonts w:eastAsia="宋体"/>
                <w:color w:val="auto"/>
                <w:lang w:bidi="ar"/>
              </w:rPr>
              <w:t>5</w:t>
            </w:r>
          </w:p>
        </w:tc>
        <w:tc>
          <w:tcPr>
            <w:tcW w:w="918" w:type="dxa"/>
            <w:shd w:val="clear" w:color="auto" w:fill="D7D7D7" w:themeFill="background1" w:themeFillShade="D8"/>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第一类</w:t>
            </w:r>
          </w:p>
        </w:tc>
        <w:tc>
          <w:tcPr>
            <w:tcW w:w="1269"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＜10</w:t>
            </w:r>
            <w:r>
              <w:rPr>
                <w:rStyle w:val="22"/>
                <w:rFonts w:eastAsia="宋体"/>
                <w:color w:val="auto"/>
                <w:lang w:bidi="ar"/>
              </w:rPr>
              <w:t>4</w:t>
            </w:r>
          </w:p>
        </w:tc>
        <w:tc>
          <w:tcPr>
            <w:tcW w:w="1172"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10</w:t>
            </w:r>
            <w:r>
              <w:rPr>
                <w:rStyle w:val="22"/>
                <w:rFonts w:eastAsia="宋体"/>
                <w:color w:val="auto"/>
                <w:lang w:bidi="ar"/>
              </w:rPr>
              <w:t>4</w:t>
            </w:r>
            <w:r>
              <w:rPr>
                <w:rStyle w:val="23"/>
                <w:rFonts w:eastAsia="宋体"/>
                <w:color w:val="auto"/>
                <w:lang w:bidi="ar"/>
              </w:rPr>
              <w:t>-</w:t>
            </w:r>
            <w:r>
              <w:rPr>
                <w:rFonts w:ascii="Times New Roman" w:hAnsi="Times New Roman" w:eastAsia="宋体" w:cs="Times New Roman"/>
                <w:b/>
                <w:bCs/>
                <w:kern w:val="0"/>
                <w:szCs w:val="21"/>
                <w:lang w:bidi="ar"/>
              </w:rPr>
              <w:t>＜10</w:t>
            </w:r>
            <w:r>
              <w:rPr>
                <w:rStyle w:val="22"/>
                <w:rFonts w:eastAsia="宋体"/>
                <w:color w:val="auto"/>
                <w:lang w:bidi="ar"/>
              </w:rPr>
              <w:t>5</w:t>
            </w:r>
          </w:p>
        </w:tc>
        <w:tc>
          <w:tcPr>
            <w:tcW w:w="1116"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≥10</w:t>
            </w:r>
            <w:r>
              <w:rPr>
                <w:rStyle w:val="22"/>
                <w:rFonts w:eastAsia="宋体"/>
                <w:color w:val="auto"/>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2" w:type="dxa"/>
            <w:vMerge w:val="continue"/>
            <w:shd w:val="clear" w:color="auto" w:fill="auto"/>
            <w:vAlign w:val="center"/>
          </w:tcPr>
          <w:p>
            <w:pPr>
              <w:jc w:val="center"/>
              <w:rPr>
                <w:rFonts w:ascii="Times New Roman" w:hAnsi="Times New Roman" w:eastAsia="宋体" w:cs="Times New Roman"/>
                <w:szCs w:val="21"/>
              </w:rPr>
            </w:pPr>
          </w:p>
        </w:tc>
        <w:tc>
          <w:tcPr>
            <w:tcW w:w="849"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1139</w:t>
            </w:r>
          </w:p>
        </w:tc>
        <w:tc>
          <w:tcPr>
            <w:tcW w:w="1252"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902</w:t>
            </w:r>
          </w:p>
        </w:tc>
        <w:tc>
          <w:tcPr>
            <w:tcW w:w="1125"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131</w:t>
            </w:r>
          </w:p>
        </w:tc>
        <w:tc>
          <w:tcPr>
            <w:tcW w:w="1070"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106</w:t>
            </w:r>
          </w:p>
        </w:tc>
        <w:tc>
          <w:tcPr>
            <w:tcW w:w="880" w:type="dxa"/>
            <w:shd w:val="clear" w:color="auto" w:fill="auto"/>
            <w:noWrap/>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555</w:t>
            </w:r>
          </w:p>
        </w:tc>
        <w:tc>
          <w:tcPr>
            <w:tcW w:w="1263" w:type="dxa"/>
            <w:shd w:val="clear" w:color="auto" w:fill="auto"/>
            <w:noWrap/>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423</w:t>
            </w:r>
          </w:p>
        </w:tc>
        <w:tc>
          <w:tcPr>
            <w:tcW w:w="1186" w:type="dxa"/>
            <w:shd w:val="clear" w:color="auto" w:fill="auto"/>
            <w:noWrap/>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68</w:t>
            </w:r>
          </w:p>
        </w:tc>
        <w:tc>
          <w:tcPr>
            <w:tcW w:w="1066" w:type="dxa"/>
            <w:shd w:val="clear" w:color="auto" w:fill="auto"/>
            <w:noWrap/>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64</w:t>
            </w:r>
          </w:p>
        </w:tc>
        <w:tc>
          <w:tcPr>
            <w:tcW w:w="918"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1694</w:t>
            </w:r>
          </w:p>
        </w:tc>
        <w:tc>
          <w:tcPr>
            <w:tcW w:w="1269"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1325</w:t>
            </w:r>
          </w:p>
        </w:tc>
        <w:tc>
          <w:tcPr>
            <w:tcW w:w="1172"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199</w:t>
            </w:r>
          </w:p>
        </w:tc>
        <w:tc>
          <w:tcPr>
            <w:tcW w:w="1116"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2" w:type="dxa"/>
            <w:vMerge w:val="continue"/>
            <w:shd w:val="clear" w:color="auto" w:fill="auto"/>
            <w:vAlign w:val="center"/>
          </w:tcPr>
          <w:p>
            <w:pPr>
              <w:jc w:val="center"/>
              <w:rPr>
                <w:rFonts w:ascii="Times New Roman" w:hAnsi="Times New Roman" w:eastAsia="宋体" w:cs="Times New Roman"/>
                <w:szCs w:val="21"/>
              </w:rPr>
            </w:pPr>
          </w:p>
        </w:tc>
        <w:tc>
          <w:tcPr>
            <w:tcW w:w="849" w:type="dxa"/>
            <w:shd w:val="clear" w:color="auto" w:fill="D7D7D7" w:themeFill="background1" w:themeFillShade="D8"/>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第二类</w:t>
            </w:r>
          </w:p>
        </w:tc>
        <w:tc>
          <w:tcPr>
            <w:tcW w:w="1252"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＜10</w:t>
            </w:r>
            <w:r>
              <w:rPr>
                <w:rStyle w:val="19"/>
                <w:rFonts w:hint="default" w:ascii="Times New Roman" w:hAnsi="Times New Roman" w:cs="Times New Roman"/>
                <w:color w:val="auto"/>
                <w:lang w:bidi="ar"/>
              </w:rPr>
              <w:t>5</w:t>
            </w:r>
          </w:p>
        </w:tc>
        <w:tc>
          <w:tcPr>
            <w:tcW w:w="1125"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10</w:t>
            </w:r>
            <w:r>
              <w:rPr>
                <w:rStyle w:val="19"/>
                <w:rFonts w:hint="default" w:ascii="Times New Roman" w:hAnsi="Times New Roman" w:cs="Times New Roman"/>
                <w:color w:val="auto"/>
                <w:lang w:bidi="ar"/>
              </w:rPr>
              <w:t>5</w:t>
            </w:r>
            <w:r>
              <w:rPr>
                <w:rFonts w:ascii="Times New Roman" w:hAnsi="Times New Roman" w:eastAsia="宋体" w:cs="Times New Roman"/>
                <w:b/>
                <w:bCs/>
                <w:kern w:val="0"/>
                <w:szCs w:val="21"/>
                <w:lang w:bidi="ar"/>
              </w:rPr>
              <w:t>-＜10</w:t>
            </w:r>
            <w:r>
              <w:rPr>
                <w:rStyle w:val="19"/>
                <w:rFonts w:hint="default" w:ascii="Times New Roman" w:hAnsi="Times New Roman" w:cs="Times New Roman"/>
                <w:color w:val="auto"/>
                <w:lang w:bidi="ar"/>
              </w:rPr>
              <w:t>6</w:t>
            </w:r>
          </w:p>
        </w:tc>
        <w:tc>
          <w:tcPr>
            <w:tcW w:w="1070"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≥10</w:t>
            </w:r>
            <w:r>
              <w:rPr>
                <w:rStyle w:val="19"/>
                <w:rFonts w:hint="default" w:ascii="Times New Roman" w:hAnsi="Times New Roman" w:cs="Times New Roman"/>
                <w:color w:val="auto"/>
                <w:lang w:bidi="ar"/>
              </w:rPr>
              <w:t>6</w:t>
            </w:r>
          </w:p>
        </w:tc>
        <w:tc>
          <w:tcPr>
            <w:tcW w:w="880" w:type="dxa"/>
            <w:shd w:val="clear" w:color="auto" w:fill="D7D7D7" w:themeFill="background1" w:themeFillShade="D8"/>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第二类</w:t>
            </w:r>
          </w:p>
        </w:tc>
        <w:tc>
          <w:tcPr>
            <w:tcW w:w="1263"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＜10</w:t>
            </w:r>
            <w:r>
              <w:rPr>
                <w:rStyle w:val="20"/>
                <w:rFonts w:eastAsia="宋体"/>
                <w:color w:val="auto"/>
                <w:lang w:bidi="ar"/>
              </w:rPr>
              <w:t>5</w:t>
            </w:r>
          </w:p>
        </w:tc>
        <w:tc>
          <w:tcPr>
            <w:tcW w:w="1186"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10</w:t>
            </w:r>
            <w:r>
              <w:rPr>
                <w:rStyle w:val="20"/>
                <w:rFonts w:eastAsia="宋体"/>
                <w:color w:val="auto"/>
                <w:lang w:bidi="ar"/>
              </w:rPr>
              <w:t>5</w:t>
            </w:r>
            <w:r>
              <w:rPr>
                <w:rStyle w:val="21"/>
                <w:rFonts w:eastAsia="宋体"/>
                <w:color w:val="auto"/>
                <w:lang w:bidi="ar"/>
              </w:rPr>
              <w:t>-</w:t>
            </w:r>
            <w:r>
              <w:rPr>
                <w:rFonts w:ascii="Times New Roman" w:hAnsi="Times New Roman" w:eastAsia="宋体" w:cs="Times New Roman"/>
                <w:b/>
                <w:bCs/>
                <w:kern w:val="0"/>
                <w:szCs w:val="21"/>
                <w:lang w:bidi="ar"/>
              </w:rPr>
              <w:t>＜10</w:t>
            </w:r>
            <w:r>
              <w:rPr>
                <w:rStyle w:val="20"/>
                <w:rFonts w:eastAsia="宋体"/>
                <w:color w:val="auto"/>
                <w:lang w:bidi="ar"/>
              </w:rPr>
              <w:t>6</w:t>
            </w:r>
          </w:p>
        </w:tc>
        <w:tc>
          <w:tcPr>
            <w:tcW w:w="1066"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≥10</w:t>
            </w:r>
            <w:r>
              <w:rPr>
                <w:rStyle w:val="20"/>
                <w:rFonts w:eastAsia="宋体"/>
                <w:color w:val="auto"/>
                <w:lang w:bidi="ar"/>
              </w:rPr>
              <w:t>6</w:t>
            </w:r>
          </w:p>
        </w:tc>
        <w:tc>
          <w:tcPr>
            <w:tcW w:w="918" w:type="dxa"/>
            <w:shd w:val="clear" w:color="auto" w:fill="D7D7D7" w:themeFill="background1" w:themeFillShade="D8"/>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第二类</w:t>
            </w:r>
          </w:p>
        </w:tc>
        <w:tc>
          <w:tcPr>
            <w:tcW w:w="1269"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＜10</w:t>
            </w:r>
            <w:r>
              <w:rPr>
                <w:rStyle w:val="22"/>
                <w:rFonts w:eastAsia="宋体"/>
                <w:color w:val="auto"/>
                <w:lang w:bidi="ar"/>
              </w:rPr>
              <w:t>5</w:t>
            </w:r>
          </w:p>
        </w:tc>
        <w:tc>
          <w:tcPr>
            <w:tcW w:w="1172"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10</w:t>
            </w:r>
            <w:r>
              <w:rPr>
                <w:rStyle w:val="22"/>
                <w:rFonts w:eastAsia="宋体"/>
                <w:color w:val="auto"/>
                <w:lang w:bidi="ar"/>
              </w:rPr>
              <w:t>5</w:t>
            </w:r>
            <w:r>
              <w:rPr>
                <w:rStyle w:val="23"/>
                <w:rFonts w:eastAsia="宋体"/>
                <w:color w:val="auto"/>
                <w:lang w:bidi="ar"/>
              </w:rPr>
              <w:t>-</w:t>
            </w:r>
            <w:r>
              <w:rPr>
                <w:rFonts w:ascii="Times New Roman" w:hAnsi="Times New Roman" w:eastAsia="宋体" w:cs="Times New Roman"/>
                <w:b/>
                <w:bCs/>
                <w:kern w:val="0"/>
                <w:szCs w:val="21"/>
                <w:lang w:bidi="ar"/>
              </w:rPr>
              <w:t>＜10</w:t>
            </w:r>
            <w:r>
              <w:rPr>
                <w:rStyle w:val="22"/>
                <w:rFonts w:eastAsia="宋体"/>
                <w:color w:val="auto"/>
                <w:lang w:bidi="ar"/>
              </w:rPr>
              <w:t>6</w:t>
            </w:r>
          </w:p>
        </w:tc>
        <w:tc>
          <w:tcPr>
            <w:tcW w:w="1116"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≥10</w:t>
            </w:r>
            <w:r>
              <w:rPr>
                <w:rStyle w:val="22"/>
                <w:rFonts w:eastAsia="宋体"/>
                <w:color w:val="auto"/>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2" w:type="dxa"/>
            <w:vMerge w:val="continue"/>
            <w:shd w:val="clear" w:color="auto" w:fill="auto"/>
            <w:vAlign w:val="center"/>
          </w:tcPr>
          <w:p>
            <w:pPr>
              <w:jc w:val="center"/>
              <w:rPr>
                <w:rFonts w:ascii="Times New Roman" w:hAnsi="Times New Roman" w:eastAsia="宋体" w:cs="Times New Roman"/>
                <w:szCs w:val="21"/>
              </w:rPr>
            </w:pPr>
          </w:p>
        </w:tc>
        <w:tc>
          <w:tcPr>
            <w:tcW w:w="849"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154</w:t>
            </w:r>
          </w:p>
        </w:tc>
        <w:tc>
          <w:tcPr>
            <w:tcW w:w="1252"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90</w:t>
            </w:r>
          </w:p>
        </w:tc>
        <w:tc>
          <w:tcPr>
            <w:tcW w:w="1125"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42</w:t>
            </w:r>
          </w:p>
        </w:tc>
        <w:tc>
          <w:tcPr>
            <w:tcW w:w="1070"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22</w:t>
            </w:r>
          </w:p>
        </w:tc>
        <w:tc>
          <w:tcPr>
            <w:tcW w:w="880" w:type="dxa"/>
            <w:shd w:val="clear" w:color="auto" w:fill="auto"/>
            <w:noWrap/>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287</w:t>
            </w:r>
          </w:p>
        </w:tc>
        <w:tc>
          <w:tcPr>
            <w:tcW w:w="1263" w:type="dxa"/>
            <w:shd w:val="clear" w:color="auto" w:fill="auto"/>
            <w:noWrap/>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211</w:t>
            </w:r>
          </w:p>
        </w:tc>
        <w:tc>
          <w:tcPr>
            <w:tcW w:w="1186" w:type="dxa"/>
            <w:shd w:val="clear" w:color="auto" w:fill="auto"/>
            <w:noWrap/>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26</w:t>
            </w:r>
          </w:p>
        </w:tc>
        <w:tc>
          <w:tcPr>
            <w:tcW w:w="1066" w:type="dxa"/>
            <w:shd w:val="clear" w:color="auto" w:fill="auto"/>
            <w:noWrap/>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50</w:t>
            </w:r>
          </w:p>
        </w:tc>
        <w:tc>
          <w:tcPr>
            <w:tcW w:w="918"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441</w:t>
            </w:r>
          </w:p>
        </w:tc>
        <w:tc>
          <w:tcPr>
            <w:tcW w:w="1269"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301</w:t>
            </w:r>
          </w:p>
        </w:tc>
        <w:tc>
          <w:tcPr>
            <w:tcW w:w="1172"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68</w:t>
            </w:r>
          </w:p>
        </w:tc>
        <w:tc>
          <w:tcPr>
            <w:tcW w:w="1116"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552" w:type="dxa"/>
            <w:vMerge w:val="continue"/>
            <w:shd w:val="clear" w:color="auto" w:fill="auto"/>
            <w:vAlign w:val="center"/>
          </w:tcPr>
          <w:p>
            <w:pPr>
              <w:jc w:val="center"/>
              <w:rPr>
                <w:rFonts w:ascii="Times New Roman" w:hAnsi="Times New Roman" w:eastAsia="宋体" w:cs="Times New Roman"/>
                <w:szCs w:val="21"/>
              </w:rPr>
            </w:pPr>
          </w:p>
        </w:tc>
        <w:tc>
          <w:tcPr>
            <w:tcW w:w="849" w:type="dxa"/>
            <w:shd w:val="clear" w:color="auto" w:fill="D7D7D7" w:themeFill="background1" w:themeFillShade="D8"/>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第三类</w:t>
            </w:r>
          </w:p>
        </w:tc>
        <w:tc>
          <w:tcPr>
            <w:tcW w:w="1252"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＜10</w:t>
            </w:r>
            <w:r>
              <w:rPr>
                <w:rStyle w:val="19"/>
                <w:rFonts w:hint="default" w:ascii="Times New Roman" w:hAnsi="Times New Roman" w:cs="Times New Roman"/>
                <w:color w:val="auto"/>
                <w:lang w:bidi="ar"/>
              </w:rPr>
              <w:t>6</w:t>
            </w:r>
          </w:p>
        </w:tc>
        <w:tc>
          <w:tcPr>
            <w:tcW w:w="1125"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10</w:t>
            </w:r>
            <w:r>
              <w:rPr>
                <w:rStyle w:val="19"/>
                <w:rFonts w:hint="default" w:ascii="Times New Roman" w:hAnsi="Times New Roman" w:cs="Times New Roman"/>
                <w:color w:val="auto"/>
                <w:lang w:bidi="ar"/>
              </w:rPr>
              <w:t>6</w:t>
            </w:r>
            <w:r>
              <w:rPr>
                <w:rFonts w:ascii="Times New Roman" w:hAnsi="Times New Roman" w:eastAsia="宋体" w:cs="Times New Roman"/>
                <w:b/>
                <w:bCs/>
                <w:kern w:val="0"/>
                <w:szCs w:val="21"/>
                <w:lang w:bidi="ar"/>
              </w:rPr>
              <w:t>-＜10</w:t>
            </w:r>
            <w:r>
              <w:rPr>
                <w:rStyle w:val="19"/>
                <w:rFonts w:hint="default" w:ascii="Times New Roman" w:hAnsi="Times New Roman" w:cs="Times New Roman"/>
                <w:color w:val="auto"/>
                <w:lang w:bidi="ar"/>
              </w:rPr>
              <w:t>7</w:t>
            </w:r>
          </w:p>
        </w:tc>
        <w:tc>
          <w:tcPr>
            <w:tcW w:w="1070"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≥10</w:t>
            </w:r>
            <w:r>
              <w:rPr>
                <w:rStyle w:val="19"/>
                <w:rFonts w:hint="default" w:ascii="Times New Roman" w:hAnsi="Times New Roman" w:cs="Times New Roman"/>
                <w:color w:val="auto"/>
                <w:lang w:bidi="ar"/>
              </w:rPr>
              <w:t>7</w:t>
            </w:r>
          </w:p>
        </w:tc>
        <w:tc>
          <w:tcPr>
            <w:tcW w:w="880" w:type="dxa"/>
            <w:shd w:val="clear" w:color="auto" w:fill="D7D7D7" w:themeFill="background1" w:themeFillShade="D8"/>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第三类</w:t>
            </w:r>
          </w:p>
        </w:tc>
        <w:tc>
          <w:tcPr>
            <w:tcW w:w="1263"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＜10</w:t>
            </w:r>
            <w:r>
              <w:rPr>
                <w:rStyle w:val="20"/>
                <w:rFonts w:eastAsia="宋体"/>
                <w:color w:val="auto"/>
                <w:lang w:bidi="ar"/>
              </w:rPr>
              <w:t>6</w:t>
            </w:r>
          </w:p>
        </w:tc>
        <w:tc>
          <w:tcPr>
            <w:tcW w:w="1186"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10</w:t>
            </w:r>
            <w:r>
              <w:rPr>
                <w:rStyle w:val="20"/>
                <w:rFonts w:eastAsia="宋体"/>
                <w:color w:val="auto"/>
                <w:lang w:bidi="ar"/>
              </w:rPr>
              <w:t>6</w:t>
            </w:r>
            <w:r>
              <w:rPr>
                <w:rStyle w:val="21"/>
                <w:rFonts w:eastAsia="宋体"/>
                <w:color w:val="auto"/>
                <w:lang w:bidi="ar"/>
              </w:rPr>
              <w:t>-</w:t>
            </w:r>
            <w:r>
              <w:rPr>
                <w:rFonts w:ascii="Times New Roman" w:hAnsi="Times New Roman" w:eastAsia="宋体" w:cs="Times New Roman"/>
                <w:b/>
                <w:bCs/>
                <w:kern w:val="0"/>
                <w:szCs w:val="21"/>
                <w:lang w:bidi="ar"/>
              </w:rPr>
              <w:t>＜10</w:t>
            </w:r>
            <w:r>
              <w:rPr>
                <w:rStyle w:val="20"/>
                <w:rFonts w:eastAsia="宋体"/>
                <w:color w:val="auto"/>
                <w:lang w:bidi="ar"/>
              </w:rPr>
              <w:t>7</w:t>
            </w:r>
          </w:p>
        </w:tc>
        <w:tc>
          <w:tcPr>
            <w:tcW w:w="1066"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≥10</w:t>
            </w:r>
            <w:r>
              <w:rPr>
                <w:rStyle w:val="20"/>
                <w:rFonts w:eastAsia="宋体"/>
                <w:color w:val="auto"/>
                <w:lang w:bidi="ar"/>
              </w:rPr>
              <w:t>7</w:t>
            </w:r>
          </w:p>
        </w:tc>
        <w:tc>
          <w:tcPr>
            <w:tcW w:w="918" w:type="dxa"/>
            <w:shd w:val="clear" w:color="auto" w:fill="D7D7D7" w:themeFill="background1" w:themeFillShade="D8"/>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第三类</w:t>
            </w:r>
          </w:p>
        </w:tc>
        <w:tc>
          <w:tcPr>
            <w:tcW w:w="1269"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＜10</w:t>
            </w:r>
            <w:r>
              <w:rPr>
                <w:rStyle w:val="22"/>
                <w:rFonts w:eastAsia="宋体"/>
                <w:color w:val="auto"/>
                <w:lang w:bidi="ar"/>
              </w:rPr>
              <w:t>6</w:t>
            </w:r>
          </w:p>
        </w:tc>
        <w:tc>
          <w:tcPr>
            <w:tcW w:w="1172"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10</w:t>
            </w:r>
            <w:r>
              <w:rPr>
                <w:rStyle w:val="22"/>
                <w:rFonts w:eastAsia="宋体"/>
                <w:color w:val="auto"/>
                <w:lang w:bidi="ar"/>
              </w:rPr>
              <w:t>6</w:t>
            </w:r>
            <w:r>
              <w:rPr>
                <w:rStyle w:val="23"/>
                <w:rFonts w:eastAsia="宋体"/>
                <w:color w:val="auto"/>
                <w:lang w:bidi="ar"/>
              </w:rPr>
              <w:t>-</w:t>
            </w:r>
            <w:r>
              <w:rPr>
                <w:rFonts w:ascii="Times New Roman" w:hAnsi="Times New Roman" w:eastAsia="宋体" w:cs="Times New Roman"/>
                <w:b/>
                <w:bCs/>
                <w:kern w:val="0"/>
                <w:szCs w:val="21"/>
                <w:lang w:bidi="ar"/>
              </w:rPr>
              <w:t>＜10</w:t>
            </w:r>
            <w:r>
              <w:rPr>
                <w:rStyle w:val="22"/>
                <w:rFonts w:eastAsia="宋体"/>
                <w:color w:val="auto"/>
                <w:lang w:bidi="ar"/>
              </w:rPr>
              <w:t>7</w:t>
            </w:r>
          </w:p>
        </w:tc>
        <w:tc>
          <w:tcPr>
            <w:tcW w:w="1116"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≥10</w:t>
            </w:r>
            <w:r>
              <w:rPr>
                <w:rStyle w:val="22"/>
                <w:rFonts w:eastAsia="宋体"/>
                <w:color w:val="auto"/>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2" w:type="dxa"/>
            <w:vMerge w:val="continue"/>
            <w:shd w:val="clear" w:color="auto" w:fill="auto"/>
            <w:vAlign w:val="center"/>
          </w:tcPr>
          <w:p>
            <w:pPr>
              <w:jc w:val="center"/>
              <w:rPr>
                <w:rFonts w:ascii="Times New Roman" w:hAnsi="Times New Roman" w:eastAsia="宋体" w:cs="Times New Roman"/>
                <w:szCs w:val="21"/>
              </w:rPr>
            </w:pPr>
          </w:p>
        </w:tc>
        <w:tc>
          <w:tcPr>
            <w:tcW w:w="849"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50</w:t>
            </w:r>
          </w:p>
        </w:tc>
        <w:tc>
          <w:tcPr>
            <w:tcW w:w="1252"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35</w:t>
            </w:r>
          </w:p>
        </w:tc>
        <w:tc>
          <w:tcPr>
            <w:tcW w:w="1125"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12</w:t>
            </w:r>
          </w:p>
        </w:tc>
        <w:tc>
          <w:tcPr>
            <w:tcW w:w="1070"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3</w:t>
            </w:r>
          </w:p>
        </w:tc>
        <w:tc>
          <w:tcPr>
            <w:tcW w:w="880" w:type="dxa"/>
            <w:shd w:val="clear" w:color="auto" w:fill="auto"/>
            <w:noWrap/>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110</w:t>
            </w:r>
          </w:p>
        </w:tc>
        <w:tc>
          <w:tcPr>
            <w:tcW w:w="1263" w:type="dxa"/>
            <w:shd w:val="clear" w:color="auto" w:fill="auto"/>
            <w:noWrap/>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14</w:t>
            </w:r>
          </w:p>
        </w:tc>
        <w:tc>
          <w:tcPr>
            <w:tcW w:w="1186" w:type="dxa"/>
            <w:shd w:val="clear" w:color="auto" w:fill="auto"/>
            <w:noWrap/>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22</w:t>
            </w:r>
          </w:p>
        </w:tc>
        <w:tc>
          <w:tcPr>
            <w:tcW w:w="1066" w:type="dxa"/>
            <w:shd w:val="clear" w:color="auto" w:fill="auto"/>
            <w:noWrap/>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74</w:t>
            </w:r>
          </w:p>
        </w:tc>
        <w:tc>
          <w:tcPr>
            <w:tcW w:w="918"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160</w:t>
            </w:r>
          </w:p>
        </w:tc>
        <w:tc>
          <w:tcPr>
            <w:tcW w:w="1269"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49</w:t>
            </w:r>
          </w:p>
        </w:tc>
        <w:tc>
          <w:tcPr>
            <w:tcW w:w="1172"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34</w:t>
            </w:r>
          </w:p>
        </w:tc>
        <w:tc>
          <w:tcPr>
            <w:tcW w:w="1116"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2" w:type="dxa"/>
            <w:vMerge w:val="continue"/>
            <w:shd w:val="clear" w:color="auto" w:fill="auto"/>
            <w:vAlign w:val="center"/>
          </w:tcPr>
          <w:p>
            <w:pPr>
              <w:jc w:val="center"/>
              <w:rPr>
                <w:rFonts w:ascii="Times New Roman" w:hAnsi="Times New Roman" w:eastAsia="宋体" w:cs="Times New Roman"/>
                <w:szCs w:val="21"/>
              </w:rPr>
            </w:pPr>
          </w:p>
        </w:tc>
        <w:tc>
          <w:tcPr>
            <w:tcW w:w="849" w:type="dxa"/>
            <w:shd w:val="clear" w:color="auto" w:fill="D7D7D7" w:themeFill="background1" w:themeFillShade="D8"/>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第四类</w:t>
            </w:r>
          </w:p>
        </w:tc>
        <w:tc>
          <w:tcPr>
            <w:tcW w:w="1252"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不适用</w:t>
            </w:r>
          </w:p>
        </w:tc>
        <w:tc>
          <w:tcPr>
            <w:tcW w:w="1125"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不适用</w:t>
            </w:r>
          </w:p>
        </w:tc>
        <w:tc>
          <w:tcPr>
            <w:tcW w:w="1070"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不适用</w:t>
            </w:r>
          </w:p>
        </w:tc>
        <w:tc>
          <w:tcPr>
            <w:tcW w:w="880" w:type="dxa"/>
            <w:shd w:val="clear" w:color="auto" w:fill="D7D7D7" w:themeFill="background1" w:themeFillShade="D8"/>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第四类</w:t>
            </w:r>
          </w:p>
        </w:tc>
        <w:tc>
          <w:tcPr>
            <w:tcW w:w="1263"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不适用</w:t>
            </w:r>
          </w:p>
        </w:tc>
        <w:tc>
          <w:tcPr>
            <w:tcW w:w="1186"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不适用</w:t>
            </w:r>
          </w:p>
        </w:tc>
        <w:tc>
          <w:tcPr>
            <w:tcW w:w="1066"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不适用</w:t>
            </w:r>
          </w:p>
        </w:tc>
        <w:tc>
          <w:tcPr>
            <w:tcW w:w="918" w:type="dxa"/>
            <w:shd w:val="clear" w:color="auto" w:fill="D7D7D7" w:themeFill="background1" w:themeFillShade="D8"/>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第四类</w:t>
            </w:r>
          </w:p>
        </w:tc>
        <w:tc>
          <w:tcPr>
            <w:tcW w:w="1269"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不适用</w:t>
            </w:r>
          </w:p>
        </w:tc>
        <w:tc>
          <w:tcPr>
            <w:tcW w:w="1172"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不适用</w:t>
            </w:r>
          </w:p>
        </w:tc>
        <w:tc>
          <w:tcPr>
            <w:tcW w:w="1116"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2" w:type="dxa"/>
            <w:vMerge w:val="continue"/>
            <w:shd w:val="clear" w:color="auto" w:fill="auto"/>
            <w:vAlign w:val="center"/>
          </w:tcPr>
          <w:p>
            <w:pPr>
              <w:jc w:val="center"/>
              <w:rPr>
                <w:rFonts w:ascii="Times New Roman" w:hAnsi="Times New Roman" w:eastAsia="宋体" w:cs="Times New Roman"/>
                <w:szCs w:val="21"/>
              </w:rPr>
            </w:pPr>
          </w:p>
        </w:tc>
        <w:tc>
          <w:tcPr>
            <w:tcW w:w="849"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其他类</w:t>
            </w:r>
          </w:p>
        </w:tc>
        <w:tc>
          <w:tcPr>
            <w:tcW w:w="1252"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w:t>
            </w:r>
          </w:p>
        </w:tc>
        <w:tc>
          <w:tcPr>
            <w:tcW w:w="1125"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w:t>
            </w:r>
          </w:p>
        </w:tc>
        <w:tc>
          <w:tcPr>
            <w:tcW w:w="1070"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w:t>
            </w:r>
          </w:p>
        </w:tc>
        <w:tc>
          <w:tcPr>
            <w:tcW w:w="880"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其他类</w:t>
            </w:r>
          </w:p>
        </w:tc>
        <w:tc>
          <w:tcPr>
            <w:tcW w:w="1263"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w:t>
            </w:r>
          </w:p>
        </w:tc>
        <w:tc>
          <w:tcPr>
            <w:tcW w:w="1186"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w:t>
            </w:r>
          </w:p>
        </w:tc>
        <w:tc>
          <w:tcPr>
            <w:tcW w:w="1066"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w:t>
            </w:r>
          </w:p>
        </w:tc>
        <w:tc>
          <w:tcPr>
            <w:tcW w:w="918"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其他类</w:t>
            </w:r>
          </w:p>
        </w:tc>
        <w:tc>
          <w:tcPr>
            <w:tcW w:w="1269"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w:t>
            </w:r>
          </w:p>
        </w:tc>
        <w:tc>
          <w:tcPr>
            <w:tcW w:w="1172"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w:t>
            </w:r>
          </w:p>
        </w:tc>
        <w:tc>
          <w:tcPr>
            <w:tcW w:w="1116"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552" w:type="dxa"/>
            <w:vMerge w:val="continue"/>
            <w:shd w:val="clear" w:color="auto" w:fill="auto"/>
            <w:vAlign w:val="center"/>
          </w:tcPr>
          <w:p>
            <w:pPr>
              <w:jc w:val="center"/>
              <w:rPr>
                <w:rFonts w:ascii="Times New Roman" w:hAnsi="Times New Roman" w:eastAsia="宋体" w:cs="Times New Roman"/>
                <w:szCs w:val="21"/>
              </w:rPr>
            </w:pPr>
          </w:p>
        </w:tc>
        <w:tc>
          <w:tcPr>
            <w:tcW w:w="849"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248</w:t>
            </w:r>
          </w:p>
        </w:tc>
        <w:tc>
          <w:tcPr>
            <w:tcW w:w="1252"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237</w:t>
            </w:r>
          </w:p>
        </w:tc>
        <w:tc>
          <w:tcPr>
            <w:tcW w:w="1125"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11</w:t>
            </w:r>
          </w:p>
        </w:tc>
        <w:tc>
          <w:tcPr>
            <w:tcW w:w="1070"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0</w:t>
            </w:r>
          </w:p>
        </w:tc>
        <w:tc>
          <w:tcPr>
            <w:tcW w:w="880"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w:t>
            </w:r>
          </w:p>
        </w:tc>
        <w:tc>
          <w:tcPr>
            <w:tcW w:w="1263"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w:t>
            </w:r>
          </w:p>
        </w:tc>
        <w:tc>
          <w:tcPr>
            <w:tcW w:w="1186"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w:t>
            </w:r>
          </w:p>
        </w:tc>
        <w:tc>
          <w:tcPr>
            <w:tcW w:w="1066"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w:t>
            </w:r>
          </w:p>
        </w:tc>
        <w:tc>
          <w:tcPr>
            <w:tcW w:w="918"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248</w:t>
            </w:r>
          </w:p>
        </w:tc>
        <w:tc>
          <w:tcPr>
            <w:tcW w:w="1269"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237</w:t>
            </w:r>
          </w:p>
        </w:tc>
        <w:tc>
          <w:tcPr>
            <w:tcW w:w="1172"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11</w:t>
            </w:r>
          </w:p>
        </w:tc>
        <w:tc>
          <w:tcPr>
            <w:tcW w:w="1116"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2" w:type="dxa"/>
            <w:vMerge w:val="restart"/>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大肠埃希氏菌（CFU/g）</w:t>
            </w:r>
          </w:p>
        </w:tc>
        <w:tc>
          <w:tcPr>
            <w:tcW w:w="849" w:type="dxa"/>
            <w:vMerge w:val="restart"/>
            <w:shd w:val="clear" w:color="auto" w:fill="FFFFFF" w:themeFill="background1"/>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1181</w:t>
            </w:r>
          </w:p>
        </w:tc>
        <w:tc>
          <w:tcPr>
            <w:tcW w:w="1252"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＜20</w:t>
            </w:r>
          </w:p>
        </w:tc>
        <w:tc>
          <w:tcPr>
            <w:tcW w:w="1125"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20 - 100</w:t>
            </w:r>
          </w:p>
        </w:tc>
        <w:tc>
          <w:tcPr>
            <w:tcW w:w="1070"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&gt; 100</w:t>
            </w:r>
          </w:p>
        </w:tc>
        <w:tc>
          <w:tcPr>
            <w:tcW w:w="880" w:type="dxa"/>
            <w:vMerge w:val="restart"/>
            <w:shd w:val="clear" w:color="auto" w:fill="FFFFFF" w:themeFill="background1"/>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528</w:t>
            </w:r>
          </w:p>
        </w:tc>
        <w:tc>
          <w:tcPr>
            <w:tcW w:w="1263"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＜20</w:t>
            </w:r>
          </w:p>
        </w:tc>
        <w:tc>
          <w:tcPr>
            <w:tcW w:w="1186"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20 - 100</w:t>
            </w:r>
          </w:p>
        </w:tc>
        <w:tc>
          <w:tcPr>
            <w:tcW w:w="1066"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&gt; 100</w:t>
            </w:r>
          </w:p>
        </w:tc>
        <w:tc>
          <w:tcPr>
            <w:tcW w:w="918" w:type="dxa"/>
            <w:vMerge w:val="restart"/>
            <w:shd w:val="clear" w:color="auto" w:fill="FFFFFF" w:themeFill="background1"/>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1709</w:t>
            </w:r>
          </w:p>
        </w:tc>
        <w:tc>
          <w:tcPr>
            <w:tcW w:w="1269"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＜20</w:t>
            </w:r>
          </w:p>
        </w:tc>
        <w:tc>
          <w:tcPr>
            <w:tcW w:w="1172"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20 - 100</w:t>
            </w:r>
          </w:p>
        </w:tc>
        <w:tc>
          <w:tcPr>
            <w:tcW w:w="1116"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&gt;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2" w:type="dxa"/>
            <w:vMerge w:val="continue"/>
            <w:shd w:val="clear" w:color="auto" w:fill="auto"/>
            <w:vAlign w:val="center"/>
          </w:tcPr>
          <w:p>
            <w:pPr>
              <w:jc w:val="center"/>
              <w:rPr>
                <w:rFonts w:ascii="Times New Roman" w:hAnsi="Times New Roman" w:eastAsia="宋体" w:cs="Times New Roman"/>
                <w:szCs w:val="21"/>
              </w:rPr>
            </w:pPr>
          </w:p>
        </w:tc>
        <w:tc>
          <w:tcPr>
            <w:tcW w:w="849" w:type="dxa"/>
            <w:vMerge w:val="continue"/>
            <w:shd w:val="clear" w:color="auto" w:fill="FFFFFF" w:themeFill="background1"/>
            <w:vAlign w:val="center"/>
          </w:tcPr>
          <w:p>
            <w:pPr>
              <w:jc w:val="center"/>
              <w:rPr>
                <w:rFonts w:ascii="Times New Roman" w:hAnsi="Times New Roman" w:eastAsia="宋体" w:cs="Times New Roman"/>
                <w:szCs w:val="21"/>
              </w:rPr>
            </w:pPr>
          </w:p>
        </w:tc>
        <w:tc>
          <w:tcPr>
            <w:tcW w:w="1252"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1178</w:t>
            </w:r>
          </w:p>
        </w:tc>
        <w:tc>
          <w:tcPr>
            <w:tcW w:w="1125"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w:t>
            </w:r>
          </w:p>
        </w:tc>
        <w:tc>
          <w:tcPr>
            <w:tcW w:w="1070"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2</w:t>
            </w:r>
          </w:p>
        </w:tc>
        <w:tc>
          <w:tcPr>
            <w:tcW w:w="880" w:type="dxa"/>
            <w:vMerge w:val="continue"/>
            <w:shd w:val="clear" w:color="auto" w:fill="FFFFFF" w:themeFill="background1"/>
            <w:vAlign w:val="center"/>
          </w:tcPr>
          <w:p>
            <w:pPr>
              <w:jc w:val="center"/>
              <w:rPr>
                <w:rFonts w:ascii="Times New Roman" w:hAnsi="Times New Roman" w:eastAsia="宋体" w:cs="Times New Roman"/>
                <w:szCs w:val="21"/>
              </w:rPr>
            </w:pPr>
          </w:p>
        </w:tc>
        <w:tc>
          <w:tcPr>
            <w:tcW w:w="1263" w:type="dxa"/>
            <w:shd w:val="clear" w:color="auto" w:fill="auto"/>
            <w:noWrap/>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502</w:t>
            </w:r>
          </w:p>
        </w:tc>
        <w:tc>
          <w:tcPr>
            <w:tcW w:w="1186" w:type="dxa"/>
            <w:shd w:val="clear" w:color="auto" w:fill="auto"/>
            <w:noWrap/>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17</w:t>
            </w:r>
          </w:p>
        </w:tc>
        <w:tc>
          <w:tcPr>
            <w:tcW w:w="1066" w:type="dxa"/>
            <w:shd w:val="clear" w:color="auto" w:fill="auto"/>
            <w:noWrap/>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9</w:t>
            </w:r>
          </w:p>
        </w:tc>
        <w:tc>
          <w:tcPr>
            <w:tcW w:w="918" w:type="dxa"/>
            <w:vMerge w:val="continue"/>
            <w:shd w:val="clear" w:color="auto" w:fill="FFFFFF" w:themeFill="background1"/>
            <w:vAlign w:val="center"/>
          </w:tcPr>
          <w:p>
            <w:pPr>
              <w:jc w:val="center"/>
              <w:rPr>
                <w:rFonts w:ascii="Times New Roman" w:hAnsi="Times New Roman" w:eastAsia="宋体" w:cs="Times New Roman"/>
                <w:szCs w:val="21"/>
              </w:rPr>
            </w:pPr>
          </w:p>
        </w:tc>
        <w:tc>
          <w:tcPr>
            <w:tcW w:w="1269"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1680</w:t>
            </w:r>
          </w:p>
        </w:tc>
        <w:tc>
          <w:tcPr>
            <w:tcW w:w="1172"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18</w:t>
            </w:r>
          </w:p>
        </w:tc>
        <w:tc>
          <w:tcPr>
            <w:tcW w:w="1116"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2" w:type="dxa"/>
            <w:vMerge w:val="restart"/>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大肠埃希氏菌O157</w:t>
            </w:r>
          </w:p>
        </w:tc>
        <w:tc>
          <w:tcPr>
            <w:tcW w:w="849" w:type="dxa"/>
            <w:vMerge w:val="restart"/>
            <w:shd w:val="clear" w:color="auto" w:fill="FFFFFF" w:themeFill="background1"/>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713</w:t>
            </w:r>
          </w:p>
        </w:tc>
        <w:tc>
          <w:tcPr>
            <w:tcW w:w="1252"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未检出/25g</w:t>
            </w:r>
          </w:p>
        </w:tc>
        <w:tc>
          <w:tcPr>
            <w:tcW w:w="1125"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不适用</w:t>
            </w:r>
          </w:p>
        </w:tc>
        <w:tc>
          <w:tcPr>
            <w:tcW w:w="1070"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检出/25g</w:t>
            </w:r>
          </w:p>
        </w:tc>
        <w:tc>
          <w:tcPr>
            <w:tcW w:w="880" w:type="dxa"/>
            <w:vMerge w:val="restart"/>
            <w:shd w:val="clear" w:color="auto" w:fill="FFFFFF" w:themeFill="background1"/>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278</w:t>
            </w:r>
          </w:p>
        </w:tc>
        <w:tc>
          <w:tcPr>
            <w:tcW w:w="1263"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未检出/25g</w:t>
            </w:r>
          </w:p>
        </w:tc>
        <w:tc>
          <w:tcPr>
            <w:tcW w:w="1186"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不适用</w:t>
            </w:r>
          </w:p>
        </w:tc>
        <w:tc>
          <w:tcPr>
            <w:tcW w:w="1066"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检出/25g</w:t>
            </w:r>
          </w:p>
        </w:tc>
        <w:tc>
          <w:tcPr>
            <w:tcW w:w="918" w:type="dxa"/>
            <w:vMerge w:val="restart"/>
            <w:shd w:val="clear" w:color="auto" w:fill="FFFFFF" w:themeFill="background1"/>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991</w:t>
            </w:r>
          </w:p>
        </w:tc>
        <w:tc>
          <w:tcPr>
            <w:tcW w:w="1269"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未检出/25g</w:t>
            </w:r>
          </w:p>
        </w:tc>
        <w:tc>
          <w:tcPr>
            <w:tcW w:w="1172"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不适用</w:t>
            </w:r>
          </w:p>
        </w:tc>
        <w:tc>
          <w:tcPr>
            <w:tcW w:w="1116"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检出/25g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552" w:type="dxa"/>
            <w:vMerge w:val="continue"/>
            <w:shd w:val="clear" w:color="auto" w:fill="auto"/>
            <w:vAlign w:val="center"/>
          </w:tcPr>
          <w:p>
            <w:pPr>
              <w:jc w:val="center"/>
              <w:rPr>
                <w:rFonts w:ascii="Times New Roman" w:hAnsi="Times New Roman" w:eastAsia="宋体" w:cs="Times New Roman"/>
                <w:szCs w:val="21"/>
              </w:rPr>
            </w:pPr>
          </w:p>
        </w:tc>
        <w:tc>
          <w:tcPr>
            <w:tcW w:w="849" w:type="dxa"/>
            <w:vMerge w:val="continue"/>
            <w:shd w:val="clear" w:color="auto" w:fill="FFFFFF" w:themeFill="background1"/>
            <w:vAlign w:val="center"/>
          </w:tcPr>
          <w:p>
            <w:pPr>
              <w:jc w:val="center"/>
              <w:rPr>
                <w:rFonts w:ascii="Times New Roman" w:hAnsi="Times New Roman" w:eastAsia="宋体" w:cs="Times New Roman"/>
                <w:szCs w:val="21"/>
              </w:rPr>
            </w:pPr>
          </w:p>
        </w:tc>
        <w:tc>
          <w:tcPr>
            <w:tcW w:w="1252"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713</w:t>
            </w:r>
          </w:p>
        </w:tc>
        <w:tc>
          <w:tcPr>
            <w:tcW w:w="1125"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w:t>
            </w:r>
          </w:p>
        </w:tc>
        <w:tc>
          <w:tcPr>
            <w:tcW w:w="1070"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0</w:t>
            </w:r>
          </w:p>
        </w:tc>
        <w:tc>
          <w:tcPr>
            <w:tcW w:w="880" w:type="dxa"/>
            <w:vMerge w:val="continue"/>
            <w:shd w:val="clear" w:color="auto" w:fill="FFFFFF" w:themeFill="background1"/>
            <w:vAlign w:val="center"/>
          </w:tcPr>
          <w:p>
            <w:pPr>
              <w:jc w:val="center"/>
              <w:rPr>
                <w:rFonts w:ascii="Times New Roman" w:hAnsi="Times New Roman" w:eastAsia="宋体" w:cs="Times New Roman"/>
                <w:szCs w:val="21"/>
              </w:rPr>
            </w:pPr>
          </w:p>
        </w:tc>
        <w:tc>
          <w:tcPr>
            <w:tcW w:w="1263" w:type="dxa"/>
            <w:shd w:val="clear" w:color="auto" w:fill="auto"/>
            <w:noWrap/>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278</w:t>
            </w:r>
          </w:p>
        </w:tc>
        <w:tc>
          <w:tcPr>
            <w:tcW w:w="1186" w:type="dxa"/>
            <w:shd w:val="clear" w:color="auto" w:fill="auto"/>
            <w:noWrap/>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w:t>
            </w:r>
          </w:p>
        </w:tc>
        <w:tc>
          <w:tcPr>
            <w:tcW w:w="1066" w:type="dxa"/>
            <w:shd w:val="clear" w:color="auto" w:fill="auto"/>
            <w:noWrap/>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0</w:t>
            </w:r>
          </w:p>
        </w:tc>
        <w:tc>
          <w:tcPr>
            <w:tcW w:w="918" w:type="dxa"/>
            <w:vMerge w:val="continue"/>
            <w:shd w:val="clear" w:color="auto" w:fill="FFFFFF" w:themeFill="background1"/>
            <w:vAlign w:val="center"/>
          </w:tcPr>
          <w:p>
            <w:pPr>
              <w:jc w:val="center"/>
              <w:rPr>
                <w:rFonts w:ascii="Times New Roman" w:hAnsi="Times New Roman" w:eastAsia="宋体" w:cs="Times New Roman"/>
                <w:szCs w:val="21"/>
              </w:rPr>
            </w:pPr>
          </w:p>
        </w:tc>
        <w:tc>
          <w:tcPr>
            <w:tcW w:w="1269"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991</w:t>
            </w:r>
          </w:p>
        </w:tc>
        <w:tc>
          <w:tcPr>
            <w:tcW w:w="1172" w:type="dxa"/>
            <w:shd w:val="clear" w:color="auto" w:fill="auto"/>
            <w:noWrap/>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w:t>
            </w:r>
          </w:p>
        </w:tc>
        <w:tc>
          <w:tcPr>
            <w:tcW w:w="1116"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2" w:type="dxa"/>
            <w:vMerge w:val="restart"/>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沙门氏菌</w:t>
            </w:r>
          </w:p>
        </w:tc>
        <w:tc>
          <w:tcPr>
            <w:tcW w:w="849" w:type="dxa"/>
            <w:vMerge w:val="restart"/>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2772</w:t>
            </w:r>
          </w:p>
        </w:tc>
        <w:tc>
          <w:tcPr>
            <w:tcW w:w="1252"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未检出/25g</w:t>
            </w:r>
          </w:p>
        </w:tc>
        <w:tc>
          <w:tcPr>
            <w:tcW w:w="1125"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不适用</w:t>
            </w:r>
          </w:p>
        </w:tc>
        <w:tc>
          <w:tcPr>
            <w:tcW w:w="1070"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检出/25g</w:t>
            </w:r>
          </w:p>
        </w:tc>
        <w:tc>
          <w:tcPr>
            <w:tcW w:w="880" w:type="dxa"/>
            <w:vMerge w:val="restart"/>
            <w:shd w:val="clear" w:color="auto" w:fill="FFFFFF" w:themeFill="background1"/>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1545</w:t>
            </w:r>
          </w:p>
        </w:tc>
        <w:tc>
          <w:tcPr>
            <w:tcW w:w="1263"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未检出/25g</w:t>
            </w:r>
          </w:p>
        </w:tc>
        <w:tc>
          <w:tcPr>
            <w:tcW w:w="1186"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不适用</w:t>
            </w:r>
          </w:p>
        </w:tc>
        <w:tc>
          <w:tcPr>
            <w:tcW w:w="1066"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检出/25g</w:t>
            </w:r>
          </w:p>
        </w:tc>
        <w:tc>
          <w:tcPr>
            <w:tcW w:w="918" w:type="dxa"/>
            <w:vMerge w:val="restart"/>
            <w:shd w:val="clear" w:color="auto" w:fill="FFFFFF" w:themeFill="background1"/>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4317</w:t>
            </w:r>
          </w:p>
        </w:tc>
        <w:tc>
          <w:tcPr>
            <w:tcW w:w="1269"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未检出/25g</w:t>
            </w:r>
          </w:p>
        </w:tc>
        <w:tc>
          <w:tcPr>
            <w:tcW w:w="1172"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不适用</w:t>
            </w:r>
          </w:p>
        </w:tc>
        <w:tc>
          <w:tcPr>
            <w:tcW w:w="1116"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检出/25g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2" w:type="dxa"/>
            <w:vMerge w:val="continue"/>
            <w:shd w:val="clear" w:color="auto" w:fill="auto"/>
            <w:vAlign w:val="center"/>
          </w:tcPr>
          <w:p>
            <w:pPr>
              <w:jc w:val="center"/>
              <w:rPr>
                <w:rFonts w:ascii="Times New Roman" w:hAnsi="Times New Roman" w:eastAsia="宋体" w:cs="Times New Roman"/>
                <w:szCs w:val="21"/>
              </w:rPr>
            </w:pPr>
          </w:p>
        </w:tc>
        <w:tc>
          <w:tcPr>
            <w:tcW w:w="849" w:type="dxa"/>
            <w:vMerge w:val="continue"/>
            <w:shd w:val="clear" w:color="auto" w:fill="auto"/>
            <w:vAlign w:val="center"/>
          </w:tcPr>
          <w:p>
            <w:pPr>
              <w:jc w:val="center"/>
              <w:rPr>
                <w:rFonts w:ascii="Times New Roman" w:hAnsi="Times New Roman" w:eastAsia="宋体" w:cs="Times New Roman"/>
                <w:szCs w:val="21"/>
              </w:rPr>
            </w:pPr>
          </w:p>
        </w:tc>
        <w:tc>
          <w:tcPr>
            <w:tcW w:w="1252"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2770</w:t>
            </w:r>
          </w:p>
        </w:tc>
        <w:tc>
          <w:tcPr>
            <w:tcW w:w="1125"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w:t>
            </w:r>
          </w:p>
        </w:tc>
        <w:tc>
          <w:tcPr>
            <w:tcW w:w="1070"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2</w:t>
            </w:r>
          </w:p>
        </w:tc>
        <w:tc>
          <w:tcPr>
            <w:tcW w:w="880" w:type="dxa"/>
            <w:vMerge w:val="continue"/>
            <w:shd w:val="clear" w:color="auto" w:fill="FFFFFF" w:themeFill="background1"/>
            <w:vAlign w:val="center"/>
          </w:tcPr>
          <w:p>
            <w:pPr>
              <w:jc w:val="center"/>
              <w:rPr>
                <w:rFonts w:ascii="Times New Roman" w:hAnsi="Times New Roman" w:eastAsia="宋体" w:cs="Times New Roman"/>
                <w:szCs w:val="21"/>
              </w:rPr>
            </w:pPr>
          </w:p>
        </w:tc>
        <w:tc>
          <w:tcPr>
            <w:tcW w:w="1263" w:type="dxa"/>
            <w:shd w:val="clear" w:color="auto" w:fill="auto"/>
            <w:noWrap/>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1545</w:t>
            </w:r>
          </w:p>
        </w:tc>
        <w:tc>
          <w:tcPr>
            <w:tcW w:w="1186" w:type="dxa"/>
            <w:shd w:val="clear" w:color="auto" w:fill="auto"/>
            <w:noWrap/>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w:t>
            </w:r>
          </w:p>
        </w:tc>
        <w:tc>
          <w:tcPr>
            <w:tcW w:w="1066" w:type="dxa"/>
            <w:shd w:val="clear" w:color="auto" w:fill="auto"/>
            <w:noWrap/>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0</w:t>
            </w:r>
          </w:p>
        </w:tc>
        <w:tc>
          <w:tcPr>
            <w:tcW w:w="918" w:type="dxa"/>
            <w:vMerge w:val="continue"/>
            <w:shd w:val="clear" w:color="auto" w:fill="FFFFFF" w:themeFill="background1"/>
            <w:vAlign w:val="center"/>
          </w:tcPr>
          <w:p>
            <w:pPr>
              <w:jc w:val="center"/>
              <w:rPr>
                <w:rFonts w:ascii="Times New Roman" w:hAnsi="Times New Roman" w:eastAsia="宋体" w:cs="Times New Roman"/>
                <w:szCs w:val="21"/>
              </w:rPr>
            </w:pPr>
          </w:p>
        </w:tc>
        <w:tc>
          <w:tcPr>
            <w:tcW w:w="1269"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4315</w:t>
            </w:r>
          </w:p>
        </w:tc>
        <w:tc>
          <w:tcPr>
            <w:tcW w:w="1172" w:type="dxa"/>
            <w:shd w:val="clear" w:color="auto" w:fill="auto"/>
            <w:noWrap/>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w:t>
            </w:r>
          </w:p>
        </w:tc>
        <w:tc>
          <w:tcPr>
            <w:tcW w:w="1116"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2" w:type="dxa"/>
            <w:vMerge w:val="restart"/>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金黄色葡萄球菌（CFU/g）</w:t>
            </w:r>
          </w:p>
        </w:tc>
        <w:tc>
          <w:tcPr>
            <w:tcW w:w="849" w:type="dxa"/>
            <w:vMerge w:val="restart"/>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2325</w:t>
            </w:r>
          </w:p>
        </w:tc>
        <w:tc>
          <w:tcPr>
            <w:tcW w:w="1252"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＜20</w:t>
            </w:r>
          </w:p>
        </w:tc>
        <w:tc>
          <w:tcPr>
            <w:tcW w:w="1125"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20 -＜10</w:t>
            </w:r>
            <w:r>
              <w:rPr>
                <w:rStyle w:val="19"/>
                <w:rFonts w:hint="default" w:ascii="Times New Roman" w:hAnsi="Times New Roman" w:cs="Times New Roman"/>
                <w:color w:val="auto"/>
                <w:lang w:bidi="ar"/>
              </w:rPr>
              <w:t>4</w:t>
            </w:r>
          </w:p>
        </w:tc>
        <w:tc>
          <w:tcPr>
            <w:tcW w:w="1070"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≥10</w:t>
            </w:r>
            <w:r>
              <w:rPr>
                <w:rStyle w:val="19"/>
                <w:rFonts w:hint="default" w:ascii="Times New Roman" w:hAnsi="Times New Roman" w:cs="Times New Roman"/>
                <w:color w:val="auto"/>
                <w:lang w:bidi="ar"/>
              </w:rPr>
              <w:t>4</w:t>
            </w:r>
          </w:p>
        </w:tc>
        <w:tc>
          <w:tcPr>
            <w:tcW w:w="880" w:type="dxa"/>
            <w:vMerge w:val="restart"/>
            <w:shd w:val="clear" w:color="auto" w:fill="FFFFFF" w:themeFill="background1"/>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1478</w:t>
            </w:r>
          </w:p>
        </w:tc>
        <w:tc>
          <w:tcPr>
            <w:tcW w:w="1263"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＜20</w:t>
            </w:r>
          </w:p>
        </w:tc>
        <w:tc>
          <w:tcPr>
            <w:tcW w:w="1186"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20 -＜10</w:t>
            </w:r>
            <w:r>
              <w:rPr>
                <w:rStyle w:val="20"/>
                <w:rFonts w:eastAsia="宋体"/>
                <w:color w:val="auto"/>
                <w:lang w:bidi="ar"/>
              </w:rPr>
              <w:t>4</w:t>
            </w:r>
          </w:p>
        </w:tc>
        <w:tc>
          <w:tcPr>
            <w:tcW w:w="1066"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≥10</w:t>
            </w:r>
            <w:r>
              <w:rPr>
                <w:rStyle w:val="20"/>
                <w:rFonts w:eastAsia="宋体"/>
                <w:color w:val="auto"/>
                <w:lang w:bidi="ar"/>
              </w:rPr>
              <w:t>4</w:t>
            </w:r>
          </w:p>
        </w:tc>
        <w:tc>
          <w:tcPr>
            <w:tcW w:w="918" w:type="dxa"/>
            <w:vMerge w:val="restart"/>
            <w:shd w:val="clear" w:color="auto" w:fill="FFFFFF" w:themeFill="background1"/>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3803</w:t>
            </w:r>
          </w:p>
        </w:tc>
        <w:tc>
          <w:tcPr>
            <w:tcW w:w="1269"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＜20</w:t>
            </w:r>
          </w:p>
        </w:tc>
        <w:tc>
          <w:tcPr>
            <w:tcW w:w="1172"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20 -＜10</w:t>
            </w:r>
            <w:r>
              <w:rPr>
                <w:rStyle w:val="22"/>
                <w:rFonts w:eastAsia="宋体"/>
                <w:color w:val="auto"/>
                <w:lang w:bidi="ar"/>
              </w:rPr>
              <w:t>4</w:t>
            </w:r>
          </w:p>
        </w:tc>
        <w:tc>
          <w:tcPr>
            <w:tcW w:w="1116"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≥10</w:t>
            </w:r>
            <w:r>
              <w:rPr>
                <w:rStyle w:val="22"/>
                <w:rFonts w:eastAsia="宋体"/>
                <w:color w:val="auto"/>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552" w:type="dxa"/>
            <w:vMerge w:val="continue"/>
            <w:shd w:val="clear" w:color="auto" w:fill="auto"/>
            <w:vAlign w:val="center"/>
          </w:tcPr>
          <w:p>
            <w:pPr>
              <w:jc w:val="center"/>
              <w:rPr>
                <w:rFonts w:ascii="Times New Roman" w:hAnsi="Times New Roman" w:eastAsia="宋体" w:cs="Times New Roman"/>
                <w:szCs w:val="21"/>
              </w:rPr>
            </w:pPr>
          </w:p>
        </w:tc>
        <w:tc>
          <w:tcPr>
            <w:tcW w:w="849" w:type="dxa"/>
            <w:vMerge w:val="continue"/>
            <w:shd w:val="clear" w:color="auto" w:fill="auto"/>
            <w:vAlign w:val="center"/>
          </w:tcPr>
          <w:p>
            <w:pPr>
              <w:jc w:val="center"/>
              <w:rPr>
                <w:rFonts w:ascii="Times New Roman" w:hAnsi="Times New Roman" w:eastAsia="宋体" w:cs="Times New Roman"/>
                <w:szCs w:val="21"/>
              </w:rPr>
            </w:pPr>
          </w:p>
        </w:tc>
        <w:tc>
          <w:tcPr>
            <w:tcW w:w="1252"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2322</w:t>
            </w:r>
          </w:p>
        </w:tc>
        <w:tc>
          <w:tcPr>
            <w:tcW w:w="1125"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3</w:t>
            </w:r>
          </w:p>
        </w:tc>
        <w:tc>
          <w:tcPr>
            <w:tcW w:w="1070"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0</w:t>
            </w:r>
          </w:p>
        </w:tc>
        <w:tc>
          <w:tcPr>
            <w:tcW w:w="880" w:type="dxa"/>
            <w:vMerge w:val="continue"/>
            <w:shd w:val="clear" w:color="auto" w:fill="FFFFFF" w:themeFill="background1"/>
            <w:vAlign w:val="center"/>
          </w:tcPr>
          <w:p>
            <w:pPr>
              <w:jc w:val="center"/>
              <w:rPr>
                <w:rFonts w:ascii="Times New Roman" w:hAnsi="Times New Roman" w:eastAsia="宋体" w:cs="Times New Roman"/>
                <w:szCs w:val="21"/>
              </w:rPr>
            </w:pPr>
          </w:p>
        </w:tc>
        <w:tc>
          <w:tcPr>
            <w:tcW w:w="1263" w:type="dxa"/>
            <w:shd w:val="clear" w:color="auto" w:fill="auto"/>
            <w:noWrap/>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1467</w:t>
            </w:r>
          </w:p>
        </w:tc>
        <w:tc>
          <w:tcPr>
            <w:tcW w:w="1186" w:type="dxa"/>
            <w:shd w:val="clear" w:color="auto" w:fill="auto"/>
            <w:noWrap/>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10</w:t>
            </w:r>
          </w:p>
        </w:tc>
        <w:tc>
          <w:tcPr>
            <w:tcW w:w="1066" w:type="dxa"/>
            <w:shd w:val="clear" w:color="auto" w:fill="auto"/>
            <w:noWrap/>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w:t>
            </w:r>
          </w:p>
        </w:tc>
        <w:tc>
          <w:tcPr>
            <w:tcW w:w="918" w:type="dxa"/>
            <w:vMerge w:val="continue"/>
            <w:shd w:val="clear" w:color="auto" w:fill="FFFFFF" w:themeFill="background1"/>
            <w:vAlign w:val="center"/>
          </w:tcPr>
          <w:p>
            <w:pPr>
              <w:jc w:val="center"/>
              <w:rPr>
                <w:rFonts w:ascii="Times New Roman" w:hAnsi="Times New Roman" w:eastAsia="宋体" w:cs="Times New Roman"/>
                <w:szCs w:val="21"/>
              </w:rPr>
            </w:pPr>
          </w:p>
        </w:tc>
        <w:tc>
          <w:tcPr>
            <w:tcW w:w="1269"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3789</w:t>
            </w:r>
          </w:p>
        </w:tc>
        <w:tc>
          <w:tcPr>
            <w:tcW w:w="1172"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13</w:t>
            </w:r>
          </w:p>
        </w:tc>
        <w:tc>
          <w:tcPr>
            <w:tcW w:w="1116"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2" w:type="dxa"/>
            <w:vMerge w:val="restart"/>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蜡样芽孢杆菌（CFU/g）</w:t>
            </w:r>
          </w:p>
        </w:tc>
        <w:tc>
          <w:tcPr>
            <w:tcW w:w="849" w:type="dxa"/>
            <w:vMerge w:val="restart"/>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1549</w:t>
            </w:r>
          </w:p>
        </w:tc>
        <w:tc>
          <w:tcPr>
            <w:tcW w:w="1252"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＜10</w:t>
            </w:r>
            <w:r>
              <w:rPr>
                <w:rStyle w:val="19"/>
                <w:rFonts w:hint="default" w:ascii="Times New Roman" w:hAnsi="Times New Roman" w:cs="Times New Roman"/>
                <w:color w:val="auto"/>
                <w:lang w:bidi="ar"/>
              </w:rPr>
              <w:t>3</w:t>
            </w:r>
          </w:p>
        </w:tc>
        <w:tc>
          <w:tcPr>
            <w:tcW w:w="1125"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10</w:t>
            </w:r>
            <w:r>
              <w:rPr>
                <w:rStyle w:val="19"/>
                <w:rFonts w:hint="default" w:ascii="Times New Roman" w:hAnsi="Times New Roman" w:cs="Times New Roman"/>
                <w:color w:val="auto"/>
                <w:lang w:bidi="ar"/>
              </w:rPr>
              <w:t xml:space="preserve">3 </w:t>
            </w:r>
            <w:r>
              <w:rPr>
                <w:rFonts w:ascii="Times New Roman" w:hAnsi="Times New Roman" w:eastAsia="宋体" w:cs="Times New Roman"/>
                <w:b/>
                <w:bCs/>
                <w:kern w:val="0"/>
                <w:szCs w:val="21"/>
                <w:lang w:bidi="ar"/>
              </w:rPr>
              <w:t>-＜10</w:t>
            </w:r>
            <w:r>
              <w:rPr>
                <w:rStyle w:val="19"/>
                <w:rFonts w:hint="default" w:ascii="Times New Roman" w:hAnsi="Times New Roman" w:cs="Times New Roman"/>
                <w:color w:val="auto"/>
                <w:lang w:bidi="ar"/>
              </w:rPr>
              <w:t>5</w:t>
            </w:r>
          </w:p>
        </w:tc>
        <w:tc>
          <w:tcPr>
            <w:tcW w:w="1070"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≥10</w:t>
            </w:r>
            <w:r>
              <w:rPr>
                <w:rStyle w:val="19"/>
                <w:rFonts w:hint="default" w:ascii="Times New Roman" w:hAnsi="Times New Roman" w:cs="Times New Roman"/>
                <w:color w:val="auto"/>
                <w:lang w:bidi="ar"/>
              </w:rPr>
              <w:t>5</w:t>
            </w:r>
          </w:p>
        </w:tc>
        <w:tc>
          <w:tcPr>
            <w:tcW w:w="880" w:type="dxa"/>
            <w:vMerge w:val="restart"/>
            <w:shd w:val="clear" w:color="auto" w:fill="FFFFFF" w:themeFill="background1"/>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256</w:t>
            </w:r>
          </w:p>
        </w:tc>
        <w:tc>
          <w:tcPr>
            <w:tcW w:w="1263"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＜10</w:t>
            </w:r>
            <w:r>
              <w:rPr>
                <w:rStyle w:val="20"/>
                <w:rFonts w:eastAsia="宋体"/>
                <w:color w:val="auto"/>
                <w:lang w:bidi="ar"/>
              </w:rPr>
              <w:t>3</w:t>
            </w:r>
          </w:p>
        </w:tc>
        <w:tc>
          <w:tcPr>
            <w:tcW w:w="1186"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10</w:t>
            </w:r>
            <w:r>
              <w:rPr>
                <w:rStyle w:val="20"/>
                <w:rFonts w:eastAsia="宋体"/>
                <w:color w:val="auto"/>
                <w:lang w:bidi="ar"/>
              </w:rPr>
              <w:t>3</w:t>
            </w:r>
            <w:r>
              <w:rPr>
                <w:rStyle w:val="19"/>
                <w:rFonts w:hint="default" w:ascii="Times New Roman" w:hAnsi="Times New Roman" w:cs="Times New Roman"/>
                <w:color w:val="auto"/>
                <w:lang w:bidi="ar"/>
              </w:rPr>
              <w:t xml:space="preserve"> </w:t>
            </w:r>
            <w:r>
              <w:rPr>
                <w:rFonts w:ascii="Times New Roman" w:hAnsi="Times New Roman" w:eastAsia="宋体" w:cs="Times New Roman"/>
                <w:b/>
                <w:bCs/>
                <w:kern w:val="0"/>
                <w:szCs w:val="21"/>
                <w:lang w:bidi="ar"/>
              </w:rPr>
              <w:t>-＜10</w:t>
            </w:r>
            <w:r>
              <w:rPr>
                <w:rStyle w:val="20"/>
                <w:rFonts w:eastAsia="宋体"/>
                <w:color w:val="auto"/>
                <w:lang w:bidi="ar"/>
              </w:rPr>
              <w:t>5</w:t>
            </w:r>
          </w:p>
        </w:tc>
        <w:tc>
          <w:tcPr>
            <w:tcW w:w="1066"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≥10</w:t>
            </w:r>
            <w:r>
              <w:rPr>
                <w:rStyle w:val="20"/>
                <w:rFonts w:eastAsia="宋体"/>
                <w:color w:val="auto"/>
                <w:lang w:bidi="ar"/>
              </w:rPr>
              <w:t>5</w:t>
            </w:r>
          </w:p>
        </w:tc>
        <w:tc>
          <w:tcPr>
            <w:tcW w:w="918" w:type="dxa"/>
            <w:vMerge w:val="restart"/>
            <w:shd w:val="clear" w:color="auto" w:fill="FFFFFF" w:themeFill="background1"/>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1805</w:t>
            </w:r>
          </w:p>
        </w:tc>
        <w:tc>
          <w:tcPr>
            <w:tcW w:w="1269"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＜10</w:t>
            </w:r>
            <w:r>
              <w:rPr>
                <w:rStyle w:val="22"/>
                <w:rFonts w:eastAsia="宋体"/>
                <w:color w:val="auto"/>
                <w:lang w:bidi="ar"/>
              </w:rPr>
              <w:t>3</w:t>
            </w:r>
          </w:p>
        </w:tc>
        <w:tc>
          <w:tcPr>
            <w:tcW w:w="1172"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10</w:t>
            </w:r>
            <w:r>
              <w:rPr>
                <w:rStyle w:val="22"/>
                <w:rFonts w:eastAsia="宋体"/>
                <w:color w:val="auto"/>
                <w:lang w:bidi="ar"/>
              </w:rPr>
              <w:t>3</w:t>
            </w:r>
            <w:r>
              <w:rPr>
                <w:rStyle w:val="24"/>
                <w:rFonts w:hint="default" w:ascii="Times New Roman" w:hAnsi="Times New Roman" w:cs="Times New Roman"/>
                <w:color w:val="auto"/>
                <w:lang w:bidi="ar"/>
              </w:rPr>
              <w:t xml:space="preserve"> </w:t>
            </w:r>
            <w:r>
              <w:rPr>
                <w:rFonts w:ascii="Times New Roman" w:hAnsi="Times New Roman" w:eastAsia="宋体" w:cs="Times New Roman"/>
                <w:b/>
                <w:bCs/>
                <w:kern w:val="0"/>
                <w:szCs w:val="21"/>
                <w:lang w:bidi="ar"/>
              </w:rPr>
              <w:t>-＜10</w:t>
            </w:r>
            <w:r>
              <w:rPr>
                <w:rStyle w:val="22"/>
                <w:rFonts w:eastAsia="宋体"/>
                <w:color w:val="auto"/>
                <w:lang w:bidi="ar"/>
              </w:rPr>
              <w:t>5</w:t>
            </w:r>
          </w:p>
        </w:tc>
        <w:tc>
          <w:tcPr>
            <w:tcW w:w="1116"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≥10</w:t>
            </w:r>
            <w:r>
              <w:rPr>
                <w:rStyle w:val="22"/>
                <w:rFonts w:eastAsia="宋体"/>
                <w:color w:val="auto"/>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2" w:type="dxa"/>
            <w:vMerge w:val="continue"/>
            <w:shd w:val="clear" w:color="auto" w:fill="auto"/>
            <w:vAlign w:val="center"/>
          </w:tcPr>
          <w:p>
            <w:pPr>
              <w:jc w:val="center"/>
              <w:rPr>
                <w:rFonts w:ascii="Times New Roman" w:hAnsi="Times New Roman" w:eastAsia="宋体" w:cs="Times New Roman"/>
                <w:szCs w:val="21"/>
              </w:rPr>
            </w:pPr>
          </w:p>
        </w:tc>
        <w:tc>
          <w:tcPr>
            <w:tcW w:w="849" w:type="dxa"/>
            <w:vMerge w:val="continue"/>
            <w:shd w:val="clear" w:color="auto" w:fill="auto"/>
            <w:vAlign w:val="center"/>
          </w:tcPr>
          <w:p>
            <w:pPr>
              <w:jc w:val="center"/>
              <w:rPr>
                <w:rFonts w:ascii="Times New Roman" w:hAnsi="Times New Roman" w:eastAsia="宋体" w:cs="Times New Roman"/>
                <w:szCs w:val="21"/>
              </w:rPr>
            </w:pPr>
          </w:p>
        </w:tc>
        <w:tc>
          <w:tcPr>
            <w:tcW w:w="1252"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1509</w:t>
            </w:r>
          </w:p>
        </w:tc>
        <w:tc>
          <w:tcPr>
            <w:tcW w:w="1125"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40</w:t>
            </w:r>
          </w:p>
        </w:tc>
        <w:tc>
          <w:tcPr>
            <w:tcW w:w="1070"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0</w:t>
            </w:r>
          </w:p>
        </w:tc>
        <w:tc>
          <w:tcPr>
            <w:tcW w:w="880" w:type="dxa"/>
            <w:vMerge w:val="continue"/>
            <w:shd w:val="clear" w:color="auto" w:fill="FFFFFF" w:themeFill="background1"/>
            <w:vAlign w:val="center"/>
          </w:tcPr>
          <w:p>
            <w:pPr>
              <w:jc w:val="center"/>
              <w:rPr>
                <w:rFonts w:ascii="Times New Roman" w:hAnsi="Times New Roman" w:eastAsia="宋体" w:cs="Times New Roman"/>
                <w:szCs w:val="21"/>
              </w:rPr>
            </w:pPr>
          </w:p>
        </w:tc>
        <w:tc>
          <w:tcPr>
            <w:tcW w:w="1263" w:type="dxa"/>
            <w:shd w:val="clear" w:color="auto" w:fill="auto"/>
            <w:noWrap/>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254</w:t>
            </w:r>
          </w:p>
        </w:tc>
        <w:tc>
          <w:tcPr>
            <w:tcW w:w="1186" w:type="dxa"/>
            <w:shd w:val="clear" w:color="auto" w:fill="auto"/>
            <w:noWrap/>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2</w:t>
            </w:r>
          </w:p>
        </w:tc>
        <w:tc>
          <w:tcPr>
            <w:tcW w:w="1066" w:type="dxa"/>
            <w:shd w:val="clear" w:color="auto" w:fill="auto"/>
            <w:noWrap/>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0</w:t>
            </w:r>
          </w:p>
        </w:tc>
        <w:tc>
          <w:tcPr>
            <w:tcW w:w="918" w:type="dxa"/>
            <w:vMerge w:val="continue"/>
            <w:shd w:val="clear" w:color="auto" w:fill="FFFFFF" w:themeFill="background1"/>
            <w:vAlign w:val="center"/>
          </w:tcPr>
          <w:p>
            <w:pPr>
              <w:jc w:val="center"/>
              <w:rPr>
                <w:rFonts w:ascii="Times New Roman" w:hAnsi="Times New Roman" w:eastAsia="宋体" w:cs="Times New Roman"/>
                <w:szCs w:val="21"/>
              </w:rPr>
            </w:pPr>
          </w:p>
        </w:tc>
        <w:tc>
          <w:tcPr>
            <w:tcW w:w="1269"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1763</w:t>
            </w:r>
          </w:p>
        </w:tc>
        <w:tc>
          <w:tcPr>
            <w:tcW w:w="1172"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42</w:t>
            </w:r>
          </w:p>
        </w:tc>
        <w:tc>
          <w:tcPr>
            <w:tcW w:w="1116"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2" w:type="dxa"/>
            <w:vMerge w:val="restart"/>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副溶血性弧菌(MPN/g)</w:t>
            </w:r>
          </w:p>
        </w:tc>
        <w:tc>
          <w:tcPr>
            <w:tcW w:w="849" w:type="dxa"/>
            <w:vMerge w:val="restart"/>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284</w:t>
            </w:r>
          </w:p>
        </w:tc>
        <w:tc>
          <w:tcPr>
            <w:tcW w:w="1252"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＜100</w:t>
            </w:r>
          </w:p>
        </w:tc>
        <w:tc>
          <w:tcPr>
            <w:tcW w:w="1125"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100-＜10</w:t>
            </w:r>
            <w:r>
              <w:rPr>
                <w:rStyle w:val="19"/>
                <w:rFonts w:hint="default" w:ascii="Times New Roman" w:hAnsi="Times New Roman" w:cs="Times New Roman"/>
                <w:color w:val="auto"/>
                <w:lang w:bidi="ar"/>
              </w:rPr>
              <w:t>3</w:t>
            </w:r>
          </w:p>
        </w:tc>
        <w:tc>
          <w:tcPr>
            <w:tcW w:w="1070"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≥10</w:t>
            </w:r>
            <w:r>
              <w:rPr>
                <w:rStyle w:val="19"/>
                <w:rFonts w:hint="default" w:ascii="Times New Roman" w:hAnsi="Times New Roman" w:cs="Times New Roman"/>
                <w:color w:val="auto"/>
                <w:lang w:bidi="ar"/>
              </w:rPr>
              <w:t>3</w:t>
            </w:r>
          </w:p>
        </w:tc>
        <w:tc>
          <w:tcPr>
            <w:tcW w:w="880" w:type="dxa"/>
            <w:vMerge w:val="restart"/>
            <w:shd w:val="clear" w:color="auto" w:fill="FFFFFF" w:themeFill="background1"/>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93</w:t>
            </w:r>
          </w:p>
        </w:tc>
        <w:tc>
          <w:tcPr>
            <w:tcW w:w="1263"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＜100</w:t>
            </w:r>
          </w:p>
        </w:tc>
        <w:tc>
          <w:tcPr>
            <w:tcW w:w="1186"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100 -＜10</w:t>
            </w:r>
            <w:r>
              <w:rPr>
                <w:rStyle w:val="20"/>
                <w:rFonts w:eastAsia="宋体"/>
                <w:color w:val="auto"/>
                <w:lang w:bidi="ar"/>
              </w:rPr>
              <w:t>3</w:t>
            </w:r>
          </w:p>
        </w:tc>
        <w:tc>
          <w:tcPr>
            <w:tcW w:w="1066"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≥10</w:t>
            </w:r>
            <w:r>
              <w:rPr>
                <w:rStyle w:val="20"/>
                <w:rFonts w:eastAsia="宋体"/>
                <w:color w:val="auto"/>
                <w:lang w:bidi="ar"/>
              </w:rPr>
              <w:t>3</w:t>
            </w:r>
          </w:p>
        </w:tc>
        <w:tc>
          <w:tcPr>
            <w:tcW w:w="918" w:type="dxa"/>
            <w:vMerge w:val="restart"/>
            <w:shd w:val="clear" w:color="auto" w:fill="FFFFFF" w:themeFill="background1"/>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377</w:t>
            </w:r>
          </w:p>
        </w:tc>
        <w:tc>
          <w:tcPr>
            <w:tcW w:w="1269"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＜100</w:t>
            </w:r>
          </w:p>
        </w:tc>
        <w:tc>
          <w:tcPr>
            <w:tcW w:w="1172"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100 -＜10</w:t>
            </w:r>
            <w:r>
              <w:rPr>
                <w:rStyle w:val="22"/>
                <w:rFonts w:eastAsia="宋体"/>
                <w:color w:val="auto"/>
                <w:lang w:bidi="ar"/>
              </w:rPr>
              <w:t>3</w:t>
            </w:r>
          </w:p>
        </w:tc>
        <w:tc>
          <w:tcPr>
            <w:tcW w:w="1116"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≥10</w:t>
            </w:r>
            <w:r>
              <w:rPr>
                <w:rStyle w:val="22"/>
                <w:rFonts w:eastAsia="宋体"/>
                <w:color w:val="auto"/>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552" w:type="dxa"/>
            <w:vMerge w:val="continue"/>
            <w:shd w:val="clear" w:color="auto" w:fill="auto"/>
            <w:vAlign w:val="center"/>
          </w:tcPr>
          <w:p>
            <w:pPr>
              <w:jc w:val="center"/>
              <w:rPr>
                <w:rFonts w:ascii="Times New Roman" w:hAnsi="Times New Roman" w:eastAsia="宋体" w:cs="Times New Roman"/>
                <w:szCs w:val="21"/>
              </w:rPr>
            </w:pPr>
          </w:p>
        </w:tc>
        <w:tc>
          <w:tcPr>
            <w:tcW w:w="849" w:type="dxa"/>
            <w:vMerge w:val="continue"/>
            <w:shd w:val="clear" w:color="auto" w:fill="auto"/>
            <w:vAlign w:val="center"/>
          </w:tcPr>
          <w:p>
            <w:pPr>
              <w:jc w:val="center"/>
              <w:rPr>
                <w:rFonts w:ascii="Times New Roman" w:hAnsi="Times New Roman" w:eastAsia="宋体" w:cs="Times New Roman"/>
                <w:szCs w:val="21"/>
              </w:rPr>
            </w:pPr>
          </w:p>
        </w:tc>
        <w:tc>
          <w:tcPr>
            <w:tcW w:w="1252"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284</w:t>
            </w:r>
          </w:p>
        </w:tc>
        <w:tc>
          <w:tcPr>
            <w:tcW w:w="1125"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0</w:t>
            </w:r>
          </w:p>
        </w:tc>
        <w:tc>
          <w:tcPr>
            <w:tcW w:w="1070"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0</w:t>
            </w:r>
          </w:p>
        </w:tc>
        <w:tc>
          <w:tcPr>
            <w:tcW w:w="880" w:type="dxa"/>
            <w:vMerge w:val="continue"/>
            <w:shd w:val="clear" w:color="auto" w:fill="FFFFFF" w:themeFill="background1"/>
            <w:vAlign w:val="center"/>
          </w:tcPr>
          <w:p>
            <w:pPr>
              <w:jc w:val="center"/>
              <w:rPr>
                <w:rFonts w:ascii="Times New Roman" w:hAnsi="Times New Roman" w:eastAsia="宋体" w:cs="Times New Roman"/>
                <w:szCs w:val="21"/>
              </w:rPr>
            </w:pPr>
          </w:p>
        </w:tc>
        <w:tc>
          <w:tcPr>
            <w:tcW w:w="1263" w:type="dxa"/>
            <w:shd w:val="clear" w:color="auto" w:fill="auto"/>
            <w:noWrap/>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93</w:t>
            </w:r>
          </w:p>
        </w:tc>
        <w:tc>
          <w:tcPr>
            <w:tcW w:w="1186" w:type="dxa"/>
            <w:shd w:val="clear" w:color="auto" w:fill="auto"/>
            <w:noWrap/>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0</w:t>
            </w:r>
          </w:p>
        </w:tc>
        <w:tc>
          <w:tcPr>
            <w:tcW w:w="1066" w:type="dxa"/>
            <w:shd w:val="clear" w:color="auto" w:fill="auto"/>
            <w:noWrap/>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0</w:t>
            </w:r>
          </w:p>
        </w:tc>
        <w:tc>
          <w:tcPr>
            <w:tcW w:w="918" w:type="dxa"/>
            <w:vMerge w:val="continue"/>
            <w:shd w:val="clear" w:color="auto" w:fill="FFFFFF" w:themeFill="background1"/>
            <w:vAlign w:val="center"/>
          </w:tcPr>
          <w:p>
            <w:pPr>
              <w:jc w:val="center"/>
              <w:rPr>
                <w:rFonts w:ascii="Times New Roman" w:hAnsi="Times New Roman" w:eastAsia="宋体" w:cs="Times New Roman"/>
                <w:szCs w:val="21"/>
              </w:rPr>
            </w:pPr>
          </w:p>
        </w:tc>
        <w:tc>
          <w:tcPr>
            <w:tcW w:w="1269"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377</w:t>
            </w:r>
          </w:p>
        </w:tc>
        <w:tc>
          <w:tcPr>
            <w:tcW w:w="1172"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0</w:t>
            </w:r>
          </w:p>
        </w:tc>
        <w:tc>
          <w:tcPr>
            <w:tcW w:w="1116"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2" w:type="dxa"/>
            <w:vMerge w:val="restart"/>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单核细胞增生李斯特氏菌</w:t>
            </w:r>
          </w:p>
        </w:tc>
        <w:tc>
          <w:tcPr>
            <w:tcW w:w="849" w:type="dxa"/>
            <w:vMerge w:val="restart"/>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1120</w:t>
            </w:r>
          </w:p>
        </w:tc>
        <w:tc>
          <w:tcPr>
            <w:tcW w:w="1252"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未检出/25g</w:t>
            </w:r>
          </w:p>
        </w:tc>
        <w:tc>
          <w:tcPr>
            <w:tcW w:w="1125"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不适用</w:t>
            </w:r>
          </w:p>
        </w:tc>
        <w:tc>
          <w:tcPr>
            <w:tcW w:w="1070"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检出/25g</w:t>
            </w:r>
          </w:p>
        </w:tc>
        <w:tc>
          <w:tcPr>
            <w:tcW w:w="880" w:type="dxa"/>
            <w:vMerge w:val="restart"/>
            <w:shd w:val="clear" w:color="auto" w:fill="FFFFFF" w:themeFill="background1"/>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562</w:t>
            </w:r>
          </w:p>
        </w:tc>
        <w:tc>
          <w:tcPr>
            <w:tcW w:w="1263"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未检出/25g</w:t>
            </w:r>
          </w:p>
        </w:tc>
        <w:tc>
          <w:tcPr>
            <w:tcW w:w="1186"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不适用</w:t>
            </w:r>
          </w:p>
        </w:tc>
        <w:tc>
          <w:tcPr>
            <w:tcW w:w="1066"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检出/25g</w:t>
            </w:r>
          </w:p>
        </w:tc>
        <w:tc>
          <w:tcPr>
            <w:tcW w:w="918" w:type="dxa"/>
            <w:vMerge w:val="restart"/>
            <w:shd w:val="clear" w:color="auto" w:fill="FFFFFF" w:themeFill="background1"/>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1682</w:t>
            </w:r>
          </w:p>
        </w:tc>
        <w:tc>
          <w:tcPr>
            <w:tcW w:w="1269"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未检出/25g</w:t>
            </w:r>
          </w:p>
        </w:tc>
        <w:tc>
          <w:tcPr>
            <w:tcW w:w="1172"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不适用</w:t>
            </w:r>
          </w:p>
        </w:tc>
        <w:tc>
          <w:tcPr>
            <w:tcW w:w="1116" w:type="dxa"/>
            <w:shd w:val="clear" w:color="auto" w:fill="D7D7D7" w:themeFill="background1" w:themeFillShade="D8"/>
            <w:vAlign w:val="center"/>
          </w:tcPr>
          <w:p>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检出/25g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2" w:type="dxa"/>
            <w:vMerge w:val="continue"/>
            <w:shd w:val="clear" w:color="auto" w:fill="auto"/>
            <w:vAlign w:val="center"/>
          </w:tcPr>
          <w:p>
            <w:pPr>
              <w:jc w:val="center"/>
              <w:rPr>
                <w:rFonts w:ascii="Times New Roman" w:hAnsi="Times New Roman" w:eastAsia="宋体" w:cs="Times New Roman"/>
                <w:szCs w:val="21"/>
              </w:rPr>
            </w:pPr>
          </w:p>
        </w:tc>
        <w:tc>
          <w:tcPr>
            <w:tcW w:w="849" w:type="dxa"/>
            <w:vMerge w:val="continue"/>
            <w:shd w:val="clear" w:color="auto" w:fill="auto"/>
            <w:vAlign w:val="center"/>
          </w:tcPr>
          <w:p>
            <w:pPr>
              <w:jc w:val="center"/>
              <w:rPr>
                <w:rFonts w:ascii="Times New Roman" w:hAnsi="Times New Roman" w:eastAsia="宋体" w:cs="Times New Roman"/>
                <w:szCs w:val="21"/>
              </w:rPr>
            </w:pPr>
          </w:p>
        </w:tc>
        <w:tc>
          <w:tcPr>
            <w:tcW w:w="1252"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1120</w:t>
            </w:r>
          </w:p>
        </w:tc>
        <w:tc>
          <w:tcPr>
            <w:tcW w:w="1125"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w:t>
            </w:r>
          </w:p>
        </w:tc>
        <w:tc>
          <w:tcPr>
            <w:tcW w:w="1070"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0</w:t>
            </w:r>
          </w:p>
        </w:tc>
        <w:tc>
          <w:tcPr>
            <w:tcW w:w="880" w:type="dxa"/>
            <w:vMerge w:val="continue"/>
            <w:shd w:val="clear" w:color="auto" w:fill="FFFFFF" w:themeFill="background1"/>
            <w:vAlign w:val="center"/>
          </w:tcPr>
          <w:p>
            <w:pPr>
              <w:jc w:val="center"/>
              <w:rPr>
                <w:rFonts w:ascii="Times New Roman" w:hAnsi="Times New Roman" w:eastAsia="宋体" w:cs="Times New Roman"/>
                <w:szCs w:val="21"/>
              </w:rPr>
            </w:pPr>
          </w:p>
        </w:tc>
        <w:tc>
          <w:tcPr>
            <w:tcW w:w="1263" w:type="dxa"/>
            <w:shd w:val="clear" w:color="auto" w:fill="auto"/>
            <w:noWrap/>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559</w:t>
            </w:r>
          </w:p>
        </w:tc>
        <w:tc>
          <w:tcPr>
            <w:tcW w:w="1186" w:type="dxa"/>
            <w:shd w:val="clear" w:color="auto" w:fill="auto"/>
            <w:noWrap/>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w:t>
            </w:r>
          </w:p>
        </w:tc>
        <w:tc>
          <w:tcPr>
            <w:tcW w:w="1066" w:type="dxa"/>
            <w:shd w:val="clear" w:color="auto" w:fill="auto"/>
            <w:noWrap/>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3</w:t>
            </w:r>
          </w:p>
        </w:tc>
        <w:tc>
          <w:tcPr>
            <w:tcW w:w="918" w:type="dxa"/>
            <w:vMerge w:val="continue"/>
            <w:shd w:val="clear" w:color="auto" w:fill="FFFFFF" w:themeFill="background1"/>
            <w:vAlign w:val="center"/>
          </w:tcPr>
          <w:p>
            <w:pPr>
              <w:jc w:val="center"/>
              <w:rPr>
                <w:rFonts w:ascii="Times New Roman" w:hAnsi="Times New Roman" w:eastAsia="宋体" w:cs="Times New Roman"/>
                <w:szCs w:val="21"/>
              </w:rPr>
            </w:pPr>
          </w:p>
        </w:tc>
        <w:tc>
          <w:tcPr>
            <w:tcW w:w="1269"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1679</w:t>
            </w:r>
          </w:p>
        </w:tc>
        <w:tc>
          <w:tcPr>
            <w:tcW w:w="1172" w:type="dxa"/>
            <w:shd w:val="clear" w:color="auto" w:fill="auto"/>
            <w:noWrap/>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w:t>
            </w:r>
          </w:p>
        </w:tc>
        <w:tc>
          <w:tcPr>
            <w:tcW w:w="1116" w:type="dxa"/>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3</w:t>
            </w:r>
          </w:p>
        </w:tc>
      </w:tr>
    </w:tbl>
    <w:p>
      <w:pPr>
        <w:ind w:left="180" w:hanging="180" w:hangingChars="100"/>
        <w:rPr>
          <w:rFonts w:ascii="宋体" w:hAnsi="宋体" w:cs="DFKai-SB"/>
          <w:sz w:val="18"/>
          <w:szCs w:val="21"/>
        </w:rPr>
      </w:pPr>
      <w:r>
        <w:rPr>
          <w:rFonts w:hint="eastAsia" w:ascii="宋体" w:hAnsi="宋体" w:cs="DFKai-SB"/>
          <w:sz w:val="18"/>
          <w:szCs w:val="21"/>
        </w:rPr>
        <w:t>注：第一类食品：所有食物材料烹熟后立即食用或立即出售的即食食品（除第二类食品外）；</w:t>
      </w:r>
    </w:p>
    <w:p>
      <w:pPr>
        <w:ind w:left="210" w:leftChars="100" w:firstLine="180" w:firstLineChars="100"/>
        <w:rPr>
          <w:rFonts w:ascii="宋体" w:hAnsi="宋体" w:cs="DFKai-SB"/>
          <w:sz w:val="18"/>
          <w:szCs w:val="21"/>
        </w:rPr>
      </w:pPr>
      <w:r>
        <w:rPr>
          <w:rFonts w:hint="eastAsia" w:ascii="宋体" w:hAnsi="宋体" w:cs="DFKai-SB"/>
          <w:sz w:val="18"/>
          <w:szCs w:val="21"/>
        </w:rPr>
        <w:t>第二类食品：熟肉制品和熟制水产品；</w:t>
      </w:r>
    </w:p>
    <w:p>
      <w:pPr>
        <w:ind w:left="210" w:leftChars="100" w:firstLine="180" w:firstLineChars="100"/>
        <w:rPr>
          <w:rFonts w:ascii="宋体" w:hAnsi="宋体" w:cs="DFKai-SB"/>
          <w:sz w:val="18"/>
          <w:szCs w:val="21"/>
        </w:rPr>
      </w:pPr>
      <w:r>
        <w:rPr>
          <w:rFonts w:hint="eastAsia" w:ascii="宋体" w:hAnsi="宋体" w:cs="DFKai-SB"/>
          <w:sz w:val="18"/>
          <w:szCs w:val="21"/>
        </w:rPr>
        <w:t>第三类食品：所有食物材料烹熟，在食用或出售前需进一步处理（切片、混合、冷藏或冷冻等）的即食食品；部分食物材料烹熟的即食食品；不需烹熟的即食食品；</w:t>
      </w:r>
      <w:r>
        <w:rPr>
          <w:rFonts w:ascii="宋体" w:hAnsi="宋体" w:cs="DFKai-SB"/>
          <w:sz w:val="18"/>
          <w:szCs w:val="21"/>
        </w:rPr>
        <w:t xml:space="preserve"> </w:t>
      </w:r>
    </w:p>
    <w:p>
      <w:pPr>
        <w:ind w:firstLine="360" w:firstLineChars="200"/>
        <w:jc w:val="left"/>
      </w:pPr>
      <w:r>
        <w:rPr>
          <w:rFonts w:hint="eastAsia" w:ascii="宋体"/>
          <w:kern w:val="0"/>
          <w:sz w:val="18"/>
          <w:szCs w:val="18"/>
        </w:rPr>
        <w:t>第四类食品：不适宜检测菌落总数的即食食品，这些食品本身含有数值较高的正常菌落，去皮或预切的鲜水果和蔬菜、</w:t>
      </w:r>
      <w:r>
        <w:rPr>
          <w:rFonts w:ascii="宋体"/>
          <w:kern w:val="0"/>
          <w:sz w:val="18"/>
          <w:szCs w:val="18"/>
        </w:rPr>
        <w:t>含</w:t>
      </w:r>
      <w:r>
        <w:rPr>
          <w:rFonts w:hint="eastAsia" w:ascii="宋体"/>
          <w:kern w:val="0"/>
          <w:sz w:val="18"/>
          <w:szCs w:val="18"/>
        </w:rPr>
        <w:t>去皮或预切鲜水果和蔬菜</w:t>
      </w:r>
      <w:r>
        <w:rPr>
          <w:rFonts w:ascii="宋体"/>
          <w:kern w:val="0"/>
          <w:sz w:val="18"/>
          <w:szCs w:val="18"/>
        </w:rPr>
        <w:t>的食品</w:t>
      </w:r>
      <w:r>
        <w:rPr>
          <w:rFonts w:hint="eastAsia" w:ascii="宋体"/>
          <w:kern w:val="0"/>
          <w:sz w:val="18"/>
          <w:szCs w:val="18"/>
        </w:rPr>
        <w:t>等。</w:t>
      </w:r>
    </w:p>
    <w:p>
      <w:pPr>
        <w:ind w:left="420" w:leftChars="200"/>
        <w:jc w:val="center"/>
      </w:pPr>
    </w:p>
    <w:p>
      <w:pPr>
        <w:ind w:left="420" w:leftChars="200"/>
        <w:jc w:val="center"/>
        <w:sectPr>
          <w:pgSz w:w="16838" w:h="11906" w:orient="landscape"/>
          <w:pgMar w:top="1800" w:right="1440" w:bottom="1800" w:left="1440" w:header="851" w:footer="992" w:gutter="0"/>
          <w:cols w:space="425" w:num="1"/>
          <w:docGrid w:type="lines" w:linePitch="312" w:charSpace="0"/>
        </w:sectPr>
      </w:pPr>
    </w:p>
    <w:p>
      <w:r>
        <w:rPr>
          <w:rFonts w:ascii="宋体" w:hAnsi="宋体" w:eastAsia="宋体" w:cs="宋体"/>
          <w:sz w:val="24"/>
        </w:rPr>
        <w:drawing>
          <wp:inline distT="0" distB="0" distL="114300" distR="114300">
            <wp:extent cx="5790565" cy="2967355"/>
            <wp:effectExtent l="0" t="0" r="635" b="4445"/>
            <wp:docPr id="2" name="图片 1"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true"/>
                    </pic:cNvPicPr>
                  </pic:nvPicPr>
                  <pic:blipFill>
                    <a:blip r:embed="rId7"/>
                    <a:stretch>
                      <a:fillRect/>
                    </a:stretch>
                  </pic:blipFill>
                  <pic:spPr>
                    <a:xfrm>
                      <a:off x="0" y="0"/>
                      <a:ext cx="5790565" cy="2967355"/>
                    </a:xfrm>
                    <a:prstGeom prst="rect">
                      <a:avLst/>
                    </a:prstGeom>
                    <a:noFill/>
                    <a:ln w="9525">
                      <a:noFill/>
                    </a:ln>
                  </pic:spPr>
                </pic:pic>
              </a:graphicData>
            </a:graphic>
          </wp:inline>
        </w:drawing>
      </w:r>
    </w:p>
    <w:p>
      <w:pPr>
        <w:spacing w:line="360" w:lineRule="auto"/>
        <w:ind w:left="420" w:leftChars="200"/>
        <w:jc w:val="center"/>
      </w:pPr>
      <w:r>
        <w:rPr>
          <w:rFonts w:hint="eastAsia"/>
        </w:rPr>
        <w:t>图3 深圳市和广州市各类即食食品监测统计结果</w:t>
      </w:r>
    </w:p>
    <w:p>
      <w:pPr>
        <w:spacing w:line="360" w:lineRule="auto"/>
        <w:ind w:firstLine="480" w:firstLineChars="200"/>
        <w:rPr>
          <w:rFonts w:ascii="宋体" w:hAnsi="宋体" w:cs="Courier New"/>
          <w:sz w:val="24"/>
        </w:rPr>
      </w:pPr>
      <w:r>
        <w:rPr>
          <w:rFonts w:hint="eastAsia" w:ascii="宋体" w:hAnsi="宋体" w:cs="Courier New"/>
          <w:sz w:val="24"/>
        </w:rPr>
        <w:t>2019年7月-2021年7月监测数据的评价等级呈现以下分布情况（图3）：（1）满意等级：菌落总数为75.2%，大肠埃希氏菌为98.3%、大肠埃希氏菌O157为100%、沙门氏菌为100%、金黄色葡萄球菌为99.6%、蜡样芽孢杆菌为97.7%、副溶血性弧菌为100%、单核细胞增生李斯特氏菌为99.8%；（2）可接受等级：菌落总数为12.3%，大肠埃希氏菌为1.1%、金黄色葡萄球菌为0.3%、蜡样芽孢杆菌为2.3%；（3）不合格等级：菌落总数为12.5%，大肠埃希氏菌为0.6%、单核细胞增生李斯特氏菌为0.2%。总体来看，餐饮领域非预包装即食食品的致病菌和卫生指示菌风险较低，不合格等级占比较低，主要微生物污染集中在菌落总数项目，与此类食品加工制作过程、操作环境、人员管理、销售形式等因素有紧密联系，食品质量安全受外界影响较大。本标准修订的目的正是基于产品特性考虑以及餐饮食品中潜在微生物污染风险评估的科学基础上，进一步完善和修正了部分标准内容，建立适用性更强的技术标准，为产业发展和食品安全监管构筑更加稳固的理论依据。</w:t>
      </w:r>
    </w:p>
    <w:p>
      <w:pPr>
        <w:spacing w:line="360" w:lineRule="auto"/>
        <w:rPr>
          <w:rFonts w:ascii="宋体" w:hAnsi="宋体" w:cs="Courier New"/>
          <w:sz w:val="24"/>
        </w:rPr>
      </w:pPr>
    </w:p>
    <w:p>
      <w:pPr>
        <w:ind w:firstLine="602" w:firstLineChars="200"/>
        <w:jc w:val="left"/>
        <w:rPr>
          <w:rFonts w:ascii="宋体" w:hAnsi="宋体" w:eastAsia="宋体" w:cs="宋体"/>
          <w:b/>
          <w:bCs/>
          <w:sz w:val="30"/>
          <w:szCs w:val="30"/>
        </w:rPr>
      </w:pPr>
      <w:r>
        <w:rPr>
          <w:rFonts w:hint="eastAsia" w:ascii="宋体" w:hAnsi="宋体" w:eastAsia="宋体" w:cs="宋体"/>
          <w:b/>
          <w:bCs/>
          <w:sz w:val="30"/>
          <w:szCs w:val="30"/>
        </w:rPr>
        <w:t>五、标准修订内容</w:t>
      </w:r>
    </w:p>
    <w:p>
      <w:pPr>
        <w:spacing w:line="360" w:lineRule="auto"/>
        <w:ind w:firstLine="480" w:firstLineChars="200"/>
        <w:rPr>
          <w:rFonts w:ascii="宋体" w:hAnsi="宋体" w:eastAsia="宋体" w:cs="宋体"/>
          <w:sz w:val="24"/>
        </w:rPr>
      </w:pPr>
      <w:r>
        <w:rPr>
          <w:rFonts w:hint="eastAsia" w:ascii="宋体" w:hAnsi="宋体" w:eastAsia="宋体" w:cs="宋体"/>
          <w:kern w:val="0"/>
          <w:sz w:val="24"/>
        </w:rPr>
        <w:t>DBS 44/006-2016《非预包装即食食品微生物限量》的制定</w:t>
      </w:r>
      <w:r>
        <w:rPr>
          <w:rFonts w:hint="eastAsia" w:ascii="宋体" w:hAnsi="宋体" w:eastAsia="宋体" w:cs="宋体"/>
          <w:sz w:val="24"/>
        </w:rPr>
        <w:t>旨在针对非预包装即食食品微生物指标作出限量要求并设立评价等级，适用于非预包装即食食品的卫生学评价，为广东省非预包装即食食品质量控制和质量监督有标准提供可靠的依据和手段，有利于生产企业与管理部门在产品质量管理方面的协调统一。</w:t>
      </w:r>
    </w:p>
    <w:p>
      <w:pPr>
        <w:spacing w:line="360" w:lineRule="auto"/>
        <w:ind w:firstLine="480" w:firstLineChars="200"/>
        <w:rPr>
          <w:rFonts w:ascii="宋体" w:hAnsi="宋体" w:eastAsia="宋体" w:cs="宋体"/>
          <w:sz w:val="24"/>
        </w:rPr>
      </w:pPr>
      <w:r>
        <w:rPr>
          <w:rFonts w:hint="eastAsia" w:ascii="宋体" w:hAnsi="宋体" w:eastAsia="宋体" w:cs="宋体"/>
          <w:kern w:val="0"/>
          <w:sz w:val="24"/>
        </w:rPr>
        <w:t>本标准自</w:t>
      </w:r>
      <w:r>
        <w:rPr>
          <w:rFonts w:hint="eastAsia" w:ascii="宋体" w:hAnsi="宋体" w:eastAsia="宋体" w:cs="宋体"/>
          <w:sz w:val="24"/>
        </w:rPr>
        <w:t>2017年2月1日正式实施以来，有效弥补了相关标准缺失的空白，为食品生产和经营企业提供了产品质量保证，为政府监管部门提供了食品安全监管的科学依据，大大促进了我省非预包装即食食品行业的健康发展和食品安全的持续改进，保障了人民群众的身体健康。</w:t>
      </w:r>
    </w:p>
    <w:p>
      <w:pPr>
        <w:spacing w:line="360" w:lineRule="auto"/>
        <w:ind w:firstLine="480" w:firstLineChars="200"/>
        <w:jc w:val="left"/>
        <w:rPr>
          <w:rFonts w:ascii="宋体" w:hAnsi="宋体" w:eastAsia="宋体" w:cs="宋体"/>
          <w:sz w:val="24"/>
        </w:rPr>
      </w:pPr>
      <w:r>
        <w:rPr>
          <w:rFonts w:hint="eastAsia" w:ascii="宋体" w:hAnsi="宋体" w:eastAsia="宋体" w:cs="宋体"/>
          <w:kern w:val="0"/>
          <w:sz w:val="24"/>
        </w:rPr>
        <w:t>为适应经济和社会发展需求，顺应餐饮行业日新月异的变化要求，贴合各类标准不断完善更新的大趋势，结合非预包装即食食品产品类型和加工工艺的特色，需对本标准部分内容进行修订与完善，为食品安全质量监管提供更加可靠的科学依据。具体修订内容如下：</w:t>
      </w:r>
    </w:p>
    <w:p>
      <w:pPr>
        <w:pStyle w:val="13"/>
        <w:numPr>
          <w:numId w:val="0"/>
        </w:numPr>
        <w:spacing w:line="360" w:lineRule="auto"/>
        <w:ind w:leftChars="0" w:firstLine="480" w:firstLineChars="200"/>
        <w:rPr>
          <w:rFonts w:ascii="宋体" w:hAnsi="宋体" w:eastAsia="宋体" w:cs="宋体"/>
          <w:kern w:val="0"/>
          <w:sz w:val="24"/>
        </w:rPr>
      </w:pPr>
      <w:r>
        <w:rPr>
          <w:rFonts w:hint="eastAsia" w:ascii="宋体" w:hAnsi="宋体" w:eastAsia="宋体" w:cs="宋体"/>
          <w:kern w:val="0"/>
          <w:sz w:val="24"/>
          <w:lang w:val="en-US" w:eastAsia="zh-CN"/>
        </w:rPr>
        <w:t>1、</w:t>
      </w:r>
      <w:r>
        <w:rPr>
          <w:rFonts w:hint="eastAsia" w:ascii="宋体" w:hAnsi="宋体" w:eastAsia="宋体" w:cs="宋体"/>
          <w:kern w:val="0"/>
          <w:sz w:val="24"/>
        </w:rPr>
        <w:t>标准名称由“非预包装即食食品微生物限量”修订为“餐饮服务领域非预包装即食食品微生物限量”；</w:t>
      </w:r>
    </w:p>
    <w:p>
      <w:pPr>
        <w:pStyle w:val="13"/>
        <w:numPr>
          <w:numId w:val="0"/>
        </w:numPr>
        <w:spacing w:line="360" w:lineRule="auto"/>
        <w:ind w:leftChars="0" w:firstLine="480" w:firstLineChars="200"/>
        <w:rPr>
          <w:rFonts w:ascii="宋体" w:hAnsi="宋体" w:eastAsia="宋体" w:cs="宋体"/>
          <w:kern w:val="0"/>
          <w:sz w:val="24"/>
        </w:rPr>
      </w:pPr>
      <w:r>
        <w:rPr>
          <w:rFonts w:hint="eastAsia" w:ascii="宋体" w:hAnsi="宋体" w:eastAsia="宋体" w:cs="宋体"/>
          <w:kern w:val="0"/>
          <w:sz w:val="24"/>
          <w:lang w:val="en-US" w:eastAsia="zh-CN"/>
        </w:rPr>
        <w:t>2、</w:t>
      </w:r>
      <w:r>
        <w:rPr>
          <w:rFonts w:hint="eastAsia" w:ascii="宋体" w:hAnsi="宋体" w:eastAsia="宋体" w:cs="宋体"/>
          <w:kern w:val="0"/>
          <w:sz w:val="24"/>
        </w:rPr>
        <w:t>标准适用范围由“本标准规定了非预包装即食食品微生物指标、评价等级和检验方法。本标准适用于非预包装即食食品，包括散装即食食品和现制现售即食食品。”改为“本标准规定了餐饮服务领域非预包装即食食品微生物指标、评价等级和检验方法。本标准适用于餐饮服务领域非预包装即食食品，包括散装即食食品和现制现售即食食品。”</w:t>
      </w:r>
    </w:p>
    <w:p>
      <w:pPr>
        <w:pStyle w:val="13"/>
        <w:numPr>
          <w:numId w:val="0"/>
        </w:numPr>
        <w:spacing w:line="360" w:lineRule="auto"/>
        <w:ind w:leftChars="0" w:firstLine="480" w:firstLineChars="200"/>
        <w:rPr>
          <w:rFonts w:ascii="宋体" w:hAnsi="宋体" w:eastAsia="宋体" w:cs="宋体"/>
          <w:kern w:val="0"/>
          <w:sz w:val="24"/>
        </w:rPr>
      </w:pPr>
      <w:r>
        <w:rPr>
          <w:rFonts w:hint="eastAsia" w:ascii="宋体" w:hAnsi="宋体" w:eastAsia="宋体" w:cs="宋体"/>
          <w:kern w:val="0"/>
          <w:sz w:val="24"/>
          <w:lang w:val="en-US" w:eastAsia="zh-CN"/>
        </w:rPr>
        <w:t>3、</w:t>
      </w:r>
      <w:r>
        <w:rPr>
          <w:rFonts w:hint="eastAsia" w:ascii="宋体" w:hAnsi="宋体" w:eastAsia="宋体" w:cs="宋体"/>
          <w:kern w:val="0"/>
          <w:sz w:val="24"/>
        </w:rPr>
        <w:t>大肠埃希氏菌O157项目检验方法由“GB/T 4789.36第一法”修订为“GB 4789.36第一法”；</w:t>
      </w:r>
    </w:p>
    <w:p>
      <w:pPr>
        <w:pStyle w:val="13"/>
        <w:numPr>
          <w:numId w:val="0"/>
        </w:numPr>
        <w:spacing w:line="360" w:lineRule="auto"/>
        <w:ind w:leftChars="0" w:firstLine="480" w:firstLineChars="200"/>
        <w:rPr>
          <w:rFonts w:ascii="宋体" w:hAnsi="宋体" w:eastAsia="宋体" w:cs="宋体"/>
          <w:kern w:val="0"/>
          <w:sz w:val="24"/>
        </w:rPr>
      </w:pPr>
      <w:r>
        <w:rPr>
          <w:rFonts w:hint="eastAsia" w:ascii="宋体" w:hAnsi="宋体" w:eastAsia="宋体" w:cs="宋体"/>
          <w:sz w:val="24"/>
          <w:lang w:val="en-US" w:eastAsia="zh-CN"/>
        </w:rPr>
        <w:t>4、</w:t>
      </w:r>
      <w:r>
        <w:rPr>
          <w:rFonts w:hint="eastAsia" w:ascii="宋体" w:hAnsi="宋体" w:eastAsia="宋体" w:cs="宋体"/>
          <w:sz w:val="24"/>
        </w:rPr>
        <w:t>与GB 4789.14《食品安全国家标准 食品微生物检验蜡样芽胞杆菌检验》的检测项目名称保持一致，将项目名称“蜡样芽孢杆菌”修订为“蜡样芽胞杆菌”；</w:t>
      </w:r>
    </w:p>
    <w:p>
      <w:pPr>
        <w:pStyle w:val="13"/>
        <w:numPr>
          <w:numId w:val="0"/>
        </w:numPr>
        <w:spacing w:line="360" w:lineRule="auto"/>
        <w:ind w:leftChars="0" w:firstLine="480" w:firstLineChars="200"/>
        <w:rPr>
          <w:rFonts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“3 技术要求”表1大肠埃希氏菌O157、沙门氏菌、单核细胞增生李斯特氏菌项目的满意等级由“未检出/25g”修订为“未检出/25g(mL)”，不合格等级由“检出/25g”修订为“检出/25g(mL)”；</w:t>
      </w:r>
    </w:p>
    <w:p>
      <w:pPr>
        <w:pStyle w:val="13"/>
        <w:numPr>
          <w:numId w:val="0"/>
        </w:numPr>
        <w:spacing w:line="360" w:lineRule="auto"/>
        <w:ind w:leftChars="0" w:firstLine="480" w:firstLineChars="200"/>
        <w:rPr>
          <w:rFonts w:ascii="宋体" w:hAnsi="宋体" w:eastAsia="宋体" w:cs="宋体"/>
          <w:kern w:val="0"/>
          <w:sz w:val="24"/>
        </w:rPr>
      </w:pPr>
      <w:r>
        <w:rPr>
          <w:rFonts w:hint="eastAsia" w:ascii="宋体" w:hAnsi="宋体" w:eastAsia="宋体" w:cs="宋体"/>
          <w:sz w:val="24"/>
          <w:lang w:val="en-US" w:eastAsia="zh-CN"/>
        </w:rPr>
        <w:t>6、</w:t>
      </w:r>
      <w:r>
        <w:rPr>
          <w:rFonts w:hint="eastAsia" w:ascii="宋体" w:hAnsi="宋体" w:eastAsia="宋体" w:cs="宋体"/>
          <w:sz w:val="24"/>
        </w:rPr>
        <w:t>“3 技术要求”表1删除附注e；</w:t>
      </w:r>
    </w:p>
    <w:p>
      <w:pPr>
        <w:pStyle w:val="13"/>
        <w:numPr>
          <w:numId w:val="0"/>
        </w:numPr>
        <w:spacing w:line="360" w:lineRule="auto"/>
        <w:ind w:leftChars="0" w:firstLine="480" w:firstLineChars="200"/>
        <w:rPr>
          <w:rFonts w:ascii="宋体" w:hAnsi="宋体" w:eastAsia="宋体" w:cs="宋体"/>
          <w:kern w:val="0"/>
          <w:sz w:val="24"/>
        </w:rPr>
      </w:pPr>
      <w:r>
        <w:rPr>
          <w:rFonts w:hint="eastAsia" w:ascii="宋体" w:hAnsi="宋体" w:eastAsia="宋体" w:cs="宋体"/>
          <w:sz w:val="24"/>
          <w:lang w:val="en-US" w:eastAsia="zh-CN"/>
        </w:rPr>
        <w:t>7、</w:t>
      </w:r>
      <w:r>
        <w:rPr>
          <w:rFonts w:hint="eastAsia" w:ascii="宋体" w:hAnsi="宋体" w:eastAsia="宋体" w:cs="宋体"/>
          <w:sz w:val="24"/>
        </w:rPr>
        <w:t>“3 技术要求”表1增加备注栏，大肠埃希氏菌项目备注：不适用于以生乳制成的芝士，大肠埃希氏菌O157项目备注：仅适用于含肉类或新鲜蔬菜、水果的食品，单核细胞增生李斯特氏菌项目备注：仅适用于含肉类的食品，副溶血性弧菌项目备注：仅适用于含水产品的食品，蜡样芽胞杆菌项目备注：仅适用于以米、面为主要原料的食品；</w:t>
      </w:r>
    </w:p>
    <w:p>
      <w:pPr>
        <w:pStyle w:val="13"/>
        <w:numPr>
          <w:numId w:val="0"/>
        </w:numPr>
        <w:spacing w:line="360" w:lineRule="auto"/>
        <w:ind w:leftChars="0" w:firstLine="480" w:firstLineChars="200"/>
        <w:rPr>
          <w:rFonts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删除“规范性附录A ”和“规范性附录B”；</w:t>
      </w:r>
    </w:p>
    <w:p>
      <w:pPr>
        <w:pStyle w:val="13"/>
        <w:numPr>
          <w:numId w:val="0"/>
        </w:numPr>
        <w:spacing w:line="360" w:lineRule="auto"/>
        <w:ind w:leftChars="0" w:firstLine="480" w:firstLineChars="200"/>
        <w:rPr>
          <w:rFonts w:ascii="宋体" w:hAnsi="宋体" w:eastAsia="宋体" w:cs="宋体"/>
          <w:sz w:val="24"/>
        </w:rPr>
      </w:pPr>
      <w:r>
        <w:rPr>
          <w:rFonts w:hint="eastAsia" w:ascii="宋体" w:hAnsi="宋体" w:eastAsia="宋体" w:cs="宋体"/>
          <w:kern w:val="0"/>
          <w:sz w:val="24"/>
          <w:lang w:val="en-US" w:eastAsia="zh-CN"/>
        </w:rPr>
        <w:t>9、</w:t>
      </w:r>
      <w:r>
        <w:rPr>
          <w:rFonts w:hint="eastAsia" w:ascii="宋体" w:hAnsi="宋体" w:eastAsia="宋体" w:cs="宋体"/>
          <w:kern w:val="0"/>
          <w:sz w:val="24"/>
        </w:rPr>
        <w:t>删除“3 技术要求”章节“常见非预包装即食食品菌落总数指标分类见附录A，常见非预包装即食食品致病菌项目指引见附录B”；</w:t>
      </w:r>
    </w:p>
    <w:p>
      <w:pPr>
        <w:pStyle w:val="13"/>
        <w:numPr>
          <w:numId w:val="0"/>
        </w:numPr>
        <w:spacing w:line="360" w:lineRule="auto"/>
        <w:ind w:leftChars="0" w:firstLine="480" w:firstLineChars="200"/>
        <w:rPr>
          <w:rFonts w:ascii="宋体" w:hAnsi="宋体" w:eastAsia="宋体" w:cs="宋体"/>
          <w:sz w:val="24"/>
        </w:rPr>
      </w:pPr>
      <w:r>
        <w:rPr>
          <w:rFonts w:hint="default" w:ascii="宋体" w:hAnsi="宋体" w:eastAsia="宋体" w:cs="宋体"/>
          <w:kern w:val="0"/>
          <w:sz w:val="24"/>
          <w:lang w:val="en"/>
        </w:rPr>
        <w:t>10</w:t>
      </w:r>
      <w:r>
        <w:rPr>
          <w:rFonts w:hint="eastAsia" w:ascii="宋体" w:hAnsi="宋体" w:eastAsia="宋体" w:cs="宋体"/>
          <w:kern w:val="0"/>
          <w:sz w:val="24"/>
          <w:lang w:val="en" w:eastAsia="zh-CN"/>
        </w:rPr>
        <w:t>、</w:t>
      </w:r>
      <w:r>
        <w:rPr>
          <w:rFonts w:hint="eastAsia" w:ascii="宋体" w:hAnsi="宋体" w:eastAsia="宋体" w:cs="宋体"/>
          <w:kern w:val="0"/>
          <w:sz w:val="24"/>
        </w:rPr>
        <w:t>删除“4 判定原则”章节。</w:t>
      </w:r>
    </w:p>
    <w:p>
      <w:pPr>
        <w:spacing w:line="360" w:lineRule="auto"/>
        <w:jc w:val="left"/>
        <w:rPr>
          <w:rFonts w:ascii="宋体" w:hAnsi="宋体" w:eastAsia="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FKai-SB">
    <w:altName w:val="方正书宋_GBK"/>
    <w:panose1 w:val="03000509000000000000"/>
    <w:charset w:val="88"/>
    <w:family w:val="script"/>
    <w:pitch w:val="default"/>
    <w:sig w:usb0="00000000" w:usb1="00000000" w:usb2="00000016" w:usb3="00000000" w:csb0="00100001" w:csb1="00000000"/>
  </w:font>
  <w:font w:name="FZKTJW--GB1-0">
    <w:altName w:val="汉仪仿宋S"/>
    <w:panose1 w:val="00000000000000000000"/>
    <w:charset w:val="00"/>
    <w:family w:val="roman"/>
    <w:pitch w:val="default"/>
    <w:sig w:usb0="00000000" w:usb1="00000000" w:usb2="00000000" w:usb3="00000000" w:csb0="00000000" w:csb1="00000000"/>
  </w:font>
  <w:font w:name="Verdana">
    <w:altName w:val="DejaVu Sans"/>
    <w:panose1 w:val="020B0604030504040204"/>
    <w:charset w:val="00"/>
    <w:family w:val="swiss"/>
    <w:pitch w:val="default"/>
    <w:sig w:usb0="00000000" w:usb1="00000000" w:usb2="00000010" w:usb3="00000000" w:csb0="2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CB1248"/>
    <w:rsid w:val="00160D6B"/>
    <w:rsid w:val="005F2732"/>
    <w:rsid w:val="00984B14"/>
    <w:rsid w:val="01B95422"/>
    <w:rsid w:val="0202681B"/>
    <w:rsid w:val="02AA4F60"/>
    <w:rsid w:val="02CE2CB2"/>
    <w:rsid w:val="03DE06A1"/>
    <w:rsid w:val="043E62C2"/>
    <w:rsid w:val="05D32C05"/>
    <w:rsid w:val="062A5E8B"/>
    <w:rsid w:val="06651F90"/>
    <w:rsid w:val="06D35FC6"/>
    <w:rsid w:val="06E266F3"/>
    <w:rsid w:val="072F290E"/>
    <w:rsid w:val="077A7029"/>
    <w:rsid w:val="07AB074F"/>
    <w:rsid w:val="08146559"/>
    <w:rsid w:val="0817756E"/>
    <w:rsid w:val="082F2D28"/>
    <w:rsid w:val="084F1BF0"/>
    <w:rsid w:val="08747D83"/>
    <w:rsid w:val="087F5F39"/>
    <w:rsid w:val="08B558FB"/>
    <w:rsid w:val="09554B63"/>
    <w:rsid w:val="09E05C5C"/>
    <w:rsid w:val="0A53734F"/>
    <w:rsid w:val="0AC6060D"/>
    <w:rsid w:val="0B0834DC"/>
    <w:rsid w:val="0B1A0EFD"/>
    <w:rsid w:val="0B1F5201"/>
    <w:rsid w:val="0B916712"/>
    <w:rsid w:val="0BCF01AE"/>
    <w:rsid w:val="0C2F7CE0"/>
    <w:rsid w:val="0C4867CD"/>
    <w:rsid w:val="0C8C19BF"/>
    <w:rsid w:val="0C8E0103"/>
    <w:rsid w:val="0CAD6429"/>
    <w:rsid w:val="0CAE0EBD"/>
    <w:rsid w:val="0D912581"/>
    <w:rsid w:val="0DC41D47"/>
    <w:rsid w:val="0DDC23C6"/>
    <w:rsid w:val="0E124187"/>
    <w:rsid w:val="0E1B6704"/>
    <w:rsid w:val="0E1E5492"/>
    <w:rsid w:val="0E2F6535"/>
    <w:rsid w:val="0E390033"/>
    <w:rsid w:val="0EB9204D"/>
    <w:rsid w:val="0EEB3487"/>
    <w:rsid w:val="0F142978"/>
    <w:rsid w:val="0F71540F"/>
    <w:rsid w:val="0F8B118C"/>
    <w:rsid w:val="107324F2"/>
    <w:rsid w:val="10E0161F"/>
    <w:rsid w:val="110C3702"/>
    <w:rsid w:val="112E1028"/>
    <w:rsid w:val="116B663E"/>
    <w:rsid w:val="11BE6247"/>
    <w:rsid w:val="12041B58"/>
    <w:rsid w:val="121A29C0"/>
    <w:rsid w:val="12B72B55"/>
    <w:rsid w:val="130C43B0"/>
    <w:rsid w:val="137106FE"/>
    <w:rsid w:val="13C30CA3"/>
    <w:rsid w:val="14001471"/>
    <w:rsid w:val="144813FA"/>
    <w:rsid w:val="147025A0"/>
    <w:rsid w:val="14A20747"/>
    <w:rsid w:val="14C9796B"/>
    <w:rsid w:val="14EC0A72"/>
    <w:rsid w:val="15001992"/>
    <w:rsid w:val="1528435B"/>
    <w:rsid w:val="152E2FD5"/>
    <w:rsid w:val="155F2C44"/>
    <w:rsid w:val="16262E83"/>
    <w:rsid w:val="166A1329"/>
    <w:rsid w:val="18186DA2"/>
    <w:rsid w:val="182201B4"/>
    <w:rsid w:val="184C0CDA"/>
    <w:rsid w:val="197A54DA"/>
    <w:rsid w:val="1A5E28FE"/>
    <w:rsid w:val="1AAD2820"/>
    <w:rsid w:val="1B00717E"/>
    <w:rsid w:val="1C242612"/>
    <w:rsid w:val="1CAC0990"/>
    <w:rsid w:val="1CB32AA6"/>
    <w:rsid w:val="1CEE7798"/>
    <w:rsid w:val="1CFE203E"/>
    <w:rsid w:val="1D7F4346"/>
    <w:rsid w:val="1D7F4416"/>
    <w:rsid w:val="1DE913A5"/>
    <w:rsid w:val="1E077654"/>
    <w:rsid w:val="1E784084"/>
    <w:rsid w:val="1F226B71"/>
    <w:rsid w:val="1F5F40EE"/>
    <w:rsid w:val="20016901"/>
    <w:rsid w:val="204C4EB8"/>
    <w:rsid w:val="21647AFD"/>
    <w:rsid w:val="21A85D67"/>
    <w:rsid w:val="21BB3C02"/>
    <w:rsid w:val="222E31A0"/>
    <w:rsid w:val="223204BE"/>
    <w:rsid w:val="23EA14BF"/>
    <w:rsid w:val="241E3F25"/>
    <w:rsid w:val="24D2130B"/>
    <w:rsid w:val="24D9743E"/>
    <w:rsid w:val="25100C6F"/>
    <w:rsid w:val="25F4564B"/>
    <w:rsid w:val="26414A9E"/>
    <w:rsid w:val="27014C56"/>
    <w:rsid w:val="270A245E"/>
    <w:rsid w:val="27750413"/>
    <w:rsid w:val="27771471"/>
    <w:rsid w:val="27BA1113"/>
    <w:rsid w:val="280547FB"/>
    <w:rsid w:val="284C25E6"/>
    <w:rsid w:val="28FA2216"/>
    <w:rsid w:val="29450F20"/>
    <w:rsid w:val="29903BEE"/>
    <w:rsid w:val="29A349EC"/>
    <w:rsid w:val="29B5594D"/>
    <w:rsid w:val="29C23357"/>
    <w:rsid w:val="29EB7532"/>
    <w:rsid w:val="29EF1E46"/>
    <w:rsid w:val="2A140414"/>
    <w:rsid w:val="2A512541"/>
    <w:rsid w:val="2A963605"/>
    <w:rsid w:val="2AA669E0"/>
    <w:rsid w:val="2AAE0229"/>
    <w:rsid w:val="2AC24DCC"/>
    <w:rsid w:val="2BBB0623"/>
    <w:rsid w:val="2BBF1E8E"/>
    <w:rsid w:val="2C683373"/>
    <w:rsid w:val="2C9D4FB1"/>
    <w:rsid w:val="2CC0265B"/>
    <w:rsid w:val="2D3317DB"/>
    <w:rsid w:val="2D3A345A"/>
    <w:rsid w:val="2DE526A0"/>
    <w:rsid w:val="2E4457FF"/>
    <w:rsid w:val="2E471040"/>
    <w:rsid w:val="2E5238C3"/>
    <w:rsid w:val="2EB77346"/>
    <w:rsid w:val="304B2D9A"/>
    <w:rsid w:val="30673680"/>
    <w:rsid w:val="30704B1D"/>
    <w:rsid w:val="310B3A15"/>
    <w:rsid w:val="31756E90"/>
    <w:rsid w:val="323C4FC8"/>
    <w:rsid w:val="3271730D"/>
    <w:rsid w:val="32835CF2"/>
    <w:rsid w:val="32840BBE"/>
    <w:rsid w:val="32D76817"/>
    <w:rsid w:val="33B82036"/>
    <w:rsid w:val="345D66EA"/>
    <w:rsid w:val="34DE0DA7"/>
    <w:rsid w:val="35415EDD"/>
    <w:rsid w:val="35731BF7"/>
    <w:rsid w:val="358B3D13"/>
    <w:rsid w:val="358E2565"/>
    <w:rsid w:val="35F3014C"/>
    <w:rsid w:val="36007175"/>
    <w:rsid w:val="3615650F"/>
    <w:rsid w:val="362B31E2"/>
    <w:rsid w:val="3633427A"/>
    <w:rsid w:val="363960BE"/>
    <w:rsid w:val="36E844D5"/>
    <w:rsid w:val="37404492"/>
    <w:rsid w:val="37504D91"/>
    <w:rsid w:val="38920F53"/>
    <w:rsid w:val="38953355"/>
    <w:rsid w:val="38CB40F8"/>
    <w:rsid w:val="38F81903"/>
    <w:rsid w:val="39AC16A8"/>
    <w:rsid w:val="39B8212A"/>
    <w:rsid w:val="3A691CC5"/>
    <w:rsid w:val="3A70280D"/>
    <w:rsid w:val="3AAE6B31"/>
    <w:rsid w:val="3B2A3AE9"/>
    <w:rsid w:val="3BFC0E46"/>
    <w:rsid w:val="3C505909"/>
    <w:rsid w:val="3C93031A"/>
    <w:rsid w:val="3CBE2B4E"/>
    <w:rsid w:val="3CC8036B"/>
    <w:rsid w:val="3CDD77A3"/>
    <w:rsid w:val="3D5A4646"/>
    <w:rsid w:val="3DCB1248"/>
    <w:rsid w:val="3E6D3077"/>
    <w:rsid w:val="3ED36EE4"/>
    <w:rsid w:val="3EDF7102"/>
    <w:rsid w:val="3FF12239"/>
    <w:rsid w:val="40186980"/>
    <w:rsid w:val="401E545C"/>
    <w:rsid w:val="4024237A"/>
    <w:rsid w:val="406440FA"/>
    <w:rsid w:val="40F31490"/>
    <w:rsid w:val="40F55B95"/>
    <w:rsid w:val="411453D2"/>
    <w:rsid w:val="41194E1E"/>
    <w:rsid w:val="414958CF"/>
    <w:rsid w:val="414E6327"/>
    <w:rsid w:val="416B47B4"/>
    <w:rsid w:val="41FB712D"/>
    <w:rsid w:val="41FD716F"/>
    <w:rsid w:val="424004A9"/>
    <w:rsid w:val="42702545"/>
    <w:rsid w:val="42847C4B"/>
    <w:rsid w:val="42C54671"/>
    <w:rsid w:val="430D71E7"/>
    <w:rsid w:val="43527207"/>
    <w:rsid w:val="43BD0FCE"/>
    <w:rsid w:val="440A1597"/>
    <w:rsid w:val="440B77C2"/>
    <w:rsid w:val="449312A8"/>
    <w:rsid w:val="4572707C"/>
    <w:rsid w:val="457F68C3"/>
    <w:rsid w:val="459D419A"/>
    <w:rsid w:val="45C33F05"/>
    <w:rsid w:val="468A0D49"/>
    <w:rsid w:val="469D3256"/>
    <w:rsid w:val="46A065FD"/>
    <w:rsid w:val="4797366E"/>
    <w:rsid w:val="47BE4AC0"/>
    <w:rsid w:val="47F16034"/>
    <w:rsid w:val="48365500"/>
    <w:rsid w:val="485613B7"/>
    <w:rsid w:val="48A073A6"/>
    <w:rsid w:val="49354B19"/>
    <w:rsid w:val="49AD54BD"/>
    <w:rsid w:val="4A123335"/>
    <w:rsid w:val="4AEB2135"/>
    <w:rsid w:val="4BE31D5C"/>
    <w:rsid w:val="4BF71CA6"/>
    <w:rsid w:val="4C487AF0"/>
    <w:rsid w:val="4C786861"/>
    <w:rsid w:val="4D154B9E"/>
    <w:rsid w:val="4D7A7AE0"/>
    <w:rsid w:val="4DEF24B1"/>
    <w:rsid w:val="4DF90A99"/>
    <w:rsid w:val="4E0A2314"/>
    <w:rsid w:val="4EB32989"/>
    <w:rsid w:val="4EF15FBB"/>
    <w:rsid w:val="4EFD78F3"/>
    <w:rsid w:val="4F663C9F"/>
    <w:rsid w:val="4F7F1A6B"/>
    <w:rsid w:val="4FB51DB6"/>
    <w:rsid w:val="5069413D"/>
    <w:rsid w:val="50774656"/>
    <w:rsid w:val="50A1645A"/>
    <w:rsid w:val="51025EB1"/>
    <w:rsid w:val="51673D97"/>
    <w:rsid w:val="51C6206F"/>
    <w:rsid w:val="52190CA8"/>
    <w:rsid w:val="526302BF"/>
    <w:rsid w:val="52DB0AE0"/>
    <w:rsid w:val="53131E75"/>
    <w:rsid w:val="53E118B1"/>
    <w:rsid w:val="54355CFB"/>
    <w:rsid w:val="543A51B2"/>
    <w:rsid w:val="5482639A"/>
    <w:rsid w:val="550005BD"/>
    <w:rsid w:val="556C7CE8"/>
    <w:rsid w:val="55712C11"/>
    <w:rsid w:val="55A47822"/>
    <w:rsid w:val="55D17A15"/>
    <w:rsid w:val="5611774D"/>
    <w:rsid w:val="56210AA7"/>
    <w:rsid w:val="56470FD4"/>
    <w:rsid w:val="566A694B"/>
    <w:rsid w:val="572503A1"/>
    <w:rsid w:val="5791088A"/>
    <w:rsid w:val="5831194E"/>
    <w:rsid w:val="5873118B"/>
    <w:rsid w:val="58824686"/>
    <w:rsid w:val="589A576F"/>
    <w:rsid w:val="58AD4C60"/>
    <w:rsid w:val="591B31F9"/>
    <w:rsid w:val="59AB156E"/>
    <w:rsid w:val="59E64C53"/>
    <w:rsid w:val="5A0F66C0"/>
    <w:rsid w:val="5A1720F5"/>
    <w:rsid w:val="5A3D0143"/>
    <w:rsid w:val="5AB729BD"/>
    <w:rsid w:val="5BD64A84"/>
    <w:rsid w:val="5BFF19F9"/>
    <w:rsid w:val="5C476060"/>
    <w:rsid w:val="5C480672"/>
    <w:rsid w:val="5C68020C"/>
    <w:rsid w:val="5CF95868"/>
    <w:rsid w:val="5D1D6E59"/>
    <w:rsid w:val="5D336DDF"/>
    <w:rsid w:val="5D572BE7"/>
    <w:rsid w:val="5D732847"/>
    <w:rsid w:val="5E3A187E"/>
    <w:rsid w:val="5EAA5DF5"/>
    <w:rsid w:val="5F0B13F6"/>
    <w:rsid w:val="5F3D2628"/>
    <w:rsid w:val="5FBB21C1"/>
    <w:rsid w:val="5FC83FAD"/>
    <w:rsid w:val="5FE93756"/>
    <w:rsid w:val="60325288"/>
    <w:rsid w:val="60502841"/>
    <w:rsid w:val="60665AE0"/>
    <w:rsid w:val="61626CA3"/>
    <w:rsid w:val="61E334B0"/>
    <w:rsid w:val="61F64D1E"/>
    <w:rsid w:val="62797F9D"/>
    <w:rsid w:val="628B5F48"/>
    <w:rsid w:val="62D709DA"/>
    <w:rsid w:val="634160F9"/>
    <w:rsid w:val="636B1B1E"/>
    <w:rsid w:val="64813DE9"/>
    <w:rsid w:val="64AB1D46"/>
    <w:rsid w:val="64D224BF"/>
    <w:rsid w:val="64DB6224"/>
    <w:rsid w:val="64F76EE6"/>
    <w:rsid w:val="66261E01"/>
    <w:rsid w:val="66406CA3"/>
    <w:rsid w:val="66581A4E"/>
    <w:rsid w:val="66CA13E6"/>
    <w:rsid w:val="67117FE8"/>
    <w:rsid w:val="67453DDA"/>
    <w:rsid w:val="67517908"/>
    <w:rsid w:val="67F46D71"/>
    <w:rsid w:val="6824740E"/>
    <w:rsid w:val="68BE60DF"/>
    <w:rsid w:val="693C3AC0"/>
    <w:rsid w:val="69676DA1"/>
    <w:rsid w:val="69AF6978"/>
    <w:rsid w:val="69D35467"/>
    <w:rsid w:val="6A5F445E"/>
    <w:rsid w:val="6B117051"/>
    <w:rsid w:val="6B3A65D1"/>
    <w:rsid w:val="6B9C5A17"/>
    <w:rsid w:val="6BC75694"/>
    <w:rsid w:val="6BFA62A7"/>
    <w:rsid w:val="6C343A5C"/>
    <w:rsid w:val="6C627B1A"/>
    <w:rsid w:val="6D32576C"/>
    <w:rsid w:val="6D6C6A0A"/>
    <w:rsid w:val="6D7B59BE"/>
    <w:rsid w:val="6DFD2765"/>
    <w:rsid w:val="6E0B7864"/>
    <w:rsid w:val="6E2B1293"/>
    <w:rsid w:val="6E5B0FF3"/>
    <w:rsid w:val="6EBB56C8"/>
    <w:rsid w:val="6ED76FF3"/>
    <w:rsid w:val="6F0A7ED1"/>
    <w:rsid w:val="6F2747DE"/>
    <w:rsid w:val="6FAE2FFC"/>
    <w:rsid w:val="6FD15035"/>
    <w:rsid w:val="703A7091"/>
    <w:rsid w:val="70CA7152"/>
    <w:rsid w:val="71CE51D1"/>
    <w:rsid w:val="71D321FC"/>
    <w:rsid w:val="71F94EFF"/>
    <w:rsid w:val="722C4A5F"/>
    <w:rsid w:val="725E40F9"/>
    <w:rsid w:val="7272703E"/>
    <w:rsid w:val="73193173"/>
    <w:rsid w:val="73407D53"/>
    <w:rsid w:val="73BC097D"/>
    <w:rsid w:val="74345F76"/>
    <w:rsid w:val="744173F8"/>
    <w:rsid w:val="746D3651"/>
    <w:rsid w:val="74AF7F20"/>
    <w:rsid w:val="74B119A4"/>
    <w:rsid w:val="74FB2AA3"/>
    <w:rsid w:val="75407A6A"/>
    <w:rsid w:val="757429EE"/>
    <w:rsid w:val="75B948F2"/>
    <w:rsid w:val="76E31FD1"/>
    <w:rsid w:val="77090B17"/>
    <w:rsid w:val="773D3837"/>
    <w:rsid w:val="775D4679"/>
    <w:rsid w:val="77EA245A"/>
    <w:rsid w:val="78515BD6"/>
    <w:rsid w:val="787D46BA"/>
    <w:rsid w:val="78EB24A3"/>
    <w:rsid w:val="7922349A"/>
    <w:rsid w:val="7A5E3D6A"/>
    <w:rsid w:val="7A956893"/>
    <w:rsid w:val="7AD64CED"/>
    <w:rsid w:val="7B050BBC"/>
    <w:rsid w:val="7B5C33D8"/>
    <w:rsid w:val="7B6A738D"/>
    <w:rsid w:val="7B9A48E5"/>
    <w:rsid w:val="7BBF0AC5"/>
    <w:rsid w:val="7C186AEC"/>
    <w:rsid w:val="7C192448"/>
    <w:rsid w:val="7C9D2026"/>
    <w:rsid w:val="7DA157CF"/>
    <w:rsid w:val="7E7F73FF"/>
    <w:rsid w:val="7F340A71"/>
    <w:rsid w:val="7F521268"/>
    <w:rsid w:val="7F9BBD75"/>
    <w:rsid w:val="7FF52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semiHidden/>
    <w:qFormat/>
    <w:uiPriority w:val="0"/>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Hyperlink"/>
    <w:basedOn w:val="9"/>
    <w:qFormat/>
    <w:uiPriority w:val="0"/>
    <w:rPr>
      <w:color w:val="136EC2"/>
      <w:u w:val="single"/>
    </w:rPr>
  </w:style>
  <w:style w:type="paragraph" w:customStyle="1" w:styleId="12">
    <w:name w:val="Default"/>
    <w:qFormat/>
    <w:uiPriority w:val="0"/>
    <w:pPr>
      <w:widowControl w:val="0"/>
      <w:autoSpaceDE w:val="0"/>
      <w:autoSpaceDN w:val="0"/>
      <w:adjustRightInd w:val="0"/>
    </w:pPr>
    <w:rPr>
      <w:rFonts w:ascii="DFKai-SB" w:hAnsi="Times New Roman" w:eastAsia="DFKai-SB" w:cs="DFKai-SB"/>
      <w:color w:val="000000"/>
      <w:sz w:val="24"/>
      <w:szCs w:val="24"/>
      <w:lang w:val="en-US" w:eastAsia="zh-CN" w:bidi="ar-SA"/>
    </w:rPr>
  </w:style>
  <w:style w:type="paragraph" w:styleId="13">
    <w:name w:val="List Paragraph"/>
    <w:basedOn w:val="1"/>
    <w:unhideWhenUsed/>
    <w:qFormat/>
    <w:uiPriority w:val="99"/>
    <w:pPr>
      <w:ind w:firstLine="420" w:firstLineChars="200"/>
    </w:pPr>
  </w:style>
  <w:style w:type="character" w:customStyle="1" w:styleId="14">
    <w:name w:val="fontstyle01"/>
    <w:basedOn w:val="9"/>
    <w:qFormat/>
    <w:uiPriority w:val="0"/>
    <w:rPr>
      <w:rFonts w:hint="default" w:ascii="FZKTJW--GB1-0" w:hAnsi="FZKTJW--GB1-0"/>
      <w:color w:val="000000"/>
      <w:sz w:val="22"/>
      <w:szCs w:val="22"/>
    </w:rPr>
  </w:style>
  <w:style w:type="character" w:customStyle="1" w:styleId="15">
    <w:name w:val="font51"/>
    <w:basedOn w:val="9"/>
    <w:qFormat/>
    <w:uiPriority w:val="0"/>
    <w:rPr>
      <w:rFonts w:hint="eastAsia" w:ascii="宋体" w:hAnsi="宋体" w:eastAsia="宋体" w:cs="宋体"/>
      <w:b/>
      <w:bCs/>
      <w:color w:val="000000"/>
      <w:sz w:val="21"/>
      <w:szCs w:val="21"/>
      <w:u w:val="none"/>
    </w:rPr>
  </w:style>
  <w:style w:type="character" w:customStyle="1" w:styleId="16">
    <w:name w:val="font61"/>
    <w:basedOn w:val="9"/>
    <w:qFormat/>
    <w:uiPriority w:val="0"/>
    <w:rPr>
      <w:rFonts w:hint="default" w:ascii="Times New Roman" w:hAnsi="Times New Roman" w:cs="Times New Roman"/>
      <w:b/>
      <w:bCs/>
      <w:color w:val="000000"/>
      <w:sz w:val="21"/>
      <w:szCs w:val="21"/>
      <w:u w:val="none"/>
      <w:vertAlign w:val="superscript"/>
    </w:rPr>
  </w:style>
  <w:style w:type="character" w:customStyle="1" w:styleId="17">
    <w:name w:val="font41"/>
    <w:basedOn w:val="9"/>
    <w:qFormat/>
    <w:uiPriority w:val="0"/>
    <w:rPr>
      <w:rFonts w:hint="default" w:ascii="Times New Roman" w:hAnsi="Times New Roman" w:cs="Times New Roman"/>
      <w:b/>
      <w:bCs/>
      <w:color w:val="000000"/>
      <w:sz w:val="21"/>
      <w:szCs w:val="21"/>
      <w:u w:val="none"/>
    </w:rPr>
  </w:style>
  <w:style w:type="character" w:customStyle="1" w:styleId="18">
    <w:name w:val="font21"/>
    <w:basedOn w:val="9"/>
    <w:qFormat/>
    <w:uiPriority w:val="0"/>
    <w:rPr>
      <w:rFonts w:hint="eastAsia" w:ascii="宋体" w:hAnsi="宋体" w:eastAsia="宋体" w:cs="宋体"/>
      <w:b/>
      <w:bCs/>
      <w:color w:val="000000"/>
      <w:sz w:val="21"/>
      <w:szCs w:val="21"/>
      <w:u w:val="none"/>
      <w:vertAlign w:val="superscript"/>
    </w:rPr>
  </w:style>
  <w:style w:type="character" w:customStyle="1" w:styleId="19">
    <w:name w:val="font01"/>
    <w:basedOn w:val="9"/>
    <w:qFormat/>
    <w:uiPriority w:val="0"/>
    <w:rPr>
      <w:rFonts w:hint="eastAsia" w:ascii="宋体" w:hAnsi="宋体" w:eastAsia="宋体" w:cs="宋体"/>
      <w:b/>
      <w:bCs/>
      <w:color w:val="000000"/>
      <w:sz w:val="21"/>
      <w:szCs w:val="21"/>
      <w:u w:val="none"/>
      <w:vertAlign w:val="superscript"/>
    </w:rPr>
  </w:style>
  <w:style w:type="character" w:customStyle="1" w:styleId="20">
    <w:name w:val="font91"/>
    <w:basedOn w:val="9"/>
    <w:qFormat/>
    <w:uiPriority w:val="0"/>
    <w:rPr>
      <w:rFonts w:hint="default" w:ascii="Times New Roman" w:hAnsi="Times New Roman" w:cs="Times New Roman"/>
      <w:b/>
      <w:bCs/>
      <w:color w:val="000000"/>
      <w:sz w:val="21"/>
      <w:szCs w:val="21"/>
      <w:u w:val="none"/>
      <w:vertAlign w:val="superscript"/>
    </w:rPr>
  </w:style>
  <w:style w:type="character" w:customStyle="1" w:styleId="21">
    <w:name w:val="font101"/>
    <w:basedOn w:val="9"/>
    <w:qFormat/>
    <w:uiPriority w:val="0"/>
    <w:rPr>
      <w:rFonts w:hint="default" w:ascii="Times New Roman" w:hAnsi="Times New Roman" w:cs="Times New Roman"/>
      <w:b/>
      <w:bCs/>
      <w:color w:val="000000"/>
      <w:sz w:val="21"/>
      <w:szCs w:val="21"/>
      <w:u w:val="none"/>
    </w:rPr>
  </w:style>
  <w:style w:type="character" w:customStyle="1" w:styleId="22">
    <w:name w:val="font112"/>
    <w:basedOn w:val="9"/>
    <w:qFormat/>
    <w:uiPriority w:val="0"/>
    <w:rPr>
      <w:rFonts w:hint="default" w:ascii="Times New Roman" w:hAnsi="Times New Roman" w:cs="Times New Roman"/>
      <w:b/>
      <w:bCs/>
      <w:color w:val="000000"/>
      <w:sz w:val="21"/>
      <w:szCs w:val="21"/>
      <w:u w:val="none"/>
      <w:vertAlign w:val="superscript"/>
    </w:rPr>
  </w:style>
  <w:style w:type="character" w:customStyle="1" w:styleId="23">
    <w:name w:val="font121"/>
    <w:basedOn w:val="9"/>
    <w:qFormat/>
    <w:uiPriority w:val="0"/>
    <w:rPr>
      <w:rFonts w:hint="default" w:ascii="Times New Roman" w:hAnsi="Times New Roman" w:cs="Times New Roman"/>
      <w:b/>
      <w:bCs/>
      <w:color w:val="000000"/>
      <w:sz w:val="21"/>
      <w:szCs w:val="21"/>
      <w:u w:val="none"/>
    </w:rPr>
  </w:style>
  <w:style w:type="character" w:customStyle="1" w:styleId="24">
    <w:name w:val="font11"/>
    <w:basedOn w:val="9"/>
    <w:qFormat/>
    <w:uiPriority w:val="0"/>
    <w:rPr>
      <w:rFonts w:hint="eastAsia" w:ascii="宋体" w:hAnsi="宋体" w:eastAsia="宋体" w:cs="宋体"/>
      <w:b/>
      <w:bCs/>
      <w:color w:val="000000"/>
      <w:sz w:val="21"/>
      <w:szCs w:val="21"/>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F:\&#22362;&#26524;&#20113;\&#25105;&#30340;&#22362;&#26524;&#20113;\&#24120;&#29992;&#23457;&#26680;&#36164;&#26009;&#25972;&#29702;\&#12304;00&#12305;&#35838;&#39064;\&#12304;02&#12305;DBS%2044-006-2016&#26631;&#20934;&#20462;&#35746;\20211014&#25509;&#25910;\&#22270;1%20&#22270;2.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F:\&#22362;&#26524;&#20113;\&#25105;&#30340;&#22362;&#26524;&#20113;\&#24120;&#29992;&#23457;&#26680;&#36164;&#26009;&#25972;&#29702;\&#12304;00&#12305;&#35838;&#39064;\&#12304;02&#12305;DBS%2044-006-2016&#26631;&#20934;&#20462;&#35746;\20211014&#25509;&#25910;\&#22270;1%20&#2227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956370913942628"/>
          <c:y val="0.117610259618392"/>
          <c:w val="0.81346230820547"/>
          <c:h val="0.73434469815452"/>
        </c:manualLayout>
      </c:layout>
      <c:lineChart>
        <c:grouping val="standard"/>
        <c:varyColors val="false"/>
        <c:ser>
          <c:idx val="0"/>
          <c:order val="0"/>
          <c:tx>
            <c:strRef>
              <c:f>"抽检批次"</c:f>
              <c:strCache>
                <c:ptCount val="1"/>
                <c:pt idx="0">
                  <c:v>抽检批次</c:v>
                </c:pt>
              </c:strCache>
            </c:strRef>
          </c:tx>
          <c:spPr>
            <a:ln w="28575" cap="rnd">
              <a:solidFill>
                <a:schemeClr val="accent1"/>
              </a:solidFill>
              <a:round/>
            </a:ln>
            <a:effectLst/>
          </c:spPr>
          <c:marker>
            <c:symbol val="none"/>
          </c:marker>
          <c:dLbls>
            <c:dLbl>
              <c:idx val="0"/>
              <c:layout>
                <c:manualLayout>
                  <c:x val="-0.0199270965685921"/>
                  <c:y val="-0.0228946160161399"/>
                </c:manualLayout>
              </c:layout>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203680490439923"/>
                  <c:y val="-0.0217163644740852"/>
                </c:manualLayout>
              </c:layout>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00241299107455898"/>
                  <c:y val="-0.0247161441518518"/>
                </c:manualLayout>
              </c:layout>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3"/>
              <c:layout>
                <c:manualLayout>
                  <c:x val="0.0185505715293067"/>
                  <c:y val="-0.0277930667648738"/>
                </c:manualLayout>
              </c:layout>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'[图1 图2.xlsx]Sheet1'!$B$2:$B$5</c:f>
              <c:strCache>
                <c:ptCount val="4"/>
                <c:pt idx="0">
                  <c:v>2018年</c:v>
                </c:pt>
                <c:pt idx="1">
                  <c:v>2019年</c:v>
                </c:pt>
                <c:pt idx="2">
                  <c:v>2020年</c:v>
                </c:pt>
                <c:pt idx="3">
                  <c:v>2021年1月-6月</c:v>
                </c:pt>
              </c:strCache>
            </c:strRef>
          </c:cat>
          <c:val>
            <c:numRef>
              <c:f>'[图1 图2.xlsx]Sheet1'!$C$2:$C$5</c:f>
              <c:numCache>
                <c:formatCode>General</c:formatCode>
                <c:ptCount val="4"/>
                <c:pt idx="0">
                  <c:v>406568</c:v>
                </c:pt>
                <c:pt idx="1">
                  <c:v>496449</c:v>
                </c:pt>
                <c:pt idx="2">
                  <c:v>664900</c:v>
                </c:pt>
                <c:pt idx="3">
                  <c:v>284590</c:v>
                </c:pt>
              </c:numCache>
            </c:numRef>
          </c:val>
          <c:smooth val="false"/>
        </c:ser>
        <c:dLbls>
          <c:showLegendKey val="false"/>
          <c:showVal val="true"/>
          <c:showCatName val="false"/>
          <c:showSerName val="false"/>
          <c:showPercent val="false"/>
          <c:showBubbleSize val="false"/>
        </c:dLbls>
        <c:marker val="false"/>
        <c:smooth val="false"/>
        <c:axId val="287134346"/>
        <c:axId val="250965136"/>
      </c:lineChart>
      <c:lineChart>
        <c:grouping val="standard"/>
        <c:varyColors val="false"/>
        <c:ser>
          <c:idx val="1"/>
          <c:order val="1"/>
          <c:tx>
            <c:strRef>
              <c:f>"不合格批次"</c:f>
              <c:strCache>
                <c:ptCount val="1"/>
                <c:pt idx="0">
                  <c:v>不合格批次</c:v>
                </c:pt>
              </c:strCache>
            </c:strRef>
          </c:tx>
          <c:spPr>
            <a:ln w="28575" cap="rnd">
              <a:solidFill>
                <a:srgbClr val="00B050"/>
              </a:solidFill>
              <a:round/>
            </a:ln>
            <a:effectLst/>
          </c:spPr>
          <c:marker>
            <c:symbol val="none"/>
          </c:marker>
          <c:dLbls>
            <c:dLbl>
              <c:idx val="0"/>
              <c:layout>
                <c:manualLayout>
                  <c:x val="0.00398802063380223"/>
                  <c:y val="-0.0331767390379637"/>
                </c:manualLayout>
              </c:layout>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0712343194046044"/>
                  <c:y val="-0.0283815643361024"/>
                </c:manualLayout>
              </c:layout>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00107876825934881"/>
                  <c:y val="-0.0282272784655923"/>
                </c:manualLayout>
              </c:layout>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3"/>
              <c:layout>
                <c:manualLayout>
                  <c:x val="0.0163084305624583"/>
                  <c:y val="-0.023817818440006"/>
                </c:manualLayout>
              </c:layout>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'[图1 图2.xlsx]Sheet1'!$B$2:$B$5</c:f>
              <c:strCache>
                <c:ptCount val="4"/>
                <c:pt idx="0">
                  <c:v>2018年</c:v>
                </c:pt>
                <c:pt idx="1">
                  <c:v>2019年</c:v>
                </c:pt>
                <c:pt idx="2">
                  <c:v>2020年</c:v>
                </c:pt>
                <c:pt idx="3">
                  <c:v>2021年1月-6月</c:v>
                </c:pt>
              </c:strCache>
            </c:strRef>
          </c:cat>
          <c:val>
            <c:numRef>
              <c:f>'[图1 图2.xlsx]Sheet1'!$D$2:$D$5</c:f>
              <c:numCache>
                <c:formatCode>General</c:formatCode>
                <c:ptCount val="4"/>
                <c:pt idx="0">
                  <c:v>9633</c:v>
                </c:pt>
                <c:pt idx="1">
                  <c:v>10188</c:v>
                </c:pt>
                <c:pt idx="2">
                  <c:v>14931</c:v>
                </c:pt>
                <c:pt idx="3">
                  <c:v>6460</c:v>
                </c:pt>
              </c:numCache>
            </c:numRef>
          </c:val>
          <c:smooth val="false"/>
        </c:ser>
        <c:ser>
          <c:idx val="2"/>
          <c:order val="2"/>
          <c:tx>
            <c:strRef>
              <c:f>"微生物污染问题批次"</c:f>
              <c:strCache>
                <c:ptCount val="1"/>
                <c:pt idx="0">
                  <c:v>微生物污染问题批次</c:v>
                </c:pt>
              </c:strCache>
            </c:strRef>
          </c:tx>
          <c:spPr>
            <a:ln w="28575" cap="rnd">
              <a:solidFill>
                <a:srgbClr val="C00000"/>
              </a:solidFill>
              <a:round/>
            </a:ln>
            <a:effectLst/>
          </c:spPr>
          <c:marker>
            <c:symbol val="none"/>
          </c:marker>
          <c:dLbls>
            <c:dLbl>
              <c:idx val="0"/>
              <c:layout>
                <c:manualLayout>
                  <c:x val="-0.0159960259706935"/>
                  <c:y val="-0.0214600589562998"/>
                </c:manualLayout>
              </c:layout>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164499850465126"/>
                  <c:y val="-0.0277159238296186"/>
                </c:manualLayout>
              </c:layout>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
                  <c:y val="-0.0271261698587927"/>
                </c:manualLayout>
              </c:layout>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3"/>
              <c:layout>
                <c:manualLayout>
                  <c:x val="0.0160952782306724"/>
                  <c:y val="-0.0203576939499032"/>
                </c:manualLayout>
              </c:layout>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'[图1 图2.xlsx]Sheet1'!$B$2:$B$5</c:f>
              <c:strCache>
                <c:ptCount val="4"/>
                <c:pt idx="0">
                  <c:v>2018年</c:v>
                </c:pt>
                <c:pt idx="1">
                  <c:v>2019年</c:v>
                </c:pt>
                <c:pt idx="2">
                  <c:v>2020年</c:v>
                </c:pt>
                <c:pt idx="3">
                  <c:v>2021年1月-6月</c:v>
                </c:pt>
              </c:strCache>
            </c:strRef>
          </c:cat>
          <c:val>
            <c:numRef>
              <c:f>'[图1 图2.xlsx]Sheet1'!$E$2:$E$5</c:f>
              <c:numCache>
                <c:formatCode>0_ </c:formatCode>
                <c:ptCount val="4"/>
                <c:pt idx="0">
                  <c:v>2550.8184</c:v>
                </c:pt>
                <c:pt idx="1">
                  <c:v>2055.9384</c:v>
                </c:pt>
                <c:pt idx="2">
                  <c:v>3463.992</c:v>
                </c:pt>
                <c:pt idx="3">
                  <c:v>1076.882</c:v>
                </c:pt>
              </c:numCache>
            </c:numRef>
          </c:val>
          <c:smooth val="false"/>
        </c:ser>
        <c:dLbls>
          <c:showLegendKey val="false"/>
          <c:showVal val="true"/>
          <c:showCatName val="false"/>
          <c:showSerName val="false"/>
          <c:showPercent val="false"/>
          <c:showBubbleSize val="false"/>
        </c:dLbls>
        <c:marker val="false"/>
        <c:smooth val="false"/>
        <c:axId val="120643580"/>
        <c:axId val="791747182"/>
      </c:lineChart>
      <c:catAx>
        <c:axId val="287134346"/>
        <c:scaling>
          <c:orientation val="minMax"/>
        </c:scaling>
        <c:delete val="false"/>
        <c:axPos val="b"/>
        <c:numFmt formatCode="General" sourceLinked="fals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50965136"/>
        <c:crosses val="autoZero"/>
        <c:auto val="true"/>
        <c:lblAlgn val="ctr"/>
        <c:lblOffset val="100"/>
        <c:noMultiLvlLbl val="false"/>
      </c:catAx>
      <c:valAx>
        <c:axId val="250965136"/>
        <c:scaling>
          <c:orientation val="minMax"/>
        </c:scaling>
        <c:delete val="false"/>
        <c:axPos val="l"/>
        <c:majorGridlines>
          <c:spPr>
            <a:ln w="9525" cap="flat" cmpd="sng" algn="ctr">
              <a:solidFill>
                <a:schemeClr val="tx1">
                  <a:lumMod val="15000"/>
                  <a:lumOff val="85000"/>
                </a:schemeClr>
              </a:solidFill>
              <a:round/>
            </a:ln>
            <a:effectLst/>
          </c:spPr>
        </c:majorGridlines>
        <c:title>
          <c:tx>
            <c:rich>
              <a:bodyPr rot="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rPr lang="zh-CN" altLang="en-US"/>
                  <a:t>批次</a:t>
                </a:r>
                <a:endParaRPr lang="zh-CN" altLang="en-US"/>
              </a:p>
            </c:rich>
          </c:tx>
          <c:layout>
            <c:manualLayout>
              <c:xMode val="edge"/>
              <c:yMode val="edge"/>
              <c:x val="0.0510284634200578"/>
              <c:y val="0.0405938064034801"/>
            </c:manualLayout>
          </c:layout>
          <c:overlay val="false"/>
          <c:spPr>
            <a:noFill/>
            <a:ln>
              <a:noFill/>
            </a:ln>
            <a:effectLst/>
          </c:spPr>
        </c:title>
        <c:numFmt formatCode="General" sourceLinked="fals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87134346"/>
        <c:crosses val="autoZero"/>
        <c:crossBetween val="between"/>
        <c:majorUnit val="100000"/>
      </c:valAx>
      <c:catAx>
        <c:axId val="120643580"/>
        <c:scaling>
          <c:orientation val="minMax"/>
        </c:scaling>
        <c:delete val="true"/>
        <c:axPos val="b"/>
        <c:numFmt formatCode="General" sourceLinked="true"/>
        <c:majorTickMark val="none"/>
        <c:minorTickMark val="none"/>
        <c:tickLblPos val="nextTo"/>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91747182"/>
        <c:crosses val="autoZero"/>
        <c:auto val="true"/>
        <c:lblAlgn val="ctr"/>
        <c:lblOffset val="100"/>
        <c:noMultiLvlLbl val="false"/>
      </c:catAx>
      <c:valAx>
        <c:axId val="791747182"/>
        <c:scaling>
          <c:orientation val="minMax"/>
          <c:max val="30000"/>
        </c:scaling>
        <c:delete val="false"/>
        <c:axPos val="r"/>
        <c:title>
          <c:tx>
            <c:rich>
              <a:bodyPr rot="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rPr lang="zh-CN" altLang="en-US"/>
                  <a:t>批次</a:t>
                </a:r>
                <a:endParaRPr lang="zh-CN" altLang="en-US"/>
              </a:p>
            </c:rich>
          </c:tx>
          <c:layout>
            <c:manualLayout>
              <c:xMode val="edge"/>
              <c:yMode val="edge"/>
              <c:x val="0.917777777777778"/>
              <c:y val="0.0444779582366591"/>
            </c:manualLayout>
          </c:layout>
          <c:overlay val="false"/>
          <c:spPr>
            <a:noFill/>
            <a:ln>
              <a:noFill/>
            </a:ln>
            <a:effectLst/>
          </c:spPr>
        </c:title>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20643580"/>
        <c:crosses val="max"/>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956370913942628"/>
          <c:y val="0.117610259618392"/>
          <c:w val="0.81346230820547"/>
          <c:h val="0.73434469815452"/>
        </c:manualLayout>
      </c:layout>
      <c:lineChart>
        <c:grouping val="standard"/>
        <c:varyColors val="false"/>
        <c:ser>
          <c:idx val="0"/>
          <c:order val="0"/>
          <c:tx>
            <c:strRef>
              <c:f>"抽检批次"</c:f>
              <c:strCache>
                <c:ptCount val="1"/>
                <c:pt idx="0">
                  <c:v>抽检批次</c:v>
                </c:pt>
              </c:strCache>
            </c:strRef>
          </c:tx>
          <c:spPr>
            <a:ln w="28575" cap="rnd">
              <a:solidFill>
                <a:schemeClr val="accent1"/>
              </a:solidFill>
              <a:round/>
            </a:ln>
            <a:effectLst/>
          </c:spPr>
          <c:marker>
            <c:symbol val="none"/>
          </c:marker>
          <c:dLbls>
            <c:dLbl>
              <c:idx val="0"/>
              <c:layout>
                <c:manualLayout>
                  <c:x val="-0.0190045306051257"/>
                  <c:y val="-0.0277146674300218"/>
                </c:manualLayout>
              </c:layout>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166777851901268"/>
                  <c:y val="-0.0265364158879669"/>
                </c:manualLayout>
              </c:layout>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00886195303524603"/>
                  <c:y val="-0.0208815928906746"/>
                </c:manualLayout>
              </c:layout>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3"/>
              <c:layout>
                <c:manualLayout>
                  <c:x val="-0.0192746329728152"/>
                  <c:y val="-0.0253830410579329"/>
                </c:manualLayout>
              </c:layout>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4"/>
              <c:layout>
                <c:manualLayout>
                  <c:x val="-0.0175287533058614"/>
                  <c:y val="-0.0241002570694088"/>
                </c:manualLayout>
              </c:layout>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'[图1 图2.xlsx]Sheet1'!$B$7:$B$11</c:f>
              <c:strCache>
                <c:ptCount val="5"/>
                <c:pt idx="0">
                  <c:v>2016年</c:v>
                </c:pt>
                <c:pt idx="1">
                  <c:v>2017年</c:v>
                </c:pt>
                <c:pt idx="2">
                  <c:v>2018年</c:v>
                </c:pt>
                <c:pt idx="3">
                  <c:v>2019年</c:v>
                </c:pt>
                <c:pt idx="4">
                  <c:v>2020年</c:v>
                </c:pt>
              </c:strCache>
            </c:strRef>
          </c:cat>
          <c:val>
            <c:numRef>
              <c:f>'[图1 图2.xlsx]Sheet1'!$C$7:$C$11</c:f>
              <c:numCache>
                <c:formatCode>General</c:formatCode>
                <c:ptCount val="5"/>
                <c:pt idx="0">
                  <c:v>44531</c:v>
                </c:pt>
                <c:pt idx="1">
                  <c:v>71615</c:v>
                </c:pt>
                <c:pt idx="2">
                  <c:v>67902</c:v>
                </c:pt>
                <c:pt idx="3">
                  <c:v>69065</c:v>
                </c:pt>
                <c:pt idx="4">
                  <c:v>146194</c:v>
                </c:pt>
              </c:numCache>
            </c:numRef>
          </c:val>
          <c:smooth val="false"/>
        </c:ser>
        <c:dLbls>
          <c:showLegendKey val="false"/>
          <c:showVal val="true"/>
          <c:showCatName val="false"/>
          <c:showSerName val="false"/>
          <c:showPercent val="false"/>
          <c:showBubbleSize val="false"/>
        </c:dLbls>
        <c:marker val="false"/>
        <c:smooth val="false"/>
        <c:axId val="287134346"/>
        <c:axId val="250965136"/>
      </c:lineChart>
      <c:lineChart>
        <c:grouping val="standard"/>
        <c:varyColors val="false"/>
        <c:ser>
          <c:idx val="1"/>
          <c:order val="1"/>
          <c:tx>
            <c:strRef>
              <c:f>"不合格批次"</c:f>
              <c:strCache>
                <c:ptCount val="1"/>
                <c:pt idx="0">
                  <c:v>不合格批次</c:v>
                </c:pt>
              </c:strCache>
            </c:strRef>
          </c:tx>
          <c:spPr>
            <a:ln w="28575" cap="rnd">
              <a:solidFill>
                <a:srgbClr val="00B050"/>
              </a:solidFill>
              <a:round/>
            </a:ln>
            <a:effectLst/>
          </c:spPr>
          <c:marker>
            <c:symbol val="none"/>
          </c:marker>
          <c:dLbls>
            <c:dLbl>
              <c:idx val="0"/>
              <c:layout>
                <c:manualLayout>
                  <c:x val="-0.0116956007451264"/>
                  <c:y val="-0.0235366362102002"/>
                </c:manualLayout>
              </c:layout>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145039596481916"/>
                  <c:y val="-0.0187414615083389"/>
                </c:manualLayout>
              </c:layout>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00261149559451668"/>
                  <c:y val="-0.0209972013447696"/>
                </c:manualLayout>
              </c:layout>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3"/>
              <c:layout>
                <c:manualLayout>
                  <c:x val="-0.0103563239072928"/>
                  <c:y val="-0.0240979873520691"/>
                </c:manualLayout>
              </c:layout>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4"/>
              <c:layout>
                <c:manualLayout>
                  <c:x val="-0.0147610554154622"/>
                  <c:y val="-0.0241002570694087"/>
                </c:manualLayout>
              </c:layout>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'[图1 图2.xlsx]Sheet1'!$B$7:$B$11</c:f>
              <c:strCache>
                <c:ptCount val="5"/>
                <c:pt idx="0">
                  <c:v>2016年</c:v>
                </c:pt>
                <c:pt idx="1">
                  <c:v>2017年</c:v>
                </c:pt>
                <c:pt idx="2">
                  <c:v>2018年</c:v>
                </c:pt>
                <c:pt idx="3">
                  <c:v>2019年</c:v>
                </c:pt>
                <c:pt idx="4">
                  <c:v>2020年</c:v>
                </c:pt>
              </c:strCache>
            </c:strRef>
          </c:cat>
          <c:val>
            <c:numRef>
              <c:f>'[图1 图2.xlsx]Sheet1'!$D$7:$D$11</c:f>
              <c:numCache>
                <c:formatCode>General</c:formatCode>
                <c:ptCount val="5"/>
                <c:pt idx="0">
                  <c:v>623</c:v>
                </c:pt>
                <c:pt idx="1">
                  <c:v>1360</c:v>
                </c:pt>
                <c:pt idx="2">
                  <c:v>1086</c:v>
                </c:pt>
                <c:pt idx="3">
                  <c:v>910</c:v>
                </c:pt>
                <c:pt idx="4">
                  <c:v>4780</c:v>
                </c:pt>
              </c:numCache>
            </c:numRef>
          </c:val>
          <c:smooth val="false"/>
        </c:ser>
        <c:ser>
          <c:idx val="2"/>
          <c:order val="2"/>
          <c:tx>
            <c:strRef>
              <c:f>"微生物污染问题批次"</c:f>
              <c:strCache>
                <c:ptCount val="1"/>
                <c:pt idx="0">
                  <c:v>微生物污染问题批次</c:v>
                </c:pt>
              </c:strCache>
            </c:strRef>
          </c:tx>
          <c:spPr>
            <a:ln w="28575" cap="rnd">
              <a:solidFill>
                <a:srgbClr val="C00000"/>
              </a:solidFill>
              <a:round/>
            </a:ln>
            <a:effectLst/>
          </c:spPr>
          <c:marker>
            <c:symbol val="none"/>
          </c:marker>
          <c:dLbls>
            <c:dLbl>
              <c:idx val="0"/>
              <c:layout>
                <c:manualLayout>
                  <c:x val="-0.0132283280802943"/>
                  <c:y val="-0.0166400075424181"/>
                </c:manualLayout>
              </c:layout>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00254860550234232"/>
                  <c:y val="-0.0231760413278"/>
                </c:manualLayout>
              </c:layout>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00184513192693272"/>
                  <c:y val="-0.0271261698587927"/>
                </c:manualLayout>
              </c:layout>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3"/>
              <c:layout>
                <c:manualLayout>
                  <c:x val="-0.013426832600252"/>
                  <c:y val="-0.0213431941026077"/>
                </c:manualLayout>
              </c:layout>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4"/>
              <c:layout>
                <c:manualLayout>
                  <c:x val="-0.0147610554154622"/>
                  <c:y val="-0.0241002570694087"/>
                </c:manualLayout>
              </c:layout>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'[图1 图2.xlsx]Sheet1'!$B$7:$B$11</c:f>
              <c:strCache>
                <c:ptCount val="5"/>
                <c:pt idx="0">
                  <c:v>2016年</c:v>
                </c:pt>
                <c:pt idx="1">
                  <c:v>2017年</c:v>
                </c:pt>
                <c:pt idx="2">
                  <c:v>2018年</c:v>
                </c:pt>
                <c:pt idx="3">
                  <c:v>2019年</c:v>
                </c:pt>
                <c:pt idx="4">
                  <c:v>2020年</c:v>
                </c:pt>
              </c:strCache>
            </c:strRef>
          </c:cat>
          <c:val>
            <c:numRef>
              <c:f>'[图1 图2.xlsx]Sheet1'!$E$7:$E$11</c:f>
              <c:numCache>
                <c:formatCode>0_ </c:formatCode>
                <c:ptCount val="5"/>
                <c:pt idx="0">
                  <c:v>102.172</c:v>
                </c:pt>
                <c:pt idx="1">
                  <c:v>254.32</c:v>
                </c:pt>
                <c:pt idx="2">
                  <c:v>140.094</c:v>
                </c:pt>
                <c:pt idx="3">
                  <c:v>125.489</c:v>
                </c:pt>
                <c:pt idx="4">
                  <c:v>1328.84</c:v>
                </c:pt>
              </c:numCache>
            </c:numRef>
          </c:val>
          <c:smooth val="false"/>
        </c:ser>
        <c:dLbls>
          <c:showLegendKey val="false"/>
          <c:showVal val="true"/>
          <c:showCatName val="false"/>
          <c:showSerName val="false"/>
          <c:showPercent val="false"/>
          <c:showBubbleSize val="false"/>
        </c:dLbls>
        <c:marker val="false"/>
        <c:smooth val="false"/>
        <c:axId val="120643580"/>
        <c:axId val="791747182"/>
      </c:lineChart>
      <c:catAx>
        <c:axId val="287134346"/>
        <c:scaling>
          <c:orientation val="minMax"/>
        </c:scaling>
        <c:delete val="false"/>
        <c:axPos val="b"/>
        <c:numFmt formatCode="General" sourceLinked="fals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50965136"/>
        <c:crosses val="autoZero"/>
        <c:auto val="true"/>
        <c:lblAlgn val="ctr"/>
        <c:lblOffset val="100"/>
        <c:noMultiLvlLbl val="false"/>
      </c:catAx>
      <c:valAx>
        <c:axId val="250965136"/>
        <c:scaling>
          <c:orientation val="minMax"/>
        </c:scaling>
        <c:delete val="false"/>
        <c:axPos val="l"/>
        <c:majorGridlines>
          <c:spPr>
            <a:ln w="9525" cap="flat" cmpd="sng" algn="ctr">
              <a:solidFill>
                <a:schemeClr val="tx1">
                  <a:lumMod val="15000"/>
                  <a:lumOff val="85000"/>
                </a:schemeClr>
              </a:solidFill>
              <a:round/>
            </a:ln>
            <a:effectLst/>
          </c:spPr>
        </c:majorGridlines>
        <c:title>
          <c:tx>
            <c:rich>
              <a:bodyPr rot="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rPr lang="zh-CN" altLang="en-US"/>
                  <a:t>批次</a:t>
                </a:r>
                <a:endParaRPr lang="zh-CN" altLang="en-US"/>
              </a:p>
            </c:rich>
          </c:tx>
          <c:layout>
            <c:manualLayout>
              <c:xMode val="edge"/>
              <c:yMode val="edge"/>
              <c:x val="0.0510284634200578"/>
              <c:y val="0.0405938064034801"/>
            </c:manualLayout>
          </c:layout>
          <c:overlay val="false"/>
          <c:spPr>
            <a:noFill/>
            <a:ln>
              <a:noFill/>
            </a:ln>
            <a:effectLst/>
          </c:spPr>
        </c:title>
        <c:numFmt formatCode="General" sourceLinked="fals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87134346"/>
        <c:crosses val="autoZero"/>
        <c:crossBetween val="between"/>
        <c:majorUnit val="20000"/>
      </c:valAx>
      <c:catAx>
        <c:axId val="120643580"/>
        <c:scaling>
          <c:orientation val="minMax"/>
        </c:scaling>
        <c:delete val="true"/>
        <c:axPos val="b"/>
        <c:numFmt formatCode="General" sourceLinked="true"/>
        <c:majorTickMark val="none"/>
        <c:minorTickMark val="none"/>
        <c:tickLblPos val="nextTo"/>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91747182"/>
        <c:crosses val="autoZero"/>
        <c:auto val="true"/>
        <c:lblAlgn val="ctr"/>
        <c:lblOffset val="100"/>
        <c:noMultiLvlLbl val="false"/>
      </c:catAx>
      <c:valAx>
        <c:axId val="791747182"/>
        <c:scaling>
          <c:orientation val="minMax"/>
          <c:max val="8000"/>
        </c:scaling>
        <c:delete val="false"/>
        <c:axPos val="r"/>
        <c:title>
          <c:tx>
            <c:rich>
              <a:bodyPr rot="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rPr lang="zh-CN" altLang="en-US"/>
                  <a:t>批次</a:t>
                </a:r>
                <a:endParaRPr lang="zh-CN" altLang="en-US"/>
              </a:p>
            </c:rich>
          </c:tx>
          <c:layout>
            <c:manualLayout>
              <c:xMode val="edge"/>
              <c:yMode val="edge"/>
              <c:x val="0.917777777777778"/>
              <c:y val="0.0444779582366591"/>
            </c:manualLayout>
          </c:layout>
          <c:overlay val="false"/>
          <c:spPr>
            <a:noFill/>
            <a:ln>
              <a:noFill/>
            </a:ln>
            <a:effectLst/>
          </c:spPr>
        </c:title>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20643580"/>
        <c:crosses val="max"/>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6892</Words>
  <Characters>1995</Characters>
  <Lines>16</Lines>
  <Paragraphs>17</Paragraphs>
  <TotalTime>4</TotalTime>
  <ScaleCrop>false</ScaleCrop>
  <LinksUpToDate>false</LinksUpToDate>
  <CharactersWithSpaces>8870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2021-08-09T08:41:00Z</dcterms:created>
  <dc:creator>liufang</dc:creator>
  <cp:lastModifiedBy>wjw</cp:lastModifiedBy>
  <dcterms:modified xsi:type="dcterms:W3CDTF">2022-07-08T08:50:44Z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E5203E9CEFD24AF7A0B751E5052EFE4C</vt:lpwstr>
  </property>
</Properties>
</file>