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71" w:rsidRDefault="001F2771" w:rsidP="001F2771">
      <w:pPr>
        <w:pStyle w:val="customunionstyle"/>
        <w:shd w:val="clear" w:color="auto" w:fill="FFFFFF"/>
        <w:snapToGrid w:val="0"/>
        <w:spacing w:before="0" w:beforeAutospacing="0" w:after="0" w:afterAutospacing="0"/>
        <w:ind w:right="641"/>
        <w:rPr>
          <w:rFonts w:ascii="方正黑体简体" w:eastAsia="方正黑体简体" w:hint="eastAsia"/>
          <w:color w:val="000000"/>
          <w:sz w:val="32"/>
          <w:szCs w:val="32"/>
        </w:rPr>
      </w:pPr>
      <w:r>
        <w:rPr>
          <w:rFonts w:ascii="方正黑体简体" w:eastAsia="方正黑体简体" w:hint="eastAsia"/>
          <w:color w:val="000000"/>
          <w:sz w:val="32"/>
          <w:szCs w:val="32"/>
        </w:rPr>
        <w:t>附件</w:t>
      </w:r>
    </w:p>
    <w:p w:rsidR="001F2771" w:rsidRDefault="001F2771" w:rsidP="001F2771">
      <w:pPr>
        <w:pStyle w:val="customunionstyle"/>
        <w:shd w:val="clear" w:color="auto" w:fill="FFFFFF"/>
        <w:snapToGrid w:val="0"/>
        <w:spacing w:before="0" w:beforeAutospacing="0" w:after="0" w:afterAutospacing="0"/>
        <w:ind w:right="641"/>
        <w:rPr>
          <w:rFonts w:ascii="方正黑体简体" w:eastAsia="方正黑体简体" w:hint="eastAsia"/>
          <w:color w:val="000000"/>
          <w:sz w:val="32"/>
          <w:szCs w:val="32"/>
        </w:rPr>
      </w:pPr>
    </w:p>
    <w:p w:rsidR="001F2771" w:rsidRDefault="001F2771" w:rsidP="001F2771">
      <w:pPr>
        <w:pStyle w:val="customunionstyle"/>
        <w:shd w:val="clear" w:color="auto" w:fill="FFFFFF"/>
        <w:snapToGrid w:val="0"/>
        <w:spacing w:before="0" w:beforeAutospacing="0" w:after="0" w:afterAutospacing="0"/>
        <w:ind w:right="641" w:firstLineChars="500" w:firstLine="2000"/>
        <w:rPr>
          <w:rFonts w:ascii="方正小标宋简体" w:eastAsia="方正小标宋简体" w:hint="eastAsia"/>
          <w:color w:val="000000"/>
          <w:sz w:val="40"/>
          <w:szCs w:val="40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40"/>
          <w:szCs w:val="40"/>
        </w:rPr>
        <w:t>2022年度地方标准制修订项目立项计划（第四批）汇总表</w:t>
      </w:r>
    </w:p>
    <w:bookmarkEnd w:id="0"/>
    <w:p w:rsidR="001F2771" w:rsidRPr="001F2771" w:rsidRDefault="001F2771" w:rsidP="001F2771">
      <w:pPr>
        <w:pStyle w:val="customunionstyle"/>
        <w:shd w:val="clear" w:color="auto" w:fill="FFFFFF"/>
        <w:snapToGrid w:val="0"/>
        <w:spacing w:before="0" w:beforeAutospacing="0" w:after="0" w:afterAutospacing="0"/>
        <w:ind w:right="641" w:firstLineChars="500" w:firstLine="1600"/>
        <w:rPr>
          <w:rFonts w:ascii="方正黑体简体" w:eastAsia="方正黑体简体" w:hint="eastAsia"/>
          <w:color w:val="000000"/>
          <w:sz w:val="3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5175"/>
        <w:gridCol w:w="975"/>
        <w:gridCol w:w="2250"/>
        <w:gridCol w:w="6390"/>
      </w:tblGrid>
      <w:tr w:rsidR="001F2771" w:rsidTr="001F2771">
        <w:trPr>
          <w:trHeight w:val="272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制修订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归口单位</w:t>
            </w:r>
          </w:p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主要起草单位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四川省中心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乡镇消防救援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站建设规范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四川省消防救援总队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四川省消防救援总队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地震救援快反分队建设指南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四川省消防救援总队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四川省消防救援总队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居住场所电气防火安全管理规程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四川省消防救援总队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成都市消防救援支队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居家社区养老服务消防安全管理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四川省消防救援总队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绵阳市消防救援支队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消防安全重点单位灭火救援信息共享规则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四川省消防救援总队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眉山市消防救援支队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成都市餐饮业油烟污染物排放标准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生态环境厅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成都市环境保护科学研究院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有轨电车 氢动力系统 技术条件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四川省经济和信息化厅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四川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荣创新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>能动力系统有限公司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志愿服务阵地建设规范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制定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共青团四川省委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共青团四川省委、四川青年志愿者协会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《四川省乡镇（街道）便民服务中心建设规范》（DB51/T1618-2013）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省政务服务和公共资源交易服务中心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省政务服务和公共资源交易服务中心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天然气汽车改装企业管理规范（DB51/T2146-2016）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省发展和改革委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四川省清洁能源汽车产业协会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油菜科学施肥技术规程（DB51/T 1675-2013）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四川省农业农村厅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四川省耕地质量与肥料工作总站、四川省农业科学院农业资源与环境研究所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毛木耳生产技术规程 （DB51/T 439-2014）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四川省农业农村厅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四川省农业科学院农业资源与环境研究所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茶园病虫绿色防控技术规程（DB51/T 1543-2012）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四川省农业农村厅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四川省农业农村厅植物保护站、四川省农业科学院植物保护研究所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规模鸭场建设规范（DB51/T 1739-2014）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四川省农业农村厅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四川省畜牧总站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农用天气预报制作规范（DB51/T1706-2013）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四川省气象局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绵阳市气象局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电梯安装施工方案编写规范（DB51/T682-2016）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四川省市场监督管理局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四川省特种设备检验研究院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桥门式起重机 起重小车使用维护规则（DB51/T683-2016）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四川省市场监督管理局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四川省特种设备检验研究院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安全社区建设与管理规范（DB51/T1795-2014）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四川省应急管理厅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四川煤矿安全监察局安全技术中心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桢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楠播种育苗技术规程（DB51/T1509-2012）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四川省林业和草原局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四川省林业科学研究院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岷江柏木育苗技术规程（DB51/T 2289-2016）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四川省林业和草原局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四川省林业科学研究院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大熊猫国家公园 栖息地修复 （DB51/T 2028-2015）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四川省林业和草原局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四川省大熊猫科学研究院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森林康养基地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建设 基础设施 （DB51/T2261-2016）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四川省林业和草原局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四川省林业和草原调查规划院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变叶海棠育苗造林技术规程（DB51/T 1610 -2013）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四川省林业和草原局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甘孜藏族自治州林业科学研究所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低压线路电气火灾原因认定导则 第1部分：必要条件（DB51/T 1598.1-2013）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四川省消防救援总队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四川省消防救援总队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低压线路电气火灾原因认定导则 第2部分：短路（DB51/T 1598.2-2013）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四川省消防救援总队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四川省消防救援总队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低压线路电气火灾原因认定导则 第3部分：过负荷（DB51/T 1598.3-2013）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四川省消防救援总队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四川省消防救援总队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低压线路电气火灾原因认定导则 第4部分：接触不良（DB51/T 1598.4-2013）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四川省消防救援总队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四川省消防救援总队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低压线路电气火灾原因认定导则 第5部分：漏电（DB51/T 1598.5-2013）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四川省消防救援总队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四川省消防救援总队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含钒热轧带肋抗震钢筋技术条件 （DB51/T 2189-2016 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四川省经济和信息化厅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四川省工业和信息化研究院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四川泡菜生产规范 （DB51/T 1069-2010）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四川省经济和信息化厅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四川省食品发酵工业研究设计院有限公司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芳纶Ⅲ纤维技术条件 （DB51/T 1915-2014 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四川省经济和信息化厅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中蓝晨光化工研究设计院有限公司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额定电压 10kV 及以下钢芯铝绞线架空绝缘电缆通用技术条件（DB51/T 2174-2016）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四川省经济和信息化厅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成都产品质量检验研究院有限责任公司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再生资源回收服务规范（DB51/T 1727-2014）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四川省商务厅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成都市再生资源行业协会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中小学舞蹈教室建设规范（DB51/T 1423-2012）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四川省教育厅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四川省学校国有资产与教育装备中心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中学数字化实验室建设规范 （DB51/T 1777-2014）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四川省教育厅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四川省学校国有资产与教育装备中心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小额贷款公司服务与管理规范（DB51/T 2548-2018）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四川省地方金融监督管理局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四川省地方金融监督管理局、四川省小额贷款公司协会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政府采购规范（DB51/T 1714-2013）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四川省政府政务服务和公共资源交易服务中心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四川省标准化研究院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工程建设招投标规范（DB51/T 1715-2013）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四川省政府政务服务和公共资源交易服务中心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四川省政府政务服务和公共资源交易服务中心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公共资源交易服务规范（DB51/T 1716-2013）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四川省政府政务服务和公共资源交易服务中心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四川省政府政务服务和公共资源交易服务中心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公共资源交易（服务）中心标识标志（DB51/T 1717-2013）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四川省政府政务服务和公共资源交易服务中心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四川省政府政务服务和公共资源交易服务中心</w:t>
            </w:r>
          </w:p>
        </w:tc>
      </w:tr>
      <w:tr w:rsidR="001F2771" w:rsidTr="001F2771">
        <w:trPr>
          <w:trHeight w:val="27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公共资源交易（服务）中心安全与应急规范（DB51/T 1718-2013）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修订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四川省政府政务服务和公共资源交易服务中心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2771" w:rsidRDefault="001F2771">
            <w:pPr>
              <w:widowControl/>
              <w:autoSpaceDE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四川省政府政务服务和公共资源交易服务中心</w:t>
            </w:r>
          </w:p>
        </w:tc>
      </w:tr>
    </w:tbl>
    <w:p w:rsidR="003D01B7" w:rsidRPr="001F2771" w:rsidRDefault="003D01B7" w:rsidP="001F2771"/>
    <w:sectPr w:rsidR="003D01B7" w:rsidRPr="001F2771" w:rsidSect="001F27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71"/>
    <w:rsid w:val="001F2771"/>
    <w:rsid w:val="003D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71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1F2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71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1F2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2022-06-17T07:57:00Z</dcterms:created>
  <dcterms:modified xsi:type="dcterms:W3CDTF">2022-06-17T07:59:00Z</dcterms:modified>
</cp:coreProperties>
</file>