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广东省地方标准意见反馈表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5"/>
        <w:tblW w:w="9226" w:type="dxa"/>
        <w:jc w:val="center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873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056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056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jc w:val="right"/>
        <w:rPr>
          <w:rFonts w:hint="eastAsia"/>
        </w:rPr>
      </w:pPr>
      <w:r>
        <w:rPr>
          <w:szCs w:val="32"/>
        </w:rPr>
        <w:t>（纸面不敷，可另增页）</w:t>
      </w:r>
    </w:p>
    <w:p/>
    <w:sectPr>
      <w:footerReference r:id="rId3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4"/>
        <w:rFonts w:hint="eastAsia"/>
        <w:spacing w:val="40"/>
      </w:rPr>
    </w:pPr>
    <w:r>
      <w:rPr>
        <w:rStyle w:val="4"/>
        <w:rFonts w:hint="eastAsia" w:eastAsia="方正中等线简体"/>
        <w:spacing w:val="40"/>
        <w:sz w:val="28"/>
      </w:rPr>
      <w:t>一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4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4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4"/>
        <w:rFonts w:hint="eastAsia" w:eastAsia="方正中等线简体"/>
        <w:spacing w:val="40"/>
        <w:sz w:val="28"/>
      </w:rPr>
      <w:t>一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9E7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2022-06-30T08:39:20Z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