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9"/>
        <w:framePr w:wrap="around"/>
        <w:spacing w:before="57"/>
        <w:ind w:left="142"/>
        <w:rPr>
          <w:rFonts w:hAnsi="黑体"/>
        </w:rPr>
      </w:pPr>
      <w:r>
        <w:rPr>
          <w:rFonts w:hAnsi="黑体"/>
        </w:rPr>
        <w:t>ICS</w:t>
      </w:r>
      <w:r>
        <w:rPr>
          <w:rFonts w:hint="eastAsia" w:hAnsi="黑体"/>
        </w:rPr>
        <w:t xml:space="preserve"> 03.200</w:t>
      </w:r>
    </w:p>
    <w:p>
      <w:pPr>
        <w:pStyle w:val="29"/>
        <w:framePr w:wrap="around"/>
        <w:ind w:left="142"/>
        <w:rPr>
          <w:rFonts w:hAnsi="黑体"/>
        </w:rPr>
      </w:pPr>
      <w:r>
        <w:rPr>
          <w:rFonts w:hint="eastAsia" w:hAnsi="黑体"/>
        </w:rPr>
        <w:t>CCS S 90</w:t>
      </w:r>
    </w:p>
    <w:p>
      <w:pPr>
        <w:pStyle w:val="29"/>
        <w:framePr w:wrap="around"/>
      </w:pPr>
    </w:p>
    <w:tbl>
      <w:tblPr>
        <w:tblStyle w:val="13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29"/>
              <w:framePr w:wrap="around"/>
            </w:pPr>
            <w:r>
              <w:pict>
                <v:rect id="BAH" o:spid="_x0000_s3109" o:spt="1" style="position:absolute;left:0pt;margin-left:-5.25pt;margin-top:0pt;height:15.6pt;width:68.25pt;z-index:-251651072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</w:p>
        </w:tc>
      </w:tr>
    </w:tbl>
    <w:p>
      <w:pPr>
        <w:pStyle w:val="26"/>
        <w:framePr w:wrap="around"/>
      </w:pPr>
      <w:r>
        <w:t>DB</w:t>
      </w:r>
      <w:r>
        <w:rPr>
          <w:rFonts w:hint="eastAsia"/>
        </w:rPr>
        <w:t>21</w:t>
      </w:r>
    </w:p>
    <w:p>
      <w:pPr>
        <w:pStyle w:val="27"/>
        <w:framePr w:wrap="around"/>
      </w:pPr>
      <w:r>
        <w:rPr>
          <w:rFonts w:hint="eastAsia"/>
        </w:rPr>
        <w:t>辽宁省地方标准</w:t>
      </w:r>
    </w:p>
    <w:p>
      <w:pPr>
        <w:pStyle w:val="20"/>
        <w:framePr w:wrap="around"/>
        <w:rPr>
          <w:rFonts w:hAnsi="黑体"/>
        </w:rPr>
      </w:pPr>
      <w:r>
        <w:rPr>
          <w:rFonts w:ascii="Times New Roman"/>
        </w:rPr>
        <w:t>DB</w:t>
      </w:r>
      <w:r>
        <w:rPr>
          <w:rFonts w:hint="eastAsia" w:hAnsi="黑体"/>
        </w:rPr>
        <w:t>21</w:t>
      </w:r>
      <w:r>
        <w:rPr>
          <w:rFonts w:hAnsi="黑体"/>
        </w:rPr>
        <w:t>/</w:t>
      </w:r>
      <w:r>
        <w:rPr>
          <w:rFonts w:hint="eastAsia" w:hAnsi="黑体"/>
        </w:rPr>
        <w:t>T</w:t>
      </w:r>
      <w:r>
        <w:rPr>
          <w:rFonts w:hAnsi="黑体"/>
        </w:rPr>
        <w:t xml:space="preserve"> </w:t>
      </w:r>
      <w:bookmarkStart w:id="0" w:name="StdNo1"/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XXXXX</w:t>
      </w:r>
      <w:r>
        <w:rPr>
          <w:rFonts w:hAnsi="黑体"/>
        </w:rPr>
        <w:fldChar w:fldCharType="end"/>
      </w:r>
      <w:bookmarkEnd w:id="0"/>
      <w:r>
        <w:rPr>
          <w:rFonts w:hAnsi="黑体"/>
        </w:rPr>
        <w:t>—</w:t>
      </w:r>
      <w:bookmarkStart w:id="1" w:name="StdNo2"/>
      <w:r>
        <w:rPr>
          <w:rFonts w:hint="eastAsia" w:hAnsi="黑体"/>
        </w:rPr>
        <w:t>20</w:t>
      </w:r>
      <w:bookmarkEnd w:id="1"/>
      <w:r>
        <w:rPr>
          <w:rFonts w:hint="eastAsia" w:hAnsi="黑体"/>
        </w:rPr>
        <w:t>21</w:t>
      </w:r>
    </w:p>
    <w:tbl>
      <w:tblPr>
        <w:tblStyle w:val="13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22"/>
              <w:framePr w:wrap="around"/>
            </w:pPr>
            <w:bookmarkStart w:id="2" w:name="DT"/>
            <w:r>
              <w:pict>
                <v:rect id="DT" o:spid="_x0000_s3098" o:spt="1" style="position:absolute;left:0pt;margin-left:372.8pt;margin-top:2.7pt;height:18pt;width:90pt;z-index:-251655168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  <w:bookmarkEnd w:id="2"/>
          </w:p>
        </w:tc>
      </w:tr>
    </w:tbl>
    <w:p>
      <w:pPr>
        <w:pStyle w:val="20"/>
        <w:framePr w:wrap="around"/>
        <w:rPr>
          <w:rFonts w:hAnsi="黑体"/>
        </w:rPr>
      </w:pPr>
    </w:p>
    <w:p>
      <w:pPr>
        <w:pStyle w:val="20"/>
        <w:framePr w:wrap="around"/>
        <w:rPr>
          <w:rFonts w:hAnsi="黑体"/>
        </w:rPr>
      </w:pPr>
    </w:p>
    <w:p>
      <w:pPr>
        <w:framePr w:w="9639" w:h="6917" w:hRule="exact" w:wrap="around" w:vAnchor="page" w:hAnchor="page" w:xAlign="center" w:y="6408" w:anchorLock="1"/>
        <w:spacing w:line="240" w:lineRule="auto"/>
        <w:jc w:val="center"/>
        <w:rPr>
          <w:rFonts w:ascii="黑体" w:hAnsi="黑体" w:cs="黑体"/>
          <w:spacing w:val="-6"/>
          <w:sz w:val="52"/>
          <w:szCs w:val="52"/>
        </w:rPr>
      </w:pPr>
      <w:bookmarkStart w:id="3" w:name="StdEnglishName"/>
      <w:r>
        <w:rPr>
          <w:rFonts w:hint="eastAsia" w:ascii="黑体" w:hAnsi="黑体" w:eastAsia="黑体" w:cs="黑体"/>
          <w:spacing w:val="-6"/>
          <w:sz w:val="52"/>
          <w:szCs w:val="52"/>
          <w:lang w:val="en-US" w:eastAsia="zh-CN"/>
        </w:rPr>
        <w:t>绿色</w:t>
      </w:r>
      <w:r>
        <w:rPr>
          <w:rFonts w:ascii="黑体" w:hAnsi="黑体" w:eastAsia="黑体" w:cs="黑体"/>
          <w:spacing w:val="-6"/>
          <w:sz w:val="52"/>
          <w:szCs w:val="52"/>
        </w:rPr>
        <w:t>城市配送</w:t>
      </w:r>
      <w:r>
        <w:rPr>
          <w:rFonts w:hint="eastAsia" w:ascii="黑体" w:hAnsi="黑体" w:eastAsia="黑体" w:cs="黑体"/>
          <w:spacing w:val="-6"/>
          <w:sz w:val="52"/>
          <w:szCs w:val="52"/>
          <w:lang w:val="en-US" w:eastAsia="zh-CN"/>
        </w:rPr>
        <w:t>管理</w:t>
      </w:r>
      <w:r>
        <w:rPr>
          <w:rFonts w:ascii="黑体" w:hAnsi="黑体" w:eastAsia="黑体" w:cs="黑体"/>
          <w:spacing w:val="-6"/>
          <w:sz w:val="52"/>
          <w:szCs w:val="52"/>
        </w:rPr>
        <w:t>规范</w:t>
      </w:r>
    </w:p>
    <w:bookmarkEnd w:id="3"/>
    <w:p>
      <w:pPr>
        <w:framePr w:w="9639" w:h="6917" w:hRule="exact" w:wrap="around" w:vAnchor="page" w:hAnchor="page" w:xAlign="center" w:y="6408" w:anchorLock="1"/>
        <w:spacing w:after="0" w:line="240" w:lineRule="auto"/>
        <w:ind w:left="2554"/>
        <w:jc w:val="center"/>
      </w:pPr>
    </w:p>
    <w:p>
      <w:pPr>
        <w:framePr w:w="9639" w:h="6917" w:hRule="exact" w:wrap="around" w:vAnchor="page" w:hAnchor="page" w:xAlign="center" w:y="6408" w:anchorLock="1"/>
        <w:spacing w:after="0" w:line="240" w:lineRule="auto"/>
        <w:jc w:val="center"/>
        <w:rPr>
          <w:rFonts w:ascii="宋体" w:hAnsi="宋体" w:eastAsia="宋体"/>
        </w:rPr>
      </w:pPr>
      <w:r>
        <w:rPr>
          <w:rFonts w:ascii="宋体" w:hAnsi="宋体" w:eastAsia="宋体" w:cs="宋体"/>
          <w:spacing w:val="-6"/>
          <w:sz w:val="28"/>
        </w:rPr>
        <w:t>（</w:t>
      </w:r>
      <w:r>
        <w:rPr>
          <w:rFonts w:hint="eastAsia" w:ascii="宋体" w:hAnsi="宋体" w:eastAsia="宋体" w:cs="宋体"/>
          <w:spacing w:val="-6"/>
          <w:sz w:val="28"/>
          <w:lang w:val="en-US" w:eastAsia="zh-CN"/>
        </w:rPr>
        <w:t>征求意见稿</w:t>
      </w:r>
      <w:r>
        <w:rPr>
          <w:rFonts w:ascii="宋体" w:hAnsi="宋体" w:eastAsia="宋体" w:cs="宋体"/>
          <w:spacing w:val="-6"/>
          <w:sz w:val="28"/>
        </w:rPr>
        <w:t>）</w:t>
      </w:r>
    </w:p>
    <w:p>
      <w:pPr>
        <w:pStyle w:val="23"/>
        <w:framePr w:wrap="around"/>
      </w:pPr>
    </w:p>
    <w:tbl>
      <w:tblPr>
        <w:tblStyle w:val="13"/>
        <w:tblW w:w="9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24"/>
              <w:framePr w:wrap="around"/>
            </w:pPr>
            <w:r>
              <w:pict>
                <v:rect id="RQ" o:spid="_x0000_s3100" o:spt="1" style="position:absolute;left:0pt;margin-left:173.3pt;margin-top:45.15pt;height:20pt;width:150pt;z-index:-251653120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  <w10:anchorlock/>
                </v:rect>
              </w:pict>
            </w:r>
            <w:r>
              <w:pict>
                <v:rect id="LB" o:spid="_x0000_s3099" o:spt="1" style="position:absolute;left:0pt;margin-left:193.3pt;margin-top:20.15pt;height:24pt;width:100pt;z-index:-251654144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25"/>
              <w:framePr w:wrap="around"/>
            </w:pPr>
          </w:p>
        </w:tc>
      </w:tr>
    </w:tbl>
    <w:p>
      <w:pPr>
        <w:pStyle w:val="30"/>
        <w:framePr w:wrap="around"/>
      </w:pPr>
      <w:bookmarkStart w:id="4" w:name="FY"/>
      <w:r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4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5" w:name="FD"/>
      <w:r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5"/>
      <w:r>
        <w:rPr>
          <w:rFonts w:hint="eastAsia"/>
        </w:rPr>
        <w:t>发布</w:t>
      </w:r>
      <w:r>
        <w:pict>
          <v:line id="_x0000_s3097" o:spid="_x0000_s3097" o:spt="20" style="position:absolute;left:0pt;margin-left:-0.05pt;margin-top:728.5pt;height:0pt;width:481.9pt;mso-position-vertical-relative:page;z-index:251660288;mso-width-relative:page;mso-height-relative:page;" coordsize="21600,21600">
            <v:path arrowok="t"/>
            <v:fill focussize="0,0"/>
            <v:stroke/>
            <v:imagedata o:title=""/>
            <o:lock v:ext="edit"/>
            <w10:anchorlock/>
          </v:line>
        </w:pict>
      </w:r>
    </w:p>
    <w:p>
      <w:pPr>
        <w:pStyle w:val="31"/>
        <w:framePr w:wrap="around"/>
      </w:pPr>
      <w:bookmarkStart w:id="6" w:name="SY"/>
      <w:r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6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7" w:name="SM"/>
      <w:r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7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8" w:name="SD"/>
      <w:r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8"/>
      <w:r>
        <w:rPr>
          <w:rFonts w:hint="eastAsia"/>
        </w:rPr>
        <w:t>实施</w:t>
      </w:r>
    </w:p>
    <w:p>
      <w:pPr>
        <w:pStyle w:val="28"/>
        <w:framePr w:wrap="around"/>
      </w:pPr>
      <w:r>
        <w:rPr>
          <w:rFonts w:hint="eastAsia"/>
        </w:rPr>
        <w:t>辽宁省市场监督管理局</w:t>
      </w:r>
      <w:r>
        <w:rPr>
          <w:rFonts w:hAnsi="黑体"/>
        </w:rPr>
        <w:t>   </w:t>
      </w:r>
      <w:r>
        <w:rPr>
          <w:rStyle w:val="21"/>
          <w:rFonts w:hint="eastAsia"/>
        </w:rPr>
        <w:t>发布</w:t>
      </w:r>
    </w:p>
    <w:p>
      <w:pPr>
        <w:widowControl/>
        <w:ind w:right="40" w:rightChars="19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type w:val="continuous"/>
          <w:pgSz w:w="11906" w:h="16839"/>
          <w:pgMar w:top="568" w:right="1133" w:bottom="552" w:left="1418" w:header="0" w:footer="0" w:gutter="0"/>
          <w:pgNumType w:start="2"/>
          <w:cols w:equalWidth="0" w:num="1">
            <w:col w:w="9355"/>
          </w:cols>
          <w:titlePg/>
          <w:docGrid w:type="lines" w:linePitch="312" w:charSpace="0"/>
        </w:sectPr>
      </w:pPr>
      <w:r>
        <w:pict>
          <v:line id="_x0000_s3108" o:spid="_x0000_s3108" o:spt="20" style="position:absolute;left:0pt;margin-left:-0.1pt;margin-top:184.2pt;height:0pt;width:481.9pt;z-index:25166438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tabs>
          <w:tab w:val="left" w:pos="4373"/>
        </w:tabs>
        <w:spacing w:before="300" w:after="240" w:line="240" w:lineRule="auto"/>
        <w:ind w:firstLine="3674"/>
        <w:outlineLvl w:val="0"/>
        <w:rPr>
          <w:rFonts w:ascii="黑体" w:hAnsi="黑体" w:eastAsia="黑体"/>
          <w:szCs w:val="21"/>
        </w:rPr>
      </w:pPr>
      <w:bookmarkStart w:id="9" w:name="2"/>
      <w:bookmarkEnd w:id="9"/>
      <w:bookmarkStart w:id="10" w:name="_Toc24888"/>
      <w:r>
        <w:rPr>
          <w:rFonts w:ascii="黑体" w:hAnsi="黑体" w:eastAsia="黑体" w:cs="黑体"/>
          <w:spacing w:val="-6"/>
          <w:sz w:val="32"/>
        </w:rPr>
        <w:t>目</w:t>
      </w:r>
      <w:r>
        <w:rPr>
          <w:rFonts w:ascii="黑体" w:hAnsi="黑体" w:eastAsia="黑体" w:cs="Calibri"/>
          <w:spacing w:val="-2"/>
        </w:rPr>
        <w:tab/>
      </w:r>
      <w:r>
        <w:rPr>
          <w:rFonts w:ascii="黑体" w:hAnsi="黑体" w:eastAsia="黑体" w:cs="黑体"/>
          <w:spacing w:val="-6"/>
          <w:sz w:val="32"/>
        </w:rPr>
        <w:t>次</w:t>
      </w:r>
      <w:bookmarkEnd w:id="10"/>
      <w:r>
        <w:rPr>
          <w:rFonts w:ascii="黑体" w:hAnsi="黑体" w:eastAsia="黑体"/>
        </w:rPr>
        <w:fldChar w:fldCharType="begin"/>
      </w:r>
      <w:r>
        <w:rPr>
          <w:rFonts w:ascii="黑体" w:hAnsi="黑体" w:eastAsia="黑体"/>
        </w:rPr>
        <w:instrText xml:space="preserve"> TOC \o "1-3" \h \z \u </w:instrText>
      </w:r>
      <w:r>
        <w:rPr>
          <w:rFonts w:ascii="黑体" w:hAnsi="黑体" w:eastAsia="黑体"/>
        </w:rPr>
        <w:fldChar w:fldCharType="separate"/>
      </w:r>
      <w:r>
        <w:fldChar w:fldCharType="begin"/>
      </w:r>
      <w:r>
        <w:instrText xml:space="preserve"> HYPERLINK \l "_Toc87360248" </w:instrText>
      </w:r>
      <w:r>
        <w:fldChar w:fldCharType="separate"/>
      </w:r>
      <w:r>
        <w:fldChar w:fldCharType="end"/>
      </w:r>
    </w:p>
    <w:p>
      <w:pPr>
        <w:pStyle w:val="9"/>
        <w:tabs>
          <w:tab w:val="right" w:leader="dot" w:pos="8777"/>
        </w:tabs>
        <w:rPr>
          <w:rStyle w:val="15"/>
          <w:rFonts w:ascii="宋体" w:hAnsi="宋体" w:eastAsia="宋体"/>
          <w:szCs w:val="21"/>
        </w:rPr>
      </w:pPr>
      <w:r>
        <w:fldChar w:fldCharType="begin"/>
      </w:r>
      <w:r>
        <w:instrText xml:space="preserve"> HYPERLINK \l "_Toc87360249"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\l "_Toc87360250" </w:instrText>
      </w:r>
      <w:r>
        <w:fldChar w:fldCharType="separate"/>
      </w:r>
      <w:r>
        <w:rPr>
          <w:rFonts w:ascii="宋体" w:hAnsi="宋体" w:eastAsia="宋体"/>
          <w:szCs w:val="21"/>
        </w:rPr>
        <w:t>1</w:t>
      </w:r>
      <w:r>
        <w:rPr>
          <w:rStyle w:val="15"/>
          <w:rFonts w:hint="eastAsia" w:ascii="宋体" w:hAnsi="宋体" w:eastAsia="宋体"/>
          <w:szCs w:val="21"/>
        </w:rPr>
        <w:t xml:space="preserve">  范围</w:t>
      </w:r>
      <w:r>
        <w:rPr>
          <w:rStyle w:val="15"/>
          <w:rFonts w:ascii="宋体" w:hAnsi="宋体" w:eastAsia="宋体"/>
          <w:szCs w:val="21"/>
        </w:rPr>
        <w:tab/>
      </w:r>
      <w:r>
        <w:rPr>
          <w:rStyle w:val="15"/>
          <w:rFonts w:ascii="宋体" w:hAnsi="宋体" w:eastAsia="宋体"/>
          <w:szCs w:val="21"/>
        </w:rPr>
        <w:fldChar w:fldCharType="begin"/>
      </w:r>
      <w:r>
        <w:rPr>
          <w:rStyle w:val="15"/>
          <w:rFonts w:ascii="宋体" w:hAnsi="宋体" w:eastAsia="宋体"/>
          <w:szCs w:val="21"/>
        </w:rPr>
        <w:instrText xml:space="preserve"> PAGEREF _Toc87360250 \h </w:instrText>
      </w:r>
      <w:r>
        <w:rPr>
          <w:rStyle w:val="15"/>
          <w:rFonts w:ascii="宋体" w:hAnsi="宋体" w:eastAsia="宋体"/>
          <w:szCs w:val="21"/>
        </w:rPr>
        <w:fldChar w:fldCharType="separate"/>
      </w:r>
      <w:r>
        <w:rPr>
          <w:rStyle w:val="15"/>
          <w:rFonts w:ascii="宋体" w:hAnsi="宋体" w:eastAsia="宋体"/>
          <w:szCs w:val="21"/>
        </w:rPr>
        <w:t>1</w:t>
      </w:r>
      <w:r>
        <w:rPr>
          <w:rStyle w:val="15"/>
          <w:rFonts w:ascii="宋体" w:hAnsi="宋体" w:eastAsia="宋体"/>
          <w:szCs w:val="21"/>
        </w:rPr>
        <w:fldChar w:fldCharType="end"/>
      </w:r>
      <w:r>
        <w:rPr>
          <w:rStyle w:val="15"/>
          <w:rFonts w:ascii="宋体" w:hAnsi="宋体" w:eastAsia="宋体"/>
          <w:szCs w:val="21"/>
        </w:rPr>
        <w:fldChar w:fldCharType="end"/>
      </w:r>
    </w:p>
    <w:p>
      <w:pPr>
        <w:pStyle w:val="9"/>
        <w:tabs>
          <w:tab w:val="right" w:leader="dot" w:pos="8777"/>
        </w:tabs>
        <w:rPr>
          <w:rFonts w:ascii="宋体" w:hAnsi="宋体" w:eastAsia="宋体"/>
          <w:szCs w:val="21"/>
        </w:rPr>
      </w:pPr>
      <w:r>
        <w:fldChar w:fldCharType="begin"/>
      </w:r>
      <w:r>
        <w:instrText xml:space="preserve"> HYPERLINK \l "_Toc87360249" </w:instrText>
      </w:r>
      <w:r>
        <w:fldChar w:fldCharType="separate"/>
      </w:r>
      <w:r>
        <w:rPr>
          <w:rStyle w:val="15"/>
          <w:rFonts w:hint="eastAsia" w:ascii="宋体" w:hAnsi="宋体" w:eastAsia="宋体"/>
          <w:szCs w:val="21"/>
        </w:rPr>
        <w:t>2  规范性引用文件</w:t>
      </w:r>
      <w:r>
        <w:rPr>
          <w:rFonts w:ascii="宋体" w:hAnsi="宋体" w:eastAsia="宋体"/>
          <w:szCs w:val="21"/>
        </w:rPr>
        <w:tab/>
      </w:r>
      <w:r>
        <w:rPr>
          <w:rFonts w:hint="eastAsia" w:ascii="宋体" w:hAnsi="宋体" w:eastAsia="宋体"/>
          <w:szCs w:val="21"/>
        </w:rPr>
        <w:t>1</w:t>
      </w:r>
      <w:r>
        <w:rPr>
          <w:rFonts w:hint="eastAsia" w:ascii="宋体" w:hAnsi="宋体" w:eastAsia="宋体"/>
          <w:szCs w:val="21"/>
        </w:rPr>
        <w:fldChar w:fldCharType="end"/>
      </w:r>
    </w:p>
    <w:p>
      <w:pPr>
        <w:pStyle w:val="9"/>
        <w:tabs>
          <w:tab w:val="right" w:leader="dot" w:pos="8777"/>
        </w:tabs>
        <w:rPr>
          <w:rStyle w:val="15"/>
          <w:rFonts w:ascii="宋体" w:hAnsi="宋体" w:eastAsia="宋体"/>
          <w:szCs w:val="21"/>
        </w:rPr>
      </w:pPr>
      <w:r>
        <w:fldChar w:fldCharType="begin"/>
      </w:r>
      <w:r>
        <w:instrText xml:space="preserve"> HYPERLINK \l "_Toc87360252" </w:instrText>
      </w:r>
      <w:r>
        <w:fldChar w:fldCharType="separate"/>
      </w:r>
      <w:r>
        <w:rPr>
          <w:rFonts w:hint="eastAsia" w:ascii="宋体" w:hAnsi="宋体" w:eastAsia="宋体"/>
        </w:rPr>
        <w:t>3  术语和定义</w:t>
      </w:r>
      <w:r>
        <w:rPr>
          <w:rFonts w:ascii="宋体" w:hAnsi="宋体" w:eastAsia="宋体"/>
        </w:rPr>
        <w:tab/>
      </w:r>
      <w:r>
        <w:rPr>
          <w:rStyle w:val="15"/>
          <w:rFonts w:hint="eastAsia" w:ascii="宋体" w:hAnsi="宋体" w:eastAsia="宋体"/>
          <w:szCs w:val="21"/>
        </w:rPr>
        <w:t>1</w:t>
      </w:r>
      <w:r>
        <w:rPr>
          <w:rStyle w:val="15"/>
          <w:rFonts w:hint="eastAsia" w:ascii="宋体" w:hAnsi="宋体" w:eastAsia="宋体"/>
          <w:szCs w:val="21"/>
        </w:rPr>
        <w:fldChar w:fldCharType="end"/>
      </w:r>
    </w:p>
    <w:p>
      <w:pPr>
        <w:pStyle w:val="9"/>
        <w:tabs>
          <w:tab w:val="right" w:leader="dot" w:pos="8777"/>
        </w:tabs>
        <w:rPr>
          <w:rStyle w:val="15"/>
          <w:rFonts w:ascii="宋体" w:hAnsi="宋体" w:eastAsia="宋体"/>
        </w:rPr>
      </w:pPr>
      <w:r>
        <w:fldChar w:fldCharType="begin"/>
      </w:r>
      <w:r>
        <w:instrText xml:space="preserve"> HYPERLINK \l "_Toc87360258" </w:instrText>
      </w:r>
      <w:r>
        <w:fldChar w:fldCharType="separate"/>
      </w:r>
      <w:r>
        <w:rPr>
          <w:rFonts w:ascii="宋体" w:hAnsi="宋体" w:eastAsia="宋体"/>
          <w:szCs w:val="21"/>
        </w:rPr>
        <w:t>4</w:t>
      </w:r>
      <w:r>
        <w:rPr>
          <w:rStyle w:val="15"/>
          <w:rFonts w:hint="eastAsia" w:ascii="宋体" w:hAnsi="宋体" w:eastAsia="宋体"/>
        </w:rPr>
        <w:t xml:space="preserve">  基本要求</w:t>
      </w:r>
      <w:r>
        <w:rPr>
          <w:rStyle w:val="15"/>
          <w:rFonts w:ascii="宋体" w:hAnsi="宋体" w:eastAsia="宋体"/>
        </w:rPr>
        <w:tab/>
      </w:r>
      <w:r>
        <w:rPr>
          <w:rStyle w:val="15"/>
          <w:rFonts w:ascii="宋体" w:hAnsi="宋体" w:eastAsia="宋体"/>
        </w:rPr>
        <w:fldChar w:fldCharType="begin"/>
      </w:r>
      <w:r>
        <w:rPr>
          <w:rStyle w:val="15"/>
          <w:rFonts w:ascii="宋体" w:hAnsi="宋体" w:eastAsia="宋体"/>
        </w:rPr>
        <w:instrText xml:space="preserve"> PAGEREF _Toc87360258 \h </w:instrText>
      </w:r>
      <w:r>
        <w:rPr>
          <w:rStyle w:val="15"/>
          <w:rFonts w:ascii="宋体" w:hAnsi="宋体" w:eastAsia="宋体"/>
        </w:rPr>
        <w:fldChar w:fldCharType="separate"/>
      </w:r>
      <w:r>
        <w:rPr>
          <w:rStyle w:val="15"/>
          <w:rFonts w:ascii="宋体" w:hAnsi="宋体" w:eastAsia="宋体"/>
        </w:rPr>
        <w:t>2</w:t>
      </w:r>
      <w:r>
        <w:rPr>
          <w:rStyle w:val="15"/>
          <w:rFonts w:ascii="宋体" w:hAnsi="宋体" w:eastAsia="宋体"/>
        </w:rPr>
        <w:fldChar w:fldCharType="end"/>
      </w:r>
      <w:r>
        <w:rPr>
          <w:rStyle w:val="15"/>
          <w:rFonts w:ascii="宋体" w:hAnsi="宋体" w:eastAsia="宋体"/>
        </w:rPr>
        <w:fldChar w:fldCharType="end"/>
      </w:r>
    </w:p>
    <w:p>
      <w:pPr>
        <w:pStyle w:val="9"/>
        <w:tabs>
          <w:tab w:val="right" w:leader="dot" w:pos="8777"/>
        </w:tabs>
        <w:rPr>
          <w:rFonts w:ascii="宋体" w:hAnsi="宋体" w:eastAsia="宋体"/>
        </w:rPr>
      </w:pPr>
      <w:r>
        <w:fldChar w:fldCharType="begin"/>
      </w:r>
      <w:r>
        <w:instrText xml:space="preserve"> HYPERLINK \l "_Toc87360261" </w:instrText>
      </w:r>
      <w:r>
        <w:fldChar w:fldCharType="separate"/>
      </w:r>
      <w:r>
        <w:rPr>
          <w:rFonts w:hint="eastAsia" w:ascii="宋体" w:hAnsi="宋体" w:eastAsia="宋体"/>
        </w:rPr>
        <w:t xml:space="preserve">5  </w:t>
      </w:r>
      <w:r>
        <w:rPr>
          <w:rFonts w:hint="eastAsia" w:ascii="宋体" w:hAnsi="宋体" w:eastAsia="宋体"/>
          <w:lang w:val="en-US" w:eastAsia="zh-CN"/>
        </w:rPr>
        <w:t>绿色配送人员</w:t>
      </w:r>
      <w:r>
        <w:rPr>
          <w:rFonts w:ascii="宋体" w:hAnsi="宋体" w:eastAsia="宋体"/>
        </w:rPr>
        <w:tab/>
      </w:r>
      <w:r>
        <w:rPr>
          <w:rFonts w:hint="eastAsia" w:ascii="宋体" w:hAnsi="宋体" w:eastAsia="宋体"/>
        </w:rPr>
        <w:t>3</w:t>
      </w:r>
      <w:r>
        <w:rPr>
          <w:rFonts w:hint="eastAsia" w:ascii="宋体" w:hAnsi="宋体" w:eastAsia="宋体"/>
        </w:rPr>
        <w:fldChar w:fldCharType="end"/>
      </w:r>
    </w:p>
    <w:p>
      <w:pPr>
        <w:pStyle w:val="9"/>
        <w:tabs>
          <w:tab w:val="right" w:leader="dot" w:pos="8777"/>
        </w:tabs>
        <w:rPr>
          <w:rFonts w:ascii="宋体" w:hAnsi="宋体" w:eastAsia="宋体"/>
        </w:rPr>
      </w:pPr>
      <w:r>
        <w:fldChar w:fldCharType="begin"/>
      </w:r>
      <w:r>
        <w:instrText xml:space="preserve"> HYPERLINK \l "_Toc87360268" </w:instrText>
      </w:r>
      <w:r>
        <w:fldChar w:fldCharType="separate"/>
      </w:r>
      <w:r>
        <w:rPr>
          <w:rFonts w:hint="eastAsia" w:ascii="宋体" w:hAnsi="宋体" w:eastAsia="宋体"/>
        </w:rPr>
        <w:t xml:space="preserve">6  </w:t>
      </w:r>
      <w:r>
        <w:rPr>
          <w:rFonts w:hint="eastAsia" w:ascii="宋体" w:hAnsi="宋体" w:eastAsia="宋体"/>
          <w:lang w:val="en-US" w:eastAsia="zh-CN"/>
        </w:rPr>
        <w:t>绿色配送设备</w:t>
      </w:r>
      <w:r>
        <w:rPr>
          <w:rFonts w:ascii="宋体" w:hAnsi="宋体" w:eastAsia="宋体"/>
        </w:rPr>
        <w:tab/>
      </w:r>
      <w:r>
        <w:rPr>
          <w:rFonts w:hint="eastAsia" w:ascii="宋体" w:hAnsi="宋体" w:eastAsia="宋体"/>
          <w:lang w:val="en-US" w:eastAsia="zh-CN"/>
        </w:rPr>
        <w:t>3</w:t>
      </w:r>
      <w:r>
        <w:rPr>
          <w:rFonts w:hint="eastAsia" w:ascii="宋体" w:hAnsi="宋体" w:eastAsia="宋体"/>
        </w:rPr>
        <w:fldChar w:fldCharType="end"/>
      </w:r>
    </w:p>
    <w:p>
      <w:pPr>
        <w:pStyle w:val="9"/>
        <w:tabs>
          <w:tab w:val="right" w:leader="dot" w:pos="8777"/>
        </w:tabs>
        <w:rPr>
          <w:rFonts w:hint="eastAsia" w:ascii="宋体" w:hAnsi="宋体" w:eastAsia="宋体"/>
          <w:szCs w:val="21"/>
        </w:rPr>
      </w:pPr>
      <w:r>
        <w:fldChar w:fldCharType="begin"/>
      </w:r>
      <w:r>
        <w:instrText xml:space="preserve"> HYPERLINK \l "_Toc87360271" </w:instrText>
      </w:r>
      <w:r>
        <w:fldChar w:fldCharType="separate"/>
      </w:r>
      <w:r>
        <w:rPr>
          <w:rFonts w:hint="eastAsia" w:ascii="宋体" w:hAnsi="宋体" w:eastAsia="宋体"/>
          <w:szCs w:val="21"/>
        </w:rPr>
        <w:t xml:space="preserve">7  </w:t>
      </w:r>
      <w:r>
        <w:rPr>
          <w:rFonts w:hint="eastAsia" w:ascii="宋体" w:hAnsi="宋体" w:eastAsia="宋体"/>
          <w:szCs w:val="21"/>
          <w:lang w:val="en-US" w:eastAsia="zh-CN"/>
        </w:rPr>
        <w:t>绿色配送作业</w:t>
      </w:r>
      <w:r>
        <w:rPr>
          <w:rFonts w:ascii="宋体" w:hAnsi="宋体" w:eastAsia="宋体"/>
          <w:szCs w:val="21"/>
        </w:rPr>
        <w:tab/>
      </w:r>
      <w:r>
        <w:rPr>
          <w:rFonts w:hint="eastAsia" w:ascii="宋体" w:hAnsi="宋体" w:eastAsia="宋体"/>
          <w:szCs w:val="21"/>
          <w:lang w:val="en-US" w:eastAsia="zh-CN"/>
        </w:rPr>
        <w:t>3</w:t>
      </w:r>
      <w:r>
        <w:rPr>
          <w:rFonts w:hint="eastAsia" w:ascii="宋体" w:hAnsi="宋体" w:eastAsia="宋体"/>
          <w:szCs w:val="21"/>
        </w:rPr>
        <w:fldChar w:fldCharType="end"/>
      </w:r>
    </w:p>
    <w:p>
      <w:pPr>
        <w:pStyle w:val="45"/>
        <w:tabs>
          <w:tab w:val="right" w:leader="dot" w:pos="8786"/>
        </w:tabs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\l _Toc15934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 xml:space="preserve">8 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绿色配送信息管理系统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_Toc15934 \h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4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rPr>
          <w:rFonts w:hint="eastAsia"/>
        </w:rPr>
      </w:pPr>
    </w:p>
    <w:p/>
    <w:p>
      <w:pPr>
        <w:widowControl/>
        <w:spacing w:after="100" w:afterAutospacing="1"/>
        <w:rPr>
          <w:rFonts w:ascii="宋体" w:hAnsi="宋体" w:eastAsia="宋体"/>
        </w:rPr>
        <w:sectPr>
          <w:footerReference r:id="rId10" w:type="default"/>
          <w:headerReference r:id="rId9" w:type="even"/>
          <w:footerReference r:id="rId11" w:type="even"/>
          <w:pgSz w:w="11906" w:h="16838"/>
          <w:pgMar w:top="1278" w:right="1380" w:bottom="1038" w:left="1740" w:header="1417" w:footer="1134" w:gutter="0"/>
          <w:pgNumType w:fmt="upperRoman" w:start="1"/>
          <w:cols w:space="720" w:num="1"/>
          <w:docGrid w:type="lines" w:linePitch="312" w:charSpace="0"/>
        </w:sectPr>
      </w:pPr>
      <w:r>
        <w:rPr>
          <w:rFonts w:ascii="宋体" w:hAnsi="宋体" w:eastAsia="宋体"/>
        </w:rPr>
        <w:fldChar w:fldCharType="end"/>
      </w:r>
    </w:p>
    <w:p>
      <w:pPr>
        <w:pStyle w:val="17"/>
        <w:ind w:left="0" w:leftChars="0" w:firstLine="0" w:firstLineChars="0"/>
        <w:rPr>
          <w:rFonts w:hAnsi="宋体"/>
        </w:rPr>
      </w:pPr>
    </w:p>
    <w:p>
      <w:pPr>
        <w:pStyle w:val="17"/>
        <w:ind w:left="0" w:leftChars="0" w:firstLine="0" w:firstLineChars="0"/>
        <w:rPr>
          <w:rFonts w:hAnsi="宋体"/>
        </w:rPr>
      </w:pPr>
    </w:p>
    <w:p>
      <w:pPr>
        <w:pStyle w:val="17"/>
        <w:rPr>
          <w:rFonts w:hAnsi="宋体"/>
        </w:rPr>
      </w:pPr>
    </w:p>
    <w:p>
      <w:pPr>
        <w:pStyle w:val="17"/>
        <w:rPr>
          <w:rFonts w:hAnsi="宋体"/>
        </w:rPr>
      </w:pPr>
    </w:p>
    <w:p>
      <w:pPr>
        <w:pStyle w:val="17"/>
        <w:rPr>
          <w:rFonts w:hAnsi="宋体"/>
        </w:rPr>
      </w:pPr>
    </w:p>
    <w:p>
      <w:pPr>
        <w:pStyle w:val="17"/>
        <w:rPr>
          <w:rFonts w:hAnsi="宋体"/>
        </w:rPr>
      </w:pPr>
    </w:p>
    <w:p>
      <w:pPr>
        <w:pStyle w:val="17"/>
        <w:rPr>
          <w:rFonts w:hAnsi="宋体"/>
        </w:rPr>
      </w:pPr>
    </w:p>
    <w:p>
      <w:pPr>
        <w:pStyle w:val="17"/>
        <w:rPr>
          <w:rFonts w:hAnsi="宋体"/>
        </w:rPr>
      </w:pPr>
    </w:p>
    <w:p>
      <w:pPr>
        <w:pStyle w:val="17"/>
        <w:rPr>
          <w:rFonts w:hAnsi="宋体"/>
        </w:rPr>
      </w:pPr>
    </w:p>
    <w:p>
      <w:pPr>
        <w:pStyle w:val="17"/>
        <w:rPr>
          <w:rFonts w:hAnsi="宋体"/>
        </w:rPr>
      </w:pPr>
    </w:p>
    <w:p>
      <w:pPr>
        <w:pStyle w:val="17"/>
        <w:rPr>
          <w:rFonts w:hAnsi="宋体"/>
        </w:rPr>
      </w:pPr>
    </w:p>
    <w:p>
      <w:pPr>
        <w:pStyle w:val="17"/>
        <w:rPr>
          <w:rFonts w:hAnsi="宋体"/>
        </w:rPr>
      </w:pPr>
    </w:p>
    <w:p>
      <w:pPr>
        <w:pStyle w:val="17"/>
        <w:rPr>
          <w:rFonts w:hAnsi="宋体"/>
        </w:rPr>
      </w:pPr>
    </w:p>
    <w:p>
      <w:pPr>
        <w:pStyle w:val="17"/>
        <w:rPr>
          <w:rFonts w:hAnsi="宋体"/>
        </w:rPr>
      </w:pPr>
    </w:p>
    <w:p>
      <w:pPr>
        <w:pStyle w:val="17"/>
        <w:rPr>
          <w:rFonts w:hAnsi="宋体"/>
        </w:rPr>
      </w:pPr>
    </w:p>
    <w:p>
      <w:pPr>
        <w:pStyle w:val="17"/>
        <w:rPr>
          <w:rFonts w:hAnsi="宋体"/>
        </w:rPr>
      </w:pPr>
    </w:p>
    <w:p>
      <w:pPr>
        <w:pStyle w:val="17"/>
        <w:rPr>
          <w:rFonts w:hAnsi="宋体"/>
        </w:rPr>
      </w:pPr>
    </w:p>
    <w:p>
      <w:pPr>
        <w:pStyle w:val="17"/>
        <w:rPr>
          <w:rFonts w:hAnsi="宋体"/>
        </w:rPr>
      </w:pPr>
    </w:p>
    <w:p>
      <w:pPr>
        <w:tabs>
          <w:tab w:val="left" w:pos="4373"/>
        </w:tabs>
        <w:spacing w:before="300" w:after="240" w:line="240" w:lineRule="auto"/>
        <w:outlineLvl w:val="9"/>
        <w:rPr>
          <w:rFonts w:ascii="黑体" w:hAnsi="黑体" w:eastAsia="黑体" w:cs="黑体"/>
          <w:spacing w:val="-6"/>
          <w:sz w:val="32"/>
        </w:rPr>
      </w:pPr>
    </w:p>
    <w:p>
      <w:pPr>
        <w:tabs>
          <w:tab w:val="left" w:pos="4373"/>
        </w:tabs>
        <w:spacing w:before="300" w:after="240" w:line="240" w:lineRule="auto"/>
        <w:ind w:firstLine="3674"/>
        <w:outlineLvl w:val="0"/>
        <w:rPr>
          <w:rFonts w:ascii="黑体" w:hAnsi="黑体" w:eastAsia="黑体" w:cs="黑体"/>
          <w:spacing w:val="-6"/>
          <w:sz w:val="32"/>
        </w:rPr>
      </w:pPr>
      <w:bookmarkStart w:id="11" w:name="_Toc2535"/>
      <w:r>
        <w:rPr>
          <w:rFonts w:hint="eastAsia" w:ascii="黑体" w:hAnsi="黑体" w:eastAsia="黑体" w:cs="黑体"/>
          <w:spacing w:val="-6"/>
          <w:sz w:val="32"/>
        </w:rPr>
        <w:t>前</w:t>
      </w:r>
      <w:r>
        <w:rPr>
          <w:rFonts w:ascii="黑体" w:hAnsi="黑体" w:eastAsia="黑体" w:cs="Calibri"/>
          <w:spacing w:val="-2"/>
        </w:rPr>
        <w:tab/>
      </w:r>
      <w:r>
        <w:rPr>
          <w:rFonts w:hint="eastAsia" w:ascii="黑体" w:hAnsi="黑体" w:eastAsia="黑体" w:cs="黑体"/>
          <w:spacing w:val="-6"/>
          <w:sz w:val="32"/>
        </w:rPr>
        <w:t>言</w:t>
      </w:r>
      <w:bookmarkEnd w:id="11"/>
    </w:p>
    <w:p>
      <w:pPr>
        <w:pStyle w:val="17"/>
        <w:rPr>
          <w:rFonts w:hAnsi="宋体"/>
        </w:rPr>
      </w:pPr>
      <w:r>
        <w:rPr>
          <w:rFonts w:hint="eastAsia" w:hAnsi="宋体"/>
        </w:rPr>
        <w:t>本文件按照</w:t>
      </w:r>
      <w:r>
        <w:rPr>
          <w:rFonts w:hint="eastAsia"/>
        </w:rPr>
        <w:t>GB/T 1.1—2020《标准化工作导则 第1部分：标准化文件的结构和起草规则》</w:t>
      </w:r>
      <w:r>
        <w:rPr>
          <w:rFonts w:hint="eastAsia" w:hAnsi="宋体"/>
        </w:rPr>
        <w:t>给出的规则起草。</w:t>
      </w:r>
    </w:p>
    <w:p>
      <w:pPr>
        <w:pStyle w:val="17"/>
        <w:rPr>
          <w:rFonts w:hAnsi="宋体"/>
        </w:rPr>
      </w:pPr>
      <w:r>
        <w:rPr>
          <w:rFonts w:hint="eastAsia" w:hAnsi="宋体"/>
        </w:rPr>
        <w:t>本文件由辽宁省商务厅提出并归口。</w:t>
      </w:r>
    </w:p>
    <w:p>
      <w:pPr>
        <w:pStyle w:val="17"/>
        <w:rPr>
          <w:rFonts w:hint="default" w:hAnsi="宋体" w:eastAsia="宋体"/>
          <w:lang w:val="en-US" w:eastAsia="zh-CN"/>
        </w:rPr>
      </w:pPr>
      <w:r>
        <w:rPr>
          <w:rFonts w:hint="eastAsia" w:hAnsi="宋体"/>
        </w:rPr>
        <w:t>本文件主要起草单位：</w:t>
      </w:r>
      <w:r>
        <w:rPr>
          <w:rFonts w:hint="eastAsia" w:hAnsi="宋体"/>
          <w:lang w:val="en-US" w:eastAsia="zh-CN"/>
        </w:rPr>
        <w:t>沈阳物流行业协会。</w:t>
      </w:r>
    </w:p>
    <w:p>
      <w:pPr>
        <w:pStyle w:val="17"/>
        <w:rPr>
          <w:rFonts w:hint="default" w:hAnsi="宋体" w:eastAsia="宋体"/>
          <w:lang w:val="en-US" w:eastAsia="zh-CN"/>
        </w:rPr>
      </w:pPr>
      <w:r>
        <w:rPr>
          <w:rFonts w:hint="eastAsia" w:hAnsi="宋体"/>
        </w:rPr>
        <w:t>本文件主要起草人：</w:t>
      </w:r>
      <w:r>
        <w:rPr>
          <w:rFonts w:hint="eastAsia" w:hAnsi="宋体"/>
          <w:lang w:val="en-US" w:eastAsia="zh-CN"/>
        </w:rPr>
        <w:t>刘爱华、杜佳欣。</w:t>
      </w:r>
    </w:p>
    <w:p>
      <w:pPr>
        <w:pStyle w:val="17"/>
        <w:rPr>
          <w:rFonts w:hAnsi="宋体"/>
        </w:rPr>
      </w:pPr>
      <w:r>
        <w:rPr>
          <w:rFonts w:hint="eastAsia" w:hAnsi="宋体"/>
        </w:rPr>
        <w:t>本文件发布实施后，任何单位和个人如有问题和意见建议，均可以通过来电和来函等方式进行反馈，我们将及时答复并认真处理，根据实际情况依法进行评估及复审。</w:t>
      </w:r>
    </w:p>
    <w:p>
      <w:pPr>
        <w:pStyle w:val="17"/>
        <w:rPr>
          <w:rFonts w:hAnsi="宋体"/>
        </w:rPr>
      </w:pPr>
      <w:r>
        <w:rPr>
          <w:rFonts w:hint="eastAsia" w:hAnsi="宋体"/>
        </w:rPr>
        <w:t>本文件归口管理部门:辽宁省商务厅（沈阳市皇姑区泰山路17号，024-86892298-9187）</w:t>
      </w:r>
    </w:p>
    <w:p>
      <w:pPr>
        <w:pStyle w:val="17"/>
        <w:rPr>
          <w:rFonts w:hAnsi="宋体"/>
        </w:rPr>
      </w:pPr>
      <w:r>
        <w:rPr>
          <w:rFonts w:hint="eastAsia" w:hAnsi="宋体"/>
        </w:rPr>
        <w:t>标准起草单位:沈阳物流行业协会（沈阳市大东区东北大马路337号，024-88202866）</w:t>
      </w:r>
    </w:p>
    <w:p>
      <w:pPr>
        <w:spacing w:after="0" w:line="240" w:lineRule="exact"/>
        <w:ind w:left="60"/>
      </w:pPr>
    </w:p>
    <w:p>
      <w:pPr>
        <w:spacing w:after="0" w:line="240" w:lineRule="exact"/>
        <w:ind w:left="60"/>
      </w:pPr>
    </w:p>
    <w:p>
      <w:pPr>
        <w:spacing w:after="0" w:line="240" w:lineRule="exact"/>
        <w:ind w:left="60"/>
      </w:pPr>
    </w:p>
    <w:p>
      <w:pPr>
        <w:spacing w:after="0" w:line="240" w:lineRule="exact"/>
        <w:ind w:left="60"/>
      </w:pPr>
    </w:p>
    <w:p>
      <w:pPr>
        <w:spacing w:after="0" w:line="240" w:lineRule="exact"/>
        <w:ind w:left="60"/>
      </w:pPr>
    </w:p>
    <w:p>
      <w:pPr>
        <w:spacing w:after="0" w:line="240" w:lineRule="exact"/>
        <w:ind w:left="60"/>
      </w:pPr>
    </w:p>
    <w:p>
      <w:pPr>
        <w:spacing w:after="0" w:line="240" w:lineRule="exact"/>
        <w:ind w:left="60"/>
      </w:pPr>
    </w:p>
    <w:p>
      <w:pPr>
        <w:spacing w:after="0" w:line="240" w:lineRule="exact"/>
        <w:ind w:left="60"/>
      </w:pPr>
    </w:p>
    <w:p>
      <w:pPr>
        <w:spacing w:after="0" w:line="240" w:lineRule="exact"/>
        <w:ind w:left="60"/>
      </w:pPr>
    </w:p>
    <w:p>
      <w:pPr>
        <w:spacing w:after="0" w:line="240" w:lineRule="exact"/>
        <w:ind w:left="60"/>
      </w:pPr>
    </w:p>
    <w:p>
      <w:pPr>
        <w:spacing w:after="0" w:line="240" w:lineRule="exact"/>
        <w:ind w:left="60"/>
      </w:pPr>
    </w:p>
    <w:p>
      <w:pPr>
        <w:spacing w:after="0" w:line="240" w:lineRule="exact"/>
        <w:ind w:left="60"/>
      </w:pPr>
    </w:p>
    <w:p>
      <w:pPr>
        <w:spacing w:after="0" w:line="240" w:lineRule="exact"/>
        <w:ind w:left="60"/>
      </w:pPr>
    </w:p>
    <w:p>
      <w:pPr>
        <w:spacing w:after="0" w:line="240" w:lineRule="exact"/>
        <w:ind w:left="60"/>
      </w:pPr>
    </w:p>
    <w:p>
      <w:pPr>
        <w:spacing w:after="0" w:line="240" w:lineRule="exact"/>
        <w:ind w:left="60"/>
      </w:pPr>
    </w:p>
    <w:p>
      <w:pPr>
        <w:spacing w:after="0" w:line="240" w:lineRule="exact"/>
        <w:ind w:left="60"/>
      </w:pPr>
    </w:p>
    <w:p>
      <w:pPr>
        <w:spacing w:after="0" w:line="240" w:lineRule="exact"/>
        <w:ind w:left="60"/>
      </w:pPr>
    </w:p>
    <w:p>
      <w:pPr>
        <w:spacing w:after="0" w:line="240" w:lineRule="exact"/>
        <w:ind w:left="60"/>
      </w:pPr>
    </w:p>
    <w:p>
      <w:pPr>
        <w:spacing w:after="0" w:line="240" w:lineRule="exact"/>
        <w:ind w:left="60"/>
      </w:pPr>
    </w:p>
    <w:p>
      <w:pPr>
        <w:spacing w:after="0" w:line="240" w:lineRule="exact"/>
        <w:ind w:left="60"/>
      </w:pPr>
    </w:p>
    <w:p>
      <w:pPr>
        <w:spacing w:after="0" w:line="240" w:lineRule="exact"/>
        <w:ind w:left="60"/>
      </w:pPr>
    </w:p>
    <w:p>
      <w:pPr>
        <w:spacing w:after="0" w:line="240" w:lineRule="exact"/>
        <w:ind w:left="60"/>
      </w:pPr>
    </w:p>
    <w:p>
      <w:pPr>
        <w:spacing w:after="0" w:line="240" w:lineRule="exact"/>
        <w:ind w:left="60"/>
      </w:pPr>
    </w:p>
    <w:p>
      <w:pPr>
        <w:spacing w:after="0" w:line="240" w:lineRule="exact"/>
        <w:ind w:left="60"/>
      </w:pPr>
    </w:p>
    <w:p>
      <w:pPr>
        <w:spacing w:after="0" w:line="240" w:lineRule="exact"/>
        <w:ind w:left="60"/>
      </w:pPr>
    </w:p>
    <w:p>
      <w:pPr>
        <w:spacing w:after="0" w:line="240" w:lineRule="exact"/>
        <w:ind w:left="60"/>
      </w:pPr>
    </w:p>
    <w:p>
      <w:pPr>
        <w:widowControl/>
        <w:sectPr>
          <w:headerReference r:id="rId12" w:type="default"/>
          <w:type w:val="continuous"/>
          <w:pgSz w:w="11906" w:h="16838"/>
          <w:pgMar w:top="1278" w:right="1380" w:bottom="1038" w:left="1740" w:header="1417" w:footer="1134" w:gutter="0"/>
          <w:pgNumType w:fmt="upperRoman" w:start="1"/>
          <w:cols w:space="720" w:num="1"/>
          <w:docGrid w:type="lines" w:linePitch="312" w:charSpace="0"/>
        </w:sectPr>
      </w:pPr>
    </w:p>
    <w:p>
      <w:pPr>
        <w:widowControl/>
        <w:sectPr>
          <w:type w:val="continuous"/>
          <w:pgSz w:w="11906" w:h="16838"/>
          <w:pgMar w:top="1278" w:right="1380" w:bottom="1038" w:left="1740" w:header="0" w:footer="0" w:gutter="0"/>
          <w:cols w:equalWidth="0" w:num="1">
            <w:col w:w="8787"/>
          </w:cols>
          <w:docGrid w:type="lines" w:linePitch="312" w:charSpace="0"/>
        </w:sectPr>
      </w:pPr>
    </w:p>
    <w:p>
      <w:pPr>
        <w:spacing w:after="0" w:line="24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5" w:after="68" w:line="240" w:lineRule="auto"/>
        <w:ind w:firstLine="0"/>
        <w:jc w:val="center"/>
        <w:textAlignment w:val="auto"/>
        <w:outlineLvl w:val="0"/>
      </w:pPr>
      <w:bookmarkStart w:id="12" w:name="_Toc29753"/>
      <w:r>
        <w:rPr>
          <w:rFonts w:hint="eastAsia" w:ascii="黑体" w:hAnsi="黑体" w:eastAsia="黑体" w:cs="黑体"/>
          <w:spacing w:val="-5"/>
          <w:sz w:val="32"/>
          <w:lang w:val="en-US" w:eastAsia="zh-CN"/>
        </w:rPr>
        <w:t>绿色</w:t>
      </w:r>
      <w:r>
        <w:rPr>
          <w:rFonts w:ascii="黑体" w:hAnsi="黑体" w:eastAsia="黑体" w:cs="黑体"/>
          <w:spacing w:val="-5"/>
          <w:sz w:val="32"/>
        </w:rPr>
        <w:t>城市配</w:t>
      </w:r>
      <w:r>
        <w:rPr>
          <w:rFonts w:ascii="黑体" w:hAnsi="黑体" w:eastAsia="黑体" w:cs="黑体"/>
          <w:spacing w:val="-6"/>
          <w:sz w:val="32"/>
        </w:rPr>
        <w:t>送</w:t>
      </w:r>
      <w:r>
        <w:rPr>
          <w:rFonts w:hint="eastAsia" w:ascii="黑体" w:hAnsi="黑体" w:eastAsia="黑体" w:cs="黑体"/>
          <w:spacing w:val="-6"/>
          <w:sz w:val="32"/>
          <w:lang w:val="en-US" w:eastAsia="zh-CN"/>
        </w:rPr>
        <w:t>管理</w:t>
      </w:r>
      <w:r>
        <w:rPr>
          <w:rFonts w:hint="eastAsia" w:ascii="黑体" w:hAnsi="黑体" w:eastAsia="黑体" w:cs="黑体"/>
          <w:spacing w:val="-6"/>
          <w:sz w:val="32"/>
        </w:rPr>
        <w:t>规</w:t>
      </w:r>
      <w:r>
        <w:rPr>
          <w:rFonts w:ascii="黑体" w:hAnsi="黑体" w:eastAsia="黑体" w:cs="黑体"/>
          <w:spacing w:val="-5"/>
          <w:sz w:val="32"/>
        </w:rPr>
        <w:t>范</w:t>
      </w:r>
      <w:bookmarkEnd w:id="12"/>
    </w:p>
    <w:p>
      <w:pPr>
        <w:pStyle w:val="35"/>
        <w:numPr>
          <w:ilvl w:val="0"/>
          <w:numId w:val="2"/>
        </w:numPr>
        <w:spacing w:beforeLines="100" w:afterLines="100" w:line="240" w:lineRule="auto"/>
        <w:ind w:firstLineChars="0"/>
        <w:jc w:val="both"/>
        <w:outlineLvl w:val="0"/>
        <w:rPr>
          <w:bCs/>
        </w:rPr>
      </w:pPr>
      <w:bookmarkStart w:id="13" w:name="_Toc87360250"/>
      <w:bookmarkStart w:id="14" w:name="_Toc17431"/>
      <w:r>
        <w:rPr>
          <w:rFonts w:ascii="黑体" w:hAnsi="黑体" w:eastAsia="黑体" w:cs="黑体"/>
          <w:bCs/>
          <w:spacing w:val="-6"/>
        </w:rPr>
        <w:t>范围</w:t>
      </w:r>
      <w:bookmarkEnd w:id="13"/>
      <w:bookmarkEnd w:id="14"/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  <w:rPr>
          <w:rFonts w:hint="eastAsia"/>
          <w:lang w:eastAsia="zh-CN"/>
        </w:rPr>
      </w:pPr>
      <w:r>
        <w:rPr>
          <w:rFonts w:hint="eastAsia"/>
        </w:rPr>
        <w:t>本文件规定了绿色城市配送管理的术语与定义、</w:t>
      </w:r>
      <w:r>
        <w:rPr>
          <w:rFonts w:hint="eastAsia"/>
          <w:lang w:eastAsia="zh-CN"/>
        </w:rPr>
        <w:t>基本要求、绿色</w:t>
      </w:r>
      <w:r>
        <w:rPr>
          <w:rFonts w:hint="eastAsia"/>
        </w:rPr>
        <w:t>配送</w:t>
      </w:r>
      <w:r>
        <w:rPr>
          <w:rFonts w:hint="eastAsia"/>
          <w:lang w:eastAsia="zh-CN"/>
        </w:rPr>
        <w:t>人员、绿色</w:t>
      </w:r>
      <w:r>
        <w:rPr>
          <w:rFonts w:hint="eastAsia"/>
        </w:rPr>
        <w:t>配送</w:t>
      </w:r>
      <w:r>
        <w:rPr>
          <w:rFonts w:hint="eastAsia"/>
          <w:lang w:eastAsia="zh-CN"/>
        </w:rPr>
        <w:t>设备、绿色配送作业</w:t>
      </w:r>
      <w:r>
        <w:rPr>
          <w:rFonts w:hint="eastAsia"/>
        </w:rPr>
        <w:t>、</w:t>
      </w:r>
      <w:r>
        <w:rPr>
          <w:rFonts w:hint="eastAsia"/>
          <w:lang w:eastAsia="zh-CN"/>
        </w:rPr>
        <w:t>绿色配送信息管理系统。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  <w:rPr>
          <w:rFonts w:hint="eastAsia"/>
        </w:rPr>
      </w:pPr>
      <w:r>
        <w:rPr>
          <w:rFonts w:hint="eastAsia"/>
        </w:rPr>
        <w:t>本文件适用于</w:t>
      </w:r>
      <w:r>
        <w:rPr>
          <w:rFonts w:hint="eastAsia"/>
          <w:lang w:eastAsia="zh-CN"/>
        </w:rPr>
        <w:t>从事</w:t>
      </w:r>
      <w:r>
        <w:rPr>
          <w:rFonts w:hint="eastAsia"/>
        </w:rPr>
        <w:t>城市配送</w:t>
      </w:r>
      <w:r>
        <w:rPr>
          <w:rFonts w:hint="eastAsia"/>
          <w:lang w:val="en-US" w:eastAsia="zh-CN"/>
        </w:rPr>
        <w:t>服务的物流企业开展绿色配送管理工作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为特殊物品（如危险品等）提供配送服务的可参照执行</w:t>
      </w:r>
      <w:r>
        <w:rPr>
          <w:rFonts w:hint="eastAsia"/>
        </w:rPr>
        <w:t>。</w:t>
      </w:r>
    </w:p>
    <w:p>
      <w:pPr>
        <w:pStyle w:val="35"/>
        <w:numPr>
          <w:ilvl w:val="0"/>
          <w:numId w:val="2"/>
        </w:numPr>
        <w:spacing w:beforeLines="100" w:afterLines="100" w:line="240" w:lineRule="auto"/>
        <w:ind w:firstLineChars="0"/>
        <w:jc w:val="both"/>
        <w:outlineLvl w:val="0"/>
        <w:rPr>
          <w:bCs/>
        </w:rPr>
      </w:pPr>
      <w:bookmarkStart w:id="15" w:name="_Toc13356"/>
      <w:bookmarkStart w:id="16" w:name="_Toc87360251"/>
      <w:r>
        <w:rPr>
          <w:rFonts w:ascii="黑体" w:hAnsi="黑体" w:eastAsia="黑体" w:cs="黑体"/>
          <w:bCs/>
          <w:spacing w:val="-5"/>
        </w:rPr>
        <w:t>规范性引用文件</w:t>
      </w:r>
      <w:bookmarkEnd w:id="15"/>
      <w:bookmarkEnd w:id="16"/>
    </w:p>
    <w:p>
      <w:pPr>
        <w:spacing w:after="0" w:line="240" w:lineRule="auto"/>
        <w:ind w:firstLine="392" w:firstLineChars="200"/>
        <w:jc w:val="both"/>
        <w:rPr>
          <w:rFonts w:hint="default" w:hAnsi="宋体" w:cs="宋体"/>
          <w:lang w:val="en-US"/>
        </w:rPr>
      </w:pPr>
      <w:r>
        <w:rPr>
          <w:rFonts w:ascii="宋体" w:hAnsi="宋体" w:eastAsia="宋体" w:cs="宋体"/>
          <w:spacing w:val="-7"/>
        </w:rPr>
        <w:t>下列文件</w:t>
      </w:r>
      <w:r>
        <w:rPr>
          <w:rFonts w:hint="eastAsia" w:ascii="宋体" w:hAnsi="宋体" w:eastAsia="宋体" w:cs="宋体"/>
          <w:spacing w:val="-7"/>
        </w:rPr>
        <w:t>中的内容通过文中的规范性引用而构成本文件必不可少的条款。其中，注日期的引用文件，仅该日期对应的版本适用于本文件；不注日期的引用文件，其最新版本（包括所有的修改单）适用于本文件。</w:t>
      </w:r>
    </w:p>
    <w:p>
      <w:pPr>
        <w:pStyle w:val="17"/>
        <w:ind w:firstLine="630" w:firstLineChars="300"/>
        <w:rPr>
          <w:rFonts w:hint="eastAsia" w:hAnsi="宋体" w:cs="宋体"/>
          <w:color w:val="000000" w:themeColor="text1"/>
          <w:lang w:val="en-US" w:eastAsia="zh-CN"/>
        </w:rPr>
      </w:pPr>
      <w:r>
        <w:rPr>
          <w:rFonts w:hint="eastAsia" w:hAnsi="宋体" w:cs="宋体"/>
          <w:color w:val="000000" w:themeColor="text1"/>
          <w:lang w:val="en-US" w:eastAsia="zh-CN"/>
        </w:rPr>
        <w:t>GB 1495</w:t>
      </w:r>
      <w:r>
        <w:rPr>
          <w:rFonts w:hint="eastAsia" w:hAnsi="宋体" w:cs="宋体"/>
          <w:color w:val="000000" w:themeColor="text1"/>
        </w:rPr>
        <w:t> </w:t>
      </w:r>
      <w:r>
        <w:rPr>
          <w:rFonts w:hint="eastAsia" w:hAnsi="宋体" w:cs="宋体"/>
          <w:color w:val="000000" w:themeColor="text1"/>
          <w:lang w:val="en-US" w:eastAsia="zh-CN"/>
        </w:rPr>
        <w:t>汽车加速行驶车外噪声限值及测量方法</w:t>
      </w:r>
    </w:p>
    <w:p>
      <w:pPr>
        <w:pStyle w:val="17"/>
        <w:ind w:firstLine="630" w:firstLineChars="300"/>
        <w:rPr>
          <w:rFonts w:hint="eastAsia" w:hAnsi="宋体" w:cs="宋体"/>
          <w:color w:val="000000" w:themeColor="text1"/>
          <w:lang w:val="en-US" w:eastAsia="zh-CN"/>
        </w:rPr>
      </w:pPr>
      <w:r>
        <w:rPr>
          <w:rFonts w:hint="default" w:hAnsi="宋体" w:cs="宋体"/>
          <w:color w:val="000000" w:themeColor="text1"/>
          <w:lang w:val="en-US"/>
        </w:rPr>
        <w:t>GB</w:t>
      </w:r>
      <w:r>
        <w:rPr>
          <w:rFonts w:hint="eastAsia" w:hAnsi="宋体" w:cs="宋体"/>
          <w:color w:val="000000" w:themeColor="text1"/>
          <w:lang w:val="en-US" w:eastAsia="zh-CN"/>
        </w:rPr>
        <w:t xml:space="preserve"> </w:t>
      </w:r>
      <w:r>
        <w:rPr>
          <w:rFonts w:hint="default" w:hAnsi="宋体" w:cs="宋体"/>
          <w:color w:val="000000" w:themeColor="text1"/>
          <w:lang w:val="en-US"/>
        </w:rPr>
        <w:t>1</w:t>
      </w:r>
      <w:r>
        <w:rPr>
          <w:rFonts w:hint="eastAsia" w:hAnsi="宋体" w:cs="宋体"/>
          <w:color w:val="000000" w:themeColor="text1"/>
          <w:lang w:val="en-US" w:eastAsia="zh-CN"/>
        </w:rPr>
        <w:t>589</w:t>
      </w:r>
      <w:r>
        <w:rPr>
          <w:rFonts w:hint="eastAsia" w:hAnsi="宋体" w:cs="宋体"/>
          <w:color w:val="000000" w:themeColor="text1"/>
        </w:rPr>
        <w:t> </w:t>
      </w:r>
      <w:r>
        <w:rPr>
          <w:rFonts w:hint="eastAsia" w:hAnsi="宋体" w:cs="宋体"/>
          <w:color w:val="000000" w:themeColor="text1"/>
          <w:lang w:val="en-US" w:eastAsia="zh-CN"/>
        </w:rPr>
        <w:t>汽车、挂车及汽车列车外廓尺寸，轴荷及质量限值。</w:t>
      </w:r>
    </w:p>
    <w:p>
      <w:pPr>
        <w:pStyle w:val="17"/>
        <w:ind w:firstLine="630" w:firstLineChars="300"/>
        <w:rPr>
          <w:rFonts w:hint="eastAsia" w:hAnsi="宋体" w:cs="宋体"/>
          <w:color w:val="auto"/>
          <w:lang w:val="en-US" w:eastAsia="zh-CN"/>
        </w:rPr>
      </w:pPr>
      <w:r>
        <w:rPr>
          <w:rFonts w:hint="eastAsia" w:hAnsi="宋体" w:cs="宋体"/>
          <w:color w:val="auto"/>
          <w:lang w:val="en-US" w:eastAsia="zh-CN"/>
        </w:rPr>
        <w:t>GB 7258</w:t>
      </w:r>
      <w:r>
        <w:rPr>
          <w:rFonts w:hint="eastAsia" w:hAnsi="宋体" w:cs="宋体"/>
          <w:color w:val="auto"/>
        </w:rPr>
        <w:t> </w:t>
      </w:r>
      <w:r>
        <w:rPr>
          <w:rFonts w:hint="eastAsia" w:hAnsi="宋体" w:cs="宋体"/>
          <w:color w:val="auto"/>
          <w:lang w:val="en-US" w:eastAsia="zh-CN"/>
        </w:rPr>
        <w:t>机动车运行安全技术条件</w:t>
      </w:r>
    </w:p>
    <w:p>
      <w:pPr>
        <w:pStyle w:val="17"/>
        <w:ind w:firstLine="630" w:firstLineChars="300"/>
        <w:rPr>
          <w:rFonts w:hint="eastAsia" w:hAnsi="宋体" w:cs="宋体"/>
          <w:color w:val="000000" w:themeColor="text1"/>
          <w:lang w:val="en-US" w:eastAsia="zh-CN"/>
        </w:rPr>
      </w:pPr>
      <w:r>
        <w:rPr>
          <w:rFonts w:hint="eastAsia" w:hAnsi="宋体" w:cs="宋体"/>
          <w:color w:val="000000" w:themeColor="text1"/>
          <w:lang w:val="en-US" w:eastAsia="zh-CN"/>
        </w:rPr>
        <w:t>GB/T</w:t>
      </w:r>
      <w:r>
        <w:rPr>
          <w:rFonts w:hint="eastAsia" w:hAnsi="宋体" w:cs="宋体"/>
          <w:color w:val="000000" w:themeColor="text1"/>
        </w:rPr>
        <w:t> </w:t>
      </w:r>
      <w:r>
        <w:rPr>
          <w:rFonts w:hint="eastAsia" w:hAnsi="宋体" w:cs="宋体"/>
          <w:color w:val="000000" w:themeColor="text1"/>
          <w:lang w:val="en-US" w:eastAsia="zh-CN"/>
        </w:rPr>
        <w:t>16716.1</w:t>
      </w:r>
      <w:r>
        <w:rPr>
          <w:rFonts w:hint="eastAsia" w:hAnsi="宋体" w:cs="宋体"/>
          <w:color w:val="000000" w:themeColor="text1"/>
        </w:rPr>
        <w:t> </w:t>
      </w:r>
      <w:r>
        <w:rPr>
          <w:rFonts w:hint="eastAsia" w:hAnsi="宋体" w:cs="宋体"/>
          <w:color w:val="000000" w:themeColor="text1"/>
          <w:lang w:val="en-US" w:eastAsia="zh-CN"/>
        </w:rPr>
        <w:t>包装与环境 第一部分：通则</w:t>
      </w:r>
    </w:p>
    <w:p>
      <w:pPr>
        <w:pStyle w:val="17"/>
        <w:ind w:firstLine="630" w:firstLineChars="300"/>
        <w:rPr>
          <w:rFonts w:hint="eastAsia" w:hAnsi="宋体" w:cs="宋体"/>
          <w:color w:val="000000" w:themeColor="text1"/>
          <w:lang w:val="en-US" w:eastAsia="zh-CN"/>
        </w:rPr>
      </w:pPr>
      <w:r>
        <w:rPr>
          <w:rFonts w:hint="eastAsia" w:hAnsi="宋体" w:cs="宋体"/>
          <w:color w:val="000000" w:themeColor="text1"/>
          <w:lang w:val="en-US" w:eastAsia="zh-CN"/>
        </w:rPr>
        <w:t>GB/T</w:t>
      </w:r>
      <w:r>
        <w:rPr>
          <w:rFonts w:hint="eastAsia" w:hAnsi="宋体" w:cs="宋体"/>
          <w:color w:val="000000" w:themeColor="text1"/>
        </w:rPr>
        <w:t> </w:t>
      </w:r>
      <w:r>
        <w:rPr>
          <w:rFonts w:hint="eastAsia" w:hAnsi="宋体" w:cs="宋体"/>
          <w:color w:val="000000" w:themeColor="text1"/>
          <w:lang w:val="en-US" w:eastAsia="zh-CN"/>
        </w:rPr>
        <w:t>17691</w:t>
      </w:r>
      <w:r>
        <w:rPr>
          <w:rFonts w:hint="eastAsia" w:hAnsi="宋体" w:cs="宋体"/>
          <w:color w:val="000000" w:themeColor="text1"/>
        </w:rPr>
        <w:t> </w:t>
      </w:r>
      <w:r>
        <w:rPr>
          <w:rFonts w:hint="eastAsia" w:hAnsi="宋体" w:cs="宋体"/>
          <w:color w:val="000000" w:themeColor="text1"/>
          <w:lang w:val="en-US" w:eastAsia="zh-CN"/>
        </w:rPr>
        <w:t>重型柴油车污染物排放限值及测量方法（中国第六阶段）</w:t>
      </w:r>
    </w:p>
    <w:p>
      <w:pPr>
        <w:pStyle w:val="17"/>
        <w:ind w:firstLine="630" w:firstLineChars="300"/>
        <w:rPr>
          <w:rFonts w:hint="eastAsia" w:hAnsi="宋体" w:cs="宋体"/>
          <w:color w:val="000000" w:themeColor="text1"/>
          <w:lang w:val="en-US" w:eastAsia="zh-CN"/>
        </w:rPr>
      </w:pPr>
      <w:r>
        <w:rPr>
          <w:rFonts w:hint="eastAsia" w:hAnsi="宋体" w:cs="宋体"/>
          <w:color w:val="000000" w:themeColor="text1"/>
          <w:lang w:val="en-US" w:eastAsia="zh-CN"/>
        </w:rPr>
        <w:t>GB/T</w:t>
      </w:r>
      <w:r>
        <w:rPr>
          <w:rFonts w:hint="eastAsia" w:hAnsi="宋体" w:cs="宋体"/>
          <w:color w:val="000000" w:themeColor="text1"/>
        </w:rPr>
        <w:t> </w:t>
      </w:r>
      <w:r>
        <w:rPr>
          <w:rFonts w:hint="eastAsia" w:hAnsi="宋体" w:cs="宋体"/>
          <w:color w:val="000000" w:themeColor="text1"/>
          <w:lang w:val="en-US" w:eastAsia="zh-CN"/>
        </w:rPr>
        <w:t>18352.6</w:t>
      </w:r>
      <w:r>
        <w:rPr>
          <w:rFonts w:hint="eastAsia" w:hAnsi="宋体" w:cs="宋体"/>
          <w:color w:val="000000" w:themeColor="text1"/>
        </w:rPr>
        <w:t> </w:t>
      </w:r>
      <w:r>
        <w:rPr>
          <w:rFonts w:hint="eastAsia" w:hAnsi="宋体" w:cs="宋体"/>
          <w:color w:val="000000" w:themeColor="text1"/>
          <w:lang w:val="en-US" w:eastAsia="zh-CN"/>
        </w:rPr>
        <w:t>轻型车辆污染物排放限值及测量方法（中国第六阶段）</w:t>
      </w:r>
    </w:p>
    <w:p>
      <w:pPr>
        <w:pStyle w:val="17"/>
        <w:ind w:firstLine="630" w:firstLineChars="300"/>
        <w:rPr>
          <w:rFonts w:hint="default" w:hAnsi="宋体" w:eastAsia="宋体" w:cs="宋体"/>
          <w:color w:val="000000" w:themeColor="text1"/>
          <w:lang w:val="en-US" w:eastAsia="zh-CN"/>
        </w:rPr>
      </w:pPr>
      <w:r>
        <w:rPr>
          <w:rFonts w:hint="eastAsia" w:hAnsi="宋体" w:cs="宋体"/>
          <w:color w:val="000000" w:themeColor="text1"/>
          <w:lang w:val="en-US" w:eastAsia="zh-CN"/>
        </w:rPr>
        <w:t>GB/T</w:t>
      </w:r>
      <w:r>
        <w:rPr>
          <w:rFonts w:hint="eastAsia" w:hAnsi="宋体" w:cs="宋体"/>
          <w:color w:val="000000" w:themeColor="text1"/>
        </w:rPr>
        <w:t> </w:t>
      </w:r>
      <w:r>
        <w:rPr>
          <w:rFonts w:hint="eastAsia" w:hAnsi="宋体" w:cs="宋体"/>
          <w:color w:val="000000" w:themeColor="text1"/>
          <w:lang w:val="en-US" w:eastAsia="zh-CN"/>
        </w:rPr>
        <w:t>37099 绿色物流指标构成与核算方法</w:t>
      </w:r>
    </w:p>
    <w:p>
      <w:pPr>
        <w:pStyle w:val="17"/>
        <w:ind w:firstLine="630" w:firstLineChars="300"/>
        <w:rPr>
          <w:rFonts w:hint="eastAsia" w:hAnsi="宋体" w:cs="宋体"/>
          <w:color w:val="000000" w:themeColor="text1"/>
          <w:lang w:val="en-US" w:eastAsia="zh-CN"/>
        </w:rPr>
      </w:pPr>
      <w:r>
        <w:rPr>
          <w:rFonts w:hint="eastAsia" w:hAnsi="宋体" w:cs="宋体"/>
          <w:color w:val="000000" w:themeColor="text1"/>
          <w:lang w:val="en-US" w:eastAsia="zh-CN"/>
        </w:rPr>
        <w:t>GB/T</w:t>
      </w:r>
      <w:r>
        <w:rPr>
          <w:rFonts w:hint="eastAsia" w:hAnsi="宋体" w:cs="宋体"/>
          <w:color w:val="000000" w:themeColor="text1"/>
        </w:rPr>
        <w:t> </w:t>
      </w:r>
      <w:r>
        <w:rPr>
          <w:rFonts w:hint="eastAsia" w:hAnsi="宋体" w:cs="宋体"/>
          <w:color w:val="000000" w:themeColor="text1"/>
          <w:lang w:val="en-US" w:eastAsia="zh-CN"/>
        </w:rPr>
        <w:t>18386.1</w:t>
      </w:r>
      <w:r>
        <w:rPr>
          <w:rFonts w:hint="eastAsia" w:hAnsi="宋体" w:cs="宋体"/>
          <w:color w:val="000000" w:themeColor="text1"/>
        </w:rPr>
        <w:t> </w:t>
      </w:r>
      <w:r>
        <w:rPr>
          <w:rFonts w:hint="eastAsia" w:hAnsi="宋体" w:cs="宋体"/>
          <w:color w:val="000000" w:themeColor="text1"/>
          <w:lang w:val="en-US" w:eastAsia="zh-CN"/>
        </w:rPr>
        <w:t>电动汽车能量消耗量和续驶里程试验办法，第一部分：轻型汽车</w:t>
      </w:r>
    </w:p>
    <w:p>
      <w:pPr>
        <w:pStyle w:val="17"/>
        <w:ind w:firstLine="630" w:firstLineChars="300"/>
        <w:rPr>
          <w:rFonts w:hint="eastAsia" w:hAnsi="宋体" w:cs="宋体"/>
          <w:color w:val="000000" w:themeColor="text1"/>
          <w:lang w:val="en-US" w:eastAsia="zh-CN"/>
        </w:rPr>
      </w:pPr>
      <w:r>
        <w:rPr>
          <w:rFonts w:hint="eastAsia" w:hAnsi="宋体" w:cs="宋体"/>
          <w:color w:val="000000" w:themeColor="text1"/>
          <w:lang w:val="en-US" w:eastAsia="zh-CN"/>
        </w:rPr>
        <w:t>GB 18455</w:t>
      </w:r>
      <w:r>
        <w:rPr>
          <w:rFonts w:hint="eastAsia" w:hAnsi="宋体" w:cs="宋体"/>
          <w:color w:val="000000" w:themeColor="text1"/>
        </w:rPr>
        <w:t> </w:t>
      </w:r>
      <w:r>
        <w:rPr>
          <w:rFonts w:hint="eastAsia" w:hAnsi="宋体" w:cs="宋体"/>
          <w:color w:val="000000" w:themeColor="text1"/>
          <w:lang w:val="en-US" w:eastAsia="zh-CN"/>
        </w:rPr>
        <w:t>包装回收标准</w:t>
      </w:r>
    </w:p>
    <w:p>
      <w:pPr>
        <w:pStyle w:val="17"/>
        <w:ind w:firstLine="630" w:firstLineChars="300"/>
        <w:rPr>
          <w:rFonts w:hint="eastAsia" w:hAnsi="宋体" w:cs="宋体"/>
          <w:color w:val="000000" w:themeColor="text1"/>
          <w:lang w:val="en-US" w:eastAsia="zh-CN"/>
        </w:rPr>
      </w:pPr>
      <w:r>
        <w:rPr>
          <w:rFonts w:hint="eastAsia" w:hAnsi="宋体" w:cs="宋体"/>
          <w:color w:val="000000" w:themeColor="text1"/>
          <w:lang w:val="en-US" w:eastAsia="zh-CN"/>
        </w:rPr>
        <w:t>GB/T</w:t>
      </w:r>
      <w:r>
        <w:rPr>
          <w:rFonts w:hint="eastAsia" w:hAnsi="宋体" w:cs="宋体"/>
          <w:color w:val="000000" w:themeColor="text1"/>
        </w:rPr>
        <w:t> </w:t>
      </w:r>
      <w:r>
        <w:rPr>
          <w:rFonts w:hint="eastAsia" w:hAnsi="宋体" w:cs="宋体"/>
          <w:color w:val="000000" w:themeColor="text1"/>
          <w:lang w:val="en-US" w:eastAsia="zh-CN"/>
        </w:rPr>
        <w:t>29912</w:t>
      </w:r>
      <w:r>
        <w:rPr>
          <w:rFonts w:hint="eastAsia" w:hAnsi="宋体" w:cs="宋体"/>
          <w:color w:val="000000" w:themeColor="text1"/>
        </w:rPr>
        <w:t> </w:t>
      </w:r>
      <w:r>
        <w:rPr>
          <w:rFonts w:hint="eastAsia" w:hAnsi="宋体" w:cs="宋体"/>
          <w:color w:val="000000" w:themeColor="text1"/>
          <w:lang w:val="en-US" w:eastAsia="zh-CN"/>
        </w:rPr>
        <w:t>城市物流配送汽车造型技术要求</w:t>
      </w:r>
    </w:p>
    <w:p>
      <w:pPr>
        <w:pStyle w:val="17"/>
        <w:ind w:firstLine="630" w:firstLineChars="300"/>
        <w:rPr>
          <w:rFonts w:hint="eastAsia" w:hAnsi="宋体" w:cs="宋体"/>
          <w:color w:val="000000" w:themeColor="text1"/>
          <w:lang w:val="en-US" w:eastAsia="zh-CN"/>
        </w:rPr>
      </w:pPr>
      <w:r>
        <w:rPr>
          <w:rFonts w:hint="eastAsia" w:hAnsi="宋体" w:cs="宋体"/>
          <w:color w:val="000000" w:themeColor="text1"/>
          <w:lang w:val="en-US" w:eastAsia="zh-CN"/>
        </w:rPr>
        <w:t>JT/T</w:t>
      </w:r>
      <w:r>
        <w:rPr>
          <w:rFonts w:hint="eastAsia" w:hAnsi="宋体" w:cs="宋体"/>
          <w:color w:val="000000" w:themeColor="text1"/>
        </w:rPr>
        <w:t> </w:t>
      </w:r>
      <w:r>
        <w:rPr>
          <w:rFonts w:hint="eastAsia" w:hAnsi="宋体" w:cs="宋体"/>
          <w:color w:val="000000" w:themeColor="text1"/>
          <w:lang w:val="en-US" w:eastAsia="zh-CN"/>
        </w:rPr>
        <w:t>794</w:t>
      </w:r>
      <w:r>
        <w:rPr>
          <w:rFonts w:hint="eastAsia" w:hAnsi="宋体" w:cs="宋体"/>
          <w:color w:val="000000" w:themeColor="text1"/>
        </w:rPr>
        <w:t> </w:t>
      </w:r>
      <w:r>
        <w:rPr>
          <w:rFonts w:hint="eastAsia" w:hAnsi="宋体" w:cs="宋体"/>
          <w:color w:val="000000" w:themeColor="text1"/>
          <w:lang w:val="en-US" w:eastAsia="zh-CN"/>
        </w:rPr>
        <w:t>道路运输车辆卫星定位系统车载终端技术要求</w:t>
      </w:r>
    </w:p>
    <w:p>
      <w:pPr>
        <w:pStyle w:val="17"/>
        <w:ind w:firstLine="630" w:firstLineChars="300"/>
        <w:rPr>
          <w:rFonts w:hint="eastAsia" w:hAnsi="宋体" w:cs="宋体"/>
          <w:color w:val="000000" w:themeColor="text1"/>
          <w:lang w:val="en-US" w:eastAsia="zh-CN"/>
        </w:rPr>
      </w:pPr>
      <w:r>
        <w:rPr>
          <w:rFonts w:hint="eastAsia" w:hAnsi="宋体" w:cs="宋体"/>
          <w:color w:val="000000" w:themeColor="text1"/>
          <w:lang w:val="en-US" w:eastAsia="zh-CN"/>
        </w:rPr>
        <w:t>QC/T</w:t>
      </w:r>
      <w:r>
        <w:rPr>
          <w:rFonts w:hint="eastAsia" w:hAnsi="宋体" w:cs="宋体"/>
          <w:color w:val="000000" w:themeColor="text1"/>
        </w:rPr>
        <w:t> </w:t>
      </w:r>
      <w:r>
        <w:rPr>
          <w:rFonts w:hint="eastAsia" w:hAnsi="宋体" w:cs="宋体"/>
          <w:color w:val="000000" w:themeColor="text1"/>
          <w:lang w:val="en-US" w:eastAsia="zh-CN"/>
        </w:rPr>
        <w:t>449</w:t>
      </w:r>
      <w:r>
        <w:rPr>
          <w:rFonts w:hint="eastAsia" w:hAnsi="宋体" w:cs="宋体"/>
          <w:color w:val="000000" w:themeColor="text1"/>
        </w:rPr>
        <w:t> </w:t>
      </w:r>
      <w:r>
        <w:rPr>
          <w:rFonts w:hint="eastAsia" w:hAnsi="宋体" w:cs="宋体"/>
          <w:color w:val="000000" w:themeColor="text1"/>
          <w:lang w:val="en-US" w:eastAsia="zh-CN"/>
        </w:rPr>
        <w:t>保温车、冷藏车技术条件及试验办法</w:t>
      </w:r>
    </w:p>
    <w:p>
      <w:pPr>
        <w:pStyle w:val="35"/>
        <w:numPr>
          <w:ilvl w:val="0"/>
          <w:numId w:val="2"/>
        </w:numPr>
        <w:spacing w:beforeLines="100" w:afterLines="100" w:line="240" w:lineRule="auto"/>
        <w:ind w:firstLineChars="0"/>
        <w:jc w:val="both"/>
        <w:outlineLvl w:val="0"/>
        <w:rPr>
          <w:bCs/>
        </w:rPr>
      </w:pPr>
      <w:bookmarkStart w:id="17" w:name="_Toc87360252"/>
      <w:bookmarkStart w:id="18" w:name="_Toc24654"/>
      <w:r>
        <w:rPr>
          <w:rFonts w:ascii="黑体" w:hAnsi="黑体" w:eastAsia="黑体" w:cs="黑体"/>
          <w:bCs/>
          <w:spacing w:val="-5"/>
        </w:rPr>
        <w:t>术语和定义</w:t>
      </w:r>
      <w:bookmarkEnd w:id="17"/>
      <w:bookmarkEnd w:id="18"/>
    </w:p>
    <w:p>
      <w:pPr>
        <w:spacing w:after="0" w:line="240" w:lineRule="auto"/>
        <w:ind w:firstLine="400" w:firstLineChars="200"/>
        <w:jc w:val="both"/>
        <w:rPr>
          <w:rFonts w:ascii="宋体" w:hAnsi="宋体" w:eastAsia="宋体" w:cs="微软雅黑"/>
          <w:spacing w:val="-5"/>
        </w:rPr>
      </w:pPr>
      <w:r>
        <w:rPr>
          <w:rFonts w:ascii="宋体" w:hAnsi="宋体" w:eastAsia="宋体" w:cs="微软雅黑"/>
          <w:spacing w:val="-5"/>
        </w:rPr>
        <w:t>下列术语和定义适用于本文件。</w:t>
      </w:r>
    </w:p>
    <w:p>
      <w:pPr>
        <w:pStyle w:val="35"/>
        <w:numPr>
          <w:ilvl w:val="1"/>
          <w:numId w:val="3"/>
        </w:numPr>
        <w:spacing w:beforeLines="50" w:afterLines="50" w:line="240" w:lineRule="auto"/>
        <w:ind w:left="0" w:firstLineChars="0"/>
        <w:outlineLvl w:val="2"/>
        <w:rPr>
          <w:rFonts w:ascii="黑体" w:hAnsi="黑体" w:cs="黑体"/>
          <w:bCs/>
          <w:spacing w:val="-3"/>
        </w:rPr>
      </w:pPr>
      <w:r>
        <w:rPr>
          <w:rFonts w:hint="eastAsia" w:ascii="黑体" w:hAnsi="黑体" w:cs="黑体"/>
          <w:bCs/>
          <w:spacing w:val="-3"/>
        </w:rPr>
        <w:t xml:space="preserve"> </w:t>
      </w:r>
      <w:bookmarkStart w:id="19" w:name="_Toc87360253"/>
      <w:bookmarkEnd w:id="19"/>
    </w:p>
    <w:p>
      <w:pPr>
        <w:pStyle w:val="3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08"/>
        <w:jc w:val="both"/>
        <w:textAlignment w:val="auto"/>
        <w:rPr>
          <w:rFonts w:hint="default" w:ascii="黑体" w:hAnsi="黑体" w:eastAsia="黑体" w:cs="黑体"/>
          <w:bCs/>
          <w:spacing w:val="-3"/>
          <w:lang w:val="en-US" w:eastAsia="zh-CN"/>
        </w:rPr>
      </w:pPr>
      <w:r>
        <w:rPr>
          <w:rFonts w:hint="eastAsia" w:ascii="黑体" w:hAnsi="黑体" w:eastAsia="黑体" w:cs="黑体"/>
          <w:bCs/>
          <w:spacing w:val="-3"/>
        </w:rPr>
        <w:t xml:space="preserve">城市配送 </w:t>
      </w:r>
      <w:r>
        <w:rPr>
          <w:rFonts w:hint="eastAsia" w:ascii="黑体" w:hAnsi="黑体" w:eastAsia="黑体" w:cs="黑体"/>
          <w:bCs/>
          <w:spacing w:val="-3"/>
          <w:lang w:val="en-US" w:eastAsia="zh-CN"/>
        </w:rPr>
        <w:t>d</w:t>
      </w:r>
      <w:r>
        <w:rPr>
          <w:rFonts w:hint="default" w:ascii="黑体" w:hAnsi="黑体" w:eastAsia="黑体" w:cs="黑体"/>
          <w:bCs/>
          <w:spacing w:val="-3"/>
          <w:lang w:val="en-US" w:eastAsia="zh-CN"/>
        </w:rPr>
        <w:t>istribution</w:t>
      </w:r>
    </w:p>
    <w:p>
      <w:pPr>
        <w:pStyle w:val="35"/>
        <w:spacing w:after="0" w:line="240" w:lineRule="auto"/>
        <w:ind w:firstLine="408"/>
        <w:jc w:val="both"/>
        <w:rPr>
          <w:rFonts w:hint="default" w:ascii="宋体" w:hAnsi="宋体" w:eastAsia="宋体" w:cs="黑体"/>
          <w:bCs/>
          <w:spacing w:val="-3"/>
        </w:rPr>
      </w:pPr>
      <w:r>
        <w:rPr>
          <w:rFonts w:hint="eastAsia" w:ascii="宋体" w:hAnsi="宋体" w:eastAsia="宋体" w:cs="黑体"/>
          <w:bCs/>
          <w:spacing w:val="-3"/>
        </w:rPr>
        <w:t>是指服务于城区以及市近郊的货物配送活动，在经济合理区域内，根据客户的要求对物品进行</w:t>
      </w:r>
      <w:r>
        <w:rPr>
          <w:rFonts w:hint="eastAsia" w:ascii="宋体" w:hAnsi="宋体" w:eastAsia="宋体" w:cs="黑体"/>
          <w:bCs/>
          <w:spacing w:val="-3"/>
          <w:lang w:eastAsia="zh-CN"/>
        </w:rPr>
        <w:t>拣选、</w:t>
      </w:r>
      <w:r>
        <w:rPr>
          <w:rFonts w:hint="eastAsia" w:ascii="宋体" w:hAnsi="宋体" w:eastAsia="宋体" w:cs="黑体"/>
          <w:bCs/>
          <w:spacing w:val="-3"/>
        </w:rPr>
        <w:t>加工、包装、分割、组配等作业，并按时送达指定地点的</w:t>
      </w:r>
      <w:r>
        <w:rPr>
          <w:rFonts w:hint="default" w:ascii="宋体" w:hAnsi="宋体" w:eastAsia="宋体" w:cs="黑体"/>
          <w:bCs/>
          <w:spacing w:val="-3"/>
        </w:rPr>
        <w:fldChar w:fldCharType="begin"/>
      </w:r>
      <w:r>
        <w:rPr>
          <w:rFonts w:hint="default" w:ascii="宋体" w:hAnsi="宋体" w:eastAsia="宋体" w:cs="黑体"/>
          <w:bCs/>
          <w:spacing w:val="-3"/>
        </w:rPr>
        <w:instrText xml:space="preserve"> HYPERLINK "https://baike.so.com/doc/882011-932327.html" \t "https://baike.so.com/doc/_blank" </w:instrText>
      </w:r>
      <w:r>
        <w:rPr>
          <w:rFonts w:hint="default" w:ascii="宋体" w:hAnsi="宋体" w:eastAsia="宋体" w:cs="黑体"/>
          <w:bCs/>
          <w:spacing w:val="-3"/>
        </w:rPr>
        <w:fldChar w:fldCharType="separate"/>
      </w:r>
      <w:r>
        <w:rPr>
          <w:rFonts w:hint="default" w:ascii="宋体" w:hAnsi="宋体" w:eastAsia="宋体" w:cs="黑体"/>
          <w:bCs/>
          <w:spacing w:val="-3"/>
        </w:rPr>
        <w:t>物流</w:t>
      </w:r>
      <w:r>
        <w:rPr>
          <w:rFonts w:hint="default" w:ascii="宋体" w:hAnsi="宋体" w:eastAsia="宋体" w:cs="黑体"/>
          <w:bCs/>
          <w:spacing w:val="-3"/>
        </w:rPr>
        <w:fldChar w:fldCharType="end"/>
      </w:r>
      <w:r>
        <w:rPr>
          <w:rFonts w:hint="default" w:ascii="宋体" w:hAnsi="宋体" w:eastAsia="宋体" w:cs="黑体"/>
          <w:bCs/>
          <w:spacing w:val="-3"/>
        </w:rPr>
        <w:t>活动。</w:t>
      </w:r>
    </w:p>
    <w:p>
      <w:pPr>
        <w:pStyle w:val="35"/>
        <w:numPr>
          <w:ilvl w:val="1"/>
          <w:numId w:val="3"/>
        </w:numPr>
        <w:spacing w:beforeLines="50" w:afterLines="50" w:line="240" w:lineRule="auto"/>
        <w:ind w:left="0" w:firstLineChars="0"/>
        <w:outlineLvl w:val="2"/>
        <w:rPr>
          <w:rFonts w:ascii="黑体" w:hAnsi="黑体" w:eastAsia="黑体" w:cs="黑体"/>
          <w:bCs/>
          <w:spacing w:val="-3"/>
        </w:rPr>
      </w:pPr>
      <w:bookmarkStart w:id="20" w:name="_Toc87360254"/>
      <w:bookmarkEnd w:id="20"/>
    </w:p>
    <w:p>
      <w:pPr>
        <w:pStyle w:val="3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08"/>
        <w:jc w:val="both"/>
        <w:textAlignment w:val="auto"/>
        <w:rPr>
          <w:rFonts w:hint="default" w:ascii="黑体" w:hAnsi="黑体" w:eastAsia="黑体" w:cs="黑体"/>
          <w:bCs/>
          <w:spacing w:val="-3"/>
          <w:lang w:val="en-US" w:eastAsia="zh-CN"/>
        </w:rPr>
      </w:pPr>
      <w:r>
        <w:rPr>
          <w:rFonts w:hint="eastAsia" w:ascii="黑体" w:hAnsi="黑体" w:eastAsia="黑体" w:cs="黑体"/>
          <w:bCs/>
          <w:spacing w:val="-3"/>
          <w:lang w:val="en-US" w:eastAsia="zh-CN"/>
        </w:rPr>
        <w:t xml:space="preserve">绿色物流 </w:t>
      </w:r>
      <w:r>
        <w:rPr>
          <w:rFonts w:hint="default" w:ascii="黑体" w:hAnsi="黑体" w:eastAsia="黑体" w:cs="黑体"/>
          <w:bCs/>
          <w:spacing w:val="-3"/>
          <w:lang w:val="en-US" w:eastAsia="zh-CN"/>
        </w:rPr>
        <w:t>green logistics</w:t>
      </w:r>
    </w:p>
    <w:p>
      <w:pPr>
        <w:pStyle w:val="35"/>
        <w:spacing w:after="0" w:line="240" w:lineRule="auto"/>
        <w:ind w:firstLine="408"/>
        <w:jc w:val="both"/>
        <w:rPr>
          <w:rFonts w:hint="eastAsia" w:ascii="宋体" w:hAnsi="宋体" w:eastAsia="宋体" w:cs="黑体"/>
          <w:bCs/>
          <w:color w:val="FF0000"/>
          <w:spacing w:val="-3"/>
          <w:lang w:val="en-US" w:eastAsia="zh-CN"/>
        </w:rPr>
      </w:pPr>
      <w:r>
        <w:rPr>
          <w:rFonts w:hint="eastAsia" w:ascii="宋体" w:hAnsi="宋体" w:eastAsia="宋体" w:cs="黑体"/>
          <w:bCs/>
          <w:spacing w:val="-3"/>
          <w:lang w:val="en-US" w:eastAsia="zh-CN"/>
        </w:rPr>
        <w:t>通过充分利用物流资源，采用先进的物流技术，合理规划和实施运输、储存、搬运、包装、流通、加工、配送、信息处理等物流活动，降低物流</w:t>
      </w:r>
      <w:bookmarkStart w:id="32" w:name="_GoBack"/>
      <w:bookmarkEnd w:id="32"/>
      <w:r>
        <w:rPr>
          <w:rFonts w:hint="eastAsia" w:ascii="宋体" w:hAnsi="宋体" w:eastAsia="宋体" w:cs="黑体"/>
          <w:bCs/>
          <w:spacing w:val="-3"/>
          <w:lang w:val="en-US" w:eastAsia="zh-CN"/>
        </w:rPr>
        <w:t>活动对环境影响的过程。</w:t>
      </w:r>
      <w:r>
        <w:rPr>
          <w:rFonts w:hint="eastAsia" w:hAnsi="宋体" w:cs="宋体"/>
          <w:color w:val="FF0000"/>
          <w:lang w:val="en-US" w:eastAsia="zh-CN"/>
        </w:rPr>
        <w:t>GB/T</w:t>
      </w:r>
      <w:r>
        <w:rPr>
          <w:rFonts w:hint="eastAsia" w:hAnsi="宋体" w:cs="宋体"/>
          <w:color w:val="FF0000"/>
        </w:rPr>
        <w:t> </w:t>
      </w:r>
      <w:r>
        <w:rPr>
          <w:rFonts w:hint="eastAsia" w:hAnsi="宋体" w:cs="宋体"/>
          <w:color w:val="FF0000"/>
          <w:lang w:val="en-US" w:eastAsia="zh-CN"/>
        </w:rPr>
        <w:t>37099</w:t>
      </w:r>
    </w:p>
    <w:p>
      <w:pPr>
        <w:pStyle w:val="35"/>
        <w:numPr>
          <w:ilvl w:val="1"/>
          <w:numId w:val="3"/>
        </w:numPr>
        <w:spacing w:beforeLines="50" w:afterLines="50" w:line="240" w:lineRule="auto"/>
        <w:ind w:left="0" w:firstLineChars="0"/>
        <w:outlineLvl w:val="2"/>
        <w:rPr>
          <w:rFonts w:ascii="黑体" w:hAnsi="黑体" w:eastAsia="黑体" w:cs="黑体"/>
          <w:bCs/>
          <w:spacing w:val="-3"/>
        </w:rPr>
      </w:pPr>
      <w:bookmarkStart w:id="21" w:name="_Toc87360255"/>
      <w:bookmarkEnd w:id="21"/>
    </w:p>
    <w:p>
      <w:pPr>
        <w:pStyle w:val="3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08"/>
        <w:jc w:val="both"/>
        <w:textAlignment w:val="auto"/>
        <w:rPr>
          <w:rFonts w:hint="eastAsia" w:ascii="黑体" w:hAnsi="黑体" w:eastAsia="黑体" w:cs="黑体"/>
          <w:bCs/>
          <w:spacing w:val="-3"/>
          <w:lang w:val="en-US" w:eastAsia="zh-CN"/>
        </w:rPr>
      </w:pPr>
      <w:r>
        <w:rPr>
          <w:rFonts w:hint="eastAsia" w:ascii="黑体" w:hAnsi="黑体" w:eastAsia="黑体" w:cs="黑体"/>
          <w:bCs/>
          <w:spacing w:val="-3"/>
          <w:lang w:val="en-US" w:eastAsia="zh-CN"/>
        </w:rPr>
        <w:t>绿色城市配送green city d</w:t>
      </w:r>
      <w:r>
        <w:rPr>
          <w:rFonts w:hint="default" w:ascii="黑体" w:hAnsi="黑体" w:eastAsia="黑体" w:cs="黑体"/>
          <w:bCs/>
          <w:spacing w:val="-3"/>
          <w:lang w:val="en-US" w:eastAsia="zh-CN"/>
        </w:rPr>
        <w:t>istribution</w:t>
      </w:r>
    </w:p>
    <w:p>
      <w:pPr>
        <w:pStyle w:val="35"/>
        <w:spacing w:beforeLines="50" w:afterLines="50" w:line="240" w:lineRule="auto"/>
        <w:ind w:firstLine="408"/>
        <w:jc w:val="both"/>
        <w:rPr>
          <w:rFonts w:hint="eastAsia" w:ascii="黑体" w:hAnsi="黑体" w:eastAsia="黑体" w:cs="黑体"/>
          <w:bCs/>
          <w:spacing w:val="-3"/>
        </w:rPr>
      </w:pPr>
      <w:r>
        <w:rPr>
          <w:rFonts w:hint="eastAsia" w:ascii="宋体" w:hAnsi="宋体" w:eastAsia="宋体" w:cs="黑体"/>
          <w:bCs/>
          <w:spacing w:val="-3"/>
          <w:lang w:eastAsia="zh-CN"/>
        </w:rPr>
        <w:t>在</w:t>
      </w:r>
      <w:r>
        <w:rPr>
          <w:rFonts w:hint="eastAsia" w:ascii="宋体" w:hAnsi="宋体" w:eastAsia="宋体" w:cs="黑体"/>
          <w:bCs/>
          <w:spacing w:val="-3"/>
        </w:rPr>
        <w:t>城区以及市近郊的货物配送活动</w:t>
      </w:r>
      <w:r>
        <w:rPr>
          <w:rFonts w:hint="eastAsia" w:ascii="宋体" w:hAnsi="宋体" w:eastAsia="宋体" w:cs="黑体"/>
          <w:bCs/>
          <w:spacing w:val="-3"/>
          <w:lang w:eastAsia="zh-CN"/>
        </w:rPr>
        <w:t>中，</w:t>
      </w:r>
      <w:r>
        <w:rPr>
          <w:rFonts w:hint="eastAsia" w:ascii="宋体" w:hAnsi="宋体" w:eastAsia="宋体" w:cs="黑体"/>
          <w:bCs/>
          <w:spacing w:val="-3"/>
          <w:lang w:val="en-US" w:eastAsia="zh-CN"/>
        </w:rPr>
        <w:t>通过选择合理运输车辆和运输线路、科学配装等措施，高效利用车辆，降低车辆等配送设备的环境污染和能耗，实现环保、节能高效的配送方式。</w:t>
      </w:r>
    </w:p>
    <w:p>
      <w:pPr>
        <w:pStyle w:val="35"/>
        <w:numPr>
          <w:ilvl w:val="0"/>
          <w:numId w:val="2"/>
        </w:numPr>
        <w:spacing w:beforeLines="100" w:afterLines="100" w:line="240" w:lineRule="auto"/>
        <w:ind w:firstLineChars="0"/>
        <w:jc w:val="both"/>
        <w:outlineLvl w:val="0"/>
        <w:rPr>
          <w:rFonts w:ascii="黑体" w:hAnsi="黑体" w:eastAsia="黑体"/>
          <w:bCs/>
        </w:rPr>
      </w:pPr>
      <w:bookmarkStart w:id="22" w:name="_Toc87360256"/>
      <w:bookmarkEnd w:id="22"/>
      <w:bookmarkStart w:id="23" w:name="_Toc87360258"/>
      <w:bookmarkStart w:id="24" w:name="_Toc21624"/>
      <w:r>
        <w:rPr>
          <w:rFonts w:hint="eastAsia" w:ascii="黑体" w:hAnsi="黑体" w:eastAsia="黑体" w:cs="黑体"/>
          <w:bCs/>
          <w:spacing w:val="-5"/>
        </w:rPr>
        <w:t>基本要求</w:t>
      </w:r>
      <w:bookmarkEnd w:id="23"/>
      <w:bookmarkEnd w:id="24"/>
    </w:p>
    <w:p>
      <w:pPr>
        <w:pStyle w:val="35"/>
        <w:keepNext w:val="0"/>
        <w:keepLines w:val="0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510" w:hanging="510" w:firstLineChars="0"/>
        <w:textAlignment w:val="auto"/>
        <w:outlineLvl w:val="3"/>
        <w:rPr>
          <w:rFonts w:hint="eastAsia" w:ascii="黑体" w:hAnsi="黑体" w:eastAsia="黑体" w:cs="黑体"/>
          <w:spacing w:val="-6"/>
          <w:position w:val="3"/>
          <w:sz w:val="21"/>
          <w:szCs w:val="21"/>
        </w:rPr>
      </w:pPr>
      <w:r>
        <w:rPr>
          <w:rFonts w:hint="eastAsia" w:ascii="黑体" w:hAnsi="黑体" w:eastAsia="黑体" w:cs="黑体"/>
          <w:spacing w:val="-6"/>
          <w:position w:val="3"/>
          <w:sz w:val="21"/>
          <w:szCs w:val="21"/>
          <w:lang w:val="en-US" w:eastAsia="zh-CN"/>
        </w:rPr>
        <w:t>基本原则</w:t>
      </w:r>
    </w:p>
    <w:p>
      <w:pPr>
        <w:pStyle w:val="35"/>
        <w:numPr>
          <w:ilvl w:val="2"/>
          <w:numId w:val="4"/>
        </w:numPr>
        <w:spacing w:after="0" w:line="240" w:lineRule="auto"/>
        <w:ind w:left="708" w:leftChars="0" w:hanging="708" w:firstLineChars="0"/>
        <w:outlineLvl w:val="3"/>
        <w:rPr>
          <w:rFonts w:ascii="宋体" w:hAnsi="宋体" w:eastAsia="宋体" w:cs="宋体"/>
          <w:color w:val="auto"/>
          <w:spacing w:val="-6"/>
          <w:position w:val="3"/>
        </w:rPr>
      </w:pPr>
      <w:r>
        <w:rPr>
          <w:rFonts w:hint="eastAsia" w:ascii="Arial" w:hAnsi="Arial" w:cs="Arial"/>
          <w:i w:val="0"/>
          <w:iCs w:val="0"/>
          <w:caps w:val="0"/>
          <w:color w:val="0000FF"/>
          <w:spacing w:val="0"/>
          <w:sz w:val="21"/>
          <w:szCs w:val="21"/>
          <w:shd w:val="clear" w:fill="FFFFFF"/>
          <w:lang w:val="en-US" w:eastAsia="zh-CN"/>
        </w:rPr>
        <w:t>应贯彻绿色可持续发展理念，坚持环境保护，资源节约，低碳经济、循环利用的原则。</w:t>
      </w:r>
    </w:p>
    <w:p>
      <w:pPr>
        <w:pStyle w:val="35"/>
        <w:numPr>
          <w:ilvl w:val="2"/>
          <w:numId w:val="4"/>
        </w:numPr>
        <w:spacing w:after="0" w:line="240" w:lineRule="auto"/>
        <w:ind w:left="708" w:leftChars="0" w:hanging="708" w:firstLineChars="0"/>
        <w:outlineLvl w:val="3"/>
        <w:rPr>
          <w:rFonts w:ascii="宋体" w:hAnsi="宋体" w:eastAsia="宋体" w:cs="宋体"/>
          <w:color w:val="auto"/>
          <w:spacing w:val="-6"/>
          <w:position w:val="3"/>
        </w:rPr>
      </w:pP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应成立绿色物流发展管理组织机构，建立绿色物流发展的相关规章制度，设立节能减排管理岗位，明确岗位职责，日常运行、检测、设备维护制度齐全，配置专职管理人员。制定绿色物流发展规划及实施方案，确定减碳目标，并将绿色物流发展管理纳入企业负责人的绩效考核中。</w:t>
      </w:r>
    </w:p>
    <w:p>
      <w:pPr>
        <w:pStyle w:val="35"/>
        <w:numPr>
          <w:ilvl w:val="2"/>
          <w:numId w:val="4"/>
        </w:numPr>
        <w:spacing w:after="0" w:line="240" w:lineRule="auto"/>
        <w:ind w:left="708" w:leftChars="0" w:hanging="708" w:firstLineChars="0"/>
        <w:outlineLvl w:val="3"/>
        <w:rPr>
          <w:rFonts w:ascii="宋体" w:hAnsi="宋体" w:eastAsia="宋体" w:cs="宋体"/>
          <w:color w:val="auto"/>
          <w:spacing w:val="-6"/>
          <w:position w:val="3"/>
        </w:rPr>
      </w:pP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根据城市配送“多品种、小批量、多批次、短周期”的特点，按照四共一同，即“共用仓配中心、共用配送车辆、共享网络信息、共享网点资源、同程配单”的原则配送。</w:t>
      </w:r>
    </w:p>
    <w:p>
      <w:pPr>
        <w:pStyle w:val="35"/>
        <w:numPr>
          <w:ilvl w:val="2"/>
          <w:numId w:val="4"/>
        </w:numPr>
        <w:spacing w:after="0" w:line="240" w:lineRule="auto"/>
        <w:ind w:left="708" w:leftChars="0" w:hanging="708" w:firstLineChars="0"/>
        <w:outlineLvl w:val="3"/>
        <w:rPr>
          <w:rFonts w:ascii="宋体" w:hAnsi="宋体" w:eastAsia="宋体" w:cs="宋体"/>
          <w:color w:val="auto"/>
          <w:spacing w:val="-6"/>
          <w:position w:val="3"/>
        </w:rPr>
      </w:pP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依托大数据提供决策支撑，提高效率，降低成本。</w:t>
      </w:r>
    </w:p>
    <w:p>
      <w:pPr>
        <w:pStyle w:val="35"/>
        <w:numPr>
          <w:ilvl w:val="2"/>
          <w:numId w:val="4"/>
        </w:numPr>
        <w:spacing w:after="0" w:line="240" w:lineRule="auto"/>
        <w:ind w:left="708" w:leftChars="0" w:hanging="708" w:firstLineChars="0"/>
        <w:outlineLvl w:val="3"/>
        <w:rPr>
          <w:rFonts w:ascii="宋体" w:hAnsi="宋体" w:eastAsia="宋体" w:cs="宋体"/>
          <w:color w:val="auto"/>
          <w:spacing w:val="-6"/>
          <w:position w:val="3"/>
        </w:rPr>
      </w:pP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应优先选用节能环保型设备，减少设备使用过程中的能源消耗和环境污染</w:t>
      </w: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(</w:t>
      </w: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如搬运装卸节能设备电动叉车、电动牵引车、电动平台搬运输送机；采用LED照明灯具、室内公共照明系统采取分区定时，红外感应节能控制措施；利用太阳能储热系统，采用太阳能发电，地缘热泵，污水回收雨水再利用、采用节水型用水器具、无纸化办公，电子面单等）。</w:t>
      </w:r>
    </w:p>
    <w:p>
      <w:pPr>
        <w:pStyle w:val="35"/>
        <w:numPr>
          <w:ilvl w:val="2"/>
          <w:numId w:val="4"/>
        </w:numPr>
        <w:spacing w:after="0" w:line="240" w:lineRule="auto"/>
        <w:ind w:left="708" w:leftChars="0" w:hanging="708" w:firstLineChars="0"/>
        <w:outlineLvl w:val="3"/>
        <w:rPr>
          <w:rFonts w:ascii="宋体" w:hAnsi="宋体" w:eastAsia="宋体" w:cs="宋体"/>
          <w:color w:val="auto"/>
          <w:spacing w:val="-6"/>
          <w:position w:val="3"/>
        </w:rPr>
      </w:pPr>
      <w:r>
        <w:rPr>
          <w:rFonts w:hint="eastAsia" w:ascii="Arial" w:hAnsi="Arial" w:cs="Arial"/>
          <w:i w:val="0"/>
          <w:iCs w:val="0"/>
          <w:caps w:val="0"/>
          <w:color w:val="0000FF"/>
          <w:spacing w:val="0"/>
          <w:sz w:val="21"/>
          <w:szCs w:val="21"/>
          <w:shd w:val="clear" w:fill="FFFFFF"/>
          <w:lang w:val="en-US" w:eastAsia="zh-CN"/>
        </w:rPr>
        <w:t>应利用信息技术、信息系统，对物流配送过程</w:t>
      </w:r>
      <w:r>
        <w:rPr>
          <w:rFonts w:hint="eastAsia" w:ascii="Arial" w:hAnsi="Arial" w:cs="Arial"/>
          <w:i w:val="0"/>
          <w:iCs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  <w:t>进行</w:t>
      </w:r>
      <w:r>
        <w:rPr>
          <w:rFonts w:hint="eastAsia" w:ascii="Arial" w:hAnsi="Arial" w:cs="Arial"/>
          <w:i w:val="0"/>
          <w:iCs w:val="0"/>
          <w:caps w:val="0"/>
          <w:color w:val="0000FF"/>
          <w:spacing w:val="0"/>
          <w:sz w:val="21"/>
          <w:szCs w:val="21"/>
          <w:shd w:val="clear" w:fill="FFFFFF"/>
          <w:lang w:val="en-US" w:eastAsia="zh-CN"/>
        </w:rPr>
        <w:t>规划设计，优化配送资源配置。</w:t>
      </w:r>
    </w:p>
    <w:p>
      <w:pPr>
        <w:pStyle w:val="35"/>
        <w:numPr>
          <w:ilvl w:val="2"/>
          <w:numId w:val="4"/>
        </w:numPr>
        <w:spacing w:after="0" w:line="240" w:lineRule="auto"/>
        <w:ind w:left="708" w:leftChars="0" w:hanging="708" w:firstLineChars="0"/>
        <w:outlineLvl w:val="3"/>
        <w:rPr>
          <w:rFonts w:ascii="宋体" w:hAnsi="宋体" w:eastAsia="宋体" w:cs="宋体"/>
          <w:color w:val="auto"/>
          <w:spacing w:val="-6"/>
          <w:position w:val="3"/>
        </w:rPr>
      </w:pP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在配送过程中选用可修复、可更换的设备，循环使用非一次性资源（如标准托盘和标准周转箱）。</w:t>
      </w:r>
    </w:p>
    <w:p>
      <w:pPr>
        <w:pStyle w:val="35"/>
        <w:numPr>
          <w:ilvl w:val="2"/>
          <w:numId w:val="4"/>
        </w:numPr>
        <w:spacing w:after="0" w:line="240" w:lineRule="auto"/>
        <w:ind w:left="708" w:leftChars="0" w:hanging="708" w:firstLineChars="0"/>
        <w:outlineLvl w:val="3"/>
        <w:rPr>
          <w:rFonts w:hint="eastAsia" w:ascii="黑体" w:hAnsi="黑体" w:eastAsia="黑体" w:cs="黑体"/>
          <w:color w:val="auto"/>
          <w:spacing w:val="-4"/>
          <w:position w:val="3"/>
        </w:rPr>
      </w:pP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最大限度地使用节能技术、清洁能源、及节能环保材料。</w:t>
      </w:r>
    </w:p>
    <w:p>
      <w:pPr>
        <w:pStyle w:val="35"/>
        <w:keepNext w:val="0"/>
        <w:keepLines w:val="0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510" w:hanging="510" w:firstLineChars="0"/>
        <w:textAlignment w:val="auto"/>
        <w:outlineLvl w:val="3"/>
        <w:rPr>
          <w:rFonts w:hint="eastAsia" w:ascii="黑体" w:hAnsi="黑体" w:eastAsia="黑体" w:cs="黑体"/>
          <w:color w:val="auto"/>
          <w:spacing w:val="-6"/>
          <w:position w:val="3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6"/>
          <w:position w:val="3"/>
          <w:sz w:val="21"/>
          <w:szCs w:val="21"/>
          <w:lang w:val="en-US" w:eastAsia="zh-CN"/>
        </w:rPr>
        <w:t>基本条件</w:t>
      </w:r>
    </w:p>
    <w:p>
      <w:pPr>
        <w:pStyle w:val="35"/>
        <w:keepNext w:val="0"/>
        <w:keepLines w:val="0"/>
        <w:pageBreakBefore w:val="0"/>
        <w:widowControl w:val="0"/>
        <w:numPr>
          <w:ilvl w:val="2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09" w:leftChars="0" w:hanging="709" w:firstLineChars="0"/>
        <w:textAlignment w:val="auto"/>
        <w:outlineLvl w:val="3"/>
        <w:rPr>
          <w:rFonts w:hint="eastAsia" w:ascii="黑体" w:hAnsi="黑体" w:eastAsia="黑体" w:cs="黑体"/>
          <w:color w:val="auto"/>
          <w:spacing w:val="-4"/>
          <w:position w:val="3"/>
        </w:rPr>
      </w:pP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从业人员应进行绿色物流管理制度、标准的培训（如企业能源管理制度、绿色采购制度、包装物回收制度、绿色宣传培训考核制度及记录、</w:t>
      </w:r>
      <w:r>
        <w:rPr>
          <w:rFonts w:hint="eastAsia" w:ascii="Arial" w:hAnsi="Arial" w:cs="Arial"/>
          <w:i w:val="0"/>
          <w:iCs w:val="0"/>
          <w:caps w:val="0"/>
          <w:color w:val="0000FF"/>
          <w:spacing w:val="0"/>
          <w:sz w:val="21"/>
          <w:szCs w:val="21"/>
          <w:shd w:val="clear" w:fill="FFFFFF"/>
          <w:lang w:val="en-US" w:eastAsia="zh-CN"/>
        </w:rPr>
        <w:t>驾驶员节能培训等。</w:t>
      </w: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）鼓励员工参与人力资源和社会保障部、国家市场监督管理局、国家统计局发布的“碳排放管理员”和“能源管理员”的在职教育和资质培训。特殊工位的从业人员应具备相应有效的职业资质。</w:t>
      </w:r>
    </w:p>
    <w:p>
      <w:pPr>
        <w:pStyle w:val="35"/>
        <w:keepNext w:val="0"/>
        <w:keepLines w:val="0"/>
        <w:pageBreakBefore w:val="0"/>
        <w:widowControl w:val="0"/>
        <w:numPr>
          <w:ilvl w:val="2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09" w:leftChars="0" w:hanging="709" w:firstLineChars="0"/>
        <w:textAlignment w:val="auto"/>
        <w:outlineLvl w:val="3"/>
        <w:rPr>
          <w:rFonts w:hint="eastAsia" w:ascii="黑体" w:hAnsi="黑体" w:eastAsia="黑体" w:cs="黑体"/>
          <w:color w:val="auto"/>
          <w:spacing w:val="-4"/>
          <w:position w:val="3"/>
        </w:rPr>
      </w:pP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应具有绿色配送服务需要的设施设备和信息系统，以保证配送服务效率。</w:t>
      </w:r>
    </w:p>
    <w:p>
      <w:pPr>
        <w:pStyle w:val="35"/>
        <w:keepNext w:val="0"/>
        <w:keepLines w:val="0"/>
        <w:pageBreakBefore w:val="0"/>
        <w:widowControl w:val="0"/>
        <w:numPr>
          <w:ilvl w:val="2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09" w:leftChars="0" w:hanging="709" w:firstLineChars="0"/>
        <w:textAlignment w:val="auto"/>
        <w:outlineLvl w:val="3"/>
        <w:rPr>
          <w:rFonts w:hint="eastAsia" w:ascii="黑体" w:hAnsi="黑体" w:eastAsia="黑体" w:cs="黑体"/>
          <w:color w:val="auto"/>
          <w:spacing w:val="-4"/>
          <w:position w:val="3"/>
        </w:rPr>
      </w:pP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设计配送业务流程并严格执行。能够按照客户要求在规定时间内完成拣选、加工、包装、组配、送达等业务。</w:t>
      </w:r>
    </w:p>
    <w:p>
      <w:pPr>
        <w:pStyle w:val="35"/>
        <w:numPr>
          <w:ilvl w:val="0"/>
          <w:numId w:val="2"/>
        </w:numPr>
        <w:spacing w:beforeLines="100" w:afterLines="100" w:line="240" w:lineRule="auto"/>
        <w:ind w:firstLineChars="0"/>
        <w:jc w:val="both"/>
        <w:outlineLvl w:val="0"/>
        <w:rPr>
          <w:rFonts w:ascii="黑体" w:hAnsi="黑体" w:eastAsia="黑体" w:cs="黑体"/>
          <w:bCs/>
          <w:color w:val="auto"/>
          <w:spacing w:val="-5"/>
        </w:rPr>
      </w:pPr>
      <w:bookmarkStart w:id="25" w:name="_Toc1337"/>
      <w:r>
        <w:rPr>
          <w:rFonts w:hint="eastAsia" w:ascii="黑体" w:hAnsi="黑体" w:eastAsia="黑体" w:cs="黑体"/>
          <w:bCs/>
          <w:color w:val="auto"/>
          <w:spacing w:val="-5"/>
          <w:lang w:val="en-US" w:eastAsia="zh-CN"/>
        </w:rPr>
        <w:t>绿色配送人员</w:t>
      </w:r>
      <w:bookmarkEnd w:id="25"/>
    </w:p>
    <w:p>
      <w:pPr>
        <w:pStyle w:val="35"/>
        <w:keepNext w:val="0"/>
        <w:keepLines w:val="0"/>
        <w:pageBreakBefore w:val="0"/>
        <w:widowControl w:val="0"/>
        <w:numPr>
          <w:ilvl w:val="1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Chars="0"/>
        <w:textAlignment w:val="auto"/>
        <w:outlineLvl w:val="2"/>
        <w:rPr>
          <w:color w:val="auto"/>
        </w:rPr>
      </w:pP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配送人员上岗前应完成绿色安全操作培训（如员工人</w:t>
      </w:r>
      <w:r>
        <w:rPr>
          <w:rFonts w:hint="eastAsia" w:ascii="Arial" w:hAnsi="Arial" w:cs="Arial"/>
          <w:i w:val="0"/>
          <w:iCs w:val="0"/>
          <w:caps w:val="0"/>
          <w:color w:val="0000FF"/>
          <w:spacing w:val="0"/>
          <w:sz w:val="21"/>
          <w:szCs w:val="21"/>
          <w:shd w:val="clear" w:fill="FFFFFF"/>
          <w:lang w:val="en-US" w:eastAsia="zh-CN"/>
        </w:rPr>
        <w:t>身</w:t>
      </w: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安全责任制、</w:t>
      </w:r>
      <w:r>
        <w:rPr>
          <w:rFonts w:hint="eastAsia" w:ascii="Arial" w:hAnsi="Arial" w:cs="Arial"/>
          <w:i w:val="0"/>
          <w:iCs w:val="0"/>
          <w:caps w:val="0"/>
          <w:color w:val="1F497D" w:themeColor="text2"/>
          <w:spacing w:val="0"/>
          <w:sz w:val="21"/>
          <w:szCs w:val="21"/>
          <w:shd w:val="clear" w:fill="FFFFFF"/>
          <w:lang w:val="en-US" w:eastAsia="zh-CN"/>
        </w:rPr>
        <w:t>环境等突发事件应急预案处置、</w:t>
      </w: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消防安全设施培训等）。定期开展安全培训，提升应对突发事件的能力。从事特殊岗位人员应具备相应有效的职业资质。</w:t>
      </w:r>
    </w:p>
    <w:p>
      <w:pPr>
        <w:pStyle w:val="35"/>
        <w:keepNext w:val="0"/>
        <w:keepLines w:val="0"/>
        <w:pageBreakBefore w:val="0"/>
        <w:widowControl w:val="0"/>
        <w:numPr>
          <w:ilvl w:val="1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Chars="0"/>
        <w:textAlignment w:val="auto"/>
        <w:outlineLvl w:val="2"/>
        <w:rPr>
          <w:color w:val="auto"/>
        </w:rPr>
      </w:pP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配送人员上岗前应熟悉常用设备的节能环保知识、岗位标准、操作规范及相关标准。</w:t>
      </w:r>
    </w:p>
    <w:p>
      <w:pPr>
        <w:pStyle w:val="35"/>
        <w:keepNext w:val="0"/>
        <w:keepLines w:val="0"/>
        <w:pageBreakBefore w:val="0"/>
        <w:widowControl w:val="0"/>
        <w:numPr>
          <w:ilvl w:val="1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Chars="0"/>
        <w:textAlignment w:val="auto"/>
        <w:outlineLvl w:val="2"/>
        <w:rPr>
          <w:color w:val="auto"/>
        </w:rPr>
      </w:pP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配送人员上岗前应进行职业道德、文明礼貌、诚信服务培训，宜统一着装，配戴工号或胸牌。</w:t>
      </w:r>
    </w:p>
    <w:p>
      <w:pPr>
        <w:pStyle w:val="35"/>
        <w:keepNext w:val="0"/>
        <w:keepLines w:val="0"/>
        <w:pageBreakBefore w:val="0"/>
        <w:widowControl w:val="0"/>
        <w:numPr>
          <w:ilvl w:val="1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Chars="0"/>
        <w:textAlignment w:val="auto"/>
        <w:outlineLvl w:val="2"/>
        <w:rPr>
          <w:color w:val="auto"/>
        </w:rPr>
      </w:pP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配送人员应能制定并严格执行符合绿色环保标准的配送计划。</w:t>
      </w:r>
    </w:p>
    <w:p>
      <w:pPr>
        <w:pStyle w:val="35"/>
        <w:numPr>
          <w:ilvl w:val="0"/>
          <w:numId w:val="2"/>
        </w:numPr>
        <w:spacing w:beforeLines="100" w:afterLines="100" w:line="240" w:lineRule="auto"/>
        <w:ind w:firstLineChars="0"/>
        <w:jc w:val="both"/>
        <w:outlineLvl w:val="0"/>
        <w:rPr>
          <w:rFonts w:ascii="黑体" w:hAnsi="黑体" w:eastAsia="黑体" w:cs="黑体"/>
          <w:bCs/>
          <w:color w:val="auto"/>
          <w:spacing w:val="-5"/>
        </w:rPr>
      </w:pPr>
      <w:bookmarkStart w:id="26" w:name="_Toc9838"/>
      <w:r>
        <w:rPr>
          <w:rFonts w:hint="eastAsia" w:ascii="黑体" w:hAnsi="黑体" w:eastAsia="黑体" w:cs="黑体"/>
          <w:bCs/>
          <w:color w:val="auto"/>
          <w:spacing w:val="-5"/>
          <w:lang w:val="en-US" w:eastAsia="zh-CN"/>
        </w:rPr>
        <w:t>绿色配送设备</w:t>
      </w:r>
      <w:bookmarkEnd w:id="26"/>
    </w:p>
    <w:p>
      <w:pPr>
        <w:pStyle w:val="35"/>
        <w:numPr>
          <w:ilvl w:val="1"/>
          <w:numId w:val="7"/>
        </w:numPr>
        <w:spacing w:beforeLines="50" w:afterLines="50" w:line="240" w:lineRule="auto"/>
        <w:ind w:firstLineChars="0"/>
        <w:outlineLvl w:val="2"/>
        <w:rPr>
          <w:rFonts w:ascii="黑体" w:hAnsi="黑体" w:eastAsia="黑体" w:cs="黑体"/>
          <w:color w:val="auto"/>
          <w:spacing w:val="-5"/>
        </w:rPr>
      </w:pPr>
      <w:r>
        <w:rPr>
          <w:rFonts w:hint="eastAsia" w:ascii="黑体" w:hAnsi="黑体" w:eastAsia="黑体" w:cs="黑体"/>
          <w:color w:val="auto"/>
          <w:spacing w:val="-5"/>
          <w:lang w:val="en-US" w:eastAsia="zh-CN"/>
        </w:rPr>
        <w:t>运输设备</w:t>
      </w:r>
    </w:p>
    <w:p>
      <w:pPr>
        <w:pStyle w:val="35"/>
        <w:keepNext w:val="0"/>
        <w:keepLines w:val="0"/>
        <w:pageBreakBefore w:val="0"/>
        <w:widowControl w:val="0"/>
        <w:numPr>
          <w:ilvl w:val="2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Chars="0"/>
        <w:textAlignment w:val="auto"/>
        <w:outlineLvl w:val="3"/>
        <w:rPr>
          <w:rFonts w:ascii="宋体" w:hAnsi="宋体" w:eastAsia="宋体" w:cs="宋体"/>
          <w:color w:val="auto"/>
          <w:spacing w:val="-5"/>
          <w:position w:val="3"/>
        </w:rPr>
      </w:pP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配送车辆尾气排放应符合GB 17691、GB 18352.6的要求。</w:t>
      </w:r>
    </w:p>
    <w:p>
      <w:pPr>
        <w:pStyle w:val="35"/>
        <w:keepNext w:val="0"/>
        <w:keepLines w:val="0"/>
        <w:pageBreakBefore w:val="0"/>
        <w:widowControl w:val="0"/>
        <w:numPr>
          <w:ilvl w:val="2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Chars="0"/>
        <w:textAlignment w:val="auto"/>
        <w:outlineLvl w:val="3"/>
        <w:rPr>
          <w:rFonts w:ascii="宋体" w:hAnsi="宋体" w:eastAsia="宋体" w:cs="宋体"/>
          <w:color w:val="auto"/>
          <w:spacing w:val="-5"/>
          <w:position w:val="3"/>
        </w:rPr>
      </w:pP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配送车辆应以厢式货车，封闭式货车为主。安全参数、质量、性能等应符合GB 7257、GB/T 29912、GB 1589、GB/T 18386.1的要求。</w:t>
      </w:r>
    </w:p>
    <w:p>
      <w:pPr>
        <w:pStyle w:val="35"/>
        <w:keepNext w:val="0"/>
        <w:keepLines w:val="0"/>
        <w:pageBreakBefore w:val="0"/>
        <w:widowControl w:val="0"/>
        <w:numPr>
          <w:ilvl w:val="2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Chars="0"/>
        <w:textAlignment w:val="auto"/>
        <w:outlineLvl w:val="3"/>
        <w:rPr>
          <w:rFonts w:ascii="宋体" w:hAnsi="宋体" w:eastAsia="宋体" w:cs="宋体"/>
          <w:color w:val="auto"/>
          <w:spacing w:val="-5"/>
          <w:position w:val="3"/>
        </w:rPr>
      </w:pP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保温车、冷藏车技术要求应符合QC/T 449的规定。保温车、冷藏车应安装温度监控系统</w:t>
      </w:r>
      <w:r>
        <w:rPr>
          <w:rFonts w:ascii="宋体" w:hAnsi="宋体" w:eastAsia="宋体" w:cs="宋体"/>
          <w:color w:val="auto"/>
          <w:spacing w:val="-5"/>
          <w:position w:val="3"/>
        </w:rPr>
        <w:t>。</w:t>
      </w:r>
    </w:p>
    <w:p>
      <w:pPr>
        <w:pStyle w:val="35"/>
        <w:keepNext w:val="0"/>
        <w:keepLines w:val="0"/>
        <w:pageBreakBefore w:val="0"/>
        <w:widowControl w:val="0"/>
        <w:numPr>
          <w:ilvl w:val="2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Chars="0"/>
        <w:textAlignment w:val="auto"/>
        <w:outlineLvl w:val="3"/>
        <w:rPr>
          <w:rFonts w:ascii="宋体" w:hAnsi="宋体" w:eastAsia="宋体" w:cs="宋体"/>
          <w:color w:val="auto"/>
          <w:spacing w:val="-5"/>
          <w:position w:val="3"/>
        </w:rPr>
      </w:pP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配送车辆应装备符合JT/T 794规定的卫星定位车载终端，外观整洁，具有统一配送标志标示</w:t>
      </w:r>
      <w:r>
        <w:rPr>
          <w:rFonts w:ascii="宋体" w:hAnsi="宋体" w:eastAsia="宋体" w:cs="宋体"/>
          <w:color w:val="auto"/>
          <w:spacing w:val="-5"/>
          <w:position w:val="3"/>
        </w:rPr>
        <w:t>。</w:t>
      </w:r>
    </w:p>
    <w:p>
      <w:pPr>
        <w:pStyle w:val="35"/>
        <w:keepNext w:val="0"/>
        <w:keepLines w:val="0"/>
        <w:pageBreakBefore w:val="0"/>
        <w:widowControl w:val="0"/>
        <w:numPr>
          <w:ilvl w:val="2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Chars="0"/>
        <w:textAlignment w:val="auto"/>
        <w:outlineLvl w:val="3"/>
        <w:rPr>
          <w:rFonts w:ascii="宋体" w:hAnsi="宋体" w:eastAsia="宋体" w:cs="宋体"/>
          <w:color w:val="auto"/>
          <w:spacing w:val="-5"/>
          <w:position w:val="3"/>
        </w:rPr>
      </w:pP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配送车辆在城区行驶时，车外噪音应符合GB 1495的规定。</w:t>
      </w:r>
    </w:p>
    <w:p>
      <w:pPr>
        <w:pStyle w:val="35"/>
        <w:keepNext w:val="0"/>
        <w:keepLines w:val="0"/>
        <w:pageBreakBefore w:val="0"/>
        <w:widowControl w:val="0"/>
        <w:numPr>
          <w:ilvl w:val="2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Chars="0"/>
        <w:textAlignment w:val="auto"/>
        <w:outlineLvl w:val="3"/>
        <w:rPr>
          <w:rFonts w:ascii="宋体" w:hAnsi="宋体" w:eastAsia="宋体" w:cs="宋体"/>
          <w:color w:val="auto"/>
          <w:spacing w:val="-5"/>
          <w:position w:val="3"/>
        </w:rPr>
      </w:pP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宜配置新能源、清洁能源车辆，并合理配置充换电设施。</w:t>
      </w: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新能源车的占比不小于30%。营运车辆单位运输周转量二氧化碳排放年下降1%。</w:t>
      </w:r>
    </w:p>
    <w:p>
      <w:pPr>
        <w:pStyle w:val="35"/>
        <w:numPr>
          <w:ilvl w:val="1"/>
          <w:numId w:val="7"/>
        </w:numPr>
        <w:spacing w:beforeLines="50" w:afterLines="50" w:line="240" w:lineRule="auto"/>
        <w:ind w:firstLineChars="0"/>
        <w:outlineLvl w:val="2"/>
        <w:rPr>
          <w:rFonts w:ascii="Times New Roman" w:hAnsi="Times New Roman" w:cs="Times New Roman"/>
          <w:color w:val="auto"/>
          <w:spacing w:val="-2"/>
        </w:rPr>
      </w:pPr>
      <w:r>
        <w:rPr>
          <w:rFonts w:hint="eastAsia" w:ascii="黑体" w:hAnsi="黑体" w:eastAsia="黑体" w:cs="黑体"/>
          <w:color w:val="auto"/>
          <w:spacing w:val="-5"/>
          <w:lang w:val="en-US" w:eastAsia="zh-CN"/>
        </w:rPr>
        <w:t>其他相关设备</w:t>
      </w:r>
    </w:p>
    <w:p>
      <w:pPr>
        <w:pStyle w:val="35"/>
        <w:keepNext w:val="0"/>
        <w:keepLines w:val="0"/>
        <w:pageBreakBefore w:val="0"/>
        <w:widowControl w:val="0"/>
        <w:numPr>
          <w:ilvl w:val="2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Chars="0"/>
        <w:textAlignment w:val="auto"/>
        <w:rPr>
          <w:rFonts w:ascii="黑体" w:hAnsi="黑体" w:eastAsia="黑体" w:cs="宋体"/>
          <w:color w:val="FF0000"/>
          <w:spacing w:val="-5"/>
          <w:position w:val="3"/>
        </w:rPr>
      </w:pP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应采用与标准托盘配套的搬运设备。</w:t>
      </w:r>
      <w:r>
        <w:rPr>
          <w:rFonts w:hint="eastAsia" w:ascii="Arial" w:hAnsi="Arial" w:cs="Arial"/>
          <w:i w:val="0"/>
          <w:iCs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  <w:t>搬运设备宜采用占比应达到50%以上的电动、气体燃料等新能源或清洁能源，新能源或清洁能源。</w:t>
      </w:r>
    </w:p>
    <w:p>
      <w:pPr>
        <w:pStyle w:val="35"/>
        <w:keepNext w:val="0"/>
        <w:keepLines w:val="0"/>
        <w:pageBreakBefore w:val="0"/>
        <w:widowControl w:val="0"/>
        <w:numPr>
          <w:ilvl w:val="2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Chars="0"/>
        <w:textAlignment w:val="auto"/>
        <w:rPr>
          <w:rFonts w:ascii="黑体" w:hAnsi="黑体" w:eastAsia="黑体" w:cs="宋体"/>
          <w:color w:val="auto"/>
          <w:spacing w:val="-5"/>
          <w:position w:val="3"/>
        </w:rPr>
      </w:pP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应采用具有互换性、可循环使用的标准化单元器具进行配送(优先选用1200*1000标准化托盘和600*400标准化周转箱），并与客户和承运商合作实现单元化包装的循环利用。标准化托盘循环共用使用占比</w:t>
      </w:r>
      <w:r>
        <w:rPr>
          <w:rFonts w:hint="eastAsia" w:ascii="Arial" w:hAnsi="Arial" w:cs="Arial"/>
          <w:i w:val="0"/>
          <w:iCs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  <w:t>应达到</w:t>
      </w: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35%以上。标准化周转箱占比</w:t>
      </w:r>
      <w:r>
        <w:rPr>
          <w:rFonts w:hint="eastAsia" w:ascii="Arial" w:hAnsi="Arial" w:cs="Arial"/>
          <w:i w:val="0"/>
          <w:iCs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  <w:t>应</w:t>
      </w: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达到35%以上。</w:t>
      </w:r>
    </w:p>
    <w:p>
      <w:pPr>
        <w:pStyle w:val="35"/>
        <w:keepNext w:val="0"/>
        <w:keepLines w:val="0"/>
        <w:pageBreakBefore w:val="0"/>
        <w:widowControl w:val="0"/>
        <w:numPr>
          <w:ilvl w:val="2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Chars="0"/>
        <w:textAlignment w:val="auto"/>
        <w:rPr>
          <w:rFonts w:ascii="黑体" w:hAnsi="黑体" w:eastAsia="黑体" w:cs="宋体"/>
          <w:color w:val="auto"/>
          <w:spacing w:val="-5"/>
          <w:position w:val="3"/>
        </w:rPr>
      </w:pP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应使用低能耗包装机械设备，如打包机封口机等。</w:t>
      </w:r>
    </w:p>
    <w:p>
      <w:pPr>
        <w:pStyle w:val="35"/>
        <w:keepNext w:val="0"/>
        <w:keepLines w:val="0"/>
        <w:pageBreakBefore w:val="0"/>
        <w:widowControl w:val="0"/>
        <w:numPr>
          <w:ilvl w:val="2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Chars="0"/>
        <w:textAlignment w:val="auto"/>
        <w:rPr>
          <w:rFonts w:ascii="宋体" w:hAnsi="宋体" w:eastAsia="宋体"/>
          <w:color w:val="auto"/>
        </w:rPr>
      </w:pP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充分运用单元化、信息化和自动化物流技术、减少装卸过程的重复作业，减少对仓库站台资源的占用，并通过合理规划站台，采用合理的装卸工具，如</w:t>
      </w:r>
      <w:r>
        <w:rPr>
          <w:rFonts w:hint="eastAsia" w:ascii="Arial" w:hAnsi="Arial" w:cs="Arial"/>
          <w:i w:val="0"/>
          <w:iCs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  <w:t>采用</w:t>
      </w: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输送带、带调节平台的装卸站台、自动装车技术及货运车辆配有装卸尾板等，提高装卸效率，降低能耗，减少环境污染。</w:t>
      </w:r>
    </w:p>
    <w:p>
      <w:pPr>
        <w:pStyle w:val="35"/>
        <w:numPr>
          <w:ilvl w:val="0"/>
          <w:numId w:val="2"/>
        </w:numPr>
        <w:spacing w:beforeLines="100" w:afterLines="100" w:line="240" w:lineRule="auto"/>
        <w:ind w:firstLineChars="0"/>
        <w:jc w:val="both"/>
        <w:outlineLvl w:val="0"/>
        <w:rPr>
          <w:rFonts w:ascii="黑体" w:hAnsi="黑体" w:eastAsia="黑体" w:cs="黑体"/>
          <w:bCs/>
          <w:color w:val="auto"/>
          <w:spacing w:val="-5"/>
        </w:rPr>
      </w:pPr>
      <w:bookmarkStart w:id="27" w:name="_Toc22229"/>
      <w:r>
        <w:rPr>
          <w:rFonts w:hint="eastAsia" w:ascii="黑体" w:hAnsi="黑体" w:eastAsia="黑体" w:cs="黑体"/>
          <w:bCs/>
          <w:color w:val="auto"/>
          <w:spacing w:val="-5"/>
          <w:lang w:val="en-US" w:eastAsia="zh-CN"/>
        </w:rPr>
        <w:t>绿色配送作业</w:t>
      </w:r>
      <w:bookmarkEnd w:id="27"/>
    </w:p>
    <w:p>
      <w:pPr>
        <w:pStyle w:val="35"/>
        <w:keepNext w:val="0"/>
        <w:keepLines w:val="0"/>
        <w:pageBreakBefore w:val="0"/>
        <w:widowControl w:val="0"/>
        <w:numPr>
          <w:ilvl w:val="1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Chars="0"/>
        <w:textAlignment w:val="auto"/>
        <w:outlineLvl w:val="2"/>
        <w:rPr>
          <w:color w:val="auto"/>
        </w:rPr>
      </w:pP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建立并完善配送服务质量管理体系。</w:t>
      </w:r>
    </w:p>
    <w:p>
      <w:pPr>
        <w:pStyle w:val="35"/>
        <w:keepNext w:val="0"/>
        <w:keepLines w:val="0"/>
        <w:pageBreakBefore w:val="0"/>
        <w:widowControl w:val="0"/>
        <w:numPr>
          <w:ilvl w:val="1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Chars="0"/>
        <w:textAlignment w:val="auto"/>
        <w:outlineLvl w:val="2"/>
        <w:rPr>
          <w:color w:val="auto"/>
        </w:rPr>
      </w:pP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制定内容涵盖配送组织、服务流程、车辆选用、路线优化、车辆通行</w:t>
      </w:r>
      <w:r>
        <w:rPr>
          <w:rFonts w:hint="eastAsia" w:ascii="Arial" w:hAnsi="Arial" w:cs="Arial"/>
          <w:i w:val="0"/>
          <w:iCs w:val="0"/>
          <w:caps w:val="0"/>
          <w:color w:val="1F497D" w:themeColor="text2"/>
          <w:spacing w:val="0"/>
          <w:sz w:val="21"/>
          <w:szCs w:val="21"/>
          <w:shd w:val="clear" w:fill="FFFFFF"/>
          <w:lang w:val="en-US" w:eastAsia="zh-CN"/>
        </w:rPr>
        <w:t>与</w:t>
      </w: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停放等管理制度或标准。</w:t>
      </w:r>
    </w:p>
    <w:p>
      <w:pPr>
        <w:pStyle w:val="35"/>
        <w:keepNext w:val="0"/>
        <w:keepLines w:val="0"/>
        <w:pageBreakBefore w:val="0"/>
        <w:widowControl w:val="0"/>
        <w:numPr>
          <w:ilvl w:val="1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Chars="0"/>
        <w:textAlignment w:val="auto"/>
        <w:outlineLvl w:val="2"/>
        <w:rPr>
          <w:color w:val="auto"/>
        </w:rPr>
      </w:pP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宜采用共同配送、集中配送、统一配送、分时配送、夜间配送等集约化配送模式进行配送。</w:t>
      </w:r>
    </w:p>
    <w:p>
      <w:pPr>
        <w:pStyle w:val="35"/>
        <w:keepNext w:val="0"/>
        <w:keepLines w:val="0"/>
        <w:pageBreakBefore w:val="0"/>
        <w:widowControl w:val="0"/>
        <w:numPr>
          <w:ilvl w:val="1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Chars="0"/>
        <w:textAlignment w:val="auto"/>
        <w:outlineLvl w:val="2"/>
        <w:rPr>
          <w:color w:val="auto"/>
        </w:rPr>
      </w:pP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根据商品的发运线路进行集货作业，采用合理的运输方式，缩短总体运输线路，减少装卸搬运次数，提高车辆的装载率，减少空驶率。并在运输车辆到达前完成组配待发。</w:t>
      </w:r>
    </w:p>
    <w:p>
      <w:pPr>
        <w:pStyle w:val="35"/>
        <w:keepNext w:val="0"/>
        <w:keepLines w:val="0"/>
        <w:pageBreakBefore w:val="0"/>
        <w:widowControl w:val="0"/>
        <w:numPr>
          <w:ilvl w:val="1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Chars="0"/>
        <w:textAlignment w:val="auto"/>
        <w:outlineLvl w:val="2"/>
        <w:rPr>
          <w:color w:val="auto"/>
        </w:rPr>
      </w:pP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根据客户需求和自身资源对配送作业进行优化设计，按照闭环原则，对配送线路、配送方式、配送顺序等进行优化设计，合理安排配送车辆和配送人员。</w:t>
      </w:r>
    </w:p>
    <w:p>
      <w:pPr>
        <w:pStyle w:val="35"/>
        <w:keepNext w:val="0"/>
        <w:keepLines w:val="0"/>
        <w:pageBreakBefore w:val="0"/>
        <w:widowControl w:val="0"/>
        <w:numPr>
          <w:ilvl w:val="1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Chars="0"/>
        <w:textAlignment w:val="auto"/>
        <w:outlineLvl w:val="2"/>
        <w:rPr>
          <w:color w:val="auto"/>
        </w:rPr>
      </w:pP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应对运输过程中的配送车辆进行跟踪和实时监督，发现异常及时处理。</w:t>
      </w:r>
    </w:p>
    <w:p>
      <w:pPr>
        <w:pStyle w:val="35"/>
        <w:keepNext w:val="0"/>
        <w:keepLines w:val="0"/>
        <w:pageBreakBefore w:val="0"/>
        <w:widowControl w:val="0"/>
        <w:numPr>
          <w:ilvl w:val="1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Chars="0"/>
        <w:textAlignment w:val="auto"/>
        <w:outlineLvl w:val="2"/>
        <w:rPr>
          <w:color w:val="auto"/>
        </w:rPr>
      </w:pP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应使用信息管理系统，制定各类配送计划（取货、拣货、装车、运输和返程回收等）并执行。</w:t>
      </w:r>
    </w:p>
    <w:p>
      <w:pPr>
        <w:pStyle w:val="35"/>
        <w:keepNext w:val="0"/>
        <w:keepLines w:val="0"/>
        <w:pageBreakBefore w:val="0"/>
        <w:widowControl w:val="0"/>
        <w:numPr>
          <w:ilvl w:val="1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Chars="0"/>
        <w:textAlignment w:val="auto"/>
        <w:outlineLvl w:val="2"/>
        <w:rPr>
          <w:color w:val="auto"/>
        </w:rPr>
      </w:pPr>
      <w:r>
        <w:rPr>
          <w:rFonts w:hint="eastAsia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对配送所使用的包装宜采用可循环利用环保材料，减少物流过程中的二次包装，推动货物包装和物流器具绿色化、减量化、可循环和可降解。包装物回收和处理执行GB/T</w:t>
      </w: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eastAsia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16716.1包装与环境 第一部分：通则和GB 18455。</w:t>
      </w:r>
    </w:p>
    <w:p>
      <w:pPr>
        <w:pStyle w:val="35"/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510" w:leftChars="0" w:hanging="510" w:firstLineChars="0"/>
        <w:textAlignment w:val="auto"/>
        <w:outlineLvl w:val="0"/>
        <w:rPr>
          <w:rFonts w:hint="eastAsia" w:ascii="黑体" w:hAnsi="黑体" w:eastAsia="黑体" w:cs="黑体"/>
          <w:color w:val="auto"/>
          <w:sz w:val="21"/>
          <w:szCs w:val="21"/>
        </w:rPr>
      </w:pPr>
      <w:bookmarkStart w:id="28" w:name="_Toc15934"/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绿色配送信息管理系统</w:t>
      </w:r>
      <w:bookmarkEnd w:id="28"/>
    </w:p>
    <w:p>
      <w:pPr>
        <w:pStyle w:val="35"/>
        <w:keepNext w:val="0"/>
        <w:keepLines w:val="0"/>
        <w:pageBreakBefore w:val="0"/>
        <w:widowControl w:val="0"/>
        <w:numPr>
          <w:ilvl w:val="1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outlineLvl w:val="2"/>
        <w:rPr>
          <w:color w:val="auto"/>
        </w:rPr>
      </w:pP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宜采用统一的编码标识（GSI），拓展标准托盘、周转箱（筐）信息承载功能，使托盘条码与商品条码、箱码、物流单元码关联衔接。</w:t>
      </w:r>
    </w:p>
    <w:p>
      <w:pPr>
        <w:pStyle w:val="35"/>
        <w:keepNext w:val="0"/>
        <w:keepLines w:val="0"/>
        <w:pageBreakBefore w:val="0"/>
        <w:widowControl w:val="0"/>
        <w:numPr>
          <w:ilvl w:val="1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outlineLvl w:val="2"/>
        <w:rPr>
          <w:color w:val="auto"/>
        </w:rPr>
      </w:pP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在配送过程中应采用自动识别设备自动完成货物信息的采集。</w:t>
      </w:r>
    </w:p>
    <w:p>
      <w:pPr>
        <w:pStyle w:val="35"/>
        <w:keepNext w:val="0"/>
        <w:keepLines w:val="0"/>
        <w:pageBreakBefore w:val="0"/>
        <w:widowControl w:val="0"/>
        <w:numPr>
          <w:ilvl w:val="1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outlineLvl w:val="2"/>
        <w:rPr>
          <w:color w:val="4F81BD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 w:ascii="Arial" w:hAnsi="Arial" w:cs="Arial"/>
          <w:i w:val="0"/>
          <w:iCs w:val="0"/>
          <w:caps w:val="0"/>
          <w:color w:val="4F81BD" w:themeColor="accen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accent1"/>
            </w14:solidFill>
          </w14:textFill>
        </w:rPr>
        <w:t>应统一规范和设计单据、凭证、报表，实现部门间和上下游企业信息的共享。</w:t>
      </w:r>
    </w:p>
    <w:p>
      <w:pPr>
        <w:pStyle w:val="35"/>
        <w:keepNext w:val="0"/>
        <w:keepLines w:val="0"/>
        <w:pageBreakBefore w:val="0"/>
        <w:widowControl w:val="0"/>
        <w:numPr>
          <w:ilvl w:val="1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outlineLvl w:val="2"/>
        <w:rPr>
          <w:color w:val="auto"/>
        </w:rPr>
      </w:pP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应利用智能配送系统对配送线路、配送方式、配送顺序等进行优化，提高配送的质量和效率。</w:t>
      </w:r>
    </w:p>
    <w:p>
      <w:pPr>
        <w:pStyle w:val="35"/>
        <w:keepNext w:val="0"/>
        <w:keepLines w:val="0"/>
        <w:pageBreakBefore w:val="0"/>
        <w:widowControl w:val="0"/>
        <w:numPr>
          <w:ilvl w:val="1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outlineLvl w:val="2"/>
        <w:rPr>
          <w:color w:val="auto"/>
        </w:rPr>
      </w:pP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宜与相关方实现配送管理信息系统对接。提供实时数据查询、货物和温度追踪、投诉处理等服务。</w:t>
      </w:r>
    </w:p>
    <w:p>
      <w:pPr>
        <w:pStyle w:val="42"/>
        <w:framePr w:wrap="around"/>
        <w:rPr>
          <w:color w:val="auto"/>
        </w:rPr>
      </w:pPr>
      <w:r>
        <w:rPr>
          <w:color w:val="auto"/>
        </w:rPr>
        <w:t>_________________________________</w:t>
      </w:r>
    </w:p>
    <w:p>
      <w:pPr>
        <w:spacing w:after="0" w:line="240" w:lineRule="exact"/>
        <w:ind w:left="142"/>
        <w:rPr>
          <w:color w:val="auto"/>
        </w:rPr>
      </w:pPr>
    </w:p>
    <w:p>
      <w:pPr>
        <w:spacing w:after="0" w:line="240" w:lineRule="exact"/>
        <w:ind w:left="142"/>
        <w:rPr>
          <w:color w:val="auto"/>
        </w:rPr>
      </w:pPr>
    </w:p>
    <w:p>
      <w:pPr>
        <w:spacing w:after="0" w:line="240" w:lineRule="exact"/>
        <w:ind w:left="142"/>
        <w:rPr>
          <w:color w:val="auto"/>
        </w:rPr>
      </w:pPr>
    </w:p>
    <w:p>
      <w:pPr>
        <w:spacing w:after="0" w:line="240" w:lineRule="exact"/>
        <w:ind w:left="142"/>
        <w:rPr>
          <w:color w:val="auto"/>
        </w:rPr>
      </w:pPr>
    </w:p>
    <w:p>
      <w:pPr>
        <w:spacing w:after="0" w:line="240" w:lineRule="exact"/>
        <w:ind w:left="142"/>
        <w:rPr>
          <w:color w:val="auto"/>
        </w:rPr>
      </w:pPr>
    </w:p>
    <w:p>
      <w:pPr>
        <w:spacing w:after="0" w:line="468" w:lineRule="exact"/>
        <w:rPr>
          <w:rFonts w:hint="eastAsia"/>
          <w:color w:val="auto"/>
          <w:lang w:val="en-US" w:eastAsia="zh-CN"/>
        </w:rPr>
      </w:pPr>
      <w:bookmarkStart w:id="29" w:name="1"/>
      <w:bookmarkEnd w:id="29"/>
      <w:r>
        <w:rPr>
          <w:color w:val="auto"/>
        </w:rPr>
        <w:pict>
          <v:shape id="_x0000_s3083" o:spid="_x0000_s3083" o:spt="202" type="#_x0000_t202" style="position:absolute;left:0pt;margin-left:499.8pt;margin-top:763.5pt;height:16.6pt;width:25.25pt;mso-position-horizontal-relative:page;mso-position-vertical-relative:page;z-index:-2516572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/>
              </w:txbxContent>
            </v:textbox>
          </v:shape>
        </w:pict>
      </w:r>
      <w:bookmarkStart w:id="30" w:name="9"/>
      <w:bookmarkEnd w:id="30"/>
      <w:bookmarkStart w:id="31" w:name="8"/>
      <w:bookmarkEnd w:id="31"/>
    </w:p>
    <w:sectPr>
      <w:headerReference r:id="rId13" w:type="default"/>
      <w:pgSz w:w="11906" w:h="16839"/>
      <w:pgMar w:top="1273" w:right="1274" w:bottom="1033" w:left="1634" w:header="1417" w:footer="1134" w:gutter="0"/>
      <w:pgNumType w:start="1"/>
      <w:cols w:equalWidth="0" w:num="1">
        <w:col w:w="8998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65531"/>
    </w:sdtPr>
    <w:sdtContent>
      <w:p>
        <w:pPr>
          <w:pStyle w:val="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65530"/>
    </w:sdtPr>
    <w:sdtContent>
      <w:p>
        <w:pPr>
          <w:pStyle w:val="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  <w:r>
      <w:t>DB2</w:t>
    </w:r>
    <w:r>
      <w:rPr>
        <w:rFonts w:hint="eastAsia"/>
      </w:rPr>
      <w:t>1</w:t>
    </w:r>
    <w:r>
      <w:t>/</w:t>
    </w:r>
    <w:r>
      <w:rPr>
        <w:rFonts w:hint="eastAsia"/>
      </w:rPr>
      <w:t>T</w:t>
    </w:r>
    <w:r>
      <w:t xml:space="preserve"> XXXXX</w:t>
    </w:r>
    <w:r>
      <w:rPr>
        <w:rFonts w:hint="eastAsia"/>
      </w:rPr>
      <w:t>—2021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tabs>
        <w:tab w:val="left" w:pos="3451"/>
        <w:tab w:val="clear" w:pos="4153"/>
        <w:tab w:val="clear" w:pos="8306"/>
      </w:tabs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jc w:val="left"/>
    </w:pPr>
    <w:r>
      <w:t>DB2</w:t>
    </w:r>
    <w:r>
      <w:rPr>
        <w:rFonts w:hint="eastAsia"/>
      </w:rPr>
      <w:t>1</w:t>
    </w:r>
    <w:r>
      <w:t>/</w:t>
    </w:r>
    <w:r>
      <w:rPr>
        <w:rFonts w:hint="eastAsia"/>
      </w:rPr>
      <w:t>T</w:t>
    </w:r>
    <w:r>
      <w:t xml:space="preserve"> XXXXX</w:t>
    </w:r>
    <w:r>
      <w:rPr>
        <w:rFonts w:hint="eastAsia"/>
      </w:rPr>
      <w:t>—2021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  <w:r>
      <w:t>DB21/</w:t>
    </w:r>
    <w:r>
      <w:rPr>
        <w:rFonts w:hint="eastAsia"/>
      </w:rPr>
      <w:t>T</w:t>
    </w:r>
    <w:r>
      <w:t xml:space="preserve"> XXXXX</w:t>
    </w:r>
    <w:r>
      <w:rPr>
        <w:rFonts w:hint="eastAsia"/>
      </w:rPr>
      <w:t>—2021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  <w:r>
      <w:t>DB2</w:t>
    </w:r>
    <w:r>
      <w:rPr>
        <w:rFonts w:hint="eastAsia"/>
      </w:rPr>
      <w:t>1</w:t>
    </w:r>
    <w:r>
      <w:t>/</w:t>
    </w:r>
    <w:r>
      <w:rPr>
        <w:rFonts w:hint="eastAsia"/>
      </w:rPr>
      <w:t>T</w:t>
    </w:r>
    <w:r>
      <w:t xml:space="preserve"> XXXXX</w:t>
    </w:r>
    <w:r>
      <w:rPr>
        <w:rFonts w:hint="eastAsia"/>
      </w:rPr>
      <w:t>—2021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640739"/>
    <w:multiLevelType w:val="multilevel"/>
    <w:tmpl w:val="94640739"/>
    <w:lvl w:ilvl="0" w:tentative="0">
      <w:start w:val="4"/>
      <w:numFmt w:val="decimal"/>
      <w:lvlText w:val="%1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2"/>
      <w:numFmt w:val="decimal"/>
      <w:lvlText w:val="%1.%2"/>
      <w:lvlJc w:val="left"/>
      <w:pPr>
        <w:ind w:left="850" w:hanging="453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%1.%2.%3"/>
      <w:lvlJc w:val="left"/>
      <w:pPr>
        <w:ind w:left="708" w:hanging="708"/>
      </w:pPr>
      <w:rPr>
        <w:rFonts w:hint="default" w:ascii="黑体" w:hAnsi="黑体" w:eastAsia="黑体" w:cs="黑体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1">
    <w:nsid w:val="16D35988"/>
    <w:multiLevelType w:val="multilevel"/>
    <w:tmpl w:val="16D35988"/>
    <w:lvl w:ilvl="0" w:tentative="0">
      <w:start w:val="7"/>
      <w:numFmt w:val="decimal"/>
      <w:lvlText w:val="%1"/>
      <w:lvlJc w:val="left"/>
      <w:pPr>
        <w:ind w:left="425" w:hanging="425"/>
      </w:pPr>
      <w:rPr>
        <w:rFonts w:hint="default" w:ascii="黑体" w:hAnsi="黑体" w:eastAsia="黑体" w:cs="黑体"/>
      </w:rPr>
    </w:lvl>
    <w:lvl w:ilvl="1" w:tentative="0">
      <w:start w:val="1"/>
      <w:numFmt w:val="decimal"/>
      <w:lvlText w:val="%1.%2"/>
      <w:lvlJc w:val="left"/>
      <w:pPr>
        <w:ind w:left="0" w:firstLine="0"/>
      </w:pPr>
      <w:rPr>
        <w:rFonts w:hint="default" w:ascii="黑体" w:hAnsi="黑体" w:eastAsia="黑体" w:cs="黑体"/>
        <w:sz w:val="20"/>
        <w:szCs w:val="20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1E8640F0"/>
    <w:multiLevelType w:val="multilevel"/>
    <w:tmpl w:val="1E8640F0"/>
    <w:lvl w:ilvl="0" w:tentative="0">
      <w:start w:val="3"/>
      <w:numFmt w:val="decimal"/>
      <w:lvlText w:val="%1"/>
      <w:lvlJc w:val="left"/>
      <w:pPr>
        <w:ind w:left="425" w:hanging="425"/>
      </w:pPr>
      <w:rPr>
        <w:rFonts w:hint="default" w:ascii="Times New Roman" w:hAnsi="Times New Roman"/>
        <w:color w:val="auto"/>
      </w:rPr>
    </w:lvl>
    <w:lvl w:ilvl="1" w:tentative="0">
      <w:start w:val="1"/>
      <w:numFmt w:val="decimal"/>
      <w:lvlText w:val="%1.%2"/>
      <w:lvlJc w:val="left"/>
      <w:pPr>
        <w:ind w:left="142" w:firstLine="0"/>
      </w:pPr>
      <w:rPr>
        <w:rFonts w:hint="default" w:ascii="黑体" w:hAnsi="黑体" w:eastAsia="黑体" w:cs="黑体"/>
        <w:sz w:val="20"/>
        <w:szCs w:val="20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1FC91163"/>
    <w:multiLevelType w:val="multilevel"/>
    <w:tmpl w:val="1FC91163"/>
    <w:lvl w:ilvl="0" w:tentative="0">
      <w:start w:val="1"/>
      <w:numFmt w:val="decimal"/>
      <w:pStyle w:val="41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4">
    <w:nsid w:val="2A331ADF"/>
    <w:multiLevelType w:val="multilevel"/>
    <w:tmpl w:val="2A331ADF"/>
    <w:lvl w:ilvl="0" w:tentative="0">
      <w:start w:val="6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0" w:firstLine="0"/>
      </w:pPr>
      <w:rPr>
        <w:rFonts w:hint="eastAsia" w:ascii="黑体" w:hAnsi="黑体" w:eastAsia="黑体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320939D1"/>
    <w:multiLevelType w:val="multilevel"/>
    <w:tmpl w:val="320939D1"/>
    <w:lvl w:ilvl="0" w:tentative="0">
      <w:start w:val="6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0" w:firstLine="0"/>
      </w:pPr>
      <w:rPr>
        <w:rFonts w:hint="eastAsia" w:ascii="黑体" w:hAnsi="黑体" w:eastAsia="黑体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504E12A9"/>
    <w:multiLevelType w:val="multilevel"/>
    <w:tmpl w:val="504E12A9"/>
    <w:lvl w:ilvl="0" w:tentative="0">
      <w:start w:val="1"/>
      <w:numFmt w:val="decimal"/>
      <w:lvlText w:val="%1"/>
      <w:lvlJc w:val="left"/>
      <w:pPr>
        <w:ind w:left="0" w:firstLine="0"/>
      </w:pPr>
      <w:rPr>
        <w:rFonts w:hint="eastAsia" w:ascii="黑体" w:hAnsi="黑体" w:eastAsia="黑体"/>
        <w:b w:val="0"/>
      </w:rPr>
    </w:lvl>
    <w:lvl w:ilvl="1" w:tentative="0">
      <w:start w:val="1"/>
      <w:numFmt w:val="decimal"/>
      <w:isLgl/>
      <w:lvlText w:val="%1.%2"/>
      <w:lvlJc w:val="left"/>
      <w:pPr>
        <w:ind w:left="510" w:hanging="510"/>
      </w:pPr>
      <w:rPr>
        <w:rFonts w:hint="default" w:ascii="黑体" w:hAnsi="黑体" w:eastAsia="黑体"/>
      </w:rPr>
    </w:lvl>
    <w:lvl w:ilvl="2" w:tentative="0">
      <w:start w:val="1"/>
      <w:numFmt w:val="decimal"/>
      <w:isLgl/>
      <w:lvlText w:val="%1.%2.%3"/>
      <w:lvlJc w:val="left"/>
      <w:pPr>
        <w:ind w:left="988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406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64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882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9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358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416" w:hanging="1800"/>
      </w:pPr>
      <w:rPr>
        <w:rFonts w:hint="default"/>
      </w:rPr>
    </w:lvl>
  </w:abstractNum>
  <w:abstractNum w:abstractNumId="7">
    <w:nsid w:val="5D1ECB94"/>
    <w:multiLevelType w:val="multilevel"/>
    <w:tmpl w:val="5D1ECB94"/>
    <w:lvl w:ilvl="0" w:tentative="0">
      <w:start w:val="4"/>
      <w:numFmt w:val="decimal"/>
      <w:lvlText w:val="%1"/>
      <w:lvlJc w:val="left"/>
      <w:pPr>
        <w:tabs>
          <w:tab w:val="left" w:pos="0"/>
        </w:tabs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"/>
      <w:lvlJc w:val="left"/>
      <w:pPr>
        <w:tabs>
          <w:tab w:val="left" w:pos="0"/>
        </w:tabs>
        <w:ind w:left="850" w:hanging="453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708" w:hanging="708"/>
      </w:pPr>
      <w:rPr>
        <w:rFonts w:hint="default" w:ascii="黑体" w:hAnsi="黑体" w:eastAsia="黑体" w:cs="黑体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2053" w:hanging="853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4648" w:hanging="1448"/>
      </w:pPr>
      <w:rPr>
        <w:rFonts w:hint="default"/>
      </w:rPr>
    </w:lvl>
  </w:abstractNum>
  <w:abstractNum w:abstractNumId="8">
    <w:nsid w:val="646A79E9"/>
    <w:multiLevelType w:val="multilevel"/>
    <w:tmpl w:val="646A79E9"/>
    <w:lvl w:ilvl="0" w:tentative="0">
      <w:start w:val="5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0" w:firstLine="0"/>
      </w:pPr>
      <w:rPr>
        <w:rFonts w:hint="eastAsia" w:ascii="黑体" w:hAnsi="黑体" w:eastAsia="黑体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6DF63970"/>
    <w:multiLevelType w:val="multilevel"/>
    <w:tmpl w:val="6DF63970"/>
    <w:lvl w:ilvl="0" w:tentative="0">
      <w:start w:val="6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2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0" w:firstLine="0"/>
      </w:pPr>
      <w:rPr>
        <w:rFonts w:hint="eastAsia" w:ascii="黑体" w:hAnsi="黑体" w:eastAsia="黑体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Y0OTZjMjE1NzVhODM0MWNiNzlhNDM5N2JlZWYwNjkifQ=="/>
  </w:docVars>
  <w:rsids>
    <w:rsidRoot w:val="0037111C"/>
    <w:rsid w:val="0037111C"/>
    <w:rsid w:val="009E36FB"/>
    <w:rsid w:val="00B51A50"/>
    <w:rsid w:val="07697D31"/>
    <w:rsid w:val="0EBC7C56"/>
    <w:rsid w:val="1B093ABB"/>
    <w:rsid w:val="2A793199"/>
    <w:rsid w:val="2EE00272"/>
    <w:rsid w:val="424841C8"/>
    <w:rsid w:val="55994521"/>
    <w:rsid w:val="593411F0"/>
    <w:rsid w:val="5F0E45C8"/>
    <w:rsid w:val="630E06E5"/>
    <w:rsid w:val="77AE602A"/>
    <w:rsid w:val="7AB62E5F"/>
    <w:rsid w:val="7E34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,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4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仿宋_GB2312" w:cs="仿宋_GB2312"/>
      <w:kern w:val="2"/>
      <w:sz w:val="32"/>
      <w:szCs w:val="32"/>
      <w:lang w:val="en-US" w:eastAsia="zh-CN" w:bidi="ar-SA"/>
    </w:rPr>
  </w:style>
  <w:style w:type="paragraph" w:styleId="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6">
    <w:name w:val="Balloon Text"/>
    <w:basedOn w:val="1"/>
    <w:link w:val="40"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7">
    <w:name w:val="footer"/>
    <w:basedOn w:val="1"/>
    <w:link w:val="3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8">
    <w:name w:val="header"/>
    <w:basedOn w:val="1"/>
    <w:link w:val="3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</w:style>
  <w:style w:type="paragraph" w:styleId="10">
    <w:name w:val="footnote text"/>
    <w:basedOn w:val="1"/>
    <w:link w:val="36"/>
    <w:unhideWhenUsed/>
    <w:qFormat/>
    <w:uiPriority w:val="99"/>
    <w:pPr>
      <w:snapToGrid w:val="0"/>
    </w:pPr>
    <w:rPr>
      <w:sz w:val="18"/>
      <w:szCs w:val="18"/>
    </w:rPr>
  </w:style>
  <w:style w:type="paragraph" w:styleId="11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5">
    <w:name w:val="Hyperlink"/>
    <w:basedOn w:val="14"/>
    <w:unhideWhenUsed/>
    <w:qFormat/>
    <w:uiPriority w:val="99"/>
    <w:rPr>
      <w:color w:val="0000FF" w:themeColor="hyperlink"/>
      <w:u w:val="single"/>
    </w:rPr>
  </w:style>
  <w:style w:type="character" w:styleId="16">
    <w:name w:val="footnote reference"/>
    <w:basedOn w:val="14"/>
    <w:unhideWhenUsed/>
    <w:qFormat/>
    <w:uiPriority w:val="99"/>
    <w:rPr>
      <w:vertAlign w:val="superscript"/>
    </w:rPr>
  </w:style>
  <w:style w:type="paragraph" w:customStyle="1" w:styleId="17">
    <w:name w:val="段"/>
    <w:link w:val="18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8">
    <w:name w:val="段 Char"/>
    <w:link w:val="17"/>
    <w:qFormat/>
    <w:uiPriority w:val="0"/>
    <w:rPr>
      <w:rFonts w:ascii="宋体" w:hAnsi="Times New Roman" w:eastAsia="宋体" w:cs="Times New Roman"/>
      <w:sz w:val="21"/>
    </w:rPr>
  </w:style>
  <w:style w:type="paragraph" w:customStyle="1" w:styleId="19">
    <w:name w:val="前言、引言标题"/>
    <w:next w:val="17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20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character" w:customStyle="1" w:styleId="21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22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23">
    <w:name w:val="封面一致性程度标识"/>
    <w:basedOn w:val="1"/>
    <w:qFormat/>
    <w:uiPriority w:val="0"/>
    <w:pPr>
      <w:framePr w:w="9639" w:h="6917" w:hRule="exact" w:wrap="around" w:vAnchor="page" w:hAnchor="page" w:xAlign="center" w:y="6408" w:anchorLock="1"/>
      <w:spacing w:before="440" w:after="0" w:line="400" w:lineRule="exact"/>
      <w:jc w:val="center"/>
      <w:textAlignment w:val="center"/>
    </w:pPr>
    <w:rPr>
      <w:rFonts w:ascii="宋体" w:hAnsi="Times New Roman" w:eastAsia="宋体" w:cs="Times New Roman"/>
      <w:kern w:val="0"/>
      <w:sz w:val="28"/>
      <w:szCs w:val="28"/>
    </w:rPr>
  </w:style>
  <w:style w:type="paragraph" w:customStyle="1" w:styleId="24">
    <w:name w:val="封面标准文稿类别"/>
    <w:basedOn w:val="23"/>
    <w:qFormat/>
    <w:uiPriority w:val="0"/>
    <w:pPr>
      <w:framePr w:wrap="around"/>
      <w:spacing w:after="160" w:line="240" w:lineRule="auto"/>
    </w:pPr>
    <w:rPr>
      <w:sz w:val="24"/>
    </w:rPr>
  </w:style>
  <w:style w:type="paragraph" w:customStyle="1" w:styleId="25">
    <w:name w:val="封面标准文稿编辑信息"/>
    <w:basedOn w:val="24"/>
    <w:qFormat/>
    <w:uiPriority w:val="0"/>
    <w:pPr>
      <w:framePr w:wrap="around"/>
      <w:spacing w:before="180" w:line="180" w:lineRule="exact"/>
    </w:pPr>
    <w:rPr>
      <w:sz w:val="21"/>
    </w:rPr>
  </w:style>
  <w:style w:type="paragraph" w:customStyle="1" w:styleId="26">
    <w:name w:val="其他标准标志"/>
    <w:basedOn w:val="1"/>
    <w:qFormat/>
    <w:uiPriority w:val="0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after="0" w:line="0" w:lineRule="atLeast"/>
      <w:jc w:val="right"/>
    </w:pPr>
    <w:rPr>
      <w:rFonts w:ascii="Times New Roman" w:hAnsi="Times New Roman" w:eastAsia="宋体" w:cs="Times New Roman"/>
      <w:b/>
      <w:w w:val="130"/>
      <w:kern w:val="0"/>
      <w:sz w:val="96"/>
      <w:szCs w:val="96"/>
    </w:rPr>
  </w:style>
  <w:style w:type="paragraph" w:customStyle="1" w:styleId="27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28">
    <w:name w:val="其他发布部门"/>
    <w:basedOn w:val="1"/>
    <w:qFormat/>
    <w:uiPriority w:val="0"/>
    <w:pPr>
      <w:framePr w:w="7938" w:h="1134" w:hRule="exact" w:hSpace="125" w:vSpace="181" w:wrap="around" w:vAnchor="page" w:hAnchor="page" w:x="2150" w:y="15310" w:anchorLock="1"/>
      <w:widowControl/>
      <w:spacing w:after="0" w:line="0" w:lineRule="atLeast"/>
      <w:jc w:val="center"/>
    </w:pPr>
    <w:rPr>
      <w:rFonts w:ascii="黑体" w:hAnsi="Times New Roman" w:eastAsia="黑体" w:cs="Times New Roman"/>
      <w:spacing w:val="20"/>
      <w:w w:val="135"/>
      <w:kern w:val="0"/>
      <w:sz w:val="28"/>
      <w:szCs w:val="20"/>
    </w:rPr>
  </w:style>
  <w:style w:type="paragraph" w:customStyle="1" w:styleId="29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0">
    <w:name w:val="其他发布日期"/>
    <w:basedOn w:val="1"/>
    <w:qFormat/>
    <w:uiPriority w:val="0"/>
    <w:pPr>
      <w:framePr w:w="3997" w:h="471" w:hRule="exact" w:vSpace="181" w:wrap="around" w:vAnchor="page" w:hAnchor="page" w:x="1419" w:y="14097" w:anchorLock="1"/>
      <w:widowControl/>
      <w:spacing w:after="0" w:line="240" w:lineRule="auto"/>
    </w:pPr>
    <w:rPr>
      <w:rFonts w:ascii="Times New Roman" w:hAnsi="Times New Roman" w:eastAsia="黑体" w:cs="Times New Roman"/>
      <w:kern w:val="0"/>
      <w:sz w:val="28"/>
      <w:szCs w:val="20"/>
    </w:rPr>
  </w:style>
  <w:style w:type="paragraph" w:customStyle="1" w:styleId="31">
    <w:name w:val="其他实施日期"/>
    <w:basedOn w:val="1"/>
    <w:qFormat/>
    <w:uiPriority w:val="0"/>
    <w:pPr>
      <w:framePr w:w="3997" w:h="471" w:hRule="exact" w:vSpace="181" w:wrap="around" w:vAnchor="page" w:hAnchor="page" w:x="7089" w:y="14097" w:anchorLock="1"/>
      <w:widowControl/>
      <w:spacing w:after="0" w:line="240" w:lineRule="auto"/>
      <w:jc w:val="right"/>
    </w:pPr>
    <w:rPr>
      <w:rFonts w:ascii="Times New Roman" w:hAnsi="Times New Roman" w:eastAsia="黑体" w:cs="Times New Roman"/>
      <w:kern w:val="0"/>
      <w:sz w:val="28"/>
      <w:szCs w:val="20"/>
    </w:rPr>
  </w:style>
  <w:style w:type="character" w:customStyle="1" w:styleId="32">
    <w:name w:val="页眉 Char"/>
    <w:basedOn w:val="14"/>
    <w:link w:val="8"/>
    <w:qFormat/>
    <w:uiPriority w:val="99"/>
    <w:rPr>
      <w:kern w:val="2"/>
      <w:sz w:val="18"/>
      <w:szCs w:val="18"/>
    </w:rPr>
  </w:style>
  <w:style w:type="character" w:customStyle="1" w:styleId="33">
    <w:name w:val="页脚 Char"/>
    <w:basedOn w:val="14"/>
    <w:link w:val="7"/>
    <w:qFormat/>
    <w:uiPriority w:val="99"/>
    <w:rPr>
      <w:kern w:val="2"/>
      <w:sz w:val="18"/>
      <w:szCs w:val="18"/>
    </w:rPr>
  </w:style>
  <w:style w:type="paragraph" w:customStyle="1" w:styleId="34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5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36">
    <w:name w:val="脚注文本 Char"/>
    <w:basedOn w:val="14"/>
    <w:link w:val="10"/>
    <w:semiHidden/>
    <w:qFormat/>
    <w:uiPriority w:val="99"/>
    <w:rPr>
      <w:kern w:val="2"/>
      <w:sz w:val="18"/>
      <w:szCs w:val="18"/>
    </w:rPr>
  </w:style>
  <w:style w:type="paragraph" w:customStyle="1" w:styleId="37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character" w:customStyle="1" w:styleId="38">
    <w:name w:val="标题 1 Char"/>
    <w:basedOn w:val="14"/>
    <w:link w:val="3"/>
    <w:qFormat/>
    <w:uiPriority w:val="9"/>
    <w:rPr>
      <w:b/>
      <w:bCs/>
      <w:kern w:val="44"/>
      <w:sz w:val="44"/>
      <w:szCs w:val="44"/>
    </w:rPr>
  </w:style>
  <w:style w:type="paragraph" w:customStyle="1" w:styleId="39">
    <w:name w:val="TOC 标题1"/>
    <w:basedOn w:val="3"/>
    <w:next w:val="1"/>
    <w:unhideWhenUsed/>
    <w:qFormat/>
    <w:uiPriority w:val="39"/>
    <w:pPr>
      <w:widowControl/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40">
    <w:name w:val="批注框文本 Char"/>
    <w:basedOn w:val="14"/>
    <w:link w:val="6"/>
    <w:semiHidden/>
    <w:qFormat/>
    <w:uiPriority w:val="99"/>
    <w:rPr>
      <w:kern w:val="2"/>
      <w:sz w:val="18"/>
      <w:szCs w:val="18"/>
    </w:rPr>
  </w:style>
  <w:style w:type="paragraph" w:customStyle="1" w:styleId="41">
    <w:name w:val="章标题"/>
    <w:next w:val="17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2">
    <w:name w:val="终结线"/>
    <w:basedOn w:val="1"/>
    <w:qFormat/>
    <w:uiPriority w:val="0"/>
    <w:pPr>
      <w:framePr w:hSpace="181" w:vSpace="181" w:wrap="around" w:vAnchor="text" w:hAnchor="margin" w:xAlign="center" w:y="285"/>
      <w:spacing w:after="0" w:line="240" w:lineRule="auto"/>
      <w:jc w:val="both"/>
    </w:pPr>
    <w:rPr>
      <w:rFonts w:ascii="Times New Roman" w:hAnsi="Times New Roman" w:eastAsia="宋体" w:cs="Times New Roman"/>
      <w:szCs w:val="24"/>
    </w:rPr>
  </w:style>
  <w:style w:type="paragraph" w:customStyle="1" w:styleId="43">
    <w:name w:val="TOC 标题2"/>
    <w:basedOn w:val="3"/>
    <w:next w:val="1"/>
    <w:unhideWhenUsed/>
    <w:qFormat/>
    <w:uiPriority w:val="39"/>
    <w:pPr>
      <w:widowControl/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44">
    <w:name w:val="标题 2 Char"/>
    <w:basedOn w:val="14"/>
    <w:link w:val="4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45">
    <w:name w:val="WPSOffice手动目录 1"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header" Target="header6.xml"/><Relationship Id="rId12" Type="http://schemas.openxmlformats.org/officeDocument/2006/relationships/header" Target="header5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3109"/>
    <customShpInfo spid="_x0000_s3098"/>
    <customShpInfo spid="_x0000_s3100"/>
    <customShpInfo spid="_x0000_s3099"/>
    <customShpInfo spid="_x0000_s3097"/>
    <customShpInfo spid="_x0000_s3108"/>
    <customShpInfo spid="_x0000_s308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3303</Words>
  <Characters>3618</Characters>
  <Lines>9</Lines>
  <Paragraphs>10</Paragraphs>
  <TotalTime>1</TotalTime>
  <ScaleCrop>false</ScaleCrop>
  <LinksUpToDate>false</LinksUpToDate>
  <CharactersWithSpaces>3700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2022-08-30T03:39:00Z</dcterms:created>
  <dc:creator>86138</dc:creator>
  <cp:lastModifiedBy>Administrator</cp:lastModifiedBy>
  <cp:lastPrinted>2023-02-13T07:59:00Z</cp:lastPrinted>
  <dcterms:modified xsi:type="dcterms:W3CDTF">2023-02-14T00:31:04Z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23A43AD4E3A0AEA09168EA615BB93019</vt:lpwstr>
  </property>
</Properties>
</file>