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olor w:val="000000" w:themeColor="text1"/>
          <w:sz w:val="32"/>
          <w14:textFill>
            <w14:solidFill>
              <w14:schemeClr w14:val="tx1"/>
            </w14:solidFill>
          </w14:textFill>
        </w:rPr>
      </w:pPr>
    </w:p>
    <w:p>
      <w:pPr>
        <w:rPr>
          <w:rFonts w:ascii="Times New Roman" w:hAnsi="Times New Roman"/>
          <w:color w:val="000000" w:themeColor="text1"/>
          <w:sz w:val="32"/>
          <w14:textFill>
            <w14:solidFill>
              <w14:schemeClr w14:val="tx1"/>
            </w14:solidFill>
          </w14:textFill>
        </w:rPr>
      </w:pPr>
    </w:p>
    <w:p>
      <w:pPr>
        <w:rPr>
          <w:rFonts w:ascii="Times New Roman" w:hAnsi="Times New Roman"/>
          <w:color w:val="000000" w:themeColor="text1"/>
          <w:sz w:val="32"/>
          <w14:textFill>
            <w14:solidFill>
              <w14:schemeClr w14:val="tx1"/>
            </w14:solidFill>
          </w14:textFill>
        </w:rPr>
      </w:pPr>
    </w:p>
    <w:p>
      <w:pPr>
        <w:rPr>
          <w:rFonts w:ascii="Times New Roman" w:hAnsi="Times New Roman"/>
          <w:color w:val="000000" w:themeColor="text1"/>
          <w:sz w:val="32"/>
          <w14:textFill>
            <w14:solidFill>
              <w14:schemeClr w14:val="tx1"/>
            </w14:solidFill>
          </w14:textFill>
        </w:rPr>
      </w:pPr>
    </w:p>
    <w:p>
      <w:pPr>
        <w:spacing w:after="120" w:afterLines="50"/>
        <w:jc w:val="center"/>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黑体"/>
          <w:color w:val="000000" w:themeColor="text1"/>
          <w:sz w:val="44"/>
          <w:szCs w:val="44"/>
          <w14:textFill>
            <w14:solidFill>
              <w14:schemeClr w14:val="tx1"/>
            </w14:solidFill>
          </w14:textFill>
        </w:rPr>
        <w:t>农业行业标准</w:t>
      </w:r>
    </w:p>
    <w:p>
      <w:pPr>
        <w:jc w:val="center"/>
        <w:rPr>
          <w:rFonts w:ascii="Times New Roman" w:hAnsi="Times New Roman" w:eastAsia="黑体"/>
          <w:color w:val="000000" w:themeColor="text1"/>
          <w:sz w:val="48"/>
          <w14:textFill>
            <w14:solidFill>
              <w14:schemeClr w14:val="tx1"/>
            </w14:solidFill>
          </w14:textFill>
        </w:rPr>
      </w:pPr>
      <w:r>
        <w:rPr>
          <w:rFonts w:ascii="Times New Roman" w:hAnsi="Times New Roman" w:eastAsia="黑体"/>
          <w:color w:val="000000" w:themeColor="text1"/>
          <w:sz w:val="48"/>
          <w14:textFill>
            <w14:solidFill>
              <w14:schemeClr w14:val="tx1"/>
            </w14:solidFill>
          </w14:textFill>
        </w:rPr>
        <w:t>《</w:t>
      </w:r>
      <w:r>
        <w:rPr>
          <w:rFonts w:hint="eastAsia" w:ascii="Times New Roman" w:hAnsi="Times New Roman" w:eastAsia="黑体"/>
          <w:color w:val="000000" w:themeColor="text1"/>
          <w:sz w:val="48"/>
          <w14:textFill>
            <w14:solidFill>
              <w14:schemeClr w14:val="tx1"/>
            </w14:solidFill>
          </w14:textFill>
        </w:rPr>
        <w:t>农作物地面样方遥感调查技术规范</w:t>
      </w:r>
      <w:r>
        <w:rPr>
          <w:rFonts w:ascii="Times New Roman" w:hAnsi="Times New Roman" w:eastAsia="黑体"/>
          <w:color w:val="000000" w:themeColor="text1"/>
          <w:sz w:val="48"/>
          <w14:textFill>
            <w14:solidFill>
              <w14:schemeClr w14:val="tx1"/>
            </w14:solidFill>
          </w14:textFill>
        </w:rPr>
        <w:t>》</w:t>
      </w:r>
    </w:p>
    <w:p>
      <w:pPr>
        <w:jc w:val="center"/>
        <w:rPr>
          <w:rFonts w:ascii="Times New Roman" w:hAnsi="Times New Roman"/>
          <w:b/>
          <w:color w:val="000000" w:themeColor="text1"/>
          <w:sz w:val="36"/>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jc w:val="center"/>
        <w:rPr>
          <w:rFonts w:ascii="Times New Roman" w:hAnsi="Times New Roman" w:eastAsia="黑体"/>
          <w:color w:val="000000" w:themeColor="text1"/>
          <w:sz w:val="48"/>
          <w14:textFill>
            <w14:solidFill>
              <w14:schemeClr w14:val="tx1"/>
            </w14:solidFill>
          </w14:textFill>
        </w:rPr>
      </w:pPr>
      <w:r>
        <w:rPr>
          <w:rFonts w:ascii="Times New Roman" w:hAnsi="Times New Roman" w:eastAsia="黑体"/>
          <w:color w:val="000000" w:themeColor="text1"/>
          <w:sz w:val="48"/>
          <w14:textFill>
            <w14:solidFill>
              <w14:schemeClr w14:val="tx1"/>
            </w14:solidFill>
          </w14:textFill>
        </w:rPr>
        <w:t>编制说明</w:t>
      </w: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36"/>
          <w14:textFill>
            <w14:solidFill>
              <w14:schemeClr w14:val="tx1"/>
            </w14:solidFill>
          </w14:textFill>
        </w:rPr>
        <w:t>（</w:t>
      </w:r>
      <w:r>
        <w:rPr>
          <w:rFonts w:hint="eastAsia" w:ascii="Times New Roman" w:hAnsi="Times New Roman"/>
          <w:color w:val="000000" w:themeColor="text1"/>
          <w:sz w:val="36"/>
          <w:lang w:eastAsia="zh-CN"/>
          <w14:textFill>
            <w14:solidFill>
              <w14:schemeClr w14:val="tx1"/>
            </w14:solidFill>
          </w14:textFill>
        </w:rPr>
        <w:t>征求意见</w:t>
      </w:r>
      <w:bookmarkStart w:id="87" w:name="_GoBack"/>
      <w:bookmarkEnd w:id="87"/>
      <w:r>
        <w:rPr>
          <w:rFonts w:ascii="Times New Roman" w:hAnsi="Times New Roman"/>
          <w:color w:val="000000" w:themeColor="text1"/>
          <w:sz w:val="36"/>
          <w14:textFill>
            <w14:solidFill>
              <w14:schemeClr w14:val="tx1"/>
            </w14:solidFill>
          </w14:textFill>
        </w:rPr>
        <w:t>稿）</w:t>
      </w: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jc w:val="center"/>
        <w:rPr>
          <w:rFonts w:ascii="Times New Roman" w:hAnsi="Times New Roman"/>
          <w:color w:val="000000" w:themeColor="text1"/>
          <w:sz w:val="32"/>
          <w14:textFill>
            <w14:solidFill>
              <w14:schemeClr w14:val="tx1"/>
            </w14:solidFill>
          </w14:textFill>
        </w:rPr>
      </w:pPr>
      <w:r>
        <w:rPr>
          <w:rFonts w:ascii="Times New Roman" w:hAnsi="Times New Roman"/>
          <w:color w:val="000000" w:themeColor="text1"/>
          <w:sz w:val="32"/>
          <w14:textFill>
            <w14:solidFill>
              <w14:schemeClr w14:val="tx1"/>
            </w14:solidFill>
          </w14:textFill>
        </w:rPr>
        <w:t>标准编制组</w:t>
      </w:r>
    </w:p>
    <w:p>
      <w:pPr>
        <w:jc w:val="center"/>
        <w:rPr>
          <w:rFonts w:ascii="Times New Roman" w:hAnsi="Times New Roman"/>
          <w:color w:val="000000" w:themeColor="text1"/>
          <w:sz w:val="30"/>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30"/>
          <w14:textFill>
            <w14:solidFill>
              <w14:schemeClr w14:val="tx1"/>
            </w14:solidFill>
          </w14:textFill>
        </w:rPr>
        <w:t>2023年</w:t>
      </w:r>
      <w:r>
        <w:rPr>
          <w:rFonts w:hint="eastAsia" w:ascii="Times New Roman" w:hAnsi="Times New Roman"/>
          <w:color w:val="000000" w:themeColor="text1"/>
          <w:sz w:val="30"/>
          <w14:textFill>
            <w14:solidFill>
              <w14:schemeClr w14:val="tx1"/>
            </w14:solidFill>
          </w14:textFill>
        </w:rPr>
        <w:t>3</w:t>
      </w:r>
      <w:r>
        <w:rPr>
          <w:rFonts w:ascii="Times New Roman" w:hAnsi="Times New Roman"/>
          <w:color w:val="000000" w:themeColor="text1"/>
          <w:sz w:val="30"/>
          <w14:textFill>
            <w14:solidFill>
              <w14:schemeClr w14:val="tx1"/>
            </w14:solidFill>
          </w14:textFill>
        </w:rPr>
        <w:t>月</w:t>
      </w:r>
    </w:p>
    <w:p>
      <w:pPr>
        <w:rPr>
          <w:rFonts w:ascii="Times New Roman" w:hAnsi="Times New Roman"/>
          <w:color w:val="000000" w:themeColor="text1"/>
          <w14:textFill>
            <w14:solidFill>
              <w14:schemeClr w14:val="tx1"/>
            </w14:solidFill>
          </w14:textFill>
        </w:rPr>
        <w:sectPr>
          <w:footerReference r:id="rId5" w:type="default"/>
          <w:footerReference r:id="rId6" w:type="even"/>
          <w:endnotePr>
            <w:numFmt w:val="decimal"/>
          </w:endnotePr>
          <w:pgSz w:w="11906" w:h="16838"/>
          <w:pgMar w:top="1440" w:right="1800" w:bottom="1440" w:left="1800" w:header="851" w:footer="992" w:gutter="0"/>
          <w:pgNumType w:start="1"/>
          <w:cols w:space="425" w:num="1"/>
          <w:titlePg/>
        </w:sectPr>
      </w:pPr>
    </w:p>
    <w:p>
      <w:pPr>
        <w:jc w:val="center"/>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目  录</w:t>
      </w:r>
    </w:p>
    <w:p>
      <w:pPr>
        <w:pStyle w:val="11"/>
        <w:tabs>
          <w:tab w:val="left" w:pos="840"/>
        </w:tabs>
        <w:rPr>
          <w:rFonts w:ascii="Times New Roman" w:hAnsiTheme="minorHAnsi" w:eastAsiaTheme="minorEastAsia" w:cstheme="minorBidi"/>
          <w:kern w:val="2"/>
          <w:sz w:val="28"/>
          <w:szCs w:val="22"/>
        </w:rPr>
      </w:pPr>
      <w:r>
        <w:rPr>
          <w:rFonts w:ascii="Times New Roman" w:eastAsia="黑体"/>
          <w:b/>
          <w:color w:val="000000" w:themeColor="text1"/>
          <w:sz w:val="48"/>
          <w14:textFill>
            <w14:solidFill>
              <w14:schemeClr w14:val="tx1"/>
            </w14:solidFill>
          </w14:textFill>
        </w:rPr>
        <w:fldChar w:fldCharType="begin"/>
      </w:r>
      <w:r>
        <w:rPr>
          <w:rFonts w:ascii="Times New Roman" w:eastAsia="黑体"/>
          <w:b/>
          <w:color w:val="000000" w:themeColor="text1"/>
          <w:sz w:val="48"/>
          <w14:textFill>
            <w14:solidFill>
              <w14:schemeClr w14:val="tx1"/>
            </w14:solidFill>
          </w14:textFill>
        </w:rPr>
        <w:instrText xml:space="preserve"> TOC \o "1-2" \h \z \u </w:instrText>
      </w:r>
      <w:r>
        <w:rPr>
          <w:rFonts w:ascii="Times New Roman" w:eastAsia="黑体"/>
          <w:b/>
          <w:color w:val="000000" w:themeColor="text1"/>
          <w:sz w:val="48"/>
          <w14:textFill>
            <w14:solidFill>
              <w14:schemeClr w14:val="tx1"/>
            </w14:solidFill>
          </w14:textFill>
        </w:rPr>
        <w:fldChar w:fldCharType="separate"/>
      </w:r>
      <w:r>
        <w:fldChar w:fldCharType="begin"/>
      </w:r>
      <w:r>
        <w:instrText xml:space="preserve"> HYPERLINK \l "_Toc129182639" </w:instrText>
      </w:r>
      <w:r>
        <w:fldChar w:fldCharType="separate"/>
      </w:r>
      <w:r>
        <w:rPr>
          <w:rStyle w:val="23"/>
          <w:rFonts w:ascii="Times New Roman"/>
          <w:sz w:val="28"/>
        </w:rPr>
        <w:t>一、</w:t>
      </w:r>
      <w:r>
        <w:rPr>
          <w:rFonts w:ascii="Times New Roman" w:hAnsiTheme="minorHAnsi" w:eastAsiaTheme="minorEastAsia" w:cstheme="minorBidi"/>
          <w:kern w:val="2"/>
          <w:sz w:val="28"/>
          <w:szCs w:val="22"/>
        </w:rPr>
        <w:tab/>
      </w:r>
      <w:r>
        <w:rPr>
          <w:rStyle w:val="23"/>
          <w:rFonts w:ascii="Times New Roman"/>
          <w:sz w:val="28"/>
        </w:rPr>
        <w:t>工作概况</w:t>
      </w:r>
      <w:r>
        <w:rPr>
          <w:rFonts w:ascii="Times New Roman"/>
          <w:sz w:val="28"/>
        </w:rPr>
        <w:tab/>
      </w:r>
      <w:r>
        <w:rPr>
          <w:rFonts w:ascii="Times New Roman"/>
          <w:sz w:val="28"/>
        </w:rPr>
        <w:fldChar w:fldCharType="begin"/>
      </w:r>
      <w:r>
        <w:rPr>
          <w:rFonts w:ascii="Times New Roman"/>
          <w:sz w:val="28"/>
        </w:rPr>
        <w:instrText xml:space="preserve"> PAGEREF _Toc129182639 \h </w:instrText>
      </w:r>
      <w:r>
        <w:rPr>
          <w:rFonts w:ascii="Times New Roman"/>
          <w:sz w:val="28"/>
        </w:rPr>
        <w:fldChar w:fldCharType="separate"/>
      </w:r>
      <w:r>
        <w:rPr>
          <w:rFonts w:ascii="Times New Roman"/>
          <w:sz w:val="28"/>
        </w:rPr>
        <w:t>3</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"_Toc129182640" </w:instrText>
      </w:r>
      <w:r>
        <w:fldChar w:fldCharType="separate"/>
      </w:r>
      <w:r>
        <w:rPr>
          <w:rStyle w:val="23"/>
          <w:rFonts w:ascii="Times New Roman"/>
          <w:sz w:val="28"/>
        </w:rPr>
        <w:t>1.</w:t>
      </w:r>
      <w:r>
        <w:rPr>
          <w:rFonts w:ascii="Times New Roman" w:hAnsiTheme="minorHAnsi" w:eastAsiaTheme="minorEastAsia" w:cstheme="minorBidi"/>
          <w:kern w:val="2"/>
          <w:sz w:val="28"/>
          <w:szCs w:val="22"/>
        </w:rPr>
        <w:tab/>
      </w:r>
      <w:r>
        <w:rPr>
          <w:rStyle w:val="23"/>
          <w:rFonts w:ascii="Times New Roman"/>
          <w:sz w:val="28"/>
        </w:rPr>
        <w:t>任务来源、承担单位和协作单位</w:t>
      </w:r>
      <w:r>
        <w:rPr>
          <w:rFonts w:ascii="Times New Roman"/>
          <w:sz w:val="28"/>
        </w:rPr>
        <w:tab/>
      </w:r>
      <w:r>
        <w:rPr>
          <w:rFonts w:ascii="Times New Roman"/>
          <w:sz w:val="28"/>
        </w:rPr>
        <w:fldChar w:fldCharType="begin"/>
      </w:r>
      <w:r>
        <w:rPr>
          <w:rFonts w:ascii="Times New Roman"/>
          <w:sz w:val="28"/>
        </w:rPr>
        <w:instrText xml:space="preserve"> PAGEREF _Toc129182640 \h </w:instrText>
      </w:r>
      <w:r>
        <w:rPr>
          <w:rFonts w:ascii="Times New Roman"/>
          <w:sz w:val="28"/>
        </w:rPr>
        <w:fldChar w:fldCharType="separate"/>
      </w:r>
      <w:r>
        <w:rPr>
          <w:rFonts w:ascii="Times New Roman"/>
          <w:sz w:val="28"/>
        </w:rPr>
        <w:t>3</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"_Toc129182641" </w:instrText>
      </w:r>
      <w:r>
        <w:fldChar w:fldCharType="separate"/>
      </w:r>
      <w:r>
        <w:rPr>
          <w:rStyle w:val="23"/>
          <w:rFonts w:ascii="Times New Roman"/>
          <w:sz w:val="28"/>
        </w:rPr>
        <w:t>2.</w:t>
      </w:r>
      <w:r>
        <w:rPr>
          <w:rFonts w:ascii="Times New Roman" w:hAnsiTheme="minorHAnsi" w:eastAsiaTheme="minorEastAsia" w:cstheme="minorBidi"/>
          <w:kern w:val="2"/>
          <w:sz w:val="28"/>
          <w:szCs w:val="22"/>
        </w:rPr>
        <w:tab/>
      </w:r>
      <w:r>
        <w:rPr>
          <w:rStyle w:val="23"/>
          <w:rFonts w:ascii="Times New Roman"/>
          <w:sz w:val="28"/>
        </w:rPr>
        <w:t>主要工作过程</w:t>
      </w:r>
      <w:r>
        <w:rPr>
          <w:rFonts w:ascii="Times New Roman"/>
          <w:sz w:val="28"/>
        </w:rPr>
        <w:tab/>
      </w:r>
      <w:r>
        <w:rPr>
          <w:rFonts w:ascii="Times New Roman"/>
          <w:sz w:val="28"/>
        </w:rPr>
        <w:fldChar w:fldCharType="begin"/>
      </w:r>
      <w:r>
        <w:rPr>
          <w:rFonts w:ascii="Times New Roman"/>
          <w:sz w:val="28"/>
        </w:rPr>
        <w:instrText xml:space="preserve"> PAGEREF _Toc129182641 \h </w:instrText>
      </w:r>
      <w:r>
        <w:rPr>
          <w:rFonts w:ascii="Times New Roman"/>
          <w:sz w:val="28"/>
        </w:rPr>
        <w:fldChar w:fldCharType="separate"/>
      </w:r>
      <w:r>
        <w:rPr>
          <w:rFonts w:ascii="Times New Roman"/>
          <w:sz w:val="28"/>
        </w:rPr>
        <w:t>3</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"_Toc129182642" </w:instrText>
      </w:r>
      <w:r>
        <w:fldChar w:fldCharType="separate"/>
      </w:r>
      <w:r>
        <w:rPr>
          <w:rStyle w:val="23"/>
          <w:rFonts w:ascii="Times New Roman"/>
          <w:sz w:val="28"/>
        </w:rPr>
        <w:t>3.</w:t>
      </w:r>
      <w:r>
        <w:rPr>
          <w:rFonts w:ascii="Times New Roman" w:hAnsiTheme="minorHAnsi" w:eastAsiaTheme="minorEastAsia" w:cstheme="minorBidi"/>
          <w:kern w:val="2"/>
          <w:sz w:val="28"/>
          <w:szCs w:val="22"/>
        </w:rPr>
        <w:tab/>
      </w:r>
      <w:r>
        <w:rPr>
          <w:rStyle w:val="23"/>
          <w:rFonts w:ascii="Times New Roman"/>
          <w:sz w:val="28"/>
        </w:rPr>
        <w:t>主要起草人及其所做工作</w:t>
      </w:r>
      <w:r>
        <w:rPr>
          <w:rFonts w:ascii="Times New Roman"/>
          <w:sz w:val="28"/>
        </w:rPr>
        <w:tab/>
      </w:r>
      <w:r>
        <w:rPr>
          <w:rFonts w:ascii="Times New Roman"/>
          <w:sz w:val="28"/>
        </w:rPr>
        <w:fldChar w:fldCharType="begin"/>
      </w:r>
      <w:r>
        <w:rPr>
          <w:rFonts w:ascii="Times New Roman"/>
          <w:sz w:val="28"/>
        </w:rPr>
        <w:instrText xml:space="preserve"> PAGEREF _Toc129182642 \h </w:instrText>
      </w:r>
      <w:r>
        <w:rPr>
          <w:rFonts w:ascii="Times New Roman"/>
          <w:sz w:val="28"/>
        </w:rPr>
        <w:fldChar w:fldCharType="separate"/>
      </w:r>
      <w:r>
        <w:rPr>
          <w:rFonts w:ascii="Times New Roman"/>
          <w:sz w:val="28"/>
        </w:rPr>
        <w:t>4</w:t>
      </w:r>
      <w:r>
        <w:rPr>
          <w:rFonts w:ascii="Times New Roman"/>
          <w:sz w:val="28"/>
        </w:rPr>
        <w:fldChar w:fldCharType="end"/>
      </w:r>
      <w:r>
        <w:rPr>
          <w:rFonts w:ascii="Times New Roman"/>
          <w:sz w:val="28"/>
        </w:rPr>
        <w:fldChar w:fldCharType="end"/>
      </w:r>
    </w:p>
    <w:p>
      <w:pPr>
        <w:pStyle w:val="11"/>
        <w:tabs>
          <w:tab w:val="left" w:pos="840"/>
        </w:tabs>
        <w:rPr>
          <w:rFonts w:ascii="Times New Roman" w:hAnsiTheme="minorHAnsi" w:eastAsiaTheme="minorEastAsia" w:cstheme="minorBidi"/>
          <w:kern w:val="2"/>
          <w:sz w:val="28"/>
          <w:szCs w:val="22"/>
        </w:rPr>
      </w:pPr>
      <w:r>
        <w:fldChar w:fldCharType="begin"/>
      </w:r>
      <w:r>
        <w:instrText xml:space="preserve"> HYPERLINK \l "_Toc129182643" </w:instrText>
      </w:r>
      <w:r>
        <w:fldChar w:fldCharType="separate"/>
      </w:r>
      <w:r>
        <w:rPr>
          <w:rStyle w:val="23"/>
          <w:rFonts w:ascii="Times New Roman"/>
          <w:sz w:val="28"/>
        </w:rPr>
        <w:t>二、</w:t>
      </w:r>
      <w:r>
        <w:rPr>
          <w:rFonts w:ascii="Times New Roman" w:hAnsiTheme="minorHAnsi" w:eastAsiaTheme="minorEastAsia" w:cstheme="minorBidi"/>
          <w:kern w:val="2"/>
          <w:sz w:val="28"/>
          <w:szCs w:val="22"/>
        </w:rPr>
        <w:tab/>
      </w:r>
      <w:r>
        <w:rPr>
          <w:rStyle w:val="23"/>
          <w:rFonts w:ascii="Times New Roman"/>
          <w:sz w:val="28"/>
        </w:rPr>
        <w:t>编制原则和依据</w:t>
      </w:r>
      <w:r>
        <w:rPr>
          <w:rFonts w:ascii="Times New Roman"/>
          <w:sz w:val="28"/>
        </w:rPr>
        <w:tab/>
      </w:r>
      <w:r>
        <w:rPr>
          <w:rFonts w:ascii="Times New Roman"/>
          <w:sz w:val="28"/>
        </w:rPr>
        <w:fldChar w:fldCharType="begin"/>
      </w:r>
      <w:r>
        <w:rPr>
          <w:rFonts w:ascii="Times New Roman"/>
          <w:sz w:val="28"/>
        </w:rPr>
        <w:instrText xml:space="preserve"> PAGEREF _Toc129182643 \h </w:instrText>
      </w:r>
      <w:r>
        <w:rPr>
          <w:rFonts w:ascii="Times New Roman"/>
          <w:sz w:val="28"/>
        </w:rPr>
        <w:fldChar w:fldCharType="separate"/>
      </w:r>
      <w:r>
        <w:rPr>
          <w:rFonts w:ascii="Times New Roman"/>
          <w:sz w:val="28"/>
        </w:rPr>
        <w:t>4</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"_Toc129182644" </w:instrText>
      </w:r>
      <w:r>
        <w:fldChar w:fldCharType="separate"/>
      </w:r>
      <w:r>
        <w:rPr>
          <w:rStyle w:val="23"/>
          <w:rFonts w:ascii="Times New Roman"/>
          <w:sz w:val="28"/>
        </w:rPr>
        <w:t>1.</w:t>
      </w:r>
      <w:r>
        <w:rPr>
          <w:rFonts w:ascii="Times New Roman" w:hAnsiTheme="minorHAnsi" w:eastAsiaTheme="minorEastAsia" w:cstheme="minorBidi"/>
          <w:kern w:val="2"/>
          <w:sz w:val="28"/>
          <w:szCs w:val="22"/>
        </w:rPr>
        <w:tab/>
      </w:r>
      <w:r>
        <w:rPr>
          <w:rStyle w:val="23"/>
          <w:rFonts w:ascii="Times New Roman"/>
          <w:sz w:val="28"/>
        </w:rPr>
        <w:t>标准编制原则</w:t>
      </w:r>
      <w:r>
        <w:rPr>
          <w:rFonts w:ascii="Times New Roman"/>
          <w:sz w:val="28"/>
        </w:rPr>
        <w:tab/>
      </w:r>
      <w:r>
        <w:rPr>
          <w:rFonts w:ascii="Times New Roman"/>
          <w:sz w:val="28"/>
        </w:rPr>
        <w:fldChar w:fldCharType="begin"/>
      </w:r>
      <w:r>
        <w:rPr>
          <w:rFonts w:ascii="Times New Roman"/>
          <w:sz w:val="28"/>
        </w:rPr>
        <w:instrText xml:space="preserve"> PAGEREF _Toc129182644 \h </w:instrText>
      </w:r>
      <w:r>
        <w:rPr>
          <w:rFonts w:ascii="Times New Roman"/>
          <w:sz w:val="28"/>
        </w:rPr>
        <w:fldChar w:fldCharType="separate"/>
      </w:r>
      <w:r>
        <w:rPr>
          <w:rFonts w:ascii="Times New Roman"/>
          <w:sz w:val="28"/>
        </w:rPr>
        <w:t>4</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"_Toc129182645" </w:instrText>
      </w:r>
      <w:r>
        <w:fldChar w:fldCharType="separate"/>
      </w:r>
      <w:r>
        <w:rPr>
          <w:rStyle w:val="23"/>
          <w:rFonts w:ascii="Times New Roman"/>
          <w:sz w:val="28"/>
        </w:rPr>
        <w:t>2.</w:t>
      </w:r>
      <w:r>
        <w:rPr>
          <w:rFonts w:ascii="Times New Roman" w:hAnsiTheme="minorHAnsi" w:eastAsiaTheme="minorEastAsia" w:cstheme="minorBidi"/>
          <w:kern w:val="2"/>
          <w:sz w:val="28"/>
          <w:szCs w:val="22"/>
        </w:rPr>
        <w:tab/>
      </w:r>
      <w:r>
        <w:rPr>
          <w:rStyle w:val="23"/>
          <w:rFonts w:ascii="Times New Roman"/>
          <w:sz w:val="28"/>
        </w:rPr>
        <w:t>标准编制依据</w:t>
      </w:r>
      <w:r>
        <w:rPr>
          <w:rFonts w:ascii="Times New Roman"/>
          <w:sz w:val="28"/>
        </w:rPr>
        <w:tab/>
      </w:r>
      <w:r>
        <w:rPr>
          <w:rFonts w:ascii="Times New Roman"/>
          <w:sz w:val="28"/>
        </w:rPr>
        <w:fldChar w:fldCharType="begin"/>
      </w:r>
      <w:r>
        <w:rPr>
          <w:rFonts w:ascii="Times New Roman"/>
          <w:sz w:val="28"/>
        </w:rPr>
        <w:instrText xml:space="preserve"> PAGEREF _Toc129182645 \h </w:instrText>
      </w:r>
      <w:r>
        <w:rPr>
          <w:rFonts w:ascii="Times New Roman"/>
          <w:sz w:val="28"/>
        </w:rPr>
        <w:fldChar w:fldCharType="separate"/>
      </w:r>
      <w:r>
        <w:rPr>
          <w:rFonts w:ascii="Times New Roman"/>
          <w:sz w:val="28"/>
        </w:rPr>
        <w:t>5</w:t>
      </w:r>
      <w:r>
        <w:rPr>
          <w:rFonts w:ascii="Times New Roman"/>
          <w:sz w:val="28"/>
        </w:rPr>
        <w:fldChar w:fldCharType="end"/>
      </w:r>
      <w:r>
        <w:rPr>
          <w:rFonts w:ascii="Times New Roman"/>
          <w:sz w:val="28"/>
        </w:rPr>
        <w:fldChar w:fldCharType="end"/>
      </w:r>
    </w:p>
    <w:p>
      <w:pPr>
        <w:pStyle w:val="11"/>
        <w:tabs>
          <w:tab w:val="left" w:pos="840"/>
        </w:tabs>
        <w:rPr>
          <w:rFonts w:ascii="Times New Roman" w:hAnsiTheme="minorHAnsi" w:eastAsiaTheme="minorEastAsia" w:cstheme="minorBidi"/>
          <w:kern w:val="2"/>
          <w:sz w:val="28"/>
          <w:szCs w:val="22"/>
        </w:rPr>
      </w:pPr>
      <w:r>
        <w:fldChar w:fldCharType="begin"/>
      </w:r>
      <w:r>
        <w:instrText xml:space="preserve"> HYPERLINK \l "_Toc129182646" </w:instrText>
      </w:r>
      <w:r>
        <w:fldChar w:fldCharType="separate"/>
      </w:r>
      <w:r>
        <w:rPr>
          <w:rStyle w:val="23"/>
          <w:rFonts w:ascii="Times New Roman"/>
          <w:sz w:val="28"/>
        </w:rPr>
        <w:t>三、</w:t>
      </w:r>
      <w:r>
        <w:rPr>
          <w:rFonts w:ascii="Times New Roman" w:hAnsiTheme="minorHAnsi" w:eastAsiaTheme="minorEastAsia" w:cstheme="minorBidi"/>
          <w:kern w:val="2"/>
          <w:sz w:val="28"/>
          <w:szCs w:val="22"/>
        </w:rPr>
        <w:tab/>
      </w:r>
      <w:r>
        <w:rPr>
          <w:rStyle w:val="23"/>
          <w:rFonts w:ascii="Times New Roman"/>
          <w:sz w:val="28"/>
        </w:rPr>
        <w:t>主要技术内容说明</w:t>
      </w:r>
      <w:r>
        <w:rPr>
          <w:rFonts w:ascii="Times New Roman"/>
          <w:sz w:val="28"/>
        </w:rPr>
        <w:tab/>
      </w:r>
      <w:r>
        <w:rPr>
          <w:rFonts w:ascii="Times New Roman"/>
          <w:sz w:val="28"/>
        </w:rPr>
        <w:fldChar w:fldCharType="begin"/>
      </w:r>
      <w:r>
        <w:rPr>
          <w:rFonts w:ascii="Times New Roman"/>
          <w:sz w:val="28"/>
        </w:rPr>
        <w:instrText xml:space="preserve"> PAGEREF _Toc129182646 \h </w:instrText>
      </w:r>
      <w:r>
        <w:rPr>
          <w:rFonts w:ascii="Times New Roman"/>
          <w:sz w:val="28"/>
        </w:rPr>
        <w:fldChar w:fldCharType="separate"/>
      </w:r>
      <w:r>
        <w:rPr>
          <w:rFonts w:ascii="Times New Roman"/>
          <w:sz w:val="28"/>
        </w:rPr>
        <w:t>6</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"_Toc129182647" </w:instrText>
      </w:r>
      <w:r>
        <w:fldChar w:fldCharType="separate"/>
      </w:r>
      <w:r>
        <w:rPr>
          <w:rStyle w:val="23"/>
          <w:rFonts w:ascii="Times New Roman"/>
          <w:sz w:val="28"/>
        </w:rPr>
        <w:t>1.</w:t>
      </w:r>
      <w:r>
        <w:rPr>
          <w:rFonts w:ascii="Times New Roman" w:hAnsiTheme="minorHAnsi" w:eastAsiaTheme="minorEastAsia" w:cstheme="minorBidi"/>
          <w:kern w:val="2"/>
          <w:sz w:val="28"/>
          <w:szCs w:val="22"/>
        </w:rPr>
        <w:tab/>
      </w:r>
      <w:r>
        <w:rPr>
          <w:rStyle w:val="23"/>
          <w:rFonts w:ascii="Times New Roman"/>
          <w:sz w:val="28"/>
        </w:rPr>
        <w:t>标准主要技术内容指标或要求确定的依据</w:t>
      </w:r>
      <w:r>
        <w:rPr>
          <w:rFonts w:ascii="Times New Roman"/>
          <w:sz w:val="28"/>
        </w:rPr>
        <w:tab/>
      </w:r>
      <w:r>
        <w:rPr>
          <w:rFonts w:ascii="Times New Roman"/>
          <w:sz w:val="28"/>
        </w:rPr>
        <w:fldChar w:fldCharType="begin"/>
      </w:r>
      <w:r>
        <w:rPr>
          <w:rFonts w:ascii="Times New Roman"/>
          <w:sz w:val="28"/>
        </w:rPr>
        <w:instrText xml:space="preserve"> PAGEREF _Toc129182647 \h </w:instrText>
      </w:r>
      <w:r>
        <w:rPr>
          <w:rFonts w:ascii="Times New Roman"/>
          <w:sz w:val="28"/>
        </w:rPr>
        <w:fldChar w:fldCharType="separate"/>
      </w:r>
      <w:r>
        <w:rPr>
          <w:rFonts w:ascii="Times New Roman"/>
          <w:sz w:val="28"/>
        </w:rPr>
        <w:t>6</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"_Toc129182648" </w:instrText>
      </w:r>
      <w:r>
        <w:fldChar w:fldCharType="separate"/>
      </w:r>
      <w:r>
        <w:rPr>
          <w:rStyle w:val="23"/>
          <w:rFonts w:ascii="Times New Roman"/>
          <w:sz w:val="28"/>
        </w:rPr>
        <w:t>2.</w:t>
      </w:r>
      <w:r>
        <w:rPr>
          <w:rFonts w:ascii="Times New Roman" w:hAnsiTheme="minorHAnsi" w:eastAsiaTheme="minorEastAsia" w:cstheme="minorBidi"/>
          <w:kern w:val="2"/>
          <w:sz w:val="28"/>
          <w:szCs w:val="22"/>
        </w:rPr>
        <w:tab/>
      </w:r>
      <w:r>
        <w:rPr>
          <w:rStyle w:val="23"/>
          <w:rFonts w:ascii="Times New Roman"/>
          <w:sz w:val="28"/>
        </w:rPr>
        <w:t>标准的符合性和一致性</w:t>
      </w:r>
      <w:r>
        <w:rPr>
          <w:rFonts w:ascii="Times New Roman"/>
          <w:sz w:val="28"/>
        </w:rPr>
        <w:tab/>
      </w:r>
      <w:r>
        <w:rPr>
          <w:rFonts w:ascii="Times New Roman"/>
          <w:sz w:val="28"/>
        </w:rPr>
        <w:fldChar w:fldCharType="begin"/>
      </w:r>
      <w:r>
        <w:rPr>
          <w:rFonts w:ascii="Times New Roman"/>
          <w:sz w:val="28"/>
        </w:rPr>
        <w:instrText xml:space="preserve"> PAGEREF _Toc129182648 \h </w:instrText>
      </w:r>
      <w:r>
        <w:rPr>
          <w:rFonts w:ascii="Times New Roman"/>
          <w:sz w:val="28"/>
        </w:rPr>
        <w:fldChar w:fldCharType="separate"/>
      </w:r>
      <w:r>
        <w:rPr>
          <w:rFonts w:ascii="Times New Roman"/>
          <w:sz w:val="28"/>
        </w:rPr>
        <w:t>12</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"_Toc129182649" </w:instrText>
      </w:r>
      <w:r>
        <w:fldChar w:fldCharType="separate"/>
      </w:r>
      <w:r>
        <w:rPr>
          <w:rStyle w:val="23"/>
          <w:rFonts w:ascii="Times New Roman"/>
          <w:sz w:val="28"/>
        </w:rPr>
        <w:t>3.</w:t>
      </w:r>
      <w:r>
        <w:rPr>
          <w:rFonts w:ascii="Times New Roman" w:hAnsiTheme="minorHAnsi" w:eastAsiaTheme="minorEastAsia" w:cstheme="minorBidi"/>
          <w:kern w:val="2"/>
          <w:sz w:val="28"/>
          <w:szCs w:val="22"/>
        </w:rPr>
        <w:tab/>
      </w:r>
      <w:r>
        <w:rPr>
          <w:rStyle w:val="23"/>
          <w:rFonts w:ascii="Times New Roman"/>
          <w:sz w:val="28"/>
        </w:rPr>
        <w:t>重大分歧意见的处理经过和依据</w:t>
      </w:r>
      <w:r>
        <w:rPr>
          <w:rFonts w:ascii="Times New Roman"/>
          <w:sz w:val="28"/>
        </w:rPr>
        <w:tab/>
      </w:r>
      <w:r>
        <w:rPr>
          <w:rFonts w:ascii="Times New Roman"/>
          <w:sz w:val="28"/>
        </w:rPr>
        <w:fldChar w:fldCharType="begin"/>
      </w:r>
      <w:r>
        <w:rPr>
          <w:rFonts w:ascii="Times New Roman"/>
          <w:sz w:val="28"/>
        </w:rPr>
        <w:instrText xml:space="preserve"> PAGEREF _Toc129182649 \h </w:instrText>
      </w:r>
      <w:r>
        <w:rPr>
          <w:rFonts w:ascii="Times New Roman"/>
          <w:sz w:val="28"/>
        </w:rPr>
        <w:fldChar w:fldCharType="separate"/>
      </w:r>
      <w:r>
        <w:rPr>
          <w:rFonts w:ascii="Times New Roman"/>
          <w:sz w:val="28"/>
        </w:rPr>
        <w:t>12</w:t>
      </w:r>
      <w:r>
        <w:rPr>
          <w:rFonts w:ascii="Times New Roman"/>
          <w:sz w:val="28"/>
        </w:rPr>
        <w:fldChar w:fldCharType="end"/>
      </w:r>
      <w:r>
        <w:rPr>
          <w:rFonts w:ascii="Times New Roman"/>
          <w:sz w:val="28"/>
        </w:rPr>
        <w:fldChar w:fldCharType="end"/>
      </w:r>
    </w:p>
    <w:p>
      <w:pPr>
        <w:pStyle w:val="11"/>
        <w:tabs>
          <w:tab w:val="left" w:pos="840"/>
        </w:tabs>
        <w:rPr>
          <w:rFonts w:ascii="Times New Roman" w:hAnsiTheme="minorHAnsi" w:eastAsiaTheme="minorEastAsia" w:cstheme="minorBidi"/>
          <w:kern w:val="2"/>
          <w:sz w:val="28"/>
          <w:szCs w:val="22"/>
        </w:rPr>
      </w:pPr>
      <w:r>
        <w:fldChar w:fldCharType="begin"/>
      </w:r>
      <w:r>
        <w:instrText xml:space="preserve"> HYPERLINK \l "_Toc129182650" </w:instrText>
      </w:r>
      <w:r>
        <w:fldChar w:fldCharType="separate"/>
      </w:r>
      <w:r>
        <w:rPr>
          <w:rStyle w:val="23"/>
          <w:rFonts w:ascii="Times New Roman"/>
          <w:sz w:val="28"/>
        </w:rPr>
        <w:t>四、</w:t>
      </w:r>
      <w:r>
        <w:rPr>
          <w:rFonts w:ascii="Times New Roman" w:hAnsiTheme="minorHAnsi" w:eastAsiaTheme="minorEastAsia" w:cstheme="minorBidi"/>
          <w:kern w:val="2"/>
          <w:sz w:val="28"/>
          <w:szCs w:val="22"/>
        </w:rPr>
        <w:tab/>
      </w:r>
      <w:r>
        <w:rPr>
          <w:rStyle w:val="23"/>
          <w:rFonts w:ascii="Times New Roman"/>
          <w:sz w:val="28"/>
        </w:rPr>
        <w:t>标椎应用案例</w:t>
      </w:r>
      <w:r>
        <w:rPr>
          <w:rFonts w:ascii="Times New Roman"/>
          <w:sz w:val="28"/>
        </w:rPr>
        <w:tab/>
      </w:r>
      <w:r>
        <w:rPr>
          <w:rFonts w:ascii="Times New Roman"/>
          <w:sz w:val="28"/>
        </w:rPr>
        <w:fldChar w:fldCharType="begin"/>
      </w:r>
      <w:r>
        <w:rPr>
          <w:rFonts w:ascii="Times New Roman"/>
          <w:sz w:val="28"/>
        </w:rPr>
        <w:instrText xml:space="preserve"> PAGEREF _Toc129182650 \h </w:instrText>
      </w:r>
      <w:r>
        <w:rPr>
          <w:rFonts w:ascii="Times New Roman"/>
          <w:sz w:val="28"/>
        </w:rPr>
        <w:fldChar w:fldCharType="separate"/>
      </w:r>
      <w:r>
        <w:rPr>
          <w:rFonts w:ascii="Times New Roman"/>
          <w:sz w:val="28"/>
        </w:rPr>
        <w:t>12</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"_Toc129182651" </w:instrText>
      </w:r>
      <w:r>
        <w:fldChar w:fldCharType="separate"/>
      </w:r>
      <w:r>
        <w:rPr>
          <w:rStyle w:val="23"/>
          <w:rFonts w:ascii="Times New Roman"/>
          <w:sz w:val="28"/>
        </w:rPr>
        <w:t>1.</w:t>
      </w:r>
      <w:r>
        <w:rPr>
          <w:rFonts w:ascii="Times New Roman" w:hAnsiTheme="minorHAnsi" w:eastAsiaTheme="minorEastAsia" w:cstheme="minorBidi"/>
          <w:kern w:val="2"/>
          <w:sz w:val="28"/>
          <w:szCs w:val="22"/>
        </w:rPr>
        <w:tab/>
      </w:r>
      <w:r>
        <w:rPr>
          <w:rStyle w:val="23"/>
          <w:rFonts w:ascii="Times New Roman"/>
          <w:sz w:val="28"/>
        </w:rPr>
        <w:t>数据获取与处理</w:t>
      </w:r>
      <w:r>
        <w:rPr>
          <w:rFonts w:ascii="Times New Roman"/>
          <w:sz w:val="28"/>
        </w:rPr>
        <w:tab/>
      </w:r>
      <w:r>
        <w:rPr>
          <w:rFonts w:ascii="Times New Roman"/>
          <w:sz w:val="28"/>
        </w:rPr>
        <w:fldChar w:fldCharType="begin"/>
      </w:r>
      <w:r>
        <w:rPr>
          <w:rFonts w:ascii="Times New Roman"/>
          <w:sz w:val="28"/>
        </w:rPr>
        <w:instrText xml:space="preserve"> PAGEREF _Toc129182651 \h </w:instrText>
      </w:r>
      <w:r>
        <w:rPr>
          <w:rFonts w:ascii="Times New Roman"/>
          <w:sz w:val="28"/>
        </w:rPr>
        <w:fldChar w:fldCharType="separate"/>
      </w:r>
      <w:r>
        <w:rPr>
          <w:rFonts w:ascii="Times New Roman"/>
          <w:sz w:val="28"/>
        </w:rPr>
        <w:t>12</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"_Toc129182652" </w:instrText>
      </w:r>
      <w:r>
        <w:fldChar w:fldCharType="separate"/>
      </w:r>
      <w:r>
        <w:rPr>
          <w:rStyle w:val="23"/>
          <w:rFonts w:ascii="Times New Roman"/>
          <w:sz w:val="28"/>
        </w:rPr>
        <w:t>2.</w:t>
      </w:r>
      <w:r>
        <w:rPr>
          <w:rFonts w:ascii="Times New Roman" w:hAnsiTheme="minorHAnsi" w:eastAsiaTheme="minorEastAsia" w:cstheme="minorBidi"/>
          <w:kern w:val="2"/>
          <w:sz w:val="28"/>
          <w:szCs w:val="22"/>
        </w:rPr>
        <w:tab/>
      </w:r>
      <w:r>
        <w:rPr>
          <w:rStyle w:val="23"/>
          <w:rFonts w:ascii="Times New Roman"/>
          <w:sz w:val="28"/>
        </w:rPr>
        <w:t>地面样方布设方案设计</w:t>
      </w:r>
      <w:r>
        <w:rPr>
          <w:rFonts w:ascii="Times New Roman"/>
          <w:sz w:val="28"/>
        </w:rPr>
        <w:tab/>
      </w:r>
      <w:r>
        <w:rPr>
          <w:rFonts w:ascii="Times New Roman"/>
          <w:sz w:val="28"/>
        </w:rPr>
        <w:fldChar w:fldCharType="begin"/>
      </w:r>
      <w:r>
        <w:rPr>
          <w:rFonts w:ascii="Times New Roman"/>
          <w:sz w:val="28"/>
        </w:rPr>
        <w:instrText xml:space="preserve"> PAGEREF _Toc129182652 \h </w:instrText>
      </w:r>
      <w:r>
        <w:rPr>
          <w:rFonts w:ascii="Times New Roman"/>
          <w:sz w:val="28"/>
        </w:rPr>
        <w:fldChar w:fldCharType="separate"/>
      </w:r>
      <w:r>
        <w:rPr>
          <w:rFonts w:ascii="Times New Roman"/>
          <w:sz w:val="28"/>
        </w:rPr>
        <w:t>13</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"_Toc129182653" </w:instrText>
      </w:r>
      <w:r>
        <w:fldChar w:fldCharType="separate"/>
      </w:r>
      <w:r>
        <w:rPr>
          <w:rStyle w:val="23"/>
          <w:rFonts w:ascii="Times New Roman"/>
          <w:sz w:val="28"/>
        </w:rPr>
        <w:t>3.</w:t>
      </w:r>
      <w:r>
        <w:rPr>
          <w:rFonts w:ascii="Times New Roman" w:hAnsiTheme="minorHAnsi" w:eastAsiaTheme="minorEastAsia" w:cstheme="minorBidi"/>
          <w:kern w:val="2"/>
          <w:sz w:val="28"/>
          <w:szCs w:val="22"/>
        </w:rPr>
        <w:tab/>
      </w:r>
      <w:r>
        <w:rPr>
          <w:rStyle w:val="23"/>
          <w:rFonts w:ascii="Times New Roman"/>
          <w:sz w:val="28"/>
        </w:rPr>
        <w:t>地面样方信息调查</w:t>
      </w:r>
      <w:r>
        <w:rPr>
          <w:rFonts w:ascii="Times New Roman"/>
          <w:sz w:val="28"/>
        </w:rPr>
        <w:tab/>
      </w:r>
      <w:r>
        <w:rPr>
          <w:rFonts w:ascii="Times New Roman"/>
          <w:sz w:val="28"/>
        </w:rPr>
        <w:fldChar w:fldCharType="begin"/>
      </w:r>
      <w:r>
        <w:rPr>
          <w:rFonts w:ascii="Times New Roman"/>
          <w:sz w:val="28"/>
        </w:rPr>
        <w:instrText xml:space="preserve"> PAGEREF _Toc129182653 \h </w:instrText>
      </w:r>
      <w:r>
        <w:rPr>
          <w:rFonts w:ascii="Times New Roman"/>
          <w:sz w:val="28"/>
        </w:rPr>
        <w:fldChar w:fldCharType="separate"/>
      </w:r>
      <w:r>
        <w:rPr>
          <w:rFonts w:ascii="Times New Roman"/>
          <w:sz w:val="28"/>
        </w:rPr>
        <w:t>15</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"_Toc129182654" </w:instrText>
      </w:r>
      <w:r>
        <w:fldChar w:fldCharType="separate"/>
      </w:r>
      <w:r>
        <w:rPr>
          <w:rStyle w:val="23"/>
          <w:rFonts w:ascii="Times New Roman"/>
          <w:sz w:val="28"/>
        </w:rPr>
        <w:t>4.</w:t>
      </w:r>
      <w:r>
        <w:rPr>
          <w:rFonts w:ascii="Times New Roman" w:hAnsiTheme="minorHAnsi" w:eastAsiaTheme="minorEastAsia" w:cstheme="minorBidi"/>
          <w:kern w:val="2"/>
          <w:sz w:val="28"/>
          <w:szCs w:val="22"/>
        </w:rPr>
        <w:tab/>
      </w:r>
      <w:r>
        <w:rPr>
          <w:rStyle w:val="23"/>
          <w:rFonts w:ascii="Times New Roman"/>
          <w:sz w:val="28"/>
        </w:rPr>
        <w:t>地面样方整理与样方入库</w:t>
      </w:r>
      <w:r>
        <w:rPr>
          <w:rFonts w:ascii="Times New Roman"/>
          <w:sz w:val="28"/>
        </w:rPr>
        <w:tab/>
      </w:r>
      <w:r>
        <w:rPr>
          <w:rFonts w:ascii="Times New Roman"/>
          <w:sz w:val="28"/>
        </w:rPr>
        <w:fldChar w:fldCharType="begin"/>
      </w:r>
      <w:r>
        <w:rPr>
          <w:rFonts w:ascii="Times New Roman"/>
          <w:sz w:val="28"/>
        </w:rPr>
        <w:instrText xml:space="preserve"> PAGEREF _Toc129182654 \h </w:instrText>
      </w:r>
      <w:r>
        <w:rPr>
          <w:rFonts w:ascii="Times New Roman"/>
          <w:sz w:val="28"/>
        </w:rPr>
        <w:fldChar w:fldCharType="separate"/>
      </w:r>
      <w:r>
        <w:rPr>
          <w:rFonts w:ascii="Times New Roman"/>
          <w:sz w:val="28"/>
        </w:rPr>
        <w:t>15</w:t>
      </w:r>
      <w:r>
        <w:rPr>
          <w:rFonts w:ascii="Times New Roman"/>
          <w:sz w:val="28"/>
        </w:rPr>
        <w:fldChar w:fldCharType="end"/>
      </w:r>
      <w:r>
        <w:rPr>
          <w:rFonts w:ascii="Times New Roman"/>
          <w:sz w:val="28"/>
        </w:rPr>
        <w:fldChar w:fldCharType="end"/>
      </w:r>
    </w:p>
    <w:p>
      <w:pPr>
        <w:pStyle w:val="11"/>
        <w:tabs>
          <w:tab w:val="left" w:pos="840"/>
        </w:tabs>
        <w:rPr>
          <w:rFonts w:ascii="Times New Roman" w:hAnsiTheme="minorHAnsi" w:eastAsiaTheme="minorEastAsia" w:cstheme="minorBidi"/>
          <w:kern w:val="2"/>
          <w:sz w:val="28"/>
          <w:szCs w:val="22"/>
        </w:rPr>
      </w:pPr>
      <w:r>
        <w:fldChar w:fldCharType="begin"/>
      </w:r>
      <w:r>
        <w:instrText xml:space="preserve"> HYPERLINK \l "_Toc129182655" </w:instrText>
      </w:r>
      <w:r>
        <w:fldChar w:fldCharType="separate"/>
      </w:r>
      <w:r>
        <w:rPr>
          <w:rStyle w:val="23"/>
          <w:rFonts w:ascii="Times New Roman"/>
          <w:sz w:val="28"/>
        </w:rPr>
        <w:t>五、</w:t>
      </w:r>
      <w:r>
        <w:rPr>
          <w:rFonts w:ascii="Times New Roman" w:hAnsiTheme="minorHAnsi" w:eastAsiaTheme="minorEastAsia" w:cstheme="minorBidi"/>
          <w:kern w:val="2"/>
          <w:sz w:val="28"/>
          <w:szCs w:val="22"/>
        </w:rPr>
        <w:tab/>
      </w:r>
      <w:r>
        <w:rPr>
          <w:rStyle w:val="23"/>
          <w:rFonts w:ascii="Times New Roman"/>
          <w:sz w:val="28"/>
        </w:rPr>
        <w:t>其他需要说明的事项</w:t>
      </w:r>
      <w:r>
        <w:rPr>
          <w:rFonts w:ascii="Times New Roman"/>
          <w:sz w:val="28"/>
        </w:rPr>
        <w:tab/>
      </w:r>
      <w:r>
        <w:rPr>
          <w:rFonts w:ascii="Times New Roman"/>
          <w:sz w:val="28"/>
        </w:rPr>
        <w:fldChar w:fldCharType="begin"/>
      </w:r>
      <w:r>
        <w:rPr>
          <w:rFonts w:ascii="Times New Roman"/>
          <w:sz w:val="28"/>
        </w:rPr>
        <w:instrText xml:space="preserve"> PAGEREF _Toc129182655 \h </w:instrText>
      </w:r>
      <w:r>
        <w:rPr>
          <w:rFonts w:ascii="Times New Roman"/>
          <w:sz w:val="28"/>
        </w:rPr>
        <w:fldChar w:fldCharType="separate"/>
      </w:r>
      <w:r>
        <w:rPr>
          <w:rFonts w:ascii="Times New Roman"/>
          <w:sz w:val="28"/>
        </w:rPr>
        <w:t>15</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"_Toc129182656" </w:instrText>
      </w:r>
      <w:r>
        <w:fldChar w:fldCharType="separate"/>
      </w:r>
      <w:r>
        <w:rPr>
          <w:rStyle w:val="23"/>
          <w:rFonts w:ascii="Times New Roman"/>
          <w:sz w:val="28"/>
        </w:rPr>
        <w:t>1.</w:t>
      </w:r>
      <w:r>
        <w:rPr>
          <w:rFonts w:ascii="Times New Roman" w:hAnsiTheme="minorHAnsi" w:eastAsiaTheme="minorEastAsia" w:cstheme="minorBidi"/>
          <w:kern w:val="2"/>
          <w:sz w:val="28"/>
          <w:szCs w:val="22"/>
        </w:rPr>
        <w:tab/>
      </w:r>
      <w:r>
        <w:rPr>
          <w:rStyle w:val="23"/>
          <w:rFonts w:ascii="Times New Roman"/>
          <w:sz w:val="28"/>
        </w:rPr>
        <w:t>技术经济论证、预期经济效果和社会效益</w:t>
      </w:r>
      <w:r>
        <w:rPr>
          <w:rFonts w:ascii="Times New Roman"/>
          <w:sz w:val="28"/>
        </w:rPr>
        <w:tab/>
      </w:r>
      <w:r>
        <w:rPr>
          <w:rFonts w:ascii="Times New Roman"/>
          <w:sz w:val="28"/>
        </w:rPr>
        <w:fldChar w:fldCharType="begin"/>
      </w:r>
      <w:r>
        <w:rPr>
          <w:rFonts w:ascii="Times New Roman"/>
          <w:sz w:val="28"/>
        </w:rPr>
        <w:instrText xml:space="preserve"> PAGEREF _Toc129182656 \h </w:instrText>
      </w:r>
      <w:r>
        <w:rPr>
          <w:rFonts w:ascii="Times New Roman"/>
          <w:sz w:val="28"/>
        </w:rPr>
        <w:fldChar w:fldCharType="separate"/>
      </w:r>
      <w:r>
        <w:rPr>
          <w:rFonts w:ascii="Times New Roman"/>
          <w:sz w:val="28"/>
        </w:rPr>
        <w:t>15</w:t>
      </w:r>
      <w:r>
        <w:rPr>
          <w:rFonts w:ascii="Times New Roman"/>
          <w:sz w:val="28"/>
        </w:rPr>
        <w:fldChar w:fldCharType="end"/>
      </w:r>
      <w:r>
        <w:rPr>
          <w:rFonts w:ascii="Times New Roman"/>
          <w:sz w:val="28"/>
        </w:rPr>
        <w:fldChar w:fldCharType="end"/>
      </w:r>
    </w:p>
    <w:p>
      <w:pPr>
        <w:pStyle w:val="10"/>
        <w:tabs>
          <w:tab w:val="left" w:pos="630"/>
        </w:tabs>
        <w:rPr>
          <w:rFonts w:ascii="Times New Roman" w:hAnsiTheme="minorHAnsi" w:eastAsiaTheme="minorEastAsia" w:cstheme="minorBidi"/>
          <w:kern w:val="2"/>
          <w:sz w:val="28"/>
          <w:szCs w:val="22"/>
        </w:rPr>
      </w:pPr>
      <w:r>
        <w:fldChar w:fldCharType="begin"/>
      </w:r>
      <w:r>
        <w:instrText xml:space="preserve"> HYPERLINK \l "_Toc129182657" </w:instrText>
      </w:r>
      <w:r>
        <w:fldChar w:fldCharType="separate"/>
      </w:r>
      <w:r>
        <w:rPr>
          <w:rStyle w:val="23"/>
          <w:rFonts w:ascii="Times New Roman"/>
          <w:sz w:val="28"/>
        </w:rPr>
        <w:t>2.</w:t>
      </w:r>
      <w:r>
        <w:rPr>
          <w:rFonts w:ascii="Times New Roman" w:hAnsiTheme="minorHAnsi" w:eastAsiaTheme="minorEastAsia" w:cstheme="minorBidi"/>
          <w:kern w:val="2"/>
          <w:sz w:val="28"/>
          <w:szCs w:val="22"/>
        </w:rPr>
        <w:tab/>
      </w:r>
      <w:r>
        <w:rPr>
          <w:rStyle w:val="23"/>
          <w:rFonts w:ascii="Times New Roman"/>
          <w:sz w:val="28"/>
        </w:rPr>
        <w:t>贯彻行业标准的措施建议</w:t>
      </w:r>
      <w:r>
        <w:rPr>
          <w:rFonts w:ascii="Times New Roman"/>
          <w:sz w:val="28"/>
        </w:rPr>
        <w:tab/>
      </w:r>
      <w:r>
        <w:rPr>
          <w:rFonts w:ascii="Times New Roman"/>
          <w:sz w:val="28"/>
        </w:rPr>
        <w:fldChar w:fldCharType="begin"/>
      </w:r>
      <w:r>
        <w:rPr>
          <w:rFonts w:ascii="Times New Roman"/>
          <w:sz w:val="28"/>
        </w:rPr>
        <w:instrText xml:space="preserve"> PAGEREF _Toc129182657 \h </w:instrText>
      </w:r>
      <w:r>
        <w:rPr>
          <w:rFonts w:ascii="Times New Roman"/>
          <w:sz w:val="28"/>
        </w:rPr>
        <w:fldChar w:fldCharType="separate"/>
      </w:r>
      <w:r>
        <w:rPr>
          <w:rFonts w:ascii="Times New Roman"/>
          <w:sz w:val="28"/>
        </w:rPr>
        <w:t>15</w:t>
      </w:r>
      <w:r>
        <w:rPr>
          <w:rFonts w:ascii="Times New Roman"/>
          <w:sz w:val="28"/>
        </w:rPr>
        <w:fldChar w:fldCharType="end"/>
      </w:r>
      <w:r>
        <w:rPr>
          <w:rFonts w:ascii="Times New Roman"/>
          <w:sz w:val="28"/>
        </w:rPr>
        <w:fldChar w:fldCharType="end"/>
      </w:r>
    </w:p>
    <w:p>
      <w:pPr>
        <w:pStyle w:val="10"/>
        <w:tabs>
          <w:tab w:val="left" w:pos="630"/>
        </w:tabs>
        <w:rPr>
          <w:rFonts w:asciiTheme="minorHAnsi" w:hAnsiTheme="minorHAnsi" w:eastAsiaTheme="minorEastAsia" w:cstheme="minorBidi"/>
          <w:kern w:val="2"/>
          <w:szCs w:val="22"/>
        </w:rPr>
      </w:pPr>
      <w:r>
        <w:fldChar w:fldCharType="begin"/>
      </w:r>
      <w:r>
        <w:instrText xml:space="preserve"> HYPERLINK \l "_Toc129182658" </w:instrText>
      </w:r>
      <w:r>
        <w:fldChar w:fldCharType="separate"/>
      </w:r>
      <w:r>
        <w:rPr>
          <w:rStyle w:val="23"/>
          <w:rFonts w:ascii="Times New Roman"/>
          <w:sz w:val="28"/>
        </w:rPr>
        <w:t>3.</w:t>
      </w:r>
      <w:r>
        <w:rPr>
          <w:rFonts w:ascii="Times New Roman" w:hAnsiTheme="minorHAnsi" w:eastAsiaTheme="minorEastAsia" w:cstheme="minorBidi"/>
          <w:kern w:val="2"/>
          <w:sz w:val="28"/>
          <w:szCs w:val="22"/>
        </w:rPr>
        <w:tab/>
      </w:r>
      <w:r>
        <w:rPr>
          <w:rStyle w:val="23"/>
          <w:rFonts w:ascii="Times New Roman"/>
          <w:sz w:val="28"/>
        </w:rPr>
        <w:t>其他</w:t>
      </w:r>
      <w:r>
        <w:rPr>
          <w:rFonts w:ascii="Times New Roman"/>
          <w:sz w:val="28"/>
        </w:rPr>
        <w:tab/>
      </w:r>
      <w:r>
        <w:rPr>
          <w:rFonts w:ascii="Times New Roman"/>
          <w:sz w:val="28"/>
        </w:rPr>
        <w:fldChar w:fldCharType="begin"/>
      </w:r>
      <w:r>
        <w:rPr>
          <w:rFonts w:ascii="Times New Roman"/>
          <w:sz w:val="28"/>
        </w:rPr>
        <w:instrText xml:space="preserve"> PAGEREF _Toc129182658 \h </w:instrText>
      </w:r>
      <w:r>
        <w:rPr>
          <w:rFonts w:ascii="Times New Roman"/>
          <w:sz w:val="28"/>
        </w:rPr>
        <w:fldChar w:fldCharType="separate"/>
      </w:r>
      <w:r>
        <w:rPr>
          <w:rFonts w:ascii="Times New Roman"/>
          <w:sz w:val="28"/>
        </w:rPr>
        <w:t>16</w:t>
      </w:r>
      <w:r>
        <w:rPr>
          <w:rFonts w:ascii="Times New Roman"/>
          <w:sz w:val="28"/>
        </w:rPr>
        <w:fldChar w:fldCharType="end"/>
      </w:r>
      <w:r>
        <w:rPr>
          <w:rFonts w:ascii="Times New Roman"/>
          <w:sz w:val="28"/>
        </w:rPr>
        <w:fldChar w:fldCharType="end"/>
      </w:r>
    </w:p>
    <w:p>
      <w:pPr>
        <w:widowControl/>
        <w:tabs>
          <w:tab w:val="right" w:leader="dot" w:pos="8222"/>
        </w:tabs>
        <w:autoSpaceDE/>
        <w:autoSpaceDN/>
        <w:adjustRightInd/>
        <w:spacing w:line="360" w:lineRule="auto"/>
        <w:jc w:val="left"/>
        <w:textAlignment w:val="auto"/>
        <w:rPr>
          <w:rFonts w:ascii="Times New Roman" w:hAnsi="Times New Roman"/>
          <w:b/>
          <w:color w:val="000000" w:themeColor="text1"/>
          <w14:textFill>
            <w14:solidFill>
              <w14:schemeClr w14:val="tx1"/>
            </w14:solidFill>
          </w14:textFill>
        </w:rPr>
      </w:pPr>
      <w:r>
        <w:rPr>
          <w:rFonts w:ascii="Times New Roman" w:hAnsi="Times New Roman" w:eastAsia="黑体"/>
          <w:b/>
          <w:color w:val="000000" w:themeColor="text1"/>
          <w:sz w:val="48"/>
          <w14:textFill>
            <w14:solidFill>
              <w14:schemeClr w14:val="tx1"/>
            </w14:solidFill>
          </w14:textFill>
        </w:rPr>
        <w:fldChar w:fldCharType="end"/>
      </w:r>
    </w:p>
    <w:p>
      <w:pPr>
        <w:widowControl/>
        <w:autoSpaceDE/>
        <w:autoSpaceDN/>
        <w:adjustRightInd/>
        <w:spacing w:line="240" w:lineRule="auto"/>
        <w:jc w:val="left"/>
        <w:textAlignment w:val="auto"/>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br w:type="page"/>
      </w:r>
    </w:p>
    <w:p>
      <w:pPr>
        <w:jc w:val="center"/>
        <w:rPr>
          <w:rFonts w:ascii="Times New Roman" w:hAnsi="Times New Roman" w:eastAsia="黑体"/>
          <w:b/>
          <w:color w:val="000000" w:themeColor="text1"/>
          <w:sz w:val="36"/>
          <w:szCs w:val="36"/>
          <w14:textFill>
            <w14:solidFill>
              <w14:schemeClr w14:val="tx1"/>
            </w14:solidFill>
          </w14:textFill>
        </w:rPr>
      </w:pPr>
      <w:bookmarkStart w:id="0" w:name="_Toc531195516"/>
      <w:bookmarkStart w:id="1" w:name="_Toc529537710"/>
      <w:bookmarkStart w:id="2" w:name="_Toc405558598"/>
      <w:r>
        <w:rPr>
          <w:rFonts w:ascii="Times New Roman" w:hAnsi="Times New Roman" w:eastAsia="黑体"/>
          <w:color w:val="000000" w:themeColor="text1"/>
          <w:sz w:val="36"/>
          <w:szCs w:val="36"/>
          <w14:textFill>
            <w14:solidFill>
              <w14:schemeClr w14:val="tx1"/>
            </w14:solidFill>
          </w14:textFill>
        </w:rPr>
        <w:t>《</w:t>
      </w:r>
      <w:r>
        <w:rPr>
          <w:rFonts w:hint="eastAsia" w:ascii="Times New Roman" w:hAnsi="Times New Roman" w:eastAsia="黑体"/>
          <w:color w:val="000000" w:themeColor="text1"/>
          <w:sz w:val="36"/>
          <w:szCs w:val="36"/>
          <w14:textFill>
            <w14:solidFill>
              <w14:schemeClr w14:val="tx1"/>
            </w14:solidFill>
          </w14:textFill>
        </w:rPr>
        <w:t>农作物地面样方遥感调查技术规范</w:t>
      </w:r>
      <w:r>
        <w:rPr>
          <w:rFonts w:ascii="Times New Roman" w:hAnsi="Times New Roman" w:eastAsia="黑体"/>
          <w:color w:val="000000" w:themeColor="text1"/>
          <w:sz w:val="36"/>
          <w:szCs w:val="36"/>
          <w14:textFill>
            <w14:solidFill>
              <w14:schemeClr w14:val="tx1"/>
            </w14:solidFill>
          </w14:textFill>
        </w:rPr>
        <w:t>》</w:t>
      </w:r>
      <w:bookmarkEnd w:id="0"/>
      <w:bookmarkEnd w:id="1"/>
    </w:p>
    <w:p>
      <w:pPr>
        <w:jc w:val="center"/>
        <w:rPr>
          <w:rFonts w:ascii="Times New Roman" w:hAnsi="Times New Roman" w:eastAsia="黑体"/>
          <w:b/>
          <w:color w:val="000000" w:themeColor="text1"/>
          <w:sz w:val="44"/>
          <w:szCs w:val="44"/>
          <w14:textFill>
            <w14:solidFill>
              <w14:schemeClr w14:val="tx1"/>
            </w14:solidFill>
          </w14:textFill>
        </w:rPr>
      </w:pPr>
      <w:bookmarkStart w:id="3" w:name="_Toc531195517"/>
      <w:bookmarkStart w:id="4" w:name="_Toc529537711"/>
      <w:bookmarkStart w:id="5" w:name="_Toc405845503"/>
      <w:r>
        <w:rPr>
          <w:rFonts w:ascii="Times New Roman" w:hAnsi="Times New Roman" w:eastAsia="黑体"/>
          <w:color w:val="000000" w:themeColor="text1"/>
          <w:sz w:val="44"/>
          <w:szCs w:val="44"/>
          <w14:textFill>
            <w14:solidFill>
              <w14:schemeClr w14:val="tx1"/>
            </w14:solidFill>
          </w14:textFill>
        </w:rPr>
        <w:t>编制说明</w:t>
      </w:r>
      <w:bookmarkEnd w:id="3"/>
      <w:bookmarkEnd w:id="4"/>
      <w:bookmarkEnd w:id="5"/>
    </w:p>
    <w:p>
      <w:pPr>
        <w:rPr>
          <w:rFonts w:ascii="Times New Roman" w:hAnsi="Times New Roman"/>
          <w:color w:val="000000" w:themeColor="text1"/>
          <w14:textFill>
            <w14:solidFill>
              <w14:schemeClr w14:val="tx1"/>
            </w14:solidFill>
          </w14:textFill>
        </w:rPr>
      </w:pPr>
    </w:p>
    <w:p>
      <w:pPr>
        <w:pStyle w:val="2"/>
        <w:rPr>
          <w:rFonts w:ascii="Times New Roman" w:hAnsi="Times New Roman"/>
          <w:color w:val="000000" w:themeColor="text1"/>
          <w14:textFill>
            <w14:solidFill>
              <w14:schemeClr w14:val="tx1"/>
            </w14:solidFill>
          </w14:textFill>
        </w:rPr>
      </w:pPr>
      <w:bookmarkStart w:id="6" w:name="_Toc531195518"/>
      <w:bookmarkStart w:id="7" w:name="_Toc129182639"/>
      <w:r>
        <w:rPr>
          <w:rFonts w:ascii="Times New Roman" w:hAnsi="Times New Roman"/>
          <w:color w:val="000000" w:themeColor="text1"/>
          <w14:textFill>
            <w14:solidFill>
              <w14:schemeClr w14:val="tx1"/>
            </w14:solidFill>
          </w14:textFill>
        </w:rPr>
        <w:t>工作</w:t>
      </w:r>
      <w:bookmarkEnd w:id="2"/>
      <w:r>
        <w:rPr>
          <w:rFonts w:ascii="Times New Roman" w:hAnsi="Times New Roman"/>
          <w:color w:val="000000" w:themeColor="text1"/>
          <w14:textFill>
            <w14:solidFill>
              <w14:schemeClr w14:val="tx1"/>
            </w14:solidFill>
          </w14:textFill>
        </w:rPr>
        <w:t>概况</w:t>
      </w:r>
      <w:bookmarkEnd w:id="6"/>
      <w:bookmarkEnd w:id="7"/>
    </w:p>
    <w:p>
      <w:pPr>
        <w:pStyle w:val="3"/>
        <w:rPr>
          <w:rFonts w:ascii="Times New Roman" w:hAnsi="Times New Roman"/>
          <w:color w:val="000000" w:themeColor="text1"/>
          <w14:textFill>
            <w14:solidFill>
              <w14:schemeClr w14:val="tx1"/>
            </w14:solidFill>
          </w14:textFill>
        </w:rPr>
      </w:pPr>
      <w:bookmarkStart w:id="8" w:name="_Toc405558599"/>
      <w:bookmarkStart w:id="9" w:name="_Toc531195519"/>
      <w:bookmarkStart w:id="10" w:name="_Toc129182640"/>
      <w:r>
        <w:rPr>
          <w:rFonts w:ascii="Times New Roman" w:hAnsi="Times New Roman"/>
          <w:color w:val="000000" w:themeColor="text1"/>
          <w14:textFill>
            <w14:solidFill>
              <w14:schemeClr w14:val="tx1"/>
            </w14:solidFill>
          </w14:textFill>
        </w:rPr>
        <w:t>任务来源</w:t>
      </w:r>
      <w:bookmarkEnd w:id="8"/>
      <w:r>
        <w:rPr>
          <w:rFonts w:ascii="Times New Roman" w:hAnsi="Times New Roman"/>
          <w:color w:val="000000" w:themeColor="text1"/>
          <w14:textFill>
            <w14:solidFill>
              <w14:schemeClr w14:val="tx1"/>
            </w14:solidFill>
          </w14:textFill>
        </w:rPr>
        <w:t>、承担单位和协作单位</w:t>
      </w:r>
      <w:bookmarkEnd w:id="9"/>
      <w:bookmarkEnd w:id="10"/>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任务来源</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bookmarkStart w:id="11" w:name="_Toc484286947"/>
      <w:bookmarkStart w:id="12" w:name="_Toc484273817"/>
      <w:bookmarkStart w:id="13" w:name="_Toc484273651"/>
      <w:bookmarkStart w:id="14" w:name="_Toc484286254"/>
      <w:bookmarkStart w:id="15" w:name="_Toc484283146"/>
      <w:bookmarkStart w:id="16" w:name="_Toc484274589"/>
      <w:bookmarkStart w:id="17" w:name="_Toc484285985"/>
      <w:bookmarkStart w:id="18" w:name="_Toc484286719"/>
      <w:bookmarkStart w:id="19" w:name="_Toc484286580"/>
      <w:bookmarkStart w:id="20" w:name="_Toc484286858"/>
      <w:bookmarkStart w:id="21" w:name="_Toc484442647"/>
      <w:bookmarkStart w:id="22" w:name="_Toc484322613"/>
      <w:bookmarkStart w:id="23" w:name="_Toc484287504"/>
      <w:bookmarkStart w:id="24" w:name="_Toc484287276"/>
      <w:bookmarkStart w:id="25" w:name="_Toc484287191"/>
      <w:bookmarkStart w:id="26" w:name="_Toc484287399"/>
      <w:bookmarkStart w:id="27" w:name="_Toc484294114"/>
      <w:bookmarkStart w:id="28" w:name="_Toc484293868"/>
      <w:bookmarkStart w:id="29" w:name="_Toc484311046"/>
      <w:bookmarkStart w:id="30" w:name="_Toc484434216"/>
      <w:bookmarkStart w:id="31" w:name="_Toc484433870"/>
      <w:bookmarkStart w:id="32" w:name="_Toc484330749"/>
      <w:bookmarkStart w:id="33" w:name="_Toc484434072"/>
      <w:bookmarkStart w:id="34" w:name="_Toc484434705"/>
      <w:bookmarkStart w:id="35" w:name="_Toc484434360"/>
      <w:bookmarkStart w:id="36" w:name="_Toc484435622"/>
      <w:bookmarkStart w:id="37" w:name="_Toc490836417"/>
      <w:bookmarkStart w:id="38" w:name="_Toc484442747"/>
      <w:r>
        <w:rPr>
          <w:rFonts w:ascii="Times New Roman" w:hAnsi="Times New Roman"/>
          <w:color w:val="000000" w:themeColor="text1"/>
          <w:sz w:val="24"/>
          <w:szCs w:val="28"/>
          <w14:textFill>
            <w14:solidFill>
              <w14:schemeClr w14:val="tx1"/>
            </w14:solidFill>
          </w14:textFill>
        </w:rPr>
        <w:t>农业行业标准《</w:t>
      </w:r>
      <w:r>
        <w:rPr>
          <w:rFonts w:hint="eastAsia" w:ascii="Times New Roman" w:hAnsi="Times New Roman"/>
          <w:color w:val="000000" w:themeColor="text1"/>
          <w:sz w:val="24"/>
          <w:szCs w:val="28"/>
          <w14:textFill>
            <w14:solidFill>
              <w14:schemeClr w14:val="tx1"/>
            </w14:solidFill>
          </w14:textFill>
        </w:rPr>
        <w:t>农作物地面样方遥感调查技术规范</w:t>
      </w:r>
      <w:r>
        <w:rPr>
          <w:rFonts w:ascii="Times New Roman" w:hAnsi="Times New Roman"/>
          <w:color w:val="000000" w:themeColor="text1"/>
          <w:sz w:val="24"/>
          <w:szCs w:val="28"/>
          <w14:textFill>
            <w14:solidFill>
              <w14:schemeClr w14:val="tx1"/>
            </w14:solidFill>
          </w14:textFill>
        </w:rPr>
        <w:t>》</w:t>
      </w:r>
      <w:r>
        <w:rPr>
          <w:rFonts w:hint="eastAsia" w:ascii="Times New Roman" w:hAnsi="Times New Roman"/>
          <w:color w:val="000000" w:themeColor="text1"/>
          <w:sz w:val="24"/>
          <w:szCs w:val="28"/>
          <w14:textFill>
            <w14:solidFill>
              <w14:schemeClr w14:val="tx1"/>
            </w14:solidFill>
          </w14:textFill>
        </w:rPr>
        <w:t>是依据《关于下达2019年农业国家、行业标准制定和修订项目任务的通知》（农质标函[2019] 77号）的计划编制。本标准由农业农村部发展规划司提出并归口，中国农业科学院农业资源与农业区划研究所负责起草。</w:t>
      </w:r>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承担单位和协作单位</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标准承担单位（起草单位）：中国农业科学院农业资源与农业区划研究所。</w:t>
      </w:r>
    </w:p>
    <w:p>
      <w:pPr>
        <w:pStyle w:val="3"/>
        <w:rPr>
          <w:rFonts w:ascii="Times New Roman" w:hAnsi="Times New Roman"/>
          <w:color w:val="000000" w:themeColor="text1"/>
          <w14:textFill>
            <w14:solidFill>
              <w14:schemeClr w14:val="tx1"/>
            </w14:solidFill>
          </w14:textFill>
        </w:rPr>
      </w:pPr>
      <w:bookmarkStart w:id="39" w:name="_Toc531195520"/>
      <w:bookmarkStart w:id="40" w:name="_Toc129182641"/>
      <w:bookmarkStart w:id="41" w:name="_Toc405558601"/>
      <w:r>
        <w:rPr>
          <w:rFonts w:ascii="Times New Roman" w:hAnsi="Times New Roman"/>
          <w:color w:val="000000" w:themeColor="text1"/>
          <w14:textFill>
            <w14:solidFill>
              <w14:schemeClr w14:val="tx1"/>
            </w14:solidFill>
          </w14:textFill>
        </w:rPr>
        <w:t>主要工作过程</w:t>
      </w:r>
      <w:bookmarkEnd w:id="39"/>
      <w:bookmarkEnd w:id="40"/>
      <w:bookmarkEnd w:id="41"/>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立项启动阶段</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本标准获得农业</w:t>
      </w:r>
      <w:r>
        <w:rPr>
          <w:rFonts w:hint="eastAsia" w:ascii="Times New Roman" w:hAnsi="Times New Roman"/>
          <w:color w:val="000000" w:themeColor="text1"/>
          <w:sz w:val="24"/>
          <w:szCs w:val="28"/>
          <w14:textFill>
            <w14:solidFill>
              <w14:schemeClr w14:val="tx1"/>
            </w14:solidFill>
          </w14:textFill>
        </w:rPr>
        <w:t>农村</w:t>
      </w:r>
      <w:r>
        <w:rPr>
          <w:rFonts w:ascii="Times New Roman" w:hAnsi="Times New Roman"/>
          <w:color w:val="000000" w:themeColor="text1"/>
          <w:sz w:val="24"/>
          <w:szCs w:val="28"/>
          <w14:textFill>
            <w14:solidFill>
              <w14:schemeClr w14:val="tx1"/>
            </w14:solidFill>
          </w14:textFill>
        </w:rPr>
        <w:t>部立项批准后，承担单位积极开展启动准备工作。2019年</w:t>
      </w:r>
      <w:r>
        <w:rPr>
          <w:rFonts w:hint="eastAsia" w:ascii="Times New Roman" w:hAnsi="Times New Roman"/>
          <w:color w:val="000000" w:themeColor="text1"/>
          <w:sz w:val="24"/>
          <w:szCs w:val="28"/>
          <w14:textFill>
            <w14:solidFill>
              <w14:schemeClr w14:val="tx1"/>
            </w14:solidFill>
          </w14:textFill>
        </w:rPr>
        <w:t>6</w:t>
      </w:r>
      <w:r>
        <w:rPr>
          <w:rFonts w:ascii="Times New Roman" w:hAnsi="Times New Roman"/>
          <w:color w:val="000000" w:themeColor="text1"/>
          <w:sz w:val="24"/>
          <w:szCs w:val="28"/>
          <w14:textFill>
            <w14:solidFill>
              <w14:schemeClr w14:val="tx1"/>
            </w14:solidFill>
          </w14:textFill>
        </w:rPr>
        <w:t>月，标准项目启动，成立编制小组，明确了目标任务，确定了编写技术方案与分工，制定了工作进度计划，初步拟定了标准框架内容。</w:t>
      </w:r>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起草编制阶段</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2019年7月-8月，编制组收集分析了国内外相关标准规范以及科研文献，起草了标准草稿。</w:t>
      </w:r>
      <w:r>
        <w:rPr>
          <w:rFonts w:hint="eastAsia" w:ascii="Times New Roman" w:hAnsi="Times New Roman"/>
          <w:color w:val="000000" w:themeColor="text1"/>
          <w:sz w:val="24"/>
          <w:szCs w:val="28"/>
          <w14:textFill>
            <w14:solidFill>
              <w14:schemeClr w14:val="tx1"/>
            </w14:solidFill>
          </w14:textFill>
        </w:rPr>
        <w:t>2019年9月-2019年1</w:t>
      </w:r>
      <w:r>
        <w:rPr>
          <w:rFonts w:ascii="Times New Roman" w:hAnsi="Times New Roman"/>
          <w:color w:val="000000" w:themeColor="text1"/>
          <w:sz w:val="24"/>
          <w:szCs w:val="28"/>
          <w14:textFill>
            <w14:solidFill>
              <w14:schemeClr w14:val="tx1"/>
            </w14:solidFill>
          </w14:textFill>
        </w:rPr>
        <w:t>2</w:t>
      </w:r>
      <w:r>
        <w:rPr>
          <w:rFonts w:hint="eastAsia" w:ascii="Times New Roman" w:hAnsi="Times New Roman"/>
          <w:color w:val="000000" w:themeColor="text1"/>
          <w:sz w:val="24"/>
          <w:szCs w:val="28"/>
          <w14:textFill>
            <w14:solidFill>
              <w14:schemeClr w14:val="tx1"/>
            </w14:solidFill>
          </w14:textFill>
        </w:rPr>
        <w:t>月，根据农业农村部遥感应用中心开展的农作物地面样方遥感调查业务运行工作，经反复论证、分析和验证，多次修改，形成了标准初稿。20</w:t>
      </w:r>
      <w:r>
        <w:rPr>
          <w:rFonts w:ascii="Times New Roman" w:hAnsi="Times New Roman"/>
          <w:color w:val="000000" w:themeColor="text1"/>
          <w:sz w:val="24"/>
          <w:szCs w:val="28"/>
          <w14:textFill>
            <w14:solidFill>
              <w14:schemeClr w14:val="tx1"/>
            </w14:solidFill>
          </w14:textFill>
        </w:rPr>
        <w:t>20</w:t>
      </w:r>
      <w:r>
        <w:rPr>
          <w:rFonts w:hint="eastAsia" w:ascii="Times New Roman" w:hAnsi="Times New Roman"/>
          <w:color w:val="000000" w:themeColor="text1"/>
          <w:sz w:val="24"/>
          <w:szCs w:val="28"/>
          <w14:textFill>
            <w14:solidFill>
              <w14:schemeClr w14:val="tx1"/>
            </w14:solidFill>
          </w14:textFill>
        </w:rPr>
        <w:t>年1月-2020年</w:t>
      </w:r>
      <w:r>
        <w:rPr>
          <w:rFonts w:ascii="Times New Roman" w:hAnsi="Times New Roman"/>
          <w:color w:val="000000" w:themeColor="text1"/>
          <w:sz w:val="24"/>
          <w:szCs w:val="28"/>
          <w14:textFill>
            <w14:solidFill>
              <w14:schemeClr w14:val="tx1"/>
            </w14:solidFill>
          </w14:textFill>
        </w:rPr>
        <w:t>4</w:t>
      </w:r>
      <w:r>
        <w:rPr>
          <w:rFonts w:hint="eastAsia" w:ascii="Times New Roman" w:hAnsi="Times New Roman"/>
          <w:color w:val="000000" w:themeColor="text1"/>
          <w:sz w:val="24"/>
          <w:szCs w:val="28"/>
          <w14:textFill>
            <w14:solidFill>
              <w14:schemeClr w14:val="tx1"/>
            </w14:solidFill>
          </w14:textFill>
        </w:rPr>
        <w:t>月，编制组对有关问题进行了多次较为充分的沟通和讨论，对标准的内容架构及适用范围等做了细致的研究，修改并形成标准征求意见稿。</w:t>
      </w:r>
    </w:p>
    <w:p>
      <w:pPr>
        <w:pStyle w:val="4"/>
        <w:numPr>
          <w:ilvl w:val="2"/>
          <w:numId w:val="1"/>
        </w:numP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征求意见及处理阶段</w:t>
      </w:r>
    </w:p>
    <w:p>
      <w:pPr>
        <w:adjustRightInd/>
        <w:spacing w:line="360" w:lineRule="auto"/>
        <w:ind w:firstLine="480" w:firstLineChars="200"/>
        <w:rPr>
          <w:rFonts w:ascii="Times New Roman" w:hAnsi="Times New Roman"/>
          <w:sz w:val="24"/>
          <w:szCs w:val="28"/>
        </w:rPr>
      </w:pPr>
      <w:r>
        <w:rPr>
          <w:rFonts w:hint="eastAsia" w:ascii="Times New Roman" w:hAnsi="Times New Roman"/>
          <w:sz w:val="24"/>
          <w:szCs w:val="28"/>
        </w:rPr>
        <w:t>2020年</w:t>
      </w:r>
      <w:r>
        <w:rPr>
          <w:rFonts w:ascii="Times New Roman" w:hAnsi="Times New Roman"/>
          <w:sz w:val="24"/>
          <w:szCs w:val="28"/>
        </w:rPr>
        <w:t>9</w:t>
      </w:r>
      <w:r>
        <w:rPr>
          <w:rFonts w:hint="eastAsia" w:ascii="Times New Roman" w:hAnsi="Times New Roman"/>
          <w:sz w:val="24"/>
          <w:szCs w:val="28"/>
        </w:rPr>
        <w:t>月，标准编制组采用邮件的形式面向遥感卫星研制单位、高等院校、研究单位、国家及地方农业遥感应用单位的专家开展了意见征求。截至2020年</w:t>
      </w:r>
      <w:r>
        <w:rPr>
          <w:rFonts w:ascii="Times New Roman" w:hAnsi="Times New Roman"/>
          <w:sz w:val="24"/>
          <w:szCs w:val="28"/>
        </w:rPr>
        <w:t>11</w:t>
      </w:r>
      <w:r>
        <w:rPr>
          <w:rFonts w:hint="eastAsia" w:ascii="Times New Roman" w:hAnsi="Times New Roman"/>
          <w:sz w:val="24"/>
          <w:szCs w:val="28"/>
        </w:rPr>
        <w:t>月底，共收到2</w:t>
      </w:r>
      <w:r>
        <w:rPr>
          <w:rFonts w:ascii="Times New Roman" w:hAnsi="Times New Roman"/>
          <w:sz w:val="24"/>
          <w:szCs w:val="28"/>
        </w:rPr>
        <w:t>3</w:t>
      </w:r>
      <w:r>
        <w:rPr>
          <w:rFonts w:hint="eastAsia" w:ascii="Times New Roman" w:hAnsi="Times New Roman"/>
          <w:sz w:val="24"/>
          <w:szCs w:val="28"/>
        </w:rPr>
        <w:t>家单位2</w:t>
      </w:r>
      <w:r>
        <w:rPr>
          <w:rFonts w:ascii="Times New Roman" w:hAnsi="Times New Roman"/>
          <w:sz w:val="24"/>
          <w:szCs w:val="28"/>
        </w:rPr>
        <w:t>5</w:t>
      </w:r>
      <w:r>
        <w:rPr>
          <w:rFonts w:hint="eastAsia" w:ascii="Times New Roman" w:hAnsi="Times New Roman"/>
          <w:sz w:val="24"/>
          <w:szCs w:val="28"/>
        </w:rPr>
        <w:t>位专家的总计2</w:t>
      </w:r>
      <w:r>
        <w:rPr>
          <w:rFonts w:ascii="Times New Roman" w:hAnsi="Times New Roman"/>
          <w:sz w:val="24"/>
          <w:szCs w:val="28"/>
        </w:rPr>
        <w:t>16</w:t>
      </w:r>
      <w:r>
        <w:rPr>
          <w:rFonts w:hint="eastAsia" w:ascii="Times New Roman" w:hAnsi="Times New Roman"/>
          <w:sz w:val="24"/>
          <w:szCs w:val="28"/>
        </w:rPr>
        <w:t>条反馈意见。编制组逐条认真讨论了专家意见，其中采纳</w:t>
      </w:r>
      <w:r>
        <w:rPr>
          <w:rFonts w:ascii="Times New Roman" w:hAnsi="Times New Roman"/>
          <w:sz w:val="24"/>
          <w:szCs w:val="28"/>
        </w:rPr>
        <w:t>211</w:t>
      </w:r>
      <w:r>
        <w:rPr>
          <w:rFonts w:hint="eastAsia" w:ascii="Times New Roman" w:hAnsi="Times New Roman"/>
          <w:sz w:val="24"/>
          <w:szCs w:val="28"/>
        </w:rPr>
        <w:t>条，部分采纳</w:t>
      </w:r>
      <w:r>
        <w:rPr>
          <w:rFonts w:ascii="Times New Roman" w:hAnsi="Times New Roman"/>
          <w:sz w:val="24"/>
          <w:szCs w:val="28"/>
        </w:rPr>
        <w:t>0</w:t>
      </w:r>
      <w:r>
        <w:rPr>
          <w:rFonts w:hint="eastAsia" w:ascii="Times New Roman" w:hAnsi="Times New Roman"/>
          <w:sz w:val="24"/>
          <w:szCs w:val="28"/>
        </w:rPr>
        <w:t>条，未采纳</w:t>
      </w:r>
      <w:r>
        <w:rPr>
          <w:rFonts w:ascii="Times New Roman" w:hAnsi="Times New Roman"/>
          <w:sz w:val="24"/>
          <w:szCs w:val="28"/>
        </w:rPr>
        <w:t>5</w:t>
      </w:r>
      <w:r>
        <w:rPr>
          <w:rFonts w:hint="eastAsia" w:ascii="Times New Roman" w:hAnsi="Times New Roman"/>
          <w:sz w:val="24"/>
          <w:szCs w:val="28"/>
        </w:rPr>
        <w:t>条。</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p>
    <w:p>
      <w:pPr>
        <w:pStyle w:val="3"/>
        <w:rPr>
          <w:rFonts w:ascii="Times New Roman" w:hAnsi="Times New Roman"/>
          <w:color w:val="000000" w:themeColor="text1"/>
          <w14:textFill>
            <w14:solidFill>
              <w14:schemeClr w14:val="tx1"/>
            </w14:solidFill>
          </w14:textFill>
        </w:rPr>
      </w:pPr>
      <w:bookmarkStart w:id="42" w:name="_Toc129182642"/>
      <w:bookmarkStart w:id="43" w:name="_Toc531195521"/>
      <w:r>
        <w:rPr>
          <w:rFonts w:ascii="Times New Roman" w:hAnsi="Times New Roman"/>
          <w:color w:val="000000" w:themeColor="text1"/>
          <w14:textFill>
            <w14:solidFill>
              <w14:schemeClr w14:val="tx1"/>
            </w14:solidFill>
          </w14:textFill>
        </w:rPr>
        <w:t>主要起草人及其所做工作</w:t>
      </w:r>
      <w:bookmarkEnd w:id="42"/>
      <w:bookmarkEnd w:id="43"/>
    </w:p>
    <w:p>
      <w:pPr>
        <w:pStyle w:val="7"/>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表 </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w:instrText>
      </w:r>
      <w:r>
        <w:rPr>
          <w:rFonts w:hint="eastAsia" w:ascii="Times New Roman" w:hAnsi="Times New Roman"/>
          <w:color w:val="000000" w:themeColor="text1"/>
          <w14:textFill>
            <w14:solidFill>
              <w14:schemeClr w14:val="tx1"/>
            </w14:solidFill>
          </w14:textFill>
        </w:rPr>
        <w:instrText xml:space="preserve">SEQ 表 \* ARABIC</w:instrText>
      </w:r>
      <w:r>
        <w:rPr>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标准主要起草人及承担工作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2"/>
        <w:gridCol w:w="2896"/>
        <w:gridCol w:w="3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88" w:type="dxa"/>
            <w:vAlign w:val="center"/>
          </w:tcPr>
          <w:p>
            <w:pPr>
              <w:adjustRightInd/>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序号</w:t>
            </w:r>
          </w:p>
        </w:tc>
        <w:tc>
          <w:tcPr>
            <w:tcW w:w="992" w:type="dxa"/>
            <w:vAlign w:val="center"/>
          </w:tcPr>
          <w:p>
            <w:pPr>
              <w:adjustRightInd/>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姓名</w:t>
            </w:r>
          </w:p>
        </w:tc>
        <w:tc>
          <w:tcPr>
            <w:tcW w:w="2896" w:type="dxa"/>
            <w:vAlign w:val="center"/>
          </w:tcPr>
          <w:p>
            <w:pPr>
              <w:adjustRightInd/>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工作单位</w:t>
            </w:r>
          </w:p>
        </w:tc>
        <w:tc>
          <w:tcPr>
            <w:tcW w:w="0" w:type="auto"/>
            <w:vAlign w:val="center"/>
          </w:tcPr>
          <w:p>
            <w:pPr>
              <w:adjustRightInd/>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所做主要工作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1</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刘佳</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标准起草/农作物地面样方遥感调查技术研究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2</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季富华</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标准编写/技术流程可行性与精确度实验研究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3</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姚保民</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标准编写/样方布设方案研究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王利民</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标准编写/样方布设方案研究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5</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高建孟</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标准编写/样方内农作物识别与调绘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6</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李丹丹</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标准编写/样方内农作物识别与调绘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李映祥</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标准编写/样方内农作物识别与调绘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88"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8</w:t>
            </w:r>
          </w:p>
        </w:tc>
        <w:tc>
          <w:tcPr>
            <w:tcW w:w="992" w:type="dxa"/>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滕飞</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标准编写/样方内农作物识别与调绘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88" w:type="dxa"/>
            <w:vAlign w:val="center"/>
          </w:tcPr>
          <w:p>
            <w:pPr>
              <w:adjustRightInd/>
              <w:spacing w:line="240" w:lineRule="auto"/>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992" w:type="dxa"/>
            <w:vAlign w:val="center"/>
          </w:tcPr>
          <w:p>
            <w:pPr>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杨福刚</w:t>
            </w:r>
          </w:p>
        </w:tc>
        <w:tc>
          <w:tcPr>
            <w:tcW w:w="2896" w:type="dxa"/>
            <w:vAlign w:val="center"/>
          </w:tcPr>
          <w:p>
            <w:pPr>
              <w:adjustRightInd/>
              <w:spacing w:line="240" w:lineRule="auto"/>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中国农业科学院农业资源与农业区划研究所</w:t>
            </w:r>
          </w:p>
        </w:tc>
        <w:tc>
          <w:tcPr>
            <w:tcW w:w="0" w:type="auto"/>
            <w:vAlign w:val="center"/>
          </w:tcPr>
          <w:p>
            <w:pPr>
              <w:jc w:val="center"/>
              <w:rPr>
                <w:rFonts w:hint="eastAsia"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标准编写/样方内农作物识别与调绘</w:t>
            </w:r>
          </w:p>
        </w:tc>
      </w:tr>
    </w:tbl>
    <w:p>
      <w:pPr>
        <w:rPr>
          <w:rFonts w:ascii="Times New Roman" w:hAnsi="Times New Roman"/>
          <w:color w:val="000000" w:themeColor="text1"/>
          <w14:textFill>
            <w14:solidFill>
              <w14:schemeClr w14:val="tx1"/>
            </w14:solidFill>
          </w14:textFill>
        </w:rPr>
      </w:pPr>
    </w:p>
    <w:p>
      <w:pPr>
        <w:pStyle w:val="2"/>
        <w:rPr>
          <w:rFonts w:ascii="Times New Roman" w:hAnsi="Times New Roman"/>
          <w:color w:val="000000" w:themeColor="text1"/>
          <w14:textFill>
            <w14:solidFill>
              <w14:schemeClr w14:val="tx1"/>
            </w14:solidFill>
          </w14:textFill>
        </w:rPr>
      </w:pPr>
      <w:bookmarkStart w:id="44" w:name="_Toc405845508"/>
      <w:bookmarkStart w:id="45" w:name="_Toc405558602"/>
      <w:bookmarkStart w:id="46" w:name="_Toc129182643"/>
      <w:bookmarkStart w:id="47" w:name="_Toc531195522"/>
      <w:r>
        <w:rPr>
          <w:rFonts w:ascii="Times New Roman" w:hAnsi="Times New Roman"/>
          <w:color w:val="000000" w:themeColor="text1"/>
          <w14:textFill>
            <w14:solidFill>
              <w14:schemeClr w14:val="tx1"/>
            </w14:solidFill>
          </w14:textFill>
        </w:rPr>
        <w:t>编制原则和</w:t>
      </w:r>
      <w:bookmarkEnd w:id="44"/>
      <w:bookmarkEnd w:id="45"/>
      <w:r>
        <w:rPr>
          <w:rFonts w:ascii="Times New Roman" w:hAnsi="Times New Roman"/>
          <w:color w:val="000000" w:themeColor="text1"/>
          <w14:textFill>
            <w14:solidFill>
              <w14:schemeClr w14:val="tx1"/>
            </w14:solidFill>
          </w14:textFill>
        </w:rPr>
        <w:t>依据</w:t>
      </w:r>
      <w:bookmarkEnd w:id="46"/>
      <w:bookmarkEnd w:id="47"/>
    </w:p>
    <w:p>
      <w:pPr>
        <w:pStyle w:val="3"/>
        <w:rPr>
          <w:rFonts w:ascii="Times New Roman" w:hAnsi="Times New Roman"/>
          <w:color w:val="000000" w:themeColor="text1"/>
          <w14:textFill>
            <w14:solidFill>
              <w14:schemeClr w14:val="tx1"/>
            </w14:solidFill>
          </w14:textFill>
        </w:rPr>
      </w:pPr>
      <w:bookmarkStart w:id="48" w:name="_Toc129182644"/>
      <w:bookmarkStart w:id="49" w:name="_Toc405558603"/>
      <w:bookmarkStart w:id="50" w:name="_Toc405845509"/>
      <w:bookmarkStart w:id="51" w:name="_Toc531195523"/>
      <w:r>
        <w:rPr>
          <w:rFonts w:ascii="Times New Roman" w:hAnsi="Times New Roman"/>
          <w:color w:val="000000" w:themeColor="text1"/>
          <w14:textFill>
            <w14:solidFill>
              <w14:schemeClr w14:val="tx1"/>
            </w14:solidFill>
          </w14:textFill>
        </w:rPr>
        <w:t>标准编制原则</w:t>
      </w:r>
      <w:bookmarkEnd w:id="48"/>
      <w:bookmarkEnd w:id="49"/>
      <w:bookmarkEnd w:id="50"/>
      <w:bookmarkEnd w:id="51"/>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基于</w:t>
      </w:r>
      <w:r>
        <w:rPr>
          <w:rFonts w:hint="eastAsia" w:ascii="Times New Roman" w:hAnsi="Times New Roman"/>
          <w:color w:val="000000" w:themeColor="text1"/>
          <w:sz w:val="24"/>
          <w:szCs w:val="28"/>
          <w14:textFill>
            <w14:solidFill>
              <w14:schemeClr w14:val="tx1"/>
            </w14:solidFill>
          </w14:textFill>
        </w:rPr>
        <w:t>国内外作物地面样方遥感调查</w:t>
      </w:r>
      <w:r>
        <w:rPr>
          <w:rFonts w:ascii="Times New Roman" w:hAnsi="Times New Roman"/>
          <w:color w:val="000000" w:themeColor="text1"/>
          <w:sz w:val="24"/>
          <w:szCs w:val="28"/>
          <w14:textFill>
            <w14:solidFill>
              <w14:schemeClr w14:val="tx1"/>
            </w14:solidFill>
          </w14:textFill>
        </w:rPr>
        <w:t>的相关技术研究成果，</w:t>
      </w:r>
      <w:r>
        <w:rPr>
          <w:rFonts w:hint="eastAsia" w:ascii="Times New Roman" w:hAnsi="Times New Roman"/>
          <w:color w:val="000000" w:themeColor="text1"/>
          <w:sz w:val="24"/>
          <w:szCs w:val="28"/>
          <w14:textFill>
            <w14:solidFill>
              <w14:schemeClr w14:val="tx1"/>
            </w14:solidFill>
          </w14:textFill>
        </w:rPr>
        <w:t>遵照GB/T 1.1-2020给出的规则，参考GB/T 13989-2012《国家基本比例尺地形图分幅和编号》、GB/T 14950-2009 《摄影测量与遥感术语》、GB/T 16820-2009 《地图学术语》、GB/T 20257-2017《国家基本比例尺地图图式》、GB/T 30115-2013 《卫星遥感影像植被指数产品规范》、GB/T 32453-2015 《卫星对地观测数据产品分类分级规则》、NY/T 3922-2021《中高分辨率卫星主要农作物长势遥感监测技术规范》等标准的相关内容，遵从科学性、针对性、适用性、可行性的原则，</w:t>
      </w:r>
      <w:r>
        <w:rPr>
          <w:rFonts w:ascii="Times New Roman" w:hAnsi="Times New Roman"/>
          <w:color w:val="000000" w:themeColor="text1"/>
          <w:sz w:val="24"/>
          <w:szCs w:val="28"/>
          <w14:textFill>
            <w14:solidFill>
              <w14:schemeClr w14:val="tx1"/>
            </w14:solidFill>
          </w14:textFill>
        </w:rPr>
        <w:t>形成了《</w:t>
      </w:r>
      <w:r>
        <w:rPr>
          <w:rFonts w:hint="eastAsia" w:ascii="Times New Roman" w:hAnsi="Times New Roman"/>
          <w:color w:val="000000" w:themeColor="text1"/>
          <w:sz w:val="24"/>
          <w:szCs w:val="28"/>
          <w14:textFill>
            <w14:solidFill>
              <w14:schemeClr w14:val="tx1"/>
            </w14:solidFill>
          </w14:textFill>
        </w:rPr>
        <w:t>农作物地面样方</w:t>
      </w:r>
      <w:r>
        <w:rPr>
          <w:rFonts w:ascii="Times New Roman" w:hAnsi="Times New Roman"/>
          <w:color w:val="000000" w:themeColor="text1"/>
          <w:sz w:val="24"/>
          <w:szCs w:val="28"/>
          <w14:textFill>
            <w14:solidFill>
              <w14:schemeClr w14:val="tx1"/>
            </w14:solidFill>
          </w14:textFill>
        </w:rPr>
        <w:t>遥感调查技术规范》农业行业标准</w:t>
      </w:r>
      <w:r>
        <w:rPr>
          <w:rFonts w:hint="eastAsia" w:ascii="Times New Roman" w:hAnsi="Times New Roman"/>
          <w:color w:val="000000" w:themeColor="text1"/>
          <w:sz w:val="24"/>
          <w:szCs w:val="28"/>
          <w14:textFill>
            <w14:solidFill>
              <w14:schemeClr w14:val="tx1"/>
            </w14:solidFill>
          </w14:textFill>
        </w:rPr>
        <w:t>。</w:t>
      </w:r>
    </w:p>
    <w:p>
      <w:pPr>
        <w:pStyle w:val="3"/>
        <w:rPr>
          <w:rFonts w:ascii="Times New Roman" w:hAnsi="Times New Roman"/>
          <w:color w:val="000000" w:themeColor="text1"/>
          <w14:textFill>
            <w14:solidFill>
              <w14:schemeClr w14:val="tx1"/>
            </w14:solidFill>
          </w14:textFill>
        </w:rPr>
      </w:pPr>
      <w:bookmarkStart w:id="52" w:name="_Toc129182645"/>
      <w:bookmarkStart w:id="53" w:name="_Toc531195524"/>
      <w:r>
        <w:rPr>
          <w:rFonts w:ascii="Times New Roman" w:hAnsi="Times New Roman"/>
          <w:color w:val="000000" w:themeColor="text1"/>
          <w14:textFill>
            <w14:solidFill>
              <w14:schemeClr w14:val="tx1"/>
            </w14:solidFill>
          </w14:textFill>
        </w:rPr>
        <w:t>标准编制依据</w:t>
      </w:r>
      <w:bookmarkEnd w:id="52"/>
      <w:bookmarkEnd w:id="53"/>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项目成果和已有标准</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农业农村部“国家农情遥感监测业务运行系统”是从1998年开始运行的业务系统，本标准</w:t>
      </w:r>
      <w:r>
        <w:rPr>
          <w:rFonts w:ascii="Times New Roman" w:hAnsi="Times New Roman"/>
          <w:color w:val="000000" w:themeColor="text1"/>
          <w:sz w:val="24"/>
          <w:szCs w:val="28"/>
          <w14:textFill>
            <w14:solidFill>
              <w14:schemeClr w14:val="tx1"/>
            </w14:solidFill>
          </w14:textFill>
        </w:rPr>
        <w:t>制定</w:t>
      </w:r>
      <w:r>
        <w:rPr>
          <w:rFonts w:hint="eastAsia" w:ascii="Times New Roman" w:hAnsi="Times New Roman"/>
          <w:color w:val="000000" w:themeColor="text1"/>
          <w:sz w:val="24"/>
          <w:szCs w:val="28"/>
          <w14:textFill>
            <w14:solidFill>
              <w14:schemeClr w14:val="tx1"/>
            </w14:solidFill>
          </w14:textFill>
        </w:rPr>
        <w:t>是在其中的农作物地面样方遥感调查业务运行成果基础上，结合“十二五”国家科技重大专项“高分辨率对地观测系统（民用部分）”中</w:t>
      </w:r>
      <w:r>
        <w:rPr>
          <w:rFonts w:ascii="Times New Roman" w:hAnsi="Times New Roman"/>
          <w:color w:val="000000" w:themeColor="text1"/>
          <w:sz w:val="24"/>
          <w:szCs w:val="28"/>
          <w14:textFill>
            <w14:solidFill>
              <w14:schemeClr w14:val="tx1"/>
            </w14:solidFill>
          </w14:textFill>
        </w:rPr>
        <w:t>的</w:t>
      </w:r>
      <w:r>
        <w:rPr>
          <w:rFonts w:hint="eastAsia" w:ascii="Times New Roman" w:hAnsi="Times New Roman"/>
          <w:color w:val="000000" w:themeColor="text1"/>
          <w:sz w:val="24"/>
          <w:szCs w:val="28"/>
          <w14:textFill>
            <w14:solidFill>
              <w14:schemeClr w14:val="tx1"/>
            </w14:solidFill>
          </w14:textFill>
        </w:rPr>
        <w:t>应用系统项目“高分农业遥感监测与评估示范系统先期攻关”、“高分农业遥感监测与评估示范系统（一期）”、国家重点研发计划课题“作物生长与生产力卫星遥感监测预测”</w:t>
      </w:r>
      <w:r>
        <w:rPr>
          <w:rFonts w:ascii="Times New Roman" w:hAnsi="Times New Roman"/>
          <w:color w:val="000000" w:themeColor="text1"/>
          <w:sz w:val="24"/>
          <w:szCs w:val="28"/>
          <w14:textFill>
            <w14:solidFill>
              <w14:schemeClr w14:val="tx1"/>
            </w14:solidFill>
          </w14:textFill>
        </w:rPr>
        <w:t>的科研成果，以及</w:t>
      </w:r>
      <w:r>
        <w:rPr>
          <w:rFonts w:hint="eastAsia" w:ascii="Times New Roman" w:hAnsi="Times New Roman"/>
          <w:color w:val="000000" w:themeColor="text1"/>
          <w:sz w:val="24"/>
          <w:szCs w:val="28"/>
          <w14:textFill>
            <w14:solidFill>
              <w14:schemeClr w14:val="tx1"/>
            </w14:solidFill>
          </w14:textFill>
        </w:rPr>
        <w:t>农作物地面样方遥感调查</w:t>
      </w:r>
      <w:r>
        <w:rPr>
          <w:rFonts w:ascii="Times New Roman" w:hAnsi="Times New Roman"/>
          <w:color w:val="000000" w:themeColor="text1"/>
          <w:sz w:val="24"/>
          <w:szCs w:val="28"/>
          <w14:textFill>
            <w14:solidFill>
              <w14:schemeClr w14:val="tx1"/>
            </w14:solidFill>
          </w14:textFill>
        </w:rPr>
        <w:t>相关</w:t>
      </w:r>
      <w:r>
        <w:rPr>
          <w:rFonts w:hint="eastAsia" w:ascii="Times New Roman" w:hAnsi="Times New Roman"/>
          <w:color w:val="000000" w:themeColor="text1"/>
          <w:sz w:val="24"/>
          <w:szCs w:val="28"/>
          <w14:textFill>
            <w14:solidFill>
              <w14:schemeClr w14:val="tx1"/>
            </w14:solidFill>
          </w14:textFill>
        </w:rPr>
        <w:t>的</w:t>
      </w:r>
      <w:r>
        <w:rPr>
          <w:rFonts w:ascii="Times New Roman" w:hAnsi="Times New Roman"/>
          <w:color w:val="000000" w:themeColor="text1"/>
          <w:sz w:val="24"/>
          <w:szCs w:val="28"/>
          <w14:textFill>
            <w14:solidFill>
              <w14:schemeClr w14:val="tx1"/>
            </w14:solidFill>
          </w14:textFill>
        </w:rPr>
        <w:t>科研成果、文献资料</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相关国家</w:t>
      </w:r>
      <w:r>
        <w:rPr>
          <w:rFonts w:hint="eastAsia" w:ascii="Times New Roman" w:hAnsi="Times New Roman"/>
          <w:color w:val="000000" w:themeColor="text1"/>
          <w:sz w:val="24"/>
          <w:szCs w:val="28"/>
          <w14:textFill>
            <w14:solidFill>
              <w14:schemeClr w14:val="tx1"/>
            </w14:solidFill>
          </w14:textFill>
        </w:rPr>
        <w:t>和</w:t>
      </w:r>
      <w:r>
        <w:rPr>
          <w:rFonts w:ascii="Times New Roman" w:hAnsi="Times New Roman"/>
          <w:color w:val="000000" w:themeColor="text1"/>
          <w:sz w:val="24"/>
          <w:szCs w:val="28"/>
          <w14:textFill>
            <w14:solidFill>
              <w14:schemeClr w14:val="tx1"/>
            </w14:solidFill>
          </w14:textFill>
        </w:rPr>
        <w:t>行业标准</w:t>
      </w:r>
      <w:r>
        <w:rPr>
          <w:rFonts w:hint="eastAsia" w:ascii="Times New Roman" w:hAnsi="Times New Roman"/>
          <w:color w:val="000000" w:themeColor="text1"/>
          <w:sz w:val="24"/>
          <w:szCs w:val="28"/>
          <w14:textFill>
            <w14:solidFill>
              <w14:schemeClr w14:val="tx1"/>
            </w14:solidFill>
          </w14:textFill>
        </w:rPr>
        <w:t>等编制的</w:t>
      </w:r>
      <w:r>
        <w:rPr>
          <w:rFonts w:ascii="Times New Roman" w:hAnsi="Times New Roman"/>
          <w:color w:val="000000" w:themeColor="text1"/>
          <w:sz w:val="24"/>
          <w:szCs w:val="28"/>
          <w14:textFill>
            <w14:solidFill>
              <w14:schemeClr w14:val="tx1"/>
            </w14:solidFill>
          </w14:textFill>
        </w:rPr>
        <w:t>。</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已有</w:t>
      </w:r>
      <w:r>
        <w:rPr>
          <w:rFonts w:ascii="Times New Roman" w:hAnsi="Times New Roman"/>
          <w:color w:val="000000" w:themeColor="text1"/>
          <w:sz w:val="24"/>
          <w:szCs w:val="28"/>
          <w14:textFill>
            <w14:solidFill>
              <w14:schemeClr w14:val="tx1"/>
            </w14:solidFill>
          </w14:textFill>
        </w:rPr>
        <w:t>的标准中，</w:t>
      </w:r>
      <w:r>
        <w:rPr>
          <w:rFonts w:hint="eastAsia" w:ascii="Times New Roman" w:hAnsi="Times New Roman"/>
          <w:color w:val="000000" w:themeColor="text1"/>
          <w:sz w:val="24"/>
          <w:szCs w:val="28"/>
          <w14:textFill>
            <w14:solidFill>
              <w14:schemeClr w14:val="tx1"/>
            </w14:solidFill>
          </w14:textFill>
        </w:rPr>
        <w:t>尚无</w:t>
      </w:r>
      <w:r>
        <w:rPr>
          <w:rFonts w:ascii="Times New Roman" w:hAnsi="Times New Roman"/>
          <w:color w:val="000000" w:themeColor="text1"/>
          <w:sz w:val="24"/>
          <w:szCs w:val="28"/>
          <w14:textFill>
            <w14:solidFill>
              <w14:schemeClr w14:val="tx1"/>
            </w14:solidFill>
          </w14:textFill>
        </w:rPr>
        <w:t>针对农作物</w:t>
      </w:r>
      <w:r>
        <w:rPr>
          <w:rFonts w:hint="eastAsia" w:ascii="Times New Roman" w:hAnsi="Times New Roman"/>
          <w:color w:val="000000" w:themeColor="text1"/>
          <w:sz w:val="24"/>
          <w:szCs w:val="28"/>
          <w14:textFill>
            <w14:solidFill>
              <w14:schemeClr w14:val="tx1"/>
            </w14:solidFill>
          </w14:textFill>
        </w:rPr>
        <w:t>地面样方遥感调查方面的标准，</w:t>
      </w:r>
      <w:r>
        <w:rPr>
          <w:rFonts w:ascii="Times New Roman" w:hAnsi="Times New Roman"/>
          <w:color w:val="000000" w:themeColor="text1"/>
          <w:sz w:val="24"/>
          <w:szCs w:val="28"/>
          <w14:textFill>
            <w14:solidFill>
              <w14:schemeClr w14:val="tx1"/>
            </w14:solidFill>
          </w14:textFill>
        </w:rPr>
        <w:t>在林业和草原资源方面分别各有一个现行标准，如</w:t>
      </w:r>
      <w:r>
        <w:rPr>
          <w:rFonts w:hint="eastAsia" w:ascii="Times New Roman" w:hAnsi="Times New Roman"/>
          <w:color w:val="000000" w:themeColor="text1"/>
          <w:sz w:val="24"/>
          <w:szCs w:val="28"/>
          <w14:textFill>
            <w14:solidFill>
              <w14:schemeClr w14:val="tx1"/>
            </w14:solidFill>
          </w14:textFill>
        </w:rPr>
        <w:t>表</w:t>
      </w:r>
      <w:r>
        <w:rPr>
          <w:rFonts w:ascii="Times New Roman" w:hAnsi="Times New Roman"/>
          <w:color w:val="000000" w:themeColor="text1"/>
          <w:sz w:val="24"/>
          <w:szCs w:val="28"/>
          <w14:textFill>
            <w14:solidFill>
              <w14:schemeClr w14:val="tx1"/>
            </w14:solidFill>
          </w14:textFill>
        </w:rPr>
        <w:t>2</w:t>
      </w:r>
      <w:r>
        <w:rPr>
          <w:rFonts w:hint="eastAsia" w:ascii="Times New Roman" w:hAnsi="Times New Roman"/>
          <w:color w:val="000000" w:themeColor="text1"/>
          <w:sz w:val="24"/>
          <w:szCs w:val="28"/>
          <w14:textFill>
            <w14:solidFill>
              <w14:schemeClr w14:val="tx1"/>
            </w14:solidFill>
          </w14:textFill>
        </w:rPr>
        <w:t>所示</w:t>
      </w:r>
      <w:r>
        <w:rPr>
          <w:rFonts w:ascii="Times New Roman" w:hAnsi="Times New Roman"/>
          <w:color w:val="000000" w:themeColor="text1"/>
          <w:sz w:val="24"/>
          <w:szCs w:val="28"/>
          <w14:textFill>
            <w14:solidFill>
              <w14:schemeClr w14:val="tx1"/>
            </w14:solidFill>
          </w14:textFill>
        </w:rPr>
        <w:t>。</w:t>
      </w:r>
      <w:r>
        <w:rPr>
          <w:rFonts w:hint="eastAsia" w:ascii="Times New Roman" w:hAnsi="Times New Roman"/>
          <w:color w:val="000000" w:themeColor="text1"/>
          <w:sz w:val="24"/>
          <w:szCs w:val="28"/>
          <w14:textFill>
            <w14:solidFill>
              <w14:schemeClr w14:val="tx1"/>
            </w14:solidFill>
          </w14:textFill>
        </w:rPr>
        <w:t>已有</w:t>
      </w:r>
      <w:r>
        <w:rPr>
          <w:rFonts w:ascii="Times New Roman" w:hAnsi="Times New Roman"/>
          <w:color w:val="000000" w:themeColor="text1"/>
          <w:sz w:val="24"/>
          <w:szCs w:val="28"/>
          <w14:textFill>
            <w14:solidFill>
              <w14:schemeClr w14:val="tx1"/>
            </w14:solidFill>
          </w14:textFill>
        </w:rPr>
        <w:t>的标准</w:t>
      </w:r>
      <w:r>
        <w:rPr>
          <w:rFonts w:hint="eastAsia" w:ascii="Times New Roman" w:hAnsi="Times New Roman"/>
          <w:color w:val="000000" w:themeColor="text1"/>
          <w:sz w:val="24"/>
          <w:szCs w:val="28"/>
          <w14:textFill>
            <w14:solidFill>
              <w14:schemeClr w14:val="tx1"/>
            </w14:solidFill>
          </w14:textFill>
        </w:rPr>
        <w:t>不足以对农作物地面</w:t>
      </w:r>
      <w:r>
        <w:rPr>
          <w:rFonts w:ascii="Times New Roman" w:hAnsi="Times New Roman"/>
          <w:color w:val="000000" w:themeColor="text1"/>
          <w:sz w:val="24"/>
          <w:szCs w:val="28"/>
          <w14:textFill>
            <w14:solidFill>
              <w14:schemeClr w14:val="tx1"/>
            </w14:solidFill>
          </w14:textFill>
        </w:rPr>
        <w:t>样方</w:t>
      </w:r>
      <w:r>
        <w:rPr>
          <w:rFonts w:hint="eastAsia" w:ascii="Times New Roman" w:hAnsi="Times New Roman"/>
          <w:color w:val="000000" w:themeColor="text1"/>
          <w:sz w:val="24"/>
          <w:szCs w:val="28"/>
          <w14:textFill>
            <w14:solidFill>
              <w14:schemeClr w14:val="tx1"/>
            </w14:solidFill>
          </w14:textFill>
        </w:rPr>
        <w:t>的</w:t>
      </w:r>
      <w:r>
        <w:rPr>
          <w:rFonts w:ascii="Times New Roman" w:hAnsi="Times New Roman"/>
          <w:color w:val="000000" w:themeColor="text1"/>
          <w:sz w:val="24"/>
          <w:szCs w:val="28"/>
          <w14:textFill>
            <w14:solidFill>
              <w14:schemeClr w14:val="tx1"/>
            </w14:solidFill>
          </w14:textFill>
        </w:rPr>
        <w:t>遥感</w:t>
      </w:r>
      <w:r>
        <w:rPr>
          <w:rFonts w:hint="eastAsia" w:ascii="Times New Roman" w:hAnsi="Times New Roman"/>
          <w:color w:val="000000" w:themeColor="text1"/>
          <w:sz w:val="24"/>
          <w:szCs w:val="28"/>
          <w14:textFill>
            <w14:solidFill>
              <w14:schemeClr w14:val="tx1"/>
            </w14:solidFill>
          </w14:textFill>
        </w:rPr>
        <w:t>调查业务形成规范性的参考。</w:t>
      </w:r>
    </w:p>
    <w:p>
      <w:pPr>
        <w:pStyle w:val="7"/>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表 </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w:instrText>
      </w:r>
      <w:r>
        <w:rPr>
          <w:rFonts w:hint="eastAsia" w:ascii="Times New Roman" w:hAnsi="Times New Roman"/>
          <w:color w:val="000000" w:themeColor="text1"/>
          <w14:textFill>
            <w14:solidFill>
              <w14:schemeClr w14:val="tx1"/>
            </w14:solidFill>
          </w14:textFill>
        </w:rPr>
        <w:instrText xml:space="preserve">SEQ 表 \* ARABIC</w:instrText>
      </w:r>
      <w:r>
        <w:rPr>
          <w:rFonts w:ascii="Times New Roman" w:hAnsi="Times New Roman"/>
          <w:color w:val="000000" w:themeColor="text1"/>
          <w14:textFill>
            <w14:solidFill>
              <w14:schemeClr w14:val="tx1"/>
            </w14:solidFill>
          </w14:textFill>
        </w:rPr>
        <w:instrText xml:space="preserve">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现行的样方调查</w:t>
      </w:r>
      <w:r>
        <w:rPr>
          <w:rFonts w:hint="eastAsia" w:ascii="Times New Roman" w:hAnsi="Times New Roman"/>
          <w:color w:val="000000" w:themeColor="text1"/>
          <w:lang w:eastAsia="zh-CN"/>
          <w14:textFill>
            <w14:solidFill>
              <w14:schemeClr w14:val="tx1"/>
            </w14:solidFill>
          </w14:textFill>
        </w:rPr>
        <w:t>相关的</w:t>
      </w:r>
      <w:r>
        <w:rPr>
          <w:rFonts w:hint="eastAsia" w:ascii="Times New Roman" w:hAnsi="Times New Roman"/>
          <w:color w:val="000000" w:themeColor="text1"/>
          <w14:textFill>
            <w14:solidFill>
              <w14:schemeClr w14:val="tx1"/>
            </w14:solidFill>
          </w14:textFill>
        </w:rPr>
        <w:t>标准</w:t>
      </w:r>
    </w:p>
    <w:tbl>
      <w:tblPr>
        <w:tblStyle w:val="20"/>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410"/>
        <w:gridCol w:w="1701"/>
        <w:gridCol w:w="1417"/>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701" w:type="dxa"/>
            <w:vAlign w:val="center"/>
          </w:tcPr>
          <w:p>
            <w:pPr>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bookmarkStart w:id="54" w:name="OLE_LINK56"/>
            <w:bookmarkStart w:id="55" w:name="OLE_LINK57"/>
            <w:r>
              <w:rPr>
                <w:rFonts w:hint="eastAsia" w:ascii="Times New Roman" w:hAnsi="Times New Roman" w:eastAsia="宋体" w:cs="Times New Roman"/>
                <w:b/>
                <w:color w:val="000000" w:themeColor="text1"/>
                <w:kern w:val="0"/>
                <w:sz w:val="21"/>
                <w:szCs w:val="21"/>
                <w14:textFill>
                  <w14:solidFill>
                    <w14:schemeClr w14:val="tx1"/>
                  </w14:solidFill>
                </w14:textFill>
              </w:rPr>
              <w:t>标准编号</w:t>
            </w:r>
          </w:p>
        </w:tc>
        <w:tc>
          <w:tcPr>
            <w:tcW w:w="2410" w:type="dxa"/>
            <w:vAlign w:val="center"/>
          </w:tcPr>
          <w:p>
            <w:pPr>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标准名称</w:t>
            </w:r>
          </w:p>
        </w:tc>
        <w:tc>
          <w:tcPr>
            <w:tcW w:w="1701" w:type="dxa"/>
            <w:vAlign w:val="center"/>
          </w:tcPr>
          <w:p>
            <w:pPr>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发布部门</w:t>
            </w:r>
          </w:p>
        </w:tc>
        <w:tc>
          <w:tcPr>
            <w:tcW w:w="1417" w:type="dxa"/>
            <w:vAlign w:val="center"/>
          </w:tcPr>
          <w:p>
            <w:pPr>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实施日期</w:t>
            </w:r>
          </w:p>
        </w:tc>
        <w:tc>
          <w:tcPr>
            <w:tcW w:w="1070" w:type="dxa"/>
            <w:vAlign w:val="center"/>
          </w:tcPr>
          <w:p>
            <w:pPr>
              <w:spacing w:line="240" w:lineRule="auto"/>
              <w:jc w:val="center"/>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701" w:type="dxa"/>
            <w:vAlign w:val="center"/>
          </w:tcPr>
          <w:p>
            <w:pPr>
              <w:spacing w:line="240" w:lineRule="auto"/>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GB/T 35820-2018</w:t>
            </w:r>
          </w:p>
        </w:tc>
        <w:tc>
          <w:tcPr>
            <w:tcW w:w="2410" w:type="dxa"/>
            <w:vAlign w:val="center"/>
          </w:tcPr>
          <w:p>
            <w:pPr>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林业生物质原料分析方法 取样方法</w:t>
            </w:r>
          </w:p>
        </w:tc>
        <w:tc>
          <w:tcPr>
            <w:tcW w:w="1701" w:type="dxa"/>
            <w:vAlign w:val="center"/>
          </w:tcPr>
          <w:p>
            <w:pPr>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中华人民共和国国家质量监督检验检疫总局</w:t>
            </w:r>
          </w:p>
          <w:p>
            <w:pPr>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中国国家标准化管理委员会</w:t>
            </w:r>
          </w:p>
        </w:tc>
        <w:tc>
          <w:tcPr>
            <w:tcW w:w="1417" w:type="dxa"/>
            <w:vAlign w:val="center"/>
          </w:tcPr>
          <w:p>
            <w:pPr>
              <w:spacing w:line="240" w:lineRule="auto"/>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2018/09/01</w:t>
            </w:r>
          </w:p>
        </w:tc>
        <w:tc>
          <w:tcPr>
            <w:tcW w:w="1070" w:type="dxa"/>
            <w:vAlign w:val="center"/>
          </w:tcPr>
          <w:p>
            <w:pPr>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现行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701" w:type="dxa"/>
            <w:vAlign w:val="center"/>
          </w:tcPr>
          <w:p>
            <w:pPr>
              <w:spacing w:line="240" w:lineRule="auto"/>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DB51/T 939-2009</w:t>
            </w:r>
          </w:p>
        </w:tc>
        <w:tc>
          <w:tcPr>
            <w:tcW w:w="2410" w:type="dxa"/>
            <w:vAlign w:val="center"/>
          </w:tcPr>
          <w:p>
            <w:pPr>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草原资源遥感监测地面布点与样方测定技术规程</w:t>
            </w:r>
          </w:p>
        </w:tc>
        <w:tc>
          <w:tcPr>
            <w:tcW w:w="1701" w:type="dxa"/>
            <w:vAlign w:val="center"/>
          </w:tcPr>
          <w:p>
            <w:pPr>
              <w:spacing w:line="24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四川省质量技术监督局</w:t>
            </w:r>
          </w:p>
        </w:tc>
        <w:tc>
          <w:tcPr>
            <w:tcW w:w="1417" w:type="dxa"/>
            <w:vAlign w:val="center"/>
          </w:tcPr>
          <w:p>
            <w:pPr>
              <w:spacing w:line="240" w:lineRule="auto"/>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2009/06/10</w:t>
            </w:r>
          </w:p>
        </w:tc>
        <w:tc>
          <w:tcPr>
            <w:tcW w:w="1070" w:type="dxa"/>
            <w:vAlign w:val="center"/>
          </w:tcPr>
          <w:p>
            <w:pPr>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现行</w:t>
            </w:r>
          </w:p>
        </w:tc>
      </w:tr>
      <w:bookmarkEnd w:id="54"/>
      <w:bookmarkEnd w:id="55"/>
    </w:tbl>
    <w:p>
      <w:pPr>
        <w:adjustRightInd/>
        <w:spacing w:line="360" w:lineRule="auto"/>
        <w:rPr>
          <w:rFonts w:ascii="Times New Roman" w:hAnsi="Times New Roman" w:eastAsia="黑体"/>
          <w:b/>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实际验证</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将上述业务运行流程、研究课题和标准中，有关农作物地面样方遥感调查技术流程、监测精度验证等的科研成果进行了分析、总结和实际验证。结合作物地面样方遥感调查的业务情况，确定了作物地面样方遥感调查的技术流程，包括数据获取与处理、</w:t>
      </w:r>
      <w:r>
        <w:rPr>
          <w:rFonts w:hint="eastAsia"/>
          <w:color w:val="000000" w:themeColor="text1"/>
          <w14:textFill>
            <w14:solidFill>
              <w14:schemeClr w14:val="tx1"/>
            </w14:solidFill>
          </w14:textFill>
        </w:rPr>
        <w:t>地面样方布设方案设计、地面样方信息调查、地面样方信息整理</w:t>
      </w:r>
      <w:r>
        <w:rPr>
          <w:color w:val="000000" w:themeColor="text1"/>
          <w14:textFill>
            <w14:solidFill>
              <w14:schemeClr w14:val="tx1"/>
            </w14:solidFill>
          </w14:textFill>
        </w:rPr>
        <w:t>及入库</w:t>
      </w:r>
      <w:r>
        <w:rPr>
          <w:rFonts w:hint="eastAsia" w:ascii="Times New Roman" w:hAnsi="Times New Roman"/>
          <w:color w:val="000000" w:themeColor="text1"/>
          <w:sz w:val="24"/>
          <w:szCs w:val="28"/>
          <w14:textFill>
            <w14:solidFill>
              <w14:schemeClr w14:val="tx1"/>
            </w14:solidFill>
          </w14:textFill>
        </w:rPr>
        <w:t>等内容。数据获取与处理包括遥感数据和其他数据获取，以及遥感数据的预处理；地面样方布设方案设计部分包括地面样方设计的原则和要求，并对样方的位置、大小、数量以及样方的校验进行了说明；地面样方信息调查主要包括样方信息地面调查和样方信息遥感判读两部分，对地面样方的空间位置、作物类型和面积等信息的获取方法和要求进行了规定；地面样方信息整理及入库主要包括地面样方信息的整理和样方信息入库两方面的内容。</w:t>
      </w:r>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服务经验和专家意见</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根据标准起草人以及农作物地面样方遥感调查专家多年的业务服务经验，编制了农作物地面样方遥感调查的技术流程，并根据专家意见进行</w:t>
      </w:r>
      <w:r>
        <w:rPr>
          <w:rFonts w:ascii="Times New Roman" w:hAnsi="Times New Roman"/>
          <w:color w:val="000000" w:themeColor="text1"/>
          <w:sz w:val="24"/>
          <w:szCs w:val="28"/>
          <w14:textFill>
            <w14:solidFill>
              <w14:schemeClr w14:val="tx1"/>
            </w14:solidFill>
          </w14:textFill>
        </w:rPr>
        <w:t>了修改。</w:t>
      </w:r>
    </w:p>
    <w:p>
      <w:pPr>
        <w:pStyle w:val="2"/>
        <w:rPr>
          <w:rFonts w:ascii="Times New Roman" w:hAnsi="Times New Roman"/>
          <w:color w:val="000000" w:themeColor="text1"/>
          <w14:textFill>
            <w14:solidFill>
              <w14:schemeClr w14:val="tx1"/>
            </w14:solidFill>
          </w14:textFill>
        </w:rPr>
      </w:pPr>
      <w:bookmarkStart w:id="56" w:name="_Toc531195525"/>
      <w:bookmarkStart w:id="57" w:name="_Toc129182646"/>
      <w:r>
        <w:rPr>
          <w:rFonts w:ascii="Times New Roman" w:hAnsi="Times New Roman"/>
          <w:color w:val="000000" w:themeColor="text1"/>
          <w14:textFill>
            <w14:solidFill>
              <w14:schemeClr w14:val="tx1"/>
            </w14:solidFill>
          </w14:textFill>
        </w:rPr>
        <w:t>主要技术内容说明</w:t>
      </w:r>
      <w:bookmarkEnd w:id="56"/>
      <w:bookmarkEnd w:id="57"/>
    </w:p>
    <w:p>
      <w:pPr>
        <w:pStyle w:val="3"/>
        <w:rPr>
          <w:rFonts w:ascii="Times New Roman" w:hAnsi="Times New Roman"/>
          <w:color w:val="000000" w:themeColor="text1"/>
          <w14:textFill>
            <w14:solidFill>
              <w14:schemeClr w14:val="tx1"/>
            </w14:solidFill>
          </w14:textFill>
        </w:rPr>
      </w:pPr>
      <w:bookmarkStart w:id="58" w:name="_Toc531195526"/>
      <w:bookmarkStart w:id="59" w:name="_Toc129182647"/>
      <w:r>
        <w:rPr>
          <w:rFonts w:ascii="Times New Roman" w:hAnsi="Times New Roman"/>
          <w:color w:val="000000" w:themeColor="text1"/>
          <w14:textFill>
            <w14:solidFill>
              <w14:schemeClr w14:val="tx1"/>
            </w14:solidFill>
          </w14:textFill>
        </w:rPr>
        <w:t>标准主要技术内容指标或要求确定的依据</w:t>
      </w:r>
      <w:bookmarkEnd w:id="58"/>
      <w:bookmarkEnd w:id="59"/>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bookmarkStart w:id="60" w:name="SectionMark5"/>
      <w:bookmarkStart w:id="61" w:name="_Toc70306913"/>
      <w:bookmarkStart w:id="62" w:name="_Toc131498537"/>
      <w:r>
        <w:rPr>
          <w:rFonts w:ascii="Times New Roman" w:hAnsi="Times New Roman"/>
          <w:color w:val="000000" w:themeColor="text1"/>
          <w:sz w:val="24"/>
          <w:szCs w:val="28"/>
          <w14:textFill>
            <w14:solidFill>
              <w14:schemeClr w14:val="tx1"/>
            </w14:solidFill>
          </w14:textFill>
        </w:rPr>
        <w:t>《</w:t>
      </w:r>
      <w:r>
        <w:rPr>
          <w:rFonts w:hint="eastAsia" w:ascii="Times New Roman" w:hAnsi="Times New Roman"/>
          <w:color w:val="000000" w:themeColor="text1"/>
          <w:sz w:val="24"/>
          <w:szCs w:val="28"/>
          <w14:textFill>
            <w14:solidFill>
              <w14:schemeClr w14:val="tx1"/>
            </w14:solidFill>
          </w14:textFill>
        </w:rPr>
        <w:t>农作物地面样方遥感调查技术规范</w:t>
      </w:r>
      <w:r>
        <w:rPr>
          <w:rFonts w:ascii="Times New Roman" w:hAnsi="Times New Roman"/>
          <w:color w:val="000000" w:themeColor="text1"/>
          <w:sz w:val="24"/>
          <w:szCs w:val="28"/>
          <w14:textFill>
            <w14:solidFill>
              <w14:schemeClr w14:val="tx1"/>
            </w14:solidFill>
          </w14:textFill>
        </w:rPr>
        <w:t>》共分10章正文</w:t>
      </w:r>
      <w:r>
        <w:rPr>
          <w:rFonts w:hint="eastAsia" w:ascii="Times New Roman" w:hAnsi="Times New Roman"/>
          <w:color w:val="000000" w:themeColor="text1"/>
          <w:sz w:val="24"/>
          <w:szCs w:val="28"/>
          <w14:textFill>
            <w14:solidFill>
              <w14:schemeClr w14:val="tx1"/>
            </w14:solidFill>
          </w14:textFill>
        </w:rPr>
        <w:t>，1个规范性附录</w:t>
      </w:r>
      <w:r>
        <w:rPr>
          <w:rFonts w:ascii="Times New Roman" w:hAnsi="Times New Roman"/>
          <w:color w:val="000000" w:themeColor="text1"/>
          <w:sz w:val="24"/>
          <w:szCs w:val="28"/>
          <w14:textFill>
            <w14:solidFill>
              <w14:schemeClr w14:val="tx1"/>
            </w14:solidFill>
          </w14:textFill>
        </w:rPr>
        <w:t>和</w:t>
      </w:r>
      <w:r>
        <w:rPr>
          <w:rFonts w:hint="eastAsia" w:ascii="Times New Roman" w:hAnsi="Times New Roman"/>
          <w:color w:val="000000" w:themeColor="text1"/>
          <w:sz w:val="24"/>
          <w:szCs w:val="28"/>
          <w14:textFill>
            <w14:solidFill>
              <w14:schemeClr w14:val="tx1"/>
            </w14:solidFill>
          </w14:textFill>
        </w:rPr>
        <w:t>参考</w:t>
      </w:r>
      <w:r>
        <w:rPr>
          <w:rFonts w:ascii="Times New Roman" w:hAnsi="Times New Roman"/>
          <w:color w:val="000000" w:themeColor="text1"/>
          <w:sz w:val="24"/>
          <w:szCs w:val="28"/>
          <w14:textFill>
            <w14:solidFill>
              <w14:schemeClr w14:val="tx1"/>
            </w14:solidFill>
          </w14:textFill>
        </w:rPr>
        <w:t>文献</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包括第1章范围、第2章规范性引用文件、第3章术语和定义、第4章缩略语、第5章</w:t>
      </w:r>
      <w:r>
        <w:rPr>
          <w:rFonts w:hint="eastAsia" w:ascii="Times New Roman" w:hAnsi="Times New Roman"/>
          <w:color w:val="000000" w:themeColor="text1"/>
          <w:sz w:val="24"/>
          <w:szCs w:val="28"/>
          <w14:textFill>
            <w14:solidFill>
              <w14:schemeClr w14:val="tx1"/>
            </w14:solidFill>
          </w14:textFill>
        </w:rPr>
        <w:t>基本要求</w:t>
      </w:r>
      <w:r>
        <w:rPr>
          <w:rFonts w:ascii="Times New Roman" w:hAnsi="Times New Roman"/>
          <w:color w:val="000000" w:themeColor="text1"/>
          <w:sz w:val="24"/>
          <w:szCs w:val="28"/>
          <w14:textFill>
            <w14:solidFill>
              <w14:schemeClr w14:val="tx1"/>
            </w14:solidFill>
          </w14:textFill>
        </w:rPr>
        <w:t>、第6章</w:t>
      </w:r>
      <w:r>
        <w:rPr>
          <w:rFonts w:hint="eastAsia" w:ascii="Times New Roman" w:hAnsi="Times New Roman"/>
          <w:color w:val="000000" w:themeColor="text1"/>
          <w:sz w:val="24"/>
          <w:szCs w:val="28"/>
          <w14:textFill>
            <w14:solidFill>
              <w14:schemeClr w14:val="tx1"/>
            </w14:solidFill>
          </w14:textFill>
        </w:rPr>
        <w:t>调查流程</w:t>
      </w:r>
      <w:r>
        <w:rPr>
          <w:rFonts w:ascii="Times New Roman" w:hAnsi="Times New Roman"/>
          <w:color w:val="000000" w:themeColor="text1"/>
          <w:sz w:val="24"/>
          <w:szCs w:val="28"/>
          <w14:textFill>
            <w14:solidFill>
              <w14:schemeClr w14:val="tx1"/>
            </w14:solidFill>
          </w14:textFill>
        </w:rPr>
        <w:t>、第7章</w:t>
      </w:r>
      <w:r>
        <w:rPr>
          <w:rFonts w:hint="eastAsia" w:ascii="Times New Roman" w:hAnsi="Times New Roman"/>
          <w:color w:val="000000" w:themeColor="text1"/>
          <w:sz w:val="24"/>
          <w:szCs w:val="28"/>
          <w14:textFill>
            <w14:solidFill>
              <w14:schemeClr w14:val="tx1"/>
            </w14:solidFill>
          </w14:textFill>
        </w:rPr>
        <w:t>数据获取与处理</w:t>
      </w:r>
      <w:r>
        <w:rPr>
          <w:rFonts w:ascii="Times New Roman" w:hAnsi="Times New Roman"/>
          <w:color w:val="000000" w:themeColor="text1"/>
          <w:sz w:val="24"/>
          <w:szCs w:val="28"/>
          <w14:textFill>
            <w14:solidFill>
              <w14:schemeClr w14:val="tx1"/>
            </w14:solidFill>
          </w14:textFill>
        </w:rPr>
        <w:t>、第8章</w:t>
      </w:r>
      <w:r>
        <w:rPr>
          <w:rFonts w:hint="eastAsia" w:ascii="Times New Roman" w:hAnsi="Times New Roman"/>
          <w:color w:val="000000" w:themeColor="text1"/>
          <w:sz w:val="24"/>
          <w:szCs w:val="28"/>
          <w14:textFill>
            <w14:solidFill>
              <w14:schemeClr w14:val="tx1"/>
            </w14:solidFill>
          </w14:textFill>
        </w:rPr>
        <w:t>地面样方</w:t>
      </w:r>
      <w:r>
        <w:rPr>
          <w:rFonts w:ascii="Times New Roman" w:hAnsi="Times New Roman"/>
          <w:color w:val="000000" w:themeColor="text1"/>
          <w:sz w:val="24"/>
          <w:szCs w:val="28"/>
          <w14:textFill>
            <w14:solidFill>
              <w14:schemeClr w14:val="tx1"/>
            </w14:solidFill>
          </w14:textFill>
        </w:rPr>
        <w:t>布设方案设计、第</w:t>
      </w:r>
      <w:r>
        <w:rPr>
          <w:rFonts w:hint="eastAsia" w:ascii="Times New Roman" w:hAnsi="Times New Roman"/>
          <w:color w:val="000000" w:themeColor="text1"/>
          <w:sz w:val="24"/>
          <w:szCs w:val="28"/>
          <w14:textFill>
            <w14:solidFill>
              <w14:schemeClr w14:val="tx1"/>
            </w14:solidFill>
          </w14:textFill>
        </w:rPr>
        <w:t>9</w:t>
      </w:r>
      <w:r>
        <w:rPr>
          <w:rFonts w:ascii="Times New Roman" w:hAnsi="Times New Roman"/>
          <w:color w:val="000000" w:themeColor="text1"/>
          <w:sz w:val="24"/>
          <w:szCs w:val="28"/>
          <w14:textFill>
            <w14:solidFill>
              <w14:schemeClr w14:val="tx1"/>
            </w14:solidFill>
          </w14:textFill>
        </w:rPr>
        <w:t>章</w:t>
      </w:r>
      <w:r>
        <w:rPr>
          <w:rFonts w:hint="eastAsia" w:ascii="Times New Roman" w:hAnsi="Times New Roman"/>
          <w:color w:val="000000" w:themeColor="text1"/>
          <w:sz w:val="24"/>
          <w:szCs w:val="28"/>
          <w14:textFill>
            <w14:solidFill>
              <w14:schemeClr w14:val="tx1"/>
            </w14:solidFill>
          </w14:textFill>
        </w:rPr>
        <w:t>地面</w:t>
      </w:r>
      <w:r>
        <w:rPr>
          <w:rFonts w:ascii="Times New Roman" w:hAnsi="Times New Roman"/>
          <w:color w:val="000000" w:themeColor="text1"/>
          <w:sz w:val="24"/>
          <w:szCs w:val="28"/>
          <w14:textFill>
            <w14:solidFill>
              <w14:schemeClr w14:val="tx1"/>
            </w14:solidFill>
          </w14:textFill>
        </w:rPr>
        <w:t>样方信息调查</w:t>
      </w:r>
      <w:r>
        <w:rPr>
          <w:rFonts w:hint="eastAsia" w:ascii="Times New Roman" w:hAnsi="Times New Roman"/>
          <w:color w:val="000000" w:themeColor="text1"/>
          <w:sz w:val="24"/>
          <w:szCs w:val="28"/>
          <w14:textFill>
            <w14:solidFill>
              <w14:schemeClr w14:val="tx1"/>
            </w14:solidFill>
          </w14:textFill>
        </w:rPr>
        <w:t>、第1</w:t>
      </w:r>
      <w:r>
        <w:rPr>
          <w:rFonts w:ascii="Times New Roman" w:hAnsi="Times New Roman"/>
          <w:color w:val="000000" w:themeColor="text1"/>
          <w:sz w:val="24"/>
          <w:szCs w:val="28"/>
          <w14:textFill>
            <w14:solidFill>
              <w14:schemeClr w14:val="tx1"/>
            </w14:solidFill>
          </w14:textFill>
        </w:rPr>
        <w:t>0章</w:t>
      </w:r>
      <w:r>
        <w:rPr>
          <w:rFonts w:hint="eastAsia" w:ascii="Times New Roman" w:hAnsi="Times New Roman"/>
          <w:color w:val="000000" w:themeColor="text1"/>
          <w:sz w:val="24"/>
          <w:szCs w:val="28"/>
          <w14:textFill>
            <w14:solidFill>
              <w14:schemeClr w14:val="tx1"/>
            </w14:solidFill>
          </w14:textFill>
        </w:rPr>
        <w:t>地面</w:t>
      </w:r>
      <w:r>
        <w:rPr>
          <w:rFonts w:ascii="Times New Roman" w:hAnsi="Times New Roman"/>
          <w:color w:val="000000" w:themeColor="text1"/>
          <w:sz w:val="24"/>
          <w:szCs w:val="28"/>
          <w14:textFill>
            <w14:solidFill>
              <w14:schemeClr w14:val="tx1"/>
            </w14:solidFill>
          </w14:textFill>
        </w:rPr>
        <w:t>样方</w:t>
      </w:r>
      <w:r>
        <w:rPr>
          <w:rFonts w:hint="eastAsia" w:ascii="Times New Roman" w:hAnsi="Times New Roman"/>
          <w:color w:val="000000" w:themeColor="text1"/>
          <w:sz w:val="24"/>
          <w:szCs w:val="28"/>
          <w14:textFill>
            <w14:solidFill>
              <w14:schemeClr w14:val="tx1"/>
            </w14:solidFill>
          </w14:textFill>
        </w:rPr>
        <w:t>信息</w:t>
      </w:r>
      <w:r>
        <w:rPr>
          <w:rFonts w:ascii="Times New Roman" w:hAnsi="Times New Roman"/>
          <w:color w:val="000000" w:themeColor="text1"/>
          <w:sz w:val="24"/>
          <w:szCs w:val="28"/>
          <w14:textFill>
            <w14:solidFill>
              <w14:schemeClr w14:val="tx1"/>
            </w14:solidFill>
          </w14:textFill>
        </w:rPr>
        <w:t>整理及入库</w:t>
      </w:r>
      <w:r>
        <w:rPr>
          <w:rFonts w:hint="eastAsia" w:ascii="Times New Roman" w:hAnsi="Times New Roman"/>
          <w:color w:val="000000" w:themeColor="text1"/>
          <w:sz w:val="24"/>
          <w:szCs w:val="28"/>
          <w14:textFill>
            <w14:solidFill>
              <w14:schemeClr w14:val="tx1"/>
            </w14:solidFill>
          </w14:textFill>
        </w:rPr>
        <w:t>、附录A</w:t>
      </w:r>
      <w:r>
        <w:rPr>
          <w:rFonts w:ascii="Times New Roman" w:hAnsi="Times New Roman"/>
          <w:color w:val="000000" w:themeColor="text1"/>
          <w:sz w:val="24"/>
          <w:szCs w:val="28"/>
          <w14:textFill>
            <w14:solidFill>
              <w14:schemeClr w14:val="tx1"/>
            </w14:solidFill>
          </w14:textFill>
        </w:rPr>
        <w:t>以及最后的参考文献。标准主要技术内容指标或要求确定的依据说明如下：</w:t>
      </w:r>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范围</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本文件规定了农作物地面样方遥感调查技术的基本要求、调查流程、数据获取与处理、地面样方布设方案设计、地面样方信息调查、地面样方信息整理及入库等要求。本文件适用于基于高分辨率光学遥感数据的农作物地面样方调查工作。</w:t>
      </w:r>
    </w:p>
    <w:p>
      <w:pPr>
        <w:adjustRightInd/>
        <w:spacing w:line="360" w:lineRule="auto"/>
        <w:ind w:firstLine="480" w:firstLineChars="200"/>
        <w:rPr>
          <w:rFonts w:ascii="Times New Roman" w:hAnsi="Times New Roman"/>
          <w:sz w:val="24"/>
          <w:szCs w:val="28"/>
        </w:rPr>
      </w:pPr>
      <w:r>
        <w:rPr>
          <w:rFonts w:ascii="Times New Roman" w:hAnsi="Times New Roman"/>
          <w:sz w:val="24"/>
          <w:szCs w:val="28"/>
        </w:rPr>
        <w:t>标准起草组在试验研究、专家意见征求的基础上，</w:t>
      </w:r>
      <w:r>
        <w:rPr>
          <w:rFonts w:hint="eastAsia" w:ascii="Times New Roman" w:hAnsi="Times New Roman"/>
          <w:sz w:val="24"/>
          <w:szCs w:val="28"/>
        </w:rPr>
        <w:t>确定</w:t>
      </w:r>
      <w:r>
        <w:rPr>
          <w:rFonts w:ascii="Times New Roman" w:hAnsi="Times New Roman"/>
          <w:sz w:val="24"/>
          <w:szCs w:val="28"/>
        </w:rPr>
        <w:t>了利用</w:t>
      </w:r>
      <w:r>
        <w:rPr>
          <w:rFonts w:hint="eastAsia" w:ascii="Times New Roman" w:hAnsi="Times New Roman"/>
          <w:sz w:val="24"/>
          <w:szCs w:val="28"/>
        </w:rPr>
        <w:t>遥感</w:t>
      </w:r>
      <w:r>
        <w:rPr>
          <w:rFonts w:ascii="Times New Roman" w:hAnsi="Times New Roman"/>
          <w:sz w:val="24"/>
          <w:szCs w:val="28"/>
        </w:rPr>
        <w:t>数据</w:t>
      </w:r>
      <w:r>
        <w:rPr>
          <w:rFonts w:hint="eastAsia" w:ascii="Times New Roman" w:hAnsi="Times New Roman"/>
          <w:sz w:val="24"/>
          <w:szCs w:val="28"/>
        </w:rPr>
        <w:t>调查农作物地面样方的</w:t>
      </w:r>
      <w:r>
        <w:rPr>
          <w:rFonts w:ascii="Times New Roman" w:hAnsi="Times New Roman"/>
          <w:sz w:val="24"/>
          <w:szCs w:val="28"/>
        </w:rPr>
        <w:t>主要技术流程和指标，标准内容基于目前已较为成熟可靠的技术方法</w:t>
      </w:r>
      <w:r>
        <w:rPr>
          <w:rFonts w:hint="eastAsia" w:ascii="Times New Roman" w:hAnsi="Times New Roman"/>
          <w:sz w:val="24"/>
          <w:szCs w:val="28"/>
        </w:rPr>
        <w:t>，</w:t>
      </w:r>
      <w:r>
        <w:rPr>
          <w:rFonts w:ascii="Times New Roman" w:hAnsi="Times New Roman"/>
          <w:sz w:val="24"/>
          <w:szCs w:val="28"/>
        </w:rPr>
        <w:t>既保证对当前作物</w:t>
      </w:r>
      <w:r>
        <w:rPr>
          <w:rFonts w:hint="eastAsia" w:ascii="Times New Roman" w:hAnsi="Times New Roman"/>
          <w:sz w:val="24"/>
          <w:szCs w:val="28"/>
        </w:rPr>
        <w:t>地面样方遥感调查</w:t>
      </w:r>
      <w:r>
        <w:rPr>
          <w:rFonts w:ascii="Times New Roman" w:hAnsi="Times New Roman"/>
          <w:sz w:val="24"/>
          <w:szCs w:val="28"/>
        </w:rPr>
        <w:t>业务工作主要流程和指标的指导作用</w:t>
      </w:r>
      <w:r>
        <w:rPr>
          <w:rFonts w:hint="eastAsia" w:ascii="Times New Roman" w:hAnsi="Times New Roman"/>
          <w:sz w:val="24"/>
          <w:szCs w:val="28"/>
        </w:rPr>
        <w:t>，</w:t>
      </w:r>
      <w:r>
        <w:rPr>
          <w:rFonts w:ascii="Times New Roman" w:hAnsi="Times New Roman"/>
          <w:sz w:val="24"/>
          <w:szCs w:val="28"/>
        </w:rPr>
        <w:t>也为今后各类</w:t>
      </w:r>
      <w:r>
        <w:rPr>
          <w:rFonts w:hint="eastAsia" w:ascii="Times New Roman" w:hAnsi="Times New Roman"/>
          <w:sz w:val="24"/>
          <w:szCs w:val="28"/>
        </w:rPr>
        <w:t>农</w:t>
      </w:r>
      <w:r>
        <w:rPr>
          <w:rFonts w:ascii="Times New Roman" w:hAnsi="Times New Roman"/>
          <w:sz w:val="24"/>
          <w:szCs w:val="28"/>
        </w:rPr>
        <w:t>作物</w:t>
      </w:r>
      <w:r>
        <w:rPr>
          <w:rFonts w:hint="eastAsia" w:ascii="Times New Roman" w:hAnsi="Times New Roman"/>
          <w:sz w:val="24"/>
          <w:szCs w:val="28"/>
        </w:rPr>
        <w:t>地面样方遥感调查</w:t>
      </w:r>
      <w:r>
        <w:rPr>
          <w:rFonts w:ascii="Times New Roman" w:hAnsi="Times New Roman"/>
          <w:sz w:val="24"/>
          <w:szCs w:val="28"/>
        </w:rPr>
        <w:t>方法的改进保留了充足的余地。</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规范性引用文件</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在充分获取当前国内已有的农业遥感相关标准的基础上，根据作物地面样方遥感调查的自身特点及技术流程需要，参考了相关领域的标准，包括《GB/T 13989-2012 国家基本比例尺地形图分幅和编号》、《GB/T 20257-2017（所有部分）国家基本比例尺地图图式》等。</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其中《GB/T 13989-2012 国家基本比例尺地形图分幅和编号》主要是参考其基本比例尺的定义及分幅要求。作物地面</w:t>
      </w:r>
      <w:r>
        <w:rPr>
          <w:rFonts w:ascii="Times New Roman" w:hAnsi="Times New Roman"/>
          <w:color w:val="000000" w:themeColor="text1"/>
          <w:sz w:val="24"/>
          <w:szCs w:val="28"/>
          <w14:textFill>
            <w14:solidFill>
              <w14:schemeClr w14:val="tx1"/>
            </w14:solidFill>
          </w14:textFill>
        </w:rPr>
        <w:t>样方遥感调查</w:t>
      </w:r>
      <w:r>
        <w:rPr>
          <w:rFonts w:hint="eastAsia" w:ascii="Times New Roman" w:hAnsi="Times New Roman"/>
          <w:color w:val="000000" w:themeColor="text1"/>
          <w:sz w:val="24"/>
          <w:szCs w:val="28"/>
          <w14:textFill>
            <w14:solidFill>
              <w14:schemeClr w14:val="tx1"/>
            </w14:solidFill>
          </w14:textFill>
        </w:rPr>
        <w:t>的监测区域往往差异较大，通过参考国家基本比例尺的划分方式，对作物地面样方进行分区获取，同时也方便与传统的地形图、正射影像图等资料进行比对分析。</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《GB/T 20257-2017（所有部分）国家基本比例尺地图图式》主要用于指导相应比例尺的作物地面样方</w:t>
      </w:r>
      <w:r>
        <w:rPr>
          <w:rFonts w:ascii="Times New Roman" w:hAnsi="Times New Roman"/>
          <w:color w:val="000000" w:themeColor="text1"/>
          <w:sz w:val="24"/>
          <w:szCs w:val="28"/>
          <w14:textFill>
            <w14:solidFill>
              <w14:schemeClr w14:val="tx1"/>
            </w14:solidFill>
          </w14:textFill>
        </w:rPr>
        <w:t>获取</w:t>
      </w:r>
      <w:r>
        <w:rPr>
          <w:rFonts w:hint="eastAsia" w:ascii="Times New Roman" w:hAnsi="Times New Roman"/>
          <w:color w:val="000000" w:themeColor="text1"/>
          <w:sz w:val="24"/>
          <w:szCs w:val="28"/>
          <w14:textFill>
            <w14:solidFill>
              <w14:schemeClr w14:val="tx1"/>
            </w14:solidFill>
          </w14:textFill>
        </w:rPr>
        <w:t>成果的制图工作，对于科学合理地进行作物地面样方遥感调查成果制图具有参考意义。</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术语和定义</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术语和定义包含了作物地面样方遥感调查常用到的专业术语，包括地面样方、遥感、像元、空间分辨率、辐射定标、大气校正和农作物生育时期等共</w:t>
      </w:r>
      <w:r>
        <w:rPr>
          <w:rFonts w:ascii="Times New Roman" w:hAnsi="Times New Roman"/>
          <w:color w:val="000000" w:themeColor="text1"/>
          <w:sz w:val="24"/>
          <w:szCs w:val="28"/>
          <w14:textFill>
            <w14:solidFill>
              <w14:schemeClr w14:val="tx1"/>
            </w14:solidFill>
          </w14:textFill>
        </w:rPr>
        <w:t>7</w:t>
      </w:r>
      <w:r>
        <w:rPr>
          <w:rFonts w:hint="eastAsia" w:ascii="Times New Roman" w:hAnsi="Times New Roman"/>
          <w:color w:val="000000" w:themeColor="text1"/>
          <w:sz w:val="24"/>
          <w:szCs w:val="28"/>
          <w14:textFill>
            <w14:solidFill>
              <w14:schemeClr w14:val="tx1"/>
            </w14:solidFill>
          </w14:textFill>
        </w:rPr>
        <w:t>个专业名词，各名词的定义，对于已存在其他相关国家标准中的定义，</w:t>
      </w:r>
      <w:r>
        <w:rPr>
          <w:rFonts w:hint="eastAsia"/>
          <w:sz w:val="24"/>
          <w:szCs w:val="28"/>
        </w:rPr>
        <w:t>则直接进行引用或修改后引用</w:t>
      </w:r>
      <w:r>
        <w:rPr>
          <w:rFonts w:hint="eastAsia" w:ascii="Times New Roman" w:hAnsi="Times New Roman"/>
          <w:color w:val="000000" w:themeColor="text1"/>
          <w:sz w:val="24"/>
          <w:szCs w:val="28"/>
          <w14:textFill>
            <w14:solidFill>
              <w14:schemeClr w14:val="tx1"/>
            </w14:solidFill>
          </w14:textFill>
        </w:rPr>
        <w:t>，对于部分尚未在其他标准中定义的专业术语，则通过查阅相关专业论文、词典等资料，并结合专业知识进行定义，并咨询相关领域的专家最终确定。</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缩略语</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本标准给出了</w:t>
      </w:r>
      <w:r>
        <w:rPr>
          <w:rFonts w:ascii="Times New Roman" w:hAnsi="Times New Roman"/>
          <w:color w:val="000000" w:themeColor="text1"/>
          <w:sz w:val="24"/>
          <w:szCs w:val="28"/>
          <w14:textFill>
            <w14:solidFill>
              <w14:schemeClr w14:val="tx1"/>
            </w14:solidFill>
          </w14:textFill>
        </w:rPr>
        <w:t>4</w:t>
      </w:r>
      <w:r>
        <w:rPr>
          <w:rFonts w:hint="eastAsia" w:ascii="Times New Roman" w:hAnsi="Times New Roman"/>
          <w:color w:val="000000" w:themeColor="text1"/>
          <w:sz w:val="24"/>
          <w:szCs w:val="28"/>
          <w14:textFill>
            <w14:solidFill>
              <w14:schemeClr w14:val="tx1"/>
            </w14:solidFill>
          </w14:textFill>
        </w:rPr>
        <w:t>个缩略语，包括2000国家大地坐标系（CGCS</w:t>
      </w:r>
      <w:r>
        <w:rPr>
          <w:rFonts w:ascii="Times New Roman" w:hAnsi="Times New Roman"/>
          <w:color w:val="000000" w:themeColor="text1"/>
          <w:sz w:val="24"/>
          <w:szCs w:val="28"/>
          <w14:textFill>
            <w14:solidFill>
              <w14:schemeClr w14:val="tx1"/>
            </w14:solidFill>
          </w14:textFill>
        </w:rPr>
        <w:t>2000</w:t>
      </w:r>
      <w:r>
        <w:rPr>
          <w:rFonts w:hint="eastAsia" w:ascii="Times New Roman" w:hAnsi="Times New Roman"/>
          <w:color w:val="000000" w:themeColor="text1"/>
          <w:sz w:val="24"/>
          <w:szCs w:val="28"/>
          <w14:textFill>
            <w14:solidFill>
              <w14:schemeClr w14:val="tx1"/>
            </w14:solidFill>
          </w14:textFill>
        </w:rPr>
        <w:t>）、全球导航卫星系统（GNSS）、实时动态载波相位差分技术（RTK）和通用横轴墨卡托投影（UTM）。缩略语包括了在标准中出现的，经常用到但是没有明确的专业术语，或者是本行业常用的缩略语，符合专业性、准确性、简洁性的要求。</w:t>
      </w:r>
    </w:p>
    <w:p>
      <w:pPr>
        <w:pStyle w:val="4"/>
        <w:rPr>
          <w:rFonts w:ascii="Times New Roman" w:hAnsi="Times New Roman"/>
          <w:color w:val="000000" w:themeColor="text1"/>
          <w14:textFill>
            <w14:solidFill>
              <w14:schemeClr w14:val="tx1"/>
            </w14:solidFill>
          </w14:textFill>
        </w:rPr>
      </w:pPr>
      <w:bookmarkStart w:id="63" w:name="_Toc533587551"/>
      <w:r>
        <w:rPr>
          <w:rFonts w:hint="eastAsia" w:ascii="Times New Roman" w:hAnsi="Times New Roman"/>
          <w:color w:val="000000" w:themeColor="text1"/>
          <w14:textFill>
            <w14:solidFill>
              <w14:schemeClr w14:val="tx1"/>
            </w14:solidFill>
          </w14:textFill>
        </w:rPr>
        <w:t>基本要求</w:t>
      </w:r>
      <w:bookmarkEnd w:id="63"/>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基本要求规定了</w:t>
      </w:r>
      <w:r>
        <w:rPr>
          <w:rFonts w:hint="eastAsia" w:ascii="Times New Roman" w:hAnsi="Times New Roman"/>
          <w:color w:val="000000" w:themeColor="text1"/>
          <w:sz w:val="24"/>
          <w:szCs w:val="28"/>
          <w14:textFill>
            <w14:solidFill>
              <w14:schemeClr w14:val="tx1"/>
            </w14:solidFill>
          </w14:textFill>
        </w:rPr>
        <w:t>农</w:t>
      </w:r>
      <w:r>
        <w:rPr>
          <w:rFonts w:ascii="Times New Roman" w:hAnsi="Times New Roman"/>
          <w:color w:val="000000" w:themeColor="text1"/>
          <w:sz w:val="24"/>
          <w:szCs w:val="28"/>
          <w14:textFill>
            <w14:solidFill>
              <w14:schemeClr w14:val="tx1"/>
            </w14:solidFill>
          </w14:textFill>
        </w:rPr>
        <w:t>作物</w:t>
      </w:r>
      <w:r>
        <w:rPr>
          <w:rFonts w:hint="eastAsia" w:ascii="Times New Roman" w:hAnsi="Times New Roman"/>
          <w:color w:val="000000" w:themeColor="text1"/>
          <w:sz w:val="24"/>
          <w:szCs w:val="28"/>
          <w14:textFill>
            <w14:solidFill>
              <w14:schemeClr w14:val="tx1"/>
            </w14:solidFill>
          </w14:textFill>
        </w:rPr>
        <w:t>地面样方遥感调查</w:t>
      </w:r>
      <w:r>
        <w:rPr>
          <w:rFonts w:ascii="Times New Roman" w:hAnsi="Times New Roman"/>
          <w:color w:val="000000" w:themeColor="text1"/>
          <w:sz w:val="24"/>
          <w:szCs w:val="28"/>
          <w14:textFill>
            <w14:solidFill>
              <w14:schemeClr w14:val="tx1"/>
            </w14:solidFill>
          </w14:textFill>
        </w:rPr>
        <w:t>中对于空间基准</w:t>
      </w:r>
      <w:r>
        <w:rPr>
          <w:rFonts w:hint="eastAsia" w:ascii="Times New Roman" w:hAnsi="Times New Roman"/>
          <w:color w:val="000000" w:themeColor="text1"/>
          <w:sz w:val="24"/>
          <w:szCs w:val="28"/>
          <w14:textFill>
            <w14:solidFill>
              <w14:schemeClr w14:val="tx1"/>
            </w14:solidFill>
          </w14:textFill>
        </w:rPr>
        <w:t>、分幅和编号、监测时间等的要求。这些要求是需要在农作物地面样方遥感调查之前进行明确规定，同时，也是保障不同目标作物地面样方遥感调查成果之间通用性的重要保证。</w:t>
      </w:r>
    </w:p>
    <w:p>
      <w:pPr>
        <w:pStyle w:val="5"/>
        <w:rPr>
          <w:rFonts w:ascii="Times New Roman" w:hAnsi="Times New Roman"/>
          <w:color w:val="000000" w:themeColor="text1"/>
          <w14:textFill>
            <w14:solidFill>
              <w14:schemeClr w14:val="tx1"/>
            </w14:solidFill>
          </w14:textFill>
        </w:rPr>
      </w:pPr>
      <w:bookmarkStart w:id="64" w:name="_Toc533587552"/>
      <w:r>
        <w:rPr>
          <w:rFonts w:hint="eastAsia" w:ascii="Times New Roman" w:hAnsi="Times New Roman"/>
          <w:color w:val="000000" w:themeColor="text1"/>
          <w14:textFill>
            <w14:solidFill>
              <w14:schemeClr w14:val="tx1"/>
            </w14:solidFill>
          </w14:textFill>
        </w:rPr>
        <w:t>空间基准</w:t>
      </w:r>
      <w:bookmarkEnd w:id="64"/>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空间基准包括了大地基准</w:t>
      </w:r>
      <w:r>
        <w:rPr>
          <w:rFonts w:hint="eastAsia" w:ascii="Times New Roman" w:hAnsi="Times New Roman"/>
          <w:color w:val="000000" w:themeColor="text1"/>
          <w:sz w:val="24"/>
          <w:szCs w:val="28"/>
          <w14:textFill>
            <w14:solidFill>
              <w14:schemeClr w14:val="tx1"/>
            </w14:solidFill>
          </w14:textFill>
        </w:rPr>
        <w:t>、高程</w:t>
      </w:r>
      <w:r>
        <w:rPr>
          <w:rFonts w:ascii="Times New Roman" w:hAnsi="Times New Roman"/>
          <w:color w:val="000000" w:themeColor="text1"/>
          <w:sz w:val="24"/>
          <w:szCs w:val="28"/>
          <w14:textFill>
            <w14:solidFill>
              <w14:schemeClr w14:val="tx1"/>
            </w14:solidFill>
          </w14:textFill>
        </w:rPr>
        <w:t>基准和投影方式三大类内容</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其中大地基准要求采用2000国家大地坐标系（CGCS2000</w:t>
      </w:r>
      <w:r>
        <w:rPr>
          <w:rFonts w:hint="eastAsia" w:ascii="Times New Roman" w:hAnsi="Times New Roman"/>
          <w:color w:val="000000" w:themeColor="text1"/>
          <w:sz w:val="24"/>
          <w:szCs w:val="28"/>
          <w14:textFill>
            <w14:solidFill>
              <w14:schemeClr w14:val="tx1"/>
            </w14:solidFill>
          </w14:textFill>
        </w:rPr>
        <w:t>），C</w:t>
      </w:r>
      <w:r>
        <w:rPr>
          <w:rFonts w:ascii="Times New Roman" w:hAnsi="Times New Roman"/>
          <w:color w:val="000000" w:themeColor="text1"/>
          <w:sz w:val="24"/>
          <w:szCs w:val="28"/>
          <w14:textFill>
            <w14:solidFill>
              <w14:schemeClr w14:val="tx1"/>
            </w14:solidFill>
          </w14:textFill>
        </w:rPr>
        <w:t>GCS2000</w:t>
      </w:r>
      <w:r>
        <w:rPr>
          <w:rFonts w:hint="eastAsia" w:ascii="Times New Roman" w:hAnsi="Times New Roman"/>
          <w:color w:val="000000" w:themeColor="text1"/>
          <w:sz w:val="24"/>
          <w:szCs w:val="28"/>
          <w14:textFill>
            <w14:solidFill>
              <w14:schemeClr w14:val="tx1"/>
            </w14:solidFill>
          </w14:textFill>
        </w:rPr>
        <w:t>是测绘</w:t>
      </w:r>
      <w:r>
        <w:rPr>
          <w:rFonts w:ascii="Times New Roman" w:hAnsi="Times New Roman"/>
          <w:color w:val="000000" w:themeColor="text1"/>
          <w:sz w:val="24"/>
          <w:szCs w:val="28"/>
          <w14:textFill>
            <w14:solidFill>
              <w14:schemeClr w14:val="tx1"/>
            </w14:solidFill>
          </w14:textFill>
        </w:rPr>
        <w:t>编制国家</w:t>
      </w:r>
      <w:r>
        <w:fldChar w:fldCharType="begin"/>
      </w:r>
      <w:r>
        <w:instrText xml:space="preserve"> HYPERLINK "https://baike.baidu.com/item/%E5%9F%BA%E6%9C%AC%E6%AF%94%E4%BE%8B%E5%B0%BA%E5%9C%B0%E5%9B%BE" \t "_blank" </w:instrText>
      </w:r>
      <w:r>
        <w:fldChar w:fldCharType="separate"/>
      </w:r>
      <w:r>
        <w:rPr>
          <w:rFonts w:ascii="Times New Roman" w:hAnsi="Times New Roman"/>
          <w:color w:val="000000" w:themeColor="text1"/>
          <w:sz w:val="24"/>
          <w:szCs w:val="28"/>
          <w14:textFill>
            <w14:solidFill>
              <w14:schemeClr w14:val="tx1"/>
            </w14:solidFill>
          </w14:textFill>
        </w:rPr>
        <w:t>基本比例尺地图</w:t>
      </w:r>
      <w:r>
        <w:rPr>
          <w:rFonts w:ascii="Times New Roman" w:hAnsi="Times New Roman"/>
          <w:color w:val="000000" w:themeColor="text1"/>
          <w:sz w:val="24"/>
          <w:szCs w:val="28"/>
          <w14:textFill>
            <w14:solidFill>
              <w14:schemeClr w14:val="tx1"/>
            </w14:solidFill>
          </w14:textFill>
        </w:rPr>
        <w:fldChar w:fldCharType="end"/>
      </w:r>
      <w:r>
        <w:rPr>
          <w:rFonts w:ascii="Times New Roman" w:hAnsi="Times New Roman"/>
          <w:color w:val="000000" w:themeColor="text1"/>
          <w:sz w:val="24"/>
          <w:szCs w:val="28"/>
          <w14:textFill>
            <w14:solidFill>
              <w14:schemeClr w14:val="tx1"/>
            </w14:solidFill>
          </w14:textFill>
        </w:rPr>
        <w:t>的基础</w:t>
      </w:r>
      <w:r>
        <w:rPr>
          <w:rFonts w:hint="eastAsia" w:ascii="Times New Roman" w:hAnsi="Times New Roman"/>
          <w:color w:val="000000" w:themeColor="text1"/>
          <w:sz w:val="24"/>
          <w:szCs w:val="28"/>
          <w14:textFill>
            <w14:solidFill>
              <w14:schemeClr w14:val="tx1"/>
            </w14:solidFill>
          </w14:textFill>
        </w:rPr>
        <w:t>，经国务院批准，我国自2008年7月1日起启用C</w:t>
      </w:r>
      <w:r>
        <w:rPr>
          <w:rFonts w:ascii="Times New Roman" w:hAnsi="Times New Roman"/>
          <w:color w:val="000000" w:themeColor="text1"/>
          <w:sz w:val="24"/>
          <w:szCs w:val="28"/>
          <w14:textFill>
            <w14:solidFill>
              <w14:schemeClr w14:val="tx1"/>
            </w14:solidFill>
          </w14:textFill>
        </w:rPr>
        <w:t>GCS2000</w:t>
      </w:r>
      <w:r>
        <w:rPr>
          <w:rFonts w:hint="eastAsia" w:ascii="Times New Roman" w:hAnsi="Times New Roman"/>
          <w:color w:val="000000" w:themeColor="text1"/>
          <w:sz w:val="24"/>
          <w:szCs w:val="28"/>
          <w14:textFill>
            <w14:solidFill>
              <w14:schemeClr w14:val="tx1"/>
            </w14:solidFill>
          </w14:textFill>
        </w:rPr>
        <w:t>，到2018年全面完成C</w:t>
      </w:r>
      <w:r>
        <w:rPr>
          <w:rFonts w:ascii="Times New Roman" w:hAnsi="Times New Roman"/>
          <w:color w:val="000000" w:themeColor="text1"/>
          <w:sz w:val="24"/>
          <w:szCs w:val="28"/>
          <w14:textFill>
            <w14:solidFill>
              <w14:schemeClr w14:val="tx1"/>
            </w14:solidFill>
          </w14:textFill>
        </w:rPr>
        <w:t>GCS2000</w:t>
      </w:r>
      <w:r>
        <w:rPr>
          <w:rFonts w:hint="eastAsia" w:ascii="Times New Roman" w:hAnsi="Times New Roman"/>
          <w:color w:val="000000" w:themeColor="text1"/>
          <w:sz w:val="24"/>
          <w:szCs w:val="28"/>
          <w14:textFill>
            <w14:solidFill>
              <w14:schemeClr w14:val="tx1"/>
            </w14:solidFill>
          </w14:textFill>
        </w:rPr>
        <w:t>转换工作，</w:t>
      </w:r>
      <w:r>
        <w:rPr>
          <w:rFonts w:ascii="Times New Roman" w:hAnsi="Times New Roman"/>
          <w:color w:val="000000" w:themeColor="text1"/>
          <w:sz w:val="24"/>
          <w:szCs w:val="28"/>
          <w14:textFill>
            <w14:solidFill>
              <w14:schemeClr w14:val="tx1"/>
            </w14:solidFill>
          </w14:textFill>
        </w:rPr>
        <w:t>因此</w:t>
      </w:r>
      <w:r>
        <w:rPr>
          <w:rFonts w:hint="eastAsia" w:ascii="Times New Roman" w:hAnsi="Times New Roman"/>
          <w:color w:val="000000" w:themeColor="text1"/>
          <w:sz w:val="24"/>
          <w:szCs w:val="28"/>
          <w14:textFill>
            <w14:solidFill>
              <w14:schemeClr w14:val="tx1"/>
            </w14:solidFill>
          </w14:textFill>
        </w:rPr>
        <w:t>作物地面样方遥感调查制图的大地基准应当与C</w:t>
      </w:r>
      <w:r>
        <w:rPr>
          <w:rFonts w:ascii="Times New Roman" w:hAnsi="Times New Roman"/>
          <w:color w:val="000000" w:themeColor="text1"/>
          <w:sz w:val="24"/>
          <w:szCs w:val="28"/>
          <w14:textFill>
            <w14:solidFill>
              <w14:schemeClr w14:val="tx1"/>
            </w14:solidFill>
          </w14:textFill>
        </w:rPr>
        <w:t>GCS2000</w:t>
      </w:r>
      <w:r>
        <w:rPr>
          <w:rFonts w:hint="eastAsia" w:ascii="Times New Roman" w:hAnsi="Times New Roman"/>
          <w:color w:val="000000" w:themeColor="text1"/>
          <w:sz w:val="24"/>
          <w:szCs w:val="28"/>
          <w14:textFill>
            <w14:solidFill>
              <w14:schemeClr w14:val="tx1"/>
            </w14:solidFill>
          </w14:textFill>
        </w:rPr>
        <w:t>保持一致，确保成果的空间一致性和通用性。</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高程基准</w:t>
      </w:r>
      <w:r>
        <w:rPr>
          <w:rFonts w:hint="eastAsia" w:ascii="Times New Roman" w:hAnsi="Times New Roman"/>
          <w:color w:val="000000" w:themeColor="text1"/>
          <w:sz w:val="24"/>
          <w:szCs w:val="28"/>
          <w14:textFill>
            <w14:solidFill>
              <w14:schemeClr w14:val="tx1"/>
            </w14:solidFill>
          </w14:textFill>
        </w:rPr>
        <w:t>要求</w:t>
      </w:r>
      <w:r>
        <w:rPr>
          <w:rFonts w:ascii="Times New Roman" w:hAnsi="Times New Roman"/>
          <w:color w:val="000000" w:themeColor="text1"/>
          <w:sz w:val="24"/>
          <w:szCs w:val="28"/>
          <w14:textFill>
            <w14:solidFill>
              <w14:schemeClr w14:val="tx1"/>
            </w14:solidFill>
          </w14:textFill>
        </w:rPr>
        <w:t>采用</w:t>
      </w:r>
      <w:r>
        <w:rPr>
          <w:rFonts w:hint="eastAsia" w:ascii="Times New Roman" w:hAnsi="Times New Roman"/>
          <w:color w:val="000000" w:themeColor="text1"/>
          <w:sz w:val="24"/>
          <w:szCs w:val="28"/>
          <w14:textFill>
            <w14:solidFill>
              <w14:schemeClr w14:val="tx1"/>
            </w14:solidFill>
          </w14:textFill>
        </w:rPr>
        <w:t>1</w:t>
      </w:r>
      <w:r>
        <w:rPr>
          <w:rFonts w:ascii="Times New Roman" w:hAnsi="Times New Roman"/>
          <w:color w:val="000000" w:themeColor="text1"/>
          <w:sz w:val="24"/>
          <w:szCs w:val="28"/>
          <w14:textFill>
            <w14:solidFill>
              <w14:schemeClr w14:val="tx1"/>
            </w14:solidFill>
          </w14:textFill>
        </w:rPr>
        <w:t>985国家高程基准</w:t>
      </w:r>
      <w:r>
        <w:rPr>
          <w:rFonts w:hint="eastAsia" w:ascii="Times New Roman" w:hAnsi="Times New Roman"/>
          <w:color w:val="000000" w:themeColor="text1"/>
          <w:sz w:val="24"/>
          <w:szCs w:val="28"/>
          <w14:textFill>
            <w14:solidFill>
              <w14:schemeClr w14:val="tx1"/>
            </w14:solidFill>
          </w14:textFill>
        </w:rPr>
        <w:t>，根据《国务院关于启用“1985国家高程基准”的批复》，同意启用新的国家高程基准面数据，即“1985国家高程基准”，并作为全国新的统一的高程控制系统，作物地面样方遥感调查成果所使用的数字</w:t>
      </w:r>
      <w:r>
        <w:rPr>
          <w:rFonts w:ascii="Times New Roman" w:hAnsi="Times New Roman"/>
          <w:color w:val="000000" w:themeColor="text1"/>
          <w:sz w:val="24"/>
          <w:szCs w:val="28"/>
          <w14:textFill>
            <w14:solidFill>
              <w14:schemeClr w14:val="tx1"/>
            </w14:solidFill>
          </w14:textFill>
        </w:rPr>
        <w:t>高程模型（</w:t>
      </w:r>
      <w:r>
        <w:rPr>
          <w:rFonts w:hint="eastAsia" w:ascii="Times New Roman" w:hAnsi="Times New Roman"/>
          <w:color w:val="000000" w:themeColor="text1"/>
          <w:sz w:val="24"/>
          <w:szCs w:val="28"/>
          <w14:textFill>
            <w14:solidFill>
              <w14:schemeClr w14:val="tx1"/>
            </w14:solidFill>
          </w14:textFill>
        </w:rPr>
        <w:t>D</w:t>
      </w:r>
      <w:r>
        <w:rPr>
          <w:rFonts w:ascii="Times New Roman" w:hAnsi="Times New Roman"/>
          <w:color w:val="000000" w:themeColor="text1"/>
          <w:sz w:val="24"/>
          <w:szCs w:val="28"/>
          <w14:textFill>
            <w14:solidFill>
              <w14:schemeClr w14:val="tx1"/>
            </w14:solidFill>
          </w14:textFill>
        </w:rPr>
        <w:t>EM</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数据等</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应当符合国家</w:t>
      </w:r>
      <w:r>
        <w:rPr>
          <w:rFonts w:hint="eastAsia" w:ascii="Times New Roman" w:hAnsi="Times New Roman"/>
          <w:color w:val="000000" w:themeColor="text1"/>
          <w:sz w:val="24"/>
          <w:szCs w:val="28"/>
          <w14:textFill>
            <w14:solidFill>
              <w14:schemeClr w14:val="tx1"/>
            </w14:solidFill>
          </w14:textFill>
        </w:rPr>
        <w:t>对</w:t>
      </w:r>
      <w:r>
        <w:rPr>
          <w:rFonts w:ascii="Times New Roman" w:hAnsi="Times New Roman"/>
          <w:color w:val="000000" w:themeColor="text1"/>
          <w:sz w:val="24"/>
          <w:szCs w:val="28"/>
          <w14:textFill>
            <w14:solidFill>
              <w14:schemeClr w14:val="tx1"/>
            </w14:solidFill>
          </w14:textFill>
        </w:rPr>
        <w:t>高程基准</w:t>
      </w:r>
      <w:r>
        <w:rPr>
          <w:rFonts w:hint="eastAsia" w:ascii="Times New Roman" w:hAnsi="Times New Roman"/>
          <w:color w:val="000000" w:themeColor="text1"/>
          <w:sz w:val="24"/>
          <w:szCs w:val="28"/>
          <w14:textFill>
            <w14:solidFill>
              <w14:schemeClr w14:val="tx1"/>
            </w14:solidFill>
          </w14:textFill>
        </w:rPr>
        <w:t>的</w:t>
      </w:r>
      <w:r>
        <w:rPr>
          <w:rFonts w:ascii="Times New Roman" w:hAnsi="Times New Roman"/>
          <w:color w:val="000000" w:themeColor="text1"/>
          <w:sz w:val="24"/>
          <w:szCs w:val="28"/>
          <w14:textFill>
            <w14:solidFill>
              <w14:schemeClr w14:val="tx1"/>
            </w14:solidFill>
          </w14:textFill>
        </w:rPr>
        <w:t>规定</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确保成果的可靠性</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同时也与国家基础比例尺的地形图保持一致</w:t>
      </w:r>
      <w:r>
        <w:rPr>
          <w:rFonts w:hint="eastAsia" w:ascii="Times New Roman" w:hAnsi="Times New Roman"/>
          <w:color w:val="000000" w:themeColor="text1"/>
          <w:sz w:val="24"/>
          <w:szCs w:val="28"/>
          <w14:textFill>
            <w14:solidFill>
              <w14:schemeClr w14:val="tx1"/>
            </w14:solidFill>
          </w14:textFill>
        </w:rPr>
        <w:t>。</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地面样方遥感调查的尺度通常较小，投影方式通常采用高斯-克吕格投影或通用横轴墨卡托投影。这是由于高斯-克吕格投影和通用横轴墨卡托投影无角度变形、图形保持相似，可以在确保图上面积变形较小的前提下，确保图上作物耕地地块等地物与实际的形状保持一致。</w:t>
      </w:r>
    </w:p>
    <w:p>
      <w:pPr>
        <w:pStyle w:val="5"/>
        <w:rPr>
          <w:rFonts w:ascii="Times New Roman" w:hAnsi="Times New Roman"/>
          <w:color w:val="000000" w:themeColor="text1"/>
          <w14:textFill>
            <w14:solidFill>
              <w14:schemeClr w14:val="tx1"/>
            </w14:solidFill>
          </w14:textFill>
        </w:rPr>
      </w:pPr>
      <w:bookmarkStart w:id="65" w:name="_Toc533587553"/>
      <w:r>
        <w:rPr>
          <w:rFonts w:hint="eastAsia" w:ascii="Times New Roman" w:hAnsi="Times New Roman"/>
          <w:color w:val="000000" w:themeColor="text1"/>
          <w14:textFill>
            <w14:solidFill>
              <w14:schemeClr w14:val="tx1"/>
            </w14:solidFill>
          </w14:textFill>
        </w:rPr>
        <w:t>分幅与编号</w:t>
      </w:r>
      <w:bookmarkEnd w:id="65"/>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GB/T 13989-2012</w:t>
      </w:r>
      <w:r>
        <w:rPr>
          <w:rFonts w:hint="eastAsia" w:ascii="Times New Roman" w:hAnsi="Times New Roman"/>
          <w:color w:val="000000" w:themeColor="text1"/>
          <w:sz w:val="24"/>
          <w:szCs w:val="28"/>
          <w14:textFill>
            <w14:solidFill>
              <w14:schemeClr w14:val="tx1"/>
            </w14:solidFill>
          </w14:textFill>
        </w:rPr>
        <w:t>《国家基本比例尺地形图分幅和编号》规定了1:5</w:t>
      </w:r>
      <w:r>
        <w:rPr>
          <w:rFonts w:ascii="Times New Roman" w:hAnsi="Times New Roman"/>
          <w:color w:val="000000" w:themeColor="text1"/>
          <w:sz w:val="24"/>
          <w:szCs w:val="28"/>
          <w14:textFill>
            <w14:solidFill>
              <w14:schemeClr w14:val="tx1"/>
            </w14:solidFill>
          </w14:textFill>
        </w:rPr>
        <w:t>00</w:t>
      </w:r>
      <w:r>
        <w:rPr>
          <w:rFonts w:hint="eastAsia" w:ascii="Times New Roman" w:hAnsi="Times New Roman"/>
          <w:color w:val="000000" w:themeColor="text1"/>
          <w:sz w:val="24"/>
          <w:szCs w:val="28"/>
          <w14:textFill>
            <w14:solidFill>
              <w14:schemeClr w14:val="tx1"/>
            </w14:solidFill>
          </w14:textFill>
        </w:rPr>
        <w:t>、1:1</w:t>
      </w:r>
      <w:r>
        <w:rPr>
          <w:rFonts w:ascii="Times New Roman" w:hAnsi="Times New Roman"/>
          <w:color w:val="000000" w:themeColor="text1"/>
          <w:sz w:val="24"/>
          <w:szCs w:val="28"/>
          <w14:textFill>
            <w14:solidFill>
              <w14:schemeClr w14:val="tx1"/>
            </w14:solidFill>
          </w14:textFill>
        </w:rPr>
        <w:t xml:space="preserve"> 000</w:t>
      </w:r>
      <w:r>
        <w:rPr>
          <w:rFonts w:hint="eastAsia" w:ascii="Times New Roman" w:hAnsi="Times New Roman"/>
          <w:color w:val="000000" w:themeColor="text1"/>
          <w:sz w:val="24"/>
          <w:szCs w:val="28"/>
          <w14:textFill>
            <w14:solidFill>
              <w14:schemeClr w14:val="tx1"/>
            </w14:solidFill>
          </w14:textFill>
        </w:rPr>
        <w:t>、1:2</w:t>
      </w:r>
      <w:r>
        <w:rPr>
          <w:rFonts w:ascii="Times New Roman" w:hAnsi="Times New Roman"/>
          <w:color w:val="000000" w:themeColor="text1"/>
          <w:sz w:val="24"/>
          <w:szCs w:val="28"/>
          <w14:textFill>
            <w14:solidFill>
              <w14:schemeClr w14:val="tx1"/>
            </w14:solidFill>
          </w14:textFill>
        </w:rPr>
        <w:t xml:space="preserve"> 000</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:5</w:t>
      </w:r>
      <w:r>
        <w:rPr>
          <w:rFonts w:ascii="Times New Roman" w:hAnsi="Times New Roman"/>
          <w:color w:val="000000" w:themeColor="text1"/>
          <w:sz w:val="24"/>
          <w:szCs w:val="28"/>
          <w14:textFill>
            <w14:solidFill>
              <w14:schemeClr w14:val="tx1"/>
            </w14:solidFill>
          </w14:textFill>
        </w:rPr>
        <w:t xml:space="preserve"> 000</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:1</w:t>
      </w:r>
      <w:r>
        <w:rPr>
          <w:rFonts w:ascii="Times New Roman" w:hAnsi="Times New Roman"/>
          <w:color w:val="000000" w:themeColor="text1"/>
          <w:sz w:val="24"/>
          <w:szCs w:val="28"/>
          <w14:textFill>
            <w14:solidFill>
              <w14:schemeClr w14:val="tx1"/>
            </w14:solidFill>
          </w14:textFill>
        </w:rPr>
        <w:t>0 000</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:2</w:t>
      </w:r>
      <w:r>
        <w:rPr>
          <w:rFonts w:ascii="Times New Roman" w:hAnsi="Times New Roman"/>
          <w:color w:val="000000" w:themeColor="text1"/>
          <w:sz w:val="24"/>
          <w:szCs w:val="28"/>
          <w14:textFill>
            <w14:solidFill>
              <w14:schemeClr w14:val="tx1"/>
            </w14:solidFill>
          </w14:textFill>
        </w:rPr>
        <w:t>5 000</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:5</w:t>
      </w:r>
      <w:r>
        <w:rPr>
          <w:rFonts w:ascii="Times New Roman" w:hAnsi="Times New Roman"/>
          <w:color w:val="000000" w:themeColor="text1"/>
          <w:sz w:val="24"/>
          <w:szCs w:val="28"/>
          <w14:textFill>
            <w14:solidFill>
              <w14:schemeClr w14:val="tx1"/>
            </w14:solidFill>
          </w14:textFill>
        </w:rPr>
        <w:t>0 000</w:t>
      </w:r>
      <w:r>
        <w:rPr>
          <w:rFonts w:hint="eastAsia" w:ascii="Times New Roman" w:hAnsi="Times New Roman"/>
          <w:color w:val="000000" w:themeColor="text1"/>
          <w:sz w:val="24"/>
          <w:szCs w:val="28"/>
          <w14:textFill>
            <w14:solidFill>
              <w14:schemeClr w14:val="tx1"/>
            </w14:solidFill>
          </w14:textFill>
        </w:rPr>
        <w:t xml:space="preserve">、 </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:1</w:t>
      </w:r>
      <w:r>
        <w:rPr>
          <w:rFonts w:ascii="Times New Roman" w:hAnsi="Times New Roman"/>
          <w:color w:val="000000" w:themeColor="text1"/>
          <w:sz w:val="24"/>
          <w:szCs w:val="28"/>
          <w14:textFill>
            <w14:solidFill>
              <w14:schemeClr w14:val="tx1"/>
            </w14:solidFill>
          </w14:textFill>
        </w:rPr>
        <w:t>00 000</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:2</w:t>
      </w:r>
      <w:r>
        <w:rPr>
          <w:rFonts w:ascii="Times New Roman" w:hAnsi="Times New Roman"/>
          <w:color w:val="000000" w:themeColor="text1"/>
          <w:sz w:val="24"/>
          <w:szCs w:val="28"/>
          <w14:textFill>
            <w14:solidFill>
              <w14:schemeClr w14:val="tx1"/>
            </w14:solidFill>
          </w14:textFill>
        </w:rPr>
        <w:t>00 000</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500 000</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1</w:t>
      </w:r>
      <w:r>
        <w:rPr>
          <w:rFonts w:hint="eastAsia" w:ascii="Times New Roman" w:hAnsi="Times New Roman"/>
          <w:color w:val="000000" w:themeColor="text1"/>
          <w:sz w:val="24"/>
          <w:szCs w:val="28"/>
          <w14:textFill>
            <w14:solidFill>
              <w14:schemeClr w14:val="tx1"/>
            </w14:solidFill>
          </w14:textFill>
        </w:rPr>
        <w:t>:1</w:t>
      </w:r>
      <w:r>
        <w:rPr>
          <w:rFonts w:ascii="Times New Roman" w:hAnsi="Times New Roman"/>
          <w:color w:val="000000" w:themeColor="text1"/>
          <w:sz w:val="24"/>
          <w:szCs w:val="28"/>
          <w14:textFill>
            <w14:solidFill>
              <w14:schemeClr w14:val="tx1"/>
            </w14:solidFill>
          </w14:textFill>
        </w:rPr>
        <w:t xml:space="preserve"> 000 000共</w:t>
      </w:r>
      <w:r>
        <w:rPr>
          <w:rFonts w:hint="eastAsia" w:ascii="Times New Roman" w:hAnsi="Times New Roman"/>
          <w:color w:val="000000" w:themeColor="text1"/>
          <w:sz w:val="24"/>
          <w:szCs w:val="28"/>
          <w14:textFill>
            <w14:solidFill>
              <w14:schemeClr w14:val="tx1"/>
            </w14:solidFill>
          </w14:textFill>
        </w:rPr>
        <w:t>1</w:t>
      </w:r>
      <w:r>
        <w:rPr>
          <w:rFonts w:ascii="Times New Roman" w:hAnsi="Times New Roman"/>
          <w:color w:val="000000" w:themeColor="text1"/>
          <w:sz w:val="24"/>
          <w:szCs w:val="28"/>
          <w14:textFill>
            <w14:solidFill>
              <w14:schemeClr w14:val="tx1"/>
            </w14:solidFill>
          </w14:textFill>
        </w:rPr>
        <w:t>1个比例尺的分幅和编号标准</w:t>
      </w:r>
      <w:r>
        <w:rPr>
          <w:rFonts w:hint="eastAsia" w:ascii="Times New Roman" w:hAnsi="Times New Roman"/>
          <w:color w:val="000000" w:themeColor="text1"/>
          <w:sz w:val="24"/>
          <w:szCs w:val="28"/>
          <w14:textFill>
            <w14:solidFill>
              <w14:schemeClr w14:val="tx1"/>
            </w14:solidFill>
          </w14:textFill>
        </w:rPr>
        <w:t>。农作物地面样方遥感调查专题图适用比例尺宜为国家基本比例尺1:500 ~ 1:50 000范围，</w:t>
      </w:r>
      <w:r>
        <w:rPr>
          <w:rFonts w:ascii="Times New Roman" w:hAnsi="Times New Roman"/>
          <w:color w:val="000000" w:themeColor="text1"/>
          <w:sz w:val="24"/>
          <w:szCs w:val="28"/>
          <w14:textFill>
            <w14:solidFill>
              <w14:schemeClr w14:val="tx1"/>
            </w14:solidFill>
          </w14:textFill>
        </w:rPr>
        <w:t>作物</w:t>
      </w:r>
      <w:r>
        <w:rPr>
          <w:rFonts w:hint="eastAsia" w:ascii="Times New Roman" w:hAnsi="Times New Roman"/>
          <w:color w:val="000000" w:themeColor="text1"/>
          <w:sz w:val="24"/>
          <w:szCs w:val="28"/>
          <w14:textFill>
            <w14:solidFill>
              <w14:schemeClr w14:val="tx1"/>
            </w14:solidFill>
          </w14:textFill>
        </w:rPr>
        <w:t>样方</w:t>
      </w:r>
      <w:r>
        <w:rPr>
          <w:rFonts w:ascii="Times New Roman" w:hAnsi="Times New Roman"/>
          <w:color w:val="000000" w:themeColor="text1"/>
          <w:sz w:val="24"/>
          <w:szCs w:val="28"/>
          <w14:textFill>
            <w14:solidFill>
              <w14:schemeClr w14:val="tx1"/>
            </w14:solidFill>
          </w14:textFill>
        </w:rPr>
        <w:t>遥感监测成果的制图比例尺应当与国家基本比例尺地图保持一致</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确保成果的通用性</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准确性</w:t>
      </w:r>
      <w:r>
        <w:rPr>
          <w:rFonts w:hint="eastAsia" w:ascii="Times New Roman" w:hAnsi="Times New Roman"/>
          <w:color w:val="000000" w:themeColor="text1"/>
          <w:sz w:val="24"/>
          <w:szCs w:val="28"/>
          <w14:textFill>
            <w14:solidFill>
              <w14:schemeClr w14:val="tx1"/>
            </w14:solidFill>
          </w14:textFill>
        </w:rPr>
        <w:t>。</w:t>
      </w:r>
    </w:p>
    <w:p>
      <w:pPr>
        <w:pStyle w:val="5"/>
        <w:rPr>
          <w:rFonts w:ascii="Times New Roman" w:hAnsi="Times New Roman"/>
          <w:color w:val="000000" w:themeColor="text1"/>
          <w14:textFill>
            <w14:solidFill>
              <w14:schemeClr w14:val="tx1"/>
            </w14:solidFill>
          </w14:textFill>
        </w:rPr>
      </w:pPr>
      <w:bookmarkStart w:id="66" w:name="_Toc533587554"/>
      <w:r>
        <w:rPr>
          <w:rFonts w:hint="eastAsia" w:ascii="Times New Roman" w:hAnsi="Times New Roman"/>
          <w:color w:val="000000" w:themeColor="text1"/>
          <w14:textFill>
            <w14:solidFill>
              <w14:schemeClr w14:val="tx1"/>
            </w14:solidFill>
          </w14:textFill>
        </w:rPr>
        <w:t>调查时间</w:t>
      </w:r>
      <w:bookmarkEnd w:id="66"/>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农作物地面样方遥感调查时间宜在作物出苗后至收获前。</w:t>
      </w:r>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监测流程</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依据1998年以来农业农村部“国家农情遥感监测业务运行系统”。农作物地面样方遥感调查工作的多年试验与对比分析，参考相关的科研成果、文献资料等，确定了农作物地面样方遥感调查的技术流程。</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农作物地面样方遥感调查流程包括数据获取与处理、地面样方布设方案设计、地面样方信息调查、地面样方信息整理与入库等4方面内容，技术流程可参照图1开展。数据获取与处理包括遥感数据和其他数据获取，以及遥感数据的预处理；地面样方布设方案设计部分包括地面样方设计的原则和要求，并对样方的位置、大小、数量以及样方的校验进行了说明；地面样方信息调查主要包括样方信息地面调查和样方信息遥感判读两部分，对地面样方的空间位置、作物类型和面积等信息的获取方法和要求进行了规定；地面样方信息整理及入库主要包括地面样方信息的整理和样方信息入库两方面的内容。</w:t>
      </w:r>
    </w:p>
    <w:p>
      <w:pPr>
        <w:pStyle w:val="51"/>
      </w:pPr>
      <w:r>
        <w:object>
          <v:shape id="_x0000_i1025" o:spt="75" type="#_x0000_t75" style="height:396.55pt;width:255.75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pPr>
        <w:pStyle w:val="51"/>
        <w:rPr>
          <w:rFonts w:eastAsia="黑体"/>
        </w:rPr>
      </w:pPr>
      <w:r>
        <w:rPr>
          <w:rFonts w:hint="eastAsia" w:eastAsia="黑体"/>
        </w:rPr>
        <w:t>图</w:t>
      </w:r>
      <w:r>
        <w:rPr>
          <w:rFonts w:eastAsia="黑体"/>
        </w:rPr>
        <w:fldChar w:fldCharType="begin"/>
      </w:r>
      <w:r>
        <w:rPr>
          <w:rFonts w:eastAsia="黑体"/>
        </w:rPr>
        <w:instrText xml:space="preserve"> </w:instrText>
      </w:r>
      <w:r>
        <w:rPr>
          <w:rFonts w:hint="eastAsia" w:eastAsia="黑体"/>
        </w:rPr>
        <w:instrText xml:space="preserve">SEQ 图 \* ARABIC</w:instrText>
      </w:r>
      <w:r>
        <w:rPr>
          <w:rFonts w:eastAsia="黑体"/>
        </w:rPr>
        <w:instrText xml:space="preserve"> </w:instrText>
      </w:r>
      <w:r>
        <w:rPr>
          <w:rFonts w:eastAsia="黑体"/>
        </w:rPr>
        <w:fldChar w:fldCharType="separate"/>
      </w:r>
      <w:r>
        <w:rPr>
          <w:rFonts w:eastAsia="黑体"/>
        </w:rPr>
        <w:t>1</w:t>
      </w:r>
      <w:r>
        <w:rPr>
          <w:rFonts w:eastAsia="黑体"/>
        </w:rPr>
        <w:fldChar w:fldCharType="end"/>
      </w:r>
      <w:r>
        <w:rPr>
          <w:rFonts w:hint="eastAsia" w:eastAsia="黑体"/>
        </w:rPr>
        <w:t>农作物地面</w:t>
      </w:r>
      <w:r>
        <w:rPr>
          <w:rFonts w:eastAsia="黑体"/>
        </w:rPr>
        <w:t>样方</w:t>
      </w:r>
      <w:r>
        <w:rPr>
          <w:rFonts w:hint="eastAsia" w:eastAsia="黑体"/>
        </w:rPr>
        <w:t>遥感调查技术流程</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数据获取</w:t>
      </w:r>
      <w:r>
        <w:rPr>
          <w:rFonts w:ascii="Times New Roman" w:hAnsi="Times New Roman"/>
          <w:color w:val="000000" w:themeColor="text1"/>
          <w14:textFill>
            <w14:solidFill>
              <w14:schemeClr w14:val="tx1"/>
            </w14:solidFill>
          </w14:textFill>
        </w:rPr>
        <w:t>与处理</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本</w:t>
      </w:r>
      <w:r>
        <w:rPr>
          <w:rFonts w:ascii="Times New Roman" w:hAnsi="Times New Roman"/>
          <w:color w:val="000000" w:themeColor="text1"/>
          <w:sz w:val="24"/>
          <w:szCs w:val="28"/>
          <w14:textFill>
            <w14:solidFill>
              <w14:schemeClr w14:val="tx1"/>
            </w14:solidFill>
          </w14:textFill>
        </w:rPr>
        <w:t>标准</w:t>
      </w:r>
      <w:r>
        <w:rPr>
          <w:rFonts w:hint="eastAsia" w:ascii="Times New Roman" w:hAnsi="Times New Roman"/>
          <w:color w:val="000000" w:themeColor="text1"/>
          <w:sz w:val="24"/>
          <w:szCs w:val="28"/>
          <w14:textFill>
            <w14:solidFill>
              <w14:schemeClr w14:val="tx1"/>
            </w14:solidFill>
          </w14:textFill>
        </w:rPr>
        <w:t>对</w:t>
      </w:r>
      <w:r>
        <w:rPr>
          <w:rFonts w:ascii="Times New Roman" w:hAnsi="Times New Roman"/>
          <w:color w:val="000000" w:themeColor="text1"/>
          <w:sz w:val="24"/>
          <w:szCs w:val="28"/>
          <w14:textFill>
            <w14:solidFill>
              <w14:schemeClr w14:val="tx1"/>
            </w14:solidFill>
          </w14:textFill>
        </w:rPr>
        <w:t>遥感数据、其他数据的获取与处理提出了要求。</w:t>
      </w:r>
    </w:p>
    <w:p>
      <w:pPr>
        <w:pStyle w:val="5"/>
        <w:rPr>
          <w:rFonts w:ascii="Times New Roman" w:hAnsi="Times New Roman"/>
          <w:color w:val="000000" w:themeColor="text1"/>
          <w14:textFill>
            <w14:solidFill>
              <w14:schemeClr w14:val="tx1"/>
            </w14:solidFill>
          </w14:textFill>
        </w:rPr>
      </w:pPr>
      <w:bookmarkStart w:id="67" w:name="_Toc533587557"/>
      <w:r>
        <w:rPr>
          <w:rFonts w:hint="eastAsia" w:ascii="Times New Roman" w:hAnsi="Times New Roman"/>
          <w:color w:val="000000" w:themeColor="text1"/>
          <w14:textFill>
            <w14:solidFill>
              <w14:schemeClr w14:val="tx1"/>
            </w14:solidFill>
          </w14:textFill>
        </w:rPr>
        <w:t>遥感数据</w:t>
      </w:r>
      <w:bookmarkEnd w:id="67"/>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考虑</w:t>
      </w:r>
      <w:r>
        <w:rPr>
          <w:rFonts w:hint="eastAsia" w:ascii="Times New Roman" w:hAnsi="Times New Roman"/>
          <w:color w:val="000000" w:themeColor="text1"/>
          <w:sz w:val="24"/>
          <w:szCs w:val="28"/>
          <w14:textFill>
            <w14:solidFill>
              <w14:schemeClr w14:val="tx1"/>
            </w14:solidFill>
          </w14:textFill>
        </w:rPr>
        <w:t>当前</w:t>
      </w:r>
      <w:r>
        <w:rPr>
          <w:rFonts w:ascii="Times New Roman" w:hAnsi="Times New Roman"/>
          <w:color w:val="000000" w:themeColor="text1"/>
          <w:sz w:val="24"/>
          <w:szCs w:val="28"/>
          <w14:textFill>
            <w14:solidFill>
              <w14:schemeClr w14:val="tx1"/>
            </w14:solidFill>
          </w14:textFill>
        </w:rPr>
        <w:t>作物</w:t>
      </w:r>
      <w:r>
        <w:rPr>
          <w:rFonts w:hint="eastAsia" w:ascii="Times New Roman" w:hAnsi="Times New Roman"/>
          <w:color w:val="000000" w:themeColor="text1"/>
          <w:sz w:val="24"/>
          <w:szCs w:val="28"/>
          <w14:textFill>
            <w14:solidFill>
              <w14:schemeClr w14:val="tx1"/>
            </w14:solidFill>
          </w14:textFill>
        </w:rPr>
        <w:t>地面样方遥感调查</w:t>
      </w:r>
      <w:r>
        <w:rPr>
          <w:rFonts w:ascii="Times New Roman" w:hAnsi="Times New Roman"/>
          <w:color w:val="000000" w:themeColor="text1"/>
          <w:sz w:val="24"/>
          <w:szCs w:val="28"/>
          <w14:textFill>
            <w14:solidFill>
              <w14:schemeClr w14:val="tx1"/>
            </w14:solidFill>
          </w14:textFill>
        </w:rPr>
        <w:t>研究的国内外进展和技术成熟度</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以及数据的易获取性，本标准将高分辨率的多光谱卫星数据</w:t>
      </w:r>
      <w:r>
        <w:rPr>
          <w:rFonts w:hint="eastAsia" w:ascii="Times New Roman" w:hAnsi="Times New Roman"/>
          <w:color w:val="000000" w:themeColor="text1"/>
          <w:sz w:val="24"/>
          <w:szCs w:val="28"/>
          <w14:textFill>
            <w14:solidFill>
              <w14:schemeClr w14:val="tx1"/>
            </w14:solidFill>
          </w14:textFill>
        </w:rPr>
        <w:t>和</w:t>
      </w:r>
      <w:r>
        <w:rPr>
          <w:rFonts w:ascii="Times New Roman" w:hAnsi="Times New Roman"/>
          <w:color w:val="000000" w:themeColor="text1"/>
          <w:sz w:val="24"/>
          <w:szCs w:val="28"/>
          <w14:textFill>
            <w14:solidFill>
              <w14:schemeClr w14:val="tx1"/>
            </w14:solidFill>
          </w14:textFill>
        </w:rPr>
        <w:t>无人机影像数据作为主要的作物</w:t>
      </w:r>
      <w:r>
        <w:rPr>
          <w:rFonts w:hint="eastAsia" w:ascii="Times New Roman" w:hAnsi="Times New Roman"/>
          <w:color w:val="000000" w:themeColor="text1"/>
          <w:sz w:val="24"/>
          <w:szCs w:val="28"/>
          <w14:textFill>
            <w14:solidFill>
              <w14:schemeClr w14:val="tx1"/>
            </w14:solidFill>
          </w14:textFill>
        </w:rPr>
        <w:t>地面样方遥感调查</w:t>
      </w:r>
      <w:r>
        <w:rPr>
          <w:rFonts w:ascii="Times New Roman" w:hAnsi="Times New Roman"/>
          <w:color w:val="000000" w:themeColor="text1"/>
          <w:sz w:val="24"/>
          <w:szCs w:val="28"/>
          <w14:textFill>
            <w14:solidFill>
              <w14:schemeClr w14:val="tx1"/>
            </w14:solidFill>
          </w14:textFill>
        </w:rPr>
        <w:t>数据源</w:t>
      </w:r>
      <w:r>
        <w:rPr>
          <w:rFonts w:hint="eastAsia" w:ascii="Times New Roman" w:hAnsi="Times New Roman"/>
          <w:color w:val="000000" w:themeColor="text1"/>
          <w:sz w:val="24"/>
          <w:szCs w:val="28"/>
          <w14:textFill>
            <w14:solidFill>
              <w14:schemeClr w14:val="tx1"/>
            </w14:solidFill>
          </w14:textFill>
        </w:rPr>
        <w:t>。</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针对调查区域作物的特点，以及农作物地面样方遥感调查的具体需求，选取合适的遥感影像数据。对于样方分布范围较广的区域，可以采用GF-2、Worldview系列等卫星影像。对于样方分布较为集中的区域，可以采用google earth或无人机获取的影像。对于地块面积很大的区域（如东北和新疆等地），可以适当方框遥感影像的空间分辨率。</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此外</w:t>
      </w:r>
      <w:r>
        <w:rPr>
          <w:rFonts w:hint="eastAsia" w:ascii="Times New Roman" w:hAnsi="Times New Roman"/>
          <w:color w:val="000000" w:themeColor="text1"/>
          <w:sz w:val="24"/>
          <w:szCs w:val="28"/>
          <w14:textFill>
            <w14:solidFill>
              <w14:schemeClr w14:val="tx1"/>
            </w14:solidFill>
          </w14:textFill>
        </w:rPr>
        <w:t>，遥感影像应满足以下要求：在遥感影像上应能够目视判断出目标作物；样方范围内像元应无云或浓雾覆盖，可以通过邻近多时相影像合成晴空影像数据，所用影像应处于同一作物生育时期内；遥感影像空间分辨率应根据所处地形和地块破碎程度确定，影像数据应图面清晰，无数据丢失，无明显条纹、点状和块状噪声，定位准确，无严重畸变；遥感影像存在像元缺失或质量不佳时，应将缺失或质量不佳像元在最终结果中进行标识。</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遥感数据的前处理要求主要是辐射定标、大气校正和几何校正。辐射定标和大气校正主要是获取地表反射率影像。其中，几何校正的精度要求参考了正射影像图制作相关标准，如国家基本比例尺地图正射影像图（</w:t>
      </w:r>
      <w:r>
        <w:rPr>
          <w:rFonts w:ascii="Times New Roman" w:hAnsi="Times New Roman"/>
          <w:color w:val="000000" w:themeColor="text1"/>
          <w:sz w:val="24"/>
          <w:szCs w:val="28"/>
          <w14:textFill>
            <w14:solidFill>
              <w14:schemeClr w14:val="tx1"/>
            </w14:solidFill>
          </w14:textFill>
        </w:rPr>
        <w:t>GB/T 33175-2016</w:t>
      </w:r>
      <w:r>
        <w:rPr>
          <w:rFonts w:hint="eastAsia" w:ascii="Times New Roman" w:hAnsi="Times New Roman"/>
          <w:color w:val="000000" w:themeColor="text1"/>
          <w:sz w:val="24"/>
          <w:szCs w:val="28"/>
          <w14:textFill>
            <w14:solidFill>
              <w14:schemeClr w14:val="tx1"/>
            </w14:solidFill>
          </w14:textFill>
        </w:rPr>
        <w:t>《国家基本比例尺地图 1:500 1:1 000 1:2 000正射影像地图》、GB/T 33182-2016</w:t>
      </w:r>
      <w:r>
        <w:rPr>
          <w:rFonts w:ascii="Times New Roman" w:hAnsi="Times New Roman"/>
          <w:color w:val="000000" w:themeColor="text1"/>
          <w:sz w:val="24"/>
          <w:szCs w:val="28"/>
          <w14:textFill>
            <w14:solidFill>
              <w14:schemeClr w14:val="tx1"/>
            </w14:solidFill>
          </w14:textFill>
        </w:rPr>
        <w:t xml:space="preserve"> </w:t>
      </w:r>
      <w:r>
        <w:rPr>
          <w:rFonts w:hint="eastAsia" w:ascii="Times New Roman" w:hAnsi="Times New Roman"/>
          <w:color w:val="000000" w:themeColor="text1"/>
          <w:sz w:val="24"/>
          <w:szCs w:val="28"/>
          <w14:textFill>
            <w14:solidFill>
              <w14:schemeClr w14:val="tx1"/>
            </w14:solidFill>
          </w14:textFill>
        </w:rPr>
        <w:t>《国家基本比例尺地图 1:5 000 1:10 000正射影像地图》、</w:t>
      </w:r>
      <w:r>
        <w:rPr>
          <w:rFonts w:ascii="Times New Roman" w:hAnsi="Times New Roman"/>
          <w:color w:val="000000" w:themeColor="text1"/>
          <w:sz w:val="24"/>
          <w:szCs w:val="28"/>
          <w14:textFill>
            <w14:solidFill>
              <w14:schemeClr w14:val="tx1"/>
            </w14:solidFill>
          </w14:textFill>
        </w:rPr>
        <w:t>GB/T 33179-2016</w:t>
      </w:r>
      <w:r>
        <w:rPr>
          <w:rFonts w:hint="eastAsia" w:ascii="Times New Roman" w:hAnsi="Times New Roman"/>
          <w:color w:val="000000" w:themeColor="text1"/>
          <w:sz w:val="24"/>
          <w:szCs w:val="28"/>
          <w14:textFill>
            <w14:solidFill>
              <w14:schemeClr w14:val="tx1"/>
            </w14:solidFill>
          </w14:textFill>
        </w:rPr>
        <w:t>《国家基本比例尺地图 1:25 000 1:50 000 1:100 000正射影像地图》）。根据比例尺的换算，若完全参照这一标准，则正射影像图的点位中误差将达到6~</w:t>
      </w:r>
      <w:r>
        <w:rPr>
          <w:rFonts w:ascii="Times New Roman" w:hAnsi="Times New Roman"/>
          <w:color w:val="000000" w:themeColor="text1"/>
          <w:sz w:val="24"/>
          <w:szCs w:val="28"/>
          <w14:textFill>
            <w14:solidFill>
              <w14:schemeClr w14:val="tx1"/>
            </w14:solidFill>
          </w14:textFill>
        </w:rPr>
        <w:t>8个像元左右</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这对于农业遥感监测需要精确相对位置关系而言显然是不够的</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而常用的基于多时相遥感影像的作物监测</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一般要求几何配准精度达到亚像元级别</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因此</w:t>
      </w:r>
      <w:r>
        <w:rPr>
          <w:rFonts w:hint="eastAsia" w:ascii="Times New Roman" w:hAnsi="Times New Roman"/>
          <w:color w:val="000000" w:themeColor="text1"/>
          <w:sz w:val="24"/>
          <w:szCs w:val="28"/>
          <w14:textFill>
            <w14:solidFill>
              <w14:schemeClr w14:val="tx1"/>
            </w14:solidFill>
          </w14:textFill>
        </w:rPr>
        <w:t>，</w:t>
      </w:r>
      <w:r>
        <w:rPr>
          <w:rFonts w:ascii="Times New Roman" w:hAnsi="Times New Roman"/>
          <w:color w:val="000000" w:themeColor="text1"/>
          <w:sz w:val="24"/>
          <w:szCs w:val="28"/>
          <w14:textFill>
            <w14:solidFill>
              <w14:schemeClr w14:val="tx1"/>
            </w14:solidFill>
          </w14:textFill>
        </w:rPr>
        <w:t>考虑到</w:t>
      </w:r>
      <w:r>
        <w:rPr>
          <w:rFonts w:hint="eastAsia" w:ascii="Times New Roman" w:hAnsi="Times New Roman"/>
          <w:color w:val="000000" w:themeColor="text1"/>
          <w:sz w:val="24"/>
          <w:szCs w:val="28"/>
          <w14:textFill>
            <w14:solidFill>
              <w14:schemeClr w14:val="tx1"/>
            </w14:solidFill>
          </w14:textFill>
        </w:rPr>
        <w:t>农业行业应用的实际需求，由于作物主要种植在平原区域，因此要求平地、丘陵地的大地坐标误差≤1个像元，山地、高山地的大地坐标误差≤2个像元。</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对于无人机影像或质量较高的卫星影像，大气校正前即可清晰识别目标地物，则可不进行辐射定标和大气校正。</w:t>
      </w:r>
    </w:p>
    <w:p>
      <w:pPr>
        <w:pStyle w:val="5"/>
        <w:rPr>
          <w:rFonts w:ascii="Times New Roman" w:hAnsi="Times New Roman"/>
          <w:color w:val="000000" w:themeColor="text1"/>
          <w14:textFill>
            <w14:solidFill>
              <w14:schemeClr w14:val="tx1"/>
            </w14:solidFill>
          </w14:textFill>
        </w:rPr>
      </w:pPr>
      <w:bookmarkStart w:id="68" w:name="_Toc533587561"/>
      <w:r>
        <w:rPr>
          <w:rFonts w:hint="eastAsia" w:ascii="Times New Roman" w:hAnsi="Times New Roman"/>
          <w:color w:val="000000" w:themeColor="text1"/>
          <w14:textFill>
            <w14:solidFill>
              <w14:schemeClr w14:val="tx1"/>
            </w14:solidFill>
          </w14:textFill>
        </w:rPr>
        <w:t>其他数据</w:t>
      </w:r>
      <w:bookmarkEnd w:id="68"/>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其他数据包括了</w:t>
      </w:r>
      <w:r>
        <w:rPr>
          <w:rFonts w:hint="eastAsia" w:ascii="Times New Roman" w:hAnsi="Times New Roman"/>
          <w:color w:val="000000" w:themeColor="text1"/>
          <w:sz w:val="24"/>
          <w:szCs w:val="28"/>
          <w14:textFill>
            <w14:solidFill>
              <w14:schemeClr w14:val="tx1"/>
            </w14:solidFill>
          </w14:textFill>
        </w:rPr>
        <w:t>近5年目标农作物种植区空间分布数据或当年度目标农作物早期识别数据、监测区域行政区划图、监测区域目标作物生育期资料等。</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地面</w:t>
      </w:r>
      <w:r>
        <w:rPr>
          <w:rFonts w:ascii="Times New Roman" w:hAnsi="Times New Roman"/>
          <w:color w:val="000000" w:themeColor="text1"/>
          <w14:textFill>
            <w14:solidFill>
              <w14:schemeClr w14:val="tx1"/>
            </w14:solidFill>
          </w14:textFill>
        </w:rPr>
        <w:t>样方布设方案设计</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样方位置：样方位置在空间上应尽量均匀分布并具有空间代表性，具体位置应根据调查区域目标作物的空间分布确定；样方位置的确定宜采用基于高分辨率光学遥感数据建立规则的网格的方法，即将调查区域划分为规则的网格，以每个网格内目标作物面积占比为指标，在兼顾空间均匀分布的前提下，采用等概率抽样的原则确定具体的样方位置。</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样方大小：应根据调查区域大小、无人机续航能力等因素综合确定样方大小，一般不宜超过2km×2km。</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样方数量：应根据样方大小和调查区域的面积综合确定样方数量，抽取的样方面积占调查区域面积的占比不宜低于5%。</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样方校验：宜安排专门的、经验丰富的校验人员对选定的样方进行人工校验，或利用近5年目标农作物种植区空间分布数据或当年度目标农作物早期识别数据对选定样方的抽样等概率性和空间分布均匀性进行评价。校验不通过，需要对样方的布设方案进行重新设计。</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地面样方信息调查</w:t>
      </w:r>
    </w:p>
    <w:p>
      <w:pPr>
        <w:pStyle w:val="5"/>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样方信息地面调查</w:t>
      </w:r>
    </w:p>
    <w:p>
      <w:pPr>
        <w:adjustRightInd/>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样方信息</w:t>
      </w:r>
      <w:r>
        <w:rPr>
          <w:rFonts w:ascii="Times New Roman" w:hAnsi="Times New Roman"/>
          <w:color w:val="000000" w:themeColor="text1"/>
          <w:sz w:val="24"/>
          <w14:textFill>
            <w14:solidFill>
              <w14:schemeClr w14:val="tx1"/>
            </w14:solidFill>
          </w14:textFill>
        </w:rPr>
        <w:t>地面</w:t>
      </w:r>
      <w:r>
        <w:rPr>
          <w:rFonts w:hint="eastAsia" w:ascii="Times New Roman" w:hAnsi="Times New Roman"/>
          <w:color w:val="000000" w:themeColor="text1"/>
          <w:sz w:val="24"/>
          <w14:textFill>
            <w14:solidFill>
              <w14:schemeClr w14:val="tx1"/>
            </w14:solidFill>
          </w14:textFill>
        </w:rPr>
        <w:t>调查是基于遥感影像进行作物地面样方遥感调查的重要依据，样方的</w:t>
      </w:r>
      <w:r>
        <w:rPr>
          <w:rFonts w:ascii="Times New Roman" w:hAnsi="Times New Roman"/>
          <w:color w:val="000000" w:themeColor="text1"/>
          <w:sz w:val="24"/>
          <w14:textFill>
            <w14:solidFill>
              <w14:schemeClr w14:val="tx1"/>
            </w14:solidFill>
          </w14:textFill>
        </w:rPr>
        <w:t>实际</w:t>
      </w:r>
      <w:r>
        <w:rPr>
          <w:rFonts w:hint="eastAsia" w:ascii="Times New Roman" w:hAnsi="Times New Roman"/>
          <w:color w:val="000000" w:themeColor="text1"/>
          <w:sz w:val="24"/>
          <w14:textFill>
            <w14:solidFill>
              <w14:schemeClr w14:val="tx1"/>
            </w14:solidFill>
          </w14:textFill>
        </w:rPr>
        <w:t>调查结果对于地面样方遥感调查结果精度验证具有重要的意义。</w:t>
      </w:r>
    </w:p>
    <w:p>
      <w:pPr>
        <w:adjustRightInd/>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样方信息地面调查要求：样方位置信息地面调查应采用RTK或其他GNSS设备等精度较高的定位仪器，每次测量应重复3次，以3次测量均值作为该次测量结果。对于相对规则的多边形地块，应测量多边形每个顶点的坐标，对于不规则地块，应测量地块边界的线矢量。如对样方的绝对位置要求较高，可基于CGCS2000进行坐标校正；基于RTK或其他GNSS设备获得的点或线数据，转换为面矢量文件，计算获得样方面积信息；样方空间信息和面积信息获取后，应将地块所属行政区、地形、作物种类及作物生育时期等信息做详细记录，作为档案保存并填报，调查表见附表A.1。样方的详细地理坐标及样方的属性数据应形成数字化档案。</w:t>
      </w:r>
    </w:p>
    <w:p>
      <w:pPr>
        <w:pStyle w:val="5"/>
        <w:rPr>
          <w:rFonts w:ascii="Times New Roman" w:hAnsi="Times New Roman"/>
          <w:color w:val="000000" w:themeColor="text1"/>
          <w14:textFill>
            <w14:solidFill>
              <w14:schemeClr w14:val="tx1"/>
            </w14:solidFill>
          </w14:textFill>
        </w:rPr>
      </w:pPr>
      <w:bookmarkStart w:id="69" w:name="_Toc531195527"/>
      <w:r>
        <w:rPr>
          <w:rFonts w:hint="eastAsia" w:ascii="Times New Roman" w:hAnsi="Times New Roman"/>
          <w:color w:val="000000" w:themeColor="text1"/>
          <w14:textFill>
            <w14:solidFill>
              <w14:schemeClr w14:val="tx1"/>
            </w14:solidFill>
          </w14:textFill>
        </w:rPr>
        <w:t>样方</w:t>
      </w:r>
      <w:r>
        <w:rPr>
          <w:rFonts w:ascii="Times New Roman" w:hAnsi="Times New Roman"/>
          <w:color w:val="000000" w:themeColor="text1"/>
          <w14:textFill>
            <w14:solidFill>
              <w14:schemeClr w14:val="tx1"/>
            </w14:solidFill>
          </w14:textFill>
        </w:rPr>
        <w:t>信息遥感</w:t>
      </w:r>
      <w:r>
        <w:rPr>
          <w:rFonts w:hint="eastAsia" w:ascii="Times New Roman" w:hAnsi="Times New Roman"/>
          <w:color w:val="000000" w:themeColor="text1"/>
          <w14:textFill>
            <w14:solidFill>
              <w14:schemeClr w14:val="tx1"/>
            </w14:solidFill>
          </w14:textFill>
        </w:rPr>
        <w:t>判读</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样方信息遥感判读步骤：首先，基于高分辨率光学遥感影像，结合样方信息地面调查结果，通过目视判读，基于地物光谱和形状等特征确定目标农作物类型。在此基础上，创建矢量文件，沿目标农作物边界绘制，得到目标农作物边界矢量文件。最后，利用得到的矢量文件计算每个样方内的目标农作物面积。</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地面样方整理</w:t>
      </w:r>
      <w:r>
        <w:rPr>
          <w:rFonts w:ascii="Times New Roman" w:hAnsi="Times New Roman"/>
          <w:color w:val="000000" w:themeColor="text1"/>
          <w14:textFill>
            <w14:solidFill>
              <w14:schemeClr w14:val="tx1"/>
            </w14:solidFill>
          </w14:textFill>
        </w:rPr>
        <w:t>和样方</w:t>
      </w:r>
      <w:r>
        <w:rPr>
          <w:rFonts w:hint="eastAsia" w:ascii="Times New Roman" w:hAnsi="Times New Roman"/>
          <w:color w:val="000000" w:themeColor="text1"/>
          <w14:textFill>
            <w14:solidFill>
              <w14:schemeClr w14:val="tx1"/>
            </w14:solidFill>
          </w14:textFill>
        </w:rPr>
        <w:t>入库</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样方精度验证合格后，应将遥感影像、样方矢量文件、地面调查等数据进行整理。如需制作样方专题图，专题图要素应包括图名、图例、比例尺、样方空间分布、行政区划边界等。基本地图要素制作方式应按GB/T 20257-2017完成。</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样方整理完成后，应对遥感信息、样方信息和专题图等数据进行编号、入库。</w:t>
      </w:r>
    </w:p>
    <w:p>
      <w:pPr>
        <w:pStyle w:val="3"/>
        <w:rPr>
          <w:rFonts w:ascii="Times New Roman" w:hAnsi="Times New Roman"/>
          <w:color w:val="000000" w:themeColor="text1"/>
          <w14:textFill>
            <w14:solidFill>
              <w14:schemeClr w14:val="tx1"/>
            </w14:solidFill>
          </w14:textFill>
        </w:rPr>
      </w:pPr>
      <w:bookmarkStart w:id="70" w:name="_Toc129182648"/>
      <w:r>
        <w:rPr>
          <w:rFonts w:ascii="Times New Roman" w:hAnsi="Times New Roman"/>
          <w:color w:val="000000" w:themeColor="text1"/>
          <w14:textFill>
            <w14:solidFill>
              <w14:schemeClr w14:val="tx1"/>
            </w14:solidFill>
          </w14:textFill>
        </w:rPr>
        <w:t>标准的符合性和一致性</w:t>
      </w:r>
      <w:bookmarkEnd w:id="69"/>
      <w:bookmarkEnd w:id="70"/>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标准的符合性</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本标准符合《中华人民共和国宪法》、《中华人民共和国农业法》以及相关的法律法规，没有出现与有关现行法律、法规和强制性国家标准发生冲突的条款。</w:t>
      </w:r>
    </w:p>
    <w:p>
      <w:pPr>
        <w:pStyle w:val="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标准的一致性</w:t>
      </w:r>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本标准编制过程中，充分考虑了与现行相关标准之间在技术指标方面的一致性或协调性。这些标准包括</w:t>
      </w:r>
      <w:r>
        <w:rPr>
          <w:rFonts w:hint="eastAsia" w:ascii="Times New Roman" w:hAnsi="Times New Roman"/>
          <w:color w:val="000000" w:themeColor="text1"/>
          <w:sz w:val="24"/>
          <w:szCs w:val="28"/>
          <w14:textFill>
            <w14:solidFill>
              <w14:schemeClr w14:val="tx1"/>
            </w14:solidFill>
          </w14:textFill>
        </w:rPr>
        <w:t>《GB/T 13989-2012 国家基本比例尺地形图分幅和编号》、《GB/T 20257-2017（所有部分）国家基本比例尺地图图式》等</w:t>
      </w:r>
      <w:r>
        <w:rPr>
          <w:rFonts w:ascii="Times New Roman" w:hAnsi="Times New Roman"/>
          <w:color w:val="000000" w:themeColor="text1"/>
          <w:sz w:val="24"/>
          <w:szCs w:val="28"/>
          <w14:textFill>
            <w14:solidFill>
              <w14:schemeClr w14:val="tx1"/>
            </w14:solidFill>
          </w14:textFill>
        </w:rPr>
        <w:t>。</w:t>
      </w:r>
    </w:p>
    <w:p>
      <w:pPr>
        <w:pStyle w:val="3"/>
        <w:rPr>
          <w:rFonts w:ascii="Times New Roman" w:hAnsi="Times New Roman"/>
          <w:color w:val="000000" w:themeColor="text1"/>
          <w14:textFill>
            <w14:solidFill>
              <w14:schemeClr w14:val="tx1"/>
            </w14:solidFill>
          </w14:textFill>
        </w:rPr>
      </w:pPr>
      <w:bookmarkStart w:id="71" w:name="_Toc531195528"/>
      <w:bookmarkStart w:id="72" w:name="_Toc129182649"/>
      <w:r>
        <w:rPr>
          <w:rFonts w:ascii="Times New Roman" w:hAnsi="Times New Roman"/>
          <w:color w:val="000000" w:themeColor="text1"/>
          <w14:textFill>
            <w14:solidFill>
              <w14:schemeClr w14:val="tx1"/>
            </w14:solidFill>
          </w14:textFill>
        </w:rPr>
        <w:t>重大分歧意见的处理经过和依据</w:t>
      </w:r>
      <w:bookmarkEnd w:id="71"/>
      <w:bookmarkEnd w:id="72"/>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无。</w:t>
      </w:r>
    </w:p>
    <w:p>
      <w:pPr>
        <w:pStyle w:val="2"/>
        <w:rPr>
          <w:rFonts w:ascii="Times New Roman" w:hAnsi="Times New Roman"/>
          <w:color w:val="000000" w:themeColor="text1"/>
          <w14:textFill>
            <w14:solidFill>
              <w14:schemeClr w14:val="tx1"/>
            </w14:solidFill>
          </w14:textFill>
        </w:rPr>
      </w:pPr>
      <w:bookmarkStart w:id="73" w:name="_Toc129182650"/>
      <w:bookmarkStart w:id="74" w:name="_Toc531195529"/>
      <w:r>
        <w:rPr>
          <w:rFonts w:hint="eastAsia" w:ascii="Times New Roman" w:hAnsi="Times New Roman"/>
          <w:color w:val="000000" w:themeColor="text1"/>
          <w14:textFill>
            <w14:solidFill>
              <w14:schemeClr w14:val="tx1"/>
            </w14:solidFill>
          </w14:textFill>
        </w:rPr>
        <w:t>标椎应用案例</w:t>
      </w:r>
      <w:bookmarkEnd w:id="73"/>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以河北省廊坊市冀州区（原冀州市）以5 m分辨率的</w:t>
      </w:r>
      <w:r>
        <w:rPr>
          <w:rFonts w:ascii="Times New Roman" w:hAnsi="Times New Roman"/>
          <w:color w:val="000000" w:themeColor="text1"/>
          <w:sz w:val="24"/>
          <w:szCs w:val="28"/>
          <w14:textFill>
            <w14:solidFill>
              <w14:schemeClr w14:val="tx1"/>
            </w14:solidFill>
          </w14:textFill>
        </w:rPr>
        <w:t>Rapideye影像</w:t>
      </w:r>
      <w:r>
        <w:rPr>
          <w:rFonts w:hint="eastAsia" w:ascii="Times New Roman" w:hAnsi="Times New Roman"/>
          <w:color w:val="000000" w:themeColor="text1"/>
          <w:sz w:val="24"/>
          <w:szCs w:val="28"/>
          <w14:textFill>
            <w14:solidFill>
              <w14:schemeClr w14:val="tx1"/>
            </w14:solidFill>
          </w14:textFill>
        </w:rPr>
        <w:t>（如图2所示）作为遥感数据，对玉米样方遥感调查技术进行了案例测试。</w:t>
      </w:r>
    </w:p>
    <w:p>
      <w:pPr>
        <w:adjustRightInd/>
        <w:spacing w:line="360" w:lineRule="auto"/>
        <w:jc w:val="center"/>
        <w:rPr>
          <w:rFonts w:ascii="Times New Roman" w:hAnsi="Times New Roman"/>
          <w:color w:val="000000" w:themeColor="text1"/>
          <w:sz w:val="24"/>
          <w:szCs w:val="28"/>
          <w14:textFill>
            <w14:solidFill>
              <w14:schemeClr w14:val="tx1"/>
            </w14:solidFill>
          </w14:textFill>
        </w:rPr>
      </w:pPr>
      <w:r>
        <w:rPr>
          <w:rFonts w:hint="eastAsia" w:ascii="Times New Roman" w:hAnsi="Times New Roman" w:eastAsia="宋体"/>
        </w:rPr>
        <w:drawing>
          <wp:inline distT="0" distB="0" distL="0" distR="0">
            <wp:extent cx="2430780" cy="268732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9023" cy="2696551"/>
                    </a:xfrm>
                    <a:prstGeom prst="rect">
                      <a:avLst/>
                    </a:prstGeom>
                  </pic:spPr>
                </pic:pic>
              </a:graphicData>
            </a:graphic>
          </wp:inline>
        </w:drawing>
      </w:r>
    </w:p>
    <w:p>
      <w:pPr>
        <w:keepNext/>
        <w:adjustRightInd/>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图 </w:t>
      </w: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sz w:val="24"/>
          <w:szCs w:val="28"/>
          <w14:textFill>
            <w14:solidFill>
              <w14:schemeClr w14:val="tx1"/>
            </w14:solidFill>
          </w14:textFill>
        </w:rPr>
        <w:t>河北省廊坊市冀州区</w:t>
      </w:r>
      <w:r>
        <w:rPr>
          <w:rFonts w:ascii="Times New Roman" w:hAnsi="Times New Roman"/>
          <w:color w:val="000000" w:themeColor="text1"/>
          <w:sz w:val="24"/>
          <w:szCs w:val="28"/>
          <w14:textFill>
            <w14:solidFill>
              <w14:schemeClr w14:val="tx1"/>
            </w14:solidFill>
          </w14:textFill>
        </w:rPr>
        <w:t>Rapideye影像</w:t>
      </w:r>
    </w:p>
    <w:p>
      <w:pPr>
        <w:adjustRightInd/>
        <w:spacing w:line="360" w:lineRule="auto"/>
        <w:rPr>
          <w:rFonts w:ascii="Times New Roman" w:hAnsi="Times New Roman"/>
          <w:color w:val="000000" w:themeColor="text1"/>
          <w:sz w:val="24"/>
          <w:szCs w:val="28"/>
          <w14:textFill>
            <w14:solidFill>
              <w14:schemeClr w14:val="tx1"/>
            </w14:solidFill>
          </w14:textFill>
        </w:rPr>
      </w:pPr>
    </w:p>
    <w:p>
      <w:pPr>
        <w:pStyle w:val="3"/>
        <w:rPr>
          <w:rFonts w:ascii="Times New Roman" w:hAnsi="Times New Roman"/>
          <w:color w:val="000000" w:themeColor="text1"/>
          <w14:textFill>
            <w14:solidFill>
              <w14:schemeClr w14:val="tx1"/>
            </w14:solidFill>
          </w14:textFill>
        </w:rPr>
      </w:pPr>
      <w:bookmarkStart w:id="75" w:name="_Toc129182651"/>
      <w:r>
        <w:rPr>
          <w:rFonts w:hint="eastAsia" w:ascii="Times New Roman" w:hAnsi="Times New Roman"/>
          <w:color w:val="000000" w:themeColor="text1"/>
          <w14:textFill>
            <w14:solidFill>
              <w14:schemeClr w14:val="tx1"/>
            </w14:solidFill>
          </w14:textFill>
        </w:rPr>
        <w:t>数据获取与处理</w:t>
      </w:r>
      <w:bookmarkEnd w:id="75"/>
    </w:p>
    <w:p>
      <w:pPr>
        <w:adjustRightInd/>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hint="eastAsia" w:ascii="Times New Roman" w:hAnsi="Times New Roman"/>
          <w:color w:val="000000" w:themeColor="text1"/>
          <w:sz w:val="24"/>
          <w:szCs w:val="28"/>
          <w14:textFill>
            <w14:solidFill>
              <w14:schemeClr w14:val="tx1"/>
            </w14:solidFill>
          </w14:textFill>
        </w:rPr>
        <w:t>研究数据采用 2017 年 8 月 8 日的 Rapideye 影像，该数据空间分辨率为 5 m，包括蓝（440~510 nm）、 绿（520~590 nm）、 红（630~685 nm）、 红 边（690~730 nm）、 近 红 外（760~850 nm）5 个波段。对获取的 Rapideye 数据进行辐射定标、大气校正和几何精校正等预处理工作。</w:t>
      </w:r>
    </w:p>
    <w:p>
      <w:pPr>
        <w:pStyle w:val="3"/>
        <w:rPr>
          <w:rFonts w:ascii="Times New Roman" w:hAnsi="Times New Roman"/>
          <w:color w:val="000000" w:themeColor="text1"/>
          <w14:textFill>
            <w14:solidFill>
              <w14:schemeClr w14:val="tx1"/>
            </w14:solidFill>
          </w14:textFill>
        </w:rPr>
      </w:pPr>
      <w:bookmarkStart w:id="76" w:name="_Toc129182652"/>
      <w:r>
        <w:rPr>
          <w:rFonts w:hint="eastAsia" w:ascii="Times New Roman" w:hAnsi="Times New Roman"/>
          <w:color w:val="000000" w:themeColor="text1"/>
          <w14:textFill>
            <w14:solidFill>
              <w14:schemeClr w14:val="tx1"/>
            </w14:solidFill>
          </w14:textFill>
        </w:rPr>
        <w:t>地面样方布设方案设计</w:t>
      </w:r>
      <w:bookmarkEnd w:id="76"/>
    </w:p>
    <w:p>
      <w:pPr>
        <w:pStyle w:val="4"/>
      </w:pPr>
      <w:r>
        <w:rPr>
          <w:rFonts w:hint="eastAsia"/>
        </w:rPr>
        <w:t>样方大小</w:t>
      </w:r>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本示例采用高空间分辨率遥感影像进行地面样方调查，综合考虑影像范围大小和后续目视解译工作量，设置样方大小为1km×1km。</w:t>
      </w:r>
    </w:p>
    <w:p>
      <w:pPr>
        <w:pStyle w:val="4"/>
      </w:pPr>
      <w:r>
        <w:rPr>
          <w:rFonts w:hint="eastAsia"/>
        </w:rPr>
        <w:t>样方数量</w:t>
      </w:r>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生成覆盖影像范围的1km×1km网格，如下图所示。</w:t>
      </w:r>
    </w:p>
    <w:p>
      <w:pPr>
        <w:adjustRightInd/>
        <w:spacing w:line="360" w:lineRule="auto"/>
        <w:jc w:val="center"/>
        <w:rPr>
          <w:rFonts w:ascii="宋体" w:hAnsi="宋体" w:eastAsia="宋体" w:cs="宋体"/>
          <w:color w:val="000000" w:themeColor="text1"/>
          <w:kern w:val="0"/>
          <w:sz w:val="24"/>
          <w:szCs w:val="24"/>
          <w14:textFill>
            <w14:solidFill>
              <w14:schemeClr w14:val="tx1"/>
            </w14:solidFill>
          </w14:textFill>
        </w:rPr>
      </w:pPr>
      <w:r>
        <w:rPr>
          <w:rFonts w:ascii="Times New Roman" w:hAnsi="Times New Roman" w:eastAsia="宋体"/>
        </w:rPr>
        <w:drawing>
          <wp:inline distT="0" distB="0" distL="0" distR="0">
            <wp:extent cx="2711450" cy="2997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5411" cy="3024311"/>
                    </a:xfrm>
                    <a:prstGeom prst="rect">
                      <a:avLst/>
                    </a:prstGeom>
                  </pic:spPr>
                </pic:pic>
              </a:graphicData>
            </a:graphic>
          </wp:inline>
        </w:drawing>
      </w:r>
    </w:p>
    <w:p>
      <w:pPr>
        <w:pStyle w:val="7"/>
        <w:jc w:val="center"/>
        <w:rPr>
          <w:rFonts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图 </w:t>
      </w: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lang w:eastAsia="zh-CN"/>
          <w14:textFill>
            <w14:solidFill>
              <w14:schemeClr w14:val="tx1"/>
            </w14:solidFill>
          </w14:textFill>
        </w:rPr>
        <w:t>覆盖研究所用影像区域的网格</w:t>
      </w:r>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对网格内影像占比大于9</w:t>
      </w:r>
      <w:r>
        <w:rPr>
          <w:rFonts w:ascii="Times New Roman" w:hAnsi="Times New Roman"/>
          <w:color w:val="000000" w:themeColor="text1"/>
          <w:sz w:val="24"/>
          <w14:textFill>
            <w14:solidFill>
              <w14:schemeClr w14:val="tx1"/>
            </w14:solidFill>
          </w14:textFill>
        </w:rPr>
        <w:t>0%</w:t>
      </w:r>
      <w:r>
        <w:rPr>
          <w:rFonts w:hint="eastAsia" w:ascii="Times New Roman" w:hAnsi="Times New Roman"/>
          <w:color w:val="000000" w:themeColor="text1"/>
          <w:sz w:val="24"/>
          <w14:textFill>
            <w14:solidFill>
              <w14:schemeClr w14:val="tx1"/>
            </w14:solidFill>
          </w14:textFill>
        </w:rPr>
        <w:t>的网格进行统计，共计3</w:t>
      </w:r>
      <w:r>
        <w:rPr>
          <w:rFonts w:ascii="Times New Roman" w:hAnsi="Times New Roman"/>
          <w:color w:val="000000" w:themeColor="text1"/>
          <w:sz w:val="24"/>
          <w14:textFill>
            <w14:solidFill>
              <w14:schemeClr w14:val="tx1"/>
            </w14:solidFill>
          </w14:textFill>
        </w:rPr>
        <w:t>328</w:t>
      </w:r>
      <w:r>
        <w:rPr>
          <w:rFonts w:hint="eastAsia" w:ascii="Times New Roman" w:hAnsi="Times New Roman"/>
          <w:color w:val="000000" w:themeColor="text1"/>
          <w:sz w:val="24"/>
          <w14:textFill>
            <w14:solidFill>
              <w14:schemeClr w14:val="tx1"/>
            </w14:solidFill>
          </w14:textFill>
        </w:rPr>
        <w:t>个网格。利用训练样本采用随机森林分类方法提取研究区内的玉米分布结果，并计算每个网格中玉米面积占比，以1</w:t>
      </w:r>
      <w:r>
        <w:rPr>
          <w:rFonts w:ascii="Times New Roman" w:hAnsi="Times New Roman"/>
          <w:color w:val="000000" w:themeColor="text1"/>
          <w:sz w:val="24"/>
          <w14:textFill>
            <w14:solidFill>
              <w14:schemeClr w14:val="tx1"/>
            </w14:solidFill>
          </w14:textFill>
        </w:rPr>
        <w:t>0</w:t>
      </w:r>
      <w:r>
        <w:rPr>
          <w:rFonts w:hint="eastAsia" w:ascii="Times New Roman" w:hAnsi="Times New Roman"/>
          <w:color w:val="000000" w:themeColor="text1"/>
          <w:sz w:val="24"/>
          <w14:textFill>
            <w14:solidFill>
              <w14:schemeClr w14:val="tx1"/>
            </w14:solidFill>
          </w14:textFill>
        </w:rPr>
        <w:t>个百分点为步长对不同玉米面积占比下的样方数量进行统计。按照1%、3%、</w:t>
      </w:r>
      <w:r>
        <w:rPr>
          <w:rFonts w:ascii="Times New Roman" w:hAnsi="Times New Roman"/>
          <w:color w:val="000000" w:themeColor="text1"/>
          <w:sz w:val="24"/>
          <w14:textFill>
            <w14:solidFill>
              <w14:schemeClr w14:val="tx1"/>
            </w14:solidFill>
          </w14:textFill>
        </w:rPr>
        <w:t>5</w:t>
      </w:r>
      <w:r>
        <w:rPr>
          <w:rFonts w:hint="eastAsia" w:ascii="Times New Roman" w:hAnsi="Times New Roman"/>
          <w:color w:val="000000" w:themeColor="text1"/>
          <w:sz w:val="24"/>
          <w14:textFill>
            <w14:solidFill>
              <w14:schemeClr w14:val="tx1"/>
            </w14:solidFill>
          </w14:textFill>
        </w:rPr>
        <w:t>%和1</w:t>
      </w:r>
      <w:r>
        <w:rPr>
          <w:rFonts w:ascii="Times New Roman" w:hAnsi="Times New Roman"/>
          <w:color w:val="000000" w:themeColor="text1"/>
          <w:sz w:val="24"/>
          <w14:textFill>
            <w14:solidFill>
              <w14:schemeClr w14:val="tx1"/>
            </w14:solidFill>
          </w14:textFill>
        </w:rPr>
        <w:t>0</w:t>
      </w:r>
      <w:r>
        <w:rPr>
          <w:rFonts w:hint="eastAsia" w:ascii="Times New Roman" w:hAnsi="Times New Roman"/>
          <w:color w:val="000000" w:themeColor="text1"/>
          <w:sz w:val="24"/>
          <w14:textFill>
            <w14:solidFill>
              <w14:schemeClr w14:val="tx1"/>
            </w14:solidFill>
          </w14:textFill>
        </w:rPr>
        <w:t>%四个抽样比例进行分层抽样，不同面积占比下的抽取的样方数量如下图所示。</w:t>
      </w:r>
    </w:p>
    <w:p>
      <w:pPr>
        <w:pStyle w:val="7"/>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表 </w:t>
      </w: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lang w:eastAsia="zh-CN"/>
          <w14:textFill>
            <w14:solidFill>
              <w14:schemeClr w14:val="tx1"/>
            </w14:solidFill>
          </w14:textFill>
        </w:rPr>
        <w:t>不同抽样比例下的抽样数量</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701"/>
        <w:gridCol w:w="1485"/>
        <w:gridCol w:w="1485"/>
        <w:gridCol w:w="1485"/>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kern w:val="0"/>
                <w:sz w:val="24"/>
                <w:szCs w:val="24"/>
              </w:rPr>
            </w:pPr>
            <w:r>
              <w:rPr>
                <w:rFonts w:hint="eastAsia" w:ascii="Times New Roman" w:hAnsi="Times New Roman" w:eastAsia="宋体" w:cs="宋体"/>
                <w:kern w:val="0"/>
                <w:sz w:val="24"/>
                <w:szCs w:val="24"/>
              </w:rPr>
              <w:t>玉米面积占比</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全部</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抽样比例1%</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抽样比例3%</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抽样比例5%</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抽样比例10%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0-10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83</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3</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4</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10-20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101</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4</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5</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20-30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139</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2</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5</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7</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30-40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226</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3</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7</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12</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40-50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297</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4</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9</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15</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50-60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446</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5</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14</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23</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60-70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492</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6</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15</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25</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70-80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609</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7</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19</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31</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80-90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559</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6</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17</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28</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90-100</w:t>
            </w:r>
          </w:p>
        </w:tc>
        <w:tc>
          <w:tcPr>
            <w:tcW w:w="411"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376</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4</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12</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19</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37" w:type="pct"/>
            <w:shd w:val="clear" w:color="auto" w:fill="auto"/>
            <w:noWrap/>
            <w:vAlign w:val="center"/>
          </w:tcPr>
          <w:p>
            <w:pPr>
              <w:widowControl/>
              <w:spacing w:line="240" w:lineRule="auto"/>
              <w:jc w:val="center"/>
              <w:rPr>
                <w:rFonts w:ascii="Times New Roman" w:hAnsi="Times New Roman" w:eastAsia="宋体" w:cs="宋体"/>
                <w:color w:val="000000"/>
                <w:kern w:val="0"/>
                <w:sz w:val="22"/>
              </w:rPr>
            </w:pPr>
            <w:r>
              <w:rPr>
                <w:rFonts w:hint="eastAsia" w:ascii="Times New Roman" w:hAnsi="Times New Roman" w:eastAsia="宋体" w:cs="宋体"/>
                <w:color w:val="000000"/>
                <w:kern w:val="0"/>
                <w:sz w:val="22"/>
              </w:rPr>
              <w:t>合计</w:t>
            </w:r>
          </w:p>
        </w:tc>
        <w:tc>
          <w:tcPr>
            <w:tcW w:w="411" w:type="pct"/>
            <w:shd w:val="clear" w:color="auto" w:fill="auto"/>
            <w:noWrap/>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s="宋体"/>
                <w:color w:val="000000"/>
                <w:kern w:val="0"/>
                <w:sz w:val="22"/>
              </w:rPr>
              <w:t>3328</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39</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105</w:t>
            </w:r>
          </w:p>
        </w:tc>
        <w:tc>
          <w:tcPr>
            <w:tcW w:w="871"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169</w:t>
            </w:r>
          </w:p>
        </w:tc>
        <w:tc>
          <w:tcPr>
            <w:tcW w:w="940" w:type="pct"/>
            <w:vAlign w:val="center"/>
          </w:tcPr>
          <w:p>
            <w:pPr>
              <w:widowControl/>
              <w:spacing w:line="240" w:lineRule="auto"/>
              <w:jc w:val="center"/>
              <w:rPr>
                <w:rFonts w:ascii="Times New Roman" w:hAnsi="Times New Roman" w:eastAsia="宋体" w:cs="Times New Roman"/>
                <w:kern w:val="0"/>
                <w:sz w:val="20"/>
                <w:szCs w:val="20"/>
              </w:rPr>
            </w:pPr>
            <w:r>
              <w:rPr>
                <w:rFonts w:hint="eastAsia" w:ascii="Times New Roman" w:hAnsi="Times New Roman" w:eastAsia="宋体"/>
                <w:color w:val="000000"/>
                <w:sz w:val="22"/>
              </w:rPr>
              <w:t>334</w:t>
            </w:r>
          </w:p>
        </w:tc>
      </w:tr>
    </w:tbl>
    <w:p>
      <w:pPr>
        <w:pStyle w:val="4"/>
      </w:pPr>
      <w:r>
        <w:rPr>
          <w:rFonts w:hint="eastAsia"/>
        </w:rPr>
        <w:t>样方位置</w:t>
      </w:r>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以样方尽量均匀分布并具有空间代表性为标准挑选样方，1%、3%、</w:t>
      </w:r>
      <w:r>
        <w:rPr>
          <w:rFonts w:ascii="Times New Roman" w:hAnsi="Times New Roman"/>
          <w:color w:val="000000" w:themeColor="text1"/>
          <w:sz w:val="24"/>
          <w14:textFill>
            <w14:solidFill>
              <w14:schemeClr w14:val="tx1"/>
            </w14:solidFill>
          </w14:textFill>
        </w:rPr>
        <w:t>5</w:t>
      </w:r>
      <w:r>
        <w:rPr>
          <w:rFonts w:hint="eastAsia" w:ascii="Times New Roman" w:hAnsi="Times New Roman"/>
          <w:color w:val="000000" w:themeColor="text1"/>
          <w:sz w:val="24"/>
          <w14:textFill>
            <w14:solidFill>
              <w14:schemeClr w14:val="tx1"/>
            </w14:solidFill>
          </w14:textFill>
        </w:rPr>
        <w:t>%和1</w:t>
      </w:r>
      <w:r>
        <w:rPr>
          <w:rFonts w:ascii="Times New Roman" w:hAnsi="Times New Roman"/>
          <w:color w:val="000000" w:themeColor="text1"/>
          <w:sz w:val="24"/>
          <w14:textFill>
            <w14:solidFill>
              <w14:schemeClr w14:val="tx1"/>
            </w14:solidFill>
          </w14:textFill>
        </w:rPr>
        <w:t>0</w:t>
      </w:r>
      <w:r>
        <w:rPr>
          <w:rFonts w:hint="eastAsia" w:ascii="Times New Roman" w:hAnsi="Times New Roman"/>
          <w:color w:val="000000" w:themeColor="text1"/>
          <w:sz w:val="24"/>
          <w14:textFill>
            <w14:solidFill>
              <w14:schemeClr w14:val="tx1"/>
            </w14:solidFill>
          </w14:textFill>
        </w:rPr>
        <w:t>%四个抽样比例的空间分布如下图所示。</w:t>
      </w:r>
    </w:p>
    <w:p>
      <w:pPr>
        <w:adjustRightInd/>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5274310" cy="5779135"/>
            <wp:effectExtent l="0" t="0" r="254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a:stretch>
                      <a:fillRect/>
                    </a:stretch>
                  </pic:blipFill>
                  <pic:spPr>
                    <a:xfrm>
                      <a:off x="0" y="0"/>
                      <a:ext cx="5274310" cy="5779135"/>
                    </a:xfrm>
                    <a:prstGeom prst="rect">
                      <a:avLst/>
                    </a:prstGeom>
                  </pic:spPr>
                </pic:pic>
              </a:graphicData>
            </a:graphic>
          </wp:inline>
        </w:drawing>
      </w:r>
    </w:p>
    <w:p>
      <w:pPr>
        <w:pStyle w:val="7"/>
        <w:jc w:val="center"/>
        <w:rPr>
          <w:rFonts w:ascii="Times New Roman" w:hAnsi="Times New Roman"/>
          <w:color w:val="000000" w:themeColor="text1"/>
          <w:lang w:eastAsia="zh-CN"/>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图 </w:t>
      </w:r>
      <w:r>
        <w:rPr>
          <w:rFonts w:ascii="Times New Roman" w:hAnsi="Times New Roman"/>
          <w:color w:val="000000" w:themeColor="text1"/>
          <w14:textFill>
            <w14:solidFill>
              <w14:schemeClr w14:val="tx1"/>
            </w14:solidFill>
          </w14:textFill>
        </w:rPr>
        <w:t xml:space="preserve">4 </w:t>
      </w:r>
      <w:r>
        <w:rPr>
          <w:rFonts w:hint="eastAsia" w:ascii="Times New Roman" w:hAnsi="Times New Roman"/>
          <w:color w:val="000000" w:themeColor="text1"/>
          <w:lang w:eastAsia="zh-CN"/>
          <w14:textFill>
            <w14:solidFill>
              <w14:schemeClr w14:val="tx1"/>
            </w14:solidFill>
          </w14:textFill>
        </w:rPr>
        <w:t>不同抽样比例下选定的样方空间分布</w:t>
      </w:r>
    </w:p>
    <w:p>
      <w:pPr>
        <w:pStyle w:val="4"/>
      </w:pPr>
      <w:r>
        <w:rPr>
          <w:rFonts w:hint="eastAsia"/>
        </w:rPr>
        <w:t>样方校验</w:t>
      </w:r>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以玉米面积占比的准确性作为校验指标对样方的选择合理性进行评价，统计1%、3%、</w:t>
      </w:r>
      <w:r>
        <w:rPr>
          <w:rFonts w:ascii="Times New Roman" w:hAnsi="Times New Roman"/>
          <w:color w:val="000000" w:themeColor="text1"/>
          <w:sz w:val="24"/>
          <w14:textFill>
            <w14:solidFill>
              <w14:schemeClr w14:val="tx1"/>
            </w14:solidFill>
          </w14:textFill>
        </w:rPr>
        <w:t>5</w:t>
      </w:r>
      <w:r>
        <w:rPr>
          <w:rFonts w:hint="eastAsia" w:ascii="Times New Roman" w:hAnsi="Times New Roman"/>
          <w:color w:val="000000" w:themeColor="text1"/>
          <w:sz w:val="24"/>
          <w14:textFill>
            <w14:solidFill>
              <w14:schemeClr w14:val="tx1"/>
            </w14:solidFill>
          </w14:textFill>
        </w:rPr>
        <w:t>%和1</w:t>
      </w:r>
      <w:r>
        <w:rPr>
          <w:rFonts w:ascii="Times New Roman" w:hAnsi="Times New Roman"/>
          <w:color w:val="000000" w:themeColor="text1"/>
          <w:sz w:val="24"/>
          <w14:textFill>
            <w14:solidFill>
              <w14:schemeClr w14:val="tx1"/>
            </w14:solidFill>
          </w14:textFill>
        </w:rPr>
        <w:t>0</w:t>
      </w:r>
      <w:r>
        <w:rPr>
          <w:rFonts w:hint="eastAsia" w:ascii="Times New Roman" w:hAnsi="Times New Roman"/>
          <w:color w:val="000000" w:themeColor="text1"/>
          <w:sz w:val="24"/>
          <w14:textFill>
            <w14:solidFill>
              <w14:schemeClr w14:val="tx1"/>
            </w14:solidFill>
          </w14:textFill>
        </w:rPr>
        <w:t>%四个抽样比例下样方内的玉米面积和样方总面积，并计算玉米面积占比，如下表所示。</w:t>
      </w:r>
    </w:p>
    <w:p>
      <w:pPr>
        <w:pStyle w:val="7"/>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表 </w:t>
      </w:r>
      <w:r>
        <w:rPr>
          <w:rFonts w:ascii="Times New Roman" w:hAnsi="Times New Roman"/>
          <w:color w:val="000000" w:themeColor="text1"/>
          <w14:textFill>
            <w14:solidFill>
              <w14:schemeClr w14:val="tx1"/>
            </w14:solidFill>
          </w14:textFill>
        </w:rPr>
        <w:t xml:space="preserve">4 </w:t>
      </w:r>
      <w:r>
        <w:rPr>
          <w:rFonts w:hint="eastAsia" w:ascii="Times New Roman" w:hAnsi="Times New Roman"/>
          <w:color w:val="000000" w:themeColor="text1"/>
          <w:lang w:eastAsia="zh-CN"/>
          <w14:textFill>
            <w14:solidFill>
              <w14:schemeClr w14:val="tx1"/>
            </w14:solidFill>
          </w14:textFill>
        </w:rPr>
        <w:t>不同抽样比例下玉米面积占比估算结果</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3007"/>
        <w:gridCol w:w="2693"/>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8"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抽样比例</w:t>
            </w:r>
          </w:p>
        </w:tc>
        <w:tc>
          <w:tcPr>
            <w:tcW w:w="1764"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样方内玉米面积（千公顷）</w:t>
            </w:r>
          </w:p>
        </w:tc>
        <w:tc>
          <w:tcPr>
            <w:tcW w:w="1580"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样方总面积（千公顷）</w:t>
            </w:r>
          </w:p>
        </w:tc>
        <w:tc>
          <w:tcPr>
            <w:tcW w:w="828"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面积占比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8"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1%</w:t>
            </w:r>
          </w:p>
        </w:tc>
        <w:tc>
          <w:tcPr>
            <w:tcW w:w="1764"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2.43</w:t>
            </w:r>
          </w:p>
        </w:tc>
        <w:tc>
          <w:tcPr>
            <w:tcW w:w="1580"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3.89</w:t>
            </w:r>
          </w:p>
        </w:tc>
        <w:tc>
          <w:tcPr>
            <w:tcW w:w="828"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color w:val="000000"/>
                <w:kern w:val="0"/>
                <w:sz w:val="22"/>
                <w:szCs w:val="22"/>
              </w:rPr>
            </w:pPr>
            <w:r>
              <w:rPr>
                <w:rFonts w:hint="eastAsia" w:ascii="Times New Roman" w:hAnsi="Times New Roman" w:eastAsia="宋体" w:cs="宋体"/>
                <w:color w:val="000000"/>
                <w:kern w:val="0"/>
                <w:sz w:val="22"/>
                <w:szCs w:val="22"/>
              </w:rPr>
              <w:t>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8"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3%</w:t>
            </w:r>
          </w:p>
        </w:tc>
        <w:tc>
          <w:tcPr>
            <w:tcW w:w="1764"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6.59</w:t>
            </w:r>
          </w:p>
        </w:tc>
        <w:tc>
          <w:tcPr>
            <w:tcW w:w="1580"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10.48</w:t>
            </w:r>
          </w:p>
        </w:tc>
        <w:tc>
          <w:tcPr>
            <w:tcW w:w="828"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color w:val="000000"/>
                <w:kern w:val="0"/>
                <w:sz w:val="22"/>
                <w:szCs w:val="22"/>
              </w:rPr>
            </w:pPr>
            <w:r>
              <w:rPr>
                <w:rFonts w:hint="eastAsia" w:ascii="Times New Roman" w:hAnsi="Times New Roman" w:eastAsia="宋体" w:cs="宋体"/>
                <w:color w:val="000000"/>
                <w:kern w:val="0"/>
                <w:sz w:val="22"/>
                <w:szCs w:val="22"/>
              </w:rPr>
              <w:t>62.90%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8"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5%</w:t>
            </w:r>
          </w:p>
        </w:tc>
        <w:tc>
          <w:tcPr>
            <w:tcW w:w="1764"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10.72</w:t>
            </w:r>
          </w:p>
        </w:tc>
        <w:tc>
          <w:tcPr>
            <w:tcW w:w="1580"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16.86</w:t>
            </w:r>
          </w:p>
        </w:tc>
        <w:tc>
          <w:tcPr>
            <w:tcW w:w="828"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color w:val="000000"/>
                <w:kern w:val="0"/>
                <w:sz w:val="22"/>
                <w:szCs w:val="22"/>
              </w:rPr>
            </w:pPr>
            <w:r>
              <w:rPr>
                <w:rFonts w:hint="eastAsia" w:ascii="Times New Roman" w:hAnsi="Times New Roman" w:eastAsia="宋体" w:cs="宋体"/>
                <w:color w:val="000000"/>
                <w:kern w:val="0"/>
                <w:sz w:val="22"/>
                <w:szCs w:val="22"/>
              </w:rPr>
              <w:t>63.60%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8"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10%</w:t>
            </w:r>
          </w:p>
        </w:tc>
        <w:tc>
          <w:tcPr>
            <w:tcW w:w="1764"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21.29</w:t>
            </w:r>
          </w:p>
        </w:tc>
        <w:tc>
          <w:tcPr>
            <w:tcW w:w="1580"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33.33</w:t>
            </w:r>
          </w:p>
        </w:tc>
        <w:tc>
          <w:tcPr>
            <w:tcW w:w="828"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color w:val="000000"/>
                <w:kern w:val="0"/>
                <w:sz w:val="22"/>
                <w:szCs w:val="22"/>
              </w:rPr>
            </w:pPr>
            <w:r>
              <w:rPr>
                <w:rFonts w:hint="eastAsia" w:ascii="Times New Roman" w:hAnsi="Times New Roman" w:eastAsia="宋体" w:cs="宋体"/>
                <w:color w:val="000000"/>
                <w:kern w:val="0"/>
                <w:sz w:val="22"/>
                <w:szCs w:val="22"/>
              </w:rPr>
              <w:t>63.86%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8"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未抽样</w:t>
            </w:r>
          </w:p>
        </w:tc>
        <w:tc>
          <w:tcPr>
            <w:tcW w:w="1764"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119.69</w:t>
            </w:r>
          </w:p>
        </w:tc>
        <w:tc>
          <w:tcPr>
            <w:tcW w:w="1580" w:type="pct"/>
            <w:shd w:val="clear" w:color="auto" w:fill="auto"/>
            <w:vAlign w:val="center"/>
          </w:tcPr>
          <w:p>
            <w:pPr>
              <w:widowControl/>
              <w:autoSpaceDE/>
              <w:autoSpaceDN/>
              <w:adjustRightInd/>
              <w:spacing w:line="240" w:lineRule="atLeast"/>
              <w:jc w:val="center"/>
              <w:textAlignment w:val="auto"/>
              <w:rPr>
                <w:rFonts w:ascii="Times New Roman" w:hAnsi="Times New Roman" w:eastAsia="宋体" w:cs="宋体"/>
                <w:kern w:val="0"/>
                <w:sz w:val="22"/>
                <w:szCs w:val="22"/>
              </w:rPr>
            </w:pPr>
            <w:r>
              <w:rPr>
                <w:rFonts w:hint="eastAsia" w:ascii="Times New Roman" w:hAnsi="Times New Roman" w:eastAsia="宋体" w:cs="宋体"/>
                <w:kern w:val="0"/>
                <w:sz w:val="22"/>
                <w:szCs w:val="22"/>
              </w:rPr>
              <w:t>187.59</w:t>
            </w:r>
          </w:p>
        </w:tc>
        <w:tc>
          <w:tcPr>
            <w:tcW w:w="828" w:type="pct"/>
            <w:shd w:val="clear" w:color="auto" w:fill="auto"/>
            <w:noWrap/>
            <w:vAlign w:val="center"/>
          </w:tcPr>
          <w:p>
            <w:pPr>
              <w:widowControl/>
              <w:autoSpaceDE/>
              <w:autoSpaceDN/>
              <w:adjustRightInd/>
              <w:spacing w:line="240" w:lineRule="atLeast"/>
              <w:jc w:val="center"/>
              <w:textAlignment w:val="auto"/>
              <w:rPr>
                <w:rFonts w:ascii="Times New Roman" w:hAnsi="Times New Roman" w:eastAsia="宋体" w:cs="宋体"/>
                <w:color w:val="000000"/>
                <w:kern w:val="0"/>
                <w:sz w:val="22"/>
                <w:szCs w:val="22"/>
              </w:rPr>
            </w:pPr>
            <w:r>
              <w:rPr>
                <w:rFonts w:hint="eastAsia" w:ascii="Times New Roman" w:hAnsi="Times New Roman" w:eastAsia="宋体" w:cs="宋体"/>
                <w:color w:val="000000"/>
                <w:kern w:val="0"/>
                <w:sz w:val="22"/>
                <w:szCs w:val="22"/>
              </w:rPr>
              <w:t>63.80%</w:t>
            </w:r>
          </w:p>
        </w:tc>
      </w:tr>
    </w:tbl>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由上表可以看出，抽样比例不低于1</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的情况下，基于样方对研究区域整体进行面积占比的估算是较为合理的。若对估算结果要求较高，则抽样比例应不低于5</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w:t>
      </w:r>
    </w:p>
    <w:p>
      <w:pPr>
        <w:pStyle w:val="3"/>
        <w:rPr>
          <w:rFonts w:ascii="Times New Roman" w:hAnsi="Times New Roman"/>
          <w:color w:val="000000" w:themeColor="text1"/>
          <w14:textFill>
            <w14:solidFill>
              <w14:schemeClr w14:val="tx1"/>
            </w14:solidFill>
          </w14:textFill>
        </w:rPr>
      </w:pPr>
      <w:bookmarkStart w:id="77" w:name="_Toc129182653"/>
      <w:r>
        <w:rPr>
          <w:rFonts w:hint="eastAsia" w:ascii="Times New Roman" w:hAnsi="Times New Roman"/>
          <w:color w:val="000000" w:themeColor="text1"/>
          <w14:textFill>
            <w14:solidFill>
              <w14:schemeClr w14:val="tx1"/>
            </w14:solidFill>
          </w14:textFill>
        </w:rPr>
        <w:t>地面样方信息调查</w:t>
      </w:r>
      <w:bookmarkEnd w:id="77"/>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针对选定的样方，采用目视解译的方式，对玉米种植区进行矢量边界的绘制即可。</w:t>
      </w:r>
    </w:p>
    <w:p>
      <w:pPr>
        <w:pStyle w:val="3"/>
        <w:rPr>
          <w:rFonts w:ascii="Times New Roman" w:hAnsi="Times New Roman"/>
          <w:color w:val="000000" w:themeColor="text1"/>
          <w14:textFill>
            <w14:solidFill>
              <w14:schemeClr w14:val="tx1"/>
            </w14:solidFill>
          </w14:textFill>
        </w:rPr>
      </w:pPr>
      <w:bookmarkStart w:id="78" w:name="_Toc129182654"/>
      <w:r>
        <w:rPr>
          <w:rFonts w:hint="eastAsia" w:ascii="Times New Roman" w:hAnsi="Times New Roman"/>
          <w:color w:val="000000" w:themeColor="text1"/>
          <w14:textFill>
            <w14:solidFill>
              <w14:schemeClr w14:val="tx1"/>
            </w14:solidFill>
          </w14:textFill>
        </w:rPr>
        <w:t>地面样方整理与样方入库</w:t>
      </w:r>
      <w:bookmarkEnd w:id="78"/>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略。</w:t>
      </w:r>
    </w:p>
    <w:p>
      <w:pPr>
        <w:pStyle w:val="2"/>
        <w:rPr>
          <w:rFonts w:ascii="Times New Roman" w:hAnsi="Times New Roman"/>
          <w:color w:val="000000" w:themeColor="text1"/>
          <w14:textFill>
            <w14:solidFill>
              <w14:schemeClr w14:val="tx1"/>
            </w14:solidFill>
          </w14:textFill>
        </w:rPr>
      </w:pPr>
      <w:bookmarkStart w:id="79" w:name="_Toc129182655"/>
      <w:r>
        <w:rPr>
          <w:rFonts w:ascii="Times New Roman" w:hAnsi="Times New Roman"/>
          <w:color w:val="000000" w:themeColor="text1"/>
          <w14:textFill>
            <w14:solidFill>
              <w14:schemeClr w14:val="tx1"/>
            </w14:solidFill>
          </w14:textFill>
        </w:rPr>
        <w:t>其他需要说明的事项</w:t>
      </w:r>
      <w:bookmarkEnd w:id="74"/>
      <w:bookmarkEnd w:id="79"/>
    </w:p>
    <w:p>
      <w:pPr>
        <w:pStyle w:val="3"/>
        <w:rPr>
          <w:rFonts w:ascii="Times New Roman" w:hAnsi="Times New Roman"/>
          <w:color w:val="000000" w:themeColor="text1"/>
          <w14:textFill>
            <w14:solidFill>
              <w14:schemeClr w14:val="tx1"/>
            </w14:solidFill>
          </w14:textFill>
        </w:rPr>
      </w:pPr>
      <w:bookmarkStart w:id="80" w:name="_Toc531195530"/>
      <w:bookmarkStart w:id="81" w:name="_Toc129182656"/>
      <w:r>
        <w:rPr>
          <w:rFonts w:ascii="Times New Roman" w:hAnsi="Times New Roman"/>
          <w:color w:val="000000" w:themeColor="text1"/>
          <w14:textFill>
            <w14:solidFill>
              <w14:schemeClr w14:val="tx1"/>
            </w14:solidFill>
          </w14:textFill>
        </w:rPr>
        <w:t>技术经济论证、预期经济效果和社会效益</w:t>
      </w:r>
      <w:bookmarkEnd w:id="80"/>
      <w:bookmarkEnd w:id="81"/>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本标准规定了农作物地面样方遥感调查技术的基本要求、调查流程、地面样方布设方案设计、数据获取与处理、地面样方信息调查、地面样方信息整理及入库等要求等内容，</w:t>
      </w:r>
      <w:r>
        <w:rPr>
          <w:rFonts w:ascii="Times New Roman" w:hAnsi="Times New Roman"/>
          <w:color w:val="000000" w:themeColor="text1"/>
          <w:sz w:val="24"/>
          <w14:textFill>
            <w14:solidFill>
              <w14:schemeClr w14:val="tx1"/>
            </w14:solidFill>
          </w14:textFill>
        </w:rPr>
        <w:t>不仅有助于监测指标和方法的统一、监测结果的可比性、监测精度的提高，而且对于</w:t>
      </w:r>
      <w:r>
        <w:rPr>
          <w:rFonts w:hint="eastAsia" w:ascii="Times New Roman" w:hAnsi="Times New Roman"/>
          <w:color w:val="000000" w:themeColor="text1"/>
          <w:sz w:val="24"/>
          <w14:textFill>
            <w14:solidFill>
              <w14:schemeClr w14:val="tx1"/>
            </w14:solidFill>
          </w14:textFill>
        </w:rPr>
        <w:t>基于遥感数据的</w:t>
      </w:r>
      <w:r>
        <w:rPr>
          <w:rFonts w:ascii="Times New Roman" w:hAnsi="Times New Roman"/>
          <w:color w:val="000000" w:themeColor="text1"/>
          <w:sz w:val="24"/>
          <w14:textFill>
            <w14:solidFill>
              <w14:schemeClr w14:val="tx1"/>
            </w14:solidFill>
          </w14:textFill>
        </w:rPr>
        <w:t>作物</w:t>
      </w:r>
      <w:r>
        <w:rPr>
          <w:rFonts w:hint="eastAsia" w:ascii="Times New Roman" w:hAnsi="Times New Roman"/>
          <w:color w:val="000000" w:themeColor="text1"/>
          <w:sz w:val="24"/>
          <w14:textFill>
            <w14:solidFill>
              <w14:schemeClr w14:val="tx1"/>
            </w14:solidFill>
          </w14:textFill>
        </w:rPr>
        <w:t>地面样方遥感调查</w:t>
      </w:r>
      <w:r>
        <w:rPr>
          <w:rFonts w:ascii="Times New Roman" w:hAnsi="Times New Roman"/>
          <w:color w:val="000000" w:themeColor="text1"/>
          <w:sz w:val="24"/>
          <w14:textFill>
            <w14:solidFill>
              <w14:schemeClr w14:val="tx1"/>
            </w14:solidFill>
          </w14:textFill>
        </w:rPr>
        <w:t>业务工作起到规范化、标准化的作用。本标准的颁布实施将产生良好的社会效益和经济效益，同时将提升</w:t>
      </w:r>
      <w:r>
        <w:rPr>
          <w:rFonts w:hint="eastAsia" w:ascii="Times New Roman" w:hAnsi="Times New Roman"/>
          <w:color w:val="000000" w:themeColor="text1"/>
          <w:sz w:val="24"/>
          <w14:textFill>
            <w14:solidFill>
              <w14:schemeClr w14:val="tx1"/>
            </w14:solidFill>
          </w14:textFill>
        </w:rPr>
        <w:t>作物地面样方遥感调查</w:t>
      </w:r>
      <w:r>
        <w:rPr>
          <w:rFonts w:ascii="Times New Roman" w:hAnsi="Times New Roman"/>
          <w:color w:val="000000" w:themeColor="text1"/>
          <w:sz w:val="24"/>
          <w14:textFill>
            <w14:solidFill>
              <w14:schemeClr w14:val="tx1"/>
            </w14:solidFill>
          </w14:textFill>
        </w:rPr>
        <w:t>服务保障能力，进而为种植业生产安全和粮食安全做出贡献。</w:t>
      </w:r>
    </w:p>
    <w:p>
      <w:pPr>
        <w:pStyle w:val="3"/>
        <w:rPr>
          <w:rFonts w:ascii="Times New Roman" w:hAnsi="Times New Roman"/>
          <w:color w:val="000000" w:themeColor="text1"/>
          <w14:textFill>
            <w14:solidFill>
              <w14:schemeClr w14:val="tx1"/>
            </w14:solidFill>
          </w14:textFill>
        </w:rPr>
      </w:pPr>
      <w:bookmarkStart w:id="82" w:name="_Toc129182657"/>
      <w:bookmarkStart w:id="83" w:name="_Toc531195531"/>
      <w:r>
        <w:rPr>
          <w:rFonts w:ascii="Times New Roman" w:hAnsi="Times New Roman"/>
          <w:color w:val="000000" w:themeColor="text1"/>
          <w14:textFill>
            <w14:solidFill>
              <w14:schemeClr w14:val="tx1"/>
            </w14:solidFill>
          </w14:textFill>
        </w:rPr>
        <w:t>贯彻行业标准的措施建议</w:t>
      </w:r>
      <w:bookmarkEnd w:id="82"/>
      <w:bookmarkEnd w:id="83"/>
    </w:p>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本标准颁布实施后，编制组将根据农业农村部的安排，积极做好标准的宣贯培训等工作。为发挥本标准的作用，建议今后有关国家标准、行业标准制修订时，认真做好与本标准之间的协调。</w:t>
      </w:r>
    </w:p>
    <w:p>
      <w:pPr>
        <w:pStyle w:val="3"/>
        <w:rPr>
          <w:rFonts w:ascii="Times New Roman" w:hAnsi="Times New Roman"/>
          <w:color w:val="000000" w:themeColor="text1"/>
          <w14:textFill>
            <w14:solidFill>
              <w14:schemeClr w14:val="tx1"/>
            </w14:solidFill>
          </w14:textFill>
        </w:rPr>
      </w:pPr>
      <w:bookmarkStart w:id="84" w:name="_Toc531195532"/>
      <w:bookmarkStart w:id="85" w:name="_Toc129182658"/>
      <w:r>
        <w:rPr>
          <w:rFonts w:ascii="Times New Roman" w:hAnsi="Times New Roman"/>
          <w:color w:val="000000" w:themeColor="text1"/>
          <w14:textFill>
            <w14:solidFill>
              <w14:schemeClr w14:val="tx1"/>
            </w14:solidFill>
          </w14:textFill>
        </w:rPr>
        <w:t>其他</w:t>
      </w:r>
      <w:bookmarkEnd w:id="84"/>
      <w:bookmarkEnd w:id="85"/>
    </w:p>
    <w:bookmarkEnd w:id="60"/>
    <w:bookmarkEnd w:id="61"/>
    <w:bookmarkEnd w:id="62"/>
    <w:p>
      <w:pPr>
        <w:adjustRightInd/>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无。</w:t>
      </w:r>
    </w:p>
    <w:p>
      <w:pPr>
        <w:widowControl/>
        <w:autoSpaceDE/>
        <w:autoSpaceDN/>
        <w:adjustRightInd/>
        <w:spacing w:line="240" w:lineRule="auto"/>
        <w:jc w:val="left"/>
        <w:textAlignment w:val="auto"/>
        <w:rPr>
          <w:rFonts w:ascii="Times New Roman" w:hAnsi="Times New Roman"/>
          <w:color w:val="000000" w:themeColor="text1"/>
          <w14:textFill>
            <w14:solidFill>
              <w14:schemeClr w14:val="tx1"/>
            </w14:solidFill>
          </w14:textFill>
        </w:rPr>
      </w:pPr>
      <w:bookmarkStart w:id="86" w:name="_Toc531195533"/>
      <w:r>
        <w:rPr>
          <w:rFonts w:ascii="Times New Roman" w:hAnsi="Times New Roman"/>
          <w:color w:val="000000" w:themeColor="text1"/>
          <w14:textFill>
            <w14:solidFill>
              <w14:schemeClr w14:val="tx1"/>
            </w14:solidFill>
          </w14:textFill>
        </w:rPr>
        <w:br w:type="page"/>
      </w:r>
    </w:p>
    <w:p>
      <w:pPr>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参考文献</w:t>
      </w:r>
      <w:bookmarkEnd w:id="86"/>
    </w:p>
    <w:p>
      <w:pPr>
        <w:spacing w:line="276" w:lineRule="auto"/>
        <w:ind w:left="420" w:hanging="420" w:hanging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 GB/T 14950-2009 摄影测量与遥感术语</w:t>
      </w:r>
    </w:p>
    <w:p>
      <w:pPr>
        <w:spacing w:line="276" w:lineRule="auto"/>
        <w:ind w:left="420" w:hanging="420" w:hanging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 GB/T 16820-2009 地图学术语</w:t>
      </w:r>
    </w:p>
    <w:p>
      <w:pPr>
        <w:spacing w:line="276" w:lineRule="auto"/>
        <w:ind w:left="420" w:hanging="420" w:hanging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 GB/T 30115-2013 卫星遥感影像植被指数产品规范</w:t>
      </w:r>
    </w:p>
    <w:p>
      <w:pPr>
        <w:spacing w:line="276" w:lineRule="auto"/>
        <w:ind w:left="420" w:hanging="420" w:hanging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 GB/T 32453-2015 卫星对地观测数据产品分类分级规则</w:t>
      </w:r>
    </w:p>
    <w:p>
      <w:pPr>
        <w:spacing w:line="276" w:lineRule="auto"/>
        <w:ind w:left="420" w:hanging="420" w:hanging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 NY/T 3922-2021 中高分辨率卫星主要农作物长势遥感监测技术规范</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uto" w:vAnchor="text" w:hAnchor="margin" w:xAlign="center" w:y="1"/>
      <w:rPr>
        <w:rStyle w:val="22"/>
        <w:sz w:val="18"/>
      </w:rPr>
    </w:pPr>
    <w:r>
      <w:rPr>
        <w:rStyle w:val="22"/>
        <w:sz w:val="18"/>
      </w:rPr>
      <w:fldChar w:fldCharType="begin"/>
    </w:r>
    <w:r>
      <w:rPr>
        <w:rStyle w:val="22"/>
        <w:sz w:val="18"/>
      </w:rPr>
      <w:instrText xml:space="preserve">page  </w:instrText>
    </w:r>
    <w:r>
      <w:rPr>
        <w:rStyle w:val="22"/>
        <w:sz w:val="18"/>
      </w:rPr>
      <w:fldChar w:fldCharType="separate"/>
    </w:r>
    <w:r>
      <w:rPr>
        <w:rStyle w:val="22"/>
        <w:sz w:val="18"/>
      </w:rPr>
      <w:t>17</w:t>
    </w:r>
    <w:r>
      <w:rPr>
        <w:rStyle w:val="22"/>
        <w:sz w:val="18"/>
      </w:rP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uto" w:vAnchor="text" w:hAnchor="margin" w:xAlign="center" w:y="1"/>
      <w:rPr>
        <w:rStyle w:val="22"/>
        <w:sz w:val="18"/>
      </w:rPr>
    </w:pPr>
    <w:r>
      <w:rPr>
        <w:rStyle w:val="22"/>
        <w:sz w:val="18"/>
      </w:rPr>
      <w:fldChar w:fldCharType="begin"/>
    </w:r>
    <w:r>
      <w:rPr>
        <w:rStyle w:val="22"/>
        <w:sz w:val="18"/>
      </w:rPr>
      <w:instrText xml:space="preserve">page  </w:instrText>
    </w:r>
    <w:r>
      <w:rPr>
        <w:rStyle w:val="22"/>
        <w:sz w:val="18"/>
      </w:rPr>
      <w:fldChar w:fldCharType="end"/>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095DCF"/>
    <w:multiLevelType w:val="multilevel"/>
    <w:tmpl w:val="39095DCF"/>
    <w:lvl w:ilvl="0" w:tentative="0">
      <w:start w:val="1"/>
      <w:numFmt w:val="chineseCountingThousand"/>
      <w:pStyle w:val="2"/>
      <w:lvlText w:val="%1、"/>
      <w:lvlJc w:val="left"/>
      <w:pPr>
        <w:ind w:left="420" w:hanging="420"/>
      </w:pPr>
      <w:rPr>
        <w:rFonts w:hint="eastAsia"/>
      </w:rPr>
    </w:lvl>
    <w:lvl w:ilvl="1" w:tentative="0">
      <w:start w:val="1"/>
      <w:numFmt w:val="decimal"/>
      <w:pStyle w:val="3"/>
      <w:lvlText w:val="%2."/>
      <w:lvlJc w:val="left"/>
      <w:pPr>
        <w:ind w:left="0" w:firstLine="0"/>
      </w:pPr>
      <w:rPr>
        <w:rFonts w:hint="default" w:ascii="Times New Roman" w:hAnsi="Times New Roman" w:eastAsia="黑体"/>
      </w:rPr>
    </w:lvl>
    <w:lvl w:ilvl="2" w:tentative="0">
      <w:start w:val="1"/>
      <w:numFmt w:val="decimal"/>
      <w:pStyle w:val="4"/>
      <w:lvlText w:val="（%3）"/>
      <w:lvlJc w:val="left"/>
      <w:pPr>
        <w:ind w:left="0" w:firstLine="0"/>
      </w:pPr>
      <w:rPr>
        <w:rFonts w:hint="default" w:ascii="Times New Roman" w:hAnsi="Times New Roman" w:eastAsia="黑体"/>
      </w:rPr>
    </w:lvl>
    <w:lvl w:ilvl="3" w:tentative="0">
      <w:start w:val="1"/>
      <w:numFmt w:val="lowerLetter"/>
      <w:pStyle w:val="5"/>
      <w:lvlText w:val="(%4)"/>
      <w:lvlJc w:val="left"/>
      <w:pPr>
        <w:ind w:left="0" w:firstLine="0"/>
      </w:pPr>
      <w:rPr>
        <w:rFonts w:hint="default" w:ascii="Times New Roman" w:hAnsi="Times New Roman" w:eastAsia="黑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63"/>
  <w:displayHorizontalDrawingGridEvery w:val="0"/>
  <w:displayVerticalDrawingGridEvery w:val="2"/>
  <w:characterSpacingControl w:val="compressPunctuation"/>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ECE1AC0-7431-4BAC-892A-29E123F08F65}" w:val=" ADDIN NE.Ref.{0ECE1AC0-7431-4BAC-892A-29E123F08F65}&lt;Citation&gt;&lt;Group&gt;&lt;References&gt;&lt;Item&gt;&lt;ID&gt;1594&lt;/ID&gt;&lt;UID&gt;{79FBB31D-752A-4A39-B350-36C68BC13AB1}&lt;/UID&gt;&lt;Title&gt;小麦叶片叶绿素含量测定及其与SPAD值的关系&lt;/Title&gt;&lt;Template&gt;Journal Article&lt;/Template&gt;&lt;Star&gt;0&lt;/Star&gt;&lt;Tag&gt;5&lt;/Tag&gt;&lt;Author&gt;薛香; 吴玉娥&lt;/Author&gt;&lt;Year&gt;2010&lt;/Year&gt;&lt;Details&gt;&lt;_issue&gt;11&lt;/_issue&gt;&lt;_journal&gt;湖北农业科学&lt;/_journal&gt;&lt;_pages&gt;2701-2702&lt;/_pages&gt;&lt;_volume&gt;49&lt;/_volume&gt;&lt;_created&gt;62808958&lt;/_created&gt;&lt;_modified&gt;62808958&lt;/_modified&gt;&lt;_accessed&gt;62808958&lt;/_accessed&gt;&lt;_translated_author&gt;Xue, Xiang;Wu, Yu&amp;apos;e&lt;/_translated_author&gt;&lt;/Details&gt;&lt;Extra&gt;&lt;DBUID&gt;{F96A950B-833F-4880-A151-76DA2D6A2879}&lt;/DBUID&gt;&lt;/Extra&gt;&lt;/Item&gt;&lt;/References&gt;&lt;/Group&gt;&lt;/Citation&gt;_x000a_"/>
    <w:docVar w:name="NE.Ref{3304EFE0-A0CF-4490-ACB4-6E4A2E4F5452}" w:val=" ADDIN NE.Ref.{3304EFE0-A0CF-4490-ACB4-6E4A2E4F5452}&lt;Citation&gt;&lt;Group&gt;&lt;References&gt;&lt;Item&gt;&lt;ID&gt;1593&lt;/ID&gt;&lt;UID&gt;{E5223426-3473-4F8A-B184-2E7C0758369C}&lt;/UID&gt;&lt;Title&gt;基于低空无人机遥感的冬小麦覆盖度变化监测&lt;/Title&gt;&lt;Template&gt;Journal Article&lt;/Template&gt;&lt;Star&gt;0&lt;/Star&gt;&lt;Tag&gt;0&lt;/Tag&gt;&lt;Author&gt;李冰; 刘镕源; 刘素红; 刘强; 刘峰; 周公器&lt;/Author&gt;&lt;Year&gt;2012&lt;/Year&gt;&lt;Details&gt;&lt;_issue&gt;13&lt;/_issue&gt;&lt;_journal&gt;农业工程学报&lt;/_journal&gt;&lt;_pages&gt;160-165&lt;/_pages&gt;&lt;_volume&gt;28&lt;/_volume&gt;&lt;_created&gt;62808955&lt;/_created&gt;&lt;_modified&gt;62808955&lt;/_modified&gt;&lt;_collection_scope&gt;CSCD;PKU;EI&lt;/_collection_scope&gt;&lt;_translated_author&gt;Li, Bing;Liu, Rongyuan;Liu, Suhong;Liu, Qiang;Liu, Feng;Zhou, Gongqi&lt;/_translated_author&gt;&lt;/Details&gt;&lt;Extra&gt;&lt;DBUID&gt;{F96A950B-833F-4880-A151-76DA2D6A2879}&lt;/DBUID&gt;&lt;/Extra&gt;&lt;/Item&gt;&lt;/References&gt;&lt;/Group&gt;&lt;/Citation&gt;_x000a_"/>
    <w:docVar w:name="NE.Ref{9743322C-77E3-4670-BCAF-EB6799A34B21}" w:val=" ADDIN NE.Ref.{9743322C-77E3-4670-BCAF-EB6799A34B21}&lt;Citation&gt;&lt;Group&gt;&lt;References&gt;&lt;Item&gt;&lt;ID&gt;1595&lt;/ID&gt;&lt;UID&gt;{EB0BB501-B5A8-4F2B-8EF1-7EC50BFB360C}&lt;/UID&gt;&lt;Title&gt;马铃薯叶片SPAD值与叶绿素含量及产量的相关性研究&lt;/Title&gt;&lt;Template&gt;Journal Article&lt;/Template&gt;&lt;Star&gt;0&lt;/Star&gt;&lt;Tag&gt;0&lt;/Tag&gt;&lt;Author&gt;苏云松; 郭华春; 陈伊里&lt;/Author&gt;&lt;Year&gt;2007&lt;/Year&gt;&lt;Details&gt;&lt;_issue&gt;4&lt;/_issue&gt;&lt;_journal&gt;西南农业学报&lt;/_journal&gt;&lt;_pages&gt;690-693&lt;/_pages&gt;&lt;_volume&gt;20&lt;/_volume&gt;&lt;_created&gt;62808961&lt;/_created&gt;&lt;_modified&gt;62808961&lt;/_modified&gt;&lt;_collection_scope&gt;CSCD;PKU&lt;/_collection_scope&gt;&lt;_translated_author&gt;Su, Yunsong;Guo, Huachun;Chen, Yili&lt;/_translated_author&gt;&lt;/Details&gt;&lt;Extra&gt;&lt;DBUID&gt;{F96A950B-833F-4880-A151-76DA2D6A2879}&lt;/DBUID&gt;&lt;/Extra&gt;&lt;/Item&gt;&lt;/References&gt;&lt;/Group&gt;&lt;/Citation&gt;_x000a_"/>
    <w:docVar w:name="NE.Ref{A7983FA1-7BDB-44AB-B6E4-44E867368C04}" w:val=" ADDIN NE.Ref.{A7983FA1-7BDB-44AB-B6E4-44E867368C04}&lt;Citation&gt;&lt;Group&gt;&lt;References&gt;&lt;Item&gt;&lt;ID&gt;848&lt;/ID&gt;&lt;UID&gt;{4CE45D92-05E6-49C3-B5B2-22963E02A9D6}&lt;/UID&gt;&lt;Title&gt;Monitoring Vegetation Systems in the Great Plains with Erts&lt;/Title&gt;&lt;Template&gt;Journal Article&lt;/Template&gt;&lt;Star&gt;0&lt;/Star&gt;&lt;Tag&gt;0&lt;/Tag&gt;&lt;Author&gt;Rouse, J W Jr; Haas, R H; Schell, J A; Deering, D W&lt;/Author&gt;&lt;Year&gt;1974&lt;/Year&gt;&lt;Details&gt;&lt;_accessed&gt;62466397&lt;/_accessed&gt;&lt;_created&gt;62143828&lt;/_created&gt;&lt;_journal&gt;Nasa Special Publication&lt;/_journal&gt;&lt;_modified&gt;62144219&lt;/_modified&gt;&lt;_pages&gt;309&lt;/_pages&gt;&lt;_volume&gt;351&lt;/_volume&gt;&lt;/Details&gt;&lt;Extra&gt;&lt;DBUID&gt;{F96A950B-833F-4880-A151-76DA2D6A2879}&lt;/DBUID&gt;&lt;/Extra&gt;&lt;/Item&gt;&lt;/References&gt;&lt;/Group&gt;&lt;/Citation&gt;_x000a_"/>
    <w:docVar w:name="ne_docsoft" w:val="MSWord"/>
    <w:docVar w:name="ne_docversion" w:val="NoteExpress 2.0"/>
    <w:docVar w:name="ne_stylename" w:val="农业工程学报"/>
  </w:docVars>
  <w:rsids>
    <w:rsidRoot w:val="00B85CC9"/>
    <w:rsid w:val="000000D1"/>
    <w:rsid w:val="00000968"/>
    <w:rsid w:val="000033A9"/>
    <w:rsid w:val="00006191"/>
    <w:rsid w:val="00007A39"/>
    <w:rsid w:val="00010792"/>
    <w:rsid w:val="00010E85"/>
    <w:rsid w:val="00014195"/>
    <w:rsid w:val="0001450F"/>
    <w:rsid w:val="00017F61"/>
    <w:rsid w:val="00020D5C"/>
    <w:rsid w:val="00022799"/>
    <w:rsid w:val="000235B7"/>
    <w:rsid w:val="00026E62"/>
    <w:rsid w:val="00030975"/>
    <w:rsid w:val="000344D9"/>
    <w:rsid w:val="000378B0"/>
    <w:rsid w:val="0004326A"/>
    <w:rsid w:val="00044AF7"/>
    <w:rsid w:val="0004540A"/>
    <w:rsid w:val="00046B67"/>
    <w:rsid w:val="00052286"/>
    <w:rsid w:val="00052A8F"/>
    <w:rsid w:val="00053E37"/>
    <w:rsid w:val="00057E6B"/>
    <w:rsid w:val="0006084D"/>
    <w:rsid w:val="000644BC"/>
    <w:rsid w:val="00067A02"/>
    <w:rsid w:val="00070A29"/>
    <w:rsid w:val="00070F16"/>
    <w:rsid w:val="000721E5"/>
    <w:rsid w:val="000741CE"/>
    <w:rsid w:val="000815A4"/>
    <w:rsid w:val="00083956"/>
    <w:rsid w:val="00091E9B"/>
    <w:rsid w:val="00091F84"/>
    <w:rsid w:val="00095C3B"/>
    <w:rsid w:val="000A074E"/>
    <w:rsid w:val="000A33AB"/>
    <w:rsid w:val="000A58EF"/>
    <w:rsid w:val="000A63BB"/>
    <w:rsid w:val="000B1025"/>
    <w:rsid w:val="000B186A"/>
    <w:rsid w:val="000B1AC7"/>
    <w:rsid w:val="000B28FE"/>
    <w:rsid w:val="000B32FE"/>
    <w:rsid w:val="000B385B"/>
    <w:rsid w:val="000B7176"/>
    <w:rsid w:val="000C0286"/>
    <w:rsid w:val="000C44EE"/>
    <w:rsid w:val="000C5760"/>
    <w:rsid w:val="000D079D"/>
    <w:rsid w:val="000D30C3"/>
    <w:rsid w:val="000D4B83"/>
    <w:rsid w:val="000E1704"/>
    <w:rsid w:val="000E1D3A"/>
    <w:rsid w:val="000E3E69"/>
    <w:rsid w:val="000E55CD"/>
    <w:rsid w:val="000E73C7"/>
    <w:rsid w:val="000E7906"/>
    <w:rsid w:val="000F07A8"/>
    <w:rsid w:val="000F0E8C"/>
    <w:rsid w:val="000F1E38"/>
    <w:rsid w:val="000F1F90"/>
    <w:rsid w:val="000F2BBE"/>
    <w:rsid w:val="000F7141"/>
    <w:rsid w:val="00101731"/>
    <w:rsid w:val="001026D5"/>
    <w:rsid w:val="00103B43"/>
    <w:rsid w:val="00105089"/>
    <w:rsid w:val="001071B5"/>
    <w:rsid w:val="00107A65"/>
    <w:rsid w:val="00110CBC"/>
    <w:rsid w:val="00111E3A"/>
    <w:rsid w:val="00112573"/>
    <w:rsid w:val="00114393"/>
    <w:rsid w:val="001146EA"/>
    <w:rsid w:val="00117E75"/>
    <w:rsid w:val="001231B2"/>
    <w:rsid w:val="00123B09"/>
    <w:rsid w:val="00124CCA"/>
    <w:rsid w:val="00130406"/>
    <w:rsid w:val="00130925"/>
    <w:rsid w:val="00130D69"/>
    <w:rsid w:val="00131FC5"/>
    <w:rsid w:val="00132B11"/>
    <w:rsid w:val="00132FB3"/>
    <w:rsid w:val="00136051"/>
    <w:rsid w:val="001361ED"/>
    <w:rsid w:val="00136320"/>
    <w:rsid w:val="0013792C"/>
    <w:rsid w:val="00137A44"/>
    <w:rsid w:val="001426E0"/>
    <w:rsid w:val="00143FE8"/>
    <w:rsid w:val="00145CE8"/>
    <w:rsid w:val="00146838"/>
    <w:rsid w:val="001502B4"/>
    <w:rsid w:val="001538B4"/>
    <w:rsid w:val="00162980"/>
    <w:rsid w:val="0016468E"/>
    <w:rsid w:val="00165371"/>
    <w:rsid w:val="00171A59"/>
    <w:rsid w:val="00173882"/>
    <w:rsid w:val="00176364"/>
    <w:rsid w:val="00177C56"/>
    <w:rsid w:val="00177F95"/>
    <w:rsid w:val="0018117A"/>
    <w:rsid w:val="00182C30"/>
    <w:rsid w:val="001862E0"/>
    <w:rsid w:val="001869D4"/>
    <w:rsid w:val="00187070"/>
    <w:rsid w:val="00193AD7"/>
    <w:rsid w:val="00194F85"/>
    <w:rsid w:val="001A0438"/>
    <w:rsid w:val="001A0FA3"/>
    <w:rsid w:val="001A365D"/>
    <w:rsid w:val="001A3697"/>
    <w:rsid w:val="001A4B56"/>
    <w:rsid w:val="001A60CC"/>
    <w:rsid w:val="001A6772"/>
    <w:rsid w:val="001A7EB9"/>
    <w:rsid w:val="001B21E4"/>
    <w:rsid w:val="001B26FE"/>
    <w:rsid w:val="001B3D05"/>
    <w:rsid w:val="001B5AA8"/>
    <w:rsid w:val="001B60CF"/>
    <w:rsid w:val="001B6683"/>
    <w:rsid w:val="001C05FC"/>
    <w:rsid w:val="001C0696"/>
    <w:rsid w:val="001C10FF"/>
    <w:rsid w:val="001C423C"/>
    <w:rsid w:val="001C5180"/>
    <w:rsid w:val="001D5A02"/>
    <w:rsid w:val="001E10DF"/>
    <w:rsid w:val="001E4DC9"/>
    <w:rsid w:val="001E5C50"/>
    <w:rsid w:val="001E7C26"/>
    <w:rsid w:val="001F4495"/>
    <w:rsid w:val="001F518B"/>
    <w:rsid w:val="001F549A"/>
    <w:rsid w:val="001F58F6"/>
    <w:rsid w:val="00200BA8"/>
    <w:rsid w:val="002020C2"/>
    <w:rsid w:val="002043DB"/>
    <w:rsid w:val="0020526A"/>
    <w:rsid w:val="00206742"/>
    <w:rsid w:val="00211A1B"/>
    <w:rsid w:val="00213368"/>
    <w:rsid w:val="00213E29"/>
    <w:rsid w:val="00216F49"/>
    <w:rsid w:val="00221576"/>
    <w:rsid w:val="00222CFC"/>
    <w:rsid w:val="002244C2"/>
    <w:rsid w:val="002249E4"/>
    <w:rsid w:val="00225C06"/>
    <w:rsid w:val="0022679A"/>
    <w:rsid w:val="00227F35"/>
    <w:rsid w:val="0023283B"/>
    <w:rsid w:val="002330E9"/>
    <w:rsid w:val="0023334C"/>
    <w:rsid w:val="002343E3"/>
    <w:rsid w:val="00236BFF"/>
    <w:rsid w:val="00237F33"/>
    <w:rsid w:val="00243EEB"/>
    <w:rsid w:val="00244EEF"/>
    <w:rsid w:val="002476A5"/>
    <w:rsid w:val="0025156D"/>
    <w:rsid w:val="00251B66"/>
    <w:rsid w:val="002567F3"/>
    <w:rsid w:val="002661BD"/>
    <w:rsid w:val="002677E0"/>
    <w:rsid w:val="00267999"/>
    <w:rsid w:val="00273614"/>
    <w:rsid w:val="002761E3"/>
    <w:rsid w:val="002765D0"/>
    <w:rsid w:val="00280893"/>
    <w:rsid w:val="002813AD"/>
    <w:rsid w:val="002823BF"/>
    <w:rsid w:val="00282E4F"/>
    <w:rsid w:val="00283970"/>
    <w:rsid w:val="00283974"/>
    <w:rsid w:val="002853AF"/>
    <w:rsid w:val="00285AAE"/>
    <w:rsid w:val="00286B3B"/>
    <w:rsid w:val="00290036"/>
    <w:rsid w:val="00291304"/>
    <w:rsid w:val="00291724"/>
    <w:rsid w:val="00292189"/>
    <w:rsid w:val="002923C2"/>
    <w:rsid w:val="00292B03"/>
    <w:rsid w:val="00293260"/>
    <w:rsid w:val="002945C8"/>
    <w:rsid w:val="002A51E3"/>
    <w:rsid w:val="002A6376"/>
    <w:rsid w:val="002B0249"/>
    <w:rsid w:val="002B0D18"/>
    <w:rsid w:val="002B14F1"/>
    <w:rsid w:val="002B786E"/>
    <w:rsid w:val="002C2D3B"/>
    <w:rsid w:val="002C3A99"/>
    <w:rsid w:val="002C52AA"/>
    <w:rsid w:val="002C762A"/>
    <w:rsid w:val="002D228D"/>
    <w:rsid w:val="002D42EF"/>
    <w:rsid w:val="002D44CF"/>
    <w:rsid w:val="002D688C"/>
    <w:rsid w:val="002D6E4C"/>
    <w:rsid w:val="002D73B5"/>
    <w:rsid w:val="002E13FB"/>
    <w:rsid w:val="002E2932"/>
    <w:rsid w:val="002E397F"/>
    <w:rsid w:val="002E4DE0"/>
    <w:rsid w:val="002E5869"/>
    <w:rsid w:val="002E7A99"/>
    <w:rsid w:val="002F0235"/>
    <w:rsid w:val="002F1B7D"/>
    <w:rsid w:val="002F1BD5"/>
    <w:rsid w:val="002F1EB5"/>
    <w:rsid w:val="002F2B2E"/>
    <w:rsid w:val="002F2FA5"/>
    <w:rsid w:val="002F3262"/>
    <w:rsid w:val="002F4650"/>
    <w:rsid w:val="002F7764"/>
    <w:rsid w:val="00301D12"/>
    <w:rsid w:val="00304127"/>
    <w:rsid w:val="0030430A"/>
    <w:rsid w:val="00304C56"/>
    <w:rsid w:val="003065E0"/>
    <w:rsid w:val="00306B5F"/>
    <w:rsid w:val="00306F21"/>
    <w:rsid w:val="00310EF8"/>
    <w:rsid w:val="00313896"/>
    <w:rsid w:val="00315A8B"/>
    <w:rsid w:val="00322B9A"/>
    <w:rsid w:val="0032436C"/>
    <w:rsid w:val="003255DD"/>
    <w:rsid w:val="003258AE"/>
    <w:rsid w:val="003260FB"/>
    <w:rsid w:val="003307F8"/>
    <w:rsid w:val="00332C8A"/>
    <w:rsid w:val="0033376D"/>
    <w:rsid w:val="0033536C"/>
    <w:rsid w:val="00335931"/>
    <w:rsid w:val="00335B41"/>
    <w:rsid w:val="003364E3"/>
    <w:rsid w:val="00336722"/>
    <w:rsid w:val="0033787B"/>
    <w:rsid w:val="00342D4C"/>
    <w:rsid w:val="00345695"/>
    <w:rsid w:val="00350D1F"/>
    <w:rsid w:val="003520A8"/>
    <w:rsid w:val="00353E6C"/>
    <w:rsid w:val="00360A46"/>
    <w:rsid w:val="003622E0"/>
    <w:rsid w:val="0036597F"/>
    <w:rsid w:val="003663FE"/>
    <w:rsid w:val="00366BE5"/>
    <w:rsid w:val="0037021F"/>
    <w:rsid w:val="003709AE"/>
    <w:rsid w:val="00370C17"/>
    <w:rsid w:val="0037107F"/>
    <w:rsid w:val="00372231"/>
    <w:rsid w:val="00374077"/>
    <w:rsid w:val="00377CEB"/>
    <w:rsid w:val="00377EB7"/>
    <w:rsid w:val="00380DCD"/>
    <w:rsid w:val="00381401"/>
    <w:rsid w:val="00382B34"/>
    <w:rsid w:val="00383ADE"/>
    <w:rsid w:val="00386CFE"/>
    <w:rsid w:val="003907DF"/>
    <w:rsid w:val="00395BC7"/>
    <w:rsid w:val="003966D8"/>
    <w:rsid w:val="00396C7D"/>
    <w:rsid w:val="00397083"/>
    <w:rsid w:val="003972C6"/>
    <w:rsid w:val="00397831"/>
    <w:rsid w:val="003A0758"/>
    <w:rsid w:val="003A09B3"/>
    <w:rsid w:val="003A0A33"/>
    <w:rsid w:val="003A456C"/>
    <w:rsid w:val="003A5670"/>
    <w:rsid w:val="003A59D0"/>
    <w:rsid w:val="003A79B4"/>
    <w:rsid w:val="003A7FF1"/>
    <w:rsid w:val="003B1A70"/>
    <w:rsid w:val="003B1B1A"/>
    <w:rsid w:val="003B1DA8"/>
    <w:rsid w:val="003B5A42"/>
    <w:rsid w:val="003C24BF"/>
    <w:rsid w:val="003C25CC"/>
    <w:rsid w:val="003C281A"/>
    <w:rsid w:val="003C3EE5"/>
    <w:rsid w:val="003C468A"/>
    <w:rsid w:val="003C6064"/>
    <w:rsid w:val="003D0400"/>
    <w:rsid w:val="003D05E1"/>
    <w:rsid w:val="003D1C3D"/>
    <w:rsid w:val="003D2694"/>
    <w:rsid w:val="003D3115"/>
    <w:rsid w:val="003D3933"/>
    <w:rsid w:val="003D51E9"/>
    <w:rsid w:val="003D56A1"/>
    <w:rsid w:val="003D5764"/>
    <w:rsid w:val="003D66EE"/>
    <w:rsid w:val="003D76FE"/>
    <w:rsid w:val="003D779C"/>
    <w:rsid w:val="003E38C4"/>
    <w:rsid w:val="003F298F"/>
    <w:rsid w:val="003F3E4E"/>
    <w:rsid w:val="003F4B01"/>
    <w:rsid w:val="003F59B6"/>
    <w:rsid w:val="003F63DB"/>
    <w:rsid w:val="003F715D"/>
    <w:rsid w:val="003F7D66"/>
    <w:rsid w:val="00400A80"/>
    <w:rsid w:val="00401017"/>
    <w:rsid w:val="00401858"/>
    <w:rsid w:val="004024EC"/>
    <w:rsid w:val="00403358"/>
    <w:rsid w:val="00403887"/>
    <w:rsid w:val="004044ED"/>
    <w:rsid w:val="0040526E"/>
    <w:rsid w:val="00406E76"/>
    <w:rsid w:val="004121D3"/>
    <w:rsid w:val="00415966"/>
    <w:rsid w:val="004159F6"/>
    <w:rsid w:val="004226E9"/>
    <w:rsid w:val="0042431B"/>
    <w:rsid w:val="0042440F"/>
    <w:rsid w:val="00424DB0"/>
    <w:rsid w:val="00425366"/>
    <w:rsid w:val="00430142"/>
    <w:rsid w:val="00430195"/>
    <w:rsid w:val="00430F9F"/>
    <w:rsid w:val="004311D7"/>
    <w:rsid w:val="00431B30"/>
    <w:rsid w:val="00432361"/>
    <w:rsid w:val="00435536"/>
    <w:rsid w:val="004376AF"/>
    <w:rsid w:val="004426CC"/>
    <w:rsid w:val="00444DFB"/>
    <w:rsid w:val="00451FDC"/>
    <w:rsid w:val="004543FF"/>
    <w:rsid w:val="0045676C"/>
    <w:rsid w:val="004611C9"/>
    <w:rsid w:val="00462B0A"/>
    <w:rsid w:val="00462FF1"/>
    <w:rsid w:val="0046434D"/>
    <w:rsid w:val="00467353"/>
    <w:rsid w:val="0046775D"/>
    <w:rsid w:val="00467DD7"/>
    <w:rsid w:val="00471690"/>
    <w:rsid w:val="00471C9E"/>
    <w:rsid w:val="00474293"/>
    <w:rsid w:val="00476A88"/>
    <w:rsid w:val="004775AF"/>
    <w:rsid w:val="00481009"/>
    <w:rsid w:val="00483091"/>
    <w:rsid w:val="00483193"/>
    <w:rsid w:val="0048543C"/>
    <w:rsid w:val="00485C69"/>
    <w:rsid w:val="00487130"/>
    <w:rsid w:val="00487E14"/>
    <w:rsid w:val="00490285"/>
    <w:rsid w:val="00491B0B"/>
    <w:rsid w:val="00493235"/>
    <w:rsid w:val="00493942"/>
    <w:rsid w:val="00495391"/>
    <w:rsid w:val="00496947"/>
    <w:rsid w:val="004969A2"/>
    <w:rsid w:val="00497C25"/>
    <w:rsid w:val="004A2931"/>
    <w:rsid w:val="004A30AB"/>
    <w:rsid w:val="004A4075"/>
    <w:rsid w:val="004A657E"/>
    <w:rsid w:val="004A74E8"/>
    <w:rsid w:val="004B2E5D"/>
    <w:rsid w:val="004B2EF4"/>
    <w:rsid w:val="004B6050"/>
    <w:rsid w:val="004B6404"/>
    <w:rsid w:val="004B64D3"/>
    <w:rsid w:val="004B667B"/>
    <w:rsid w:val="004C0609"/>
    <w:rsid w:val="004C132C"/>
    <w:rsid w:val="004C1D06"/>
    <w:rsid w:val="004C4363"/>
    <w:rsid w:val="004C5A61"/>
    <w:rsid w:val="004C67FE"/>
    <w:rsid w:val="004C7F87"/>
    <w:rsid w:val="004D101D"/>
    <w:rsid w:val="004D2923"/>
    <w:rsid w:val="004D6FF7"/>
    <w:rsid w:val="004D7B41"/>
    <w:rsid w:val="004E0875"/>
    <w:rsid w:val="004E1FA9"/>
    <w:rsid w:val="004E4855"/>
    <w:rsid w:val="004E75D2"/>
    <w:rsid w:val="004F0F6E"/>
    <w:rsid w:val="004F1386"/>
    <w:rsid w:val="004F308E"/>
    <w:rsid w:val="004F37E6"/>
    <w:rsid w:val="004F38C2"/>
    <w:rsid w:val="004F3CBA"/>
    <w:rsid w:val="004F4529"/>
    <w:rsid w:val="004F4F0F"/>
    <w:rsid w:val="00501998"/>
    <w:rsid w:val="00502CDD"/>
    <w:rsid w:val="005030CC"/>
    <w:rsid w:val="00505DB0"/>
    <w:rsid w:val="005131D5"/>
    <w:rsid w:val="005174A5"/>
    <w:rsid w:val="005228B6"/>
    <w:rsid w:val="005240F3"/>
    <w:rsid w:val="00524FA0"/>
    <w:rsid w:val="0052616B"/>
    <w:rsid w:val="0053109C"/>
    <w:rsid w:val="00531FD1"/>
    <w:rsid w:val="00540547"/>
    <w:rsid w:val="0054100C"/>
    <w:rsid w:val="0054131C"/>
    <w:rsid w:val="005414B4"/>
    <w:rsid w:val="00544195"/>
    <w:rsid w:val="0054506B"/>
    <w:rsid w:val="00545354"/>
    <w:rsid w:val="00546101"/>
    <w:rsid w:val="00547813"/>
    <w:rsid w:val="00547C99"/>
    <w:rsid w:val="00550D14"/>
    <w:rsid w:val="00551327"/>
    <w:rsid w:val="00557F7C"/>
    <w:rsid w:val="00560AD2"/>
    <w:rsid w:val="00562F58"/>
    <w:rsid w:val="00563898"/>
    <w:rsid w:val="00563C73"/>
    <w:rsid w:val="00563E1D"/>
    <w:rsid w:val="0056701C"/>
    <w:rsid w:val="0056702F"/>
    <w:rsid w:val="00567344"/>
    <w:rsid w:val="00570B28"/>
    <w:rsid w:val="005717F7"/>
    <w:rsid w:val="0057202E"/>
    <w:rsid w:val="00572BFB"/>
    <w:rsid w:val="0057351B"/>
    <w:rsid w:val="00580C28"/>
    <w:rsid w:val="0058191D"/>
    <w:rsid w:val="00583719"/>
    <w:rsid w:val="0058391F"/>
    <w:rsid w:val="00583EDB"/>
    <w:rsid w:val="005875A6"/>
    <w:rsid w:val="00587F61"/>
    <w:rsid w:val="00590EC3"/>
    <w:rsid w:val="00591FE8"/>
    <w:rsid w:val="00596D7C"/>
    <w:rsid w:val="005A14C9"/>
    <w:rsid w:val="005A16CD"/>
    <w:rsid w:val="005A1ABF"/>
    <w:rsid w:val="005A2A7A"/>
    <w:rsid w:val="005A4561"/>
    <w:rsid w:val="005A4881"/>
    <w:rsid w:val="005A5A72"/>
    <w:rsid w:val="005A5BCC"/>
    <w:rsid w:val="005B012C"/>
    <w:rsid w:val="005B3CF3"/>
    <w:rsid w:val="005B40DC"/>
    <w:rsid w:val="005B6D0C"/>
    <w:rsid w:val="005B7219"/>
    <w:rsid w:val="005C1DC2"/>
    <w:rsid w:val="005C2644"/>
    <w:rsid w:val="005C7957"/>
    <w:rsid w:val="005C7B3C"/>
    <w:rsid w:val="005D23E7"/>
    <w:rsid w:val="005D2652"/>
    <w:rsid w:val="005D267C"/>
    <w:rsid w:val="005D2A5B"/>
    <w:rsid w:val="005D4DBE"/>
    <w:rsid w:val="005D509C"/>
    <w:rsid w:val="005D5603"/>
    <w:rsid w:val="005D6944"/>
    <w:rsid w:val="005D6EDE"/>
    <w:rsid w:val="005E09CB"/>
    <w:rsid w:val="005E42A9"/>
    <w:rsid w:val="005E5CED"/>
    <w:rsid w:val="005F3531"/>
    <w:rsid w:val="005F4926"/>
    <w:rsid w:val="00600EBE"/>
    <w:rsid w:val="006040E1"/>
    <w:rsid w:val="00604F43"/>
    <w:rsid w:val="0061117F"/>
    <w:rsid w:val="006126A2"/>
    <w:rsid w:val="00613E1A"/>
    <w:rsid w:val="00614037"/>
    <w:rsid w:val="0061690F"/>
    <w:rsid w:val="006203D7"/>
    <w:rsid w:val="00621C19"/>
    <w:rsid w:val="00622E03"/>
    <w:rsid w:val="00630A66"/>
    <w:rsid w:val="0063158A"/>
    <w:rsid w:val="00631AA0"/>
    <w:rsid w:val="00631C10"/>
    <w:rsid w:val="00632B84"/>
    <w:rsid w:val="00635D36"/>
    <w:rsid w:val="00635F72"/>
    <w:rsid w:val="00637B15"/>
    <w:rsid w:val="006446CC"/>
    <w:rsid w:val="00646D1E"/>
    <w:rsid w:val="006476DA"/>
    <w:rsid w:val="0065009B"/>
    <w:rsid w:val="006510A6"/>
    <w:rsid w:val="00651194"/>
    <w:rsid w:val="00660259"/>
    <w:rsid w:val="006603BC"/>
    <w:rsid w:val="006614AC"/>
    <w:rsid w:val="00664319"/>
    <w:rsid w:val="006647DB"/>
    <w:rsid w:val="00670C4E"/>
    <w:rsid w:val="00671AF9"/>
    <w:rsid w:val="006722E3"/>
    <w:rsid w:val="00672973"/>
    <w:rsid w:val="006736D5"/>
    <w:rsid w:val="00673799"/>
    <w:rsid w:val="00680AC6"/>
    <w:rsid w:val="00681341"/>
    <w:rsid w:val="006819B8"/>
    <w:rsid w:val="00681EFA"/>
    <w:rsid w:val="00684233"/>
    <w:rsid w:val="00684D7C"/>
    <w:rsid w:val="00684EDC"/>
    <w:rsid w:val="00691434"/>
    <w:rsid w:val="006927A4"/>
    <w:rsid w:val="006939ED"/>
    <w:rsid w:val="00696D0E"/>
    <w:rsid w:val="00697208"/>
    <w:rsid w:val="006A0820"/>
    <w:rsid w:val="006A12C3"/>
    <w:rsid w:val="006A203A"/>
    <w:rsid w:val="006A268F"/>
    <w:rsid w:val="006A2A3B"/>
    <w:rsid w:val="006A3B13"/>
    <w:rsid w:val="006A410D"/>
    <w:rsid w:val="006A5DE5"/>
    <w:rsid w:val="006A5FBE"/>
    <w:rsid w:val="006B0C8D"/>
    <w:rsid w:val="006B72EF"/>
    <w:rsid w:val="006C04C8"/>
    <w:rsid w:val="006C6B65"/>
    <w:rsid w:val="006D03D5"/>
    <w:rsid w:val="006D0580"/>
    <w:rsid w:val="006D2A3B"/>
    <w:rsid w:val="006E0DC4"/>
    <w:rsid w:val="006E46A1"/>
    <w:rsid w:val="006E552A"/>
    <w:rsid w:val="006E58E5"/>
    <w:rsid w:val="006E6B8F"/>
    <w:rsid w:val="006E734E"/>
    <w:rsid w:val="006F2F38"/>
    <w:rsid w:val="006F3AFE"/>
    <w:rsid w:val="006F5B38"/>
    <w:rsid w:val="007023F4"/>
    <w:rsid w:val="00702B17"/>
    <w:rsid w:val="007064E0"/>
    <w:rsid w:val="00710427"/>
    <w:rsid w:val="007125A4"/>
    <w:rsid w:val="00713ECD"/>
    <w:rsid w:val="0071571F"/>
    <w:rsid w:val="00715B81"/>
    <w:rsid w:val="007201D8"/>
    <w:rsid w:val="00720357"/>
    <w:rsid w:val="00720DC3"/>
    <w:rsid w:val="007215D3"/>
    <w:rsid w:val="0072386D"/>
    <w:rsid w:val="0072498A"/>
    <w:rsid w:val="00724E56"/>
    <w:rsid w:val="0072554B"/>
    <w:rsid w:val="00734DEA"/>
    <w:rsid w:val="00734F8E"/>
    <w:rsid w:val="0073529C"/>
    <w:rsid w:val="00735C96"/>
    <w:rsid w:val="0073632A"/>
    <w:rsid w:val="0074337E"/>
    <w:rsid w:val="007441F2"/>
    <w:rsid w:val="00745525"/>
    <w:rsid w:val="00746FA8"/>
    <w:rsid w:val="00752252"/>
    <w:rsid w:val="00753DCF"/>
    <w:rsid w:val="007558D7"/>
    <w:rsid w:val="00755EB2"/>
    <w:rsid w:val="00766EB2"/>
    <w:rsid w:val="007724EA"/>
    <w:rsid w:val="0077592A"/>
    <w:rsid w:val="00777224"/>
    <w:rsid w:val="00777848"/>
    <w:rsid w:val="0078027E"/>
    <w:rsid w:val="00783C4D"/>
    <w:rsid w:val="00783CE7"/>
    <w:rsid w:val="00783F72"/>
    <w:rsid w:val="00786222"/>
    <w:rsid w:val="00792C60"/>
    <w:rsid w:val="00792D94"/>
    <w:rsid w:val="0079385D"/>
    <w:rsid w:val="00794866"/>
    <w:rsid w:val="007975E2"/>
    <w:rsid w:val="007A0793"/>
    <w:rsid w:val="007A0BAC"/>
    <w:rsid w:val="007A66C6"/>
    <w:rsid w:val="007B1A80"/>
    <w:rsid w:val="007B1DDF"/>
    <w:rsid w:val="007B2097"/>
    <w:rsid w:val="007B225C"/>
    <w:rsid w:val="007B25AC"/>
    <w:rsid w:val="007B5466"/>
    <w:rsid w:val="007B5982"/>
    <w:rsid w:val="007C2084"/>
    <w:rsid w:val="007C35BC"/>
    <w:rsid w:val="007C3854"/>
    <w:rsid w:val="007C5358"/>
    <w:rsid w:val="007C7B62"/>
    <w:rsid w:val="007C7DCC"/>
    <w:rsid w:val="007D1344"/>
    <w:rsid w:val="007D491C"/>
    <w:rsid w:val="007D6854"/>
    <w:rsid w:val="007E1E22"/>
    <w:rsid w:val="007E32C8"/>
    <w:rsid w:val="007E4265"/>
    <w:rsid w:val="007E523F"/>
    <w:rsid w:val="007E57D8"/>
    <w:rsid w:val="007E7A7F"/>
    <w:rsid w:val="007F0214"/>
    <w:rsid w:val="007F550F"/>
    <w:rsid w:val="007F6575"/>
    <w:rsid w:val="007F696A"/>
    <w:rsid w:val="007F7434"/>
    <w:rsid w:val="008001BF"/>
    <w:rsid w:val="00800535"/>
    <w:rsid w:val="00800CB7"/>
    <w:rsid w:val="00804196"/>
    <w:rsid w:val="00806791"/>
    <w:rsid w:val="00811FCE"/>
    <w:rsid w:val="008121D9"/>
    <w:rsid w:val="00812FFE"/>
    <w:rsid w:val="00816E85"/>
    <w:rsid w:val="00822192"/>
    <w:rsid w:val="00823964"/>
    <w:rsid w:val="00824A12"/>
    <w:rsid w:val="008254B5"/>
    <w:rsid w:val="008315DB"/>
    <w:rsid w:val="00833228"/>
    <w:rsid w:val="0083456E"/>
    <w:rsid w:val="00837CDC"/>
    <w:rsid w:val="00842EA3"/>
    <w:rsid w:val="00842F1B"/>
    <w:rsid w:val="0084602A"/>
    <w:rsid w:val="008466ED"/>
    <w:rsid w:val="008467C8"/>
    <w:rsid w:val="00850546"/>
    <w:rsid w:val="00854922"/>
    <w:rsid w:val="0085676B"/>
    <w:rsid w:val="0086269E"/>
    <w:rsid w:val="00864D43"/>
    <w:rsid w:val="0086700D"/>
    <w:rsid w:val="00867681"/>
    <w:rsid w:val="008725F1"/>
    <w:rsid w:val="00872914"/>
    <w:rsid w:val="008732EA"/>
    <w:rsid w:val="00873314"/>
    <w:rsid w:val="00873614"/>
    <w:rsid w:val="0087364C"/>
    <w:rsid w:val="00873A28"/>
    <w:rsid w:val="008747CC"/>
    <w:rsid w:val="00875124"/>
    <w:rsid w:val="00880F84"/>
    <w:rsid w:val="00881F64"/>
    <w:rsid w:val="00882081"/>
    <w:rsid w:val="0088286F"/>
    <w:rsid w:val="008836BC"/>
    <w:rsid w:val="00884576"/>
    <w:rsid w:val="00884672"/>
    <w:rsid w:val="0088735A"/>
    <w:rsid w:val="00890612"/>
    <w:rsid w:val="00891647"/>
    <w:rsid w:val="00891CA9"/>
    <w:rsid w:val="00893C67"/>
    <w:rsid w:val="0089795E"/>
    <w:rsid w:val="008A0E4F"/>
    <w:rsid w:val="008A58D9"/>
    <w:rsid w:val="008A6C0D"/>
    <w:rsid w:val="008A7F1A"/>
    <w:rsid w:val="008B180C"/>
    <w:rsid w:val="008B2819"/>
    <w:rsid w:val="008B68A5"/>
    <w:rsid w:val="008C1624"/>
    <w:rsid w:val="008C199A"/>
    <w:rsid w:val="008C448D"/>
    <w:rsid w:val="008C5597"/>
    <w:rsid w:val="008C5FF2"/>
    <w:rsid w:val="008C7510"/>
    <w:rsid w:val="008D08B7"/>
    <w:rsid w:val="008D2415"/>
    <w:rsid w:val="008D308E"/>
    <w:rsid w:val="008D50E7"/>
    <w:rsid w:val="008E0663"/>
    <w:rsid w:val="008E0FEA"/>
    <w:rsid w:val="008E45B0"/>
    <w:rsid w:val="008E5D6F"/>
    <w:rsid w:val="008E6E8D"/>
    <w:rsid w:val="008F08B2"/>
    <w:rsid w:val="008F1886"/>
    <w:rsid w:val="008F318B"/>
    <w:rsid w:val="008F3BD1"/>
    <w:rsid w:val="008F6DE5"/>
    <w:rsid w:val="008F7A7B"/>
    <w:rsid w:val="009005AE"/>
    <w:rsid w:val="00900BFC"/>
    <w:rsid w:val="009029F9"/>
    <w:rsid w:val="00903AD4"/>
    <w:rsid w:val="0090577A"/>
    <w:rsid w:val="00905805"/>
    <w:rsid w:val="00905C61"/>
    <w:rsid w:val="009074A2"/>
    <w:rsid w:val="0091037F"/>
    <w:rsid w:val="0091167B"/>
    <w:rsid w:val="009123A6"/>
    <w:rsid w:val="00912632"/>
    <w:rsid w:val="00914360"/>
    <w:rsid w:val="00915F86"/>
    <w:rsid w:val="00916029"/>
    <w:rsid w:val="00916703"/>
    <w:rsid w:val="00920079"/>
    <w:rsid w:val="009255A9"/>
    <w:rsid w:val="0092674D"/>
    <w:rsid w:val="0092749E"/>
    <w:rsid w:val="00927EA5"/>
    <w:rsid w:val="0093082A"/>
    <w:rsid w:val="00931415"/>
    <w:rsid w:val="00931E5C"/>
    <w:rsid w:val="009325B5"/>
    <w:rsid w:val="0093483D"/>
    <w:rsid w:val="00934D9A"/>
    <w:rsid w:val="009403F9"/>
    <w:rsid w:val="00940730"/>
    <w:rsid w:val="00943459"/>
    <w:rsid w:val="009448BC"/>
    <w:rsid w:val="00944B1B"/>
    <w:rsid w:val="009465EA"/>
    <w:rsid w:val="00951975"/>
    <w:rsid w:val="009544DF"/>
    <w:rsid w:val="00954500"/>
    <w:rsid w:val="00955E4F"/>
    <w:rsid w:val="00957C4B"/>
    <w:rsid w:val="00960DC3"/>
    <w:rsid w:val="00962503"/>
    <w:rsid w:val="00964112"/>
    <w:rsid w:val="00966500"/>
    <w:rsid w:val="00966955"/>
    <w:rsid w:val="00967DDF"/>
    <w:rsid w:val="00970252"/>
    <w:rsid w:val="00972E0C"/>
    <w:rsid w:val="00973D6B"/>
    <w:rsid w:val="009808A2"/>
    <w:rsid w:val="0098154F"/>
    <w:rsid w:val="009821A9"/>
    <w:rsid w:val="009837DC"/>
    <w:rsid w:val="009853D6"/>
    <w:rsid w:val="00985772"/>
    <w:rsid w:val="00985CFF"/>
    <w:rsid w:val="00986B1D"/>
    <w:rsid w:val="00986DF7"/>
    <w:rsid w:val="00990166"/>
    <w:rsid w:val="00990665"/>
    <w:rsid w:val="009917D5"/>
    <w:rsid w:val="009A0787"/>
    <w:rsid w:val="009A6124"/>
    <w:rsid w:val="009B0702"/>
    <w:rsid w:val="009B2D36"/>
    <w:rsid w:val="009B470A"/>
    <w:rsid w:val="009C1E7C"/>
    <w:rsid w:val="009C20A4"/>
    <w:rsid w:val="009D036B"/>
    <w:rsid w:val="009D0491"/>
    <w:rsid w:val="009D070C"/>
    <w:rsid w:val="009D0A77"/>
    <w:rsid w:val="009D13E5"/>
    <w:rsid w:val="009D6F24"/>
    <w:rsid w:val="009E0A58"/>
    <w:rsid w:val="009E4037"/>
    <w:rsid w:val="009F62B7"/>
    <w:rsid w:val="009F7406"/>
    <w:rsid w:val="00A00073"/>
    <w:rsid w:val="00A05743"/>
    <w:rsid w:val="00A10420"/>
    <w:rsid w:val="00A10634"/>
    <w:rsid w:val="00A11BB3"/>
    <w:rsid w:val="00A14BBC"/>
    <w:rsid w:val="00A2266F"/>
    <w:rsid w:val="00A24CD9"/>
    <w:rsid w:val="00A32443"/>
    <w:rsid w:val="00A32BFA"/>
    <w:rsid w:val="00A34025"/>
    <w:rsid w:val="00A36D0A"/>
    <w:rsid w:val="00A37F92"/>
    <w:rsid w:val="00A405D7"/>
    <w:rsid w:val="00A409BE"/>
    <w:rsid w:val="00A426A1"/>
    <w:rsid w:val="00A428F6"/>
    <w:rsid w:val="00A45D41"/>
    <w:rsid w:val="00A53363"/>
    <w:rsid w:val="00A53A16"/>
    <w:rsid w:val="00A5425B"/>
    <w:rsid w:val="00A546D8"/>
    <w:rsid w:val="00A60312"/>
    <w:rsid w:val="00A62679"/>
    <w:rsid w:val="00A639D4"/>
    <w:rsid w:val="00A7060C"/>
    <w:rsid w:val="00A73055"/>
    <w:rsid w:val="00A75DA5"/>
    <w:rsid w:val="00A80123"/>
    <w:rsid w:val="00A8345D"/>
    <w:rsid w:val="00A8409C"/>
    <w:rsid w:val="00A84F82"/>
    <w:rsid w:val="00A85C4B"/>
    <w:rsid w:val="00A87BCE"/>
    <w:rsid w:val="00A91087"/>
    <w:rsid w:val="00A94E23"/>
    <w:rsid w:val="00A953E9"/>
    <w:rsid w:val="00A96094"/>
    <w:rsid w:val="00AA0F34"/>
    <w:rsid w:val="00AA2BEE"/>
    <w:rsid w:val="00AB1F5C"/>
    <w:rsid w:val="00AB2F3C"/>
    <w:rsid w:val="00AB6882"/>
    <w:rsid w:val="00AC1EBD"/>
    <w:rsid w:val="00AC5415"/>
    <w:rsid w:val="00AC5E78"/>
    <w:rsid w:val="00AC6A46"/>
    <w:rsid w:val="00AC79BF"/>
    <w:rsid w:val="00AD3283"/>
    <w:rsid w:val="00AD371C"/>
    <w:rsid w:val="00AD4172"/>
    <w:rsid w:val="00AD433F"/>
    <w:rsid w:val="00AD4BF0"/>
    <w:rsid w:val="00AD65B1"/>
    <w:rsid w:val="00AD7889"/>
    <w:rsid w:val="00AD78F6"/>
    <w:rsid w:val="00AE11A2"/>
    <w:rsid w:val="00AE4C90"/>
    <w:rsid w:val="00AE6210"/>
    <w:rsid w:val="00AF00C0"/>
    <w:rsid w:val="00AF0AA6"/>
    <w:rsid w:val="00AF1E70"/>
    <w:rsid w:val="00AF2021"/>
    <w:rsid w:val="00AF4023"/>
    <w:rsid w:val="00AF5981"/>
    <w:rsid w:val="00AF7E80"/>
    <w:rsid w:val="00B022B7"/>
    <w:rsid w:val="00B03443"/>
    <w:rsid w:val="00B035BB"/>
    <w:rsid w:val="00B15156"/>
    <w:rsid w:val="00B1712F"/>
    <w:rsid w:val="00B20341"/>
    <w:rsid w:val="00B22434"/>
    <w:rsid w:val="00B242CE"/>
    <w:rsid w:val="00B24D86"/>
    <w:rsid w:val="00B25D0A"/>
    <w:rsid w:val="00B3011A"/>
    <w:rsid w:val="00B3037D"/>
    <w:rsid w:val="00B30DD0"/>
    <w:rsid w:val="00B315E5"/>
    <w:rsid w:val="00B32F81"/>
    <w:rsid w:val="00B345F4"/>
    <w:rsid w:val="00B3736B"/>
    <w:rsid w:val="00B37855"/>
    <w:rsid w:val="00B4195B"/>
    <w:rsid w:val="00B42C9B"/>
    <w:rsid w:val="00B4432B"/>
    <w:rsid w:val="00B44ABE"/>
    <w:rsid w:val="00B4638A"/>
    <w:rsid w:val="00B465FF"/>
    <w:rsid w:val="00B46957"/>
    <w:rsid w:val="00B46D5F"/>
    <w:rsid w:val="00B4714E"/>
    <w:rsid w:val="00B476E1"/>
    <w:rsid w:val="00B50E7F"/>
    <w:rsid w:val="00B51007"/>
    <w:rsid w:val="00B53DB0"/>
    <w:rsid w:val="00B57B4B"/>
    <w:rsid w:val="00B6221D"/>
    <w:rsid w:val="00B62C9E"/>
    <w:rsid w:val="00B70376"/>
    <w:rsid w:val="00B71231"/>
    <w:rsid w:val="00B72F9E"/>
    <w:rsid w:val="00B7346E"/>
    <w:rsid w:val="00B74CE1"/>
    <w:rsid w:val="00B74FBB"/>
    <w:rsid w:val="00B762F2"/>
    <w:rsid w:val="00B76AFA"/>
    <w:rsid w:val="00B77A3A"/>
    <w:rsid w:val="00B85CC9"/>
    <w:rsid w:val="00B87882"/>
    <w:rsid w:val="00B9006A"/>
    <w:rsid w:val="00B90604"/>
    <w:rsid w:val="00B91E38"/>
    <w:rsid w:val="00B926F6"/>
    <w:rsid w:val="00B92D5B"/>
    <w:rsid w:val="00B92E69"/>
    <w:rsid w:val="00B93562"/>
    <w:rsid w:val="00B93585"/>
    <w:rsid w:val="00B95878"/>
    <w:rsid w:val="00B96773"/>
    <w:rsid w:val="00BA0113"/>
    <w:rsid w:val="00BA14F4"/>
    <w:rsid w:val="00BA1C30"/>
    <w:rsid w:val="00BA2F1B"/>
    <w:rsid w:val="00BA46D8"/>
    <w:rsid w:val="00BA5113"/>
    <w:rsid w:val="00BA66C9"/>
    <w:rsid w:val="00BA69B0"/>
    <w:rsid w:val="00BA73A3"/>
    <w:rsid w:val="00BA752B"/>
    <w:rsid w:val="00BA7D83"/>
    <w:rsid w:val="00BB0A8F"/>
    <w:rsid w:val="00BB19E6"/>
    <w:rsid w:val="00BB3448"/>
    <w:rsid w:val="00BB4189"/>
    <w:rsid w:val="00BB5630"/>
    <w:rsid w:val="00BC23B6"/>
    <w:rsid w:val="00BC25F2"/>
    <w:rsid w:val="00BD24BB"/>
    <w:rsid w:val="00BD5831"/>
    <w:rsid w:val="00BD7357"/>
    <w:rsid w:val="00BE15BA"/>
    <w:rsid w:val="00BE475C"/>
    <w:rsid w:val="00BF254F"/>
    <w:rsid w:val="00BF26D9"/>
    <w:rsid w:val="00BF3FD9"/>
    <w:rsid w:val="00BF42BF"/>
    <w:rsid w:val="00BF4307"/>
    <w:rsid w:val="00BF646D"/>
    <w:rsid w:val="00BF6A4B"/>
    <w:rsid w:val="00BF7E81"/>
    <w:rsid w:val="00C03955"/>
    <w:rsid w:val="00C045BE"/>
    <w:rsid w:val="00C0604A"/>
    <w:rsid w:val="00C11E1F"/>
    <w:rsid w:val="00C12FE7"/>
    <w:rsid w:val="00C13BE5"/>
    <w:rsid w:val="00C148C5"/>
    <w:rsid w:val="00C15A0A"/>
    <w:rsid w:val="00C15C01"/>
    <w:rsid w:val="00C24658"/>
    <w:rsid w:val="00C25783"/>
    <w:rsid w:val="00C2579E"/>
    <w:rsid w:val="00C26F75"/>
    <w:rsid w:val="00C305DF"/>
    <w:rsid w:val="00C327B5"/>
    <w:rsid w:val="00C3286C"/>
    <w:rsid w:val="00C32A20"/>
    <w:rsid w:val="00C34305"/>
    <w:rsid w:val="00C35D73"/>
    <w:rsid w:val="00C373FB"/>
    <w:rsid w:val="00C407D9"/>
    <w:rsid w:val="00C4328F"/>
    <w:rsid w:val="00C44B8C"/>
    <w:rsid w:val="00C45088"/>
    <w:rsid w:val="00C45ACE"/>
    <w:rsid w:val="00C461F4"/>
    <w:rsid w:val="00C46560"/>
    <w:rsid w:val="00C47892"/>
    <w:rsid w:val="00C50146"/>
    <w:rsid w:val="00C50F7E"/>
    <w:rsid w:val="00C55607"/>
    <w:rsid w:val="00C55FEC"/>
    <w:rsid w:val="00C563D8"/>
    <w:rsid w:val="00C60236"/>
    <w:rsid w:val="00C60868"/>
    <w:rsid w:val="00C62A5C"/>
    <w:rsid w:val="00C63BA9"/>
    <w:rsid w:val="00C67C83"/>
    <w:rsid w:val="00C703AF"/>
    <w:rsid w:val="00C703D8"/>
    <w:rsid w:val="00C7149F"/>
    <w:rsid w:val="00C73139"/>
    <w:rsid w:val="00C73BB5"/>
    <w:rsid w:val="00C7588E"/>
    <w:rsid w:val="00C775A4"/>
    <w:rsid w:val="00C82F59"/>
    <w:rsid w:val="00C8348E"/>
    <w:rsid w:val="00C83546"/>
    <w:rsid w:val="00C83631"/>
    <w:rsid w:val="00C8398C"/>
    <w:rsid w:val="00C90B83"/>
    <w:rsid w:val="00C91B7A"/>
    <w:rsid w:val="00C94693"/>
    <w:rsid w:val="00C94769"/>
    <w:rsid w:val="00C958FD"/>
    <w:rsid w:val="00C9624F"/>
    <w:rsid w:val="00C9689D"/>
    <w:rsid w:val="00CA24CB"/>
    <w:rsid w:val="00CB01FF"/>
    <w:rsid w:val="00CB0435"/>
    <w:rsid w:val="00CB1C5B"/>
    <w:rsid w:val="00CB49B6"/>
    <w:rsid w:val="00CB4C8F"/>
    <w:rsid w:val="00CC1401"/>
    <w:rsid w:val="00CC2718"/>
    <w:rsid w:val="00CC297D"/>
    <w:rsid w:val="00CC36C1"/>
    <w:rsid w:val="00CC3ABB"/>
    <w:rsid w:val="00CC5271"/>
    <w:rsid w:val="00CC5B6D"/>
    <w:rsid w:val="00CC5F76"/>
    <w:rsid w:val="00CC657B"/>
    <w:rsid w:val="00CC6585"/>
    <w:rsid w:val="00CD7900"/>
    <w:rsid w:val="00CD7CD6"/>
    <w:rsid w:val="00CE14D4"/>
    <w:rsid w:val="00CE21DA"/>
    <w:rsid w:val="00CE2665"/>
    <w:rsid w:val="00CE288A"/>
    <w:rsid w:val="00CE28FA"/>
    <w:rsid w:val="00CE3A99"/>
    <w:rsid w:val="00CE4301"/>
    <w:rsid w:val="00CE559E"/>
    <w:rsid w:val="00CE57C8"/>
    <w:rsid w:val="00CE5BAC"/>
    <w:rsid w:val="00CE743A"/>
    <w:rsid w:val="00CE7932"/>
    <w:rsid w:val="00CF151F"/>
    <w:rsid w:val="00CF30B3"/>
    <w:rsid w:val="00CF30E5"/>
    <w:rsid w:val="00CF51F0"/>
    <w:rsid w:val="00CF5A8D"/>
    <w:rsid w:val="00D01169"/>
    <w:rsid w:val="00D01ECB"/>
    <w:rsid w:val="00D04CBD"/>
    <w:rsid w:val="00D0508C"/>
    <w:rsid w:val="00D052E6"/>
    <w:rsid w:val="00D05539"/>
    <w:rsid w:val="00D12AE6"/>
    <w:rsid w:val="00D16D4E"/>
    <w:rsid w:val="00D27D35"/>
    <w:rsid w:val="00D30ACC"/>
    <w:rsid w:val="00D312BE"/>
    <w:rsid w:val="00D32225"/>
    <w:rsid w:val="00D33401"/>
    <w:rsid w:val="00D353C5"/>
    <w:rsid w:val="00D35B20"/>
    <w:rsid w:val="00D3639F"/>
    <w:rsid w:val="00D36862"/>
    <w:rsid w:val="00D4016B"/>
    <w:rsid w:val="00D43DEC"/>
    <w:rsid w:val="00D510FB"/>
    <w:rsid w:val="00D535EE"/>
    <w:rsid w:val="00D5386B"/>
    <w:rsid w:val="00D54C9B"/>
    <w:rsid w:val="00D60B2D"/>
    <w:rsid w:val="00D61FEA"/>
    <w:rsid w:val="00D647C4"/>
    <w:rsid w:val="00D65A2B"/>
    <w:rsid w:val="00D668A6"/>
    <w:rsid w:val="00D71E2B"/>
    <w:rsid w:val="00D71FBF"/>
    <w:rsid w:val="00D740E9"/>
    <w:rsid w:val="00D747D6"/>
    <w:rsid w:val="00D75FBB"/>
    <w:rsid w:val="00D83C4D"/>
    <w:rsid w:val="00D84013"/>
    <w:rsid w:val="00D86FFE"/>
    <w:rsid w:val="00D916C6"/>
    <w:rsid w:val="00D917C1"/>
    <w:rsid w:val="00D91913"/>
    <w:rsid w:val="00D92353"/>
    <w:rsid w:val="00D92D26"/>
    <w:rsid w:val="00D95544"/>
    <w:rsid w:val="00D9587A"/>
    <w:rsid w:val="00D960E9"/>
    <w:rsid w:val="00DA2C9C"/>
    <w:rsid w:val="00DA3055"/>
    <w:rsid w:val="00DA3939"/>
    <w:rsid w:val="00DA3E12"/>
    <w:rsid w:val="00DA59B1"/>
    <w:rsid w:val="00DB2B95"/>
    <w:rsid w:val="00DB2C7C"/>
    <w:rsid w:val="00DB4547"/>
    <w:rsid w:val="00DB4922"/>
    <w:rsid w:val="00DB56CC"/>
    <w:rsid w:val="00DB696B"/>
    <w:rsid w:val="00DC1526"/>
    <w:rsid w:val="00DC3061"/>
    <w:rsid w:val="00DC3782"/>
    <w:rsid w:val="00DC3A09"/>
    <w:rsid w:val="00DC6AE0"/>
    <w:rsid w:val="00DC6CB7"/>
    <w:rsid w:val="00DC7168"/>
    <w:rsid w:val="00DC7A02"/>
    <w:rsid w:val="00DD2CF6"/>
    <w:rsid w:val="00DD3875"/>
    <w:rsid w:val="00DD5255"/>
    <w:rsid w:val="00DE22F4"/>
    <w:rsid w:val="00DE493A"/>
    <w:rsid w:val="00DE5FAB"/>
    <w:rsid w:val="00DE6D08"/>
    <w:rsid w:val="00DE7A3E"/>
    <w:rsid w:val="00DF0834"/>
    <w:rsid w:val="00DF2854"/>
    <w:rsid w:val="00DF2D48"/>
    <w:rsid w:val="00DF3786"/>
    <w:rsid w:val="00DF3B79"/>
    <w:rsid w:val="00DF43DF"/>
    <w:rsid w:val="00DF5ED8"/>
    <w:rsid w:val="00DF65CB"/>
    <w:rsid w:val="00DF7578"/>
    <w:rsid w:val="00E00863"/>
    <w:rsid w:val="00E01417"/>
    <w:rsid w:val="00E02C93"/>
    <w:rsid w:val="00E0753F"/>
    <w:rsid w:val="00E07807"/>
    <w:rsid w:val="00E109E5"/>
    <w:rsid w:val="00E112D9"/>
    <w:rsid w:val="00E118F9"/>
    <w:rsid w:val="00E11D44"/>
    <w:rsid w:val="00E15927"/>
    <w:rsid w:val="00E15CC7"/>
    <w:rsid w:val="00E20624"/>
    <w:rsid w:val="00E231CE"/>
    <w:rsid w:val="00E25F48"/>
    <w:rsid w:val="00E264CC"/>
    <w:rsid w:val="00E316FD"/>
    <w:rsid w:val="00E36974"/>
    <w:rsid w:val="00E37525"/>
    <w:rsid w:val="00E37C85"/>
    <w:rsid w:val="00E403D2"/>
    <w:rsid w:val="00E40CEE"/>
    <w:rsid w:val="00E420BA"/>
    <w:rsid w:val="00E421A4"/>
    <w:rsid w:val="00E478CE"/>
    <w:rsid w:val="00E527AC"/>
    <w:rsid w:val="00E52FC9"/>
    <w:rsid w:val="00E53962"/>
    <w:rsid w:val="00E55FA6"/>
    <w:rsid w:val="00E56FFB"/>
    <w:rsid w:val="00E57170"/>
    <w:rsid w:val="00E6021D"/>
    <w:rsid w:val="00E60270"/>
    <w:rsid w:val="00E630B8"/>
    <w:rsid w:val="00E641EF"/>
    <w:rsid w:val="00E70F43"/>
    <w:rsid w:val="00E712C9"/>
    <w:rsid w:val="00E72D0C"/>
    <w:rsid w:val="00E7576B"/>
    <w:rsid w:val="00E773AF"/>
    <w:rsid w:val="00E777F3"/>
    <w:rsid w:val="00E77E50"/>
    <w:rsid w:val="00E8084C"/>
    <w:rsid w:val="00E8099A"/>
    <w:rsid w:val="00E83747"/>
    <w:rsid w:val="00E84DD9"/>
    <w:rsid w:val="00E861D1"/>
    <w:rsid w:val="00E87322"/>
    <w:rsid w:val="00E87D72"/>
    <w:rsid w:val="00E9383D"/>
    <w:rsid w:val="00E95A62"/>
    <w:rsid w:val="00E95C2D"/>
    <w:rsid w:val="00E9690E"/>
    <w:rsid w:val="00E96E5E"/>
    <w:rsid w:val="00EA1078"/>
    <w:rsid w:val="00EA255A"/>
    <w:rsid w:val="00EA3EB7"/>
    <w:rsid w:val="00EA4A03"/>
    <w:rsid w:val="00EA6499"/>
    <w:rsid w:val="00EA76CF"/>
    <w:rsid w:val="00EA7B30"/>
    <w:rsid w:val="00EB2B2B"/>
    <w:rsid w:val="00EC0638"/>
    <w:rsid w:val="00EC1043"/>
    <w:rsid w:val="00EC6561"/>
    <w:rsid w:val="00EC76F7"/>
    <w:rsid w:val="00ED039E"/>
    <w:rsid w:val="00ED0ACE"/>
    <w:rsid w:val="00ED0D09"/>
    <w:rsid w:val="00ED1F31"/>
    <w:rsid w:val="00ED4033"/>
    <w:rsid w:val="00ED4575"/>
    <w:rsid w:val="00ED6F06"/>
    <w:rsid w:val="00ED7174"/>
    <w:rsid w:val="00EE0067"/>
    <w:rsid w:val="00EE1817"/>
    <w:rsid w:val="00EE2CB7"/>
    <w:rsid w:val="00EE2D30"/>
    <w:rsid w:val="00EE323C"/>
    <w:rsid w:val="00EE4E5A"/>
    <w:rsid w:val="00EE63D3"/>
    <w:rsid w:val="00EE6ED7"/>
    <w:rsid w:val="00EF1A5F"/>
    <w:rsid w:val="00EF7383"/>
    <w:rsid w:val="00F007B7"/>
    <w:rsid w:val="00F02F16"/>
    <w:rsid w:val="00F03B30"/>
    <w:rsid w:val="00F04355"/>
    <w:rsid w:val="00F04B07"/>
    <w:rsid w:val="00F04C8B"/>
    <w:rsid w:val="00F0562E"/>
    <w:rsid w:val="00F05F4B"/>
    <w:rsid w:val="00F06EEE"/>
    <w:rsid w:val="00F10559"/>
    <w:rsid w:val="00F117AE"/>
    <w:rsid w:val="00F11D87"/>
    <w:rsid w:val="00F123BF"/>
    <w:rsid w:val="00F12B8A"/>
    <w:rsid w:val="00F1595C"/>
    <w:rsid w:val="00F1633B"/>
    <w:rsid w:val="00F16833"/>
    <w:rsid w:val="00F17765"/>
    <w:rsid w:val="00F20F43"/>
    <w:rsid w:val="00F25038"/>
    <w:rsid w:val="00F259CD"/>
    <w:rsid w:val="00F27CCE"/>
    <w:rsid w:val="00F30AC9"/>
    <w:rsid w:val="00F30C58"/>
    <w:rsid w:val="00F318EA"/>
    <w:rsid w:val="00F31DC9"/>
    <w:rsid w:val="00F36572"/>
    <w:rsid w:val="00F404BA"/>
    <w:rsid w:val="00F413A7"/>
    <w:rsid w:val="00F41F9A"/>
    <w:rsid w:val="00F43C0F"/>
    <w:rsid w:val="00F45C2D"/>
    <w:rsid w:val="00F46DE9"/>
    <w:rsid w:val="00F46EEC"/>
    <w:rsid w:val="00F5016A"/>
    <w:rsid w:val="00F519FA"/>
    <w:rsid w:val="00F52D03"/>
    <w:rsid w:val="00F532FD"/>
    <w:rsid w:val="00F57252"/>
    <w:rsid w:val="00F61DCE"/>
    <w:rsid w:val="00F63A95"/>
    <w:rsid w:val="00F63C89"/>
    <w:rsid w:val="00F64789"/>
    <w:rsid w:val="00F7032C"/>
    <w:rsid w:val="00F72F04"/>
    <w:rsid w:val="00F74FA4"/>
    <w:rsid w:val="00F768C1"/>
    <w:rsid w:val="00F77B42"/>
    <w:rsid w:val="00F835A8"/>
    <w:rsid w:val="00F8466B"/>
    <w:rsid w:val="00F84AE7"/>
    <w:rsid w:val="00F8619F"/>
    <w:rsid w:val="00F87A6B"/>
    <w:rsid w:val="00F91EA8"/>
    <w:rsid w:val="00F9240E"/>
    <w:rsid w:val="00F956AE"/>
    <w:rsid w:val="00F95A12"/>
    <w:rsid w:val="00FA1610"/>
    <w:rsid w:val="00FA1690"/>
    <w:rsid w:val="00FA3DD0"/>
    <w:rsid w:val="00FA64AC"/>
    <w:rsid w:val="00FA6BF3"/>
    <w:rsid w:val="00FB0974"/>
    <w:rsid w:val="00FB24D6"/>
    <w:rsid w:val="00FB2507"/>
    <w:rsid w:val="00FB29EB"/>
    <w:rsid w:val="00FB4524"/>
    <w:rsid w:val="00FB57DE"/>
    <w:rsid w:val="00FB5D16"/>
    <w:rsid w:val="00FB6928"/>
    <w:rsid w:val="00FB6C54"/>
    <w:rsid w:val="00FC29BE"/>
    <w:rsid w:val="00FC683B"/>
    <w:rsid w:val="00FD046A"/>
    <w:rsid w:val="00FD0872"/>
    <w:rsid w:val="00FD0C71"/>
    <w:rsid w:val="00FD2CCE"/>
    <w:rsid w:val="00FD42F1"/>
    <w:rsid w:val="00FD469F"/>
    <w:rsid w:val="00FE0E1B"/>
    <w:rsid w:val="00FE1362"/>
    <w:rsid w:val="00FE445D"/>
    <w:rsid w:val="00FE4E82"/>
    <w:rsid w:val="00FF1CB9"/>
    <w:rsid w:val="00FF23B6"/>
    <w:rsid w:val="00FF44F1"/>
    <w:rsid w:val="0C3E1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99" w:name="footnote text"/>
    <w:lsdException w:uiPriority="99" w:name="annotation text"/>
    <w:lsdException w:uiPriority="99" w:semiHidden="0" w:name="header"/>
    <w:lsdException w:qFormat="1" w:unhideWhenUsed="0" w:uiPriority="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line="312" w:lineRule="atLeast"/>
      <w:jc w:val="both"/>
      <w:textAlignment w:val="baseline"/>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7"/>
    <w:qFormat/>
    <w:uiPriority w:val="0"/>
    <w:pPr>
      <w:keepNext/>
      <w:keepLines/>
      <w:numPr>
        <w:ilvl w:val="0"/>
        <w:numId w:val="1"/>
      </w:numPr>
      <w:spacing w:line="240" w:lineRule="auto"/>
      <w:outlineLvl w:val="0"/>
    </w:pPr>
    <w:rPr>
      <w:rFonts w:ascii="黑体" w:hAnsi="黑体" w:eastAsia="黑体"/>
      <w:b/>
      <w:bCs/>
      <w:kern w:val="44"/>
      <w:sz w:val="30"/>
      <w:szCs w:val="30"/>
    </w:rPr>
  </w:style>
  <w:style w:type="paragraph" w:styleId="3">
    <w:name w:val="heading 2"/>
    <w:basedOn w:val="2"/>
    <w:next w:val="1"/>
    <w:link w:val="40"/>
    <w:unhideWhenUsed/>
    <w:qFormat/>
    <w:uiPriority w:val="0"/>
    <w:pPr>
      <w:numPr>
        <w:ilvl w:val="1"/>
      </w:numPr>
      <w:outlineLvl w:val="1"/>
    </w:pPr>
    <w:rPr>
      <w:sz w:val="28"/>
      <w:szCs w:val="28"/>
    </w:rPr>
  </w:style>
  <w:style w:type="paragraph" w:styleId="4">
    <w:name w:val="heading 3"/>
    <w:basedOn w:val="3"/>
    <w:next w:val="1"/>
    <w:link w:val="41"/>
    <w:unhideWhenUsed/>
    <w:qFormat/>
    <w:uiPriority w:val="0"/>
    <w:pPr>
      <w:numPr>
        <w:ilvl w:val="2"/>
      </w:numPr>
      <w:outlineLvl w:val="2"/>
    </w:pPr>
  </w:style>
  <w:style w:type="paragraph" w:styleId="5">
    <w:name w:val="heading 4"/>
    <w:basedOn w:val="4"/>
    <w:next w:val="1"/>
    <w:link w:val="48"/>
    <w:unhideWhenUsed/>
    <w:qFormat/>
    <w:uiPriority w:val="9"/>
    <w:pPr>
      <w:numPr>
        <w:ilvl w:val="3"/>
      </w:numPr>
      <w:spacing w:line="360" w:lineRule="auto"/>
      <w:outlineLvl w:val="3"/>
    </w:pPr>
    <w:rPr>
      <w:sz w:val="24"/>
      <w:szCs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semiHidden/>
    <w:qFormat/>
    <w:uiPriority w:val="0"/>
    <w:pPr>
      <w:autoSpaceDE/>
      <w:autoSpaceDN/>
      <w:adjustRightInd/>
      <w:spacing w:line="240" w:lineRule="auto"/>
      <w:ind w:firstLine="420"/>
      <w:textAlignment w:val="auto"/>
    </w:pPr>
  </w:style>
  <w:style w:type="paragraph" w:styleId="7">
    <w:name w:val="caption"/>
    <w:basedOn w:val="1"/>
    <w:next w:val="1"/>
    <w:link w:val="32"/>
    <w:qFormat/>
    <w:uiPriority w:val="99"/>
    <w:pPr>
      <w:autoSpaceDE/>
      <w:autoSpaceDN/>
      <w:adjustRightInd/>
      <w:spacing w:line="240" w:lineRule="auto"/>
      <w:textAlignment w:val="auto"/>
    </w:pPr>
    <w:rPr>
      <w:rFonts w:ascii="Cambria" w:hAnsi="Cambria" w:eastAsia="黑体"/>
      <w:kern w:val="15"/>
      <w:sz w:val="20"/>
      <w:lang w:val="zh-CN" w:eastAsia="zh-CN"/>
    </w:rPr>
  </w:style>
  <w:style w:type="paragraph" w:styleId="8">
    <w:name w:val="annotation text"/>
    <w:basedOn w:val="1"/>
    <w:link w:val="42"/>
    <w:semiHidden/>
    <w:unhideWhenUsed/>
    <w:uiPriority w:val="99"/>
    <w:pPr>
      <w:jc w:val="left"/>
    </w:pPr>
  </w:style>
  <w:style w:type="paragraph" w:styleId="9">
    <w:name w:val="toc 3"/>
    <w:basedOn w:val="10"/>
    <w:next w:val="1"/>
    <w:qFormat/>
    <w:uiPriority w:val="39"/>
    <w:pPr>
      <w:tabs>
        <w:tab w:val="right" w:leader="dot" w:pos="9345"/>
      </w:tabs>
    </w:pPr>
  </w:style>
  <w:style w:type="paragraph" w:styleId="10">
    <w:name w:val="toc 2"/>
    <w:basedOn w:val="11"/>
    <w:next w:val="1"/>
    <w:qFormat/>
    <w:uiPriority w:val="39"/>
    <w:pPr>
      <w:tabs>
        <w:tab w:val="right" w:leader="dot" w:pos="9345"/>
      </w:tabs>
      <w:ind w:firstLine="283" w:firstLineChars="101"/>
    </w:pPr>
  </w:style>
  <w:style w:type="paragraph" w:styleId="11">
    <w:name w:val="toc 1"/>
    <w:next w:val="1"/>
    <w:qFormat/>
    <w:uiPriority w:val="39"/>
    <w:pPr>
      <w:tabs>
        <w:tab w:val="right" w:leader="dot" w:pos="9345"/>
      </w:tabs>
      <w:jc w:val="both"/>
    </w:pPr>
    <w:rPr>
      <w:rFonts w:ascii="宋体" w:hAnsi="Times New Roman" w:eastAsia="宋体" w:cs="Times New Roman"/>
      <w:kern w:val="0"/>
      <w:sz w:val="21"/>
      <w:szCs w:val="20"/>
      <w:lang w:val="en-US" w:eastAsia="zh-CN" w:bidi="ar-SA"/>
    </w:rPr>
  </w:style>
  <w:style w:type="paragraph" w:styleId="12">
    <w:name w:val="Date"/>
    <w:basedOn w:val="1"/>
    <w:next w:val="1"/>
    <w:link w:val="34"/>
    <w:semiHidden/>
    <w:qFormat/>
    <w:uiPriority w:val="0"/>
    <w:pPr>
      <w:ind w:left="100" w:leftChars="2500"/>
    </w:pPr>
    <w:rPr>
      <w:rFonts w:ascii="仿宋体" w:eastAsia="仿宋体"/>
      <w:b/>
      <w:sz w:val="30"/>
    </w:rPr>
  </w:style>
  <w:style w:type="paragraph" w:styleId="13">
    <w:name w:val="Balloon Text"/>
    <w:basedOn w:val="1"/>
    <w:link w:val="33"/>
    <w:semiHidden/>
    <w:unhideWhenUsed/>
    <w:qFormat/>
    <w:uiPriority w:val="99"/>
    <w:pPr>
      <w:spacing w:line="240" w:lineRule="auto"/>
    </w:pPr>
    <w:rPr>
      <w:sz w:val="18"/>
      <w:szCs w:val="18"/>
    </w:rPr>
  </w:style>
  <w:style w:type="paragraph" w:styleId="14">
    <w:name w:val="footer"/>
    <w:basedOn w:val="1"/>
    <w:link w:val="25"/>
    <w:semiHidden/>
    <w:qFormat/>
    <w:uiPriority w:val="0"/>
    <w:pPr>
      <w:tabs>
        <w:tab w:val="center" w:pos="4153"/>
        <w:tab w:val="right" w:pos="8306"/>
      </w:tabs>
      <w:spacing w:line="240" w:lineRule="atLeast"/>
      <w:jc w:val="left"/>
    </w:pPr>
    <w:rPr>
      <w:sz w:val="18"/>
    </w:rPr>
  </w:style>
  <w:style w:type="paragraph" w:styleId="15">
    <w:name w:val="header"/>
    <w:basedOn w:val="1"/>
    <w:link w:val="49"/>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6">
    <w:name w:val="Body Text Indent 3"/>
    <w:basedOn w:val="1"/>
    <w:link w:val="35"/>
    <w:semiHidden/>
    <w:qFormat/>
    <w:uiPriority w:val="0"/>
    <w:pPr>
      <w:autoSpaceDE/>
      <w:autoSpaceDN/>
      <w:adjustRightInd/>
      <w:spacing w:line="360" w:lineRule="exact"/>
      <w:ind w:firstLine="425"/>
      <w:textAlignment w:val="auto"/>
    </w:pPr>
    <w:rPr>
      <w:rFonts w:ascii="宋体"/>
    </w:rPr>
  </w:style>
  <w:style w:type="paragraph" w:styleId="17">
    <w:name w:val="Normal (Web)"/>
    <w:basedOn w:val="1"/>
    <w:semiHidden/>
    <w:unhideWhenUsed/>
    <w:qFormat/>
    <w:uiPriority w:val="99"/>
    <w:pPr>
      <w:widowControl/>
      <w:autoSpaceDE/>
      <w:autoSpaceDN/>
      <w:adjustRightInd/>
      <w:spacing w:before="100" w:beforeAutospacing="1" w:after="100" w:afterAutospacing="1" w:line="240" w:lineRule="auto"/>
      <w:jc w:val="left"/>
      <w:textAlignment w:val="auto"/>
    </w:pPr>
    <w:rPr>
      <w:rFonts w:ascii="宋体" w:hAnsi="宋体" w:cs="宋体"/>
      <w:sz w:val="24"/>
      <w:szCs w:val="24"/>
    </w:rPr>
  </w:style>
  <w:style w:type="paragraph" w:styleId="18">
    <w:name w:val="annotation subject"/>
    <w:basedOn w:val="8"/>
    <w:next w:val="8"/>
    <w:link w:val="43"/>
    <w:semiHidden/>
    <w:unhideWhenUsed/>
    <w:uiPriority w:val="99"/>
    <w:rPr>
      <w:b/>
      <w:bCs/>
    </w:rPr>
  </w:style>
  <w:style w:type="table" w:styleId="20">
    <w:name w:val="Table Grid"/>
    <w:basedOn w:val="19"/>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semiHidden/>
    <w:qFormat/>
    <w:uiPriority w:val="0"/>
    <w:rPr>
      <w:sz w:val="20"/>
    </w:rPr>
  </w:style>
  <w:style w:type="character" w:styleId="23">
    <w:name w:val="Hyperlink"/>
    <w:basedOn w:val="21"/>
    <w:unhideWhenUsed/>
    <w:uiPriority w:val="99"/>
    <w:rPr>
      <w:color w:val="0000FF" w:themeColor="hyperlink"/>
      <w:u w:val="single"/>
      <w14:textFill>
        <w14:solidFill>
          <w14:schemeClr w14:val="hlink"/>
        </w14:solidFill>
      </w14:textFill>
    </w:rPr>
  </w:style>
  <w:style w:type="character" w:styleId="24">
    <w:name w:val="annotation reference"/>
    <w:basedOn w:val="21"/>
    <w:semiHidden/>
    <w:unhideWhenUsed/>
    <w:uiPriority w:val="99"/>
    <w:rPr>
      <w:sz w:val="21"/>
      <w:szCs w:val="21"/>
    </w:rPr>
  </w:style>
  <w:style w:type="character" w:customStyle="1" w:styleId="25">
    <w:name w:val="页脚 字符"/>
    <w:basedOn w:val="21"/>
    <w:link w:val="14"/>
    <w:semiHidden/>
    <w:qFormat/>
    <w:uiPriority w:val="0"/>
    <w:rPr>
      <w:rFonts w:ascii="Times New Roman" w:hAnsi="Times New Roman" w:eastAsia="宋体" w:cs="Times New Roman"/>
      <w:kern w:val="0"/>
      <w:sz w:val="18"/>
      <w:szCs w:val="20"/>
    </w:rPr>
  </w:style>
  <w:style w:type="paragraph" w:customStyle="1" w:styleId="26">
    <w:name w:val="段"/>
    <w:link w:val="31"/>
    <w:semiHidden/>
    <w:qFormat/>
    <w:uiPriority w:val="0"/>
    <w:pPr>
      <w:autoSpaceDE w:val="0"/>
      <w:autoSpaceDN w:val="0"/>
      <w:ind w:firstLine="200"/>
      <w:jc w:val="both"/>
    </w:pPr>
    <w:rPr>
      <w:rFonts w:ascii="宋体" w:hAnsi="Times New Roman" w:eastAsia="宋体" w:cs="Times New Roman"/>
      <w:kern w:val="0"/>
      <w:sz w:val="21"/>
      <w:szCs w:val="20"/>
      <w:lang w:val="en-US" w:eastAsia="zh-CN" w:bidi="ar-SA"/>
    </w:rPr>
  </w:style>
  <w:style w:type="paragraph" w:customStyle="1" w:styleId="27">
    <w:name w:val="一级条标题"/>
    <w:basedOn w:val="1"/>
    <w:next w:val="26"/>
    <w:link w:val="29"/>
    <w:semiHidden/>
    <w:qFormat/>
    <w:uiPriority w:val="0"/>
    <w:pPr>
      <w:widowControl/>
      <w:autoSpaceDE/>
      <w:autoSpaceDN/>
      <w:adjustRightInd/>
      <w:spacing w:line="240" w:lineRule="auto"/>
      <w:textAlignment w:val="auto"/>
      <w:outlineLvl w:val="2"/>
    </w:pPr>
    <w:rPr>
      <w:rFonts w:ascii="宋体" w:hAnsi="宋体"/>
    </w:rPr>
  </w:style>
  <w:style w:type="paragraph" w:customStyle="1" w:styleId="28">
    <w:name w:val="附录标识"/>
    <w:basedOn w:val="1"/>
    <w:link w:val="30"/>
    <w:semiHidden/>
    <w:qFormat/>
    <w:uiPriority w:val="0"/>
    <w:pPr>
      <w:widowControl/>
      <w:shd w:val="clear" w:color="FFFFFF" w:fill="FFFFFF"/>
      <w:tabs>
        <w:tab w:val="left" w:pos="360"/>
        <w:tab w:val="left" w:pos="6405"/>
      </w:tabs>
      <w:autoSpaceDE/>
      <w:autoSpaceDN/>
      <w:adjustRightInd/>
      <w:spacing w:before="640" w:after="200" w:line="240" w:lineRule="auto"/>
      <w:jc w:val="center"/>
      <w:textAlignment w:val="auto"/>
      <w:outlineLvl w:val="0"/>
    </w:pPr>
    <w:rPr>
      <w:rFonts w:ascii="黑体" w:eastAsia="黑体"/>
    </w:rPr>
  </w:style>
  <w:style w:type="character" w:customStyle="1" w:styleId="29">
    <w:name w:val="一级条标题 Char"/>
    <w:link w:val="27"/>
    <w:semiHidden/>
    <w:qFormat/>
    <w:uiPriority w:val="0"/>
    <w:rPr>
      <w:rFonts w:ascii="宋体" w:hAnsi="宋体" w:eastAsia="宋体" w:cs="Times New Roman"/>
      <w:kern w:val="0"/>
      <w:szCs w:val="20"/>
    </w:rPr>
  </w:style>
  <w:style w:type="character" w:customStyle="1" w:styleId="30">
    <w:name w:val="附录标识 Char"/>
    <w:link w:val="28"/>
    <w:semiHidden/>
    <w:qFormat/>
    <w:uiPriority w:val="0"/>
    <w:rPr>
      <w:rFonts w:ascii="黑体" w:hAnsi="Times New Roman" w:eastAsia="黑体" w:cs="Times New Roman"/>
      <w:kern w:val="0"/>
      <w:szCs w:val="20"/>
      <w:shd w:val="clear" w:color="FFFFFF" w:fill="FFFFFF"/>
    </w:rPr>
  </w:style>
  <w:style w:type="character" w:customStyle="1" w:styleId="31">
    <w:name w:val="段 Char"/>
    <w:link w:val="26"/>
    <w:semiHidden/>
    <w:qFormat/>
    <w:uiPriority w:val="0"/>
    <w:rPr>
      <w:rFonts w:ascii="宋体" w:hAnsi="Times New Roman" w:eastAsia="宋体" w:cs="Times New Roman"/>
      <w:kern w:val="0"/>
      <w:szCs w:val="20"/>
    </w:rPr>
  </w:style>
  <w:style w:type="character" w:customStyle="1" w:styleId="32">
    <w:name w:val="题注 字符"/>
    <w:link w:val="7"/>
    <w:qFormat/>
    <w:locked/>
    <w:uiPriority w:val="99"/>
    <w:rPr>
      <w:rFonts w:ascii="Cambria" w:hAnsi="Cambria" w:eastAsia="黑体" w:cs="Times New Roman"/>
      <w:kern w:val="15"/>
      <w:sz w:val="20"/>
      <w:szCs w:val="20"/>
      <w:lang w:val="zh-CN" w:eastAsia="zh-CN"/>
    </w:rPr>
  </w:style>
  <w:style w:type="character" w:customStyle="1" w:styleId="33">
    <w:name w:val="批注框文本 字符"/>
    <w:basedOn w:val="21"/>
    <w:link w:val="13"/>
    <w:semiHidden/>
    <w:qFormat/>
    <w:uiPriority w:val="99"/>
    <w:rPr>
      <w:rFonts w:ascii="Times New Roman" w:hAnsi="Times New Roman" w:eastAsia="宋体" w:cs="Times New Roman"/>
      <w:kern w:val="0"/>
      <w:sz w:val="18"/>
      <w:szCs w:val="18"/>
    </w:rPr>
  </w:style>
  <w:style w:type="character" w:customStyle="1" w:styleId="34">
    <w:name w:val="日期 字符"/>
    <w:basedOn w:val="21"/>
    <w:link w:val="12"/>
    <w:semiHidden/>
    <w:qFormat/>
    <w:uiPriority w:val="0"/>
    <w:rPr>
      <w:rFonts w:ascii="仿宋体" w:hAnsi="Times New Roman" w:eastAsia="仿宋体" w:cs="Times New Roman"/>
      <w:b/>
      <w:kern w:val="0"/>
      <w:sz w:val="30"/>
      <w:szCs w:val="20"/>
    </w:rPr>
  </w:style>
  <w:style w:type="character" w:customStyle="1" w:styleId="35">
    <w:name w:val="正文文本缩进 3 字符"/>
    <w:basedOn w:val="21"/>
    <w:link w:val="16"/>
    <w:semiHidden/>
    <w:qFormat/>
    <w:uiPriority w:val="0"/>
    <w:rPr>
      <w:rFonts w:ascii="宋体" w:hAnsi="Times New Roman" w:eastAsia="宋体" w:cs="Times New Roman"/>
      <w:szCs w:val="20"/>
    </w:rPr>
  </w:style>
  <w:style w:type="paragraph" w:styleId="36">
    <w:name w:val="List Paragraph"/>
    <w:basedOn w:val="1"/>
    <w:qFormat/>
    <w:uiPriority w:val="34"/>
    <w:pPr>
      <w:ind w:firstLine="420" w:firstLineChars="200"/>
    </w:pPr>
  </w:style>
  <w:style w:type="character" w:customStyle="1" w:styleId="37">
    <w:name w:val="标题 1 字符"/>
    <w:basedOn w:val="21"/>
    <w:link w:val="2"/>
    <w:qFormat/>
    <w:uiPriority w:val="0"/>
    <w:rPr>
      <w:rFonts w:ascii="黑体" w:hAnsi="黑体" w:eastAsia="黑体" w:cs="Times New Roman"/>
      <w:b/>
      <w:bCs/>
      <w:kern w:val="44"/>
      <w:sz w:val="30"/>
      <w:szCs w:val="30"/>
    </w:rPr>
  </w:style>
  <w:style w:type="paragraph" w:customStyle="1" w:styleId="38">
    <w:name w:val="TOC Heading"/>
    <w:basedOn w:val="2"/>
    <w:next w:val="1"/>
    <w:semiHidden/>
    <w:unhideWhenUsed/>
    <w:qFormat/>
    <w:uiPriority w:val="39"/>
    <w:pPr>
      <w:widowControl/>
      <w:autoSpaceDE/>
      <w:autoSpaceDN/>
      <w:adjustRightInd/>
      <w:spacing w:before="48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paragraph" w:customStyle="1" w:styleId="39">
    <w:name w:val="Definition"/>
    <w:basedOn w:val="1"/>
    <w:next w:val="1"/>
    <w:semiHidden/>
    <w:qFormat/>
    <w:uiPriority w:val="0"/>
    <w:pPr>
      <w:widowControl/>
      <w:autoSpaceDE/>
      <w:autoSpaceDN/>
      <w:adjustRightInd/>
      <w:spacing w:after="240" w:line="230" w:lineRule="atLeast"/>
      <w:textAlignment w:val="auto"/>
    </w:pPr>
    <w:rPr>
      <w:rFonts w:ascii="Arial" w:hAnsi="Arial"/>
      <w:sz w:val="20"/>
      <w:lang w:val="en-GB"/>
    </w:rPr>
  </w:style>
  <w:style w:type="character" w:customStyle="1" w:styleId="40">
    <w:name w:val="标题 2 字符"/>
    <w:basedOn w:val="21"/>
    <w:link w:val="3"/>
    <w:qFormat/>
    <w:uiPriority w:val="0"/>
    <w:rPr>
      <w:rFonts w:ascii="黑体" w:hAnsi="黑体" w:eastAsia="黑体" w:cs="Times New Roman"/>
      <w:b/>
      <w:bCs/>
      <w:kern w:val="44"/>
      <w:sz w:val="28"/>
      <w:szCs w:val="28"/>
    </w:rPr>
  </w:style>
  <w:style w:type="character" w:customStyle="1" w:styleId="41">
    <w:name w:val="标题 3 字符"/>
    <w:basedOn w:val="21"/>
    <w:link w:val="4"/>
    <w:uiPriority w:val="0"/>
    <w:rPr>
      <w:rFonts w:ascii="黑体" w:hAnsi="黑体" w:eastAsia="黑体" w:cs="Times New Roman"/>
      <w:b/>
      <w:bCs/>
      <w:kern w:val="44"/>
      <w:sz w:val="28"/>
      <w:szCs w:val="28"/>
    </w:rPr>
  </w:style>
  <w:style w:type="character" w:customStyle="1" w:styleId="42">
    <w:name w:val="批注文字 字符"/>
    <w:basedOn w:val="21"/>
    <w:link w:val="8"/>
    <w:semiHidden/>
    <w:uiPriority w:val="99"/>
    <w:rPr>
      <w:rFonts w:ascii="Times New Roman" w:hAnsi="Times New Roman" w:eastAsia="宋体" w:cs="Times New Roman"/>
      <w:kern w:val="0"/>
      <w:szCs w:val="20"/>
    </w:rPr>
  </w:style>
  <w:style w:type="character" w:customStyle="1" w:styleId="43">
    <w:name w:val="批注主题 字符"/>
    <w:basedOn w:val="42"/>
    <w:link w:val="18"/>
    <w:semiHidden/>
    <w:uiPriority w:val="99"/>
    <w:rPr>
      <w:rFonts w:ascii="Times New Roman" w:hAnsi="Times New Roman" w:eastAsia="宋体" w:cs="Times New Roman"/>
      <w:b/>
      <w:bCs/>
      <w:kern w:val="0"/>
      <w:szCs w:val="20"/>
    </w:rPr>
  </w:style>
  <w:style w:type="paragraph" w:customStyle="1" w:styleId="44">
    <w:name w:val="Default"/>
    <w:semiHidden/>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45">
    <w:name w:val="fontstyle01"/>
    <w:basedOn w:val="21"/>
    <w:semiHidden/>
    <w:uiPriority w:val="0"/>
    <w:rPr>
      <w:rFonts w:hint="default" w:ascii="Times New Roman" w:hAnsi="Times New Roman" w:cs="Times New Roman"/>
      <w:color w:val="000000"/>
      <w:sz w:val="22"/>
      <w:szCs w:val="22"/>
    </w:rPr>
  </w:style>
  <w:style w:type="character" w:customStyle="1" w:styleId="46">
    <w:name w:val="fontstyle21"/>
    <w:basedOn w:val="21"/>
    <w:semiHidden/>
    <w:uiPriority w:val="0"/>
    <w:rPr>
      <w:rFonts w:hint="eastAsia" w:ascii="宋体" w:hAnsi="宋体" w:eastAsia="宋体"/>
      <w:color w:val="000000"/>
      <w:sz w:val="22"/>
      <w:szCs w:val="22"/>
    </w:rPr>
  </w:style>
  <w:style w:type="paragraph" w:styleId="47">
    <w:name w:val="No Spacing"/>
    <w:qFormat/>
    <w:uiPriority w:val="1"/>
    <w:pPr>
      <w:widowControl w:val="0"/>
      <w:spacing w:line="320" w:lineRule="exact"/>
      <w:ind w:firstLine="200" w:firstLineChars="200"/>
      <w:jc w:val="both"/>
    </w:pPr>
    <w:rPr>
      <w:rFonts w:ascii="Times New Roman" w:hAnsi="Times New Roman" w:eastAsia="宋体" w:cs="Times New Roman"/>
      <w:kern w:val="2"/>
      <w:sz w:val="21"/>
      <w:szCs w:val="20"/>
      <w:lang w:val="en-US" w:eastAsia="zh-CN" w:bidi="ar-SA"/>
    </w:rPr>
  </w:style>
  <w:style w:type="character" w:customStyle="1" w:styleId="48">
    <w:name w:val="标题 4 字符"/>
    <w:basedOn w:val="21"/>
    <w:link w:val="5"/>
    <w:uiPriority w:val="9"/>
    <w:rPr>
      <w:rFonts w:ascii="黑体" w:hAnsi="黑体" w:eastAsia="黑体" w:cs="Times New Roman"/>
      <w:b/>
      <w:bCs/>
      <w:kern w:val="44"/>
      <w:sz w:val="24"/>
      <w:szCs w:val="24"/>
    </w:rPr>
  </w:style>
  <w:style w:type="character" w:customStyle="1" w:styleId="49">
    <w:name w:val="页眉 字符"/>
    <w:basedOn w:val="21"/>
    <w:link w:val="15"/>
    <w:uiPriority w:val="99"/>
    <w:rPr>
      <w:rFonts w:ascii="Times New Roman" w:hAnsi="Times New Roman" w:eastAsia="宋体" w:cs="Times New Roman"/>
      <w:kern w:val="0"/>
      <w:sz w:val="18"/>
      <w:szCs w:val="18"/>
    </w:rPr>
  </w:style>
  <w:style w:type="character" w:styleId="50">
    <w:name w:val="Placeholder Text"/>
    <w:basedOn w:val="21"/>
    <w:semiHidden/>
    <w:uiPriority w:val="99"/>
    <w:rPr>
      <w:color w:val="808080"/>
    </w:rPr>
  </w:style>
  <w:style w:type="paragraph" w:customStyle="1" w:styleId="51">
    <w:name w:val="图"/>
    <w:basedOn w:val="47"/>
    <w:qFormat/>
    <w:uiPriority w:val="0"/>
    <w:pPr>
      <w:spacing w:line="240" w:lineRule="auto"/>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AB185-85A5-418E-B591-3915219D236B}">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1631</Words>
  <Characters>9299</Characters>
  <Lines>77</Lines>
  <Paragraphs>21</Paragraphs>
  <TotalTime>266</TotalTime>
  <ScaleCrop>false</ScaleCrop>
  <LinksUpToDate>false</LinksUpToDate>
  <CharactersWithSpaces>10909</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2023-03-02T07:18:00Z</dcterms:created>
  <dc:creator>yaoym</dc:creator>
  <dc:description>NE.Ref</dc:description>
  <cp:lastModifiedBy>Lenovo</cp:lastModifiedBy>
  <cp:lastPrinted>2023-03-10T02:58:59Z</cp:lastPrinted>
  <dcterms:modified xsi:type="dcterms:W3CDTF">2023-03-10T02:59:12Z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944224A3EF674C338A9D1571853DF1E2</vt:lpwstr>
  </property>
</Properties>
</file>