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1B81" w14:textId="3CF65E79" w:rsidR="00C46C84" w:rsidRDefault="00896E5F" w:rsidP="00896E5F">
      <w:pPr>
        <w:spacing w:line="480" w:lineRule="auto"/>
        <w:jc w:val="center"/>
        <w:rPr>
          <w:rFonts w:ascii="Times New Roman" w:eastAsia="黑体" w:hAnsi="Times New Roman"/>
          <w:spacing w:val="-4"/>
          <w:sz w:val="30"/>
          <w:szCs w:val="30"/>
        </w:rPr>
      </w:pPr>
      <w:r>
        <w:rPr>
          <w:rFonts w:ascii="Times New Roman" w:eastAsia="黑体" w:hAnsi="Times New Roman" w:hint="eastAsia"/>
          <w:spacing w:val="-4"/>
          <w:sz w:val="30"/>
          <w:szCs w:val="30"/>
        </w:rPr>
        <w:t>《食品安全国家标准</w:t>
      </w:r>
      <w:r>
        <w:rPr>
          <w:rFonts w:ascii="Times New Roman" w:eastAsia="黑体" w:hAnsi="Times New Roman"/>
          <w:spacing w:val="-4"/>
          <w:sz w:val="30"/>
          <w:szCs w:val="30"/>
        </w:rPr>
        <w:t xml:space="preserve"> </w:t>
      </w:r>
      <w:r>
        <w:rPr>
          <w:rFonts w:ascii="Times New Roman" w:eastAsia="黑体" w:hAnsi="Times New Roman" w:hint="eastAsia"/>
          <w:spacing w:val="-4"/>
          <w:sz w:val="30"/>
          <w:szCs w:val="30"/>
        </w:rPr>
        <w:t>食品添加剂</w:t>
      </w:r>
      <w:r>
        <w:rPr>
          <w:rFonts w:ascii="Times New Roman" w:eastAsia="黑体" w:hAnsi="Times New Roman"/>
          <w:spacing w:val="-4"/>
          <w:sz w:val="30"/>
          <w:szCs w:val="30"/>
        </w:rPr>
        <w:t xml:space="preserve"> </w:t>
      </w:r>
      <w:r w:rsidR="009615CF">
        <w:rPr>
          <w:rFonts w:ascii="Times New Roman" w:eastAsia="黑体" w:hAnsi="Times New Roman" w:hint="eastAsia"/>
          <w:spacing w:val="-4"/>
          <w:sz w:val="30"/>
          <w:szCs w:val="30"/>
        </w:rPr>
        <w:t>结冷胶</w:t>
      </w:r>
      <w:r>
        <w:rPr>
          <w:rFonts w:ascii="Times New Roman" w:eastAsia="黑体" w:hAnsi="Times New Roman" w:hint="eastAsia"/>
          <w:spacing w:val="-4"/>
          <w:sz w:val="30"/>
          <w:szCs w:val="30"/>
        </w:rPr>
        <w:t>》</w:t>
      </w:r>
    </w:p>
    <w:p w14:paraId="0C2F0679" w14:textId="227A2631" w:rsidR="00C46C84" w:rsidRDefault="00896E5F">
      <w:pPr>
        <w:spacing w:line="480" w:lineRule="auto"/>
        <w:jc w:val="center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pacing w:val="-4"/>
          <w:sz w:val="30"/>
          <w:szCs w:val="30"/>
        </w:rPr>
        <w:t>（</w:t>
      </w:r>
      <w:bookmarkStart w:id="0" w:name="_Hlk131498555"/>
      <w:r w:rsidR="009615CF" w:rsidRPr="009615CF">
        <w:rPr>
          <w:rFonts w:ascii="Times New Roman" w:eastAsia="黑体" w:hAnsi="Times New Roman"/>
          <w:spacing w:val="-4"/>
          <w:sz w:val="30"/>
          <w:szCs w:val="30"/>
        </w:rPr>
        <w:t>GB 25535-2010</w:t>
      </w:r>
      <w:bookmarkEnd w:id="0"/>
      <w:r>
        <w:rPr>
          <w:rFonts w:ascii="Times New Roman" w:eastAsia="黑体" w:hAnsi="Times New Roman" w:hint="eastAsia"/>
          <w:spacing w:val="-4"/>
          <w:sz w:val="30"/>
          <w:szCs w:val="30"/>
        </w:rPr>
        <w:t>）</w:t>
      </w:r>
      <w:r>
        <w:rPr>
          <w:rFonts w:ascii="Times New Roman" w:eastAsia="黑体" w:hAnsi="Times New Roman"/>
          <w:spacing w:val="-4"/>
          <w:sz w:val="30"/>
          <w:szCs w:val="30"/>
        </w:rPr>
        <w:t>第</w:t>
      </w:r>
      <w:r>
        <w:rPr>
          <w:rFonts w:ascii="Times New Roman" w:eastAsia="黑体" w:hAnsi="Times New Roman"/>
          <w:spacing w:val="-4"/>
          <w:sz w:val="30"/>
          <w:szCs w:val="30"/>
        </w:rPr>
        <w:t>1</w:t>
      </w:r>
      <w:r>
        <w:rPr>
          <w:rFonts w:ascii="Times New Roman" w:eastAsia="黑体" w:hAnsi="Times New Roman"/>
          <w:spacing w:val="-4"/>
          <w:sz w:val="30"/>
          <w:szCs w:val="30"/>
        </w:rPr>
        <w:t>号</w:t>
      </w:r>
      <w:r>
        <w:rPr>
          <w:rFonts w:ascii="Times New Roman" w:eastAsia="黑体" w:hAnsi="Times New Roman" w:hint="eastAsia"/>
          <w:sz w:val="30"/>
          <w:szCs w:val="30"/>
        </w:rPr>
        <w:t>修改单（</w:t>
      </w:r>
      <w:r w:rsidR="00DB3780">
        <w:rPr>
          <w:rFonts w:ascii="黑体" w:eastAsia="黑体" w:hAnsi="黑体" w:hint="eastAsia"/>
          <w:spacing w:val="-4"/>
          <w:sz w:val="32"/>
          <w:szCs w:val="32"/>
        </w:rPr>
        <w:t>征求意见</w:t>
      </w:r>
      <w:r>
        <w:rPr>
          <w:rFonts w:ascii="Times New Roman" w:eastAsia="黑体" w:hAnsi="Times New Roman" w:hint="eastAsia"/>
          <w:sz w:val="30"/>
          <w:szCs w:val="30"/>
        </w:rPr>
        <w:t>稿）</w:t>
      </w:r>
    </w:p>
    <w:p w14:paraId="031804EF" w14:textId="2C435308" w:rsidR="00C46C84" w:rsidRDefault="00896E5F">
      <w:pPr>
        <w:ind w:leftChars="71" w:left="149" w:firstLineChars="148" w:firstLine="444"/>
        <w:rPr>
          <w:rFonts w:ascii="仿宋_GB2312" w:eastAsia="仿宋_GB2312" w:hAnsi="宋体"/>
          <w:color w:val="000000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本修改单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经中华人民共和国国家卫生健康委员会和国家市场监督管理总局于</w:t>
      </w:r>
      <w:r>
        <w:rPr>
          <w:rFonts w:ascii="Times New Roman" w:eastAsia="仿宋_GB2312" w:hAnsi="Times New Roman"/>
          <w:color w:val="000000"/>
          <w:sz w:val="30"/>
          <w:szCs w:val="30"/>
        </w:rPr>
        <w:t>20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2</w:t>
      </w:r>
      <w:r w:rsidR="0045133B">
        <w:rPr>
          <w:rFonts w:ascii="Times New Roman" w:eastAsia="仿宋_GB2312" w:hAnsi="Times New Roman"/>
          <w:color w:val="000000"/>
          <w:sz w:val="30"/>
          <w:szCs w:val="30"/>
        </w:rPr>
        <w:t>X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   月   日 第   号公告批准，自批准之日起实施。</w:t>
      </w:r>
    </w:p>
    <w:p w14:paraId="4B820869" w14:textId="77777777" w:rsidR="00C46C84" w:rsidRDefault="00896E5F">
      <w:pPr>
        <w:spacing w:line="480" w:lineRule="auto"/>
        <w:jc w:val="center"/>
        <w:rPr>
          <w:rFonts w:eastAsia="仿宋_GB2312"/>
          <w:sz w:val="30"/>
          <w:szCs w:val="30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7F2A" wp14:editId="2F20530A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5581650" cy="0"/>
                <wp:effectExtent l="9525" t="13335" r="95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-2.25pt;margin-top:1.8pt;height:0pt;width:439.5pt;z-index:251659264;mso-width-relative:page;mso-height-relative:page;" filled="f" stroked="t" coordsize="21600,21600" o:gfxdata="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BBEXfPSAAAABgEAAA8AAAAAAAAAAQAgAAAAIgAAAGRycy9kb3ducmV2Lnht&#10;bFBLAQIUABQAAAAIAIdO4kBdJy6BxgEAAKADAAAOAAAAAAAAAAEAIAAAACE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0"/>
          <w:szCs w:val="30"/>
        </w:rPr>
        <w:t>（修改事项）</w:t>
      </w:r>
    </w:p>
    <w:p w14:paraId="568977D7" w14:textId="77777777" w:rsidR="00C46C84" w:rsidRDefault="00C46C84">
      <w:pPr>
        <w:rPr>
          <w:rFonts w:ascii="Times New Roman" w:hAnsi="Times New Roman"/>
          <w:b/>
        </w:rPr>
      </w:pPr>
    </w:p>
    <w:p w14:paraId="3B5BD574" w14:textId="62D4BA13" w:rsidR="009615CF" w:rsidRPr="009615CF" w:rsidRDefault="009615CF" w:rsidP="00327971">
      <w:pPr>
        <w:spacing w:line="276" w:lineRule="auto"/>
        <w:jc w:val="center"/>
        <w:rPr>
          <w:rFonts w:ascii="黑体" w:eastAsia="黑体" w:hAnsi="黑体" w:hint="eastAsia"/>
        </w:rPr>
      </w:pPr>
      <w:bookmarkStart w:id="1" w:name="_Hlk131503791"/>
      <w:r>
        <w:rPr>
          <w:rFonts w:ascii="黑体" w:eastAsia="黑体" w:hAnsi="黑体" w:hint="eastAsia"/>
        </w:rPr>
        <w:t>表3</w:t>
      </w:r>
      <w:r w:rsidR="00327971">
        <w:rPr>
          <w:rFonts w:ascii="黑体" w:eastAsia="黑体" w:hAnsi="黑体"/>
        </w:rPr>
        <w:t xml:space="preserve"> </w:t>
      </w:r>
      <w:r w:rsidR="00327971">
        <w:rPr>
          <w:rFonts w:ascii="黑体" w:eastAsia="黑体" w:hAnsi="黑体" w:hint="eastAsia"/>
        </w:rPr>
        <w:t>微生物指标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72"/>
        <w:gridCol w:w="2295"/>
        <w:gridCol w:w="1858"/>
      </w:tblGrid>
      <w:tr w:rsidR="009615CF" w:rsidRPr="000E454B" w14:paraId="32BFFCC3" w14:textId="77777777" w:rsidTr="009615CF">
        <w:tc>
          <w:tcPr>
            <w:tcW w:w="41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188E4B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项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  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目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17B434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指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 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标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690A61" w14:textId="24CB1BF3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检验方法</w:t>
            </w:r>
          </w:p>
        </w:tc>
      </w:tr>
      <w:tr w:rsidR="009615CF" w:rsidRPr="000E454B" w14:paraId="001C55E9" w14:textId="77777777" w:rsidTr="009615CF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0904C" w14:textId="77777777" w:rsidR="009615CF" w:rsidRPr="009615CF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菌落总数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C63B6" w14:textId="77777777" w:rsidR="009615CF" w:rsidRPr="009615CF" w:rsidRDefault="009615C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4A2E7D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10000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E61E10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4789.2</w:t>
            </w:r>
          </w:p>
        </w:tc>
      </w:tr>
      <w:tr w:rsidR="009615CF" w:rsidRPr="000E454B" w14:paraId="7E46E6AD" w14:textId="77777777" w:rsidTr="009615CF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187621" w14:textId="14CBB155" w:rsidR="009615CF" w:rsidRPr="009615CF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大肠菌群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MPN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</w:t>
            </w: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8A973" w14:textId="15D20686" w:rsidR="009615CF" w:rsidRPr="009615CF" w:rsidRDefault="009615C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9AAB8" w14:textId="57F90051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73E1E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4789.3</w:t>
            </w:r>
          </w:p>
        </w:tc>
      </w:tr>
      <w:tr w:rsidR="009615CF" w:rsidRPr="000E454B" w14:paraId="37FD9DD9" w14:textId="77777777" w:rsidTr="009615CF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0C7CB4" w14:textId="1E3FD308" w:rsidR="009615CF" w:rsidRPr="009615CF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沙门氏菌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18B0A0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CBC8C" w14:textId="4ACC905D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0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/25g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1A24AB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4789.4</w:t>
            </w:r>
          </w:p>
        </w:tc>
      </w:tr>
      <w:tr w:rsidR="009615CF" w:rsidRPr="000E454B" w14:paraId="4F3C71E9" w14:textId="77777777" w:rsidTr="009615CF">
        <w:tc>
          <w:tcPr>
            <w:tcW w:w="357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9D4CA0" w14:textId="77777777" w:rsidR="009615CF" w:rsidRPr="009615CF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霉菌和酵母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572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9151D9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615CF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FD9C64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185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6588C3" w14:textId="77777777" w:rsidR="009615CF" w:rsidRPr="009615CF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9615CF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4789.15</w:t>
            </w:r>
          </w:p>
        </w:tc>
      </w:tr>
    </w:tbl>
    <w:p w14:paraId="13BD187D" w14:textId="62CE6D8B" w:rsidR="009615CF" w:rsidRDefault="00896E5F" w:rsidP="00327971">
      <w:pPr>
        <w:spacing w:beforeLines="50" w:before="156" w:line="276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修改为</w:t>
      </w:r>
      <w:r w:rsidR="00327971">
        <w:rPr>
          <w:rFonts w:ascii="Times New Roman" w:hAnsi="Times New Roman" w:hint="eastAsia"/>
          <w:szCs w:val="21"/>
        </w:rPr>
        <w:t>：</w:t>
      </w:r>
    </w:p>
    <w:p w14:paraId="244D6A67" w14:textId="1AF227EF" w:rsidR="00DB3780" w:rsidRDefault="00DB3780" w:rsidP="00DB3780">
      <w:pPr>
        <w:spacing w:beforeLines="50" w:before="156" w:line="276" w:lineRule="auto"/>
        <w:jc w:val="center"/>
        <w:rPr>
          <w:rFonts w:hint="eastAsia"/>
          <w:noProof/>
        </w:rPr>
      </w:pPr>
      <w:r>
        <w:rPr>
          <w:rFonts w:ascii="黑体" w:eastAsia="黑体" w:hAnsi="黑体" w:hint="eastAsia"/>
        </w:rPr>
        <w:t>表3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>微生物指标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577"/>
        <w:gridCol w:w="2339"/>
        <w:gridCol w:w="1895"/>
      </w:tblGrid>
      <w:tr w:rsidR="00DB3780" w:rsidRPr="00DB3780" w14:paraId="715CAA4F" w14:textId="77777777" w:rsidTr="00E316FD">
        <w:tc>
          <w:tcPr>
            <w:tcW w:w="415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612E61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项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目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D1735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指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       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标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0092B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检验方法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>a</w:t>
            </w:r>
          </w:p>
        </w:tc>
      </w:tr>
      <w:tr w:rsidR="00DB3780" w:rsidRPr="00DB3780" w14:paraId="0574D52D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E83ED" w14:textId="77777777" w:rsidR="009615CF" w:rsidRPr="00DB3780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菌落总数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7CBE0" w14:textId="77777777" w:rsidR="009615CF" w:rsidRPr="00DB3780" w:rsidRDefault="009615C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F533BA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CE613B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4789.2</w:t>
            </w:r>
          </w:p>
        </w:tc>
      </w:tr>
      <w:tr w:rsidR="00DB3780" w:rsidRPr="00DB3780" w14:paraId="21E739EF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2D06C" w14:textId="77777777" w:rsidR="009615CF" w:rsidRPr="00DB3780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大肠菌群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2BE76" w14:textId="77777777" w:rsidR="009615CF" w:rsidRPr="00DB3780" w:rsidRDefault="009615CF" w:rsidP="00E316FD">
            <w:pPr>
              <w:widowControl/>
              <w:spacing w:line="360" w:lineRule="atLeast"/>
              <w:ind w:left="1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 w:hint="eastAsia"/>
                <w:kern w:val="0"/>
                <w:szCs w:val="21"/>
                <w:bdr w:val="none" w:sz="0" w:space="0" w:color="auto" w:frame="1"/>
              </w:rPr>
              <w:t>＜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719F31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100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4EAF9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4789.3</w:t>
            </w:r>
          </w:p>
        </w:tc>
      </w:tr>
      <w:tr w:rsidR="00DB3780" w:rsidRPr="00DB3780" w14:paraId="6BE42FDA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A659D2" w14:textId="77777777" w:rsidR="009615CF" w:rsidRPr="00DB3780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沙门氏菌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  <w:vertAlign w:val="superscript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shd w:val="clear" w:color="auto" w:fill="FFFFFF"/>
              </w:rPr>
              <w:t>/g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D09885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7E7E0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不得检出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77A1A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4789.4</w:t>
            </w:r>
          </w:p>
        </w:tc>
      </w:tr>
      <w:tr w:rsidR="00DB3780" w:rsidRPr="00DB3780" w14:paraId="6E68938F" w14:textId="77777777" w:rsidTr="00E316FD">
        <w:tc>
          <w:tcPr>
            <w:tcW w:w="3681" w:type="dxa"/>
            <w:tcBorders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0CBA6E" w14:textId="77777777" w:rsidR="009615CF" w:rsidRPr="00DB3780" w:rsidRDefault="009615CF" w:rsidP="00E316FD">
            <w:pPr>
              <w:widowControl/>
              <w:spacing w:line="360" w:lineRule="atLeas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霉菌和酵母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/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（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CFU/g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）</w:t>
            </w:r>
          </w:p>
        </w:tc>
        <w:tc>
          <w:tcPr>
            <w:tcW w:w="476" w:type="dxa"/>
            <w:tcBorders>
              <w:lef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8C7BA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80">
              <w:rPr>
                <w:rFonts w:ascii="宋体" w:hAnsi="宋体"/>
                <w:kern w:val="0"/>
                <w:szCs w:val="21"/>
                <w:bdr w:val="none" w:sz="0" w:space="0" w:color="auto" w:frame="1"/>
              </w:rPr>
              <w:t>≤</w:t>
            </w:r>
          </w:p>
        </w:tc>
        <w:tc>
          <w:tcPr>
            <w:tcW w:w="227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F32C80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400</w:t>
            </w:r>
          </w:p>
        </w:tc>
        <w:tc>
          <w:tcPr>
            <w:tcW w:w="18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EDCC8" w14:textId="77777777" w:rsidR="009615CF" w:rsidRPr="00DB3780" w:rsidRDefault="009615CF" w:rsidP="00E316FD">
            <w:pPr>
              <w:widowControl/>
              <w:spacing w:line="360" w:lineRule="atLeast"/>
              <w:jc w:val="center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GB 4789.15</w:t>
            </w:r>
          </w:p>
        </w:tc>
      </w:tr>
      <w:tr w:rsidR="00DB3780" w:rsidRPr="00DB3780" w14:paraId="67EC87C4" w14:textId="77777777" w:rsidTr="00E316FD">
        <w:tc>
          <w:tcPr>
            <w:tcW w:w="0" w:type="auto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F1C9EA" w14:textId="77777777" w:rsidR="009615CF" w:rsidRPr="00DB3780" w:rsidRDefault="009615CF" w:rsidP="00E316FD">
            <w:pPr>
              <w:widowControl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</w:pP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 xml:space="preserve">a  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在无菌条件下，称取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1.0 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试样，溶解于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100 mL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磷酸盐缓冲液或生理盐水中，制成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1:100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的样品匀液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（沙门氏菌检验除外）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。</w:t>
            </w:r>
          </w:p>
          <w:p w14:paraId="22DBDE51" w14:textId="77777777" w:rsidR="009615CF" w:rsidRPr="00DB3780" w:rsidRDefault="009615CF" w:rsidP="00E316FD">
            <w:pPr>
              <w:widowControl/>
              <w:ind w:firstLineChars="100" w:firstLine="210"/>
              <w:jc w:val="left"/>
              <w:rPr>
                <w:rFonts w:ascii="PingFangSC-Regular" w:hAnsi="PingFangSC-Regular" w:cs="宋体" w:hint="eastAsia"/>
                <w:kern w:val="0"/>
                <w:szCs w:val="21"/>
              </w:rPr>
            </w:pP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  <w:vertAlign w:val="superscript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  <w:vertAlign w:val="superscript"/>
              </w:rPr>
              <w:t xml:space="preserve">  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在无菌条件下，称取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1.0 g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试样，溶解于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 xml:space="preserve">100 mL </w:t>
            </w:r>
            <w:r w:rsidRPr="00DB3780">
              <w:rPr>
                <w:rFonts w:ascii="Times New Roman" w:hAnsi="Times New Roman" w:hint="eastAsia"/>
                <w:kern w:val="0"/>
                <w:szCs w:val="21"/>
                <w:bdr w:val="none" w:sz="0" w:space="0" w:color="auto" w:frame="1"/>
              </w:rPr>
              <w:t>B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PW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中，制成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1:100</w:t>
            </w:r>
            <w:r w:rsidRPr="00DB3780">
              <w:rPr>
                <w:rFonts w:ascii="Times New Roman" w:hAnsi="Times New Roman"/>
                <w:kern w:val="0"/>
                <w:szCs w:val="21"/>
                <w:bdr w:val="none" w:sz="0" w:space="0" w:color="auto" w:frame="1"/>
              </w:rPr>
              <w:t>的样品匀液。</w:t>
            </w:r>
          </w:p>
        </w:tc>
      </w:tr>
    </w:tbl>
    <w:bookmarkEnd w:id="1"/>
    <w:p w14:paraId="47FCDD7A" w14:textId="384F7B3F" w:rsidR="00C46C84" w:rsidRDefault="00896E5F" w:rsidP="000C1D8D">
      <w:pPr>
        <w:spacing w:beforeLines="50" w:before="156" w:line="276" w:lineRule="auto"/>
        <w:rPr>
          <w:rFonts w:ascii="Times New Roman" w:hAnsi="Times New Roman" w:hint="eastAsia"/>
          <w:szCs w:val="21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13890" wp14:editId="1363D91D">
                <wp:simplePos x="0" y="0"/>
                <wp:positionH relativeFrom="margin">
                  <wp:posOffset>-37465</wp:posOffset>
                </wp:positionH>
                <wp:positionV relativeFrom="paragraph">
                  <wp:posOffset>711835</wp:posOffset>
                </wp:positionV>
                <wp:extent cx="558165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3" o:spid="_x0000_s1026" o:spt="20" style="position:absolute;left:0pt;margin-left:-2.95pt;margin-top:56.05pt;height:0pt;width:439.5pt;mso-position-horizontal-relative:margin;z-index:251660288;mso-width-relative:page;mso-height-relative:page;" filled="f" stroked="t" coordsize="21600,21600" o:gfxdata="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P0FS1gAAAAoBAAAPAAAAAAAAAAEAIAAAACIAAABkcnMvZG93bnJl&#10;di54bWxQSwECFAAUAAAACACHTuJAzGahXMYBAACgAwAADgAAAAAAAAABACAAAAAlAQAAZHJzL2Uy&#10;b0RvYy54bWxQSwUGAAAAAAYABgBZAQAAX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 w:rsidR="00C46C84"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72A9" w14:textId="77777777" w:rsidR="00DC1011" w:rsidRDefault="00DC1011" w:rsidP="00C955B7">
      <w:r>
        <w:separator/>
      </w:r>
    </w:p>
  </w:endnote>
  <w:endnote w:type="continuationSeparator" w:id="0">
    <w:p w14:paraId="69B329D6" w14:textId="77777777" w:rsidR="00DC1011" w:rsidRDefault="00DC1011" w:rsidP="00C9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3E39" w14:textId="77777777" w:rsidR="00DC1011" w:rsidRDefault="00DC1011" w:rsidP="00C955B7">
      <w:r>
        <w:separator/>
      </w:r>
    </w:p>
  </w:footnote>
  <w:footnote w:type="continuationSeparator" w:id="0">
    <w:p w14:paraId="4C66CA48" w14:textId="77777777" w:rsidR="00DC1011" w:rsidRDefault="00DC1011" w:rsidP="00C9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4"/>
    <w:rsid w:val="00035D4E"/>
    <w:rsid w:val="00076DF0"/>
    <w:rsid w:val="000A2A99"/>
    <w:rsid w:val="000A3E21"/>
    <w:rsid w:val="000C1D8D"/>
    <w:rsid w:val="00125EFE"/>
    <w:rsid w:val="001A7750"/>
    <w:rsid w:val="001C269A"/>
    <w:rsid w:val="001C506E"/>
    <w:rsid w:val="001D1F36"/>
    <w:rsid w:val="001D3D2D"/>
    <w:rsid w:val="001E5448"/>
    <w:rsid w:val="001F2467"/>
    <w:rsid w:val="002938AA"/>
    <w:rsid w:val="002A515B"/>
    <w:rsid w:val="002A5828"/>
    <w:rsid w:val="002B2776"/>
    <w:rsid w:val="002C12D3"/>
    <w:rsid w:val="002E46D8"/>
    <w:rsid w:val="002F2DC2"/>
    <w:rsid w:val="002F59FB"/>
    <w:rsid w:val="002F631D"/>
    <w:rsid w:val="002F68D9"/>
    <w:rsid w:val="00312D68"/>
    <w:rsid w:val="00327971"/>
    <w:rsid w:val="0038509D"/>
    <w:rsid w:val="003A45CB"/>
    <w:rsid w:val="003C13AE"/>
    <w:rsid w:val="003C3304"/>
    <w:rsid w:val="003E56F9"/>
    <w:rsid w:val="00402104"/>
    <w:rsid w:val="00413DC8"/>
    <w:rsid w:val="00451312"/>
    <w:rsid w:val="0045133B"/>
    <w:rsid w:val="0045432B"/>
    <w:rsid w:val="004B12FC"/>
    <w:rsid w:val="004E0052"/>
    <w:rsid w:val="004E7428"/>
    <w:rsid w:val="00504FB4"/>
    <w:rsid w:val="0058394D"/>
    <w:rsid w:val="00587542"/>
    <w:rsid w:val="005A5A67"/>
    <w:rsid w:val="005F6B15"/>
    <w:rsid w:val="00614A30"/>
    <w:rsid w:val="006162D6"/>
    <w:rsid w:val="00622418"/>
    <w:rsid w:val="0062754A"/>
    <w:rsid w:val="00662E69"/>
    <w:rsid w:val="006D5B36"/>
    <w:rsid w:val="00710C0A"/>
    <w:rsid w:val="00747939"/>
    <w:rsid w:val="0076775A"/>
    <w:rsid w:val="00794AFD"/>
    <w:rsid w:val="007B2DD6"/>
    <w:rsid w:val="00801E0C"/>
    <w:rsid w:val="00832994"/>
    <w:rsid w:val="0084528C"/>
    <w:rsid w:val="00857491"/>
    <w:rsid w:val="0086329B"/>
    <w:rsid w:val="00870F4D"/>
    <w:rsid w:val="00872D80"/>
    <w:rsid w:val="0087445E"/>
    <w:rsid w:val="00883B18"/>
    <w:rsid w:val="0088542A"/>
    <w:rsid w:val="00896E5F"/>
    <w:rsid w:val="00914409"/>
    <w:rsid w:val="00915D05"/>
    <w:rsid w:val="00924829"/>
    <w:rsid w:val="00934243"/>
    <w:rsid w:val="009615CF"/>
    <w:rsid w:val="009B0CD8"/>
    <w:rsid w:val="009B5A2B"/>
    <w:rsid w:val="009C1BD4"/>
    <w:rsid w:val="009C7FF8"/>
    <w:rsid w:val="00A207EA"/>
    <w:rsid w:val="00A64B39"/>
    <w:rsid w:val="00A65B62"/>
    <w:rsid w:val="00A86DAF"/>
    <w:rsid w:val="00AA6A1F"/>
    <w:rsid w:val="00AB097B"/>
    <w:rsid w:val="00AD2628"/>
    <w:rsid w:val="00B12820"/>
    <w:rsid w:val="00B529FC"/>
    <w:rsid w:val="00B64E1F"/>
    <w:rsid w:val="00B65117"/>
    <w:rsid w:val="00B66BA4"/>
    <w:rsid w:val="00BB5DE5"/>
    <w:rsid w:val="00C02739"/>
    <w:rsid w:val="00C23C1A"/>
    <w:rsid w:val="00C46C84"/>
    <w:rsid w:val="00C7718B"/>
    <w:rsid w:val="00C905C0"/>
    <w:rsid w:val="00C955B7"/>
    <w:rsid w:val="00C975C9"/>
    <w:rsid w:val="00CE56EC"/>
    <w:rsid w:val="00CF4EED"/>
    <w:rsid w:val="00CF6BC8"/>
    <w:rsid w:val="00D17B7C"/>
    <w:rsid w:val="00DB176A"/>
    <w:rsid w:val="00DB3780"/>
    <w:rsid w:val="00DC1011"/>
    <w:rsid w:val="00DC1C91"/>
    <w:rsid w:val="00DF1E4E"/>
    <w:rsid w:val="00E15955"/>
    <w:rsid w:val="00E230BB"/>
    <w:rsid w:val="00E568FB"/>
    <w:rsid w:val="00E6211E"/>
    <w:rsid w:val="00E8091A"/>
    <w:rsid w:val="00EE2D58"/>
    <w:rsid w:val="00EE4ECF"/>
    <w:rsid w:val="00F10FAA"/>
    <w:rsid w:val="00F2416A"/>
    <w:rsid w:val="00F35D10"/>
    <w:rsid w:val="00F5721D"/>
    <w:rsid w:val="00F813A7"/>
    <w:rsid w:val="00F851ED"/>
    <w:rsid w:val="00F90AEF"/>
    <w:rsid w:val="00F93191"/>
    <w:rsid w:val="00F96569"/>
    <w:rsid w:val="00FA7F07"/>
    <w:rsid w:val="1CEF753D"/>
    <w:rsid w:val="2E250B1A"/>
    <w:rsid w:val="756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E2592D5"/>
  <w15:docId w15:val="{AF0E696C-F703-4EB2-BC2E-9D8ED0A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《食品安全国家标准 食品添加剂 卡拉胶》</dc:title>
  <dc:creator>dell</dc:creator>
  <cp:lastModifiedBy>Admin</cp:lastModifiedBy>
  <cp:revision>2</cp:revision>
  <cp:lastPrinted>2014-11-20T07:58:00Z</cp:lastPrinted>
  <dcterms:created xsi:type="dcterms:W3CDTF">2023-04-04T04:43:00Z</dcterms:created>
  <dcterms:modified xsi:type="dcterms:W3CDTF">2023-04-04T04:43:00Z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EA30A02D86F444A7885E47FC7530A39C</vt:lpwstr>
  </property>
</Properties>
</file>