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4F13" w14:textId="7AE3B40D" w:rsidR="001E3882" w:rsidRDefault="00000000">
      <w:pPr>
        <w:spacing w:line="48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《食品安全国家标准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>食品添加剂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 w:rsidR="000C639F">
        <w:rPr>
          <w:rFonts w:ascii="Times New Roman" w:eastAsia="黑体" w:hAnsi="Times New Roman" w:hint="eastAsia"/>
          <w:sz w:val="32"/>
          <w:szCs w:val="32"/>
        </w:rPr>
        <w:t>结冷胶</w:t>
      </w:r>
      <w:r>
        <w:rPr>
          <w:rFonts w:ascii="Times New Roman" w:eastAsia="黑体" w:hAnsi="Times New Roman" w:hint="eastAsia"/>
          <w:sz w:val="32"/>
          <w:szCs w:val="32"/>
        </w:rPr>
        <w:t>》</w:t>
      </w:r>
    </w:p>
    <w:p w14:paraId="43438284" w14:textId="487FEECA" w:rsidR="001E3882" w:rsidRDefault="00000000">
      <w:pPr>
        <w:spacing w:line="480" w:lineRule="auto"/>
        <w:jc w:val="center"/>
        <w:rPr>
          <w:rFonts w:ascii="黑体" w:eastAsia="黑体" w:hAnsi="黑体"/>
          <w:spacing w:val="-4"/>
          <w:sz w:val="32"/>
          <w:szCs w:val="32"/>
        </w:rPr>
      </w:pPr>
      <w:r>
        <w:rPr>
          <w:rFonts w:ascii="Times New Roman" w:eastAsia="黑体" w:hAnsi="Times New Roman" w:hint="eastAsia"/>
          <w:spacing w:val="-4"/>
          <w:sz w:val="32"/>
          <w:szCs w:val="32"/>
        </w:rPr>
        <w:t>（</w:t>
      </w:r>
      <w:r w:rsidR="00AF4A0F" w:rsidRPr="00AF4A0F">
        <w:rPr>
          <w:rFonts w:ascii="Times New Roman" w:eastAsia="黑体" w:hAnsi="Times New Roman"/>
          <w:spacing w:val="-4"/>
          <w:sz w:val="32"/>
          <w:szCs w:val="32"/>
        </w:rPr>
        <w:t>GB 25535-2010</w:t>
      </w:r>
      <w:r>
        <w:rPr>
          <w:rFonts w:ascii="Times New Roman" w:eastAsia="黑体" w:hAnsi="Times New Roman" w:hint="eastAsia"/>
          <w:spacing w:val="-4"/>
          <w:sz w:val="32"/>
          <w:szCs w:val="32"/>
        </w:rPr>
        <w:t>）</w:t>
      </w:r>
      <w:r>
        <w:rPr>
          <w:rFonts w:ascii="黑体" w:eastAsia="黑体" w:hAnsi="黑体"/>
          <w:spacing w:val="-4"/>
          <w:sz w:val="32"/>
          <w:szCs w:val="32"/>
        </w:rPr>
        <w:t>第</w:t>
      </w:r>
      <w:r>
        <w:rPr>
          <w:rFonts w:ascii="Times New Roman" w:eastAsia="黑体" w:hAnsi="Times New Roman"/>
          <w:spacing w:val="-4"/>
          <w:sz w:val="32"/>
          <w:szCs w:val="32"/>
        </w:rPr>
        <w:t>1</w:t>
      </w:r>
      <w:r>
        <w:rPr>
          <w:rFonts w:ascii="黑体" w:eastAsia="黑体" w:hAnsi="黑体"/>
          <w:spacing w:val="-4"/>
          <w:sz w:val="32"/>
          <w:szCs w:val="32"/>
        </w:rPr>
        <w:t>号修改单</w:t>
      </w:r>
      <w:r>
        <w:rPr>
          <w:rFonts w:ascii="黑体" w:eastAsia="黑体" w:hAnsi="黑体" w:hint="eastAsia"/>
          <w:spacing w:val="-4"/>
          <w:sz w:val="32"/>
          <w:szCs w:val="32"/>
        </w:rPr>
        <w:t>（</w:t>
      </w:r>
      <w:bookmarkStart w:id="0" w:name="_Hlk131498567"/>
      <w:r w:rsidR="00AF4A0F">
        <w:rPr>
          <w:rFonts w:ascii="黑体" w:eastAsia="黑体" w:hAnsi="黑体" w:hint="eastAsia"/>
          <w:spacing w:val="-4"/>
          <w:sz w:val="32"/>
          <w:szCs w:val="32"/>
        </w:rPr>
        <w:t>征求意见</w:t>
      </w:r>
      <w:bookmarkEnd w:id="0"/>
      <w:r>
        <w:rPr>
          <w:rFonts w:ascii="黑体" w:eastAsia="黑体" w:hAnsi="黑体" w:hint="eastAsia"/>
          <w:spacing w:val="-4"/>
          <w:sz w:val="32"/>
          <w:szCs w:val="32"/>
        </w:rPr>
        <w:t>稿）</w:t>
      </w:r>
      <w:r>
        <w:rPr>
          <w:rFonts w:ascii="黑体" w:eastAsia="黑体" w:hAnsi="黑体"/>
          <w:spacing w:val="-4"/>
          <w:sz w:val="32"/>
          <w:szCs w:val="32"/>
        </w:rPr>
        <w:t>编制说明</w:t>
      </w:r>
    </w:p>
    <w:p w14:paraId="0FF2CA1D" w14:textId="77777777" w:rsidR="001E3882" w:rsidRDefault="001E3882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</w:p>
    <w:p w14:paraId="70406AF0" w14:textId="77777777" w:rsidR="001E3882" w:rsidRDefault="00000000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一、修订背景</w:t>
      </w:r>
    </w:p>
    <w:p w14:paraId="3A26B1FE" w14:textId="77777777" w:rsidR="00A222CB" w:rsidRDefault="0000000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bookmarkStart w:id="1" w:name="_Hlk96414742"/>
      <w:r>
        <w:rPr>
          <w:rFonts w:ascii="Times New Roman" w:hAnsi="Times New Roman"/>
          <w:szCs w:val="21"/>
        </w:rPr>
        <w:t>《食品安全国家标准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食品添加剂</w:t>
      </w:r>
      <w:r>
        <w:rPr>
          <w:rFonts w:ascii="Times New Roman" w:hAnsi="Times New Roman"/>
          <w:szCs w:val="21"/>
        </w:rPr>
        <w:t xml:space="preserve"> </w:t>
      </w:r>
      <w:r w:rsidR="00AF4A0F">
        <w:rPr>
          <w:rFonts w:ascii="Times New Roman" w:hAnsi="Times New Roman" w:hint="eastAsia"/>
          <w:szCs w:val="21"/>
        </w:rPr>
        <w:t>结冷胶</w:t>
      </w:r>
      <w:r>
        <w:rPr>
          <w:rFonts w:ascii="Times New Roman" w:hAnsi="Times New Roman"/>
          <w:szCs w:val="21"/>
        </w:rPr>
        <w:t>》（</w:t>
      </w:r>
      <w:r w:rsidR="00AF4A0F" w:rsidRPr="00AF4A0F">
        <w:rPr>
          <w:rFonts w:ascii="Times New Roman" w:hAnsi="Times New Roman"/>
          <w:szCs w:val="21"/>
        </w:rPr>
        <w:t>GB 25535-2010</w:t>
      </w:r>
      <w:r>
        <w:rPr>
          <w:rFonts w:ascii="Times New Roman" w:hAnsi="Times New Roman"/>
          <w:szCs w:val="21"/>
        </w:rPr>
        <w:t>）</w:t>
      </w:r>
      <w:bookmarkEnd w:id="1"/>
      <w:r>
        <w:rPr>
          <w:rFonts w:ascii="Times New Roman" w:hAnsi="Times New Roman"/>
          <w:szCs w:val="21"/>
        </w:rPr>
        <w:t>于</w:t>
      </w:r>
      <w:r>
        <w:rPr>
          <w:rFonts w:ascii="Times New Roman" w:hAnsi="Times New Roman"/>
          <w:szCs w:val="21"/>
        </w:rPr>
        <w:t>201</w:t>
      </w:r>
      <w:r w:rsidR="00AF4A0F">
        <w:rPr>
          <w:rFonts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年</w:t>
      </w:r>
      <w:r w:rsidR="00AF4A0F">
        <w:rPr>
          <w:rFonts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</w:rPr>
        <w:t>2</w:t>
      </w:r>
      <w:r w:rsidR="00AF4A0F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日发布，</w:t>
      </w:r>
      <w:r>
        <w:rPr>
          <w:rFonts w:ascii="Times New Roman" w:hAnsi="Times New Roman"/>
          <w:szCs w:val="21"/>
        </w:rPr>
        <w:t>201</w:t>
      </w:r>
      <w:r w:rsidR="00AF4A0F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年</w:t>
      </w:r>
      <w:r w:rsidR="00AF4A0F"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</w:rPr>
        <w:t>2</w:t>
      </w:r>
      <w:r w:rsidR="00AF4A0F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日实施</w:t>
      </w:r>
      <w:r>
        <w:rPr>
          <w:rFonts w:ascii="Times New Roman" w:hAnsi="Times New Roman" w:hint="eastAsia"/>
          <w:szCs w:val="21"/>
        </w:rPr>
        <w:t>。</w:t>
      </w:r>
    </w:p>
    <w:p w14:paraId="1AF302E9" w14:textId="48F51B44" w:rsidR="00A222CB" w:rsidRDefault="00A222C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A222CB">
        <w:rPr>
          <w:rFonts w:ascii="Times New Roman" w:hAnsi="Times New Roman"/>
          <w:szCs w:val="21"/>
        </w:rPr>
        <w:t>根据</w:t>
      </w:r>
      <w:r w:rsidRPr="00A222CB">
        <w:rPr>
          <w:rFonts w:ascii="Times New Roman" w:hAnsi="Times New Roman" w:hint="eastAsia"/>
          <w:szCs w:val="21"/>
        </w:rPr>
        <w:t>《卫生部关于规范食品中大肠菌群指标的检测工作的公告（</w:t>
      </w:r>
      <w:r w:rsidRPr="00A222CB">
        <w:rPr>
          <w:rFonts w:ascii="Times New Roman" w:hAnsi="Times New Roman" w:hint="eastAsia"/>
          <w:szCs w:val="21"/>
        </w:rPr>
        <w:t>2009</w:t>
      </w:r>
      <w:r w:rsidRPr="00A222CB">
        <w:rPr>
          <w:rFonts w:ascii="Times New Roman" w:hAnsi="Times New Roman" w:hint="eastAsia"/>
          <w:szCs w:val="21"/>
        </w:rPr>
        <w:t>年第</w:t>
      </w:r>
      <w:r w:rsidRPr="00A222CB">
        <w:rPr>
          <w:rFonts w:ascii="Times New Roman" w:hAnsi="Times New Roman" w:hint="eastAsia"/>
          <w:szCs w:val="21"/>
        </w:rPr>
        <w:t>16</w:t>
      </w:r>
      <w:r w:rsidRPr="00A222CB">
        <w:rPr>
          <w:rFonts w:ascii="Times New Roman" w:hAnsi="Times New Roman" w:hint="eastAsia"/>
          <w:szCs w:val="21"/>
        </w:rPr>
        <w:t>号）》</w:t>
      </w:r>
      <w:r>
        <w:rPr>
          <w:rFonts w:ascii="Times New Roman" w:hAnsi="Times New Roman" w:hint="eastAsia"/>
          <w:szCs w:val="21"/>
        </w:rPr>
        <w:t>：</w:t>
      </w:r>
      <w:r w:rsidRPr="00A222CB">
        <w:rPr>
          <w:rFonts w:ascii="Times New Roman" w:hAnsi="Times New Roman"/>
          <w:szCs w:val="21"/>
        </w:rPr>
        <w:t>现行食品标准中规定的大肠菌群指标以</w:t>
      </w:r>
      <w:r w:rsidRPr="00A222CB">
        <w:rPr>
          <w:rFonts w:ascii="Times New Roman" w:hAnsi="Times New Roman"/>
          <w:szCs w:val="21"/>
        </w:rPr>
        <w:t>“MPN/100</w:t>
      </w:r>
      <w:r w:rsidRPr="00A222CB">
        <w:rPr>
          <w:rFonts w:ascii="Times New Roman" w:hAnsi="Times New Roman"/>
          <w:szCs w:val="21"/>
        </w:rPr>
        <w:t>克或</w:t>
      </w:r>
      <w:r w:rsidRPr="00A222CB">
        <w:rPr>
          <w:rFonts w:ascii="Times New Roman" w:hAnsi="Times New Roman"/>
          <w:szCs w:val="21"/>
        </w:rPr>
        <w:t>MPN/100</w:t>
      </w:r>
      <w:r w:rsidRPr="00A222CB">
        <w:rPr>
          <w:rFonts w:ascii="Times New Roman" w:hAnsi="Times New Roman"/>
          <w:szCs w:val="21"/>
        </w:rPr>
        <w:t>毫升</w:t>
      </w:r>
      <w:r w:rsidRPr="00A222CB">
        <w:rPr>
          <w:rFonts w:ascii="Times New Roman" w:hAnsi="Times New Roman"/>
          <w:szCs w:val="21"/>
        </w:rPr>
        <w:t>”</w:t>
      </w:r>
      <w:r w:rsidRPr="00A222CB">
        <w:rPr>
          <w:rFonts w:ascii="Times New Roman" w:hAnsi="Times New Roman"/>
          <w:szCs w:val="21"/>
        </w:rPr>
        <w:t>为单位的，适用《食品卫生微生物学检验</w:t>
      </w:r>
      <w:r w:rsidRPr="00A222CB">
        <w:rPr>
          <w:rFonts w:ascii="Times New Roman" w:hAnsi="Times New Roman" w:hint="eastAsia"/>
          <w:szCs w:val="21"/>
        </w:rPr>
        <w:t xml:space="preserve"> </w:t>
      </w:r>
      <w:r w:rsidRPr="00A222CB">
        <w:rPr>
          <w:rFonts w:ascii="Times New Roman" w:hAnsi="Times New Roman"/>
          <w:szCs w:val="21"/>
        </w:rPr>
        <w:t>大肠菌群测定》（</w:t>
      </w:r>
      <w:r w:rsidRPr="00A222CB">
        <w:rPr>
          <w:rFonts w:ascii="Times New Roman" w:hAnsi="Times New Roman"/>
          <w:szCs w:val="21"/>
        </w:rPr>
        <w:t>GB/T</w:t>
      </w:r>
      <w:r w:rsidRPr="00A222CB">
        <w:rPr>
          <w:rFonts w:ascii="Times New Roman" w:hAnsi="Times New Roman" w:hint="eastAsia"/>
          <w:szCs w:val="21"/>
        </w:rPr>
        <w:t xml:space="preserve"> </w:t>
      </w:r>
      <w:r w:rsidRPr="00A222CB">
        <w:rPr>
          <w:rFonts w:ascii="Times New Roman" w:hAnsi="Times New Roman"/>
          <w:szCs w:val="21"/>
        </w:rPr>
        <w:t>4789.3-2003</w:t>
      </w:r>
      <w:r w:rsidRPr="00A222CB">
        <w:rPr>
          <w:rFonts w:ascii="Times New Roman" w:hAnsi="Times New Roman"/>
          <w:szCs w:val="21"/>
        </w:rPr>
        <w:t>）进行检测；以</w:t>
      </w:r>
      <w:r w:rsidRPr="00A222CB">
        <w:rPr>
          <w:rFonts w:ascii="Times New Roman" w:hAnsi="Times New Roman"/>
          <w:szCs w:val="21"/>
        </w:rPr>
        <w:t>“MPN/</w:t>
      </w:r>
      <w:r w:rsidRPr="00A222CB">
        <w:rPr>
          <w:rFonts w:ascii="Times New Roman" w:hAnsi="Times New Roman"/>
          <w:szCs w:val="21"/>
        </w:rPr>
        <w:t>克或</w:t>
      </w:r>
      <w:r w:rsidRPr="00A222CB">
        <w:rPr>
          <w:rFonts w:ascii="Times New Roman" w:hAnsi="Times New Roman"/>
          <w:szCs w:val="21"/>
        </w:rPr>
        <w:t>MPN/</w:t>
      </w:r>
      <w:r w:rsidRPr="00A222CB">
        <w:rPr>
          <w:rFonts w:ascii="Times New Roman" w:hAnsi="Times New Roman"/>
          <w:szCs w:val="21"/>
        </w:rPr>
        <w:t>毫升</w:t>
      </w:r>
      <w:r w:rsidRPr="00A222CB">
        <w:rPr>
          <w:rFonts w:ascii="Times New Roman" w:hAnsi="Times New Roman"/>
          <w:szCs w:val="21"/>
        </w:rPr>
        <w:t>”</w:t>
      </w:r>
      <w:r w:rsidRPr="00A222CB">
        <w:rPr>
          <w:rFonts w:ascii="Times New Roman" w:hAnsi="Times New Roman"/>
          <w:szCs w:val="21"/>
        </w:rPr>
        <w:t>、</w:t>
      </w:r>
      <w:r w:rsidRPr="00A222CB">
        <w:rPr>
          <w:rFonts w:ascii="Times New Roman" w:hAnsi="Times New Roman"/>
          <w:szCs w:val="21"/>
        </w:rPr>
        <w:t>“CFU/</w:t>
      </w:r>
      <w:r w:rsidRPr="00A222CB">
        <w:rPr>
          <w:rFonts w:ascii="Times New Roman" w:hAnsi="Times New Roman"/>
          <w:szCs w:val="21"/>
        </w:rPr>
        <w:t>克或</w:t>
      </w:r>
      <w:r w:rsidRPr="00A222CB">
        <w:rPr>
          <w:rFonts w:ascii="Times New Roman" w:hAnsi="Times New Roman"/>
          <w:szCs w:val="21"/>
        </w:rPr>
        <w:t>CFU/</w:t>
      </w:r>
      <w:r w:rsidRPr="00A222CB">
        <w:rPr>
          <w:rFonts w:ascii="Times New Roman" w:hAnsi="Times New Roman"/>
          <w:szCs w:val="21"/>
        </w:rPr>
        <w:t>毫升</w:t>
      </w:r>
      <w:r w:rsidRPr="00A222CB">
        <w:rPr>
          <w:rFonts w:ascii="Times New Roman" w:hAnsi="Times New Roman"/>
          <w:szCs w:val="21"/>
        </w:rPr>
        <w:t>”</w:t>
      </w:r>
      <w:r w:rsidRPr="00A222CB">
        <w:rPr>
          <w:rFonts w:ascii="Times New Roman" w:hAnsi="Times New Roman"/>
          <w:szCs w:val="21"/>
        </w:rPr>
        <w:t>为单位的，适用《食品卫生微生物学检验</w:t>
      </w:r>
      <w:r w:rsidRPr="00A222CB">
        <w:rPr>
          <w:rFonts w:ascii="Times New Roman" w:hAnsi="Times New Roman" w:hint="eastAsia"/>
          <w:szCs w:val="21"/>
        </w:rPr>
        <w:t xml:space="preserve"> </w:t>
      </w:r>
      <w:r w:rsidRPr="00A222CB">
        <w:rPr>
          <w:rFonts w:ascii="Times New Roman" w:hAnsi="Times New Roman"/>
          <w:szCs w:val="21"/>
        </w:rPr>
        <w:t>大肠菌群计数》（</w:t>
      </w:r>
      <w:r w:rsidRPr="00A222CB">
        <w:rPr>
          <w:rFonts w:ascii="Times New Roman" w:hAnsi="Times New Roman"/>
          <w:szCs w:val="21"/>
        </w:rPr>
        <w:t>GB/T</w:t>
      </w:r>
      <w:r w:rsidRPr="00A222CB">
        <w:rPr>
          <w:rFonts w:ascii="Times New Roman" w:hAnsi="Times New Roman" w:hint="eastAsia"/>
          <w:szCs w:val="21"/>
        </w:rPr>
        <w:t xml:space="preserve"> </w:t>
      </w:r>
      <w:r w:rsidRPr="00A222CB">
        <w:rPr>
          <w:rFonts w:ascii="Times New Roman" w:hAnsi="Times New Roman"/>
          <w:szCs w:val="21"/>
        </w:rPr>
        <w:t>4789.3-2008</w:t>
      </w:r>
      <w:r w:rsidRPr="00A222CB">
        <w:rPr>
          <w:rFonts w:ascii="Times New Roman" w:hAnsi="Times New Roman"/>
          <w:szCs w:val="21"/>
        </w:rPr>
        <w:t>）进行检测。</w:t>
      </w:r>
    </w:p>
    <w:p w14:paraId="7A8F05B4" w14:textId="4A7987EB" w:rsidR="00DF34D4" w:rsidRDefault="00A222CB" w:rsidP="00DF34D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A222CB">
        <w:rPr>
          <w:rFonts w:ascii="Times New Roman" w:hAnsi="Times New Roman" w:hint="eastAsia"/>
          <w:szCs w:val="21"/>
        </w:rPr>
        <w:t>本标准</w:t>
      </w:r>
      <w:r w:rsidR="005D69F5">
        <w:rPr>
          <w:rFonts w:ascii="Times New Roman" w:hAnsi="Times New Roman" w:hint="eastAsia"/>
          <w:szCs w:val="21"/>
        </w:rPr>
        <w:t>4</w:t>
      </w:r>
      <w:r w:rsidR="005D69F5">
        <w:rPr>
          <w:rFonts w:ascii="Times New Roman" w:hAnsi="Times New Roman"/>
          <w:szCs w:val="21"/>
        </w:rPr>
        <w:t>.3</w:t>
      </w:r>
      <w:r w:rsidRPr="00A222CB">
        <w:rPr>
          <w:rFonts w:ascii="Times New Roman" w:hAnsi="Times New Roman"/>
          <w:szCs w:val="21"/>
        </w:rPr>
        <w:t>表</w:t>
      </w:r>
      <w:r w:rsidRPr="00A222CB">
        <w:rPr>
          <w:rFonts w:ascii="Times New Roman" w:hAnsi="Times New Roman"/>
          <w:szCs w:val="21"/>
        </w:rPr>
        <w:t>3</w:t>
      </w:r>
      <w:r w:rsidRPr="00A222CB">
        <w:rPr>
          <w:rFonts w:ascii="Times New Roman" w:hAnsi="Times New Roman" w:hint="eastAsia"/>
          <w:szCs w:val="21"/>
        </w:rPr>
        <w:t>微生物指标中规定</w:t>
      </w:r>
      <w:r w:rsidRPr="00A222CB">
        <w:rPr>
          <w:rFonts w:ascii="Times New Roman" w:hAnsi="Times New Roman"/>
          <w:szCs w:val="21"/>
        </w:rPr>
        <w:t>大肠菌群</w:t>
      </w:r>
      <w:r w:rsidRPr="00A222CB">
        <w:rPr>
          <w:rFonts w:ascii="Times New Roman" w:hAnsi="Times New Roman" w:hint="eastAsia"/>
          <w:szCs w:val="21"/>
        </w:rPr>
        <w:t>的</w:t>
      </w:r>
      <w:r w:rsidRPr="00A222CB">
        <w:rPr>
          <w:rFonts w:ascii="Times New Roman" w:hAnsi="Times New Roman"/>
          <w:szCs w:val="21"/>
        </w:rPr>
        <w:t>限量</w:t>
      </w:r>
      <w:r w:rsidR="000C639F">
        <w:rPr>
          <w:rFonts w:ascii="Times New Roman" w:hAnsi="Times New Roman" w:hint="eastAsia"/>
          <w:szCs w:val="21"/>
        </w:rPr>
        <w:t>为</w:t>
      </w:r>
      <w:r w:rsidRPr="00A222CB">
        <w:rPr>
          <w:rFonts w:ascii="Times New Roman" w:hAnsi="Times New Roman"/>
          <w:szCs w:val="21"/>
        </w:rPr>
        <w:t>30</w:t>
      </w:r>
      <w:r w:rsidRPr="00A222CB">
        <w:rPr>
          <w:rFonts w:ascii="Times New Roman" w:hAnsi="Times New Roman"/>
          <w:szCs w:val="21"/>
        </w:rPr>
        <w:t>，单位是</w:t>
      </w:r>
      <w:r w:rsidRPr="00A222CB">
        <w:rPr>
          <w:rFonts w:ascii="Times New Roman" w:hAnsi="Times New Roman"/>
          <w:szCs w:val="21"/>
        </w:rPr>
        <w:t>MPN/100g</w:t>
      </w:r>
      <w:r w:rsidRPr="00A222CB">
        <w:rPr>
          <w:rFonts w:ascii="Times New Roman" w:hAnsi="Times New Roman" w:hint="eastAsia"/>
          <w:szCs w:val="21"/>
        </w:rPr>
        <w:t>，</w:t>
      </w:r>
      <w:r w:rsidR="005D69F5">
        <w:rPr>
          <w:rFonts w:ascii="Times New Roman" w:hAnsi="Times New Roman" w:hint="eastAsia"/>
          <w:szCs w:val="21"/>
        </w:rPr>
        <w:t>因此，</w:t>
      </w:r>
      <w:r w:rsidRPr="00A222CB">
        <w:rPr>
          <w:rFonts w:ascii="Times New Roman" w:hAnsi="Times New Roman"/>
          <w:szCs w:val="21"/>
        </w:rPr>
        <w:t>对</w:t>
      </w:r>
      <w:proofErr w:type="gramStart"/>
      <w:r w:rsidRPr="00A222CB">
        <w:rPr>
          <w:rFonts w:ascii="Times New Roman" w:hAnsi="Times New Roman"/>
          <w:szCs w:val="21"/>
        </w:rPr>
        <w:t>结冷胶</w:t>
      </w:r>
      <w:proofErr w:type="gramEnd"/>
      <w:r w:rsidRPr="00A222CB">
        <w:rPr>
          <w:rFonts w:ascii="Times New Roman" w:hAnsi="Times New Roman"/>
          <w:szCs w:val="21"/>
        </w:rPr>
        <w:t>大肠菌群</w:t>
      </w:r>
      <w:r w:rsidR="000C639F">
        <w:rPr>
          <w:rFonts w:ascii="Times New Roman" w:hAnsi="Times New Roman" w:hint="eastAsia"/>
          <w:szCs w:val="21"/>
        </w:rPr>
        <w:t>指标</w:t>
      </w:r>
      <w:r w:rsidRPr="00A222CB">
        <w:rPr>
          <w:rFonts w:ascii="Times New Roman" w:hAnsi="Times New Roman"/>
          <w:szCs w:val="21"/>
        </w:rPr>
        <w:t>采用</w:t>
      </w:r>
      <w:r w:rsidRPr="00A222CB">
        <w:rPr>
          <w:rFonts w:ascii="Times New Roman" w:hAnsi="Times New Roman"/>
          <w:szCs w:val="21"/>
        </w:rPr>
        <w:t>GB/T 4789.3-2003</w:t>
      </w:r>
      <w:r w:rsidRPr="00A222CB">
        <w:rPr>
          <w:rFonts w:ascii="Times New Roman" w:hAnsi="Times New Roman"/>
          <w:szCs w:val="21"/>
        </w:rPr>
        <w:t>的方法检测</w:t>
      </w:r>
      <w:r w:rsidR="00DF34D4">
        <w:rPr>
          <w:rFonts w:ascii="Times New Roman" w:hAnsi="Times New Roman" w:hint="eastAsia"/>
          <w:szCs w:val="21"/>
        </w:rPr>
        <w:t>，目前最新</w:t>
      </w:r>
      <w:r w:rsidR="00C863ED">
        <w:rPr>
          <w:rFonts w:ascii="Times New Roman" w:hAnsi="Times New Roman" w:hint="eastAsia"/>
          <w:szCs w:val="21"/>
        </w:rPr>
        <w:t>版本为《</w:t>
      </w:r>
      <w:r w:rsidR="00C863ED" w:rsidRPr="00C863ED">
        <w:rPr>
          <w:rFonts w:ascii="Times New Roman" w:hAnsi="Times New Roman" w:hint="eastAsia"/>
          <w:szCs w:val="21"/>
        </w:rPr>
        <w:t>食品安全国家标准</w:t>
      </w:r>
      <w:r w:rsidR="00C863ED" w:rsidRPr="00C863ED">
        <w:rPr>
          <w:rFonts w:ascii="Times New Roman" w:hAnsi="Times New Roman" w:hint="eastAsia"/>
          <w:szCs w:val="21"/>
        </w:rPr>
        <w:t xml:space="preserve"> </w:t>
      </w:r>
      <w:r w:rsidR="00C863ED" w:rsidRPr="00C863ED">
        <w:rPr>
          <w:rFonts w:ascii="Times New Roman" w:hAnsi="Times New Roman" w:hint="eastAsia"/>
          <w:szCs w:val="21"/>
        </w:rPr>
        <w:t>食品微生物学检验</w:t>
      </w:r>
      <w:r w:rsidR="00C863ED" w:rsidRPr="00C863ED">
        <w:rPr>
          <w:rFonts w:ascii="Times New Roman" w:hAnsi="Times New Roman" w:hint="eastAsia"/>
          <w:szCs w:val="21"/>
        </w:rPr>
        <w:t xml:space="preserve"> </w:t>
      </w:r>
      <w:r w:rsidR="00C863ED" w:rsidRPr="00C863ED">
        <w:rPr>
          <w:rFonts w:ascii="Times New Roman" w:hAnsi="Times New Roman" w:hint="eastAsia"/>
          <w:szCs w:val="21"/>
        </w:rPr>
        <w:t>大肠菌群计数</w:t>
      </w:r>
      <w:r w:rsidR="00C863ED">
        <w:rPr>
          <w:rFonts w:ascii="Times New Roman" w:hAnsi="Times New Roman" w:hint="eastAsia"/>
          <w:szCs w:val="21"/>
        </w:rPr>
        <w:t>》（</w:t>
      </w:r>
      <w:r w:rsidR="00C863ED" w:rsidRPr="00C863ED">
        <w:rPr>
          <w:rFonts w:ascii="Times New Roman" w:hAnsi="Times New Roman" w:hint="eastAsia"/>
          <w:szCs w:val="21"/>
        </w:rPr>
        <w:t>GB</w:t>
      </w:r>
      <w:r w:rsidR="00C863ED">
        <w:rPr>
          <w:rFonts w:ascii="Times New Roman" w:hAnsi="Times New Roman"/>
          <w:szCs w:val="21"/>
        </w:rPr>
        <w:t xml:space="preserve"> </w:t>
      </w:r>
      <w:r w:rsidR="00C863ED" w:rsidRPr="00C863ED">
        <w:rPr>
          <w:rFonts w:ascii="Times New Roman" w:hAnsi="Times New Roman" w:hint="eastAsia"/>
          <w:szCs w:val="21"/>
        </w:rPr>
        <w:t>4789.3-2016</w:t>
      </w:r>
      <w:r w:rsidR="00C863ED">
        <w:rPr>
          <w:rFonts w:ascii="Times New Roman" w:hAnsi="Times New Roman" w:hint="eastAsia"/>
          <w:szCs w:val="21"/>
        </w:rPr>
        <w:t>）</w:t>
      </w:r>
      <w:r w:rsidR="00DF34D4">
        <w:rPr>
          <w:rFonts w:ascii="Times New Roman" w:hAnsi="Times New Roman" w:hint="eastAsia"/>
          <w:szCs w:val="21"/>
        </w:rPr>
        <w:t>。</w:t>
      </w:r>
      <w:r w:rsidRPr="00A222CB">
        <w:rPr>
          <w:rFonts w:ascii="Times New Roman" w:hAnsi="Times New Roman"/>
          <w:szCs w:val="21"/>
        </w:rPr>
        <w:t>该方法对</w:t>
      </w:r>
      <w:proofErr w:type="gramStart"/>
      <w:r w:rsidRPr="00A222CB">
        <w:rPr>
          <w:rFonts w:ascii="Times New Roman" w:hAnsi="Times New Roman"/>
          <w:szCs w:val="21"/>
        </w:rPr>
        <w:t>结冷胶</w:t>
      </w:r>
      <w:proofErr w:type="gramEnd"/>
      <w:r w:rsidRPr="00A222CB">
        <w:rPr>
          <w:rFonts w:ascii="Times New Roman" w:hAnsi="Times New Roman"/>
          <w:szCs w:val="21"/>
        </w:rPr>
        <w:t>有一个重大的缺陷</w:t>
      </w:r>
      <w:r w:rsidR="000C639F">
        <w:rPr>
          <w:rFonts w:ascii="Times New Roman" w:hAnsi="Times New Roman" w:hint="eastAsia"/>
          <w:szCs w:val="21"/>
        </w:rPr>
        <w:t>：</w:t>
      </w:r>
      <w:r w:rsidR="00DF34D4">
        <w:rPr>
          <w:rFonts w:ascii="Times New Roman" w:hAnsi="Times New Roman" w:hint="eastAsia"/>
          <w:szCs w:val="21"/>
        </w:rPr>
        <w:t>即</w:t>
      </w:r>
      <w:r w:rsidRPr="00A222CB">
        <w:rPr>
          <w:rFonts w:ascii="Times New Roman" w:hAnsi="Times New Roman"/>
          <w:szCs w:val="21"/>
        </w:rPr>
        <w:t>对检测样品的处理方式是</w:t>
      </w:r>
      <w:r w:rsidRPr="00A222CB">
        <w:rPr>
          <w:rFonts w:ascii="Times New Roman" w:hAnsi="Times New Roman"/>
          <w:szCs w:val="21"/>
        </w:rPr>
        <w:t>10</w:t>
      </w:r>
      <w:r w:rsidRPr="00A222CB">
        <w:rPr>
          <w:rFonts w:ascii="Times New Roman" w:hAnsi="Times New Roman"/>
          <w:szCs w:val="21"/>
        </w:rPr>
        <w:t>倍稀释</w:t>
      </w:r>
      <w:r w:rsidR="00DF34D4">
        <w:rPr>
          <w:rFonts w:ascii="Times New Roman" w:hAnsi="Times New Roman" w:hint="eastAsia"/>
          <w:szCs w:val="21"/>
        </w:rPr>
        <w:t>度</w:t>
      </w:r>
      <w:r w:rsidRPr="00A222CB">
        <w:rPr>
          <w:rFonts w:ascii="Times New Roman" w:hAnsi="Times New Roman"/>
          <w:szCs w:val="21"/>
        </w:rPr>
        <w:t>，而</w:t>
      </w:r>
      <w:proofErr w:type="gramStart"/>
      <w:r w:rsidRPr="00A222CB">
        <w:rPr>
          <w:rFonts w:ascii="Times New Roman" w:hAnsi="Times New Roman"/>
          <w:szCs w:val="21"/>
        </w:rPr>
        <w:t>结冷胶</w:t>
      </w:r>
      <w:proofErr w:type="gramEnd"/>
      <w:r w:rsidRPr="00A222CB">
        <w:rPr>
          <w:rFonts w:ascii="Times New Roman" w:hAnsi="Times New Roman"/>
          <w:szCs w:val="21"/>
        </w:rPr>
        <w:t>作为增稠剂，在</w:t>
      </w:r>
      <w:r w:rsidRPr="00A222CB">
        <w:rPr>
          <w:rFonts w:ascii="Times New Roman" w:hAnsi="Times New Roman"/>
          <w:szCs w:val="21"/>
        </w:rPr>
        <w:t>10</w:t>
      </w:r>
      <w:r w:rsidRPr="00A222CB">
        <w:rPr>
          <w:rFonts w:ascii="Times New Roman" w:hAnsi="Times New Roman"/>
          <w:szCs w:val="21"/>
        </w:rPr>
        <w:t>倍稀释</w:t>
      </w:r>
      <w:r w:rsidR="00DF34D4">
        <w:rPr>
          <w:rFonts w:ascii="Times New Roman" w:hAnsi="Times New Roman" w:hint="eastAsia"/>
          <w:szCs w:val="21"/>
        </w:rPr>
        <w:t>度</w:t>
      </w:r>
      <w:r w:rsidRPr="00A222CB">
        <w:rPr>
          <w:rFonts w:ascii="Times New Roman" w:hAnsi="Times New Roman"/>
          <w:szCs w:val="21"/>
        </w:rPr>
        <w:t>即</w:t>
      </w:r>
      <w:r w:rsidRPr="00A222CB">
        <w:rPr>
          <w:rFonts w:ascii="Times New Roman" w:hAnsi="Times New Roman"/>
          <w:szCs w:val="21"/>
        </w:rPr>
        <w:t>10%</w:t>
      </w:r>
      <w:r w:rsidRPr="00A222CB">
        <w:rPr>
          <w:rFonts w:ascii="Times New Roman" w:hAnsi="Times New Roman"/>
          <w:szCs w:val="21"/>
        </w:rPr>
        <w:t>浓度下，</w:t>
      </w:r>
      <w:r w:rsidRPr="00A222CB">
        <w:rPr>
          <w:rFonts w:ascii="Times New Roman" w:hAnsi="Times New Roman" w:hint="eastAsia"/>
          <w:szCs w:val="21"/>
        </w:rPr>
        <w:t>整体</w:t>
      </w:r>
      <w:r w:rsidRPr="00A222CB">
        <w:rPr>
          <w:rFonts w:ascii="Times New Roman" w:hAnsi="Times New Roman"/>
          <w:szCs w:val="21"/>
        </w:rPr>
        <w:t>呈固</w:t>
      </w:r>
      <w:r w:rsidRPr="00A222CB">
        <w:rPr>
          <w:rFonts w:ascii="Times New Roman" w:hAnsi="Times New Roman" w:hint="eastAsia"/>
          <w:szCs w:val="21"/>
        </w:rPr>
        <w:t>态结块</w:t>
      </w:r>
      <w:r w:rsidRPr="00A222CB">
        <w:rPr>
          <w:rFonts w:ascii="Times New Roman" w:hAnsi="Times New Roman"/>
          <w:szCs w:val="21"/>
        </w:rPr>
        <w:t>状而无法进行检测</w:t>
      </w:r>
      <w:r w:rsidR="000C639F">
        <w:rPr>
          <w:rFonts w:ascii="Times New Roman" w:hAnsi="Times New Roman" w:hint="eastAsia"/>
          <w:szCs w:val="21"/>
        </w:rPr>
        <w:t>。</w:t>
      </w:r>
    </w:p>
    <w:p w14:paraId="72536010" w14:textId="732F7403" w:rsidR="001E3882" w:rsidRDefault="00DF34D4" w:rsidP="00FC436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基于上述情况，</w:t>
      </w:r>
      <w:r>
        <w:rPr>
          <w:rFonts w:hint="eastAsia"/>
          <w:szCs w:val="21"/>
        </w:rPr>
        <w:t>考虑安全性和实际性，</w:t>
      </w:r>
      <w:r>
        <w:rPr>
          <w:rFonts w:ascii="Times New Roman" w:hAnsi="Times New Roman" w:hint="eastAsia"/>
          <w:szCs w:val="21"/>
        </w:rPr>
        <w:t>需要统一调整微生物指标的检验方法，将</w:t>
      </w:r>
      <w:proofErr w:type="gramStart"/>
      <w:r w:rsidR="00FC4369">
        <w:rPr>
          <w:rFonts w:ascii="Times New Roman" w:hAnsi="Times New Roman" w:hint="eastAsia"/>
          <w:szCs w:val="21"/>
        </w:rPr>
        <w:t>样品匀液的</w:t>
      </w:r>
      <w:proofErr w:type="gramEnd"/>
      <w:r w:rsidRPr="00A222CB">
        <w:rPr>
          <w:rFonts w:ascii="Times New Roman" w:hAnsi="Times New Roman"/>
          <w:szCs w:val="21"/>
        </w:rPr>
        <w:t>10</w:t>
      </w:r>
      <w:r w:rsidRPr="00A222CB">
        <w:rPr>
          <w:rFonts w:ascii="Times New Roman" w:hAnsi="Times New Roman"/>
          <w:szCs w:val="21"/>
        </w:rPr>
        <w:t>倍稀释</w:t>
      </w:r>
      <w:r>
        <w:rPr>
          <w:rFonts w:ascii="Times New Roman" w:hAnsi="Times New Roman" w:hint="eastAsia"/>
          <w:szCs w:val="21"/>
        </w:rPr>
        <w:t>度</w:t>
      </w:r>
      <w:r>
        <w:rPr>
          <w:rFonts w:ascii="Times New Roman" w:hAnsi="Times New Roman" w:hint="eastAsia"/>
          <w:szCs w:val="21"/>
        </w:rPr>
        <w:t>修改为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00</w:t>
      </w:r>
      <w:r>
        <w:rPr>
          <w:rFonts w:ascii="Times New Roman" w:hAnsi="Times New Roman" w:hint="eastAsia"/>
          <w:szCs w:val="21"/>
        </w:rPr>
        <w:t>倍稀释度，</w:t>
      </w:r>
      <w:r>
        <w:rPr>
          <w:rFonts w:ascii="Times New Roman" w:hAnsi="Times New Roman" w:hint="eastAsia"/>
          <w:szCs w:val="21"/>
        </w:rPr>
        <w:t>在表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后</w:t>
      </w:r>
      <w:r>
        <w:rPr>
          <w:rFonts w:ascii="Times New Roman" w:hAnsi="Times New Roman" w:hint="eastAsia"/>
          <w:szCs w:val="21"/>
        </w:rPr>
        <w:t>以注释形式明确；</w:t>
      </w:r>
      <w:r w:rsidRPr="00DF34D4">
        <w:rPr>
          <w:rFonts w:ascii="Times New Roman" w:hAnsi="Times New Roman"/>
          <w:szCs w:val="21"/>
        </w:rPr>
        <w:t>其中，大肠菌群指标考虑平板计数法操作简单</w:t>
      </w:r>
      <w:r w:rsidR="0038425A">
        <w:rPr>
          <w:rFonts w:ascii="Times New Roman" w:hAnsi="Times New Roman" w:hint="eastAsia"/>
          <w:szCs w:val="21"/>
        </w:rPr>
        <w:t>且准确</w:t>
      </w:r>
      <w:r w:rsidRPr="00DF34D4">
        <w:rPr>
          <w:rFonts w:ascii="Times New Roman" w:hAnsi="Times New Roman"/>
          <w:szCs w:val="21"/>
        </w:rPr>
        <w:t>，</w:t>
      </w:r>
      <w:r w:rsidR="00FC4369">
        <w:rPr>
          <w:rFonts w:ascii="Times New Roman" w:hAnsi="Times New Roman" w:hint="eastAsia"/>
          <w:szCs w:val="21"/>
        </w:rPr>
        <w:t>予以替换</w:t>
      </w:r>
      <w:r w:rsidRPr="00DF34D4">
        <w:rPr>
          <w:rFonts w:ascii="Times New Roman" w:hAnsi="Times New Roman"/>
          <w:szCs w:val="21"/>
        </w:rPr>
        <w:t>MPN</w:t>
      </w:r>
      <w:r w:rsidRPr="00DF34D4">
        <w:rPr>
          <w:rFonts w:ascii="Times New Roman" w:hAnsi="Times New Roman"/>
          <w:szCs w:val="21"/>
        </w:rPr>
        <w:t>计数法</w:t>
      </w:r>
      <w:r w:rsidR="00FC4369">
        <w:rPr>
          <w:rFonts w:ascii="Times New Roman" w:hAnsi="Times New Roman" w:hint="eastAsia"/>
          <w:szCs w:val="21"/>
        </w:rPr>
        <w:t>，与其</w:t>
      </w:r>
      <w:r w:rsidR="00111116">
        <w:rPr>
          <w:rFonts w:ascii="Times New Roman" w:hAnsi="Times New Roman" w:hint="eastAsia"/>
          <w:szCs w:val="21"/>
        </w:rPr>
        <w:t>结果一致</w:t>
      </w:r>
      <w:r w:rsidRPr="00DF34D4">
        <w:rPr>
          <w:rFonts w:ascii="Times New Roman" w:hAnsi="Times New Roman"/>
          <w:szCs w:val="21"/>
        </w:rPr>
        <w:t>，</w:t>
      </w:r>
      <w:r w:rsidR="00FC4369">
        <w:rPr>
          <w:rFonts w:ascii="Times New Roman" w:hAnsi="Times New Roman" w:hint="eastAsia"/>
          <w:szCs w:val="21"/>
        </w:rPr>
        <w:t>根据</w:t>
      </w:r>
      <w:r w:rsidR="00DC0AE4">
        <w:rPr>
          <w:rFonts w:ascii="Times New Roman" w:hAnsi="Times New Roman" w:hint="eastAsia"/>
          <w:szCs w:val="21"/>
        </w:rPr>
        <w:t>样品</w:t>
      </w:r>
      <w:r w:rsidR="00FC4369">
        <w:rPr>
          <w:rFonts w:ascii="Times New Roman" w:hAnsi="Times New Roman" w:hint="eastAsia"/>
          <w:szCs w:val="21"/>
        </w:rPr>
        <w:t>稀释度</w:t>
      </w:r>
      <w:r w:rsidR="00DC0AE4">
        <w:rPr>
          <w:rFonts w:ascii="Times New Roman" w:hAnsi="Times New Roman" w:hint="eastAsia"/>
          <w:szCs w:val="21"/>
        </w:rPr>
        <w:t>的</w:t>
      </w:r>
      <w:r w:rsidR="00FC4369">
        <w:rPr>
          <w:rFonts w:ascii="Times New Roman" w:hAnsi="Times New Roman" w:hint="eastAsia"/>
          <w:szCs w:val="21"/>
        </w:rPr>
        <w:t>变化，</w:t>
      </w:r>
      <w:r w:rsidR="00FC4369" w:rsidRPr="00426BE5">
        <w:rPr>
          <w:rFonts w:ascii="Times New Roman" w:hAnsi="Times New Roman"/>
        </w:rPr>
        <w:t>“</w:t>
      </w:r>
      <w:r w:rsidR="00FC4369" w:rsidRPr="00426BE5">
        <w:rPr>
          <w:rFonts w:ascii="Times New Roman" w:hAnsi="Times New Roman"/>
        </w:rPr>
        <w:t>无菌落生长</w:t>
      </w:r>
      <w:r w:rsidR="00FC4369" w:rsidRPr="00426BE5">
        <w:rPr>
          <w:rFonts w:ascii="Times New Roman" w:hAnsi="Times New Roman"/>
        </w:rPr>
        <w:t>”</w:t>
      </w:r>
      <w:r w:rsidR="00FC4369" w:rsidRPr="00426BE5">
        <w:rPr>
          <w:rFonts w:ascii="Times New Roman" w:hAnsi="Times New Roman"/>
        </w:rPr>
        <w:t>对应的结果由</w:t>
      </w:r>
      <w:r w:rsidR="00FC4369" w:rsidRPr="00426BE5">
        <w:rPr>
          <w:rFonts w:ascii="Times New Roman" w:hAnsi="Times New Roman"/>
        </w:rPr>
        <w:t>“</w:t>
      </w:r>
      <w:r w:rsidR="00FC4369" w:rsidRPr="00426BE5">
        <w:rPr>
          <w:rFonts w:ascii="Times New Roman" w:hAnsi="Times New Roman"/>
          <w:szCs w:val="21"/>
        </w:rPr>
        <w:t>＜</w:t>
      </w:r>
      <w:r w:rsidR="00FC4369" w:rsidRPr="00426BE5">
        <w:rPr>
          <w:rFonts w:ascii="Times New Roman" w:hAnsi="Times New Roman"/>
        </w:rPr>
        <w:t>10”</w:t>
      </w:r>
      <w:r w:rsidR="00FC4369" w:rsidRPr="00426BE5">
        <w:rPr>
          <w:rFonts w:ascii="Times New Roman" w:hAnsi="Times New Roman"/>
        </w:rPr>
        <w:t>改为</w:t>
      </w:r>
      <w:r w:rsidR="00FC4369" w:rsidRPr="00426BE5">
        <w:rPr>
          <w:rFonts w:ascii="Times New Roman" w:hAnsi="Times New Roman"/>
        </w:rPr>
        <w:t>“</w:t>
      </w:r>
      <w:r w:rsidR="00FC4369" w:rsidRPr="00426BE5">
        <w:rPr>
          <w:rFonts w:ascii="Times New Roman" w:hAnsi="Times New Roman"/>
          <w:szCs w:val="21"/>
        </w:rPr>
        <w:t>＜</w:t>
      </w:r>
      <w:r w:rsidR="00FC4369" w:rsidRPr="00426BE5">
        <w:rPr>
          <w:rFonts w:ascii="Times New Roman" w:hAnsi="Times New Roman"/>
        </w:rPr>
        <w:t>100”</w:t>
      </w:r>
      <w:r w:rsidR="00FC4369">
        <w:rPr>
          <w:rFonts w:ascii="Times New Roman" w:hAnsi="Times New Roman" w:hint="eastAsia"/>
        </w:rPr>
        <w:t>，</w:t>
      </w:r>
      <w:r w:rsidR="00FC4369" w:rsidRPr="00426BE5">
        <w:rPr>
          <w:rFonts w:ascii="Times New Roman" w:hAnsi="Times New Roman"/>
        </w:rPr>
        <w:t>单位</w:t>
      </w:r>
      <w:r w:rsidR="00FC4369">
        <w:rPr>
          <w:rFonts w:ascii="Times New Roman" w:hAnsi="Times New Roman" w:hint="eastAsia"/>
        </w:rPr>
        <w:t>是</w:t>
      </w:r>
      <w:r w:rsidR="00FC4369" w:rsidRPr="00426BE5">
        <w:rPr>
          <w:rFonts w:ascii="Times New Roman" w:hAnsi="Times New Roman"/>
        </w:rPr>
        <w:t>CFU/g</w:t>
      </w:r>
      <w:r w:rsidR="00FC4369" w:rsidRPr="00426BE5">
        <w:rPr>
          <w:rFonts w:ascii="Times New Roman" w:hAnsi="Times New Roman" w:hint="eastAsia"/>
        </w:rPr>
        <w:t>，符合</w:t>
      </w:r>
      <w:r w:rsidR="00FC4369" w:rsidRPr="00426BE5">
        <w:rPr>
          <w:rFonts w:ascii="Times New Roman" w:hAnsi="Times New Roman"/>
        </w:rPr>
        <w:t>GB 4789.3</w:t>
      </w:r>
      <w:r w:rsidR="00FC4369" w:rsidRPr="00426BE5">
        <w:rPr>
          <w:rFonts w:ascii="Times New Roman" w:hAnsi="Times New Roman" w:hint="eastAsia"/>
        </w:rPr>
        <w:t>中计数的报告方式</w:t>
      </w:r>
      <w:r w:rsidR="00FC4369" w:rsidRPr="00426BE5">
        <w:rPr>
          <w:rFonts w:ascii="Times New Roman" w:hAnsi="Times New Roman"/>
          <w:szCs w:val="21"/>
        </w:rPr>
        <w:t>“</w:t>
      </w:r>
      <w:r w:rsidR="00FC4369" w:rsidRPr="00426BE5">
        <w:rPr>
          <w:rFonts w:ascii="Times New Roman" w:hAnsi="Times New Roman"/>
          <w:szCs w:val="21"/>
        </w:rPr>
        <w:t>若所有稀释度（包括液体样品原液）平板均无菌落生长，则以小于</w:t>
      </w:r>
      <w:r w:rsidR="00FC4369" w:rsidRPr="00426BE5">
        <w:rPr>
          <w:rFonts w:ascii="Times New Roman" w:hAnsi="Times New Roman"/>
          <w:szCs w:val="21"/>
        </w:rPr>
        <w:t>1</w:t>
      </w:r>
      <w:r w:rsidR="00FC4369" w:rsidRPr="00426BE5">
        <w:rPr>
          <w:rFonts w:ascii="Times New Roman" w:hAnsi="Times New Roman"/>
          <w:szCs w:val="21"/>
        </w:rPr>
        <w:t>乘以最低稀释倍数报告。</w:t>
      </w:r>
      <w:r w:rsidR="00FC4369" w:rsidRPr="00426BE5">
        <w:rPr>
          <w:rFonts w:ascii="Times New Roman" w:hAnsi="Times New Roman"/>
          <w:szCs w:val="21"/>
        </w:rPr>
        <w:t>”</w:t>
      </w:r>
      <w:r>
        <w:rPr>
          <w:rFonts w:ascii="Times New Roman" w:hAnsi="Times New Roman" w:hint="eastAsia"/>
          <w:szCs w:val="21"/>
        </w:rPr>
        <w:t>；</w:t>
      </w:r>
      <w:r w:rsidR="00FC4369" w:rsidRPr="00426BE5">
        <w:rPr>
          <w:rFonts w:ascii="Times New Roman" w:hAnsi="Times New Roman"/>
          <w:szCs w:val="21"/>
        </w:rPr>
        <w:t>按照稀释度要求</w:t>
      </w:r>
      <w:r w:rsidR="00FC4369" w:rsidRPr="00426BE5">
        <w:rPr>
          <w:rFonts w:ascii="Times New Roman" w:hAnsi="Times New Roman" w:hint="eastAsia"/>
          <w:szCs w:val="21"/>
        </w:rPr>
        <w:t>，</w:t>
      </w:r>
      <w:r w:rsidR="00DC0AE4">
        <w:rPr>
          <w:rFonts w:ascii="Times New Roman" w:hAnsi="Times New Roman" w:hint="eastAsia"/>
          <w:szCs w:val="21"/>
        </w:rPr>
        <w:t>同样</w:t>
      </w:r>
      <w:r>
        <w:rPr>
          <w:rFonts w:ascii="Times New Roman" w:hAnsi="Times New Roman" w:hint="eastAsia"/>
          <w:szCs w:val="21"/>
        </w:rPr>
        <w:t>规范沙门氏菌的指标要求</w:t>
      </w:r>
      <w:r w:rsidR="00FC4369">
        <w:rPr>
          <w:rFonts w:ascii="Times New Roman" w:hAnsi="Times New Roman" w:hint="eastAsia"/>
          <w:szCs w:val="21"/>
        </w:rPr>
        <w:t>（</w:t>
      </w:r>
      <w:r w:rsidR="00FC4369" w:rsidRPr="00FC4369">
        <w:rPr>
          <w:rFonts w:ascii="Times New Roman" w:hAnsi="Times New Roman" w:hint="eastAsia"/>
          <w:szCs w:val="21"/>
        </w:rPr>
        <w:t>不得检出</w:t>
      </w:r>
      <w:r w:rsidR="00FC4369">
        <w:rPr>
          <w:rFonts w:ascii="Times New Roman" w:hAnsi="Times New Roman" w:hint="eastAsia"/>
          <w:szCs w:val="21"/>
        </w:rPr>
        <w:t>/</w:t>
      </w:r>
      <w:r w:rsidR="00FC4369">
        <w:rPr>
          <w:rFonts w:ascii="Times New Roman" w:hAnsi="Times New Roman"/>
          <w:szCs w:val="21"/>
        </w:rPr>
        <w:t>g</w:t>
      </w:r>
      <w:r w:rsidR="00FC4369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，</w:t>
      </w:r>
      <w:r w:rsidR="00FC4369" w:rsidRPr="00426BE5">
        <w:rPr>
          <w:rFonts w:ascii="Times New Roman" w:hAnsi="Times New Roman" w:hint="eastAsia"/>
          <w:szCs w:val="21"/>
        </w:rPr>
        <w:t>对应于取样量，而未更改指标</w:t>
      </w:r>
      <w:r w:rsidR="0058594F">
        <w:rPr>
          <w:rFonts w:ascii="Times New Roman" w:hAnsi="Times New Roman" w:hint="eastAsia"/>
          <w:szCs w:val="21"/>
        </w:rPr>
        <w:t>。</w:t>
      </w:r>
    </w:p>
    <w:p w14:paraId="03992ECB" w14:textId="3645B24C" w:rsidR="001E3882" w:rsidRDefault="00000000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二、修订内容</w:t>
      </w:r>
    </w:p>
    <w:p w14:paraId="74A5197B" w14:textId="77777777" w:rsidR="000C639F" w:rsidRPr="009615CF" w:rsidRDefault="000C639F" w:rsidP="000C639F">
      <w:pPr>
        <w:spacing w:line="276" w:lineRule="auto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表3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微生物指标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572"/>
        <w:gridCol w:w="2295"/>
        <w:gridCol w:w="1858"/>
      </w:tblGrid>
      <w:tr w:rsidR="000C639F" w:rsidRPr="000E454B" w14:paraId="13F00779" w14:textId="77777777" w:rsidTr="00E316FD">
        <w:tc>
          <w:tcPr>
            <w:tcW w:w="41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F8070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项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 xml:space="preserve">          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目</w:t>
            </w:r>
          </w:p>
        </w:tc>
        <w:tc>
          <w:tcPr>
            <w:tcW w:w="229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7F3329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指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 xml:space="preserve">         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标</w:t>
            </w:r>
          </w:p>
        </w:tc>
        <w:tc>
          <w:tcPr>
            <w:tcW w:w="185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DA8A15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检验方法</w:t>
            </w:r>
          </w:p>
        </w:tc>
      </w:tr>
      <w:tr w:rsidR="000C639F" w:rsidRPr="000E454B" w14:paraId="1CBF3459" w14:textId="77777777" w:rsidTr="00E316FD">
        <w:tc>
          <w:tcPr>
            <w:tcW w:w="3571" w:type="dxa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B5723" w14:textId="77777777" w:rsidR="000C639F" w:rsidRPr="009615CF" w:rsidRDefault="000C639F" w:rsidP="00E316FD">
            <w:pPr>
              <w:widowControl/>
              <w:spacing w:line="360" w:lineRule="atLeast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菌落总数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/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（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CFU/g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57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2AE409" w14:textId="77777777" w:rsidR="000C639F" w:rsidRPr="009615CF" w:rsidRDefault="000C639F" w:rsidP="00E316FD">
            <w:pPr>
              <w:widowControl/>
              <w:spacing w:line="360" w:lineRule="atLeast"/>
              <w:ind w:left="1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15CF">
              <w:rPr>
                <w:rFonts w:ascii="宋体" w:hAnsi="宋体"/>
                <w:kern w:val="0"/>
                <w:szCs w:val="21"/>
                <w:bdr w:val="none" w:sz="0" w:space="0" w:color="auto" w:frame="1"/>
              </w:rPr>
              <w:t>≤</w:t>
            </w:r>
          </w:p>
        </w:tc>
        <w:tc>
          <w:tcPr>
            <w:tcW w:w="229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7AECBD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10000</w:t>
            </w:r>
          </w:p>
        </w:tc>
        <w:tc>
          <w:tcPr>
            <w:tcW w:w="18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8BC5E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GB 4789.2</w:t>
            </w:r>
          </w:p>
        </w:tc>
      </w:tr>
      <w:tr w:rsidR="000C639F" w:rsidRPr="000E454B" w14:paraId="02F20BAA" w14:textId="77777777" w:rsidTr="00E316FD">
        <w:tc>
          <w:tcPr>
            <w:tcW w:w="3571" w:type="dxa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7F7C5" w14:textId="77777777" w:rsidR="000C639F" w:rsidRPr="009615CF" w:rsidRDefault="000C639F" w:rsidP="00E316FD">
            <w:pPr>
              <w:widowControl/>
              <w:spacing w:line="360" w:lineRule="atLeast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大肠菌群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/</w:t>
            </w:r>
            <w:r w:rsidRPr="009615CF">
              <w:rPr>
                <w:rFonts w:ascii="Times New Roman" w:hAnsi="Times New Roman" w:hint="eastAsia"/>
                <w:kern w:val="0"/>
                <w:szCs w:val="21"/>
                <w:bdr w:val="none" w:sz="0" w:space="0" w:color="auto" w:frame="1"/>
              </w:rPr>
              <w:t>（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MPN/100g</w:t>
            </w:r>
            <w:r w:rsidRPr="009615CF">
              <w:rPr>
                <w:rFonts w:ascii="Times New Roman" w:hAnsi="Times New Roman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57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F93EAB" w14:textId="77777777" w:rsidR="000C639F" w:rsidRPr="009615CF" w:rsidRDefault="000C639F" w:rsidP="00E316FD">
            <w:pPr>
              <w:widowControl/>
              <w:spacing w:line="360" w:lineRule="atLeast"/>
              <w:ind w:left="1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15CF">
              <w:rPr>
                <w:rFonts w:ascii="宋体" w:hAnsi="宋体"/>
                <w:kern w:val="0"/>
                <w:szCs w:val="21"/>
                <w:bdr w:val="none" w:sz="0" w:space="0" w:color="auto" w:frame="1"/>
              </w:rPr>
              <w:t>≤</w:t>
            </w:r>
          </w:p>
        </w:tc>
        <w:tc>
          <w:tcPr>
            <w:tcW w:w="229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61AEF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18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4237C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GB 4789.3</w:t>
            </w:r>
          </w:p>
        </w:tc>
      </w:tr>
      <w:tr w:rsidR="000C639F" w:rsidRPr="000E454B" w14:paraId="11473F57" w14:textId="77777777" w:rsidTr="00E316FD">
        <w:tc>
          <w:tcPr>
            <w:tcW w:w="3571" w:type="dxa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63467" w14:textId="77777777" w:rsidR="000C639F" w:rsidRPr="009615CF" w:rsidRDefault="000C639F" w:rsidP="00E316FD">
            <w:pPr>
              <w:widowControl/>
              <w:spacing w:line="360" w:lineRule="atLeast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沙门氏菌</w:t>
            </w:r>
          </w:p>
        </w:tc>
        <w:tc>
          <w:tcPr>
            <w:tcW w:w="57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051D60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4C111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 w:hint="eastAsia"/>
                <w:kern w:val="0"/>
                <w:szCs w:val="21"/>
                <w:bdr w:val="none" w:sz="0" w:space="0" w:color="auto" w:frame="1"/>
              </w:rPr>
              <w:t>0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/25g</w:t>
            </w:r>
          </w:p>
        </w:tc>
        <w:tc>
          <w:tcPr>
            <w:tcW w:w="18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F972B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GB 4789.4</w:t>
            </w:r>
          </w:p>
        </w:tc>
      </w:tr>
      <w:tr w:rsidR="000C639F" w:rsidRPr="000E454B" w14:paraId="099546F3" w14:textId="77777777" w:rsidTr="00E316FD">
        <w:tc>
          <w:tcPr>
            <w:tcW w:w="3571" w:type="dxa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55A39A" w14:textId="77777777" w:rsidR="000C639F" w:rsidRPr="009615CF" w:rsidRDefault="000C639F" w:rsidP="00E316FD">
            <w:pPr>
              <w:widowControl/>
              <w:spacing w:line="360" w:lineRule="atLeast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霉菌和酵母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/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（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CFU/g</w:t>
            </w: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57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723138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615CF">
              <w:rPr>
                <w:rFonts w:ascii="宋体" w:hAnsi="宋体"/>
                <w:kern w:val="0"/>
                <w:szCs w:val="21"/>
                <w:bdr w:val="none" w:sz="0" w:space="0" w:color="auto" w:frame="1"/>
              </w:rPr>
              <w:t>≤</w:t>
            </w:r>
          </w:p>
        </w:tc>
        <w:tc>
          <w:tcPr>
            <w:tcW w:w="229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D72F4C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400</w:t>
            </w:r>
          </w:p>
        </w:tc>
        <w:tc>
          <w:tcPr>
            <w:tcW w:w="18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3E5D7D" w14:textId="77777777" w:rsidR="000C639F" w:rsidRPr="009615CF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9615CF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GB 4789.15</w:t>
            </w:r>
          </w:p>
        </w:tc>
      </w:tr>
    </w:tbl>
    <w:p w14:paraId="3ECF9725" w14:textId="77777777" w:rsidR="000C639F" w:rsidRDefault="000C639F" w:rsidP="000C639F">
      <w:pPr>
        <w:spacing w:beforeLines="50" w:before="156" w:line="276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修改为：</w:t>
      </w:r>
    </w:p>
    <w:p w14:paraId="3CE62921" w14:textId="77777777" w:rsidR="000C639F" w:rsidRDefault="000C639F" w:rsidP="000C639F">
      <w:pPr>
        <w:spacing w:beforeLines="50" w:before="156" w:line="276" w:lineRule="auto"/>
        <w:jc w:val="center"/>
        <w:rPr>
          <w:rFonts w:hint="eastAsia"/>
          <w:noProof/>
        </w:rPr>
      </w:pPr>
      <w:r>
        <w:rPr>
          <w:rFonts w:ascii="黑体" w:eastAsia="黑体" w:hAnsi="黑体" w:hint="eastAsia"/>
        </w:rPr>
        <w:t>表3</w:t>
      </w:r>
      <w:r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微生物指标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577"/>
        <w:gridCol w:w="2339"/>
        <w:gridCol w:w="1895"/>
      </w:tblGrid>
      <w:tr w:rsidR="000C639F" w:rsidRPr="00DB3780" w14:paraId="6907CC75" w14:textId="77777777" w:rsidTr="00E316FD">
        <w:tc>
          <w:tcPr>
            <w:tcW w:w="415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4A3CA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项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 xml:space="preserve">          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目</w:t>
            </w:r>
          </w:p>
        </w:tc>
        <w:tc>
          <w:tcPr>
            <w:tcW w:w="227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CC5D30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指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 xml:space="preserve">         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标</w:t>
            </w:r>
          </w:p>
        </w:tc>
        <w:tc>
          <w:tcPr>
            <w:tcW w:w="186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FEE5A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检验方法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  <w:vertAlign w:val="superscript"/>
              </w:rPr>
              <w:t>a</w:t>
            </w:r>
          </w:p>
        </w:tc>
      </w:tr>
      <w:tr w:rsidR="000C639F" w:rsidRPr="00DB3780" w14:paraId="5980A914" w14:textId="77777777" w:rsidTr="00E316FD">
        <w:tc>
          <w:tcPr>
            <w:tcW w:w="3681" w:type="dxa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B9592" w14:textId="77777777" w:rsidR="000C639F" w:rsidRPr="00DB3780" w:rsidRDefault="000C639F" w:rsidP="00E316FD">
            <w:pPr>
              <w:widowControl/>
              <w:spacing w:line="360" w:lineRule="atLeast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菌落总数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/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（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CFU/g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476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E5DF8C" w14:textId="77777777" w:rsidR="000C639F" w:rsidRPr="00DB3780" w:rsidRDefault="000C639F" w:rsidP="00E316FD">
            <w:pPr>
              <w:widowControl/>
              <w:spacing w:line="360" w:lineRule="atLeast"/>
              <w:ind w:left="1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780">
              <w:rPr>
                <w:rFonts w:ascii="宋体" w:hAnsi="宋体"/>
                <w:kern w:val="0"/>
                <w:szCs w:val="21"/>
                <w:bdr w:val="none" w:sz="0" w:space="0" w:color="auto" w:frame="1"/>
              </w:rPr>
              <w:t>≤</w:t>
            </w:r>
          </w:p>
        </w:tc>
        <w:tc>
          <w:tcPr>
            <w:tcW w:w="227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BDF212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10000</w:t>
            </w:r>
          </w:p>
        </w:tc>
        <w:tc>
          <w:tcPr>
            <w:tcW w:w="18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C922E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GB 4789.2</w:t>
            </w:r>
          </w:p>
        </w:tc>
      </w:tr>
      <w:tr w:rsidR="000C639F" w:rsidRPr="00DB3780" w14:paraId="21ED66D6" w14:textId="77777777" w:rsidTr="00E316FD">
        <w:tc>
          <w:tcPr>
            <w:tcW w:w="3681" w:type="dxa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E35136" w14:textId="77777777" w:rsidR="000C639F" w:rsidRPr="00DB3780" w:rsidRDefault="000C639F" w:rsidP="00E316FD">
            <w:pPr>
              <w:widowControl/>
              <w:spacing w:line="360" w:lineRule="atLeast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大肠菌群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/</w:t>
            </w:r>
            <w:r w:rsidRPr="00DB3780">
              <w:rPr>
                <w:rFonts w:ascii="Times New Roman" w:hAnsi="Times New Roman" w:hint="eastAsia"/>
                <w:kern w:val="0"/>
                <w:szCs w:val="21"/>
                <w:bdr w:val="none" w:sz="0" w:space="0" w:color="auto" w:frame="1"/>
              </w:rPr>
              <w:t>（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CFU/g</w:t>
            </w:r>
            <w:r w:rsidRPr="00DB3780">
              <w:rPr>
                <w:rFonts w:ascii="Times New Roman" w:hAnsi="Times New Roman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476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AF6281" w14:textId="77777777" w:rsidR="000C639F" w:rsidRPr="00DB3780" w:rsidRDefault="000C639F" w:rsidP="00E316FD">
            <w:pPr>
              <w:widowControl/>
              <w:spacing w:line="360" w:lineRule="atLeast"/>
              <w:ind w:left="1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780">
              <w:rPr>
                <w:rFonts w:ascii="宋体" w:hAnsi="宋体" w:hint="eastAsia"/>
                <w:kern w:val="0"/>
                <w:szCs w:val="21"/>
                <w:bdr w:val="none" w:sz="0" w:space="0" w:color="auto" w:frame="1"/>
              </w:rPr>
              <w:t>＜</w:t>
            </w:r>
          </w:p>
        </w:tc>
        <w:tc>
          <w:tcPr>
            <w:tcW w:w="227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62B932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 w:hint="eastAsia"/>
                <w:kern w:val="0"/>
                <w:szCs w:val="21"/>
                <w:bdr w:val="none" w:sz="0" w:space="0" w:color="auto" w:frame="1"/>
              </w:rPr>
              <w:t>100</w:t>
            </w:r>
          </w:p>
        </w:tc>
        <w:tc>
          <w:tcPr>
            <w:tcW w:w="18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676DD6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GB 4789.3</w:t>
            </w:r>
          </w:p>
        </w:tc>
      </w:tr>
      <w:tr w:rsidR="000C639F" w:rsidRPr="00DB3780" w14:paraId="5F4D5D16" w14:textId="77777777" w:rsidTr="00E316FD">
        <w:tc>
          <w:tcPr>
            <w:tcW w:w="3681" w:type="dxa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8EED25" w14:textId="77777777" w:rsidR="000C639F" w:rsidRPr="00DB3780" w:rsidRDefault="000C639F" w:rsidP="00E316FD">
            <w:pPr>
              <w:widowControl/>
              <w:spacing w:line="360" w:lineRule="atLeast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沙门氏菌</w:t>
            </w:r>
            <w:r w:rsidRPr="00DB3780">
              <w:rPr>
                <w:rFonts w:ascii="Times New Roman" w:hAnsi="Times New Roman" w:hint="eastAsia"/>
                <w:kern w:val="0"/>
                <w:szCs w:val="21"/>
                <w:bdr w:val="none" w:sz="0" w:space="0" w:color="auto" w:frame="1"/>
                <w:vertAlign w:val="superscript"/>
              </w:rPr>
              <w:t>b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  <w:shd w:val="clear" w:color="auto" w:fill="FFFFFF"/>
              </w:rPr>
              <w:t>/g</w:t>
            </w:r>
          </w:p>
        </w:tc>
        <w:tc>
          <w:tcPr>
            <w:tcW w:w="476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2C7045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DBDA03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不得检出</w:t>
            </w:r>
          </w:p>
        </w:tc>
        <w:tc>
          <w:tcPr>
            <w:tcW w:w="18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781D9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GB 4789.4</w:t>
            </w:r>
          </w:p>
        </w:tc>
      </w:tr>
      <w:tr w:rsidR="000C639F" w:rsidRPr="00DB3780" w14:paraId="335FEB08" w14:textId="77777777" w:rsidTr="00E316FD">
        <w:tc>
          <w:tcPr>
            <w:tcW w:w="3681" w:type="dxa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F90D8E" w14:textId="77777777" w:rsidR="000C639F" w:rsidRPr="00DB3780" w:rsidRDefault="000C639F" w:rsidP="00E316FD">
            <w:pPr>
              <w:widowControl/>
              <w:spacing w:line="360" w:lineRule="atLeast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霉菌和酵母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/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（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CFU/g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476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9BE07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780">
              <w:rPr>
                <w:rFonts w:ascii="宋体" w:hAnsi="宋体"/>
                <w:kern w:val="0"/>
                <w:szCs w:val="21"/>
                <w:bdr w:val="none" w:sz="0" w:space="0" w:color="auto" w:frame="1"/>
              </w:rPr>
              <w:t>≤</w:t>
            </w:r>
          </w:p>
        </w:tc>
        <w:tc>
          <w:tcPr>
            <w:tcW w:w="227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4BEA48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400</w:t>
            </w:r>
          </w:p>
        </w:tc>
        <w:tc>
          <w:tcPr>
            <w:tcW w:w="18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7C0E4" w14:textId="77777777" w:rsidR="000C639F" w:rsidRPr="00DB3780" w:rsidRDefault="000C639F" w:rsidP="00E316FD">
            <w:pPr>
              <w:widowControl/>
              <w:spacing w:line="360" w:lineRule="atLeast"/>
              <w:jc w:val="center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GB 4789.15</w:t>
            </w:r>
          </w:p>
        </w:tc>
      </w:tr>
      <w:tr w:rsidR="000C639F" w:rsidRPr="00DB3780" w14:paraId="4C897CA6" w14:textId="77777777" w:rsidTr="00E316FD">
        <w:tc>
          <w:tcPr>
            <w:tcW w:w="0" w:type="auto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863A8" w14:textId="77777777" w:rsidR="000C639F" w:rsidRPr="00DB3780" w:rsidRDefault="000C639F" w:rsidP="00E316FD">
            <w:pPr>
              <w:widowControl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</w:pP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  <w:vertAlign w:val="superscript"/>
              </w:rPr>
              <w:t xml:space="preserve">a  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在无菌条件下，称取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1.0 g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试样，溶解于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100 mL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磷酸盐缓冲液或生理盐水中，制成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1:100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的样品匀液</w:t>
            </w:r>
            <w:r w:rsidRPr="00DB3780">
              <w:rPr>
                <w:rFonts w:ascii="Times New Roman" w:hAnsi="Times New Roman" w:hint="eastAsia"/>
                <w:kern w:val="0"/>
                <w:szCs w:val="21"/>
                <w:bdr w:val="none" w:sz="0" w:space="0" w:color="auto" w:frame="1"/>
              </w:rPr>
              <w:t>（沙门氏菌检验除外）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。</w:t>
            </w:r>
          </w:p>
          <w:p w14:paraId="7FA3DE06" w14:textId="77777777" w:rsidR="000C639F" w:rsidRPr="00DB3780" w:rsidRDefault="000C639F" w:rsidP="00E316FD">
            <w:pPr>
              <w:widowControl/>
              <w:ind w:firstLineChars="100" w:firstLine="210"/>
              <w:jc w:val="left"/>
              <w:rPr>
                <w:rFonts w:ascii="PingFangSC-Regular" w:hAnsi="PingFangSC-Regular" w:cs="宋体" w:hint="eastAsia"/>
                <w:kern w:val="0"/>
                <w:szCs w:val="21"/>
              </w:rPr>
            </w:pPr>
            <w:r w:rsidRPr="00DB3780">
              <w:rPr>
                <w:rFonts w:ascii="Times New Roman" w:hAnsi="Times New Roman" w:hint="eastAsia"/>
                <w:kern w:val="0"/>
                <w:szCs w:val="21"/>
                <w:bdr w:val="none" w:sz="0" w:space="0" w:color="auto" w:frame="1"/>
                <w:vertAlign w:val="superscript"/>
              </w:rPr>
              <w:t>b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  <w:vertAlign w:val="superscript"/>
              </w:rPr>
              <w:t xml:space="preserve">  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在无菌条件下，称取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1.0 g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试样，溶解于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 xml:space="preserve">100 mL </w:t>
            </w:r>
            <w:r w:rsidRPr="00DB3780">
              <w:rPr>
                <w:rFonts w:ascii="Times New Roman" w:hAnsi="Times New Roman" w:hint="eastAsia"/>
                <w:kern w:val="0"/>
                <w:szCs w:val="21"/>
                <w:bdr w:val="none" w:sz="0" w:space="0" w:color="auto" w:frame="1"/>
              </w:rPr>
              <w:t>B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PW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中，制成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1:100</w:t>
            </w:r>
            <w:r w:rsidRPr="00DB3780">
              <w:rPr>
                <w:rFonts w:ascii="Times New Roman" w:hAnsi="Times New Roman"/>
                <w:kern w:val="0"/>
                <w:szCs w:val="21"/>
                <w:bdr w:val="none" w:sz="0" w:space="0" w:color="auto" w:frame="1"/>
              </w:rPr>
              <w:t>的样品匀液。</w:t>
            </w:r>
          </w:p>
        </w:tc>
      </w:tr>
    </w:tbl>
    <w:p w14:paraId="19981FC8" w14:textId="77777777" w:rsidR="001E3882" w:rsidRDefault="00000000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三、征求意见情况</w:t>
      </w:r>
    </w:p>
    <w:p w14:paraId="5748AAA3" w14:textId="298513E9" w:rsidR="000C639F" w:rsidRDefault="000C639F" w:rsidP="000C639F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暂无。</w:t>
      </w:r>
    </w:p>
    <w:p w14:paraId="4AA01AC0" w14:textId="181D2555" w:rsidR="001E3882" w:rsidRDefault="00000000" w:rsidP="000C639F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四、审查情况</w:t>
      </w:r>
    </w:p>
    <w:p w14:paraId="7B2F23DE" w14:textId="5AC5E7CA" w:rsidR="001E3882" w:rsidRDefault="000C639F" w:rsidP="000C639F">
      <w:pPr>
        <w:spacing w:line="360" w:lineRule="auto"/>
        <w:ind w:firstLineChars="200" w:firstLine="420"/>
        <w:rPr>
          <w:rFonts w:ascii="Times New Roman" w:hAnsi="Times New Roman" w:hint="eastAsia"/>
          <w:szCs w:val="21"/>
        </w:rPr>
      </w:pPr>
      <w:r w:rsidRPr="000C639F">
        <w:rPr>
          <w:rFonts w:ascii="Times New Roman" w:hAnsi="Times New Roman" w:hint="eastAsia"/>
          <w:szCs w:val="21"/>
        </w:rPr>
        <w:t>暂无。</w:t>
      </w:r>
    </w:p>
    <w:sectPr w:rsidR="001E3882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C48D" w14:textId="77777777" w:rsidR="00EF2B4E" w:rsidRDefault="00EF2B4E" w:rsidP="00DB1068">
      <w:r>
        <w:separator/>
      </w:r>
    </w:p>
  </w:endnote>
  <w:endnote w:type="continuationSeparator" w:id="0">
    <w:p w14:paraId="58DA0838" w14:textId="77777777" w:rsidR="00EF2B4E" w:rsidRDefault="00EF2B4E" w:rsidP="00DB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A4A9" w14:textId="77777777" w:rsidR="00EF2B4E" w:rsidRDefault="00EF2B4E" w:rsidP="00DB1068">
      <w:r>
        <w:separator/>
      </w:r>
    </w:p>
  </w:footnote>
  <w:footnote w:type="continuationSeparator" w:id="0">
    <w:p w14:paraId="44B22FB8" w14:textId="77777777" w:rsidR="00EF2B4E" w:rsidRDefault="00EF2B4E" w:rsidP="00DB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k5MTYxZDgzYzU5ZmEzMzllMzE2YzZiN2IxOTI2YzAifQ=="/>
  </w:docVars>
  <w:rsids>
    <w:rsidRoot w:val="00C13D64"/>
    <w:rsid w:val="00005DC6"/>
    <w:rsid w:val="000110AD"/>
    <w:rsid w:val="00035CD5"/>
    <w:rsid w:val="000370CB"/>
    <w:rsid w:val="00043EE5"/>
    <w:rsid w:val="00050465"/>
    <w:rsid w:val="0005348B"/>
    <w:rsid w:val="0007094E"/>
    <w:rsid w:val="0007180E"/>
    <w:rsid w:val="00075E08"/>
    <w:rsid w:val="00084969"/>
    <w:rsid w:val="00090CCB"/>
    <w:rsid w:val="000C0D5E"/>
    <w:rsid w:val="000C639F"/>
    <w:rsid w:val="000D21D6"/>
    <w:rsid w:val="000E6555"/>
    <w:rsid w:val="00111116"/>
    <w:rsid w:val="00117932"/>
    <w:rsid w:val="00117CCF"/>
    <w:rsid w:val="00127CC8"/>
    <w:rsid w:val="00153298"/>
    <w:rsid w:val="001914B6"/>
    <w:rsid w:val="001A5F35"/>
    <w:rsid w:val="001B1701"/>
    <w:rsid w:val="001D227D"/>
    <w:rsid w:val="001D3D93"/>
    <w:rsid w:val="001E3882"/>
    <w:rsid w:val="002125BB"/>
    <w:rsid w:val="002514A4"/>
    <w:rsid w:val="002817E2"/>
    <w:rsid w:val="002966EA"/>
    <w:rsid w:val="002B0FB9"/>
    <w:rsid w:val="002B76B3"/>
    <w:rsid w:val="002D3A6E"/>
    <w:rsid w:val="002E5D3A"/>
    <w:rsid w:val="00327245"/>
    <w:rsid w:val="003476B6"/>
    <w:rsid w:val="00367EC7"/>
    <w:rsid w:val="0037575D"/>
    <w:rsid w:val="003834DE"/>
    <w:rsid w:val="0038425A"/>
    <w:rsid w:val="00394F18"/>
    <w:rsid w:val="003C6DCD"/>
    <w:rsid w:val="003D4DC2"/>
    <w:rsid w:val="003E47A7"/>
    <w:rsid w:val="003F2C5E"/>
    <w:rsid w:val="004047EA"/>
    <w:rsid w:val="004162A5"/>
    <w:rsid w:val="00430870"/>
    <w:rsid w:val="00431991"/>
    <w:rsid w:val="004430B9"/>
    <w:rsid w:val="0049104A"/>
    <w:rsid w:val="004B7423"/>
    <w:rsid w:val="004C6252"/>
    <w:rsid w:val="0050389F"/>
    <w:rsid w:val="005169D8"/>
    <w:rsid w:val="00526A57"/>
    <w:rsid w:val="005308E2"/>
    <w:rsid w:val="005331D1"/>
    <w:rsid w:val="005354F8"/>
    <w:rsid w:val="005632DD"/>
    <w:rsid w:val="005652A2"/>
    <w:rsid w:val="0058248A"/>
    <w:rsid w:val="0058594F"/>
    <w:rsid w:val="005C362C"/>
    <w:rsid w:val="005D69F5"/>
    <w:rsid w:val="005E21C9"/>
    <w:rsid w:val="005F2D4B"/>
    <w:rsid w:val="005F4E4A"/>
    <w:rsid w:val="00605B93"/>
    <w:rsid w:val="00614AF1"/>
    <w:rsid w:val="006305BE"/>
    <w:rsid w:val="00646B8F"/>
    <w:rsid w:val="0066365D"/>
    <w:rsid w:val="00681C29"/>
    <w:rsid w:val="00697130"/>
    <w:rsid w:val="006E0301"/>
    <w:rsid w:val="006F4C01"/>
    <w:rsid w:val="0073227A"/>
    <w:rsid w:val="0074353E"/>
    <w:rsid w:val="00765C84"/>
    <w:rsid w:val="0077784E"/>
    <w:rsid w:val="007D4101"/>
    <w:rsid w:val="0080373A"/>
    <w:rsid w:val="008041C5"/>
    <w:rsid w:val="008105CD"/>
    <w:rsid w:val="00812FBB"/>
    <w:rsid w:val="00854B2C"/>
    <w:rsid w:val="0086488F"/>
    <w:rsid w:val="008A1305"/>
    <w:rsid w:val="008B12A2"/>
    <w:rsid w:val="008D5284"/>
    <w:rsid w:val="008D7D2A"/>
    <w:rsid w:val="0091689A"/>
    <w:rsid w:val="00921919"/>
    <w:rsid w:val="009330D8"/>
    <w:rsid w:val="00945DEE"/>
    <w:rsid w:val="00956FF3"/>
    <w:rsid w:val="009824D4"/>
    <w:rsid w:val="00997E15"/>
    <w:rsid w:val="009A3D32"/>
    <w:rsid w:val="009E2D70"/>
    <w:rsid w:val="009E7E58"/>
    <w:rsid w:val="009F7465"/>
    <w:rsid w:val="00A108D1"/>
    <w:rsid w:val="00A13CB8"/>
    <w:rsid w:val="00A16D3A"/>
    <w:rsid w:val="00A222CB"/>
    <w:rsid w:val="00A43249"/>
    <w:rsid w:val="00A950F0"/>
    <w:rsid w:val="00AA2D52"/>
    <w:rsid w:val="00AB5DFD"/>
    <w:rsid w:val="00AD318F"/>
    <w:rsid w:val="00AF1FC9"/>
    <w:rsid w:val="00AF4A0F"/>
    <w:rsid w:val="00B16BEA"/>
    <w:rsid w:val="00B31598"/>
    <w:rsid w:val="00B51A66"/>
    <w:rsid w:val="00B61552"/>
    <w:rsid w:val="00B972BA"/>
    <w:rsid w:val="00BD19B7"/>
    <w:rsid w:val="00BE28F2"/>
    <w:rsid w:val="00BF5A0C"/>
    <w:rsid w:val="00C13D64"/>
    <w:rsid w:val="00C149ED"/>
    <w:rsid w:val="00C27673"/>
    <w:rsid w:val="00C30EA0"/>
    <w:rsid w:val="00C317E2"/>
    <w:rsid w:val="00C64400"/>
    <w:rsid w:val="00C84DA5"/>
    <w:rsid w:val="00C863ED"/>
    <w:rsid w:val="00CA6B3C"/>
    <w:rsid w:val="00CD685A"/>
    <w:rsid w:val="00CE713B"/>
    <w:rsid w:val="00CF6102"/>
    <w:rsid w:val="00D00CC7"/>
    <w:rsid w:val="00D51C8B"/>
    <w:rsid w:val="00D74399"/>
    <w:rsid w:val="00D826C9"/>
    <w:rsid w:val="00DB1068"/>
    <w:rsid w:val="00DC0AE4"/>
    <w:rsid w:val="00DC0E0D"/>
    <w:rsid w:val="00DF1B22"/>
    <w:rsid w:val="00DF34D4"/>
    <w:rsid w:val="00E4736B"/>
    <w:rsid w:val="00E52E28"/>
    <w:rsid w:val="00E54440"/>
    <w:rsid w:val="00E615FA"/>
    <w:rsid w:val="00E617D6"/>
    <w:rsid w:val="00E8616F"/>
    <w:rsid w:val="00E915F5"/>
    <w:rsid w:val="00EB4446"/>
    <w:rsid w:val="00EB54E1"/>
    <w:rsid w:val="00EF2B4E"/>
    <w:rsid w:val="00F43E6B"/>
    <w:rsid w:val="00F45204"/>
    <w:rsid w:val="00F631DC"/>
    <w:rsid w:val="00FA1191"/>
    <w:rsid w:val="00FC3369"/>
    <w:rsid w:val="00FC4369"/>
    <w:rsid w:val="00FE1348"/>
    <w:rsid w:val="00FE31C2"/>
    <w:rsid w:val="00FF6316"/>
    <w:rsid w:val="03DB1525"/>
    <w:rsid w:val="1CBA632D"/>
    <w:rsid w:val="1DD40BBF"/>
    <w:rsid w:val="2B626157"/>
    <w:rsid w:val="3D0B54B4"/>
    <w:rsid w:val="4ADF0844"/>
    <w:rsid w:val="4D047374"/>
    <w:rsid w:val="4D4F4D8D"/>
    <w:rsid w:val="61774342"/>
    <w:rsid w:val="67526854"/>
    <w:rsid w:val="722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7EE9CB"/>
  <w15:docId w15:val="{E56DF7F5-DF80-443A-84CE-627DDC8C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character" w:styleId="ae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character" w:customStyle="1" w:styleId="ad">
    <w:name w:val="批注主题 字符"/>
    <w:basedOn w:val="a4"/>
    <w:link w:val="ac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styleId="af">
    <w:name w:val="Revision"/>
    <w:hidden/>
    <w:uiPriority w:val="99"/>
    <w:semiHidden/>
    <w:rsid w:val="00DB106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《食品安全国家标准 食品用香精》（GB 30616-2014）</dc:title>
  <dc:creator>fg</dc:creator>
  <cp:lastModifiedBy>Admin</cp:lastModifiedBy>
  <cp:revision>2</cp:revision>
  <cp:lastPrinted>2015-10-09T03:28:00Z</cp:lastPrinted>
  <dcterms:created xsi:type="dcterms:W3CDTF">2023-04-04T04:44:00Z</dcterms:created>
  <dcterms:modified xsi:type="dcterms:W3CDTF">2023-04-04T04:44:00Z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FB5D9D1C3CD341C7AF1BEA8523098714</vt:lpwstr>
  </property>
</Properties>
</file>