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w:t>
      </w:r>
      <w:r>
        <w:rPr>
          <w:rFonts w:hint="eastAsia" w:ascii="黑体" w:hAnsi="黑体" w:eastAsia="黑体" w:cs="楷体"/>
          <w:color w:val="000000"/>
          <w:sz w:val="36"/>
          <w:szCs w:val="36"/>
        </w:rPr>
        <w:t xml:space="preserve">食品安全地方标准 </w:t>
      </w:r>
      <w:r>
        <w:rPr>
          <w:rFonts w:hint="eastAsia" w:ascii="黑体" w:hAnsi="黑体" w:eastAsia="黑体" w:cs="方正小标宋简体"/>
          <w:sz w:val="36"/>
          <w:szCs w:val="36"/>
        </w:rPr>
        <w:t>冰杨梅汁生产</w:t>
      </w:r>
      <w:r>
        <w:rPr>
          <w:rFonts w:hint="eastAsia" w:ascii="黑体" w:hAnsi="黑体" w:eastAsia="黑体" w:cs="方正小标宋简体"/>
          <w:sz w:val="36"/>
          <w:szCs w:val="36"/>
          <w:lang w:eastAsia="zh-CN"/>
        </w:rPr>
        <w:t>卫生</w:t>
      </w:r>
      <w:r>
        <w:rPr>
          <w:rFonts w:hint="eastAsia" w:ascii="黑体" w:hAnsi="黑体" w:eastAsia="黑体" w:cs="方正小标宋简体"/>
          <w:sz w:val="36"/>
          <w:szCs w:val="36"/>
        </w:rPr>
        <w:t>规范》</w:t>
      </w:r>
    </w:p>
    <w:p>
      <w:pPr>
        <w:spacing w:after="0"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编制说明</w:t>
      </w:r>
    </w:p>
    <w:p>
      <w:pPr>
        <w:spacing w:after="0" w:line="240" w:lineRule="auto"/>
        <w:jc w:val="center"/>
        <w:rPr>
          <w:rFonts w:ascii="黑体" w:hAnsi="黑体" w:eastAsia="黑体" w:cs="方正小标宋简体"/>
          <w:sz w:val="36"/>
          <w:szCs w:val="36"/>
        </w:rPr>
      </w:pPr>
    </w:p>
    <w:p>
      <w:pPr>
        <w:spacing w:before="104" w:line="187" w:lineRule="auto"/>
        <w:rPr>
          <w:rFonts w:ascii="黑体" w:hAnsi="黑体" w:eastAsia="黑体" w:cs="黑体"/>
          <w:sz w:val="32"/>
          <w:szCs w:val="32"/>
        </w:rPr>
      </w:pPr>
      <w:r>
        <w:rPr>
          <w:rFonts w:ascii="黑体" w:hAnsi="黑体" w:eastAsia="黑体" w:cs="黑体"/>
          <w:spacing w:val="-2"/>
          <w:sz w:val="32"/>
          <w:szCs w:val="32"/>
        </w:rPr>
        <w:t>一、标准制定的</w:t>
      </w:r>
      <w:r>
        <w:rPr>
          <w:rFonts w:hint="eastAsia" w:ascii="黑体" w:hAnsi="黑体" w:eastAsia="黑体" w:cs="黑体"/>
          <w:spacing w:val="-2"/>
          <w:sz w:val="32"/>
          <w:szCs w:val="32"/>
        </w:rPr>
        <w:t>背景</w:t>
      </w:r>
      <w:r>
        <w:rPr>
          <w:rFonts w:ascii="黑体" w:hAnsi="黑体" w:eastAsia="黑体" w:cs="黑体"/>
          <w:spacing w:val="-2"/>
          <w:sz w:val="32"/>
          <w:szCs w:val="32"/>
        </w:rPr>
        <w:t>和意义</w:t>
      </w:r>
    </w:p>
    <w:p>
      <w:pPr>
        <w:pStyle w:val="12"/>
        <w:shd w:val="clear" w:color="auto" w:fill="FFFFFF"/>
        <w:spacing w:before="0" w:beforeAutospacing="0" w:after="0" w:afterAutospacing="0" w:line="312" w:lineRule="auto"/>
        <w:ind w:firstLine="482"/>
        <w:rPr>
          <w:rFonts w:ascii="仿宋_GB2312" w:eastAsia="仿宋_GB2312" w:cs="仿宋_GB2312"/>
          <w:color w:val="231F20"/>
          <w:sz w:val="31"/>
          <w:szCs w:val="31"/>
        </w:rPr>
      </w:pPr>
      <w:r>
        <w:rPr>
          <w:rFonts w:hint="eastAsia" w:ascii="仿宋_GB2312" w:eastAsia="仿宋_GB2312" w:cs="仿宋_GB2312"/>
          <w:color w:val="231F20"/>
          <w:sz w:val="31"/>
          <w:szCs w:val="31"/>
        </w:rPr>
        <w:t xml:space="preserve"> </w:t>
      </w:r>
      <w:r>
        <w:rPr>
          <w:rFonts w:ascii="仿宋_GB2312" w:eastAsia="仿宋_GB2312" w:cs="仿宋_GB2312"/>
          <w:color w:val="231F20"/>
          <w:sz w:val="31"/>
          <w:szCs w:val="31"/>
        </w:rPr>
        <w:t>杨梅（Myrica rubra (Lour.) Sieb. et Zucc）</w:t>
      </w:r>
      <w:r>
        <w:rPr>
          <w:rFonts w:hint="eastAsia" w:ascii="仿宋_GB2312" w:eastAsia="仿宋_GB2312" w:cs="仿宋_GB2312"/>
          <w:color w:val="231F20"/>
          <w:sz w:val="31"/>
          <w:szCs w:val="31"/>
        </w:rPr>
        <w:t>为杨梅科杨梅属常绿乔木植物，</w:t>
      </w:r>
      <w:r>
        <w:rPr>
          <w:rFonts w:ascii="仿宋_GB2312" w:eastAsia="仿宋_GB2312" w:cs="仿宋_GB2312"/>
          <w:color w:val="231F20"/>
          <w:sz w:val="31"/>
          <w:szCs w:val="31"/>
        </w:rPr>
        <w:t>在贵州</w:t>
      </w:r>
      <w:r>
        <w:rPr>
          <w:rFonts w:hint="eastAsia" w:ascii="仿宋_GB2312" w:eastAsia="仿宋_GB2312" w:cs="仿宋_GB2312"/>
          <w:color w:val="231F20"/>
          <w:sz w:val="31"/>
          <w:szCs w:val="31"/>
        </w:rPr>
        <w:t>、浙江、</w:t>
      </w:r>
      <w:r>
        <w:rPr>
          <w:rFonts w:ascii="仿宋_GB2312" w:eastAsia="仿宋_GB2312" w:cs="仿宋_GB2312"/>
          <w:color w:val="231F20"/>
          <w:sz w:val="31"/>
          <w:szCs w:val="31"/>
        </w:rPr>
        <w:t>广西</w:t>
      </w:r>
      <w:r>
        <w:rPr>
          <w:rFonts w:hint="eastAsia" w:ascii="仿宋_GB2312" w:eastAsia="仿宋_GB2312" w:cs="仿宋_GB2312"/>
          <w:color w:val="231F20"/>
          <w:sz w:val="31"/>
          <w:szCs w:val="31"/>
        </w:rPr>
        <w:t>、湖南、福建</w:t>
      </w:r>
      <w:r>
        <w:rPr>
          <w:rFonts w:ascii="仿宋_GB2312" w:eastAsia="仿宋_GB2312" w:cs="仿宋_GB2312"/>
          <w:color w:val="231F20"/>
          <w:sz w:val="31"/>
          <w:szCs w:val="31"/>
        </w:rPr>
        <w:t>等地区均有分布。杨梅</w:t>
      </w:r>
      <w:r>
        <w:rPr>
          <w:rFonts w:hint="eastAsia" w:ascii="仿宋_GB2312" w:eastAsia="仿宋_GB2312" w:cs="仿宋_GB2312"/>
          <w:color w:val="231F20"/>
          <w:sz w:val="31"/>
          <w:szCs w:val="31"/>
        </w:rPr>
        <w:t>风味浓郁独特、液汁丰富、酸甜可口，</w:t>
      </w:r>
      <w:r>
        <w:rPr>
          <w:rFonts w:ascii="仿宋_GB2312" w:eastAsia="仿宋_GB2312" w:cs="仿宋_GB2312"/>
          <w:color w:val="231F20"/>
          <w:sz w:val="31"/>
          <w:szCs w:val="31"/>
        </w:rPr>
        <w:t>有止渴、生津、助消化等</w:t>
      </w:r>
      <w:r>
        <w:rPr>
          <w:rFonts w:hint="eastAsia" w:ascii="仿宋_GB2312" w:eastAsia="仿宋_GB2312" w:cs="仿宋_GB2312"/>
          <w:color w:val="231F20"/>
          <w:sz w:val="31"/>
          <w:szCs w:val="31"/>
        </w:rPr>
        <w:t>功效，深受广大消费者的喜爱。由于杨梅成熟于高温多雨季节（端午节前后），无外皮包裹，食用期短，不易储存。将杨梅加工成杨梅汁，冷冻储存，方便食用又能保持杨梅原有的风味和营养，解决了杨梅市场的出路。目前国内市场上，生产冰杨梅汁的厂家多在贵州和浙江，在我省内有十余个企业在生产销售冰杨梅汁。目前，并无适合于冰杨梅汁产品卫生要求和质量安全的统一性标准。</w:t>
      </w:r>
    </w:p>
    <w:p>
      <w:pPr>
        <w:spacing w:after="4" w:line="312" w:lineRule="auto"/>
        <w:ind w:left="11" w:right="215" w:firstLine="620" w:firstLineChars="200"/>
        <w:contextualSpacing/>
        <w:jc w:val="left"/>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冰杨梅汁是</w:t>
      </w:r>
      <w:bookmarkStart w:id="0" w:name="_Toc129866605"/>
      <w:r>
        <w:rPr>
          <w:rFonts w:hint="eastAsia" w:ascii="仿宋_GB2312" w:hAnsi="宋体" w:eastAsia="仿宋_GB2312" w:cs="仿宋_GB2312"/>
          <w:color w:val="231F20"/>
          <w:kern w:val="0"/>
          <w:sz w:val="31"/>
          <w:szCs w:val="31"/>
        </w:rPr>
        <w:t>以新鲜杨梅为原料，可预先冷冻贮存后（≤-15℃），经清洗、熬煮、过滤、灭菌、灌装、冷冻贮存等工艺制成，未添加防腐剂，果汁含量≥40%的杨梅汁液制品</w:t>
      </w:r>
      <w:bookmarkEnd w:id="0"/>
      <w:r>
        <w:rPr>
          <w:rFonts w:hint="eastAsia" w:ascii="仿宋_GB2312" w:hAnsi="宋体" w:eastAsia="仿宋_GB2312" w:cs="仿宋_GB2312"/>
          <w:color w:val="231F20"/>
          <w:kern w:val="0"/>
          <w:sz w:val="31"/>
          <w:szCs w:val="31"/>
        </w:rPr>
        <w:t>。GB 7101-20</w:t>
      </w:r>
      <w:r>
        <w:rPr>
          <w:rFonts w:hint="eastAsia" w:ascii="仿宋_GB2312" w:hAnsi="宋体" w:eastAsia="仿宋_GB2312" w:cs="仿宋_GB2312"/>
          <w:color w:val="231F20"/>
          <w:kern w:val="0"/>
          <w:sz w:val="31"/>
          <w:szCs w:val="31"/>
          <w:lang w:val="en-US" w:eastAsia="zh-CN"/>
        </w:rPr>
        <w:t>22</w:t>
      </w:r>
      <w:r>
        <w:rPr>
          <w:rFonts w:hint="eastAsia" w:ascii="仿宋_GB2312" w:hAnsi="宋体" w:eastAsia="仿宋_GB2312" w:cs="仿宋_GB2312"/>
          <w:color w:val="231F20"/>
          <w:kern w:val="0"/>
          <w:sz w:val="31"/>
          <w:szCs w:val="31"/>
        </w:rPr>
        <w:t xml:space="preserve">《食品安全国家标准 饮料》是一项基础性国家标准，没有具体的细化分类。GB/T </w:t>
      </w:r>
      <w:r>
        <w:rPr>
          <w:rFonts w:hint="eastAsia" w:ascii="仿宋_GB2312" w:hAnsi="宋体" w:eastAsia="仿宋_GB2312" w:cs="仿宋_GB2312"/>
          <w:color w:val="231F20"/>
          <w:kern w:val="0"/>
          <w:sz w:val="31"/>
          <w:szCs w:val="31"/>
          <w:lang w:val="en-US" w:eastAsia="zh-CN"/>
        </w:rPr>
        <w:t xml:space="preserve"> </w:t>
      </w:r>
      <w:r>
        <w:rPr>
          <w:rFonts w:hint="eastAsia" w:ascii="仿宋_GB2312" w:hAnsi="宋体" w:eastAsia="仿宋_GB2312" w:cs="仿宋_GB2312"/>
          <w:color w:val="231F20"/>
          <w:kern w:val="0"/>
          <w:sz w:val="31"/>
          <w:szCs w:val="31"/>
        </w:rPr>
        <w:t>31121—2014《果蔬汁类及其饮料》中果蔬汁（浆）类饮料是以果汁（浆）、蔬菜汁（浆）、水为原料加工制成。上述两个标准是对常温饮料的要求，其果汁含量是在15%左右，在产品中可以使用防腐剂，对原料和产品均无需冷冻贮存。冰杨梅汁是以冷冻的新鲜杨梅、水、白砂糖为原料，果汁含量大于40%，鲜果原料和产品均是冷冻贮存，且鲜果是采摘后及时运输至厂家冷冻锁鲜。上述两个标准不能突出冰杨梅汁的</w:t>
      </w:r>
      <w:r>
        <w:rPr>
          <w:rFonts w:hint="eastAsia" w:ascii="仿宋_GB2312" w:hAnsi="宋体" w:eastAsia="仿宋_GB2312" w:cs="仿宋_GB2312"/>
          <w:color w:val="231F20"/>
          <w:kern w:val="0"/>
          <w:sz w:val="31"/>
          <w:szCs w:val="31"/>
          <w:lang w:eastAsia="zh-CN"/>
        </w:rPr>
        <w:t>特色</w:t>
      </w:r>
      <w:r>
        <w:rPr>
          <w:rFonts w:hint="eastAsia" w:ascii="仿宋_GB2312" w:hAnsi="宋体" w:eastAsia="仿宋_GB2312" w:cs="仿宋_GB2312"/>
          <w:color w:val="231F20"/>
          <w:kern w:val="0"/>
          <w:sz w:val="31"/>
          <w:szCs w:val="31"/>
        </w:rPr>
        <w:t>。</w:t>
      </w:r>
    </w:p>
    <w:p>
      <w:pPr>
        <w:spacing w:line="312" w:lineRule="auto"/>
        <w:ind w:firstLine="620" w:firstLineChars="200"/>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冰杨梅汁深受广大消费者的喜爱，但是长期以来没有冰杨梅汁的生产规范，各生产企业的规范化、规模化、产业化的发展程度不同，各企业所用执行标准不一，如果制定相关生产规范，指导</w:t>
      </w:r>
      <w:r>
        <w:rPr>
          <w:rFonts w:hint="eastAsia" w:ascii="仿宋_GB2312" w:hAnsi="宋体" w:eastAsia="仿宋_GB2312" w:cs="仿宋_GB2312"/>
          <w:color w:val="231F20"/>
          <w:kern w:val="0"/>
          <w:sz w:val="31"/>
          <w:szCs w:val="31"/>
          <w:lang w:eastAsia="zh-CN"/>
        </w:rPr>
        <w:t>、</w:t>
      </w:r>
      <w:r>
        <w:rPr>
          <w:rFonts w:hint="eastAsia" w:ascii="仿宋_GB2312" w:hAnsi="宋体" w:eastAsia="仿宋_GB2312" w:cs="仿宋_GB2312"/>
          <w:color w:val="231F20"/>
          <w:kern w:val="0"/>
          <w:sz w:val="31"/>
          <w:szCs w:val="31"/>
        </w:rPr>
        <w:t>规范冰杨梅汁生产企业规范化生产，可以</w:t>
      </w:r>
      <w:r>
        <w:rPr>
          <w:rFonts w:ascii="仿宋_GB2312" w:hAnsi="宋体" w:eastAsia="仿宋_GB2312" w:cs="仿宋_GB2312"/>
          <w:color w:val="231F20"/>
          <w:kern w:val="0"/>
          <w:sz w:val="31"/>
          <w:szCs w:val="31"/>
        </w:rPr>
        <w:t>促</w:t>
      </w:r>
      <w:r>
        <w:rPr>
          <w:rFonts w:hint="eastAsia" w:ascii="仿宋_GB2312" w:hAnsi="宋体" w:eastAsia="仿宋_GB2312" w:cs="仿宋_GB2312"/>
          <w:color w:val="231F20"/>
          <w:kern w:val="0"/>
          <w:sz w:val="31"/>
          <w:szCs w:val="31"/>
        </w:rPr>
        <w:t>进</w:t>
      </w:r>
      <w:r>
        <w:rPr>
          <w:rFonts w:ascii="仿宋_GB2312" w:hAnsi="宋体" w:eastAsia="仿宋_GB2312" w:cs="仿宋_GB2312"/>
          <w:color w:val="231F20"/>
          <w:kern w:val="0"/>
          <w:sz w:val="31"/>
          <w:szCs w:val="31"/>
        </w:rPr>
        <w:t>我省特色产业</w:t>
      </w:r>
      <w:r>
        <w:rPr>
          <w:rFonts w:hint="eastAsia" w:ascii="仿宋_GB2312" w:hAnsi="宋体" w:eastAsia="仿宋_GB2312" w:cs="仿宋_GB2312"/>
          <w:color w:val="231F20"/>
          <w:kern w:val="0"/>
          <w:sz w:val="31"/>
          <w:szCs w:val="31"/>
        </w:rPr>
        <w:t>的</w:t>
      </w:r>
      <w:r>
        <w:rPr>
          <w:rFonts w:ascii="仿宋_GB2312" w:hAnsi="宋体" w:eastAsia="仿宋_GB2312" w:cs="仿宋_GB2312"/>
          <w:color w:val="231F20"/>
          <w:kern w:val="0"/>
          <w:sz w:val="31"/>
          <w:szCs w:val="31"/>
        </w:rPr>
        <w:t>健康发展，</w:t>
      </w:r>
      <w:r>
        <w:rPr>
          <w:rFonts w:hint="eastAsia" w:ascii="仿宋_GB2312" w:hAnsi="宋体" w:eastAsia="仿宋_GB2312" w:cs="仿宋_GB2312"/>
          <w:color w:val="231F20"/>
          <w:kern w:val="0"/>
          <w:sz w:val="31"/>
          <w:szCs w:val="31"/>
        </w:rPr>
        <w:t>方便企业的生产经营，提高我省冰杨梅汁企业的市场竞争力，制定该标准规范生产企业的生产工艺和出厂质量，为</w:t>
      </w:r>
      <w:r>
        <w:rPr>
          <w:rFonts w:ascii="仿宋_GB2312" w:hAnsi="宋体" w:eastAsia="仿宋_GB2312" w:cs="仿宋_GB2312"/>
          <w:color w:val="231F20"/>
          <w:kern w:val="0"/>
          <w:sz w:val="31"/>
          <w:szCs w:val="31"/>
        </w:rPr>
        <w:t>我省</w:t>
      </w:r>
      <w:r>
        <w:rPr>
          <w:rFonts w:hint="eastAsia" w:ascii="仿宋_GB2312" w:hAnsi="宋体" w:eastAsia="仿宋_GB2312" w:cs="仿宋_GB2312"/>
          <w:color w:val="231F20"/>
          <w:kern w:val="0"/>
          <w:sz w:val="31"/>
          <w:szCs w:val="31"/>
        </w:rPr>
        <w:t>冰杨梅汁产品的</w:t>
      </w:r>
      <w:r>
        <w:rPr>
          <w:rFonts w:ascii="仿宋_GB2312" w:hAnsi="宋体" w:eastAsia="仿宋_GB2312" w:cs="仿宋_GB2312"/>
          <w:color w:val="231F20"/>
          <w:kern w:val="0"/>
          <w:sz w:val="31"/>
          <w:szCs w:val="31"/>
        </w:rPr>
        <w:t>生产</w:t>
      </w:r>
      <w:r>
        <w:rPr>
          <w:rFonts w:hint="eastAsia" w:ascii="仿宋_GB2312" w:hAnsi="宋体" w:eastAsia="仿宋_GB2312" w:cs="仿宋_GB2312"/>
          <w:color w:val="231F20"/>
          <w:kern w:val="0"/>
          <w:sz w:val="31"/>
          <w:szCs w:val="31"/>
        </w:rPr>
        <w:t>、</w:t>
      </w:r>
      <w:r>
        <w:rPr>
          <w:rFonts w:ascii="仿宋_GB2312" w:hAnsi="宋体" w:eastAsia="仿宋_GB2312" w:cs="仿宋_GB2312"/>
          <w:color w:val="231F20"/>
          <w:kern w:val="0"/>
          <w:sz w:val="31"/>
          <w:szCs w:val="31"/>
        </w:rPr>
        <w:t>监督</w:t>
      </w:r>
      <w:r>
        <w:rPr>
          <w:rFonts w:hint="eastAsia" w:ascii="仿宋_GB2312" w:hAnsi="宋体" w:eastAsia="仿宋_GB2312" w:cs="仿宋_GB2312"/>
          <w:color w:val="231F20"/>
          <w:kern w:val="0"/>
          <w:sz w:val="31"/>
          <w:szCs w:val="31"/>
        </w:rPr>
        <w:t>、</w:t>
      </w:r>
      <w:r>
        <w:rPr>
          <w:rFonts w:ascii="仿宋_GB2312" w:hAnsi="宋体" w:eastAsia="仿宋_GB2312" w:cs="仿宋_GB2312"/>
          <w:color w:val="231F20"/>
          <w:kern w:val="0"/>
          <w:sz w:val="31"/>
          <w:szCs w:val="31"/>
        </w:rPr>
        <w:t>管理</w:t>
      </w:r>
      <w:r>
        <w:rPr>
          <w:rFonts w:hint="eastAsia" w:ascii="仿宋_GB2312" w:hAnsi="宋体" w:eastAsia="仿宋_GB2312" w:cs="仿宋_GB2312"/>
          <w:color w:val="231F20"/>
          <w:kern w:val="0"/>
          <w:sz w:val="31"/>
          <w:szCs w:val="31"/>
        </w:rPr>
        <w:t>提供</w:t>
      </w:r>
      <w:r>
        <w:rPr>
          <w:rFonts w:ascii="仿宋_GB2312" w:hAnsi="宋体" w:eastAsia="仿宋_GB2312" w:cs="仿宋_GB2312"/>
          <w:color w:val="231F20"/>
          <w:kern w:val="0"/>
          <w:sz w:val="31"/>
          <w:szCs w:val="31"/>
        </w:rPr>
        <w:t>技术依据</w:t>
      </w:r>
      <w:r>
        <w:rPr>
          <w:rFonts w:hint="eastAsia" w:ascii="仿宋_GB2312" w:hAnsi="宋体" w:eastAsia="仿宋_GB2312" w:cs="仿宋_GB2312"/>
          <w:color w:val="231F20"/>
          <w:kern w:val="0"/>
          <w:sz w:val="31"/>
          <w:szCs w:val="31"/>
        </w:rPr>
        <w:t>，并推进我省特色</w:t>
      </w:r>
      <w:r>
        <w:rPr>
          <w:rFonts w:ascii="仿宋_GB2312" w:hAnsi="宋体" w:eastAsia="仿宋_GB2312" w:cs="仿宋_GB2312"/>
          <w:color w:val="231F20"/>
          <w:kern w:val="0"/>
          <w:sz w:val="31"/>
          <w:szCs w:val="31"/>
        </w:rPr>
        <w:t>产品</w:t>
      </w:r>
      <w:r>
        <w:rPr>
          <w:rFonts w:hint="eastAsia" w:ascii="仿宋_GB2312" w:hAnsi="宋体" w:eastAsia="仿宋_GB2312" w:cs="仿宋_GB2312"/>
          <w:color w:val="231F20"/>
          <w:kern w:val="0"/>
          <w:sz w:val="31"/>
          <w:szCs w:val="31"/>
        </w:rPr>
        <w:t>的高质量发展。</w:t>
      </w:r>
    </w:p>
    <w:p>
      <w:pPr>
        <w:spacing w:before="232" w:line="187" w:lineRule="auto"/>
        <w:ind w:firstLine="660"/>
        <w:rPr>
          <w:rFonts w:ascii="宋体"/>
        </w:rPr>
      </w:pPr>
      <w:r>
        <w:rPr>
          <w:rFonts w:ascii="黑体" w:hAnsi="黑体" w:eastAsia="黑体" w:cs="黑体"/>
          <w:spacing w:val="-3"/>
          <w:sz w:val="32"/>
          <w:szCs w:val="32"/>
        </w:rPr>
        <w:t>二、任务来源</w:t>
      </w:r>
    </w:p>
    <w:p>
      <w:pPr>
        <w:widowControl/>
        <w:spacing w:line="312" w:lineRule="auto"/>
        <w:ind w:firstLine="620" w:firstLineChars="200"/>
        <w:jc w:val="left"/>
        <w:rPr>
          <w:rFonts w:ascii="仿宋_GB2312" w:hAnsi="宋体" w:eastAsia="仿宋_GB2312" w:cs="仿宋_GB2312"/>
          <w:color w:val="231F20"/>
          <w:kern w:val="0"/>
          <w:sz w:val="31"/>
          <w:szCs w:val="31"/>
        </w:rPr>
      </w:pPr>
      <w:r>
        <w:rPr>
          <w:rFonts w:ascii="仿宋_GB2312" w:hAnsi="宋体" w:eastAsia="仿宋_GB2312" w:cs="仿宋_GB2312"/>
          <w:color w:val="231F20"/>
          <w:kern w:val="0"/>
          <w:sz w:val="31"/>
          <w:szCs w:val="31"/>
        </w:rPr>
        <w:t>202</w:t>
      </w:r>
      <w:r>
        <w:rPr>
          <w:rFonts w:hint="eastAsia" w:ascii="仿宋_GB2312" w:hAnsi="宋体" w:eastAsia="仿宋_GB2312" w:cs="仿宋_GB2312"/>
          <w:color w:val="231F20"/>
          <w:kern w:val="0"/>
          <w:sz w:val="31"/>
          <w:szCs w:val="31"/>
        </w:rPr>
        <w:t>2</w:t>
      </w:r>
      <w:r>
        <w:rPr>
          <w:rFonts w:ascii="仿宋_GB2312" w:hAnsi="宋体" w:eastAsia="仿宋_GB2312" w:cs="仿宋_GB2312"/>
          <w:color w:val="231F20"/>
          <w:kern w:val="0"/>
          <w:sz w:val="31"/>
          <w:szCs w:val="31"/>
        </w:rPr>
        <w:t xml:space="preserve"> 年</w:t>
      </w:r>
      <w:r>
        <w:rPr>
          <w:rFonts w:hint="eastAsia" w:ascii="仿宋_GB2312" w:hAnsi="宋体" w:eastAsia="仿宋_GB2312" w:cs="仿宋_GB2312"/>
          <w:color w:val="231F20"/>
          <w:kern w:val="0"/>
          <w:sz w:val="31"/>
          <w:szCs w:val="31"/>
        </w:rPr>
        <w:t>7</w:t>
      </w:r>
      <w:r>
        <w:rPr>
          <w:rFonts w:ascii="仿宋_GB2312" w:hAnsi="宋体" w:eastAsia="仿宋_GB2312" w:cs="仿宋_GB2312"/>
          <w:color w:val="231F20"/>
          <w:kern w:val="0"/>
          <w:sz w:val="31"/>
          <w:szCs w:val="31"/>
        </w:rPr>
        <w:t>月</w:t>
      </w:r>
      <w:r>
        <w:rPr>
          <w:rFonts w:hint="eastAsia" w:ascii="仿宋_GB2312" w:hAnsi="宋体" w:eastAsia="仿宋_GB2312" w:cs="仿宋_GB2312"/>
          <w:color w:val="231F20"/>
          <w:kern w:val="0"/>
          <w:sz w:val="31"/>
          <w:szCs w:val="31"/>
        </w:rPr>
        <w:t>21</w:t>
      </w:r>
      <w:r>
        <w:rPr>
          <w:rFonts w:ascii="仿宋_GB2312" w:hAnsi="宋体" w:eastAsia="仿宋_GB2312" w:cs="仿宋_GB2312"/>
          <w:color w:val="231F20"/>
          <w:kern w:val="0"/>
          <w:sz w:val="31"/>
          <w:szCs w:val="31"/>
        </w:rPr>
        <w:t>日，贵州省卫健委组织贵州省食品安全相关监管部门和贵州省食品安全地方标准审评</w:t>
      </w:r>
      <w:r>
        <w:rPr>
          <w:rFonts w:hint="eastAsia" w:ascii="仿宋_GB2312" w:hAnsi="宋体" w:eastAsia="仿宋_GB2312" w:cs="仿宋_GB2312"/>
          <w:color w:val="231F20"/>
          <w:kern w:val="0"/>
          <w:sz w:val="31"/>
          <w:szCs w:val="31"/>
        </w:rPr>
        <w:t>委员会相关专家</w:t>
      </w:r>
      <w:r>
        <w:rPr>
          <w:rFonts w:ascii="仿宋_GB2312" w:hAnsi="宋体" w:eastAsia="仿宋_GB2312" w:cs="仿宋_GB2312"/>
          <w:color w:val="231F20"/>
          <w:kern w:val="0"/>
          <w:sz w:val="31"/>
          <w:szCs w:val="31"/>
        </w:rPr>
        <w:t>对2022年申请的16</w:t>
      </w:r>
      <w:r>
        <w:rPr>
          <w:rFonts w:hint="eastAsia" w:ascii="仿宋_GB2312" w:hAnsi="宋体" w:eastAsia="仿宋_GB2312" w:cs="仿宋_GB2312"/>
          <w:color w:val="231F20"/>
          <w:kern w:val="0"/>
          <w:sz w:val="31"/>
          <w:szCs w:val="31"/>
        </w:rPr>
        <w:t>项食品安全地方标准立项报告进行审评。2022年10月27日，根据《省卫生健康委关于开展贵州省2022年食品安全地方标准制定工作的通知》，准予《冰杨梅汁生产卫生规范》等标准申请项目立项。</w:t>
      </w:r>
    </w:p>
    <w:p>
      <w:pPr>
        <w:numPr>
          <w:ilvl w:val="0"/>
          <w:numId w:val="1"/>
        </w:numPr>
        <w:spacing w:before="232" w:line="187" w:lineRule="auto"/>
        <w:ind w:firstLine="650"/>
        <w:rPr>
          <w:rFonts w:ascii="黑体" w:hAnsi="黑体" w:eastAsia="黑体" w:cs="黑体"/>
          <w:spacing w:val="-3"/>
          <w:sz w:val="32"/>
          <w:szCs w:val="32"/>
        </w:rPr>
      </w:pPr>
      <w:r>
        <w:rPr>
          <w:rFonts w:ascii="黑体" w:hAnsi="黑体" w:eastAsia="黑体" w:cs="黑体"/>
          <w:spacing w:val="-3"/>
          <w:sz w:val="32"/>
          <w:szCs w:val="32"/>
        </w:rPr>
        <w:t>主要工作过程</w:t>
      </w:r>
    </w:p>
    <w:p>
      <w:pPr>
        <w:widowControl/>
        <w:spacing w:after="0" w:line="312" w:lineRule="auto"/>
        <w:ind w:firstLine="620" w:firstLineChars="200"/>
        <w:jc w:val="left"/>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（一）在2022年5月到贵州玉梦食品(集团)有限公司</w:t>
      </w:r>
      <w:r>
        <w:rPr>
          <w:rFonts w:hint="eastAsia" w:ascii="仿宋_GB2312" w:hAnsi="宋体" w:eastAsia="仿宋_GB2312" w:cs="仿宋_GB2312"/>
          <w:color w:val="231F20"/>
          <w:kern w:val="0"/>
          <w:sz w:val="31"/>
          <w:szCs w:val="31"/>
          <w:lang w:eastAsia="zh-CN"/>
        </w:rPr>
        <w:t>、贵州蚩尤世家饮品科技有限公司</w:t>
      </w:r>
      <w:r>
        <w:rPr>
          <w:rFonts w:hint="eastAsia" w:ascii="仿宋_GB2312" w:hAnsi="宋体" w:eastAsia="仿宋_GB2312" w:cs="仿宋_GB2312"/>
          <w:color w:val="231F20"/>
          <w:kern w:val="0"/>
          <w:sz w:val="31"/>
          <w:szCs w:val="31"/>
        </w:rPr>
        <w:t>和贵州智勇食品有限公司调研，了解其冰杨梅汁产业现状、生产工艺流程、生产设备、包装要求、贮存运输条件等信息，为该标准的申请立项做了前期工作。</w:t>
      </w:r>
    </w:p>
    <w:p>
      <w:pPr>
        <w:spacing w:after="0" w:line="312" w:lineRule="auto"/>
        <w:ind w:firstLine="620" w:firstLineChars="200"/>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（二）标准的编制工作从 2022 年 10 月开始， 由贵州玉梦食品（集团）有限公司、贵州省食品检验检测院、贵州省产品质量检验检测院牵头成立编制小组，邀请省内相关单位参与制订。通过合作企业的实地调研，结合GB 14881-2</w:t>
      </w:r>
      <w:r>
        <w:rPr>
          <w:rFonts w:hint="eastAsia" w:ascii="仿宋_GB2312" w:hAnsi="宋体" w:eastAsia="仿宋_GB2312" w:cs="仿宋_GB2312"/>
          <w:kern w:val="0"/>
          <w:sz w:val="31"/>
          <w:szCs w:val="31"/>
        </w:rPr>
        <w:t>013《食品安全国家标准 食品生产通用卫生规范》、</w:t>
      </w:r>
      <w:r>
        <w:rPr>
          <w:rFonts w:ascii="仿宋_GB2312" w:hAnsi="宋体" w:eastAsia="仿宋_GB2312" w:cs="仿宋_GB2312"/>
          <w:color w:val="231F20"/>
          <w:kern w:val="0"/>
          <w:sz w:val="31"/>
          <w:szCs w:val="31"/>
        </w:rPr>
        <w:t>GB 12695-2016</w:t>
      </w:r>
      <w:r>
        <w:rPr>
          <w:rFonts w:hint="eastAsia" w:ascii="仿宋_GB2312" w:hAnsi="宋体" w:eastAsia="仿宋_GB2312" w:cs="仿宋_GB2312"/>
          <w:color w:val="231F20"/>
          <w:kern w:val="0"/>
          <w:sz w:val="31"/>
          <w:szCs w:val="31"/>
        </w:rPr>
        <w:t>《</w:t>
      </w:r>
      <w:r>
        <w:rPr>
          <w:rFonts w:ascii="仿宋_GB2312" w:hAnsi="宋体" w:eastAsia="仿宋_GB2312" w:cs="仿宋_GB2312"/>
          <w:color w:val="231F20"/>
          <w:kern w:val="0"/>
          <w:sz w:val="31"/>
          <w:szCs w:val="31"/>
        </w:rPr>
        <w:t>食品安全国家标准 饮料生产卫生规范</w:t>
      </w:r>
      <w:r>
        <w:rPr>
          <w:rFonts w:hint="eastAsia" w:ascii="仿宋_GB2312" w:hAnsi="宋体" w:eastAsia="仿宋_GB2312" w:cs="仿宋_GB2312"/>
          <w:color w:val="231F20"/>
          <w:kern w:val="0"/>
          <w:sz w:val="31"/>
          <w:szCs w:val="31"/>
        </w:rPr>
        <w:t>》等国内相关标准的规定，</w:t>
      </w:r>
      <w:r>
        <w:rPr>
          <w:rFonts w:hint="eastAsia" w:ascii="仿宋_GB2312" w:hAnsi="宋体" w:eastAsia="仿宋_GB2312" w:cs="仿宋_GB2312"/>
          <w:color w:val="231F20"/>
          <w:kern w:val="0"/>
          <w:sz w:val="31"/>
          <w:szCs w:val="31"/>
          <w:lang w:eastAsia="zh-CN"/>
        </w:rPr>
        <w:t>结合</w:t>
      </w:r>
      <w:r>
        <w:rPr>
          <w:rFonts w:hint="eastAsia" w:ascii="仿宋_GB2312" w:hAnsi="宋体" w:eastAsia="仿宋_GB2312" w:cs="仿宋_GB2312"/>
          <w:color w:val="231F20"/>
          <w:kern w:val="0"/>
          <w:sz w:val="31"/>
          <w:szCs w:val="31"/>
        </w:rPr>
        <w:t>冰杨梅汁工艺流程、生产设备、贮存运输等</w:t>
      </w:r>
      <w:r>
        <w:rPr>
          <w:rFonts w:hint="eastAsia" w:ascii="仿宋_GB2312" w:hAnsi="宋体" w:eastAsia="仿宋_GB2312" w:cs="仿宋_GB2312"/>
          <w:color w:val="231F20"/>
          <w:kern w:val="0"/>
          <w:sz w:val="31"/>
          <w:szCs w:val="31"/>
          <w:lang w:eastAsia="zh-CN"/>
        </w:rPr>
        <w:t>信息</w:t>
      </w:r>
      <w:r>
        <w:rPr>
          <w:rFonts w:hint="eastAsia" w:ascii="仿宋_GB2312" w:hAnsi="宋体" w:eastAsia="仿宋_GB2312" w:cs="仿宋_GB2312"/>
          <w:color w:val="231F20"/>
          <w:kern w:val="0"/>
          <w:sz w:val="31"/>
          <w:szCs w:val="31"/>
        </w:rPr>
        <w:t>，于2023年2月完成了《食品安全地方标准 冰杨</w:t>
      </w:r>
      <w:r>
        <w:rPr>
          <w:rFonts w:hint="eastAsia" w:ascii="仿宋_GB2312" w:hAnsi="宋体" w:eastAsia="仿宋_GB2312" w:cs="仿宋_GB2312"/>
          <w:kern w:val="0"/>
          <w:sz w:val="31"/>
          <w:szCs w:val="31"/>
        </w:rPr>
        <w:t>梅汁生产卫生规范》地方标准初稿</w:t>
      </w:r>
      <w:r>
        <w:rPr>
          <w:rFonts w:hint="eastAsia" w:ascii="仿宋_GB2312" w:hAnsi="宋体" w:eastAsia="仿宋_GB2312" w:cs="仿宋_GB2312"/>
          <w:color w:val="231F20"/>
          <w:kern w:val="0"/>
          <w:sz w:val="31"/>
          <w:szCs w:val="31"/>
        </w:rPr>
        <w:t>。</w:t>
      </w:r>
    </w:p>
    <w:p>
      <w:pPr>
        <w:spacing w:after="0" w:line="312" w:lineRule="auto"/>
        <w:ind w:firstLine="620" w:firstLineChars="200"/>
        <w:rPr>
          <w:rFonts w:ascii="仿宋_GB2312" w:hAnsi="宋体" w:eastAsia="仿宋" w:cs="仿宋_GB2312"/>
          <w:color w:val="231F20"/>
          <w:kern w:val="0"/>
          <w:sz w:val="31"/>
          <w:szCs w:val="31"/>
        </w:rPr>
      </w:pPr>
      <w:r>
        <w:rPr>
          <w:rFonts w:hint="eastAsia" w:ascii="仿宋_GB2312" w:hAnsi="宋体" w:eastAsia="仿宋_GB2312" w:cs="仿宋_GB2312"/>
          <w:color w:val="231F20"/>
          <w:kern w:val="0"/>
          <w:sz w:val="31"/>
          <w:szCs w:val="31"/>
        </w:rPr>
        <w:t>（三）在2023年3月14日，在贵阳召开《食品安全地方标准冰杨梅汁生产卫生规范》征求意见稿讨论会。参加此次会议的有贵州省市场监督管理局、贵州玉梦食品（集团）有限公司、贵州省食品检验检测院、贵州省产品质量检验检测院、贵州省如好食品有限公司、贵州龙膳香食品有限公司、贵州北冰洋冷冻食品有限公司、贵州蚩尤世家饮品科技有限公司、贵州智勇食品有限公司等单位和企业代表，针对《冰杨梅汁生产卫生规范》的术语和定义、选址及厂区环境、厂房和车间、设施与设备、卫生管理、食品原料与食品添加剂、生产过程控制、包装和标签、检验、贮存和运输、记录和文件管理等内容进行了沟通和交流，并结合企业生产实际提出针对性的修改意见，形成了《食品安全地方标准 冰杨梅汁生产卫生规范》标准</w:t>
      </w:r>
      <w:r>
        <w:rPr>
          <w:rFonts w:hint="eastAsia" w:ascii="仿宋" w:hAnsi="仿宋" w:eastAsia="仿宋" w:cs="仿宋"/>
          <w:color w:val="000000" w:themeColor="text1"/>
          <w:spacing w:val="1"/>
          <w:sz w:val="32"/>
          <w:szCs w:val="32"/>
        </w:rPr>
        <w:t>征求意见稿</w:t>
      </w:r>
      <w:r>
        <w:rPr>
          <w:rFonts w:hint="eastAsia" w:ascii="仿宋" w:hAnsi="仿宋" w:eastAsia="仿宋" w:cs="仿宋"/>
          <w:color w:val="000000" w:themeColor="text1"/>
          <w:spacing w:val="-3"/>
          <w:sz w:val="32"/>
          <w:szCs w:val="32"/>
        </w:rPr>
        <w:t>。</w:t>
      </w:r>
    </w:p>
    <w:p>
      <w:pPr>
        <w:spacing w:after="0" w:line="312" w:lineRule="auto"/>
        <w:ind w:left="11" w:right="74" w:firstLine="641"/>
        <w:rPr>
          <w:rFonts w:ascii="仿宋" w:hAnsi="仿宋" w:eastAsia="仿宋" w:cs="仿宋"/>
          <w:sz w:val="32"/>
          <w:szCs w:val="32"/>
        </w:rPr>
      </w:pPr>
      <w:r>
        <w:rPr>
          <w:rFonts w:ascii="仿宋" w:hAnsi="仿宋" w:eastAsia="仿宋" w:cs="仿宋"/>
          <w:spacing w:val="-10"/>
          <w:sz w:val="32"/>
          <w:szCs w:val="32"/>
        </w:rPr>
        <w:t>（</w:t>
      </w:r>
      <w:r>
        <w:rPr>
          <w:rFonts w:hint="eastAsia" w:ascii="仿宋" w:hAnsi="仿宋" w:eastAsia="仿宋" w:cs="仿宋"/>
          <w:spacing w:val="-10"/>
          <w:sz w:val="32"/>
          <w:szCs w:val="32"/>
        </w:rPr>
        <w:t>四</w:t>
      </w:r>
      <w:r>
        <w:rPr>
          <w:rFonts w:ascii="仿宋" w:hAnsi="仿宋" w:eastAsia="仿宋" w:cs="仿宋"/>
          <w:spacing w:val="-10"/>
          <w:sz w:val="32"/>
          <w:szCs w:val="32"/>
        </w:rPr>
        <w:t>）202</w:t>
      </w:r>
      <w:r>
        <w:rPr>
          <w:rFonts w:hint="eastAsia" w:ascii="仿宋" w:hAnsi="仿宋" w:eastAsia="仿宋" w:cs="仿宋"/>
          <w:spacing w:val="-10"/>
          <w:sz w:val="32"/>
          <w:szCs w:val="32"/>
        </w:rPr>
        <w:t>3</w:t>
      </w:r>
      <w:r>
        <w:rPr>
          <w:rFonts w:ascii="仿宋" w:hAnsi="仿宋" w:eastAsia="仿宋" w:cs="仿宋"/>
          <w:spacing w:val="-10"/>
          <w:sz w:val="32"/>
          <w:szCs w:val="32"/>
        </w:rPr>
        <w:t>年</w:t>
      </w:r>
      <w:r>
        <w:rPr>
          <w:rFonts w:hint="eastAsia" w:ascii="仿宋" w:hAnsi="仿宋" w:eastAsia="仿宋" w:cs="仿宋"/>
          <w:spacing w:val="-10"/>
          <w:sz w:val="32"/>
          <w:szCs w:val="32"/>
        </w:rPr>
        <w:t>4</w:t>
      </w:r>
      <w:r>
        <w:rPr>
          <w:rFonts w:ascii="仿宋" w:hAnsi="仿宋" w:eastAsia="仿宋" w:cs="仿宋"/>
          <w:spacing w:val="-10"/>
          <w:sz w:val="32"/>
          <w:szCs w:val="32"/>
        </w:rPr>
        <w:t>月</w:t>
      </w:r>
      <w:r>
        <w:rPr>
          <w:rFonts w:hint="eastAsia" w:ascii="仿宋" w:hAnsi="仿宋" w:eastAsia="仿宋" w:cs="仿宋"/>
          <w:spacing w:val="-10"/>
          <w:sz w:val="32"/>
          <w:szCs w:val="32"/>
        </w:rPr>
        <w:t>12</w:t>
      </w:r>
      <w:r>
        <w:rPr>
          <w:rFonts w:ascii="仿宋" w:hAnsi="仿宋" w:eastAsia="仿宋" w:cs="仿宋"/>
          <w:spacing w:val="-10"/>
          <w:sz w:val="32"/>
          <w:szCs w:val="32"/>
        </w:rPr>
        <w:t>日由</w:t>
      </w:r>
      <w:r>
        <w:rPr>
          <w:rFonts w:hint="eastAsia" w:ascii="仿宋" w:hAnsi="仿宋" w:eastAsia="仿宋" w:cs="仿宋"/>
          <w:spacing w:val="-10"/>
          <w:sz w:val="32"/>
          <w:szCs w:val="32"/>
          <w:lang w:eastAsia="zh-CN"/>
        </w:rPr>
        <w:t>标准</w:t>
      </w:r>
      <w:r>
        <w:rPr>
          <w:rFonts w:hint="eastAsia" w:ascii="仿宋" w:hAnsi="仿宋" w:eastAsia="仿宋" w:cs="仿宋"/>
          <w:spacing w:val="-10"/>
          <w:sz w:val="32"/>
          <w:szCs w:val="32"/>
        </w:rPr>
        <w:t>编制小组向省卫</w:t>
      </w:r>
      <w:r>
        <w:rPr>
          <w:rFonts w:hint="eastAsia" w:ascii="仿宋" w:hAnsi="仿宋" w:eastAsia="仿宋" w:cs="仿宋"/>
          <w:spacing w:val="-10"/>
          <w:sz w:val="32"/>
          <w:szCs w:val="32"/>
          <w:lang w:eastAsia="zh-CN"/>
        </w:rPr>
        <w:t>健</w:t>
      </w:r>
      <w:r>
        <w:rPr>
          <w:rFonts w:hint="eastAsia" w:ascii="仿宋" w:hAnsi="仿宋" w:eastAsia="仿宋" w:cs="仿宋"/>
          <w:spacing w:val="-10"/>
          <w:sz w:val="32"/>
          <w:szCs w:val="32"/>
        </w:rPr>
        <w:t>委申请，将</w:t>
      </w:r>
      <w:r>
        <w:rPr>
          <w:rFonts w:ascii="仿宋" w:hAnsi="仿宋" w:eastAsia="仿宋" w:cs="仿宋"/>
          <w:spacing w:val="-7"/>
          <w:sz w:val="32"/>
          <w:szCs w:val="32"/>
        </w:rPr>
        <w:t>《</w:t>
      </w:r>
      <w:r>
        <w:rPr>
          <w:rFonts w:hint="eastAsia" w:ascii="仿宋_GB2312" w:hAnsi="宋体" w:eastAsia="仿宋_GB2312" w:cs="仿宋_GB2312"/>
          <w:color w:val="231F20"/>
          <w:kern w:val="0"/>
          <w:sz w:val="31"/>
          <w:szCs w:val="31"/>
        </w:rPr>
        <w:t>食品安全地方标准</w:t>
      </w:r>
      <w:r>
        <w:rPr>
          <w:rFonts w:hint="eastAsia" w:ascii="仿宋_GB2312" w:hAnsi="宋体" w:eastAsia="仿宋_GB2312" w:cs="仿宋_GB2312"/>
          <w:color w:val="231F20"/>
          <w:kern w:val="0"/>
          <w:sz w:val="31"/>
          <w:szCs w:val="31"/>
          <w:lang w:val="en-US" w:eastAsia="zh-CN"/>
        </w:rPr>
        <w:t xml:space="preserve"> </w:t>
      </w:r>
      <w:r>
        <w:rPr>
          <w:rFonts w:hint="eastAsia" w:ascii="仿宋_GB2312" w:hAnsi="宋体" w:eastAsia="仿宋_GB2312" w:cs="仿宋_GB2312"/>
          <w:color w:val="231F20"/>
          <w:kern w:val="0"/>
          <w:sz w:val="31"/>
          <w:szCs w:val="31"/>
        </w:rPr>
        <w:t>冰杨梅汁生产卫生规范</w:t>
      </w:r>
      <w:r>
        <w:rPr>
          <w:rFonts w:ascii="仿宋" w:hAnsi="仿宋" w:eastAsia="仿宋" w:cs="仿宋"/>
          <w:spacing w:val="-7"/>
          <w:sz w:val="32"/>
          <w:szCs w:val="32"/>
        </w:rPr>
        <w:t>》</w:t>
      </w:r>
      <w:r>
        <w:rPr>
          <w:rFonts w:hint="eastAsia" w:ascii="仿宋" w:hAnsi="仿宋" w:eastAsia="仿宋" w:cs="仿宋"/>
          <w:spacing w:val="-7"/>
          <w:sz w:val="32"/>
          <w:szCs w:val="32"/>
        </w:rPr>
        <w:t>征求意见稿申请挂网征求社会大众的意见。</w:t>
      </w:r>
    </w:p>
    <w:p>
      <w:pPr>
        <w:spacing w:before="232" w:line="187" w:lineRule="auto"/>
        <w:rPr>
          <w:rFonts w:ascii="黑体" w:hAnsi="黑体" w:eastAsia="黑体" w:cs="黑体"/>
          <w:sz w:val="32"/>
          <w:szCs w:val="32"/>
        </w:rPr>
      </w:pPr>
      <w:r>
        <w:rPr>
          <w:rFonts w:ascii="黑体" w:hAnsi="黑体" w:eastAsia="黑体" w:cs="黑体"/>
          <w:spacing w:val="-2"/>
          <w:sz w:val="32"/>
          <w:szCs w:val="32"/>
        </w:rPr>
        <w:t>四、标准制订原则和主要技术内容确定的依据</w:t>
      </w:r>
    </w:p>
    <w:p>
      <w:pPr>
        <w:spacing w:before="238" w:line="312" w:lineRule="auto"/>
        <w:ind w:firstLine="252" w:firstLineChars="100"/>
        <w:rPr>
          <w:rFonts w:ascii="楷体" w:hAnsi="楷体" w:eastAsia="楷体" w:cs="楷体"/>
          <w:sz w:val="32"/>
          <w:szCs w:val="32"/>
        </w:rPr>
      </w:pPr>
      <w:r>
        <w:rPr>
          <w:rFonts w:ascii="楷体" w:hAnsi="楷体" w:eastAsia="楷体" w:cs="楷体"/>
          <w:spacing w:val="-32"/>
          <w:w w:val="99"/>
          <w:sz w:val="32"/>
          <w:szCs w:val="32"/>
        </w:rPr>
        <w:t>（一）制订原则</w:t>
      </w:r>
    </w:p>
    <w:p>
      <w:pPr>
        <w:spacing w:after="0" w:line="312" w:lineRule="auto"/>
        <w:ind w:firstLine="620" w:firstLineChars="200"/>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1.格式符合 GB/T 1.1-2020《标准化工作导则 第 1 部分:标准化文件的结构和起草规则》 。</w:t>
      </w:r>
    </w:p>
    <w:p>
      <w:pPr>
        <w:spacing w:line="312" w:lineRule="auto"/>
        <w:ind w:firstLine="620" w:firstLineChars="200"/>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2.标准中所涉及的冰杨梅汁生产卫生规范及操作规程，均执行现行有效的国家标准或强制性标准要求。</w:t>
      </w:r>
    </w:p>
    <w:p>
      <w:pPr>
        <w:spacing w:line="202" w:lineRule="auto"/>
        <w:ind w:firstLine="284" w:firstLineChars="100"/>
        <w:rPr>
          <w:rFonts w:ascii="楷体" w:hAnsi="楷体" w:eastAsia="楷体" w:cs="楷体"/>
          <w:sz w:val="32"/>
          <w:szCs w:val="32"/>
        </w:rPr>
      </w:pPr>
      <w:r>
        <w:rPr>
          <w:rFonts w:ascii="楷体" w:hAnsi="楷体" w:eastAsia="楷体" w:cs="楷体"/>
          <w:spacing w:val="-18"/>
          <w:sz w:val="32"/>
          <w:szCs w:val="32"/>
        </w:rPr>
        <w:t>（二）主要内容确定的依据</w:t>
      </w:r>
    </w:p>
    <w:p>
      <w:pPr>
        <w:keepNext w:val="0"/>
        <w:keepLines w:val="0"/>
        <w:pageBreakBefore w:val="0"/>
        <w:widowControl w:val="0"/>
        <w:kinsoku/>
        <w:wordWrap/>
        <w:overflowPunct/>
        <w:topLinePunct w:val="0"/>
        <w:autoSpaceDE/>
        <w:autoSpaceDN/>
        <w:bidi w:val="0"/>
        <w:adjustRightInd/>
        <w:snapToGrid/>
        <w:spacing w:before="220" w:after="0" w:line="312" w:lineRule="auto"/>
        <w:ind w:firstLine="620" w:firstLineChars="200"/>
        <w:textAlignment w:val="auto"/>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本标准的制定主要依据GB</w:t>
      </w:r>
      <w:r>
        <w:rPr>
          <w:rFonts w:hint="eastAsia" w:ascii="仿宋_GB2312" w:hAnsi="宋体" w:eastAsia="仿宋_GB2312" w:cs="仿宋_GB2312"/>
          <w:color w:val="231F20"/>
          <w:kern w:val="0"/>
          <w:sz w:val="31"/>
          <w:szCs w:val="31"/>
          <w:lang w:val="en-US" w:eastAsia="zh-CN"/>
        </w:rPr>
        <w:t xml:space="preserve"> </w:t>
      </w:r>
      <w:r>
        <w:rPr>
          <w:rFonts w:hint="eastAsia" w:ascii="仿宋_GB2312" w:hAnsi="宋体" w:eastAsia="仿宋_GB2312" w:cs="仿宋_GB2312"/>
          <w:color w:val="231F20"/>
          <w:kern w:val="0"/>
          <w:sz w:val="31"/>
          <w:szCs w:val="31"/>
        </w:rPr>
        <w:t>14881-2013《食品安全国家标准食品生产通用卫生规范》、</w:t>
      </w:r>
      <w:r>
        <w:rPr>
          <w:rFonts w:ascii="仿宋_GB2312" w:hAnsi="宋体" w:eastAsia="仿宋_GB2312" w:cs="仿宋_GB2312"/>
          <w:color w:val="231F20"/>
          <w:kern w:val="0"/>
          <w:sz w:val="31"/>
          <w:szCs w:val="31"/>
        </w:rPr>
        <w:t>GB 12695-2016</w:t>
      </w:r>
      <w:r>
        <w:rPr>
          <w:rFonts w:hint="eastAsia" w:ascii="仿宋_GB2312" w:hAnsi="宋体" w:eastAsia="仿宋_GB2312" w:cs="仿宋_GB2312"/>
          <w:color w:val="231F20"/>
          <w:kern w:val="0"/>
          <w:sz w:val="31"/>
          <w:szCs w:val="31"/>
        </w:rPr>
        <w:t>《</w:t>
      </w:r>
      <w:r>
        <w:rPr>
          <w:rFonts w:ascii="仿宋_GB2312" w:hAnsi="宋体" w:eastAsia="仿宋_GB2312" w:cs="仿宋_GB2312"/>
          <w:color w:val="231F20"/>
          <w:kern w:val="0"/>
          <w:sz w:val="31"/>
          <w:szCs w:val="31"/>
        </w:rPr>
        <w:t>食品安全国家标准 饮料生产卫生规范</w:t>
      </w:r>
      <w:r>
        <w:rPr>
          <w:rFonts w:hint="eastAsia" w:ascii="仿宋_GB2312" w:hAnsi="宋体" w:eastAsia="仿宋_GB2312" w:cs="仿宋_GB2312"/>
          <w:color w:val="231F20"/>
          <w:kern w:val="0"/>
          <w:sz w:val="31"/>
          <w:szCs w:val="31"/>
        </w:rPr>
        <w:t>》等相关法律法规和标准要求。</w:t>
      </w:r>
    </w:p>
    <w:p>
      <w:pPr>
        <w:spacing w:before="3" w:line="201" w:lineRule="auto"/>
        <w:rPr>
          <w:rFonts w:ascii="黑体" w:hAnsi="黑体" w:eastAsia="黑体" w:cs="黑体"/>
          <w:sz w:val="32"/>
          <w:szCs w:val="32"/>
        </w:rPr>
      </w:pPr>
      <w:r>
        <w:rPr>
          <w:rFonts w:ascii="黑体" w:hAnsi="黑体" w:eastAsia="黑体" w:cs="黑体"/>
          <w:spacing w:val="-2"/>
          <w:sz w:val="32"/>
          <w:szCs w:val="32"/>
        </w:rPr>
        <w:t>五、主要条款的说明及确定依据</w:t>
      </w:r>
    </w:p>
    <w:p>
      <w:pPr>
        <w:keepNext w:val="0"/>
        <w:keepLines w:val="0"/>
        <w:pageBreakBefore w:val="0"/>
        <w:widowControl w:val="0"/>
        <w:kinsoku/>
        <w:wordWrap/>
        <w:overflowPunct/>
        <w:topLinePunct w:val="0"/>
        <w:autoSpaceDE/>
        <w:autoSpaceDN/>
        <w:bidi w:val="0"/>
        <w:adjustRightInd/>
        <w:snapToGrid/>
        <w:spacing w:before="220" w:after="0" w:line="202" w:lineRule="auto"/>
        <w:textAlignment w:val="auto"/>
        <w:rPr>
          <w:rFonts w:ascii="楷体" w:hAnsi="楷体" w:eastAsia="楷体" w:cs="楷体"/>
          <w:spacing w:val="-18"/>
          <w:sz w:val="32"/>
          <w:szCs w:val="32"/>
        </w:rPr>
      </w:pPr>
      <w:bookmarkStart w:id="1" w:name="_Toc131540502"/>
      <w:bookmarkStart w:id="2" w:name="_Hlk68556044"/>
      <w:r>
        <w:rPr>
          <w:rFonts w:hint="eastAsia" w:ascii="楷体" w:hAnsi="楷体" w:eastAsia="楷体" w:cs="楷体"/>
          <w:spacing w:val="-18"/>
          <w:sz w:val="32"/>
          <w:szCs w:val="32"/>
        </w:rPr>
        <w:t>(一) 范围</w:t>
      </w:r>
      <w:bookmarkEnd w:id="1"/>
    </w:p>
    <w:p>
      <w:pPr>
        <w:keepNext w:val="0"/>
        <w:keepLines w:val="0"/>
        <w:pageBreakBefore w:val="0"/>
        <w:widowControl/>
        <w:kinsoku/>
        <w:wordWrap/>
        <w:overflowPunct/>
        <w:topLinePunct w:val="0"/>
        <w:autoSpaceDE/>
        <w:autoSpaceDN/>
        <w:bidi w:val="0"/>
        <w:adjustRightInd/>
        <w:snapToGrid/>
        <w:spacing w:before="220" w:after="0" w:line="312" w:lineRule="auto"/>
        <w:ind w:left="11" w:right="215" w:firstLine="620" w:firstLineChars="200"/>
        <w:jc w:val="left"/>
        <w:textAlignment w:val="auto"/>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本文件规定了冰杨梅汁生产加工中的术语和定义、选址及厂区环境、厂房和车间、设施与设备、卫生管理、食品原料与食品添加剂、生产过程控制、包装和标签、检验、贮存和运输、记录和文件管理。</w:t>
      </w:r>
    </w:p>
    <w:p>
      <w:pPr>
        <w:widowControl/>
        <w:spacing w:after="0" w:line="312" w:lineRule="auto"/>
        <w:ind w:left="11" w:right="215" w:firstLine="620" w:firstLineChars="200"/>
        <w:jc w:val="left"/>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本文件适用于贵州省内预包装冰杨梅汁生产加工。</w:t>
      </w:r>
    </w:p>
    <w:p>
      <w:pPr>
        <w:spacing w:before="238" w:line="312" w:lineRule="auto"/>
        <w:rPr>
          <w:rFonts w:ascii="楷体" w:hAnsi="楷体" w:eastAsia="楷体" w:cs="楷体"/>
          <w:spacing w:val="-32"/>
          <w:w w:val="99"/>
          <w:sz w:val="32"/>
          <w:szCs w:val="32"/>
        </w:rPr>
      </w:pPr>
      <w:bookmarkStart w:id="3" w:name="_Toc131540504"/>
      <w:r>
        <w:rPr>
          <w:rFonts w:hint="eastAsia" w:ascii="楷体" w:hAnsi="楷体" w:eastAsia="楷体" w:cs="楷体"/>
          <w:spacing w:val="-32"/>
          <w:w w:val="99"/>
          <w:sz w:val="32"/>
          <w:szCs w:val="32"/>
        </w:rPr>
        <w:t>（二）术语和定义</w:t>
      </w:r>
      <w:bookmarkEnd w:id="3"/>
    </w:p>
    <w:p>
      <w:pPr>
        <w:widowControl/>
        <w:spacing w:after="4" w:line="312" w:lineRule="auto"/>
        <w:ind w:left="11" w:right="215" w:firstLine="620" w:firstLineChars="200"/>
        <w:jc w:val="left"/>
      </w:pPr>
      <w:r>
        <w:rPr>
          <w:rFonts w:hint="eastAsia" w:ascii="仿宋_GB2312" w:hAnsi="宋体" w:eastAsia="仿宋_GB2312" w:cs="仿宋_GB2312"/>
          <w:color w:val="231F20"/>
          <w:kern w:val="0"/>
          <w:sz w:val="31"/>
          <w:szCs w:val="31"/>
        </w:rPr>
        <w:t>起草小组针对本标准中冰杨梅汁的定义进行了反复讨论，特别是针对是否写明“未添加防腐剂”进行了讨论，结合冰杨梅汁产品的特点，同时与生产企业讨论沟通后，最终定义为：</w:t>
      </w:r>
    </w:p>
    <w:p>
      <w:pPr>
        <w:pStyle w:val="12"/>
        <w:spacing w:beforeLines="50" w:beforeAutospacing="0" w:afterLines="50" w:afterAutospacing="0" w:line="312" w:lineRule="auto"/>
        <w:rPr>
          <w:rFonts w:ascii="仿宋_GB2312" w:eastAsia="仿宋_GB2312" w:cs="仿宋_GB2312"/>
          <w:color w:val="231F20"/>
          <w:sz w:val="31"/>
          <w:szCs w:val="31"/>
        </w:rPr>
      </w:pPr>
      <w:r>
        <w:rPr>
          <w:rFonts w:hint="eastAsia" w:ascii="仿宋_GB2312" w:eastAsia="仿宋_GB2312" w:cs="仿宋_GB2312"/>
          <w:color w:val="231F20"/>
          <w:sz w:val="31"/>
          <w:szCs w:val="31"/>
        </w:rPr>
        <w:t>1.冰杨梅汁</w:t>
      </w:r>
    </w:p>
    <w:p>
      <w:pPr>
        <w:spacing w:after="4" w:line="312" w:lineRule="auto"/>
        <w:ind w:left="11" w:right="215" w:firstLine="620" w:firstLineChars="200"/>
        <w:contextualSpacing/>
        <w:jc w:val="left"/>
        <w:rPr>
          <w:rFonts w:ascii="仿宋_GB2312" w:hAnsi="宋体" w:eastAsia="仿宋_GB2312" w:cs="仿宋_GB2312"/>
          <w:color w:val="231F20"/>
          <w:kern w:val="0"/>
          <w:sz w:val="31"/>
          <w:szCs w:val="31"/>
        </w:rPr>
      </w:pPr>
      <w:r>
        <w:rPr>
          <w:rFonts w:hint="eastAsia" w:ascii="仿宋_GB2312" w:hAnsi="宋体" w:eastAsia="仿宋_GB2312" w:cs="仿宋_GB2312"/>
          <w:color w:val="231F20"/>
          <w:kern w:val="0"/>
          <w:sz w:val="31"/>
          <w:szCs w:val="31"/>
        </w:rPr>
        <w:t>以新鲜杨梅为原料，可预先冷冻贮存后（≤-15℃），经清洗、熬煮、过滤、灭菌、灌装、冷冻贮存等工艺制成，未添加防腐剂，果汁含量≥40%的杨梅汁液制品。</w:t>
      </w:r>
    </w:p>
    <w:p>
      <w:pPr>
        <w:pStyle w:val="12"/>
        <w:spacing w:beforeLines="50" w:afterLines="50" w:line="312" w:lineRule="auto"/>
        <w:rPr>
          <w:rFonts w:ascii="仿宋_GB2312" w:eastAsia="仿宋_GB2312" w:cs="仿宋_GB2312"/>
          <w:color w:val="231F20"/>
          <w:sz w:val="31"/>
          <w:szCs w:val="31"/>
        </w:rPr>
      </w:pPr>
      <w:r>
        <w:rPr>
          <w:rFonts w:hint="eastAsia" w:ascii="仿宋_GB2312" w:eastAsia="仿宋_GB2312" w:cs="仿宋_GB2312"/>
          <w:color w:val="231F20"/>
          <w:sz w:val="31"/>
          <w:szCs w:val="31"/>
        </w:rPr>
        <w:t>2.生产场所</w:t>
      </w:r>
    </w:p>
    <w:p>
      <w:pPr>
        <w:pStyle w:val="12"/>
        <w:spacing w:beforeLines="50" w:after="0" w:afterAutospacing="0" w:line="312" w:lineRule="auto"/>
        <w:ind w:firstLine="620" w:firstLineChars="200"/>
        <w:rPr>
          <w:rFonts w:ascii="仿宋_GB2312" w:eastAsia="仿宋_GB2312" w:cs="仿宋_GB2312"/>
          <w:color w:val="231F20"/>
          <w:sz w:val="31"/>
          <w:szCs w:val="31"/>
        </w:rPr>
      </w:pPr>
      <w:bookmarkStart w:id="4" w:name="_Toc131539317"/>
      <w:r>
        <w:rPr>
          <w:rFonts w:hint="eastAsia" w:ascii="仿宋_GB2312" w:eastAsia="仿宋_GB2312" w:cs="仿宋_GB2312"/>
          <w:color w:val="231F20"/>
          <w:sz w:val="31"/>
          <w:szCs w:val="31"/>
        </w:rPr>
        <w:t>指用于产品加工处理的场所，包括原料贮存、原料加工、成品贮存、工器具清洗消毒和保洁场所。按照场所清洁程度要求，生产场所分为清洁作业区、准清洁作业区、一般作业区。</w:t>
      </w:r>
      <w:bookmarkEnd w:id="4"/>
    </w:p>
    <w:p>
      <w:pPr>
        <w:spacing w:before="238" w:line="312" w:lineRule="auto"/>
        <w:rPr>
          <w:rFonts w:hint="eastAsia" w:ascii="楷体" w:hAnsi="楷体" w:eastAsia="楷体" w:cs="楷体"/>
          <w:spacing w:val="-32"/>
          <w:w w:val="99"/>
          <w:sz w:val="32"/>
          <w:szCs w:val="32"/>
        </w:rPr>
      </w:pPr>
      <w:bookmarkStart w:id="5" w:name="_Toc131540505"/>
      <w:bookmarkStart w:id="6" w:name="_Toc129866688"/>
      <w:r>
        <w:rPr>
          <w:rFonts w:hint="eastAsia" w:ascii="楷体" w:hAnsi="楷体" w:eastAsia="楷体" w:cs="楷体"/>
          <w:spacing w:val="-32"/>
          <w:w w:val="99"/>
          <w:sz w:val="32"/>
          <w:szCs w:val="32"/>
        </w:rPr>
        <w:t>（三）选址及厂区环境</w:t>
      </w:r>
      <w:bookmarkEnd w:id="5"/>
      <w:bookmarkEnd w:id="6"/>
      <w:bookmarkStart w:id="7" w:name="_Toc131540506"/>
    </w:p>
    <w:p>
      <w:pPr>
        <w:pStyle w:val="33"/>
        <w:keepNext w:val="0"/>
        <w:keepLines w:val="0"/>
        <w:pageBreakBefore w:val="0"/>
        <w:widowControl/>
        <w:kinsoku/>
        <w:wordWrap/>
        <w:overflowPunct/>
        <w:topLinePunct w:val="0"/>
        <w:bidi w:val="0"/>
        <w:adjustRightInd/>
        <w:snapToGrid/>
        <w:spacing w:before="220" w:beforeLines="0" w:afterLines="0" w:line="312" w:lineRule="auto"/>
        <w:ind w:left="0" w:firstLine="620" w:firstLineChars="200"/>
        <w:textAlignment w:val="auto"/>
        <w:outlineLvl w:val="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选址应符合GB 14881-2013中3.1的相关规定，厂区环境应符合GB14881-2013中3.2的相关规定，若有种植基地的，应考虑基地距离厂区适当的运输距离。</w:t>
      </w:r>
      <w:bookmarkEnd w:id="7"/>
      <w:bookmarkStart w:id="8" w:name="_Toc129866689"/>
      <w:bookmarkStart w:id="9" w:name="_Toc131540507"/>
    </w:p>
    <w:p>
      <w:pPr>
        <w:spacing w:before="238" w:line="312" w:lineRule="auto"/>
        <w:rPr>
          <w:rFonts w:hint="eastAsia" w:ascii="楷体" w:hAnsi="楷体" w:eastAsia="楷体" w:cs="楷体"/>
          <w:spacing w:val="-32"/>
          <w:w w:val="99"/>
          <w:sz w:val="32"/>
          <w:szCs w:val="32"/>
        </w:rPr>
      </w:pPr>
      <w:r>
        <w:rPr>
          <w:rFonts w:hint="eastAsia" w:ascii="楷体" w:hAnsi="楷体" w:eastAsia="楷体" w:cs="楷体"/>
          <w:spacing w:val="-32"/>
          <w:w w:val="99"/>
          <w:sz w:val="32"/>
          <w:szCs w:val="32"/>
        </w:rPr>
        <w:t>（四）厂房和车间</w:t>
      </w:r>
      <w:bookmarkEnd w:id="8"/>
      <w:bookmarkEnd w:id="9"/>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1.在设计和布局方面，厂房和车间的设计根据对清洁程度的要求合理划分为一般作业区、准清洁作业区、清洁作业区。各区之间应有效隔离，防止交叉污染。一般作业区通常包括原料处理区、仓库、外包装区等；准清洁作业区通常包括杀菌区、配料区、包装容器清洗消毒区等；清洁作业区通常包括灌装防护区等。生产车间应分别设置人员及物料运输通道。应符合 GB 14881-2013 中4.1的相关规定。</w:t>
      </w:r>
    </w:p>
    <w:p>
      <w:pPr>
        <w:pStyle w:val="33"/>
        <w:spacing w:beforeLines="0" w:afterLines="0" w:line="312" w:lineRule="auto"/>
        <w:ind w:left="0" w:firstLine="620" w:firstLineChars="20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2.内部结构、顶棚、墙壁、门窗、地面应符合 GB 14881-2013 中4.2的相关规定。厂房的高度应满足工艺、卫生要求，以及设备安装、维护、保养的需要。杨梅熬煮过程，会产生水蒸气，墙壁应防水、防霉，光滑无毒，易冲洗、消毒。应设置墙裙，墙裙高度不小于1.5m,顶角、地角、墙角呈弧形，便于清洗。车间地面应保持清洁，为防止地面积水，应设置排水防滑措施。作业中有排水或废水流经的地面，以及作业环境经常潮湿或以水洗方式清洁等区域的地面应耐酸耐碱。</w:t>
      </w:r>
    </w:p>
    <w:p>
      <w:pPr>
        <w:spacing w:before="238" w:line="312" w:lineRule="auto"/>
        <w:rPr>
          <w:rFonts w:hint="eastAsia" w:ascii="楷体" w:hAnsi="楷体" w:eastAsia="楷体" w:cs="楷体"/>
          <w:spacing w:val="-32"/>
          <w:w w:val="99"/>
          <w:sz w:val="32"/>
          <w:szCs w:val="32"/>
        </w:rPr>
      </w:pPr>
      <w:bookmarkStart w:id="10" w:name="_Toc131540508"/>
      <w:bookmarkStart w:id="11" w:name="_Toc65830049"/>
      <w:bookmarkStart w:id="12" w:name="_Toc129866690"/>
      <w:r>
        <w:rPr>
          <w:rFonts w:hint="eastAsia" w:ascii="楷体" w:hAnsi="楷体" w:eastAsia="楷体" w:cs="楷体"/>
          <w:spacing w:val="-32"/>
          <w:w w:val="99"/>
          <w:sz w:val="32"/>
          <w:szCs w:val="32"/>
        </w:rPr>
        <w:t>（五）设施与设备</w:t>
      </w:r>
      <w:bookmarkEnd w:id="10"/>
      <w:bookmarkEnd w:id="11"/>
      <w:bookmarkEnd w:id="12"/>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1.应符合GB 14881-2013 中第5章的相关规定。</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2.在设施方面，除了符合GB 14881-2013 中第5章的相关规定外，应该有供水设施的要求，供水设施出入口应增设安全卫生设施，防止异物进入。如有储水设备，设备应符合国家相关标准和规定，应使用无毒、无异味、不导致水质污染的材料，有防污染设施，并定期清洗消毒。在杨梅清洗处理区应配备有盖的废弃物容器。因为杨梅鲜果和产品均需冷冻贮存，故应具有冷冻库，冷冻库应配备可正确显示库内温、湿度的设施。</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3.在设备方面，根据生产工艺流程和生产过程要求，应配备与生产能力和实际工艺相应的设备，应包括但不限于:水处理设备、配料设施、过滤设备、杀菌设备、自动灌装设备、生产日期标注设备、工器具清洗消毒设施等。生产车间内接触食品的设备、工器具和容器等,应采用无毒无味、耐腐蚀、不易脱落、不易变形、无吸收性、易清洗、表面光滑的材料制作,并应易于清洁和保养。</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蒸煮车间及灭菌车间应有通风换气设备防止车间蒸汽凝结，排气口应装有易清洗、耐腐蚀、可以防止虫鼠害入侵的网罩。以防偷盗及食品安全等问题发生，应在厂区合适位置，设置监控设备。</w:t>
      </w:r>
    </w:p>
    <w:p>
      <w:pPr>
        <w:spacing w:before="238" w:line="312" w:lineRule="auto"/>
        <w:rPr>
          <w:rFonts w:hint="eastAsia" w:ascii="楷体" w:hAnsi="楷体" w:eastAsia="楷体" w:cs="楷体"/>
          <w:spacing w:val="-32"/>
          <w:w w:val="99"/>
          <w:sz w:val="32"/>
          <w:szCs w:val="32"/>
        </w:rPr>
      </w:pPr>
      <w:bookmarkStart w:id="13" w:name="_Toc129866691"/>
      <w:bookmarkStart w:id="14" w:name="_Toc131540509"/>
      <w:bookmarkStart w:id="15" w:name="_Toc81232368"/>
      <w:bookmarkStart w:id="16" w:name="_Toc79426322"/>
      <w:r>
        <w:rPr>
          <w:rFonts w:hint="eastAsia" w:ascii="楷体" w:hAnsi="楷体" w:eastAsia="楷体" w:cs="楷体"/>
          <w:spacing w:val="-32"/>
          <w:w w:val="99"/>
          <w:sz w:val="32"/>
          <w:szCs w:val="32"/>
        </w:rPr>
        <w:t>（六）卫生管理</w:t>
      </w:r>
      <w:bookmarkEnd w:id="13"/>
      <w:bookmarkEnd w:id="14"/>
    </w:p>
    <w:bookmarkEnd w:id="15"/>
    <w:bookmarkEnd w:id="16"/>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食品生产过程中，各环节卫生条件至关重要，杨梅汁生产过程应符合GB 14881-2013中第6章的相关规定，</w:t>
      </w:r>
      <w:r>
        <w:rPr>
          <w:rFonts w:hint="eastAsia" w:ascii="仿宋_GB2312" w:hAnsi="宋体" w:eastAsia="仿宋_GB2312" w:cs="仿宋_GB2312"/>
          <w:color w:val="231F20"/>
          <w:sz w:val="31"/>
          <w:szCs w:val="31"/>
          <w:lang w:eastAsia="zh-CN"/>
        </w:rPr>
        <w:t>且</w:t>
      </w:r>
      <w:r>
        <w:rPr>
          <w:rFonts w:hint="eastAsia" w:ascii="仿宋_GB2312" w:hAnsi="宋体" w:eastAsia="仿宋_GB2312" w:cs="仿宋_GB2312"/>
          <w:color w:val="231F20"/>
          <w:sz w:val="31"/>
          <w:szCs w:val="31"/>
        </w:rPr>
        <w:t>加工处理区地面、设备设施应每天结束生产后清洁消毒，保持良好的卫生状况。清洗剂、消毒剂应符合相应卫生标准，并妥善保管，防止对食品造成污染。废弃物至少每天清除一次，废弃物容器应及时清洗、消毒。生产车间管道清洗要有CIP清洗系统，并按照规定进行清洗。</w:t>
      </w:r>
    </w:p>
    <w:p>
      <w:pPr>
        <w:spacing w:before="238" w:line="312" w:lineRule="auto"/>
        <w:rPr>
          <w:rFonts w:hint="eastAsia" w:ascii="楷体" w:hAnsi="楷体" w:eastAsia="楷体" w:cs="楷体"/>
          <w:spacing w:val="-32"/>
          <w:w w:val="99"/>
          <w:sz w:val="32"/>
          <w:szCs w:val="32"/>
        </w:rPr>
      </w:pPr>
      <w:bookmarkStart w:id="17" w:name="_Toc65830051"/>
      <w:bookmarkStart w:id="18" w:name="_Toc129866692"/>
      <w:bookmarkStart w:id="19" w:name="_Toc131540510"/>
      <w:r>
        <w:rPr>
          <w:rFonts w:hint="eastAsia" w:ascii="楷体" w:hAnsi="楷体" w:eastAsia="楷体" w:cs="楷体"/>
          <w:spacing w:val="-32"/>
          <w:w w:val="99"/>
          <w:sz w:val="32"/>
          <w:szCs w:val="32"/>
        </w:rPr>
        <w:t>（七）食品原料、食品添加剂</w:t>
      </w:r>
      <w:bookmarkEnd w:id="17"/>
      <w:r>
        <w:rPr>
          <w:rFonts w:hint="eastAsia" w:ascii="楷体" w:hAnsi="楷体" w:eastAsia="楷体" w:cs="楷体"/>
          <w:spacing w:val="-32"/>
          <w:w w:val="99"/>
          <w:sz w:val="32"/>
          <w:szCs w:val="32"/>
        </w:rPr>
        <w:t>及食品相关产品</w:t>
      </w:r>
      <w:bookmarkEnd w:id="18"/>
      <w:bookmarkEnd w:id="19"/>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bookmarkStart w:id="20" w:name="_Toc81232373"/>
      <w:r>
        <w:rPr>
          <w:rFonts w:hint="eastAsia" w:ascii="仿宋_GB2312" w:hAnsi="宋体" w:eastAsia="仿宋_GB2312" w:cs="仿宋_GB2312"/>
          <w:color w:val="231F20"/>
          <w:sz w:val="31"/>
          <w:szCs w:val="31"/>
        </w:rPr>
        <w:t>食品原料、食品添加剂、食品相关产品应符合GB 14881-2013中第7章的相关规定。应制定原辅料、食品添加剂和包装材料的采购验收控制要求，确保使用的原辅料、食品添加剂和包装材料符合国家相关规定。</w:t>
      </w:r>
      <w:bookmarkEnd w:id="20"/>
      <w:r>
        <w:rPr>
          <w:rFonts w:hint="eastAsia" w:ascii="仿宋_GB2312" w:hAnsi="宋体" w:eastAsia="仿宋_GB2312" w:cs="仿宋_GB2312"/>
          <w:color w:val="231F20"/>
          <w:sz w:val="31"/>
          <w:szCs w:val="31"/>
        </w:rPr>
        <w:t>原辅料、添加剂及包装材料需验收合格，方可使用。</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杨梅鲜果应新鲜、无损坏、无霉果、无病果，应对其重金属、农残指标进行监测，暂不</w:t>
      </w:r>
      <w:r>
        <w:rPr>
          <w:rFonts w:hint="eastAsia" w:ascii="仿宋_GB2312" w:hAnsi="宋体" w:eastAsia="仿宋_GB2312" w:cs="仿宋_GB2312"/>
          <w:color w:val="231F20"/>
          <w:sz w:val="31"/>
          <w:szCs w:val="31"/>
          <w:lang w:eastAsia="zh-CN"/>
        </w:rPr>
        <w:t>进入生产环节</w:t>
      </w:r>
      <w:r>
        <w:rPr>
          <w:rFonts w:hint="eastAsia" w:ascii="仿宋_GB2312" w:hAnsi="宋体" w:eastAsia="仿宋_GB2312" w:cs="仿宋_GB2312"/>
          <w:color w:val="231F20"/>
          <w:sz w:val="31"/>
          <w:szCs w:val="31"/>
        </w:rPr>
        <w:t>的原料，应存放于≤-15℃的冷库。其他原料在进入投料间时，应先除去外包装或采用有效措施防止交叉污染，未用尽时必须密封，存放于合适的场所，在确保产品质量的前提下，在保质期内尽快使用。</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除了</w:t>
      </w:r>
      <w:r>
        <w:rPr>
          <w:rFonts w:hint="eastAsia" w:ascii="仿宋_GB2312" w:hAnsi="宋体" w:eastAsia="仿宋_GB2312" w:cs="仿宋_GB2312"/>
          <w:color w:val="231F20"/>
          <w:sz w:val="31"/>
          <w:szCs w:val="31"/>
          <w:lang w:eastAsia="zh-CN"/>
        </w:rPr>
        <w:t>不使用</w:t>
      </w:r>
      <w:r>
        <w:rPr>
          <w:rFonts w:hint="eastAsia" w:ascii="仿宋_GB2312" w:hAnsi="宋体" w:eastAsia="仿宋_GB2312" w:cs="仿宋_GB2312"/>
          <w:color w:val="231F20"/>
          <w:sz w:val="31"/>
          <w:szCs w:val="31"/>
        </w:rPr>
        <w:t>防腐剂外，若有使用其他食品添加剂，食品添加剂应设专柜存放、专人保管、专器称量、专账记录。食品添加剂的使用应符合GB 2760 相关规定，不得添加非食用物质。</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生产加工用水的水质应符合GB 5749中的规定。采购的包装材料、食品相关产品应符合相关标准或管理要求，性能良好，材质稳定，无毒无害。</w:t>
      </w:r>
      <w:bookmarkStart w:id="21" w:name="_Toc131540511"/>
      <w:r>
        <w:rPr>
          <w:rFonts w:hint="eastAsia" w:ascii="仿宋_GB2312" w:hAnsi="宋体" w:eastAsia="仿宋_GB2312" w:cs="仿宋_GB2312"/>
          <w:color w:val="231F20"/>
          <w:sz w:val="31"/>
          <w:szCs w:val="31"/>
        </w:rPr>
        <w:t>保存食品原料、食品添加剂和食品相关产品采购、验收、贮存和运输的相关记录，保存期限不得少于产品保质期满后6个月；没有明确保质期的，保存期限不得少于2年。</w:t>
      </w:r>
      <w:bookmarkEnd w:id="21"/>
    </w:p>
    <w:p>
      <w:pPr>
        <w:spacing w:before="238" w:line="312" w:lineRule="auto"/>
        <w:rPr>
          <w:rFonts w:hint="eastAsia" w:ascii="楷体" w:hAnsi="楷体" w:eastAsia="楷体" w:cs="楷体"/>
          <w:spacing w:val="-32"/>
          <w:w w:val="99"/>
          <w:sz w:val="32"/>
          <w:szCs w:val="32"/>
        </w:rPr>
      </w:pPr>
      <w:bookmarkStart w:id="22" w:name="_Toc129866693"/>
      <w:bookmarkStart w:id="23" w:name="_Toc131540512"/>
      <w:r>
        <w:rPr>
          <w:rFonts w:hint="eastAsia" w:ascii="楷体" w:hAnsi="楷体" w:eastAsia="楷体" w:cs="楷体"/>
          <w:spacing w:val="-32"/>
          <w:w w:val="99"/>
          <w:sz w:val="32"/>
          <w:szCs w:val="32"/>
        </w:rPr>
        <w:t>（八）生产过程控制</w:t>
      </w:r>
      <w:bookmarkEnd w:id="22"/>
      <w:bookmarkEnd w:id="23"/>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生产过程的食品安全控制应符合GB 14881-2013中第8章的相关规定。应制定生产过程关键控制点作业指导书，对原料验收、浆渣分离、配料、灭菌灌装、运输贮存等关键环节按照指导书要求进行操作，并记录。为保证生产用水的质量，应定期检测食品生产加工用水水质。</w:t>
      </w:r>
    </w:p>
    <w:p>
      <w:pPr>
        <w:spacing w:before="238" w:line="312" w:lineRule="auto"/>
        <w:rPr>
          <w:rFonts w:hint="eastAsia" w:ascii="楷体" w:hAnsi="楷体" w:eastAsia="楷体" w:cs="楷体"/>
          <w:spacing w:val="-32"/>
          <w:w w:val="99"/>
          <w:sz w:val="32"/>
          <w:szCs w:val="32"/>
        </w:rPr>
      </w:pPr>
      <w:bookmarkStart w:id="24" w:name="_Toc131540513"/>
      <w:r>
        <w:rPr>
          <w:rFonts w:hint="eastAsia" w:ascii="楷体" w:hAnsi="楷体" w:eastAsia="楷体" w:cs="楷体"/>
          <w:spacing w:val="-32"/>
          <w:w w:val="99"/>
          <w:sz w:val="32"/>
          <w:szCs w:val="32"/>
        </w:rPr>
        <w:t>（九）包装和标签</w:t>
      </w:r>
      <w:bookmarkEnd w:id="24"/>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标签标示内容应符合GB 7718和GB 28050规定，另外还需标明果汁含量。</w:t>
      </w:r>
      <w:bookmarkStart w:id="25" w:name="_Toc131540514"/>
    </w:p>
    <w:p>
      <w:pPr>
        <w:spacing w:before="238" w:line="312" w:lineRule="auto"/>
        <w:rPr>
          <w:rFonts w:hint="eastAsia" w:ascii="楷体" w:hAnsi="楷体" w:eastAsia="楷体" w:cs="楷体"/>
          <w:spacing w:val="-32"/>
          <w:w w:val="99"/>
          <w:sz w:val="32"/>
          <w:szCs w:val="32"/>
        </w:rPr>
      </w:pPr>
      <w:r>
        <w:rPr>
          <w:rFonts w:hint="eastAsia" w:ascii="楷体" w:hAnsi="楷体" w:eastAsia="楷体" w:cs="楷体"/>
          <w:spacing w:val="-32"/>
          <w:w w:val="99"/>
          <w:sz w:val="32"/>
          <w:szCs w:val="32"/>
        </w:rPr>
        <w:t>（十）检验</w:t>
      </w:r>
      <w:bookmarkEnd w:id="25"/>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应符合GB14881-2013中第9章的相关规定。根据GB 7101《食品安全国家标准 饮料》的内容和企业的情况，企业每批产品出厂前检验项目至少要包含：感官、净含量、菌落总数、大肠菌群。为了</w:t>
      </w:r>
      <w:r>
        <w:rPr>
          <w:rFonts w:hint="eastAsia" w:ascii="仿宋_GB2312" w:hAnsi="宋体" w:eastAsia="仿宋_GB2312" w:cs="仿宋_GB2312"/>
          <w:color w:val="231F20"/>
          <w:sz w:val="31"/>
          <w:szCs w:val="31"/>
          <w:lang w:eastAsia="zh-CN"/>
        </w:rPr>
        <w:t>检验项目</w:t>
      </w:r>
      <w:r>
        <w:rPr>
          <w:rFonts w:hint="eastAsia" w:ascii="仿宋_GB2312" w:hAnsi="宋体" w:eastAsia="仿宋_GB2312" w:cs="仿宋_GB2312"/>
          <w:color w:val="231F20"/>
          <w:sz w:val="31"/>
          <w:szCs w:val="31"/>
        </w:rPr>
        <w:t>数据的真实有效</w:t>
      </w:r>
      <w:r>
        <w:rPr>
          <w:rFonts w:hint="eastAsia" w:ascii="仿宋_GB2312" w:hAnsi="宋体" w:eastAsia="仿宋_GB2312" w:cs="仿宋_GB2312"/>
          <w:color w:val="231F20"/>
          <w:sz w:val="31"/>
          <w:szCs w:val="31"/>
          <w:lang w:eastAsia="zh-CN"/>
        </w:rPr>
        <w:t>和出厂产品的质量安全</w:t>
      </w:r>
      <w:r>
        <w:rPr>
          <w:rFonts w:hint="eastAsia" w:ascii="仿宋_GB2312" w:hAnsi="宋体" w:eastAsia="仿宋_GB2312" w:cs="仿宋_GB2312"/>
          <w:color w:val="231F20"/>
          <w:sz w:val="31"/>
          <w:szCs w:val="31"/>
        </w:rPr>
        <w:t>，检验室应有完善的管理制度，</w:t>
      </w:r>
      <w:r>
        <w:rPr>
          <w:rFonts w:hint="eastAsia" w:ascii="仿宋_GB2312" w:hAnsi="宋体" w:eastAsia="仿宋_GB2312" w:cs="仿宋_GB2312"/>
          <w:color w:val="231F20"/>
          <w:sz w:val="31"/>
          <w:szCs w:val="31"/>
          <w:lang w:eastAsia="zh-CN"/>
        </w:rPr>
        <w:t>应</w:t>
      </w:r>
      <w:r>
        <w:rPr>
          <w:rFonts w:hint="eastAsia" w:ascii="仿宋_GB2312" w:hAnsi="宋体" w:eastAsia="仿宋_GB2312" w:cs="仿宋_GB2312"/>
          <w:color w:val="231F20"/>
          <w:sz w:val="31"/>
          <w:szCs w:val="31"/>
        </w:rPr>
        <w:t>建立出厂检验记录制度和产品留样管理制度，相关记录和检验报告保存期限不得少于产品保质期满后6个月，没有明确保质期的，保存期限不得少于2年。</w:t>
      </w:r>
    </w:p>
    <w:p>
      <w:pPr>
        <w:spacing w:before="238" w:line="312" w:lineRule="auto"/>
        <w:rPr>
          <w:rFonts w:hint="eastAsia" w:ascii="楷体" w:hAnsi="楷体" w:eastAsia="楷体" w:cs="楷体"/>
          <w:spacing w:val="-32"/>
          <w:w w:val="99"/>
          <w:sz w:val="32"/>
          <w:szCs w:val="32"/>
        </w:rPr>
      </w:pPr>
      <w:bookmarkStart w:id="26" w:name="_Toc131540515"/>
      <w:bookmarkStart w:id="27" w:name="_Toc129866694"/>
      <w:r>
        <w:rPr>
          <w:rFonts w:hint="eastAsia" w:ascii="楷体" w:hAnsi="楷体" w:eastAsia="楷体" w:cs="楷体"/>
          <w:spacing w:val="-32"/>
          <w:w w:val="99"/>
          <w:sz w:val="32"/>
          <w:szCs w:val="32"/>
        </w:rPr>
        <w:t>（十一）产品的贮存和运输</w:t>
      </w:r>
      <w:bookmarkEnd w:id="26"/>
      <w:bookmarkEnd w:id="27"/>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应符合GB 14881-2013中第10章的相关规定。刚生产的杨梅汁口感醇厚、舒畅，颜色鲜红，</w:t>
      </w:r>
      <w:r>
        <w:rPr>
          <w:rFonts w:hint="eastAsia" w:ascii="仿宋_GB2312" w:hAnsi="宋体" w:eastAsia="仿宋_GB2312" w:cs="仿宋_GB2312"/>
          <w:color w:val="231F20"/>
          <w:sz w:val="31"/>
          <w:szCs w:val="31"/>
          <w:lang w:eastAsia="zh-CN"/>
        </w:rPr>
        <w:t>如果</w:t>
      </w:r>
      <w:r>
        <w:rPr>
          <w:rFonts w:hint="eastAsia" w:ascii="仿宋_GB2312" w:hAnsi="宋体" w:eastAsia="仿宋_GB2312" w:cs="仿宋_GB2312"/>
          <w:color w:val="231F20"/>
          <w:sz w:val="31"/>
          <w:szCs w:val="31"/>
        </w:rPr>
        <w:t>在常温</w:t>
      </w:r>
      <w:r>
        <w:rPr>
          <w:rFonts w:hint="eastAsia" w:ascii="仿宋_GB2312" w:hAnsi="宋体" w:eastAsia="仿宋_GB2312" w:cs="仿宋_GB2312"/>
          <w:color w:val="231F20"/>
          <w:sz w:val="31"/>
          <w:szCs w:val="31"/>
          <w:lang w:eastAsia="zh-CN"/>
        </w:rPr>
        <w:t>下</w:t>
      </w:r>
      <w:r>
        <w:rPr>
          <w:rFonts w:hint="eastAsia" w:ascii="仿宋_GB2312" w:hAnsi="宋体" w:eastAsia="仿宋_GB2312" w:cs="仿宋_GB2312"/>
          <w:color w:val="231F20"/>
          <w:sz w:val="31"/>
          <w:szCs w:val="31"/>
        </w:rPr>
        <w:t>保存，口感和颜色易发生变化，冰杨梅汁口感比常温杨梅汁好，</w:t>
      </w:r>
      <w:r>
        <w:rPr>
          <w:rFonts w:hint="eastAsia" w:ascii="仿宋_GB2312" w:hAnsi="宋体" w:eastAsia="仿宋_GB2312" w:cs="仿宋_GB2312"/>
          <w:color w:val="231F20"/>
          <w:sz w:val="31"/>
          <w:szCs w:val="31"/>
          <w:lang w:eastAsia="zh-CN"/>
        </w:rPr>
        <w:t>且不添加防腐剂，更受消费者喜爱，</w:t>
      </w:r>
      <w:r>
        <w:rPr>
          <w:rFonts w:hint="eastAsia" w:ascii="仿宋_GB2312" w:hAnsi="宋体" w:eastAsia="仿宋_GB2312" w:cs="仿宋_GB2312"/>
          <w:color w:val="231F20"/>
          <w:sz w:val="31"/>
          <w:szCs w:val="31"/>
        </w:rPr>
        <w:t>为保持杨梅汁的特色，贮存和运输均要符合冷链要求。有些产品标签上标有冷冻和冷藏两种方式，故产品需要在产品标签标识的温度下进行贮存和运输。产品的贮存和运输应有相应的记录，出库应遵循先进先出的原则，出入库应有详细的记录。</w:t>
      </w:r>
    </w:p>
    <w:p>
      <w:pPr>
        <w:spacing w:before="238" w:line="312" w:lineRule="auto"/>
        <w:rPr>
          <w:rFonts w:hint="eastAsia" w:ascii="楷体" w:hAnsi="楷体" w:eastAsia="楷体" w:cs="楷体"/>
          <w:spacing w:val="-32"/>
          <w:w w:val="99"/>
          <w:sz w:val="32"/>
          <w:szCs w:val="32"/>
        </w:rPr>
      </w:pPr>
      <w:bookmarkStart w:id="28" w:name="_Toc131540516"/>
      <w:r>
        <w:rPr>
          <w:rFonts w:hint="eastAsia" w:ascii="楷体" w:hAnsi="楷体" w:eastAsia="楷体" w:cs="楷体"/>
          <w:spacing w:val="-32"/>
          <w:w w:val="99"/>
          <w:sz w:val="32"/>
          <w:szCs w:val="32"/>
        </w:rPr>
        <w:t>（十二）产品溯源及召回制度</w:t>
      </w:r>
      <w:bookmarkEnd w:id="28"/>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应符合GB14881-2013中第11章的相关规定。</w:t>
      </w:r>
    </w:p>
    <w:p>
      <w:pPr>
        <w:spacing w:before="238" w:line="312" w:lineRule="auto"/>
        <w:rPr>
          <w:rFonts w:hint="eastAsia" w:ascii="楷体" w:hAnsi="楷体" w:eastAsia="楷体" w:cs="楷体"/>
          <w:spacing w:val="-32"/>
          <w:w w:val="99"/>
          <w:sz w:val="32"/>
          <w:szCs w:val="32"/>
        </w:rPr>
      </w:pPr>
      <w:bookmarkStart w:id="29" w:name="_Toc81232377"/>
      <w:bookmarkStart w:id="30" w:name="_Toc131540517"/>
      <w:r>
        <w:rPr>
          <w:rFonts w:hint="eastAsia" w:ascii="楷体" w:hAnsi="楷体" w:eastAsia="楷体" w:cs="楷体"/>
          <w:spacing w:val="-32"/>
          <w:w w:val="99"/>
          <w:sz w:val="32"/>
          <w:szCs w:val="32"/>
        </w:rPr>
        <w:t>（十三）记录和文件管理</w:t>
      </w:r>
      <w:bookmarkEnd w:id="29"/>
      <w:bookmarkEnd w:id="30"/>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应符合GB 14881-2013中14的规定，内容包括原辅料及食品添加剂采购验收、领料使用、生产及关键控制点、设备清洗消毒、出厂检验、型式检验、销售台账、产品召回、人员培训、健康检查、食品安全管理等记录和凭证，保存期限不得少于产品保质期满后6个月，没有明确保质期的，保存期限不得少于2年。鼓励采用先进技术手段(如电子计算机信息系统),进行记录和文件管理。</w:t>
      </w:r>
    </w:p>
    <w:p>
      <w:pPr>
        <w:spacing w:before="238" w:line="312" w:lineRule="auto"/>
        <w:rPr>
          <w:rFonts w:hint="eastAsia" w:ascii="楷体" w:hAnsi="楷体" w:eastAsia="楷体" w:cs="楷体"/>
          <w:spacing w:val="-32"/>
          <w:w w:val="99"/>
          <w:sz w:val="32"/>
          <w:szCs w:val="32"/>
        </w:rPr>
      </w:pPr>
      <w:bookmarkStart w:id="31" w:name="_Toc131540518"/>
      <w:r>
        <w:rPr>
          <w:rFonts w:hint="eastAsia" w:ascii="楷体" w:hAnsi="楷体" w:eastAsia="楷体" w:cs="楷体"/>
          <w:spacing w:val="-32"/>
          <w:w w:val="99"/>
          <w:sz w:val="32"/>
          <w:szCs w:val="32"/>
        </w:rPr>
        <w:t>（十四）产品的终端销售</w:t>
      </w:r>
      <w:bookmarkEnd w:id="31"/>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应配备充足的冷藏（冻）设施，保证产品温度符合标签明示的贮存条件，冷藏（冻）设施应配置温度监控装置。</w:t>
      </w:r>
    </w:p>
    <w:p>
      <w:pPr>
        <w:spacing w:before="104" w:line="255" w:lineRule="auto"/>
        <w:ind w:left="124" w:right="114"/>
        <w:rPr>
          <w:rFonts w:ascii="黑体" w:hAnsi="黑体" w:eastAsia="黑体" w:cs="黑体"/>
          <w:sz w:val="32"/>
          <w:szCs w:val="32"/>
        </w:rPr>
      </w:pPr>
      <w:r>
        <w:rPr>
          <w:rFonts w:hint="eastAsia" w:ascii="黑体" w:hAnsi="黑体" w:eastAsia="黑体" w:cs="黑体"/>
          <w:spacing w:val="-5"/>
          <w:sz w:val="32"/>
          <w:szCs w:val="32"/>
        </w:rPr>
        <w:t>六</w:t>
      </w:r>
      <w:r>
        <w:rPr>
          <w:rFonts w:ascii="黑体" w:hAnsi="黑体" w:eastAsia="黑体" w:cs="黑体"/>
          <w:spacing w:val="-5"/>
          <w:sz w:val="32"/>
          <w:szCs w:val="32"/>
        </w:rPr>
        <w:t>、与现行相关法律、法规、规章及相关标准，特别是强制</w:t>
      </w:r>
      <w:r>
        <w:rPr>
          <w:rFonts w:ascii="黑体" w:hAnsi="黑体" w:eastAsia="黑体" w:cs="黑体"/>
          <w:spacing w:val="-2"/>
          <w:sz w:val="32"/>
          <w:szCs w:val="32"/>
        </w:rPr>
        <w:t>性标准的协调性</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ascii="仿宋_GB2312" w:hAnsi="宋体" w:eastAsia="仿宋_GB2312" w:cs="仿宋_GB2312"/>
          <w:color w:val="231F20"/>
          <w:sz w:val="31"/>
          <w:szCs w:val="31"/>
        </w:rPr>
        <w:t>本标准格式以及相关内容均符合相关的现行法律、法规和强制性标准的要求。</w:t>
      </w:r>
    </w:p>
    <w:p>
      <w:pPr>
        <w:spacing w:before="3" w:line="201" w:lineRule="auto"/>
        <w:rPr>
          <w:rFonts w:ascii="黑体" w:hAnsi="黑体" w:eastAsia="黑体" w:cs="黑体"/>
          <w:sz w:val="32"/>
          <w:szCs w:val="32"/>
        </w:rPr>
      </w:pPr>
      <w:r>
        <w:rPr>
          <w:rFonts w:hint="eastAsia" w:ascii="黑体" w:hAnsi="黑体" w:eastAsia="黑体" w:cs="黑体"/>
          <w:spacing w:val="-2"/>
          <w:sz w:val="32"/>
          <w:szCs w:val="32"/>
        </w:rPr>
        <w:t>七</w:t>
      </w:r>
      <w:r>
        <w:rPr>
          <w:rFonts w:ascii="黑体" w:hAnsi="黑体" w:eastAsia="黑体" w:cs="黑体"/>
          <w:spacing w:val="-2"/>
          <w:sz w:val="32"/>
          <w:szCs w:val="32"/>
        </w:rPr>
        <w:t>、专利及涉及知识产权</w:t>
      </w:r>
    </w:p>
    <w:p>
      <w:pPr>
        <w:pStyle w:val="27"/>
        <w:tabs>
          <w:tab w:val="center" w:pos="4201"/>
          <w:tab w:val="right" w:leader="dot" w:pos="9298"/>
        </w:tabs>
        <w:spacing w:after="0" w:line="312" w:lineRule="auto"/>
        <w:ind w:firstLine="620"/>
        <w:rPr>
          <w:rFonts w:ascii="仿宋_GB2312" w:hAnsi="宋体" w:eastAsia="仿宋_GB2312" w:cs="仿宋_GB2312"/>
          <w:color w:val="231F20"/>
          <w:sz w:val="31"/>
          <w:szCs w:val="31"/>
        </w:rPr>
      </w:pPr>
      <w:r>
        <w:rPr>
          <w:rFonts w:ascii="仿宋_GB2312" w:hAnsi="宋体" w:eastAsia="仿宋_GB2312" w:cs="仿宋_GB2312"/>
          <w:color w:val="231F20"/>
          <w:sz w:val="31"/>
          <w:szCs w:val="31"/>
        </w:rPr>
        <w:t>本标准内容不涉及专利相关的知识产权。</w:t>
      </w:r>
    </w:p>
    <w:p>
      <w:pPr>
        <w:spacing w:before="232" w:line="187" w:lineRule="auto"/>
        <w:rPr>
          <w:rFonts w:ascii="黑体" w:hAnsi="黑体" w:eastAsia="黑体" w:cs="黑体"/>
          <w:sz w:val="32"/>
          <w:szCs w:val="32"/>
        </w:rPr>
      </w:pPr>
      <w:r>
        <w:rPr>
          <w:rFonts w:hint="eastAsia" w:ascii="黑体" w:hAnsi="黑体" w:eastAsia="黑体" w:cs="黑体"/>
          <w:spacing w:val="-2"/>
          <w:sz w:val="32"/>
          <w:szCs w:val="32"/>
        </w:rPr>
        <w:t>八</w:t>
      </w:r>
      <w:r>
        <w:rPr>
          <w:rFonts w:ascii="黑体" w:hAnsi="黑体" w:eastAsia="黑体" w:cs="黑体"/>
          <w:spacing w:val="-2"/>
          <w:sz w:val="32"/>
          <w:szCs w:val="32"/>
        </w:rPr>
        <w:t>、重大意见分歧的处理依据和结果</w:t>
      </w:r>
    </w:p>
    <w:p>
      <w:pPr>
        <w:spacing w:before="236" w:line="323" w:lineRule="auto"/>
        <w:ind w:left="1" w:right="320" w:firstLine="640"/>
        <w:rPr>
          <w:rFonts w:ascii="仿宋_GB2312" w:hAnsi="宋体" w:eastAsia="仿宋_GB2312" w:cs="仿宋_GB2312"/>
          <w:color w:val="231F20"/>
          <w:sz w:val="31"/>
          <w:szCs w:val="31"/>
        </w:rPr>
      </w:pPr>
      <w:r>
        <w:rPr>
          <w:rFonts w:ascii="仿宋_GB2312" w:hAnsi="宋体" w:eastAsia="仿宋_GB2312" w:cs="仿宋_GB2312"/>
          <w:color w:val="231F20"/>
          <w:sz w:val="31"/>
          <w:szCs w:val="31"/>
        </w:rPr>
        <w:t>本标准为贵州省食品安全地方标准，在标准的起草过程充分 征求相关单位和专家意见</w:t>
      </w:r>
      <w:r>
        <w:rPr>
          <w:rFonts w:hint="eastAsia" w:ascii="仿宋_GB2312" w:hAnsi="宋体" w:eastAsia="仿宋_GB2312" w:cs="仿宋_GB2312"/>
          <w:color w:val="231F20"/>
          <w:sz w:val="31"/>
          <w:szCs w:val="31"/>
        </w:rPr>
        <w:t>、</w:t>
      </w:r>
      <w:r>
        <w:rPr>
          <w:rFonts w:ascii="仿宋_GB2312" w:hAnsi="宋体" w:eastAsia="仿宋_GB2312" w:cs="仿宋_GB2312"/>
          <w:color w:val="231F20"/>
          <w:sz w:val="31"/>
          <w:szCs w:val="31"/>
        </w:rPr>
        <w:t>建议，通过共同讨论、协商，达成一致</w:t>
      </w:r>
      <w:r>
        <w:rPr>
          <w:rFonts w:hint="eastAsia" w:ascii="仿宋_GB2312" w:hAnsi="宋体" w:eastAsia="仿宋_GB2312" w:cs="仿宋_GB2312"/>
          <w:color w:val="231F20"/>
          <w:sz w:val="31"/>
          <w:szCs w:val="31"/>
          <w:lang w:eastAsia="zh-CN"/>
        </w:rPr>
        <w:t>，</w:t>
      </w:r>
      <w:r>
        <w:rPr>
          <w:rFonts w:ascii="仿宋_GB2312" w:hAnsi="宋体" w:eastAsia="仿宋_GB2312" w:cs="仿宋_GB2312"/>
          <w:color w:val="231F20"/>
          <w:sz w:val="31"/>
          <w:szCs w:val="31"/>
        </w:rPr>
        <w:t>没有重大分歧意见。</w:t>
      </w:r>
    </w:p>
    <w:p>
      <w:pPr>
        <w:spacing w:before="104" w:line="187" w:lineRule="auto"/>
        <w:rPr>
          <w:rFonts w:ascii="黑体" w:hAnsi="黑体" w:eastAsia="黑体" w:cs="黑体"/>
          <w:sz w:val="32"/>
          <w:szCs w:val="32"/>
        </w:rPr>
      </w:pPr>
      <w:r>
        <w:rPr>
          <w:rFonts w:hint="eastAsia" w:ascii="黑体" w:hAnsi="黑体" w:eastAsia="黑体" w:cs="黑体"/>
          <w:spacing w:val="-2"/>
          <w:sz w:val="32"/>
          <w:szCs w:val="32"/>
        </w:rPr>
        <w:t>九</w:t>
      </w:r>
      <w:r>
        <w:rPr>
          <w:rFonts w:ascii="黑体" w:hAnsi="黑体" w:eastAsia="黑体" w:cs="黑体"/>
          <w:spacing w:val="-2"/>
          <w:sz w:val="32"/>
          <w:szCs w:val="32"/>
        </w:rPr>
        <w:t>、贯彻标准的要求和措施建议</w:t>
      </w:r>
    </w:p>
    <w:p>
      <w:pPr>
        <w:spacing w:before="236" w:line="323" w:lineRule="auto"/>
        <w:ind w:left="1" w:right="320" w:firstLine="640"/>
        <w:rPr>
          <w:rFonts w:ascii="仿宋_GB2312" w:hAnsi="宋体" w:eastAsia="仿宋_GB2312" w:cs="仿宋_GB2312"/>
          <w:color w:val="231F20"/>
          <w:sz w:val="31"/>
          <w:szCs w:val="31"/>
        </w:rPr>
      </w:pPr>
      <w:r>
        <w:rPr>
          <w:rFonts w:ascii="仿宋_GB2312" w:hAnsi="宋体" w:eastAsia="仿宋_GB2312" w:cs="仿宋_GB2312"/>
          <w:color w:val="231F20"/>
          <w:sz w:val="31"/>
          <w:szCs w:val="31"/>
        </w:rPr>
        <w:t>本标准发布后，相关单位应及时积极组织做好执行标准的各项工作，标准实施后应按标准要求组织生产、检验、销售。</w:t>
      </w:r>
    </w:p>
    <w:p>
      <w:pPr>
        <w:spacing w:line="202" w:lineRule="auto"/>
        <w:rPr>
          <w:rFonts w:ascii="黑体" w:hAnsi="黑体" w:eastAsia="黑体" w:cs="黑体"/>
          <w:sz w:val="32"/>
          <w:szCs w:val="32"/>
        </w:rPr>
      </w:pPr>
      <w:r>
        <w:rPr>
          <w:rFonts w:hint="eastAsia" w:ascii="黑体" w:hAnsi="黑体" w:eastAsia="黑体" w:cs="黑体"/>
          <w:spacing w:val="-2"/>
          <w:sz w:val="32"/>
          <w:szCs w:val="32"/>
        </w:rPr>
        <w:t>十</w:t>
      </w:r>
      <w:r>
        <w:rPr>
          <w:rFonts w:ascii="黑体" w:hAnsi="黑体" w:eastAsia="黑体" w:cs="黑体"/>
          <w:spacing w:val="-2"/>
          <w:sz w:val="32"/>
          <w:szCs w:val="32"/>
        </w:rPr>
        <w:t>、标准制定对产业发展的影响</w:t>
      </w:r>
    </w:p>
    <w:p>
      <w:pPr>
        <w:spacing w:before="236" w:line="323" w:lineRule="auto"/>
        <w:ind w:left="1" w:right="320" w:firstLine="640"/>
        <w:rPr>
          <w:rFonts w:ascii="仿宋_GB2312" w:hAnsi="宋体" w:eastAsia="仿宋_GB2312" w:cs="仿宋_GB2312"/>
          <w:color w:val="231F20"/>
          <w:sz w:val="31"/>
          <w:szCs w:val="31"/>
        </w:rPr>
      </w:pPr>
      <w:r>
        <w:rPr>
          <w:rFonts w:ascii="仿宋_GB2312" w:hAnsi="宋体" w:eastAsia="仿宋_GB2312" w:cs="仿宋_GB2312"/>
          <w:color w:val="231F20"/>
          <w:sz w:val="31"/>
          <w:szCs w:val="31"/>
        </w:rPr>
        <w:t>本标准的制订，</w:t>
      </w:r>
      <w:r>
        <w:rPr>
          <w:rFonts w:hint="eastAsia" w:ascii="仿宋_GB2312" w:hAnsi="宋体" w:eastAsia="仿宋_GB2312" w:cs="仿宋_GB2312"/>
          <w:color w:val="231F20"/>
          <w:sz w:val="31"/>
          <w:szCs w:val="31"/>
        </w:rPr>
        <w:t>能指导</w:t>
      </w:r>
      <w:r>
        <w:rPr>
          <w:rFonts w:hint="eastAsia" w:ascii="仿宋_GB2312" w:hAnsi="宋体" w:eastAsia="仿宋_GB2312" w:cs="仿宋_GB2312"/>
          <w:color w:val="231F20"/>
          <w:sz w:val="31"/>
          <w:szCs w:val="31"/>
          <w:lang w:eastAsia="zh-CN"/>
        </w:rPr>
        <w:t>和</w:t>
      </w:r>
      <w:r>
        <w:rPr>
          <w:rFonts w:hint="eastAsia" w:ascii="仿宋_GB2312" w:hAnsi="宋体" w:eastAsia="仿宋_GB2312" w:cs="仿宋_GB2312"/>
          <w:color w:val="231F20"/>
          <w:sz w:val="31"/>
          <w:szCs w:val="31"/>
        </w:rPr>
        <w:t>规范冰杨梅汁</w:t>
      </w:r>
      <w:r>
        <w:rPr>
          <w:rFonts w:hint="eastAsia" w:ascii="仿宋_GB2312" w:hAnsi="宋体" w:eastAsia="仿宋_GB2312" w:cs="仿宋_GB2312"/>
          <w:color w:val="231F20"/>
          <w:sz w:val="31"/>
          <w:szCs w:val="31"/>
          <w:lang w:eastAsia="zh-CN"/>
        </w:rPr>
        <w:t>的</w:t>
      </w:r>
      <w:r>
        <w:rPr>
          <w:rFonts w:hint="eastAsia" w:ascii="仿宋_GB2312" w:hAnsi="宋体" w:eastAsia="仿宋_GB2312" w:cs="仿宋_GB2312"/>
          <w:color w:val="231F20"/>
          <w:sz w:val="31"/>
          <w:szCs w:val="31"/>
        </w:rPr>
        <w:t>生产，可以</w:t>
      </w:r>
      <w:r>
        <w:rPr>
          <w:rFonts w:ascii="仿宋_GB2312" w:hAnsi="宋体" w:eastAsia="仿宋_GB2312" w:cs="仿宋_GB2312"/>
          <w:color w:val="231F20"/>
          <w:sz w:val="31"/>
          <w:szCs w:val="31"/>
        </w:rPr>
        <w:t>促</w:t>
      </w:r>
      <w:r>
        <w:rPr>
          <w:rFonts w:hint="eastAsia" w:ascii="仿宋_GB2312" w:hAnsi="宋体" w:eastAsia="仿宋_GB2312" w:cs="仿宋_GB2312"/>
          <w:color w:val="231F20"/>
          <w:sz w:val="31"/>
          <w:szCs w:val="31"/>
        </w:rPr>
        <w:t>进</w:t>
      </w:r>
      <w:r>
        <w:rPr>
          <w:rFonts w:ascii="仿宋_GB2312" w:hAnsi="宋体" w:eastAsia="仿宋_GB2312" w:cs="仿宋_GB2312"/>
          <w:color w:val="231F20"/>
          <w:sz w:val="31"/>
          <w:szCs w:val="31"/>
        </w:rPr>
        <w:t>我省特色产业</w:t>
      </w:r>
      <w:r>
        <w:rPr>
          <w:rFonts w:hint="eastAsia" w:ascii="仿宋_GB2312" w:hAnsi="宋体" w:eastAsia="仿宋_GB2312" w:cs="仿宋_GB2312"/>
          <w:color w:val="231F20"/>
          <w:sz w:val="31"/>
          <w:szCs w:val="31"/>
        </w:rPr>
        <w:t>的</w:t>
      </w:r>
      <w:r>
        <w:rPr>
          <w:rFonts w:ascii="仿宋_GB2312" w:hAnsi="宋体" w:eastAsia="仿宋_GB2312" w:cs="仿宋_GB2312"/>
          <w:color w:val="231F20"/>
          <w:sz w:val="31"/>
          <w:szCs w:val="31"/>
        </w:rPr>
        <w:t>健康发展，</w:t>
      </w:r>
      <w:r>
        <w:rPr>
          <w:rFonts w:hint="eastAsia" w:ascii="仿宋_GB2312" w:hAnsi="宋体" w:eastAsia="仿宋_GB2312" w:cs="仿宋_GB2312"/>
          <w:color w:val="231F20"/>
          <w:sz w:val="31"/>
          <w:szCs w:val="31"/>
        </w:rPr>
        <w:t>方便企业的生产经营，提高我省冰杨梅汁企业的市场竞争力。制定该标准规范生产企业的生产工艺和出厂质量，为</w:t>
      </w:r>
      <w:r>
        <w:rPr>
          <w:rFonts w:ascii="仿宋_GB2312" w:hAnsi="宋体" w:eastAsia="仿宋_GB2312" w:cs="仿宋_GB2312"/>
          <w:color w:val="231F20"/>
          <w:sz w:val="31"/>
          <w:szCs w:val="31"/>
        </w:rPr>
        <w:t>我省</w:t>
      </w:r>
      <w:r>
        <w:rPr>
          <w:rFonts w:hint="eastAsia" w:ascii="仿宋_GB2312" w:hAnsi="宋体" w:eastAsia="仿宋_GB2312" w:cs="仿宋_GB2312"/>
          <w:color w:val="231F20"/>
          <w:sz w:val="31"/>
          <w:szCs w:val="31"/>
        </w:rPr>
        <w:t>冰杨梅汁产品的</w:t>
      </w:r>
      <w:r>
        <w:rPr>
          <w:rFonts w:ascii="仿宋_GB2312" w:hAnsi="宋体" w:eastAsia="仿宋_GB2312" w:cs="仿宋_GB2312"/>
          <w:color w:val="231F20"/>
          <w:sz w:val="31"/>
          <w:szCs w:val="31"/>
        </w:rPr>
        <w:t>生产</w:t>
      </w:r>
      <w:r>
        <w:rPr>
          <w:rFonts w:hint="eastAsia" w:ascii="仿宋_GB2312" w:hAnsi="宋体" w:eastAsia="仿宋_GB2312" w:cs="仿宋_GB2312"/>
          <w:color w:val="231F20"/>
          <w:sz w:val="31"/>
          <w:szCs w:val="31"/>
        </w:rPr>
        <w:t>、</w:t>
      </w:r>
      <w:r>
        <w:rPr>
          <w:rFonts w:ascii="仿宋_GB2312" w:hAnsi="宋体" w:eastAsia="仿宋_GB2312" w:cs="仿宋_GB2312"/>
          <w:color w:val="231F20"/>
          <w:sz w:val="31"/>
          <w:szCs w:val="31"/>
        </w:rPr>
        <w:t>监督</w:t>
      </w:r>
      <w:r>
        <w:rPr>
          <w:rFonts w:hint="eastAsia" w:ascii="仿宋_GB2312" w:hAnsi="宋体" w:eastAsia="仿宋_GB2312" w:cs="仿宋_GB2312"/>
          <w:color w:val="231F20"/>
          <w:sz w:val="31"/>
          <w:szCs w:val="31"/>
        </w:rPr>
        <w:t>、</w:t>
      </w:r>
      <w:r>
        <w:rPr>
          <w:rFonts w:ascii="仿宋_GB2312" w:hAnsi="宋体" w:eastAsia="仿宋_GB2312" w:cs="仿宋_GB2312"/>
          <w:color w:val="231F20"/>
          <w:sz w:val="31"/>
          <w:szCs w:val="31"/>
        </w:rPr>
        <w:t>管理</w:t>
      </w:r>
      <w:r>
        <w:rPr>
          <w:rFonts w:hint="eastAsia" w:ascii="仿宋_GB2312" w:hAnsi="宋体" w:eastAsia="仿宋_GB2312" w:cs="仿宋_GB2312"/>
          <w:color w:val="231F20"/>
          <w:sz w:val="31"/>
          <w:szCs w:val="31"/>
        </w:rPr>
        <w:t>提供</w:t>
      </w:r>
      <w:r>
        <w:rPr>
          <w:rFonts w:ascii="仿宋_GB2312" w:hAnsi="宋体" w:eastAsia="仿宋_GB2312" w:cs="仿宋_GB2312"/>
          <w:color w:val="231F20"/>
          <w:sz w:val="31"/>
          <w:szCs w:val="31"/>
        </w:rPr>
        <w:t>技术依据</w:t>
      </w:r>
      <w:r>
        <w:rPr>
          <w:rFonts w:hint="eastAsia" w:ascii="仿宋_GB2312" w:hAnsi="宋体" w:eastAsia="仿宋_GB2312" w:cs="仿宋_GB2312"/>
          <w:color w:val="231F20"/>
          <w:sz w:val="31"/>
          <w:szCs w:val="31"/>
        </w:rPr>
        <w:t>，并推进我省特色</w:t>
      </w:r>
      <w:r>
        <w:rPr>
          <w:rFonts w:ascii="仿宋_GB2312" w:hAnsi="宋体" w:eastAsia="仿宋_GB2312" w:cs="仿宋_GB2312"/>
          <w:color w:val="231F20"/>
          <w:sz w:val="31"/>
          <w:szCs w:val="31"/>
        </w:rPr>
        <w:t>产品</w:t>
      </w:r>
      <w:r>
        <w:rPr>
          <w:rFonts w:hint="eastAsia" w:ascii="仿宋_GB2312" w:hAnsi="宋体" w:eastAsia="仿宋_GB2312" w:cs="仿宋_GB2312"/>
          <w:color w:val="231F20"/>
          <w:sz w:val="31"/>
          <w:szCs w:val="31"/>
        </w:rPr>
        <w:t>的高质量发展。</w:t>
      </w:r>
    </w:p>
    <w:p>
      <w:pPr>
        <w:spacing w:before="1" w:line="560" w:lineRule="exact"/>
        <w:rPr>
          <w:rFonts w:ascii="黑体" w:hAnsi="黑体" w:eastAsia="黑体" w:cs="黑体"/>
          <w:sz w:val="32"/>
          <w:szCs w:val="32"/>
        </w:rPr>
      </w:pPr>
      <w:r>
        <w:rPr>
          <w:rFonts w:ascii="黑体" w:hAnsi="黑体" w:eastAsia="黑体" w:cs="黑体"/>
          <w:spacing w:val="-2"/>
          <w:position w:val="17"/>
          <w:sz w:val="32"/>
          <w:szCs w:val="32"/>
        </w:rPr>
        <w:t>十</w:t>
      </w:r>
      <w:r>
        <w:rPr>
          <w:rFonts w:hint="eastAsia" w:ascii="黑体" w:hAnsi="黑体" w:eastAsia="黑体" w:cs="黑体"/>
          <w:spacing w:val="-2"/>
          <w:position w:val="17"/>
          <w:sz w:val="32"/>
          <w:szCs w:val="32"/>
        </w:rPr>
        <w:t>一</w:t>
      </w:r>
      <w:r>
        <w:rPr>
          <w:rFonts w:ascii="黑体" w:hAnsi="黑体" w:eastAsia="黑体" w:cs="黑体"/>
          <w:spacing w:val="-2"/>
          <w:position w:val="17"/>
          <w:sz w:val="32"/>
          <w:szCs w:val="32"/>
        </w:rPr>
        <w:t>、其他应予说明的事项</w:t>
      </w:r>
    </w:p>
    <w:p>
      <w:pPr>
        <w:spacing w:before="236" w:line="323" w:lineRule="auto"/>
        <w:ind w:left="1" w:right="320" w:firstLine="640"/>
        <w:rPr>
          <w:rFonts w:ascii="宋体" w:hAnsi="宋体" w:cs="宋体"/>
          <w:sz w:val="24"/>
          <w:szCs w:val="24"/>
        </w:rPr>
      </w:pPr>
      <w:r>
        <w:rPr>
          <w:rFonts w:hint="eastAsia" w:ascii="仿宋_GB2312" w:hAnsi="宋体" w:eastAsia="仿宋_GB2312" w:cs="仿宋_GB2312"/>
          <w:color w:val="231F20"/>
          <w:sz w:val="31"/>
          <w:szCs w:val="31"/>
        </w:rPr>
        <w:t>无</w:t>
      </w:r>
    </w:p>
    <w:p>
      <w:pPr>
        <w:spacing w:after="0" w:line="360" w:lineRule="auto"/>
        <w:jc w:val="center"/>
        <w:rPr>
          <w:rFonts w:ascii="宋体" w:hAnsi="宋体" w:cs="宋体"/>
          <w:sz w:val="24"/>
          <w:szCs w:val="24"/>
        </w:rPr>
      </w:pPr>
    </w:p>
    <w:p>
      <w:pPr>
        <w:spacing w:after="0" w:line="360" w:lineRule="auto"/>
        <w:jc w:val="center"/>
        <w:rPr>
          <w:rFonts w:ascii="宋体" w:hAnsi="宋体" w:cs="宋体"/>
          <w:sz w:val="24"/>
          <w:szCs w:val="24"/>
        </w:rPr>
      </w:pPr>
    </w:p>
    <w:p>
      <w:pPr>
        <w:spacing w:after="0" w:line="360" w:lineRule="auto"/>
        <w:jc w:val="center"/>
        <w:rPr>
          <w:rFonts w:ascii="仿宋_GB2312" w:hAnsi="宋体" w:eastAsia="仿宋_GB2312" w:cs="仿宋_GB2312"/>
          <w:color w:val="231F20"/>
          <w:sz w:val="31"/>
          <w:szCs w:val="31"/>
        </w:rPr>
      </w:pPr>
      <w:r>
        <w:rPr>
          <w:rFonts w:hint="eastAsia" w:ascii="仿宋_GB2312" w:hAnsi="宋体" w:eastAsia="仿宋_GB2312" w:cs="仿宋_GB2312"/>
          <w:color w:val="231F20"/>
          <w:sz w:val="31"/>
          <w:szCs w:val="31"/>
        </w:rPr>
        <w:t xml:space="preserve">                           标准编制组</w:t>
      </w:r>
    </w:p>
    <w:p>
      <w:pPr>
        <w:spacing w:after="0" w:line="360" w:lineRule="auto"/>
        <w:ind w:firstLine="620" w:firstLineChars="200"/>
        <w:jc w:val="left"/>
        <w:rPr>
          <w:lang w:val="en-US" w:eastAsia="zh-CN"/>
        </w:rPr>
      </w:pPr>
      <w:r>
        <w:rPr>
          <w:rFonts w:hint="eastAsia" w:ascii="仿宋_GB2312" w:hAnsi="宋体" w:eastAsia="仿宋_GB2312" w:cs="仿宋_GB2312"/>
          <w:color w:val="231F20"/>
          <w:sz w:val="31"/>
          <w:szCs w:val="31"/>
        </w:rPr>
        <w:t xml:space="preserve">                                 2023年4月2</w:t>
      </w:r>
      <w:r>
        <w:rPr>
          <w:rFonts w:hint="eastAsia" w:ascii="仿宋_GB2312" w:hAnsi="宋体" w:eastAsia="仿宋_GB2312" w:cs="仿宋_GB2312"/>
          <w:color w:val="231F20"/>
          <w:sz w:val="31"/>
          <w:szCs w:val="31"/>
          <w:lang w:eastAsia="zh-CN"/>
        </w:rPr>
        <w:t>日</w:t>
      </w:r>
      <w:bookmarkEnd w:id="2"/>
      <w:bookmarkStart w:id="32" w:name="_GoBack"/>
      <w:bookmarkEnd w:id="32"/>
    </w:p>
    <w:sectPr>
      <w:headerReference r:id="rId5" w:type="default"/>
      <w:footerReference r:id="rId6" w:type="default"/>
      <w:pgSz w:w="11906" w:h="16838"/>
      <w:pgMar w:top="1270" w:right="1236" w:bottom="1270" w:left="1236"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9"/>
                  <w:rPr>
                    <w:rFonts w:cs="Times New Roman"/>
                  </w:rPr>
                </w:pPr>
                <w:r>
                  <w:fldChar w:fldCharType="begin"/>
                </w:r>
                <w:r>
                  <w:instrText xml:space="preserve"> PAGE  \* MERGEFORMAT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C147E"/>
    <w:multiLevelType w:val="singleLevel"/>
    <w:tmpl w:val="6ACC14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1"/>
  </w:compat>
  <w:docVars>
    <w:docVar w:name="commondata" w:val="eyJoZGlkIjoiZjZlMWQ4OWFkZmJkNzY5YWQyZmJjZDk4YmY1NzllZGQifQ=="/>
  </w:docVars>
  <w:rsids>
    <w:rsidRoot w:val="213805BF"/>
    <w:rsid w:val="00003E86"/>
    <w:rsid w:val="0000534F"/>
    <w:rsid w:val="0001312C"/>
    <w:rsid w:val="0001355F"/>
    <w:rsid w:val="00033CBC"/>
    <w:rsid w:val="000407ED"/>
    <w:rsid w:val="00040F31"/>
    <w:rsid w:val="00050BC1"/>
    <w:rsid w:val="000617A8"/>
    <w:rsid w:val="0007457C"/>
    <w:rsid w:val="00085370"/>
    <w:rsid w:val="000913C1"/>
    <w:rsid w:val="000C5495"/>
    <w:rsid w:val="000C563A"/>
    <w:rsid w:val="000D6E53"/>
    <w:rsid w:val="0010509E"/>
    <w:rsid w:val="00135E16"/>
    <w:rsid w:val="00137B96"/>
    <w:rsid w:val="00150098"/>
    <w:rsid w:val="00167695"/>
    <w:rsid w:val="00175D7E"/>
    <w:rsid w:val="00181CF3"/>
    <w:rsid w:val="001C7D2F"/>
    <w:rsid w:val="002156FE"/>
    <w:rsid w:val="00216D77"/>
    <w:rsid w:val="002220E0"/>
    <w:rsid w:val="00226764"/>
    <w:rsid w:val="00230A3C"/>
    <w:rsid w:val="002329F9"/>
    <w:rsid w:val="00253EE8"/>
    <w:rsid w:val="00264088"/>
    <w:rsid w:val="00271220"/>
    <w:rsid w:val="00280219"/>
    <w:rsid w:val="00292E8B"/>
    <w:rsid w:val="0029532F"/>
    <w:rsid w:val="002A0685"/>
    <w:rsid w:val="002A1098"/>
    <w:rsid w:val="002A31B7"/>
    <w:rsid w:val="002B1240"/>
    <w:rsid w:val="003059CE"/>
    <w:rsid w:val="00306F37"/>
    <w:rsid w:val="0030739D"/>
    <w:rsid w:val="0036367C"/>
    <w:rsid w:val="00367B4F"/>
    <w:rsid w:val="00385F52"/>
    <w:rsid w:val="00396DFE"/>
    <w:rsid w:val="003A50FD"/>
    <w:rsid w:val="003C1087"/>
    <w:rsid w:val="003D2221"/>
    <w:rsid w:val="003E05BA"/>
    <w:rsid w:val="003E0610"/>
    <w:rsid w:val="003E1BBE"/>
    <w:rsid w:val="003F21DB"/>
    <w:rsid w:val="00403E65"/>
    <w:rsid w:val="00413FE4"/>
    <w:rsid w:val="00446294"/>
    <w:rsid w:val="00490169"/>
    <w:rsid w:val="00490F08"/>
    <w:rsid w:val="004E4C0B"/>
    <w:rsid w:val="004E6FDE"/>
    <w:rsid w:val="00500D0F"/>
    <w:rsid w:val="00511A4E"/>
    <w:rsid w:val="00526EF1"/>
    <w:rsid w:val="005330AE"/>
    <w:rsid w:val="00544BA1"/>
    <w:rsid w:val="005546FA"/>
    <w:rsid w:val="005751DC"/>
    <w:rsid w:val="005762FA"/>
    <w:rsid w:val="00594538"/>
    <w:rsid w:val="005A36EB"/>
    <w:rsid w:val="005E0C23"/>
    <w:rsid w:val="00601C3C"/>
    <w:rsid w:val="00603BB6"/>
    <w:rsid w:val="00603CAA"/>
    <w:rsid w:val="00617AFF"/>
    <w:rsid w:val="006302E9"/>
    <w:rsid w:val="00647BD7"/>
    <w:rsid w:val="0068341D"/>
    <w:rsid w:val="006D1DE8"/>
    <w:rsid w:val="006E0565"/>
    <w:rsid w:val="006F2F49"/>
    <w:rsid w:val="007235BA"/>
    <w:rsid w:val="00777444"/>
    <w:rsid w:val="007A432F"/>
    <w:rsid w:val="007A50E1"/>
    <w:rsid w:val="007B7B37"/>
    <w:rsid w:val="007D62A1"/>
    <w:rsid w:val="007E3924"/>
    <w:rsid w:val="007F5948"/>
    <w:rsid w:val="00821FD0"/>
    <w:rsid w:val="008510EA"/>
    <w:rsid w:val="00865B79"/>
    <w:rsid w:val="008679CD"/>
    <w:rsid w:val="00876762"/>
    <w:rsid w:val="008901B8"/>
    <w:rsid w:val="00894430"/>
    <w:rsid w:val="008A2FBE"/>
    <w:rsid w:val="008A5B0D"/>
    <w:rsid w:val="008B52CC"/>
    <w:rsid w:val="008C6C69"/>
    <w:rsid w:val="008D0075"/>
    <w:rsid w:val="008E2608"/>
    <w:rsid w:val="008F55C1"/>
    <w:rsid w:val="009066CA"/>
    <w:rsid w:val="0093561A"/>
    <w:rsid w:val="00964C05"/>
    <w:rsid w:val="00985866"/>
    <w:rsid w:val="00991FFC"/>
    <w:rsid w:val="00993A90"/>
    <w:rsid w:val="009A414E"/>
    <w:rsid w:val="009B6C2B"/>
    <w:rsid w:val="009C17CE"/>
    <w:rsid w:val="009F2283"/>
    <w:rsid w:val="00A07387"/>
    <w:rsid w:val="00A22DCC"/>
    <w:rsid w:val="00A45E33"/>
    <w:rsid w:val="00A57D5F"/>
    <w:rsid w:val="00A772EE"/>
    <w:rsid w:val="00A929DB"/>
    <w:rsid w:val="00A95EF9"/>
    <w:rsid w:val="00A96A45"/>
    <w:rsid w:val="00AA267B"/>
    <w:rsid w:val="00AB3C34"/>
    <w:rsid w:val="00AC55AB"/>
    <w:rsid w:val="00AC7200"/>
    <w:rsid w:val="00AF0E07"/>
    <w:rsid w:val="00B00A51"/>
    <w:rsid w:val="00B0467E"/>
    <w:rsid w:val="00B11906"/>
    <w:rsid w:val="00B27BEF"/>
    <w:rsid w:val="00B42296"/>
    <w:rsid w:val="00B46F9C"/>
    <w:rsid w:val="00B6169D"/>
    <w:rsid w:val="00BA318D"/>
    <w:rsid w:val="00BA504D"/>
    <w:rsid w:val="00BB04C8"/>
    <w:rsid w:val="00BC00AF"/>
    <w:rsid w:val="00BD1A82"/>
    <w:rsid w:val="00BD2CD2"/>
    <w:rsid w:val="00C34167"/>
    <w:rsid w:val="00C35C1C"/>
    <w:rsid w:val="00C4531F"/>
    <w:rsid w:val="00C46BE9"/>
    <w:rsid w:val="00C620CD"/>
    <w:rsid w:val="00C7354E"/>
    <w:rsid w:val="00C7616C"/>
    <w:rsid w:val="00CB4357"/>
    <w:rsid w:val="00CC36A1"/>
    <w:rsid w:val="00CC70AA"/>
    <w:rsid w:val="00CD5AE0"/>
    <w:rsid w:val="00CF2FD1"/>
    <w:rsid w:val="00D50EF9"/>
    <w:rsid w:val="00D52931"/>
    <w:rsid w:val="00D8466C"/>
    <w:rsid w:val="00D914E9"/>
    <w:rsid w:val="00D96310"/>
    <w:rsid w:val="00DB3CD9"/>
    <w:rsid w:val="00DC59E0"/>
    <w:rsid w:val="00DD67F1"/>
    <w:rsid w:val="00DE1897"/>
    <w:rsid w:val="00DF1A5B"/>
    <w:rsid w:val="00DF1E09"/>
    <w:rsid w:val="00E05284"/>
    <w:rsid w:val="00E23847"/>
    <w:rsid w:val="00E41868"/>
    <w:rsid w:val="00E442D1"/>
    <w:rsid w:val="00E45526"/>
    <w:rsid w:val="00E55A2C"/>
    <w:rsid w:val="00E7195D"/>
    <w:rsid w:val="00E82D3D"/>
    <w:rsid w:val="00E84300"/>
    <w:rsid w:val="00EA1298"/>
    <w:rsid w:val="00EC7D77"/>
    <w:rsid w:val="00EE02D8"/>
    <w:rsid w:val="00EE15DE"/>
    <w:rsid w:val="00EF5790"/>
    <w:rsid w:val="00F141B6"/>
    <w:rsid w:val="00F34470"/>
    <w:rsid w:val="00F50D0C"/>
    <w:rsid w:val="00F51998"/>
    <w:rsid w:val="00F6303D"/>
    <w:rsid w:val="00F6612E"/>
    <w:rsid w:val="00F86F0D"/>
    <w:rsid w:val="00FB4D20"/>
    <w:rsid w:val="00FB7008"/>
    <w:rsid w:val="00FC691D"/>
    <w:rsid w:val="00FD2042"/>
    <w:rsid w:val="00FE5DB4"/>
    <w:rsid w:val="02012AE7"/>
    <w:rsid w:val="025D56C7"/>
    <w:rsid w:val="031057BC"/>
    <w:rsid w:val="037359AC"/>
    <w:rsid w:val="04294B85"/>
    <w:rsid w:val="0451082D"/>
    <w:rsid w:val="046224BE"/>
    <w:rsid w:val="05746EA6"/>
    <w:rsid w:val="05E36FAE"/>
    <w:rsid w:val="06C54A31"/>
    <w:rsid w:val="08377514"/>
    <w:rsid w:val="0A2932BB"/>
    <w:rsid w:val="0AAD3688"/>
    <w:rsid w:val="0AB7162C"/>
    <w:rsid w:val="0D4C7F08"/>
    <w:rsid w:val="0D6445E5"/>
    <w:rsid w:val="0DEF0D91"/>
    <w:rsid w:val="0E556C68"/>
    <w:rsid w:val="10637FDE"/>
    <w:rsid w:val="11A224FA"/>
    <w:rsid w:val="127557F5"/>
    <w:rsid w:val="13B561E0"/>
    <w:rsid w:val="13CF31FE"/>
    <w:rsid w:val="13EA76CE"/>
    <w:rsid w:val="14243A9C"/>
    <w:rsid w:val="148D34A2"/>
    <w:rsid w:val="14AF1BF6"/>
    <w:rsid w:val="15675777"/>
    <w:rsid w:val="157A48FE"/>
    <w:rsid w:val="160762F9"/>
    <w:rsid w:val="16701234"/>
    <w:rsid w:val="174E70B5"/>
    <w:rsid w:val="17566275"/>
    <w:rsid w:val="175F0D6D"/>
    <w:rsid w:val="177C23AB"/>
    <w:rsid w:val="18032672"/>
    <w:rsid w:val="182665CE"/>
    <w:rsid w:val="183679A5"/>
    <w:rsid w:val="1909202F"/>
    <w:rsid w:val="19991CD1"/>
    <w:rsid w:val="19F6444C"/>
    <w:rsid w:val="1A612855"/>
    <w:rsid w:val="1A904788"/>
    <w:rsid w:val="1A9C1A22"/>
    <w:rsid w:val="1AB34576"/>
    <w:rsid w:val="1AB57E9D"/>
    <w:rsid w:val="1AFA2B58"/>
    <w:rsid w:val="1B01448D"/>
    <w:rsid w:val="1B603498"/>
    <w:rsid w:val="1B775CF6"/>
    <w:rsid w:val="1B784027"/>
    <w:rsid w:val="1C8E7B64"/>
    <w:rsid w:val="1D294E38"/>
    <w:rsid w:val="1D9B4156"/>
    <w:rsid w:val="1DA71E4A"/>
    <w:rsid w:val="1DCD0631"/>
    <w:rsid w:val="1EE06E8A"/>
    <w:rsid w:val="1F4F565B"/>
    <w:rsid w:val="20F23C61"/>
    <w:rsid w:val="213805BF"/>
    <w:rsid w:val="226640F8"/>
    <w:rsid w:val="227D0725"/>
    <w:rsid w:val="233D1547"/>
    <w:rsid w:val="264E1796"/>
    <w:rsid w:val="265071E7"/>
    <w:rsid w:val="27D83740"/>
    <w:rsid w:val="28450528"/>
    <w:rsid w:val="288249BC"/>
    <w:rsid w:val="292E104E"/>
    <w:rsid w:val="2ADB3849"/>
    <w:rsid w:val="2B36520B"/>
    <w:rsid w:val="2B5C3E2D"/>
    <w:rsid w:val="2B770C2F"/>
    <w:rsid w:val="2BBE0430"/>
    <w:rsid w:val="2BCE0FC7"/>
    <w:rsid w:val="2C3B5375"/>
    <w:rsid w:val="2CFC73CB"/>
    <w:rsid w:val="2D766157"/>
    <w:rsid w:val="2DC56BB2"/>
    <w:rsid w:val="2E3E6220"/>
    <w:rsid w:val="2F327EB3"/>
    <w:rsid w:val="2F8043BB"/>
    <w:rsid w:val="301C7DD8"/>
    <w:rsid w:val="30AA2532"/>
    <w:rsid w:val="319F4EDF"/>
    <w:rsid w:val="338C29AB"/>
    <w:rsid w:val="33D12099"/>
    <w:rsid w:val="33F05ED5"/>
    <w:rsid w:val="350B240A"/>
    <w:rsid w:val="35C35193"/>
    <w:rsid w:val="36BD4907"/>
    <w:rsid w:val="36DC213F"/>
    <w:rsid w:val="36E106F2"/>
    <w:rsid w:val="372A28D8"/>
    <w:rsid w:val="386D3BA5"/>
    <w:rsid w:val="390943E1"/>
    <w:rsid w:val="39237FBE"/>
    <w:rsid w:val="39944DBD"/>
    <w:rsid w:val="39F508D0"/>
    <w:rsid w:val="3A104ACA"/>
    <w:rsid w:val="3A5E546D"/>
    <w:rsid w:val="3AA73291"/>
    <w:rsid w:val="3B5B4000"/>
    <w:rsid w:val="3BF74FA0"/>
    <w:rsid w:val="3C8348B7"/>
    <w:rsid w:val="3D29102B"/>
    <w:rsid w:val="3DDE03C6"/>
    <w:rsid w:val="3DF62E3B"/>
    <w:rsid w:val="3E096943"/>
    <w:rsid w:val="3E4617B7"/>
    <w:rsid w:val="3E9A65FF"/>
    <w:rsid w:val="3F977E4A"/>
    <w:rsid w:val="3FED0660"/>
    <w:rsid w:val="40146F81"/>
    <w:rsid w:val="40481B93"/>
    <w:rsid w:val="40614700"/>
    <w:rsid w:val="40A91C89"/>
    <w:rsid w:val="421438E4"/>
    <w:rsid w:val="42B10965"/>
    <w:rsid w:val="42F856C0"/>
    <w:rsid w:val="44236F42"/>
    <w:rsid w:val="45193E25"/>
    <w:rsid w:val="455E07D2"/>
    <w:rsid w:val="461B6356"/>
    <w:rsid w:val="46810757"/>
    <w:rsid w:val="474C325C"/>
    <w:rsid w:val="47501F16"/>
    <w:rsid w:val="478333D8"/>
    <w:rsid w:val="47A660FE"/>
    <w:rsid w:val="47B777FB"/>
    <w:rsid w:val="47BC4A7B"/>
    <w:rsid w:val="49E07201"/>
    <w:rsid w:val="4AA26DD8"/>
    <w:rsid w:val="4BC23E1F"/>
    <w:rsid w:val="4CAF4846"/>
    <w:rsid w:val="4CD3655A"/>
    <w:rsid w:val="4CE46CAD"/>
    <w:rsid w:val="4D5E4179"/>
    <w:rsid w:val="4F4769AB"/>
    <w:rsid w:val="4F4E2A2E"/>
    <w:rsid w:val="4F605196"/>
    <w:rsid w:val="4F7F7618"/>
    <w:rsid w:val="4F8E3D5C"/>
    <w:rsid w:val="508B617A"/>
    <w:rsid w:val="508E721C"/>
    <w:rsid w:val="51E9408A"/>
    <w:rsid w:val="52DA5B06"/>
    <w:rsid w:val="541B0921"/>
    <w:rsid w:val="549E744E"/>
    <w:rsid w:val="558176DC"/>
    <w:rsid w:val="55C31115"/>
    <w:rsid w:val="55D774A3"/>
    <w:rsid w:val="566521E5"/>
    <w:rsid w:val="582B242F"/>
    <w:rsid w:val="58D4596B"/>
    <w:rsid w:val="596A34ED"/>
    <w:rsid w:val="5A2605D5"/>
    <w:rsid w:val="5BA51F79"/>
    <w:rsid w:val="5BCF4442"/>
    <w:rsid w:val="5C8B7594"/>
    <w:rsid w:val="5D0D4B74"/>
    <w:rsid w:val="5EFE50E7"/>
    <w:rsid w:val="5F263700"/>
    <w:rsid w:val="5FDE23F7"/>
    <w:rsid w:val="60216B05"/>
    <w:rsid w:val="60593AF8"/>
    <w:rsid w:val="60CD64CD"/>
    <w:rsid w:val="60F8644E"/>
    <w:rsid w:val="62A81E77"/>
    <w:rsid w:val="62B70246"/>
    <w:rsid w:val="6380292E"/>
    <w:rsid w:val="63B94A9E"/>
    <w:rsid w:val="640F465D"/>
    <w:rsid w:val="65E436C4"/>
    <w:rsid w:val="6742665A"/>
    <w:rsid w:val="674312C1"/>
    <w:rsid w:val="67B75388"/>
    <w:rsid w:val="67D7ADAC"/>
    <w:rsid w:val="67F126B6"/>
    <w:rsid w:val="68324900"/>
    <w:rsid w:val="685C6CDA"/>
    <w:rsid w:val="68673D15"/>
    <w:rsid w:val="68AB35A5"/>
    <w:rsid w:val="69795089"/>
    <w:rsid w:val="697D07D1"/>
    <w:rsid w:val="69821466"/>
    <w:rsid w:val="69877BAF"/>
    <w:rsid w:val="69D913E0"/>
    <w:rsid w:val="6AB91952"/>
    <w:rsid w:val="6AD9240D"/>
    <w:rsid w:val="6BAA660C"/>
    <w:rsid w:val="6BB619DB"/>
    <w:rsid w:val="6C646680"/>
    <w:rsid w:val="6CFE0657"/>
    <w:rsid w:val="6D755C8A"/>
    <w:rsid w:val="6D7945C3"/>
    <w:rsid w:val="6D934EB3"/>
    <w:rsid w:val="6DCB4501"/>
    <w:rsid w:val="6DE36F06"/>
    <w:rsid w:val="6DFC1C5C"/>
    <w:rsid w:val="6EE3576E"/>
    <w:rsid w:val="6FB65230"/>
    <w:rsid w:val="7068632E"/>
    <w:rsid w:val="7101110A"/>
    <w:rsid w:val="71084AD7"/>
    <w:rsid w:val="710E0D94"/>
    <w:rsid w:val="715031D7"/>
    <w:rsid w:val="721D7D8C"/>
    <w:rsid w:val="72383623"/>
    <w:rsid w:val="72EB1E9E"/>
    <w:rsid w:val="746C056B"/>
    <w:rsid w:val="75AC4F0F"/>
    <w:rsid w:val="75BF7E5E"/>
    <w:rsid w:val="769D1196"/>
    <w:rsid w:val="76C82981"/>
    <w:rsid w:val="77457C64"/>
    <w:rsid w:val="775B7BB7"/>
    <w:rsid w:val="778D3E30"/>
    <w:rsid w:val="79233CFB"/>
    <w:rsid w:val="79E8476A"/>
    <w:rsid w:val="7A4A423E"/>
    <w:rsid w:val="7B380CEA"/>
    <w:rsid w:val="7C096850"/>
    <w:rsid w:val="7CC3561B"/>
    <w:rsid w:val="7CF31F6F"/>
    <w:rsid w:val="7D763762"/>
    <w:rsid w:val="7DCE2543"/>
    <w:rsid w:val="7E79746B"/>
    <w:rsid w:val="7EEE1D81"/>
    <w:rsid w:val="7F7C5301"/>
    <w:rsid w:val="7FFD5A5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name="toc 3" w:locked="1"/>
    <w:lsdException w:qFormat="1" w:unhideWhenUsed="0" w:uiPriority="99" w:name="toc 4" w:locked="1"/>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6" w:lineRule="auto"/>
      <w:outlineLvl w:val="0"/>
    </w:pPr>
    <w:rPr>
      <w:rFonts w:ascii="Times New Roman" w:hAnsi="Times New Roman" w:cs="Times New Roman"/>
      <w:b/>
      <w:bCs/>
      <w:kern w:val="44"/>
    </w:rPr>
  </w:style>
  <w:style w:type="paragraph" w:styleId="3">
    <w:name w:val="heading 2"/>
    <w:basedOn w:val="1"/>
    <w:next w:val="1"/>
    <w:link w:val="19"/>
    <w:qFormat/>
    <w:uiPriority w:val="99"/>
    <w:pPr>
      <w:keepNext/>
      <w:keepLines/>
      <w:spacing w:before="260" w:after="260" w:line="415" w:lineRule="auto"/>
      <w:outlineLvl w:val="1"/>
    </w:pPr>
    <w:rPr>
      <w:rFonts w:ascii="Calibri Light" w:hAnsi="Calibri Light" w:cs="Calibri Light"/>
      <w:b/>
      <w:bCs/>
      <w:kern w:val="24"/>
    </w:rPr>
  </w:style>
  <w:style w:type="paragraph" w:styleId="4">
    <w:name w:val="heading 3"/>
    <w:basedOn w:val="1"/>
    <w:next w:val="1"/>
    <w:link w:val="20"/>
    <w:qFormat/>
    <w:locked/>
    <w:uiPriority w:val="99"/>
    <w:pPr>
      <w:keepNext/>
      <w:keepLines/>
      <w:spacing w:before="260" w:after="260" w:line="416" w:lineRule="auto"/>
      <w:outlineLvl w:val="2"/>
    </w:pPr>
    <w:rPr>
      <w:b/>
      <w:bCs/>
      <w:sz w:val="32"/>
      <w:szCs w:val="32"/>
    </w:rPr>
  </w:style>
  <w:style w:type="paragraph" w:styleId="5">
    <w:name w:val="heading 4"/>
    <w:basedOn w:val="1"/>
    <w:next w:val="1"/>
    <w:link w:val="21"/>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semiHidden/>
    <w:qFormat/>
    <w:locked/>
    <w:uiPriority w:val="99"/>
    <w:pPr>
      <w:ind w:left="840" w:leftChars="400"/>
    </w:pPr>
  </w:style>
  <w:style w:type="paragraph" w:styleId="7">
    <w:name w:val="Date"/>
    <w:basedOn w:val="1"/>
    <w:next w:val="1"/>
    <w:link w:val="22"/>
    <w:qFormat/>
    <w:uiPriority w:val="99"/>
    <w:pPr>
      <w:ind w:left="100" w:leftChars="2500"/>
    </w:pPr>
  </w:style>
  <w:style w:type="paragraph" w:styleId="8">
    <w:name w:val="Body Text Indent 2"/>
    <w:basedOn w:val="1"/>
    <w:link w:val="23"/>
    <w:qFormat/>
    <w:uiPriority w:val="99"/>
    <w:pPr>
      <w:spacing w:after="120" w:line="480" w:lineRule="auto"/>
      <w:ind w:left="420" w:leftChars="200"/>
    </w:pPr>
    <w:rPr>
      <w:rFonts w:ascii="Times New Roman" w:hAnsi="Times New Roman" w:cs="Times New Roman"/>
      <w:sz w:val="24"/>
      <w:szCs w:val="24"/>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toc 4"/>
    <w:basedOn w:val="6"/>
    <w:next w:val="1"/>
    <w:semiHidden/>
    <w:qFormat/>
    <w:locked/>
    <w:uiPriority w:val="99"/>
    <w:pPr>
      <w:widowControl/>
      <w:ind w:left="0" w:leftChars="0"/>
    </w:pPr>
    <w:rPr>
      <w:rFonts w:ascii="宋体" w:cs="宋体"/>
      <w:kern w:val="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rPr>
      <w:rFonts w:ascii="宋体" w:hAns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locked/>
    <w:uiPriority w:val="99"/>
    <w:rPr>
      <w:b/>
      <w:bCs/>
    </w:rPr>
  </w:style>
  <w:style w:type="character" w:styleId="17">
    <w:name w:val="page number"/>
    <w:basedOn w:val="15"/>
    <w:qFormat/>
    <w:locked/>
    <w:uiPriority w:val="99"/>
    <w:rPr>
      <w:rFonts w:ascii="Times New Roman" w:hAnsi="Times New Roman" w:eastAsia="宋体" w:cs="Times New Roman"/>
      <w:sz w:val="18"/>
      <w:szCs w:val="18"/>
    </w:rPr>
  </w:style>
  <w:style w:type="character" w:customStyle="1" w:styleId="18">
    <w:name w:val="标题 1 Char"/>
    <w:basedOn w:val="15"/>
    <w:link w:val="2"/>
    <w:qFormat/>
    <w:locked/>
    <w:uiPriority w:val="99"/>
    <w:rPr>
      <w:rFonts w:ascii="Times New Roman" w:hAnsi="Times New Roman" w:eastAsia="宋体" w:cs="Times New Roman"/>
      <w:b/>
      <w:bCs/>
      <w:kern w:val="44"/>
      <w:sz w:val="21"/>
      <w:szCs w:val="21"/>
    </w:rPr>
  </w:style>
  <w:style w:type="character" w:customStyle="1" w:styleId="19">
    <w:name w:val="标题 2 Char"/>
    <w:basedOn w:val="15"/>
    <w:link w:val="3"/>
    <w:qFormat/>
    <w:locked/>
    <w:uiPriority w:val="99"/>
    <w:rPr>
      <w:rFonts w:ascii="Calibri Light" w:hAnsi="Calibri Light" w:eastAsia="宋体" w:cs="Calibri Light"/>
      <w:b/>
      <w:bCs/>
      <w:kern w:val="24"/>
      <w:sz w:val="21"/>
      <w:szCs w:val="21"/>
    </w:rPr>
  </w:style>
  <w:style w:type="character" w:customStyle="1" w:styleId="20">
    <w:name w:val="标题 3 Char"/>
    <w:basedOn w:val="15"/>
    <w:link w:val="4"/>
    <w:semiHidden/>
    <w:qFormat/>
    <w:uiPriority w:val="9"/>
    <w:rPr>
      <w:rFonts w:ascii="Calibri" w:hAnsi="Calibri" w:cs="Calibri"/>
      <w:b/>
      <w:bCs/>
      <w:sz w:val="32"/>
      <w:szCs w:val="32"/>
    </w:rPr>
  </w:style>
  <w:style w:type="character" w:customStyle="1" w:styleId="21">
    <w:name w:val="标题 4 Char"/>
    <w:basedOn w:val="15"/>
    <w:link w:val="5"/>
    <w:qFormat/>
    <w:locked/>
    <w:uiPriority w:val="99"/>
    <w:rPr>
      <w:rFonts w:ascii="Arial" w:hAnsi="Arial" w:eastAsia="黑体" w:cs="Arial"/>
      <w:b/>
      <w:bCs/>
      <w:kern w:val="2"/>
      <w:sz w:val="28"/>
      <w:szCs w:val="28"/>
    </w:rPr>
  </w:style>
  <w:style w:type="character" w:customStyle="1" w:styleId="22">
    <w:name w:val="日期 Char"/>
    <w:basedOn w:val="15"/>
    <w:link w:val="7"/>
    <w:qFormat/>
    <w:locked/>
    <w:uiPriority w:val="99"/>
    <w:rPr>
      <w:kern w:val="2"/>
      <w:sz w:val="21"/>
      <w:szCs w:val="21"/>
    </w:rPr>
  </w:style>
  <w:style w:type="character" w:customStyle="1" w:styleId="23">
    <w:name w:val="正文文本缩进 2 Char"/>
    <w:basedOn w:val="15"/>
    <w:link w:val="8"/>
    <w:qFormat/>
    <w:locked/>
    <w:uiPriority w:val="99"/>
    <w:rPr>
      <w:rFonts w:ascii="Times New Roman" w:hAnsi="Times New Roman" w:eastAsia="宋体" w:cs="Times New Roman"/>
      <w:kern w:val="2"/>
      <w:sz w:val="24"/>
      <w:szCs w:val="24"/>
    </w:rPr>
  </w:style>
  <w:style w:type="character" w:customStyle="1" w:styleId="24">
    <w:name w:val="页脚 Char"/>
    <w:basedOn w:val="15"/>
    <w:link w:val="9"/>
    <w:qFormat/>
    <w:locked/>
    <w:uiPriority w:val="99"/>
    <w:rPr>
      <w:kern w:val="2"/>
      <w:sz w:val="18"/>
      <w:szCs w:val="18"/>
    </w:rPr>
  </w:style>
  <w:style w:type="character" w:customStyle="1" w:styleId="25">
    <w:name w:val="页眉 Char"/>
    <w:basedOn w:val="15"/>
    <w:link w:val="10"/>
    <w:qFormat/>
    <w:locked/>
    <w:uiPriority w:val="99"/>
    <w:rPr>
      <w:kern w:val="2"/>
      <w:sz w:val="18"/>
      <w:szCs w:val="18"/>
    </w:rPr>
  </w:style>
  <w:style w:type="paragraph" w:customStyle="1" w:styleId="26">
    <w:name w:val="正文表标题"/>
    <w:basedOn w:val="1"/>
    <w:next w:val="27"/>
    <w:qFormat/>
    <w:uiPriority w:val="99"/>
    <w:pPr>
      <w:widowControl/>
      <w:spacing w:beforeLines="50" w:afterLines="50"/>
      <w:ind w:left="3780"/>
      <w:jc w:val="center"/>
    </w:pPr>
    <w:rPr>
      <w:rFonts w:ascii="黑体" w:hAnsi="宋体" w:eastAsia="黑体" w:cs="黑体"/>
      <w:kern w:val="0"/>
    </w:rPr>
  </w:style>
  <w:style w:type="paragraph" w:customStyle="1" w:styleId="27">
    <w:name w:val="段"/>
    <w:basedOn w:val="1"/>
    <w:link w:val="30"/>
    <w:qFormat/>
    <w:uiPriority w:val="99"/>
    <w:pPr>
      <w:widowControl/>
      <w:autoSpaceDE w:val="0"/>
      <w:autoSpaceDN w:val="0"/>
      <w:ind w:firstLine="420" w:firstLineChars="200"/>
    </w:pPr>
    <w:rPr>
      <w:rFonts w:ascii="宋体" w:hAnsi="Times New Roman" w:cs="宋体"/>
      <w:kern w:val="0"/>
    </w:rPr>
  </w:style>
  <w:style w:type="paragraph" w:customStyle="1" w:styleId="28">
    <w:name w:val="二级条标题"/>
    <w:basedOn w:val="29"/>
    <w:next w:val="27"/>
    <w:qFormat/>
    <w:uiPriority w:val="99"/>
    <w:pPr>
      <w:ind w:left="0"/>
      <w:outlineLvl w:val="3"/>
    </w:pPr>
  </w:style>
  <w:style w:type="paragraph" w:customStyle="1" w:styleId="29">
    <w:name w:val="一级条标题"/>
    <w:basedOn w:val="1"/>
    <w:next w:val="27"/>
    <w:link w:val="31"/>
    <w:qFormat/>
    <w:uiPriority w:val="99"/>
    <w:pPr>
      <w:widowControl/>
      <w:spacing w:beforeLines="50" w:afterLines="50"/>
      <w:ind w:left="105"/>
      <w:jc w:val="left"/>
      <w:outlineLvl w:val="2"/>
    </w:pPr>
    <w:rPr>
      <w:rFonts w:ascii="黑体" w:hAnsi="宋体" w:eastAsia="黑体" w:cs="黑体"/>
      <w:kern w:val="0"/>
    </w:rPr>
  </w:style>
  <w:style w:type="character" w:customStyle="1" w:styleId="30">
    <w:name w:val="段 Char"/>
    <w:link w:val="27"/>
    <w:qFormat/>
    <w:locked/>
    <w:uiPriority w:val="99"/>
    <w:rPr>
      <w:rFonts w:ascii="宋体" w:eastAsia="宋体" w:cs="宋体"/>
      <w:sz w:val="21"/>
      <w:szCs w:val="21"/>
    </w:rPr>
  </w:style>
  <w:style w:type="character" w:customStyle="1" w:styleId="31">
    <w:name w:val="一级条标题 Char"/>
    <w:link w:val="29"/>
    <w:qFormat/>
    <w:locked/>
    <w:uiPriority w:val="99"/>
    <w:rPr>
      <w:rFonts w:ascii="黑体" w:hAnsi="宋体" w:eastAsia="黑体" w:cs="黑体"/>
      <w:sz w:val="21"/>
      <w:szCs w:val="21"/>
    </w:rPr>
  </w:style>
  <w:style w:type="paragraph" w:customStyle="1" w:styleId="32">
    <w:name w:val="三级条标题"/>
    <w:basedOn w:val="28"/>
    <w:next w:val="27"/>
    <w:qFormat/>
    <w:uiPriority w:val="99"/>
    <w:pPr>
      <w:tabs>
        <w:tab w:val="left" w:pos="2551"/>
      </w:tabs>
      <w:spacing w:beforeLines="0" w:afterLines="0"/>
      <w:ind w:left="2551" w:hanging="850"/>
      <w:outlineLvl w:val="4"/>
    </w:pPr>
    <w:rPr>
      <w:rFonts w:ascii="Times New Roman" w:hAnsi="Times New Roman" w:cs="Times New Roman"/>
    </w:rPr>
  </w:style>
  <w:style w:type="paragraph" w:customStyle="1" w:styleId="33">
    <w:name w:val="章标题"/>
    <w:next w:val="27"/>
    <w:qFormat/>
    <w:uiPriority w:val="99"/>
    <w:pPr>
      <w:tabs>
        <w:tab w:val="left" w:pos="992"/>
      </w:tabs>
      <w:spacing w:beforeLines="50" w:afterLines="50" w:line="259" w:lineRule="auto"/>
      <w:ind w:left="992" w:hanging="567"/>
      <w:jc w:val="both"/>
      <w:outlineLvl w:val="1"/>
    </w:pPr>
    <w:rPr>
      <w:rFonts w:ascii="黑体" w:hAnsi="Times New Roman" w:eastAsia="黑体" w:cs="黑体"/>
      <w:sz w:val="21"/>
      <w:szCs w:val="21"/>
      <w:lang w:val="en-US" w:eastAsia="zh-CN" w:bidi="ar-SA"/>
    </w:rPr>
  </w:style>
  <w:style w:type="paragraph" w:customStyle="1" w:styleId="34">
    <w:name w:val="reader-word-layer"/>
    <w:basedOn w:val="1"/>
    <w:qFormat/>
    <w:uiPriority w:val="99"/>
    <w:pPr>
      <w:spacing w:before="100" w:beforeAutospacing="1" w:after="100" w:afterAutospacing="1"/>
    </w:pPr>
    <w:rPr>
      <w:rFonts w:ascii="宋体" w:hAnsi="宋体" w:cs="宋体"/>
      <w:sz w:val="24"/>
      <w:szCs w:val="24"/>
    </w:rPr>
  </w:style>
  <w:style w:type="paragraph" w:customStyle="1" w:styleId="35">
    <w:name w:val="四级条标题"/>
    <w:basedOn w:val="32"/>
    <w:next w:val="27"/>
    <w:qFormat/>
    <w:uiPriority w:val="99"/>
    <w:pPr>
      <w:tabs>
        <w:tab w:val="clear" w:pos="2551"/>
      </w:tabs>
      <w:spacing w:beforeLines="50" w:afterLines="50"/>
      <w:ind w:left="0" w:firstLine="0"/>
      <w:outlineLvl w:val="5"/>
    </w:pPr>
    <w:rPr>
      <w:rFonts w:ascii="黑体" w:cs="黑体"/>
    </w:rPr>
  </w:style>
  <w:style w:type="paragraph" w:customStyle="1" w:styleId="36">
    <w:name w:val="五级条标题"/>
    <w:basedOn w:val="35"/>
    <w:next w:val="27"/>
    <w:qFormat/>
    <w:uiPriority w:val="99"/>
    <w:pPr>
      <w:outlineLvl w:val="6"/>
    </w:pPr>
  </w:style>
  <w:style w:type="paragraph" w:customStyle="1" w:styleId="37">
    <w:name w:val="章"/>
    <w:basedOn w:val="4"/>
    <w:qFormat/>
    <w:uiPriority w:val="99"/>
    <w:pPr>
      <w:tabs>
        <w:tab w:val="left" w:pos="720"/>
      </w:tabs>
      <w:spacing w:line="415" w:lineRule="auto"/>
    </w:pPr>
    <w:rPr>
      <w:rFonts w:eastAsia="黑体"/>
      <w:b w:val="0"/>
      <w:bCs w:val="0"/>
      <w:sz w:val="21"/>
      <w:szCs w:val="21"/>
    </w:rPr>
  </w:style>
  <w:style w:type="character" w:customStyle="1" w:styleId="38">
    <w:name w:val="font11"/>
    <w:basedOn w:val="15"/>
    <w:qFormat/>
    <w:uiPriority w:val="99"/>
    <w:rPr>
      <w:rFonts w:ascii="宋体" w:hAnsi="宋体" w:eastAsia="宋体" w:cs="宋体"/>
      <w:color w:val="FF0000"/>
      <w:sz w:val="20"/>
      <w:szCs w:val="20"/>
      <w:u w:val="none"/>
      <w:vertAlign w:val="superscript"/>
    </w:rPr>
  </w:style>
  <w:style w:type="character" w:customStyle="1" w:styleId="39">
    <w:name w:val="font21"/>
    <w:basedOn w:val="15"/>
    <w:qFormat/>
    <w:uiPriority w:val="99"/>
    <w:rPr>
      <w:rFonts w:ascii="宋体" w:hAnsi="宋体" w:eastAsia="宋体" w:cs="宋体"/>
      <w:color w:val="FF0000"/>
      <w:sz w:val="20"/>
      <w:szCs w:val="20"/>
      <w:u w:val="none"/>
    </w:rPr>
  </w:style>
  <w:style w:type="character" w:customStyle="1" w:styleId="40">
    <w:name w:val="font41"/>
    <w:basedOn w:val="15"/>
    <w:qFormat/>
    <w:uiPriority w:val="99"/>
    <w:rPr>
      <w:rFonts w:ascii="宋体" w:hAnsi="宋体" w:eastAsia="宋体" w:cs="宋体"/>
      <w:color w:val="FF0000"/>
      <w:sz w:val="18"/>
      <w:szCs w:val="18"/>
      <w:u w:val="none"/>
    </w:rPr>
  </w:style>
  <w:style w:type="character" w:customStyle="1" w:styleId="41">
    <w:name w:val="font31"/>
    <w:basedOn w:val="15"/>
    <w:qFormat/>
    <w:uiPriority w:val="99"/>
    <w:rPr>
      <w:rFonts w:ascii="宋体" w:hAnsi="宋体" w:eastAsia="宋体" w:cs="宋体"/>
      <w:color w:val="FF0000"/>
      <w:sz w:val="20"/>
      <w:szCs w:val="20"/>
      <w:u w:val="none"/>
    </w:rPr>
  </w:style>
  <w:style w:type="character" w:customStyle="1" w:styleId="42">
    <w:name w:val="font71"/>
    <w:basedOn w:val="15"/>
    <w:qFormat/>
    <w:uiPriority w:val="99"/>
    <w:rPr>
      <w:rFonts w:ascii="宋体" w:hAnsi="宋体" w:eastAsia="宋体" w:cs="宋体"/>
      <w:color w:val="FF0000"/>
      <w:sz w:val="18"/>
      <w:szCs w:val="18"/>
      <w:u w:val="none"/>
    </w:rPr>
  </w:style>
  <w:style w:type="paragraph" w:customStyle="1" w:styleId="43">
    <w:name w:val="标准书脚_奇数页"/>
    <w:qFormat/>
    <w:uiPriority w:val="99"/>
    <w:pPr>
      <w:spacing w:before="120" w:after="160" w:line="259" w:lineRule="auto"/>
      <w:jc w:val="right"/>
    </w:pPr>
    <w:rPr>
      <w:rFonts w:ascii="Times New Roman"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4967</Words>
  <Characters>5291</Characters>
  <Lines>4</Lines>
  <Paragraphs>11</Paragraphs>
  <TotalTime>21</TotalTime>
  <ScaleCrop>false</ScaleCrop>
  <LinksUpToDate>false</LinksUpToDate>
  <CharactersWithSpaces>5409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2020-11-19T11:02:00Z</dcterms:created>
  <dc:creator>Administrator</dc:creator>
  <cp:lastModifiedBy>张健飞</cp:lastModifiedBy>
  <cp:lastPrinted>2023-04-13T02:48:52Z</cp:lastPrinted>
  <dcterms:modified xsi:type="dcterms:W3CDTF">2023-04-13T02:49:27Z</dcterms:modified>
  <dc:title>推荐性国家标准《太子参种子、种根》编制说明</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4775401557894F58AF9EF8DE51ECAB94</vt:lpwstr>
  </property>
</Properties>
</file>