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wrap="around"/>
        <w:ind w:left="210" w:leftChars="100"/>
        <w:rPr>
          <w:rFonts w:hint="default" w:ascii="Times New Roman" w:eastAsia="黑体"/>
          <w:lang w:val="en-US" w:eastAsia="zh-CN"/>
        </w:rPr>
      </w:pPr>
      <w:r>
        <w:rPr>
          <w:rFonts w:ascii="Times New Roman"/>
        </w:rPr>
        <w:t>ICS</w:t>
      </w:r>
      <w:r>
        <w:rPr>
          <w:rFonts w:hint="eastAsia" w:ascii="Times New Roman"/>
          <w:lang w:val="en-US" w:eastAsia="zh-CN"/>
        </w:rPr>
        <w:t xml:space="preserve"> 65.140</w:t>
      </w:r>
      <w:bookmarkStart w:id="42" w:name="_GoBack"/>
      <w:bookmarkEnd w:id="42"/>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4"/>
              <w:framePr w:wrap="around"/>
              <w:ind w:firstLine="210" w:firstLineChars="100"/>
              <w:rPr>
                <w:rFonts w:ascii="Times New Roman"/>
              </w:rPr>
            </w:pPr>
            <w:bookmarkStart w:id="0" w:name="WXFLH"/>
            <w:r>
              <w:rPr>
                <w:rFonts w:hint="eastAsia" w:ascii="Times New Roman"/>
              </w:rPr>
              <w:t>C</w:t>
            </w:r>
            <w:r>
              <w:rPr>
                <w:rFonts w:ascii="Times New Roman"/>
              </w:rPr>
              <w:t xml:space="preserve">CS </w:t>
            </w:r>
            <w:bookmarkEnd w:id="0"/>
            <w:r>
              <w:rPr>
                <w:rFonts w:hint="eastAsia" w:ascii="Times New Roman"/>
              </w:rPr>
              <w:t>B</w:t>
            </w:r>
            <w:r>
              <w:rPr>
                <w:rFonts w:ascii="Times New Roman"/>
              </w:rPr>
              <w:t xml:space="preserve"> </w:t>
            </w:r>
            <w:r>
              <w:rPr>
                <w:rFonts w:ascii="Times New Roman"/>
              </w:rPr>
              <w:pict>
                <v:rect id="BAH" o:spid="_x0000_s1026" o:spt="1" style="position:absolute;left:0pt;margin-left:-5.25pt;margin-top:0pt;height:15.6pt;width:68.25pt;z-index:-251657216;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path/>
                  <v:fill focussize="0,0"/>
                  <v:stroke on="f"/>
                  <v:imagedata o:title=""/>
                  <o:lock v:ext="edit"/>
                </v:rect>
              </w:pict>
            </w:r>
            <w:r>
              <w:rPr>
                <w:rFonts w:hint="eastAsia" w:ascii="Times New Roman"/>
              </w:rPr>
              <w:t>47</w:t>
            </w:r>
          </w:p>
        </w:tc>
      </w:tr>
    </w:tbl>
    <w:p>
      <w:pPr>
        <w:pStyle w:val="67"/>
        <w:framePr w:wrap="around"/>
      </w:pPr>
      <w:bookmarkStart w:id="1" w:name="c1"/>
      <w:r>
        <w:fldChar w:fldCharType="begin">
          <w:ffData>
            <w:name w:val="c1"/>
            <w:enabled/>
            <w:calcOnExit w:val="0"/>
            <w:textInput>
              <w:maxLength w:val="2"/>
            </w:textInput>
          </w:ffData>
        </w:fldChar>
      </w:r>
      <w:r>
        <w:instrText xml:space="preserve"> FORMTEXT </w:instrText>
      </w:r>
      <w:r>
        <w:fldChar w:fldCharType="separate"/>
      </w:r>
      <w:r>
        <w:t>NY</w:t>
      </w:r>
      <w:r>
        <w:fldChar w:fldCharType="end"/>
      </w:r>
      <w:bookmarkEnd w:id="1"/>
    </w:p>
    <w:p>
      <w:pPr>
        <w:pStyle w:val="111"/>
        <w:framePr w:wrap="around"/>
        <w:rPr>
          <w:rFonts w:ascii="Times New Roman" w:hAnsi="Times New Roman"/>
        </w:rPr>
      </w:pPr>
      <w:r>
        <w:rPr>
          <w:rFonts w:ascii="Times New Roman" w:hAnsi="Times New Roman"/>
        </w:rPr>
        <w:t>中华人民共和国</w:t>
      </w:r>
      <w:bookmarkStart w:id="2" w:name="c2"/>
      <w:r>
        <w:rPr>
          <w:rFonts w:ascii="Times New Roman" w:hAnsi="Times New Roman"/>
        </w:rPr>
        <w:fldChar w:fldCharType="begin">
          <w:ffData>
            <w:name w:val="c2"/>
            <w:enabled/>
            <w:calcOnExit w:val="0"/>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农业</w:t>
      </w:r>
      <w:r>
        <w:rPr>
          <w:rFonts w:ascii="Times New Roman" w:hAnsi="Times New Roman"/>
        </w:rPr>
        <w:fldChar w:fldCharType="end"/>
      </w:r>
      <w:bookmarkEnd w:id="2"/>
      <w:r>
        <w:rPr>
          <w:rFonts w:ascii="Times New Roman" w:hAnsi="Times New Roman"/>
        </w:rPr>
        <w:t>行业标准</w:t>
      </w:r>
    </w:p>
    <w:p>
      <w:pPr>
        <w:pStyle w:val="48"/>
        <w:framePr w:wrap="around"/>
        <w:rPr>
          <w:rFonts w:ascii="Times New Roman"/>
        </w:rPr>
      </w:pPr>
      <w:bookmarkStart w:id="3" w:name="StdNo0"/>
      <w:r>
        <w:rPr>
          <w:rFonts w:ascii="Times New Roman"/>
        </w:rPr>
        <w:fldChar w:fldCharType="begin">
          <w:ffData>
            <w:name w:val="StdNo0"/>
            <w:enabled/>
            <w:calcOnExit w:val="0"/>
            <w:textInput>
              <w:default w:val="XX"/>
              <w:maxLength w:val="2"/>
            </w:textInput>
          </w:ffData>
        </w:fldChar>
      </w:r>
      <w:r>
        <w:rPr>
          <w:rFonts w:ascii="Times New Roman"/>
        </w:rPr>
        <w:instrText xml:space="preserve"> FORMTEXT </w:instrText>
      </w:r>
      <w:r>
        <w:rPr>
          <w:rFonts w:ascii="Times New Roman"/>
        </w:rPr>
        <w:fldChar w:fldCharType="separate"/>
      </w:r>
      <w:r>
        <w:rPr>
          <w:rFonts w:ascii="Times New Roman"/>
        </w:rPr>
        <w:t>NY</w:t>
      </w:r>
      <w:r>
        <w:rPr>
          <w:rFonts w:ascii="Times New Roman"/>
        </w:rPr>
        <w:fldChar w:fldCharType="end"/>
      </w:r>
      <w:bookmarkEnd w:id="3"/>
      <w:r>
        <w:rPr>
          <w:rFonts w:ascii="Times New Roman"/>
        </w:rPr>
        <w:t xml:space="preserve">/T </w:t>
      </w:r>
      <w:r>
        <w:rPr>
          <w:rFonts w:hint="eastAsia" w:ascii="Times New Roman"/>
        </w:rPr>
        <w:t>XXXX</w:t>
      </w:r>
      <w:r>
        <w:rPr>
          <w:rFonts w:ascii="Times New Roman"/>
        </w:rPr>
        <w:t>—</w:t>
      </w:r>
      <w:r>
        <w:rPr>
          <w:rFonts w:hint="eastAsia" w:ascii="Times New Roman"/>
        </w:rPr>
        <w:t>XXXX</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7"/>
              <w:framePr w:wrap="around"/>
              <w:rPr>
                <w:rFonts w:ascii="Times New Roman"/>
              </w:rPr>
            </w:pPr>
            <w:bookmarkStart w:id="4" w:name="DT"/>
            <w:r>
              <w:rPr>
                <w:rFonts w:ascii="Times New Roman"/>
              </w:rPr>
              <w:pict>
                <v:rect id="DT" o:spid="_x0000_s1029" o:spt="1" style="position:absolute;left:0pt;margin-left:372.8pt;margin-top:2.7pt;height:18pt;width:90pt;z-index:-251655168;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path/>
                  <v:fill focussize="0,0"/>
                  <v:stroke on="f"/>
                  <v:imagedata o:title=""/>
                  <o:lock v:ext="edit"/>
                </v:rect>
              </w:pic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tc>
      </w:tr>
    </w:tbl>
    <w:p>
      <w:pPr>
        <w:pStyle w:val="48"/>
        <w:framePr w:wrap="around"/>
        <w:rPr>
          <w:rFonts w:ascii="Times New Roman"/>
        </w:rPr>
      </w:pPr>
    </w:p>
    <w:p>
      <w:pPr>
        <w:pStyle w:val="48"/>
        <w:framePr w:wrap="around"/>
        <w:rPr>
          <w:rFonts w:ascii="Times New Roman"/>
        </w:rPr>
      </w:pPr>
    </w:p>
    <w:p>
      <w:pPr>
        <w:pStyle w:val="79"/>
        <w:framePr w:wrap="around" w:x="1336" w:y="6466"/>
        <w:rPr>
          <w:color w:val="000000" w:themeColor="text1"/>
          <w:sz w:val="44"/>
          <w:szCs w:val="16"/>
        </w:rPr>
      </w:pPr>
      <w:r>
        <w:rPr>
          <w:rFonts w:hint="eastAsia"/>
          <w:color w:val="000000" w:themeColor="text1"/>
          <w:sz w:val="44"/>
          <w:szCs w:val="16"/>
        </w:rPr>
        <w:t xml:space="preserve">蜂蜜中蜂王浆主蛋白1的测定 </w:t>
      </w:r>
    </w:p>
    <w:p>
      <w:pPr>
        <w:pStyle w:val="79"/>
        <w:framePr w:wrap="around" w:x="1336" w:y="6466"/>
        <w:rPr>
          <w:color w:val="000000" w:themeColor="text1"/>
          <w:sz w:val="44"/>
          <w:szCs w:val="16"/>
        </w:rPr>
      </w:pPr>
      <w:r>
        <w:rPr>
          <w:rFonts w:hint="eastAsia"/>
          <w:color w:val="000000" w:themeColor="text1"/>
          <w:sz w:val="44"/>
          <w:szCs w:val="16"/>
        </w:rPr>
        <w:t>液相色谱串联质谱法</w:t>
      </w:r>
    </w:p>
    <w:p>
      <w:pPr>
        <w:pStyle w:val="81"/>
        <w:framePr w:wrap="around" w:x="1336" w:y="6466"/>
        <w:rPr>
          <w:rFonts w:ascii="Times New Roman"/>
          <w:b/>
          <w:color w:val="000000" w:themeColor="text1"/>
        </w:rPr>
      </w:pPr>
      <w:r>
        <w:rPr>
          <w:rFonts w:ascii="Times New Roman"/>
          <w:b/>
          <w:color w:val="000000" w:themeColor="text1"/>
        </w:rPr>
        <w:t xml:space="preserve">Determination of </w:t>
      </w:r>
      <w:r>
        <w:rPr>
          <w:rFonts w:hint="eastAsia" w:ascii="Times New Roman"/>
          <w:b/>
          <w:color w:val="000000" w:themeColor="text1"/>
        </w:rPr>
        <w:t xml:space="preserve">major royal jelly protein 1 </w:t>
      </w:r>
      <w:r>
        <w:rPr>
          <w:rFonts w:ascii="Times New Roman"/>
          <w:b/>
          <w:color w:val="000000" w:themeColor="text1"/>
        </w:rPr>
        <w:t>in honey —</w:t>
      </w:r>
    </w:p>
    <w:p>
      <w:pPr>
        <w:pStyle w:val="81"/>
        <w:framePr w:wrap="around" w:x="1336" w:y="6466"/>
        <w:rPr>
          <w:rFonts w:ascii="Times New Roman"/>
          <w:b/>
          <w:color w:val="000000" w:themeColor="text1"/>
        </w:rPr>
      </w:pPr>
      <w:r>
        <w:rPr>
          <w:rFonts w:hint="eastAsia" w:ascii="Times New Roman"/>
          <w:b/>
          <w:color w:val="000000" w:themeColor="text1"/>
        </w:rPr>
        <w:t>L</w:t>
      </w:r>
      <w:r>
        <w:rPr>
          <w:rFonts w:ascii="Times New Roman"/>
          <w:b/>
          <w:color w:val="000000" w:themeColor="text1"/>
        </w:rPr>
        <w:t xml:space="preserve">iquid chromatography </w:t>
      </w:r>
      <w:r>
        <w:rPr>
          <w:rFonts w:hint="eastAsia" w:ascii="Times New Roman"/>
          <w:b/>
          <w:color w:val="000000" w:themeColor="text1"/>
        </w:rPr>
        <w:t xml:space="preserve">- </w:t>
      </w:r>
      <w:r>
        <w:rPr>
          <w:rFonts w:ascii="Times New Roman"/>
          <w:b/>
          <w:color w:val="000000" w:themeColor="text1"/>
        </w:rPr>
        <w:t>tandem mass spectrometry</w:t>
      </w:r>
    </w:p>
    <w:p>
      <w:pPr>
        <w:pStyle w:val="81"/>
        <w:framePr w:wrap="around" w:x="1336" w:y="6466"/>
        <w:rPr>
          <w:rFonts w:ascii="Times New Roman"/>
        </w:rPr>
      </w:pPr>
      <w:r>
        <w:rPr>
          <w:rFonts w:hint="eastAsia" w:ascii="Times New Roman"/>
        </w:rPr>
        <w:t>（</w:t>
      </w:r>
      <w:r>
        <w:rPr>
          <w:rFonts w:hint="eastAsia" w:ascii="Times New Roman"/>
          <w:lang w:eastAsia="zh-CN"/>
        </w:rPr>
        <w:t>征求意见</w:t>
      </w:r>
      <w:r>
        <w:rPr>
          <w:rFonts w:hint="eastAsia" w:ascii="Times New Roman"/>
        </w:rPr>
        <w:t>稿）</w:t>
      </w:r>
    </w:p>
    <w:p>
      <w:pPr>
        <w:pStyle w:val="81"/>
        <w:framePr w:wrap="around" w:x="1336" w:y="6466"/>
        <w:rPr>
          <w:rFonts w:ascii="Times New Roman"/>
        </w:rPr>
      </w:pPr>
      <w:r>
        <w:rPr>
          <w:sz w:val="21"/>
        </w:rPr>
        <w:fldChar w:fldCharType="begin">
          <w:ffData>
            <w:name w:val="WCRQ"/>
            <w:enabled/>
            <w:calcOnExit w:val="0"/>
            <w:textInput>
              <w:default w:val="（本稿完成日期：2023.04）"/>
            </w:textInput>
          </w:ffData>
        </w:fldChar>
      </w:r>
      <w:bookmarkStart w:id="5" w:name="WCRQ"/>
      <w:r>
        <w:rPr>
          <w:sz w:val="21"/>
        </w:rPr>
        <w:instrText xml:space="preserve"> </w:instrText>
      </w:r>
      <w:r>
        <w:rPr>
          <w:rFonts w:hint="eastAsia"/>
          <w:sz w:val="21"/>
        </w:rPr>
        <w:instrText xml:space="preserve">FORMTEXT</w:instrText>
      </w:r>
      <w:r>
        <w:rPr>
          <w:sz w:val="21"/>
        </w:rPr>
        <w:instrText xml:space="preserve"> </w:instrText>
      </w:r>
      <w:r>
        <w:rPr>
          <w:sz w:val="21"/>
        </w:rPr>
        <w:fldChar w:fldCharType="separate"/>
      </w:r>
      <w:r>
        <w:rPr>
          <w:rFonts w:hint="eastAsia"/>
          <w:sz w:val="21"/>
        </w:rPr>
        <w:t>（本稿完成日期：2023.0</w:t>
      </w:r>
      <w:r>
        <w:rPr>
          <w:rFonts w:hint="eastAsia"/>
          <w:sz w:val="21"/>
          <w:lang w:val="en-US" w:eastAsia="zh-CN"/>
        </w:rPr>
        <w:t>7</w:t>
      </w:r>
      <w:r>
        <w:rPr>
          <w:rFonts w:hint="eastAsia"/>
          <w:sz w:val="21"/>
        </w:rPr>
        <w:t>）</w:t>
      </w:r>
      <w:r>
        <w:rPr>
          <w:sz w:val="21"/>
        </w:rPr>
        <w:fldChar w:fldCharType="end"/>
      </w:r>
      <w:bookmarkEnd w:id="5"/>
    </w:p>
    <w:p>
      <w:pPr>
        <w:pStyle w:val="131"/>
        <w:framePr w:wrap="around" w:hAnchor="page" w:x="1441" w:y="14057"/>
      </w:pPr>
      <w:r>
        <w:rPr>
          <w:rFonts w:hint="eastAsia"/>
        </w:rPr>
        <w:t>XXXX</w:t>
      </w:r>
      <w:r>
        <w:t xml:space="preserve"> - </w:t>
      </w:r>
      <w:r>
        <w:rPr>
          <w:rFonts w:hint="eastAsia"/>
        </w:rPr>
        <w:t>XX</w:t>
      </w:r>
      <w:r>
        <w:t xml:space="preserve"> - </w:t>
      </w:r>
      <w:r>
        <w:rPr>
          <w:rFonts w:hint="eastAsia"/>
        </w:rPr>
        <w:t>XX</w:t>
      </w:r>
      <w:r>
        <w:t>发布</w:t>
      </w:r>
    </w:p>
    <w:p>
      <w:pPr>
        <w:pStyle w:val="132"/>
        <w:framePr w:wrap="around" w:hAnchor="page" w:x="7137" w:y="14057"/>
      </w:pPr>
      <w:r>
        <w:rPr>
          <w:rFonts w:hint="eastAsia"/>
        </w:rPr>
        <w:t>XXXX</w:t>
      </w:r>
      <w:r>
        <w:t xml:space="preserve"> - </w:t>
      </w:r>
      <w:r>
        <w:rPr>
          <w:rFonts w:hint="eastAsia"/>
        </w:rPr>
        <w:t>XX</w:t>
      </w:r>
      <w:r>
        <w:t xml:space="preserve">- </w:t>
      </w:r>
      <w:r>
        <w:rPr>
          <w:rFonts w:hint="eastAsia"/>
        </w:rPr>
        <w:t>XX</w:t>
      </w:r>
      <w:r>
        <w:t>实施</w:t>
      </w:r>
    </w:p>
    <w:p>
      <w:pPr>
        <w:pStyle w:val="112"/>
        <w:framePr w:wrap="around"/>
        <w:rPr>
          <w:rFonts w:ascii="Times New Roman"/>
        </w:rPr>
      </w:pPr>
      <w:r>
        <w:rPr>
          <w:rFonts w:ascii="Times New Roman"/>
        </w:rPr>
        <w:fldChar w:fldCharType="begin">
          <w:ffData>
            <w:name w:val="fm"/>
            <w:enabled/>
            <w:calcOnExit w:val="0"/>
            <w:textInput>
              <w:default w:val="中华人民共和国农业农村部"/>
            </w:textInput>
          </w:ffData>
        </w:fldChar>
      </w:r>
      <w:bookmarkStart w:id="6" w:name="fm"/>
      <w:r>
        <w:rPr>
          <w:rFonts w:ascii="Times New Roman"/>
        </w:rPr>
        <w:instrText xml:space="preserve"> FORMTEXT </w:instrText>
      </w:r>
      <w:r>
        <w:rPr>
          <w:rFonts w:ascii="Times New Roman"/>
        </w:rPr>
        <w:fldChar w:fldCharType="separate"/>
      </w:r>
      <w:r>
        <w:rPr>
          <w:rFonts w:hint="eastAsia" w:ascii="Times New Roman"/>
        </w:rPr>
        <w:t>中华人民共和国农业农村部</w:t>
      </w:r>
      <w:r>
        <w:rPr>
          <w:rFonts w:ascii="Times New Roman"/>
        </w:rPr>
        <w:fldChar w:fldCharType="end"/>
      </w:r>
      <w:bookmarkEnd w:id="6"/>
      <w:r>
        <w:rPr>
          <w:rFonts w:ascii="Times New Roman" w:eastAsia="MS Mincho"/>
        </w:rPr>
        <w:t>   </w:t>
      </w:r>
      <w:r>
        <w:rPr>
          <w:rStyle w:val="74"/>
          <w:rFonts w:ascii="Times New Roman"/>
        </w:rPr>
        <w:t>发布</w:t>
      </w:r>
    </w:p>
    <w:p>
      <w:pPr>
        <w:pStyle w:val="23"/>
        <w:rPr>
          <w:rFonts w:ascii="Times New Roman"/>
        </w:rPr>
        <w:sectPr>
          <w:headerReference r:id="rId3" w:type="default"/>
          <w:headerReference r:id="rId4" w:type="even"/>
          <w:footerReference r:id="rId5" w:type="even"/>
          <w:pgSz w:w="11906" w:h="16838"/>
          <w:pgMar w:top="567" w:right="850" w:bottom="1134" w:left="1418" w:header="0" w:footer="0" w:gutter="0"/>
          <w:pgNumType w:fmt="upperRoman" w:start="1"/>
          <w:cols w:space="425" w:num="1"/>
          <w:titlePg/>
          <w:docGrid w:type="lines" w:linePitch="312" w:charSpace="0"/>
        </w:sectPr>
      </w:pPr>
      <w:r>
        <w:rPr>
          <w:rFonts w:ascii="Times New Roman"/>
        </w:rPr>
        <w:pict>
          <v:line id="Line 11" o:spid="_x0000_s1028" o:spt="20" style="position:absolute;left:0pt;margin-left:-7.2pt;margin-top:165.45pt;height:0pt;width:481.9pt;z-index:251660288;mso-width-relative:page;mso-height-relative:page;" coordsize="21600,21600" o:gfxdata="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3wK41wAAAAsBAAAPAAAAAAAAAAEAIAAAACIAAABkcnMvZG93&#10;bnJldi54bWxQSwECFAAUAAAACACHTuJAaX8Ks8gBAACgAwAADgAAAAAAAAABACAAAAAmAQAAZHJz&#10;L2Uyb0RvYy54bWxQSwUGAAAAAAYABgBZAQAAYAUAAAAA&#10;">
            <v:path arrowok="t"/>
            <v:fill focussize="0,0"/>
            <v:stroke/>
            <v:imagedata o:title=""/>
            <o:lock v:ext="edit"/>
          </v:line>
        </w:pict>
      </w:r>
      <w:r>
        <w:rPr>
          <w:rFonts w:ascii="Times New Roman"/>
        </w:rPr>
        <w:pict>
          <v:line id="_x0000_s1027" o:spid="_x0000_s1027" o:spt="20" style="position:absolute;left:0pt;margin-left:4.1pt;margin-top:704.1pt;height:0pt;width:481.9pt;z-index:251662336;mso-width-relative:page;mso-height-relative:page;" coordsize="21600,21600" o:gfxdata="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Uv07NUAAAALAQAADwAAAAAAAAABACAAAAAiAAAAZHJzL2Rvd25y&#10;ZXYueG1sUEsBAhQAFAAAAAgAh07iQEDKfVPIAQAAoAMAAA4AAAAAAAAAAQAgAAAAJAEAAGRycy9l&#10;Mm9Eb2MueG1sUEsFBgAAAAAGAAYAWQEAAF4FAAAAAA==&#10;">
            <v:path arrowok="t"/>
            <v:fill focussize="0,0"/>
            <v:stroke/>
            <v:imagedata o:title=""/>
            <o:lock v:ext="edit"/>
          </v:line>
        </w:pict>
      </w:r>
    </w:p>
    <w:p>
      <w:pPr>
        <w:pStyle w:val="51"/>
        <w:tabs>
          <w:tab w:val="center" w:pos="4677"/>
          <w:tab w:val="right" w:pos="9354"/>
        </w:tabs>
        <w:jc w:val="left"/>
      </w:pPr>
      <w:r>
        <w:tab/>
      </w:r>
      <w:r>
        <w:rPr>
          <w:rFonts w:hint="eastAsia"/>
        </w:rPr>
        <w:t>前言</w:t>
      </w:r>
      <w:r>
        <w:tab/>
      </w:r>
    </w:p>
    <w:p>
      <w:pPr>
        <w:pStyle w:val="23"/>
        <w:spacing w:line="360" w:lineRule="auto"/>
      </w:pPr>
      <w:r>
        <w:rPr>
          <w:rFonts w:hint="eastAsia"/>
        </w:rPr>
        <w:t>本文件按照GB/T 1.1—2020《标准化工作导则 第1部分：标准化文件的结构和起草规则》的规定起草。</w:t>
      </w:r>
    </w:p>
    <w:p>
      <w:pPr>
        <w:pStyle w:val="23"/>
        <w:spacing w:line="360" w:lineRule="auto"/>
      </w:pPr>
      <w:r>
        <w:rPr>
          <w:rFonts w:hint="eastAsia"/>
        </w:rPr>
        <w:t>请注意本文件的某些内容可能涉及专利。本文件的发布机构不承担识别专利的责任。</w:t>
      </w:r>
    </w:p>
    <w:p>
      <w:pPr>
        <w:widowControl/>
        <w:tabs>
          <w:tab w:val="center" w:pos="4201"/>
          <w:tab w:val="right" w:leader="dot" w:pos="9298"/>
        </w:tabs>
        <w:autoSpaceDE w:val="0"/>
        <w:autoSpaceDN w:val="0"/>
        <w:spacing w:line="360" w:lineRule="auto"/>
        <w:ind w:firstLine="420" w:firstLineChars="200"/>
        <w:rPr>
          <w:rFonts w:ascii="宋体"/>
          <w:kern w:val="0"/>
          <w:szCs w:val="20"/>
        </w:rPr>
      </w:pPr>
      <w:r>
        <w:rPr>
          <w:rFonts w:hint="eastAsia" w:ascii="宋体"/>
          <w:kern w:val="0"/>
          <w:szCs w:val="20"/>
        </w:rPr>
        <w:t>本文件由中华人民共和国农业农村部畜牧兽医局提出。</w:t>
      </w:r>
    </w:p>
    <w:p>
      <w:pPr>
        <w:widowControl/>
        <w:tabs>
          <w:tab w:val="center" w:pos="4201"/>
          <w:tab w:val="right" w:leader="dot" w:pos="9298"/>
        </w:tabs>
        <w:autoSpaceDE w:val="0"/>
        <w:autoSpaceDN w:val="0"/>
        <w:spacing w:line="360" w:lineRule="auto"/>
        <w:ind w:firstLine="420" w:firstLineChars="200"/>
        <w:rPr>
          <w:rFonts w:ascii="宋体"/>
          <w:kern w:val="0"/>
          <w:szCs w:val="20"/>
        </w:rPr>
      </w:pPr>
      <w:r>
        <w:rPr>
          <w:rFonts w:hint="eastAsia" w:ascii="宋体"/>
          <w:kern w:val="0"/>
          <w:szCs w:val="20"/>
        </w:rPr>
        <w:t>本文件由全国畜牧业标准化技术委员会（SAC/TC 274）归口。</w:t>
      </w:r>
    </w:p>
    <w:p>
      <w:pPr>
        <w:pStyle w:val="23"/>
        <w:spacing w:line="360" w:lineRule="auto"/>
      </w:pPr>
      <w:r>
        <w:rPr>
          <w:rFonts w:hint="eastAsia"/>
        </w:rPr>
        <w:t>本文件起草单位：中国农业科学院蜜蜂研究所、</w:t>
      </w:r>
      <w:r>
        <w:rPr>
          <w:rFonts w:hint="eastAsia" w:hAnsi="宋体"/>
          <w:szCs w:val="21"/>
        </w:rPr>
        <w:t>中国农业科学院农产品加工研究所。</w:t>
      </w:r>
    </w:p>
    <w:p>
      <w:pPr>
        <w:pStyle w:val="23"/>
        <w:spacing w:line="360" w:lineRule="auto"/>
      </w:pPr>
      <w:r>
        <w:rPr>
          <w:rFonts w:hint="eastAsia"/>
        </w:rPr>
        <w:t>本文件主要起草人：</w:t>
      </w:r>
      <w:r>
        <w:rPr>
          <w:rFonts w:hint="eastAsia"/>
          <w:lang w:val="en-US" w:eastAsia="zh-CN"/>
        </w:rPr>
        <w:t>XXX</w:t>
      </w:r>
      <w:r>
        <w:rPr>
          <w:rFonts w:hint="eastAsia"/>
        </w:rPr>
        <w:t>。</w:t>
      </w:r>
    </w:p>
    <w:p>
      <w:pPr>
        <w:pStyle w:val="23"/>
        <w:rPr>
          <w:color w:val="FF0000"/>
        </w:rPr>
      </w:pPr>
    </w:p>
    <w:p>
      <w:pPr>
        <w:pStyle w:val="23"/>
      </w:pPr>
    </w:p>
    <w:p>
      <w:pPr>
        <w:pStyle w:val="51"/>
      </w:pPr>
      <w:r>
        <w:rPr>
          <w:rFonts w:hint="eastAsia"/>
        </w:rPr>
        <w:t>蜂蜜中蜂王浆主蛋白1的测定 液相色谱串联质谱法</w:t>
      </w:r>
    </w:p>
    <w:p>
      <w:pPr>
        <w:pStyle w:val="46"/>
        <w:numPr>
          <w:ilvl w:val="0"/>
          <w:numId w:val="0"/>
        </w:numPr>
        <w:spacing w:before="312" w:after="312"/>
        <w:rPr>
          <w:rFonts w:hAnsi="黑体"/>
          <w:szCs w:val="21"/>
        </w:rPr>
      </w:pPr>
      <w:r>
        <w:rPr>
          <w:rFonts w:hint="eastAsia" w:hAnsi="黑体"/>
          <w:szCs w:val="21"/>
        </w:rPr>
        <w:t>1 范围</w:t>
      </w:r>
    </w:p>
    <w:p>
      <w:pPr>
        <w:pStyle w:val="23"/>
        <w:spacing w:line="360" w:lineRule="auto"/>
        <w:rPr>
          <w:rFonts w:ascii="Times New Roman"/>
        </w:rPr>
      </w:pPr>
      <w:r>
        <w:rPr>
          <w:rFonts w:ascii="Times New Roman"/>
        </w:rPr>
        <w:t>本文件</w:t>
      </w:r>
      <w:bookmarkStart w:id="7" w:name="_Hlk120413650"/>
      <w:r>
        <w:rPr>
          <w:rFonts w:hint="eastAsia" w:ascii="Times New Roman"/>
        </w:rPr>
        <w:t>描述</w:t>
      </w:r>
      <w:r>
        <w:rPr>
          <w:rFonts w:ascii="Times New Roman"/>
        </w:rPr>
        <w:t>了蜂蜜中</w:t>
      </w:r>
      <w:r>
        <w:rPr>
          <w:rFonts w:hint="eastAsia" w:ascii="Times New Roman"/>
        </w:rPr>
        <w:t>蜂</w:t>
      </w:r>
      <w:r>
        <w:rPr>
          <w:rFonts w:ascii="Times New Roman"/>
        </w:rPr>
        <w:t>王浆主蛋白1</w:t>
      </w:r>
      <w:bookmarkEnd w:id="7"/>
      <w:r>
        <w:rPr>
          <w:rFonts w:ascii="Times New Roman"/>
        </w:rPr>
        <w:t>测定</w:t>
      </w:r>
      <w:r>
        <w:rPr>
          <w:rFonts w:hint="eastAsia" w:ascii="Times New Roman"/>
        </w:rPr>
        <w:t>的</w:t>
      </w:r>
      <w:r>
        <w:rPr>
          <w:rFonts w:ascii="Times New Roman"/>
        </w:rPr>
        <w:t>液相色谱串联质谱法。</w:t>
      </w:r>
    </w:p>
    <w:p>
      <w:pPr>
        <w:pStyle w:val="23"/>
        <w:spacing w:line="360" w:lineRule="auto"/>
        <w:rPr>
          <w:rFonts w:ascii="Times New Roman"/>
        </w:rPr>
      </w:pPr>
      <w:r>
        <w:rPr>
          <w:rFonts w:ascii="Times New Roman"/>
        </w:rPr>
        <w:t>本文件适用于蜂蜜中</w:t>
      </w:r>
      <w:r>
        <w:rPr>
          <w:rFonts w:hint="eastAsia" w:ascii="Times New Roman"/>
        </w:rPr>
        <w:t>蜂</w:t>
      </w:r>
      <w:r>
        <w:rPr>
          <w:rFonts w:ascii="Times New Roman"/>
        </w:rPr>
        <w:t>王浆主蛋白1含量的测定。</w:t>
      </w:r>
    </w:p>
    <w:p>
      <w:pPr>
        <w:pStyle w:val="23"/>
        <w:spacing w:line="360" w:lineRule="auto"/>
        <w:rPr>
          <w:rFonts w:ascii="Times New Roman"/>
        </w:rPr>
      </w:pPr>
      <w:r>
        <w:rPr>
          <w:rFonts w:ascii="Times New Roman"/>
        </w:rPr>
        <w:t>本文件方法</w:t>
      </w:r>
      <w:r>
        <w:rPr>
          <w:rFonts w:hint="eastAsia" w:ascii="Times New Roman"/>
        </w:rPr>
        <w:t>意蜂与中蜂蜂</w:t>
      </w:r>
      <w:r>
        <w:rPr>
          <w:rFonts w:ascii="Times New Roman"/>
        </w:rPr>
        <w:t>王浆主蛋白1</w:t>
      </w:r>
      <w:r>
        <w:rPr>
          <w:rFonts w:hint="eastAsia" w:ascii="Times New Roman"/>
        </w:rPr>
        <w:t xml:space="preserve">的检出限均为5 </w:t>
      </w:r>
      <w:r>
        <w:rPr>
          <w:rFonts w:ascii="Times New Roman"/>
        </w:rPr>
        <w:t>μg/kg</w:t>
      </w:r>
      <w:r>
        <w:rPr>
          <w:rFonts w:hint="eastAsia" w:ascii="Times New Roman"/>
        </w:rPr>
        <w:t>，</w:t>
      </w:r>
      <w:r>
        <w:rPr>
          <w:rFonts w:ascii="Times New Roman"/>
        </w:rPr>
        <w:t>定量限</w:t>
      </w:r>
      <w:r>
        <w:rPr>
          <w:rFonts w:hint="eastAsia" w:ascii="Times New Roman"/>
        </w:rPr>
        <w:t>均</w:t>
      </w:r>
      <w:r>
        <w:rPr>
          <w:rFonts w:ascii="Times New Roman"/>
        </w:rPr>
        <w:t>为20 μg/kg。</w:t>
      </w:r>
    </w:p>
    <w:p>
      <w:pPr>
        <w:pStyle w:val="46"/>
        <w:numPr>
          <w:ilvl w:val="0"/>
          <w:numId w:val="0"/>
        </w:numPr>
        <w:spacing w:before="312" w:after="312"/>
        <w:rPr>
          <w:rFonts w:hAnsi="黑体"/>
        </w:rPr>
      </w:pPr>
      <w:r>
        <w:rPr>
          <w:rFonts w:hAnsi="黑体"/>
        </w:rPr>
        <w:t>2</w:t>
      </w:r>
      <w:r>
        <w:rPr>
          <w:rFonts w:hint="eastAsia" w:hAnsi="黑体"/>
        </w:rPr>
        <w:t xml:space="preserve"> </w:t>
      </w:r>
      <w:r>
        <w:rPr>
          <w:rFonts w:hAnsi="黑体"/>
        </w:rPr>
        <w:t>规范性引用文件</w:t>
      </w:r>
    </w:p>
    <w:p>
      <w:pPr>
        <w:pStyle w:val="23"/>
        <w:spacing w:line="360" w:lineRule="auto"/>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spacing w:line="360" w:lineRule="auto"/>
        <w:rPr>
          <w:rFonts w:ascii="Times New Roman"/>
        </w:rPr>
      </w:pPr>
      <w:r>
        <w:rPr>
          <w:rFonts w:ascii="Times New Roman"/>
        </w:rPr>
        <w:t>GB/T 6682 分析实验室用水规则和试验方法</w:t>
      </w:r>
    </w:p>
    <w:p>
      <w:pPr>
        <w:widowControl/>
        <w:spacing w:before="312" w:beforeLines="100" w:after="312" w:afterLines="100"/>
        <w:outlineLvl w:val="1"/>
        <w:rPr>
          <w:rFonts w:eastAsia="黑体"/>
          <w:kern w:val="0"/>
          <w:szCs w:val="20"/>
        </w:rPr>
      </w:pPr>
      <w:r>
        <w:rPr>
          <w:rFonts w:hint="eastAsia" w:ascii="黑体" w:hAnsi="黑体" w:eastAsia="黑体"/>
          <w:kern w:val="0"/>
          <w:szCs w:val="20"/>
        </w:rPr>
        <w:t>3 术语和</w:t>
      </w:r>
      <w:r>
        <w:rPr>
          <w:rFonts w:hint="eastAsia" w:eastAsia="黑体"/>
          <w:kern w:val="0"/>
          <w:szCs w:val="20"/>
        </w:rPr>
        <w:t>定义</w:t>
      </w:r>
    </w:p>
    <w:p>
      <w:pPr>
        <w:widowControl/>
        <w:tabs>
          <w:tab w:val="center" w:pos="4201"/>
          <w:tab w:val="right" w:leader="dot" w:pos="9298"/>
        </w:tabs>
        <w:autoSpaceDE w:val="0"/>
        <w:autoSpaceDN w:val="0"/>
        <w:spacing w:line="360" w:lineRule="auto"/>
        <w:ind w:firstLine="420" w:firstLineChars="200"/>
        <w:rPr>
          <w:rFonts w:ascii="宋体"/>
          <w:kern w:val="0"/>
          <w:szCs w:val="20"/>
        </w:rPr>
      </w:pPr>
      <w:r>
        <w:rPr>
          <w:rFonts w:hint="eastAsia" w:ascii="宋体"/>
          <w:kern w:val="0"/>
          <w:szCs w:val="20"/>
        </w:rPr>
        <w:t>本文件没有需要界定的术语和定义。</w:t>
      </w:r>
    </w:p>
    <w:p>
      <w:pPr>
        <w:pStyle w:val="46"/>
        <w:numPr>
          <w:ilvl w:val="0"/>
          <w:numId w:val="0"/>
        </w:numPr>
        <w:spacing w:before="312" w:after="312"/>
        <w:rPr>
          <w:rFonts w:hAnsi="黑体"/>
        </w:rPr>
      </w:pPr>
      <w:r>
        <w:rPr>
          <w:rFonts w:hAnsi="黑体"/>
        </w:rPr>
        <w:t>4</w:t>
      </w:r>
      <w:r>
        <w:rPr>
          <w:rFonts w:hint="eastAsia" w:hAnsi="黑体"/>
        </w:rPr>
        <w:t xml:space="preserve"> </w:t>
      </w:r>
      <w:r>
        <w:rPr>
          <w:rFonts w:hAnsi="黑体"/>
        </w:rPr>
        <w:t>原理</w:t>
      </w:r>
    </w:p>
    <w:p>
      <w:pPr>
        <w:pStyle w:val="23"/>
        <w:spacing w:line="360" w:lineRule="auto"/>
        <w:rPr>
          <w:rFonts w:ascii="Times New Roman"/>
        </w:rPr>
      </w:pPr>
      <w:bookmarkStart w:id="8" w:name="_Hlk120744611"/>
      <w:r>
        <w:rPr>
          <w:rFonts w:hint="eastAsia" w:ascii="Times New Roman"/>
        </w:rPr>
        <w:t>试样中蛋白质经提取、还原、烷基化，胰蛋白酶酶解生成肽段、固相萃取柱净化与富集，用液相色谱串联质谱对意蜂和中蜂蜂王浆主蛋白1的特征肽段检测。建立特征肽段的响应强度与蜂王浆主蛋白含量的线性关系，外标法定量。</w:t>
      </w:r>
    </w:p>
    <w:p>
      <w:pPr>
        <w:pStyle w:val="23"/>
        <w:spacing w:line="360" w:lineRule="auto"/>
        <w:rPr>
          <w:rFonts w:ascii="Times New Roman"/>
        </w:rPr>
      </w:pPr>
      <w:r>
        <w:rPr>
          <w:rFonts w:hint="eastAsia" w:ascii="Times New Roman"/>
        </w:rPr>
        <w:t>注：意蜂蜂王浆主蛋白1(</w:t>
      </w:r>
      <w:r>
        <w:rPr>
          <w:rFonts w:hint="eastAsia" w:ascii="Times New Roman"/>
          <w:i/>
          <w:iCs/>
        </w:rPr>
        <w:t>am</w:t>
      </w:r>
      <w:r>
        <w:rPr>
          <w:rFonts w:hint="eastAsia" w:ascii="Times New Roman"/>
        </w:rPr>
        <w:t>-</w:t>
      </w:r>
      <w:r>
        <w:rPr>
          <w:rFonts w:ascii="Times New Roman"/>
        </w:rPr>
        <w:t>MRJP1</w:t>
      </w:r>
      <w:r>
        <w:rPr>
          <w:rFonts w:hint="eastAsia" w:ascii="Times New Roman"/>
        </w:rPr>
        <w:t>)和中蜂蜂王浆主蛋白1(</w:t>
      </w:r>
      <w:r>
        <w:rPr>
          <w:rFonts w:hint="eastAsia" w:ascii="Times New Roman"/>
          <w:i/>
          <w:iCs/>
        </w:rPr>
        <w:t>ac</w:t>
      </w:r>
      <w:r>
        <w:rPr>
          <w:rFonts w:hint="eastAsia" w:ascii="Times New Roman"/>
        </w:rPr>
        <w:t>-</w:t>
      </w:r>
      <w:r>
        <w:rPr>
          <w:rFonts w:ascii="Times New Roman"/>
        </w:rPr>
        <w:t>MRJP1</w:t>
      </w:r>
      <w:r>
        <w:rPr>
          <w:rFonts w:hint="eastAsia" w:ascii="Times New Roman"/>
        </w:rPr>
        <w:t>)的特征性肽段分别是</w:t>
      </w:r>
      <w:r>
        <w:rPr>
          <w:rFonts w:ascii="Times New Roman"/>
          <w:szCs w:val="18"/>
        </w:rPr>
        <w:t>FFDYDFGSDER</w:t>
      </w:r>
      <w:r>
        <w:rPr>
          <w:rFonts w:hint="eastAsia" w:ascii="Times New Roman"/>
          <w:szCs w:val="18"/>
        </w:rPr>
        <w:t>和</w:t>
      </w:r>
      <w:r>
        <w:rPr>
          <w:rFonts w:ascii="Times New Roman"/>
          <w:szCs w:val="18"/>
        </w:rPr>
        <w:t>IMDANVNDLILNTR</w:t>
      </w:r>
      <w:r>
        <w:rPr>
          <w:rFonts w:hint="eastAsia" w:ascii="Times New Roman"/>
          <w:szCs w:val="18"/>
        </w:rPr>
        <w:t>。</w:t>
      </w:r>
    </w:p>
    <w:bookmarkEnd w:id="8"/>
    <w:p>
      <w:pPr>
        <w:pStyle w:val="46"/>
        <w:numPr>
          <w:ilvl w:val="0"/>
          <w:numId w:val="0"/>
        </w:numPr>
        <w:spacing w:before="312" w:after="312"/>
      </w:pPr>
      <w:r>
        <w:t>5</w:t>
      </w:r>
      <w:r>
        <w:rPr>
          <w:rFonts w:hint="eastAsia"/>
        </w:rPr>
        <w:t xml:space="preserve"> </w:t>
      </w:r>
      <w:r>
        <w:t>试剂</w:t>
      </w:r>
      <w:r>
        <w:rPr>
          <w:rFonts w:hint="eastAsia"/>
        </w:rPr>
        <w:t>或</w:t>
      </w:r>
      <w:r>
        <w:t>材料</w:t>
      </w:r>
    </w:p>
    <w:p>
      <w:pPr>
        <w:pStyle w:val="23"/>
        <w:spacing w:line="360" w:lineRule="auto"/>
      </w:pPr>
      <w:r>
        <w:rPr>
          <w:rFonts w:hint="eastAsia"/>
        </w:rPr>
        <w:t>除另有规定外，所用试剂均为分析纯。</w:t>
      </w:r>
    </w:p>
    <w:p>
      <w:pPr>
        <w:pStyle w:val="23"/>
        <w:spacing w:line="360" w:lineRule="auto"/>
        <w:ind w:firstLine="0" w:firstLineChars="0"/>
        <w:rPr>
          <w:rFonts w:ascii="Times New Roman"/>
        </w:rPr>
      </w:pPr>
      <w:r>
        <w:rPr>
          <w:rFonts w:ascii="Times New Roman"/>
        </w:rPr>
        <w:t>5.1 水：GB/T 6682，一级。</w:t>
      </w:r>
    </w:p>
    <w:p>
      <w:pPr>
        <w:widowControl/>
        <w:tabs>
          <w:tab w:val="center" w:pos="4201"/>
          <w:tab w:val="right" w:leader="dot" w:pos="9298"/>
        </w:tabs>
        <w:autoSpaceDE w:val="0"/>
        <w:autoSpaceDN w:val="0"/>
        <w:spacing w:line="360" w:lineRule="auto"/>
        <w:rPr>
          <w:kern w:val="0"/>
          <w:szCs w:val="20"/>
        </w:rPr>
      </w:pPr>
      <w:r>
        <w:rPr>
          <w:kern w:val="0"/>
          <w:szCs w:val="20"/>
        </w:rPr>
        <w:t>5.2 乙腈：色谱纯</w:t>
      </w:r>
      <w:r>
        <w:rPr>
          <w:rFonts w:hint="eastAsia"/>
          <w:kern w:val="0"/>
          <w:szCs w:val="20"/>
        </w:rPr>
        <w:t>。</w:t>
      </w:r>
    </w:p>
    <w:p>
      <w:pPr>
        <w:pStyle w:val="23"/>
        <w:spacing w:line="360" w:lineRule="auto"/>
        <w:ind w:firstLine="0" w:firstLineChars="0"/>
        <w:rPr>
          <w:rFonts w:ascii="Times New Roman"/>
          <w:b/>
          <w:bCs/>
          <w:color w:val="FF0000"/>
          <w:kern w:val="2"/>
          <w:szCs w:val="24"/>
        </w:rPr>
      </w:pPr>
      <w:r>
        <w:rPr>
          <w:rFonts w:ascii="Times New Roman"/>
          <w:kern w:val="2"/>
          <w:szCs w:val="24"/>
        </w:rPr>
        <w:t>5.3 甲酸：</w:t>
      </w:r>
      <w:r>
        <w:t>色谱</w:t>
      </w:r>
      <w:r>
        <w:rPr>
          <w:rFonts w:ascii="Times New Roman"/>
          <w:kern w:val="2"/>
          <w:szCs w:val="24"/>
        </w:rPr>
        <w:t>纯</w:t>
      </w:r>
      <w:r>
        <w:rPr>
          <w:rFonts w:hint="eastAsia" w:ascii="Times New Roman"/>
          <w:kern w:val="2"/>
          <w:szCs w:val="24"/>
        </w:rPr>
        <w:t>。</w:t>
      </w:r>
    </w:p>
    <w:p>
      <w:pPr>
        <w:pStyle w:val="23"/>
        <w:spacing w:line="360" w:lineRule="auto"/>
        <w:ind w:firstLine="0" w:firstLineChars="0"/>
        <w:rPr>
          <w:rFonts w:ascii="Times New Roman"/>
        </w:rPr>
      </w:pPr>
      <w:r>
        <w:rPr>
          <w:rFonts w:ascii="Times New Roman"/>
        </w:rPr>
        <w:t>5.4 三氟乙酸：色谱纯</w:t>
      </w:r>
      <w:r>
        <w:rPr>
          <w:rFonts w:hint="eastAsia" w:ascii="Times New Roman"/>
        </w:rPr>
        <w:t>。</w:t>
      </w:r>
    </w:p>
    <w:p>
      <w:pPr>
        <w:pStyle w:val="23"/>
        <w:spacing w:line="360" w:lineRule="auto"/>
        <w:ind w:firstLine="0" w:firstLineChars="0"/>
        <w:rPr>
          <w:rFonts w:ascii="Times New Roman"/>
        </w:rPr>
      </w:pPr>
      <w:r>
        <w:rPr>
          <w:rFonts w:ascii="Times New Roman"/>
        </w:rPr>
        <w:t xml:space="preserve">5.5 胰蛋白酶：活力≥10 000 </w:t>
      </w:r>
      <w:r>
        <w:rPr>
          <w:rFonts w:hint="eastAsia" w:ascii="Times New Roman"/>
        </w:rPr>
        <w:t>U</w:t>
      </w:r>
      <w:r>
        <w:rPr>
          <w:rFonts w:ascii="Times New Roman"/>
        </w:rPr>
        <w:t>/mg</w:t>
      </w:r>
      <w:r>
        <w:rPr>
          <w:rFonts w:hint="eastAsia" w:ascii="Times New Roman"/>
        </w:rPr>
        <w:t>，-20 ℃贮存，有效期为6个月。</w:t>
      </w:r>
    </w:p>
    <w:p>
      <w:pPr>
        <w:pStyle w:val="23"/>
        <w:spacing w:line="360" w:lineRule="auto"/>
        <w:ind w:firstLine="0" w:firstLineChars="0"/>
        <w:rPr>
          <w:rFonts w:ascii="Times New Roman"/>
        </w:rPr>
      </w:pPr>
      <w:r>
        <w:rPr>
          <w:rFonts w:ascii="Times New Roman"/>
        </w:rPr>
        <w:t>5.6 标准品：</w:t>
      </w:r>
      <w:r>
        <w:rPr>
          <w:rFonts w:hint="eastAsia" w:ascii="Times New Roman"/>
          <w:i/>
          <w:iCs/>
        </w:rPr>
        <w:t>am</w:t>
      </w:r>
      <w:r>
        <w:rPr>
          <w:rFonts w:hint="eastAsia" w:ascii="Times New Roman"/>
        </w:rPr>
        <w:t>-</w:t>
      </w:r>
      <w:r>
        <w:rPr>
          <w:rFonts w:ascii="Times New Roman"/>
        </w:rPr>
        <w:t>MRJP1</w:t>
      </w:r>
      <w:r>
        <w:rPr>
          <w:rFonts w:hint="eastAsia" w:ascii="Times New Roman"/>
        </w:rPr>
        <w:t>和</w:t>
      </w:r>
      <w:r>
        <w:rPr>
          <w:rFonts w:hint="eastAsia" w:ascii="Times New Roman"/>
          <w:i/>
          <w:iCs/>
        </w:rPr>
        <w:t>ac</w:t>
      </w:r>
      <w:r>
        <w:rPr>
          <w:rFonts w:hint="eastAsia" w:ascii="Times New Roman"/>
        </w:rPr>
        <w:t>-</w:t>
      </w:r>
      <w:r>
        <w:rPr>
          <w:rFonts w:ascii="Times New Roman"/>
        </w:rPr>
        <w:t>MRJP1</w:t>
      </w:r>
      <w:r>
        <w:rPr>
          <w:rFonts w:hint="eastAsia" w:ascii="Times New Roman"/>
          <w:sz w:val="20"/>
        </w:rPr>
        <w:t>的</w:t>
      </w:r>
      <w:r>
        <w:rPr>
          <w:rFonts w:ascii="Times New Roman"/>
          <w:sz w:val="20"/>
        </w:rPr>
        <w:t>纯度均</w:t>
      </w:r>
      <w:r>
        <w:rPr>
          <w:rFonts w:ascii="Times New Roman"/>
        </w:rPr>
        <w:t>≥</w:t>
      </w:r>
      <w:r>
        <w:rPr>
          <w:rFonts w:ascii="Times New Roman"/>
          <w:sz w:val="20"/>
        </w:rPr>
        <w:t>95%</w:t>
      </w:r>
      <w:r>
        <w:rPr>
          <w:rFonts w:ascii="Times New Roman"/>
        </w:rPr>
        <w:t>。</w:t>
      </w:r>
    </w:p>
    <w:p>
      <w:pPr>
        <w:pStyle w:val="23"/>
        <w:spacing w:line="360" w:lineRule="auto"/>
        <w:ind w:firstLine="0" w:firstLineChars="0"/>
        <w:rPr>
          <w:rFonts w:ascii="Times New Roman" w:eastAsiaTheme="minorEastAsia"/>
        </w:rPr>
      </w:pPr>
      <w:r>
        <w:rPr>
          <w:rFonts w:ascii="Times New Roman"/>
        </w:rPr>
        <w:t xml:space="preserve">5.7 </w:t>
      </w:r>
      <w:bookmarkStart w:id="9" w:name="_Hlk29283163"/>
      <w:r>
        <w:rPr>
          <w:rFonts w:ascii="Times New Roman"/>
        </w:rPr>
        <w:t>PBS溶液</w:t>
      </w:r>
      <w:r>
        <w:rPr>
          <w:rFonts w:hint="eastAsia" w:ascii="Times New Roman"/>
        </w:rPr>
        <w:t>(</w:t>
      </w:r>
      <w:r>
        <w:rPr>
          <w:rFonts w:ascii="Times New Roman"/>
        </w:rPr>
        <w:t>0.01 mol/L</w:t>
      </w:r>
      <w:r>
        <w:rPr>
          <w:rFonts w:hint="eastAsia" w:ascii="Times New Roman"/>
        </w:rPr>
        <w:t>)</w:t>
      </w:r>
      <w:r>
        <w:rPr>
          <w:rFonts w:ascii="Times New Roman"/>
        </w:rPr>
        <w:t>：</w:t>
      </w:r>
      <w:r>
        <w:rPr>
          <w:rFonts w:ascii="Times New Roman" w:eastAsiaTheme="minorEastAsia"/>
          <w:spacing w:val="2"/>
          <w:szCs w:val="21"/>
        </w:rPr>
        <w:t>称取</w:t>
      </w:r>
      <w:r>
        <w:rPr>
          <w:rFonts w:hint="eastAsia" w:ascii="Times New Roman" w:eastAsiaTheme="minorEastAsia"/>
          <w:spacing w:val="2"/>
          <w:szCs w:val="21"/>
        </w:rPr>
        <w:t xml:space="preserve">氯化钠 </w:t>
      </w:r>
      <w:r>
        <w:rPr>
          <w:rFonts w:ascii="Times New Roman" w:eastAsiaTheme="minorEastAsia"/>
          <w:spacing w:val="2"/>
          <w:szCs w:val="21"/>
        </w:rPr>
        <w:t>8.0 g</w:t>
      </w:r>
      <w:r>
        <w:rPr>
          <w:rFonts w:hint="eastAsia" w:ascii="Times New Roman" w:eastAsiaTheme="minorEastAsia"/>
          <w:spacing w:val="2"/>
          <w:szCs w:val="21"/>
        </w:rPr>
        <w:t>、氯化钾</w:t>
      </w:r>
      <w:r>
        <w:rPr>
          <w:rFonts w:ascii="Times New Roman" w:eastAsiaTheme="minorEastAsia"/>
          <w:spacing w:val="2"/>
          <w:szCs w:val="21"/>
        </w:rPr>
        <w:t>0.2 g</w:t>
      </w:r>
      <w:r>
        <w:rPr>
          <w:rFonts w:hint="eastAsia" w:ascii="Times New Roman" w:eastAsiaTheme="minorEastAsia"/>
          <w:spacing w:val="2"/>
          <w:szCs w:val="21"/>
        </w:rPr>
        <w:t>、十二水合磷酸氢二钠</w:t>
      </w:r>
      <w:r>
        <w:rPr>
          <w:rFonts w:ascii="Times New Roman" w:eastAsiaTheme="minorEastAsia"/>
          <w:spacing w:val="2"/>
          <w:szCs w:val="21"/>
        </w:rPr>
        <w:t xml:space="preserve"> 2.9 g</w:t>
      </w:r>
      <w:bookmarkStart w:id="10" w:name="_Hlk8554274"/>
      <w:r>
        <w:rPr>
          <w:rFonts w:hint="eastAsia" w:ascii="Times New Roman" w:eastAsiaTheme="minorEastAsia"/>
          <w:spacing w:val="2"/>
          <w:szCs w:val="21"/>
        </w:rPr>
        <w:t>、二水合磷酸二氢钠</w:t>
      </w:r>
      <w:bookmarkEnd w:id="10"/>
      <w:r>
        <w:rPr>
          <w:rFonts w:hint="eastAsia" w:ascii="Times New Roman" w:eastAsiaTheme="minorEastAsia"/>
          <w:spacing w:val="2"/>
          <w:szCs w:val="21"/>
        </w:rPr>
        <w:t xml:space="preserve"> </w:t>
      </w:r>
      <w:r>
        <w:rPr>
          <w:rFonts w:ascii="Times New Roman" w:eastAsiaTheme="minorEastAsia"/>
          <w:spacing w:val="2"/>
          <w:szCs w:val="21"/>
        </w:rPr>
        <w:t>0.59 g，溶于水</w:t>
      </w:r>
      <w:r>
        <w:rPr>
          <w:rFonts w:hint="eastAsia" w:ascii="Times New Roman" w:eastAsiaTheme="minorEastAsia"/>
          <w:spacing w:val="2"/>
          <w:szCs w:val="21"/>
        </w:rPr>
        <w:t>并定容至</w:t>
      </w:r>
      <w:r>
        <w:rPr>
          <w:rFonts w:ascii="Times New Roman" w:eastAsiaTheme="minorEastAsia"/>
          <w:spacing w:val="2"/>
          <w:szCs w:val="21"/>
        </w:rPr>
        <w:t>1</w:t>
      </w:r>
      <w:r>
        <w:rPr>
          <w:rFonts w:hint="eastAsia" w:ascii="Times New Roman" w:eastAsiaTheme="minorEastAsia"/>
          <w:spacing w:val="2"/>
          <w:szCs w:val="21"/>
        </w:rPr>
        <w:t xml:space="preserve"> </w:t>
      </w:r>
      <w:r>
        <w:rPr>
          <w:rFonts w:ascii="Times New Roman" w:eastAsiaTheme="minorEastAsia"/>
          <w:spacing w:val="2"/>
          <w:szCs w:val="21"/>
        </w:rPr>
        <w:t>L</w:t>
      </w:r>
      <w:r>
        <w:rPr>
          <w:rFonts w:hint="eastAsia" w:ascii="Times New Roman" w:eastAsiaTheme="minorEastAsia"/>
          <w:spacing w:val="2"/>
          <w:szCs w:val="21"/>
        </w:rPr>
        <w:t>，混匀。</w:t>
      </w:r>
    </w:p>
    <w:p>
      <w:pPr>
        <w:pStyle w:val="23"/>
        <w:spacing w:line="360" w:lineRule="auto"/>
        <w:ind w:firstLine="0" w:firstLineChars="0"/>
        <w:rPr>
          <w:rFonts w:ascii="Times New Roman"/>
        </w:rPr>
      </w:pPr>
      <w:r>
        <w:rPr>
          <w:rFonts w:ascii="Times New Roman"/>
        </w:rPr>
        <w:t xml:space="preserve">5.8 </w:t>
      </w:r>
      <w:r>
        <w:rPr>
          <w:rFonts w:hint="eastAsia" w:ascii="Times New Roman"/>
        </w:rPr>
        <w:t>碳酸氢铵</w:t>
      </w:r>
      <w:r>
        <w:rPr>
          <w:rFonts w:ascii="Times New Roman"/>
        </w:rPr>
        <w:t>溶液</w:t>
      </w:r>
      <w:r>
        <w:rPr>
          <w:rFonts w:hint="eastAsia" w:ascii="Times New Roman"/>
        </w:rPr>
        <w:t xml:space="preserve"> (</w:t>
      </w:r>
      <w:r>
        <w:rPr>
          <w:rFonts w:ascii="Times New Roman"/>
        </w:rPr>
        <w:t xml:space="preserve">40 mmol/L </w:t>
      </w:r>
      <w:r>
        <w:rPr>
          <w:rFonts w:hint="eastAsia" w:ascii="Times New Roman"/>
        </w:rPr>
        <w:t>)</w:t>
      </w:r>
      <w:r>
        <w:rPr>
          <w:rFonts w:ascii="Times New Roman"/>
        </w:rPr>
        <w:t xml:space="preserve">：称取0.316 g </w:t>
      </w:r>
      <w:r>
        <w:rPr>
          <w:rFonts w:hint="eastAsia" w:ascii="Times New Roman"/>
        </w:rPr>
        <w:t>碳酸氢铵</w:t>
      </w:r>
      <w:r>
        <w:rPr>
          <w:rFonts w:ascii="Times New Roman"/>
        </w:rPr>
        <w:t>，用水</w:t>
      </w:r>
      <w:r>
        <w:rPr>
          <w:rFonts w:hint="eastAsia" w:ascii="Times New Roman"/>
        </w:rPr>
        <w:t>溶解并</w:t>
      </w:r>
      <w:r>
        <w:rPr>
          <w:rFonts w:ascii="Times New Roman"/>
        </w:rPr>
        <w:t>定容</w:t>
      </w:r>
      <w:r>
        <w:rPr>
          <w:rFonts w:hint="eastAsia" w:ascii="Times New Roman"/>
        </w:rPr>
        <w:t>至</w:t>
      </w:r>
      <w:r>
        <w:rPr>
          <w:rFonts w:ascii="Times New Roman"/>
        </w:rPr>
        <w:t>100 mL，</w:t>
      </w:r>
      <w:r>
        <w:rPr>
          <w:rFonts w:hint="eastAsia" w:ascii="Times New Roman"/>
        </w:rPr>
        <w:t>2</w:t>
      </w:r>
      <w:r>
        <w:rPr>
          <w:rFonts w:ascii="Times New Roman"/>
        </w:rPr>
        <w:t xml:space="preserve"> ℃</w:t>
      </w:r>
      <w:r>
        <w:rPr>
          <w:rFonts w:hint="eastAsia" w:ascii="Times New Roman"/>
        </w:rPr>
        <w:t xml:space="preserve"> ~ 8</w:t>
      </w:r>
      <w:r>
        <w:rPr>
          <w:rFonts w:ascii="Times New Roman"/>
        </w:rPr>
        <w:t xml:space="preserve"> ℃贮存</w:t>
      </w:r>
      <w:r>
        <w:rPr>
          <w:rFonts w:hint="eastAsia" w:ascii="Times New Roman"/>
        </w:rPr>
        <w:t>。</w:t>
      </w:r>
    </w:p>
    <w:p>
      <w:pPr>
        <w:pStyle w:val="23"/>
        <w:spacing w:line="360" w:lineRule="auto"/>
        <w:ind w:firstLine="0" w:firstLineChars="0"/>
        <w:rPr>
          <w:rFonts w:ascii="Times New Roman"/>
        </w:rPr>
      </w:pPr>
      <w:r>
        <w:rPr>
          <w:rFonts w:ascii="Times New Roman"/>
        </w:rPr>
        <w:t>5.9</w:t>
      </w:r>
      <w:r>
        <w:rPr>
          <w:rFonts w:hint="eastAsia" w:ascii="Times New Roman"/>
        </w:rPr>
        <w:t xml:space="preserve"> 二硫苏糖醇</w:t>
      </w:r>
      <w:r>
        <w:rPr>
          <w:rFonts w:ascii="Times New Roman"/>
        </w:rPr>
        <w:t>溶液</w:t>
      </w:r>
      <w:r>
        <w:rPr>
          <w:rFonts w:hint="eastAsia" w:ascii="Times New Roman"/>
        </w:rPr>
        <w:t>(</w:t>
      </w:r>
      <w:r>
        <w:rPr>
          <w:rFonts w:ascii="Times New Roman"/>
        </w:rPr>
        <w:t>100</w:t>
      </w:r>
      <w:r>
        <w:rPr>
          <w:rFonts w:hint="eastAsia" w:ascii="Times New Roman"/>
        </w:rPr>
        <w:t xml:space="preserve"> </w:t>
      </w:r>
      <w:r>
        <w:rPr>
          <w:rFonts w:ascii="Times New Roman"/>
        </w:rPr>
        <w:t>mmol/L</w:t>
      </w:r>
      <w:r>
        <w:rPr>
          <w:rFonts w:hint="eastAsia" w:ascii="Times New Roman"/>
        </w:rPr>
        <w:t>)</w:t>
      </w:r>
      <w:r>
        <w:rPr>
          <w:rFonts w:ascii="Times New Roman"/>
        </w:rPr>
        <w:t>；称取</w:t>
      </w:r>
      <w:r>
        <w:rPr>
          <w:rFonts w:hint="eastAsia" w:ascii="Times New Roman"/>
        </w:rPr>
        <w:t>二硫苏糖醇</w:t>
      </w:r>
      <w:r>
        <w:rPr>
          <w:rFonts w:ascii="Times New Roman"/>
        </w:rPr>
        <w:t>0.3</w:t>
      </w:r>
      <w:r>
        <w:rPr>
          <w:rFonts w:hint="eastAsia" w:ascii="Times New Roman"/>
        </w:rPr>
        <w:t xml:space="preserve">85 </w:t>
      </w:r>
      <w:r>
        <w:rPr>
          <w:rFonts w:ascii="Times New Roman"/>
        </w:rPr>
        <w:t>g</w:t>
      </w:r>
      <w:r>
        <w:rPr>
          <w:rFonts w:hint="eastAsia" w:ascii="Times New Roman"/>
        </w:rPr>
        <w:t>于10 mL棕色容量瓶中，</w:t>
      </w:r>
      <w:r>
        <w:rPr>
          <w:rFonts w:ascii="Times New Roman"/>
        </w:rPr>
        <w:t>用</w:t>
      </w:r>
      <w:r>
        <w:rPr>
          <w:rFonts w:hint="eastAsia" w:ascii="Times New Roman"/>
        </w:rPr>
        <w:t>碳酸氢铵</w:t>
      </w:r>
      <w:r>
        <w:rPr>
          <w:rFonts w:ascii="Times New Roman"/>
        </w:rPr>
        <w:t>溶液</w:t>
      </w:r>
      <w:r>
        <w:rPr>
          <w:rFonts w:hint="eastAsia" w:ascii="Times New Roman"/>
        </w:rPr>
        <w:t xml:space="preserve"> (5</w:t>
      </w:r>
      <w:r>
        <w:rPr>
          <w:rFonts w:ascii="Times New Roman"/>
        </w:rPr>
        <w:t>.</w:t>
      </w:r>
      <w:r>
        <w:rPr>
          <w:rFonts w:hint="eastAsia" w:ascii="Times New Roman"/>
        </w:rPr>
        <w:t>8)</w:t>
      </w:r>
      <w:r>
        <w:rPr>
          <w:rFonts w:ascii="Times New Roman"/>
        </w:rPr>
        <w:t>溶解</w:t>
      </w:r>
      <w:r>
        <w:rPr>
          <w:rFonts w:hint="eastAsia" w:ascii="Times New Roman"/>
        </w:rPr>
        <w:t>并定容。</w:t>
      </w:r>
      <w:r>
        <w:rPr>
          <w:rFonts w:ascii="Times New Roman"/>
        </w:rPr>
        <w:t>-20 ℃冰箱避光保存，有效期为6</w:t>
      </w:r>
      <w:r>
        <w:rPr>
          <w:rFonts w:hint="eastAsia" w:ascii="Times New Roman"/>
        </w:rPr>
        <w:t>个月</w:t>
      </w:r>
      <w:r>
        <w:rPr>
          <w:rFonts w:ascii="Times New Roman"/>
        </w:rPr>
        <w:t>。</w:t>
      </w:r>
    </w:p>
    <w:p>
      <w:pPr>
        <w:pStyle w:val="23"/>
        <w:spacing w:line="360" w:lineRule="auto"/>
        <w:ind w:firstLine="0" w:firstLineChars="0"/>
        <w:rPr>
          <w:rFonts w:ascii="Times New Roman"/>
        </w:rPr>
      </w:pPr>
      <w:r>
        <w:rPr>
          <w:rFonts w:ascii="Times New Roman"/>
        </w:rPr>
        <w:t>5.10</w:t>
      </w:r>
      <w:r>
        <w:rPr>
          <w:rFonts w:hint="eastAsia" w:ascii="Times New Roman"/>
        </w:rPr>
        <w:t xml:space="preserve"> 碘乙酰胺</w:t>
      </w:r>
      <w:r>
        <w:rPr>
          <w:rFonts w:ascii="Times New Roman"/>
        </w:rPr>
        <w:t>溶液</w:t>
      </w:r>
      <w:r>
        <w:rPr>
          <w:rFonts w:hint="eastAsia" w:ascii="Times New Roman"/>
        </w:rPr>
        <w:t>(</w:t>
      </w:r>
      <w:r>
        <w:rPr>
          <w:rFonts w:ascii="Times New Roman"/>
        </w:rPr>
        <w:t>100 mmol/L</w:t>
      </w:r>
      <w:r>
        <w:rPr>
          <w:rFonts w:hint="eastAsia" w:ascii="Times New Roman"/>
        </w:rPr>
        <w:t>)</w:t>
      </w:r>
      <w:r>
        <w:rPr>
          <w:rFonts w:ascii="Times New Roman"/>
        </w:rPr>
        <w:t>；称取</w:t>
      </w:r>
      <w:r>
        <w:rPr>
          <w:rFonts w:hint="eastAsia" w:ascii="Times New Roman"/>
        </w:rPr>
        <w:t>碘乙酰胺</w:t>
      </w:r>
      <w:r>
        <w:rPr>
          <w:rFonts w:ascii="Times New Roman"/>
        </w:rPr>
        <w:t>0.3</w:t>
      </w:r>
      <w:r>
        <w:rPr>
          <w:rFonts w:hint="eastAsia" w:ascii="Times New Roman"/>
        </w:rPr>
        <w:t xml:space="preserve">8 </w:t>
      </w:r>
      <w:r>
        <w:rPr>
          <w:rFonts w:ascii="Times New Roman"/>
        </w:rPr>
        <w:t>g</w:t>
      </w:r>
      <w:r>
        <w:rPr>
          <w:rFonts w:hint="eastAsia" w:ascii="Times New Roman"/>
        </w:rPr>
        <w:t>于100 mL棕色容量瓶中</w:t>
      </w:r>
      <w:r>
        <w:rPr>
          <w:rFonts w:ascii="Times New Roman"/>
        </w:rPr>
        <w:t>，用</w:t>
      </w:r>
      <w:r>
        <w:rPr>
          <w:rFonts w:hint="eastAsia" w:ascii="Times New Roman"/>
        </w:rPr>
        <w:t>碳酸氢铵</w:t>
      </w:r>
      <w:r>
        <w:rPr>
          <w:rFonts w:ascii="Times New Roman"/>
        </w:rPr>
        <w:t>溶液</w:t>
      </w:r>
      <w:bookmarkStart w:id="11" w:name="_Hlk28979702"/>
      <w:r>
        <w:rPr>
          <w:rFonts w:hint="eastAsia" w:ascii="Times New Roman"/>
        </w:rPr>
        <w:t xml:space="preserve"> (</w:t>
      </w:r>
      <w:r>
        <w:rPr>
          <w:rFonts w:ascii="Times New Roman"/>
        </w:rPr>
        <w:t>5.</w:t>
      </w:r>
      <w:bookmarkEnd w:id="11"/>
      <w:r>
        <w:rPr>
          <w:rFonts w:hint="eastAsia" w:ascii="Times New Roman"/>
        </w:rPr>
        <w:t>8)</w:t>
      </w:r>
      <w:r>
        <w:rPr>
          <w:rFonts w:ascii="Times New Roman"/>
        </w:rPr>
        <w:t>溶解</w:t>
      </w:r>
      <w:r>
        <w:rPr>
          <w:rFonts w:hint="eastAsia" w:ascii="Times New Roman"/>
        </w:rPr>
        <w:t>并定容。</w:t>
      </w:r>
      <w:r>
        <w:rPr>
          <w:rFonts w:ascii="Times New Roman"/>
        </w:rPr>
        <w:t>-20 ℃冰箱避光保存，有效期为6</w:t>
      </w:r>
      <w:r>
        <w:rPr>
          <w:rFonts w:hint="eastAsia" w:ascii="Times New Roman"/>
        </w:rPr>
        <w:t>个月</w:t>
      </w:r>
      <w:r>
        <w:rPr>
          <w:rFonts w:ascii="Times New Roman"/>
        </w:rPr>
        <w:t>。</w:t>
      </w:r>
    </w:p>
    <w:p>
      <w:pPr>
        <w:pStyle w:val="23"/>
        <w:spacing w:line="360" w:lineRule="auto"/>
        <w:ind w:firstLine="0" w:firstLineChars="0"/>
        <w:rPr>
          <w:rFonts w:ascii="Times New Roman"/>
        </w:rPr>
      </w:pPr>
      <w:r>
        <w:rPr>
          <w:rFonts w:ascii="Times New Roman"/>
        </w:rPr>
        <w:t xml:space="preserve">5.11 </w:t>
      </w:r>
      <w:bookmarkStart w:id="12" w:name="_Hlk120129403"/>
      <w:r>
        <w:rPr>
          <w:rFonts w:ascii="Times New Roman"/>
        </w:rPr>
        <w:t>标准储备液</w:t>
      </w:r>
      <w:r>
        <w:rPr>
          <w:rFonts w:hint="eastAsia" w:ascii="Times New Roman"/>
        </w:rPr>
        <w:t xml:space="preserve">(1000 </w:t>
      </w:r>
      <w:r>
        <w:rPr>
          <w:rFonts w:ascii="Times New Roman"/>
        </w:rPr>
        <w:t>μg/mL</w:t>
      </w:r>
      <w:r>
        <w:rPr>
          <w:rFonts w:hint="eastAsia" w:ascii="Times New Roman"/>
        </w:rPr>
        <w:t>)</w:t>
      </w:r>
      <w:r>
        <w:rPr>
          <w:rFonts w:ascii="Times New Roman"/>
        </w:rPr>
        <w:t>：</w:t>
      </w:r>
      <w:bookmarkStart w:id="13" w:name="_Hlk120497298"/>
      <w:r>
        <w:rPr>
          <w:rFonts w:hint="eastAsia" w:ascii="Times New Roman"/>
        </w:rPr>
        <w:t>称取</w:t>
      </w:r>
      <w:r>
        <w:rPr>
          <w:rFonts w:ascii="Times New Roman"/>
          <w:i/>
          <w:iCs/>
          <w:sz w:val="20"/>
        </w:rPr>
        <w:t>ac</w:t>
      </w:r>
      <w:r>
        <w:rPr>
          <w:rFonts w:ascii="Times New Roman"/>
          <w:sz w:val="20"/>
        </w:rPr>
        <w:t>-MRJP1</w:t>
      </w:r>
      <w:r>
        <w:rPr>
          <w:rFonts w:hint="eastAsia" w:ascii="Times New Roman"/>
          <w:sz w:val="20"/>
        </w:rPr>
        <w:t>和</w:t>
      </w:r>
      <w:r>
        <w:rPr>
          <w:rFonts w:ascii="Times New Roman"/>
          <w:i/>
          <w:iCs/>
          <w:sz w:val="20"/>
        </w:rPr>
        <w:t>am</w:t>
      </w:r>
      <w:r>
        <w:rPr>
          <w:rFonts w:ascii="Times New Roman"/>
          <w:sz w:val="20"/>
        </w:rPr>
        <w:t>-MRJP1</w:t>
      </w:r>
      <w:r>
        <w:rPr>
          <w:rFonts w:hint="eastAsia" w:ascii="Times New Roman"/>
        </w:rPr>
        <w:t>(5</w:t>
      </w:r>
      <w:r>
        <w:rPr>
          <w:rFonts w:ascii="Times New Roman"/>
        </w:rPr>
        <w:t>.6</w:t>
      </w:r>
      <w:r>
        <w:rPr>
          <w:rFonts w:hint="eastAsia" w:ascii="Times New Roman"/>
        </w:rPr>
        <w:t>)各5 mg，分别置于5 mL棕色容量瓶中，</w:t>
      </w:r>
      <w:r>
        <w:rPr>
          <w:rFonts w:ascii="Times New Roman"/>
        </w:rPr>
        <w:t>用</w:t>
      </w:r>
      <w:r>
        <w:rPr>
          <w:rFonts w:hint="eastAsia" w:ascii="Times New Roman"/>
        </w:rPr>
        <w:t xml:space="preserve"> </w:t>
      </w:r>
      <w:r>
        <w:rPr>
          <w:rFonts w:ascii="Times New Roman"/>
        </w:rPr>
        <w:t>PBS</w:t>
      </w:r>
      <w:r>
        <w:rPr>
          <w:rFonts w:hint="eastAsia" w:ascii="Times New Roman"/>
        </w:rPr>
        <w:t>溶液(</w:t>
      </w:r>
      <w:r>
        <w:rPr>
          <w:rFonts w:ascii="Times New Roman"/>
        </w:rPr>
        <w:t>5.7</w:t>
      </w:r>
      <w:r>
        <w:rPr>
          <w:rFonts w:hint="eastAsia" w:ascii="Times New Roman"/>
        </w:rPr>
        <w:t>)溶解并定容。</w:t>
      </w:r>
      <w:r>
        <w:rPr>
          <w:rFonts w:ascii="Times New Roman"/>
        </w:rPr>
        <w:t>-20 ℃冰箱避光保存，有效期为6</w:t>
      </w:r>
      <w:bookmarkEnd w:id="13"/>
      <w:r>
        <w:rPr>
          <w:rFonts w:hint="eastAsia" w:ascii="Times New Roman"/>
        </w:rPr>
        <w:t>个月</w:t>
      </w:r>
      <w:r>
        <w:rPr>
          <w:rFonts w:ascii="Times New Roman"/>
        </w:rPr>
        <w:t>。</w:t>
      </w:r>
      <w:bookmarkEnd w:id="12"/>
    </w:p>
    <w:p>
      <w:pPr>
        <w:pStyle w:val="23"/>
        <w:spacing w:line="360" w:lineRule="auto"/>
        <w:ind w:firstLine="0" w:firstLineChars="0"/>
        <w:rPr>
          <w:rFonts w:ascii="Times New Roman"/>
        </w:rPr>
      </w:pPr>
      <w:r>
        <w:rPr>
          <w:rFonts w:ascii="Times New Roman"/>
        </w:rPr>
        <w:t xml:space="preserve">5.12 </w:t>
      </w:r>
      <w:bookmarkStart w:id="14" w:name="_Hlk120129431"/>
      <w:r>
        <w:rPr>
          <w:rFonts w:hint="eastAsia" w:ascii="Times New Roman"/>
        </w:rPr>
        <w:t>混合</w:t>
      </w:r>
      <w:r>
        <w:rPr>
          <w:rFonts w:ascii="Times New Roman"/>
        </w:rPr>
        <w:t>标准工作液</w:t>
      </w:r>
      <w:r>
        <w:rPr>
          <w:rFonts w:hint="eastAsia" w:ascii="Times New Roman"/>
        </w:rPr>
        <w:t xml:space="preserve">(10 </w:t>
      </w:r>
      <w:r>
        <w:rPr>
          <w:rFonts w:ascii="Times New Roman"/>
        </w:rPr>
        <w:t>μg/mL</w:t>
      </w:r>
      <w:r>
        <w:rPr>
          <w:rFonts w:hint="eastAsia" w:ascii="Times New Roman"/>
        </w:rPr>
        <w:t>)</w:t>
      </w:r>
      <w:r>
        <w:rPr>
          <w:rFonts w:ascii="Times New Roman"/>
        </w:rPr>
        <w:t>：</w:t>
      </w:r>
      <w:bookmarkStart w:id="15" w:name="_Hlk120497373"/>
      <w:r>
        <w:rPr>
          <w:rFonts w:ascii="Times New Roman"/>
        </w:rPr>
        <w:t>准确</w:t>
      </w:r>
      <w:r>
        <w:rPr>
          <w:rFonts w:hint="eastAsia" w:ascii="Times New Roman"/>
        </w:rPr>
        <w:t>移取标准储备液(5.11) 各0.10 mL于10 mL棕色容量瓶中，</w:t>
      </w:r>
      <w:r>
        <w:rPr>
          <w:rFonts w:ascii="Times New Roman"/>
        </w:rPr>
        <w:t>用PBS</w:t>
      </w:r>
      <w:r>
        <w:rPr>
          <w:rFonts w:hint="eastAsia" w:ascii="Times New Roman"/>
        </w:rPr>
        <w:t>溶液(</w:t>
      </w:r>
      <w:r>
        <w:rPr>
          <w:rFonts w:ascii="Times New Roman"/>
        </w:rPr>
        <w:t>5.7</w:t>
      </w:r>
      <w:r>
        <w:rPr>
          <w:rFonts w:hint="eastAsia" w:ascii="Times New Roman"/>
        </w:rPr>
        <w:t>)稀释并定容。2</w:t>
      </w:r>
      <w:r>
        <w:rPr>
          <w:rFonts w:ascii="Times New Roman"/>
        </w:rPr>
        <w:t xml:space="preserve"> ℃</w:t>
      </w:r>
      <w:r>
        <w:rPr>
          <w:rFonts w:hint="eastAsia" w:ascii="Times New Roman"/>
        </w:rPr>
        <w:t xml:space="preserve"> ~ 8</w:t>
      </w:r>
      <w:r>
        <w:rPr>
          <w:rFonts w:ascii="Times New Roman"/>
        </w:rPr>
        <w:t xml:space="preserve"> ℃贮存待用，有效期为1</w:t>
      </w:r>
      <w:r>
        <w:rPr>
          <w:rFonts w:hint="eastAsia" w:ascii="Times New Roman"/>
        </w:rPr>
        <w:t>周</w:t>
      </w:r>
      <w:r>
        <w:rPr>
          <w:rFonts w:ascii="Times New Roman"/>
        </w:rPr>
        <w:t>。</w:t>
      </w:r>
    </w:p>
    <w:bookmarkEnd w:id="14"/>
    <w:bookmarkEnd w:id="15"/>
    <w:p>
      <w:pPr>
        <w:pStyle w:val="23"/>
        <w:spacing w:line="360" w:lineRule="auto"/>
        <w:ind w:firstLine="0" w:firstLineChars="0"/>
        <w:rPr>
          <w:rFonts w:ascii="Times New Roman"/>
        </w:rPr>
      </w:pPr>
      <w:r>
        <w:rPr>
          <w:rFonts w:ascii="Times New Roman"/>
        </w:rPr>
        <w:t>5.13 胰蛋白酶溶液</w:t>
      </w:r>
      <w:r>
        <w:rPr>
          <w:rFonts w:hint="eastAsia" w:ascii="Times New Roman"/>
        </w:rPr>
        <w:t>(</w:t>
      </w:r>
      <w:r>
        <w:rPr>
          <w:rFonts w:ascii="Times New Roman"/>
        </w:rPr>
        <w:t>500 μg/mL</w:t>
      </w:r>
      <w:r>
        <w:rPr>
          <w:rFonts w:hint="eastAsia" w:ascii="Times New Roman"/>
        </w:rPr>
        <w:t>)</w:t>
      </w:r>
      <w:r>
        <w:rPr>
          <w:rFonts w:ascii="Times New Roman"/>
        </w:rPr>
        <w:t>：称取胰蛋白酶</w:t>
      </w:r>
      <w:r>
        <w:rPr>
          <w:rFonts w:hint="eastAsia" w:ascii="Times New Roman"/>
        </w:rPr>
        <w:t xml:space="preserve"> (5</w:t>
      </w:r>
      <w:r>
        <w:rPr>
          <w:rFonts w:ascii="Times New Roman"/>
        </w:rPr>
        <w:t>.5</w:t>
      </w:r>
      <w:r>
        <w:rPr>
          <w:rFonts w:hint="eastAsia" w:ascii="Times New Roman"/>
        </w:rPr>
        <w:t>)</w:t>
      </w:r>
      <w:r>
        <w:rPr>
          <w:rFonts w:ascii="Times New Roman"/>
        </w:rPr>
        <w:t xml:space="preserve"> 5 mg</w:t>
      </w:r>
      <w:r>
        <w:rPr>
          <w:rFonts w:hint="eastAsia" w:ascii="Times New Roman"/>
        </w:rPr>
        <w:t>于10 mL棕色容量瓶中，</w:t>
      </w:r>
      <w:r>
        <w:rPr>
          <w:rFonts w:ascii="Times New Roman"/>
        </w:rPr>
        <w:t>用</w:t>
      </w:r>
      <w:r>
        <w:rPr>
          <w:rFonts w:hint="eastAsia" w:ascii="Times New Roman"/>
        </w:rPr>
        <w:t>纯水溶解并定容。</w:t>
      </w:r>
      <w:r>
        <w:rPr>
          <w:rFonts w:ascii="Times New Roman"/>
        </w:rPr>
        <w:t>-20 ℃冰箱避光保存，有效期为6</w:t>
      </w:r>
      <w:r>
        <w:rPr>
          <w:rFonts w:hint="eastAsia" w:ascii="Times New Roman"/>
        </w:rPr>
        <w:t>个月</w:t>
      </w:r>
      <w:r>
        <w:rPr>
          <w:rFonts w:ascii="Times New Roman"/>
        </w:rPr>
        <w:t>。</w:t>
      </w:r>
    </w:p>
    <w:p>
      <w:pPr>
        <w:pStyle w:val="23"/>
        <w:spacing w:line="360" w:lineRule="auto"/>
        <w:ind w:firstLine="0" w:firstLineChars="0"/>
        <w:rPr>
          <w:rFonts w:ascii="Times New Roman"/>
        </w:rPr>
      </w:pPr>
      <w:r>
        <w:rPr>
          <w:rFonts w:ascii="Times New Roman"/>
        </w:rPr>
        <w:t xml:space="preserve">5.14 </w:t>
      </w:r>
      <w:bookmarkStart w:id="16" w:name="_Hlk120129150"/>
      <w:r>
        <w:rPr>
          <w:rFonts w:hint="eastAsia" w:ascii="Times New Roman"/>
        </w:rPr>
        <w:t>淋洗</w:t>
      </w:r>
      <w:r>
        <w:rPr>
          <w:rFonts w:ascii="Times New Roman"/>
        </w:rPr>
        <w:t>液：</w:t>
      </w:r>
      <w:bookmarkStart w:id="17" w:name="_Hlk28975937"/>
      <w:r>
        <w:rPr>
          <w:rFonts w:ascii="Times New Roman"/>
        </w:rPr>
        <w:t>准确移取</w:t>
      </w:r>
      <w:bookmarkEnd w:id="17"/>
      <w:r>
        <w:rPr>
          <w:rFonts w:hint="eastAsia" w:ascii="Times New Roman"/>
        </w:rPr>
        <w:t>三氟乙酸 (5</w:t>
      </w:r>
      <w:r>
        <w:rPr>
          <w:rFonts w:ascii="Times New Roman"/>
        </w:rPr>
        <w:t>.4</w:t>
      </w:r>
      <w:r>
        <w:rPr>
          <w:rFonts w:hint="eastAsia" w:ascii="Times New Roman"/>
        </w:rPr>
        <w:t>)</w:t>
      </w:r>
      <w:r>
        <w:rPr>
          <w:rFonts w:ascii="Times New Roman"/>
        </w:rPr>
        <w:t xml:space="preserve"> 100 μL</w:t>
      </w:r>
      <w:r>
        <w:rPr>
          <w:rFonts w:hint="eastAsia" w:ascii="Times New Roman"/>
        </w:rPr>
        <w:t>于100 mL容量瓶中</w:t>
      </w:r>
      <w:r>
        <w:rPr>
          <w:rFonts w:ascii="Times New Roman"/>
        </w:rPr>
        <w:t>，用水</w:t>
      </w:r>
      <w:r>
        <w:rPr>
          <w:rFonts w:hint="eastAsia" w:ascii="Times New Roman"/>
        </w:rPr>
        <w:t>稀释</w:t>
      </w:r>
      <w:r>
        <w:rPr>
          <w:rFonts w:ascii="Times New Roman"/>
        </w:rPr>
        <w:t>定容</w:t>
      </w:r>
      <w:bookmarkEnd w:id="16"/>
      <w:r>
        <w:rPr>
          <w:rFonts w:hint="eastAsia" w:ascii="Times New Roman"/>
        </w:rPr>
        <w:t>，现配现用</w:t>
      </w:r>
      <w:r>
        <w:rPr>
          <w:rFonts w:ascii="Times New Roman"/>
        </w:rPr>
        <w:t>。</w:t>
      </w:r>
    </w:p>
    <w:p>
      <w:pPr>
        <w:pStyle w:val="23"/>
        <w:spacing w:line="360" w:lineRule="auto"/>
        <w:ind w:firstLine="0" w:firstLineChars="0"/>
        <w:rPr>
          <w:rFonts w:ascii="Times New Roman"/>
        </w:rPr>
      </w:pPr>
      <w:r>
        <w:rPr>
          <w:rFonts w:ascii="Times New Roman"/>
        </w:rPr>
        <w:t xml:space="preserve">5.15 </w:t>
      </w:r>
      <w:bookmarkStart w:id="18" w:name="_Hlk120129159"/>
      <w:r>
        <w:rPr>
          <w:rFonts w:ascii="Times New Roman"/>
        </w:rPr>
        <w:t>洗脱液：准确移取乙腈</w:t>
      </w:r>
      <w:r>
        <w:rPr>
          <w:rFonts w:hint="eastAsia" w:ascii="Times New Roman"/>
        </w:rPr>
        <w:t>(5</w:t>
      </w:r>
      <w:r>
        <w:rPr>
          <w:rFonts w:ascii="Times New Roman"/>
        </w:rPr>
        <w:t>.2</w:t>
      </w:r>
      <w:r>
        <w:rPr>
          <w:rFonts w:hint="eastAsia" w:ascii="Times New Roman"/>
        </w:rPr>
        <w:t>)</w:t>
      </w:r>
      <w:r>
        <w:rPr>
          <w:rFonts w:ascii="Times New Roman"/>
        </w:rPr>
        <w:t xml:space="preserve"> 70 mL和</w:t>
      </w:r>
      <w:r>
        <w:rPr>
          <w:rFonts w:hint="eastAsia" w:ascii="Times New Roman"/>
        </w:rPr>
        <w:t>三氟乙酸(5</w:t>
      </w:r>
      <w:r>
        <w:rPr>
          <w:rFonts w:ascii="Times New Roman"/>
        </w:rPr>
        <w:t>.4</w:t>
      </w:r>
      <w:r>
        <w:rPr>
          <w:rFonts w:hint="eastAsia" w:ascii="Times New Roman"/>
        </w:rPr>
        <w:t>)</w:t>
      </w:r>
      <w:r>
        <w:rPr>
          <w:rFonts w:ascii="Times New Roman"/>
        </w:rPr>
        <w:t xml:space="preserve"> 100 μL</w:t>
      </w:r>
      <w:bookmarkEnd w:id="18"/>
      <w:r>
        <w:rPr>
          <w:rFonts w:hint="eastAsia" w:ascii="Times New Roman"/>
        </w:rPr>
        <w:t>于100 mL容量瓶中</w:t>
      </w:r>
      <w:r>
        <w:rPr>
          <w:rFonts w:ascii="Times New Roman"/>
        </w:rPr>
        <w:t>，用水定容</w:t>
      </w:r>
      <w:r>
        <w:rPr>
          <w:rFonts w:hint="eastAsia" w:ascii="Times New Roman"/>
        </w:rPr>
        <w:t>，现配现用</w:t>
      </w:r>
      <w:r>
        <w:rPr>
          <w:rFonts w:ascii="Times New Roman"/>
        </w:rPr>
        <w:t>。</w:t>
      </w:r>
    </w:p>
    <w:p>
      <w:pPr>
        <w:pStyle w:val="23"/>
        <w:spacing w:line="360" w:lineRule="auto"/>
        <w:ind w:firstLine="0" w:firstLineChars="0"/>
        <w:rPr>
          <w:rFonts w:ascii="Times New Roman"/>
        </w:rPr>
      </w:pPr>
      <w:r>
        <w:rPr>
          <w:rFonts w:ascii="Times New Roman"/>
        </w:rPr>
        <w:t xml:space="preserve">5.16 </w:t>
      </w:r>
      <w:bookmarkStart w:id="19" w:name="_Hlk120129176"/>
      <w:r>
        <w:rPr>
          <w:rFonts w:ascii="Times New Roman"/>
        </w:rPr>
        <w:t>复溶液：准确移取乙腈</w:t>
      </w:r>
      <w:r>
        <w:rPr>
          <w:rFonts w:hint="eastAsia" w:ascii="Times New Roman"/>
        </w:rPr>
        <w:t>(5</w:t>
      </w:r>
      <w:r>
        <w:rPr>
          <w:rFonts w:ascii="Times New Roman"/>
        </w:rPr>
        <w:t>.2</w:t>
      </w:r>
      <w:r>
        <w:rPr>
          <w:rFonts w:hint="eastAsia" w:ascii="Times New Roman"/>
        </w:rPr>
        <w:t>)</w:t>
      </w:r>
      <w:r>
        <w:rPr>
          <w:rFonts w:ascii="Times New Roman"/>
        </w:rPr>
        <w:t xml:space="preserve"> 10 mL和</w:t>
      </w:r>
      <w:bookmarkStart w:id="20" w:name="_Hlk120497257"/>
      <w:r>
        <w:rPr>
          <w:rFonts w:ascii="Times New Roman"/>
        </w:rPr>
        <w:t>的甲酸</w:t>
      </w:r>
      <w:bookmarkEnd w:id="20"/>
      <w:r>
        <w:rPr>
          <w:rFonts w:hint="eastAsia" w:ascii="Times New Roman"/>
        </w:rPr>
        <w:t>(5</w:t>
      </w:r>
      <w:r>
        <w:rPr>
          <w:rFonts w:ascii="Times New Roman"/>
        </w:rPr>
        <w:t>.3</w:t>
      </w:r>
      <w:r>
        <w:rPr>
          <w:rFonts w:hint="eastAsia" w:ascii="Times New Roman"/>
        </w:rPr>
        <w:t>)</w:t>
      </w:r>
      <w:r>
        <w:rPr>
          <w:rFonts w:ascii="Times New Roman"/>
        </w:rPr>
        <w:t xml:space="preserve"> 100 μ</w:t>
      </w:r>
      <w:bookmarkEnd w:id="19"/>
      <w:r>
        <w:rPr>
          <w:rFonts w:ascii="Times New Roman"/>
        </w:rPr>
        <w:t>L</w:t>
      </w:r>
      <w:r>
        <w:rPr>
          <w:rFonts w:hint="eastAsia" w:ascii="Times New Roman"/>
        </w:rPr>
        <w:t>于100 mL容量瓶中</w:t>
      </w:r>
      <w:r>
        <w:rPr>
          <w:rFonts w:ascii="Times New Roman"/>
        </w:rPr>
        <w:t>，用水定容</w:t>
      </w:r>
      <w:r>
        <w:rPr>
          <w:rFonts w:hint="eastAsia" w:ascii="Times New Roman"/>
        </w:rPr>
        <w:t>，现配现用</w:t>
      </w:r>
      <w:r>
        <w:rPr>
          <w:rFonts w:ascii="Times New Roman"/>
        </w:rPr>
        <w:t>。</w:t>
      </w:r>
    </w:p>
    <w:p>
      <w:pPr>
        <w:pStyle w:val="23"/>
        <w:spacing w:line="360" w:lineRule="auto"/>
        <w:ind w:firstLine="0" w:firstLineChars="0"/>
        <w:rPr>
          <w:rFonts w:ascii="Times New Roman"/>
        </w:rPr>
      </w:pPr>
      <w:r>
        <w:rPr>
          <w:rFonts w:ascii="Times New Roman"/>
        </w:rPr>
        <w:t xml:space="preserve">5.17 </w:t>
      </w:r>
      <w:bookmarkStart w:id="21" w:name="_Hlk120129708"/>
      <w:r>
        <w:rPr>
          <w:rFonts w:ascii="Times New Roman"/>
        </w:rPr>
        <w:t>C</w:t>
      </w:r>
      <w:r>
        <w:rPr>
          <w:rFonts w:ascii="Times New Roman"/>
          <w:vertAlign w:val="subscript"/>
        </w:rPr>
        <w:t>18</w:t>
      </w:r>
      <w:bookmarkEnd w:id="21"/>
      <w:r>
        <w:rPr>
          <w:rFonts w:hint="eastAsia" w:ascii="Times New Roman"/>
        </w:rPr>
        <w:t>固相萃取柱(</w:t>
      </w:r>
      <w:r>
        <w:rPr>
          <w:rFonts w:ascii="Times New Roman"/>
        </w:rPr>
        <w:t>60</w:t>
      </w:r>
      <w:r>
        <w:rPr>
          <w:rFonts w:hint="eastAsia" w:ascii="Times New Roman"/>
        </w:rPr>
        <w:t xml:space="preserve"> mg/3</w:t>
      </w:r>
      <w:r>
        <w:rPr>
          <w:rFonts w:ascii="Times New Roman"/>
        </w:rPr>
        <w:t xml:space="preserve"> </w:t>
      </w:r>
      <w:r>
        <w:rPr>
          <w:rFonts w:hint="eastAsia" w:ascii="Times New Roman"/>
        </w:rPr>
        <w:t>m</w:t>
      </w:r>
      <w:r>
        <w:rPr>
          <w:rFonts w:ascii="Times New Roman"/>
        </w:rPr>
        <w:t>L</w:t>
      </w:r>
      <w:r>
        <w:rPr>
          <w:rFonts w:hint="eastAsia" w:ascii="Times New Roman"/>
        </w:rPr>
        <w:t>)</w:t>
      </w:r>
      <w:r>
        <w:rPr>
          <w:rFonts w:ascii="Times New Roman"/>
        </w:rPr>
        <w:t>，</w:t>
      </w:r>
      <w:r>
        <w:rPr>
          <w:rFonts w:hint="eastAsia" w:ascii="Times New Roman"/>
        </w:rPr>
        <w:t>或性能相当者。</w:t>
      </w:r>
    </w:p>
    <w:bookmarkEnd w:id="9"/>
    <w:p>
      <w:pPr>
        <w:pStyle w:val="46"/>
        <w:numPr>
          <w:ilvl w:val="0"/>
          <w:numId w:val="0"/>
        </w:numPr>
        <w:spacing w:before="312" w:after="312"/>
        <w:rPr>
          <w:rFonts w:hAnsi="黑体"/>
        </w:rPr>
      </w:pPr>
      <w:r>
        <w:rPr>
          <w:rFonts w:hAnsi="黑体"/>
        </w:rPr>
        <w:t>6</w:t>
      </w:r>
      <w:r>
        <w:rPr>
          <w:rFonts w:hint="eastAsia" w:hAnsi="黑体"/>
        </w:rPr>
        <w:t xml:space="preserve"> </w:t>
      </w:r>
      <w:r>
        <w:rPr>
          <w:rFonts w:hAnsi="黑体"/>
        </w:rPr>
        <w:t>仪器设备</w:t>
      </w:r>
    </w:p>
    <w:p>
      <w:pPr>
        <w:pStyle w:val="23"/>
        <w:spacing w:line="480" w:lineRule="auto"/>
        <w:ind w:firstLine="0" w:firstLineChars="0"/>
        <w:rPr>
          <w:rFonts w:ascii="Times New Roman"/>
        </w:rPr>
      </w:pPr>
      <w:r>
        <w:rPr>
          <w:rFonts w:ascii="Times New Roman"/>
        </w:rPr>
        <w:t>6.1 液相色谱-串联质谱仪：</w:t>
      </w:r>
      <w:bookmarkStart w:id="22" w:name="_Hlk120130192"/>
      <w:r>
        <w:rPr>
          <w:rFonts w:ascii="Times New Roman"/>
        </w:rPr>
        <w:t>配电喷雾离子源</w:t>
      </w:r>
      <w:bookmarkEnd w:id="22"/>
      <w:r>
        <w:rPr>
          <w:rFonts w:hint="eastAsia" w:ascii="Times New Roman"/>
        </w:rPr>
        <w:t>(ESI)。</w:t>
      </w:r>
    </w:p>
    <w:p>
      <w:pPr>
        <w:pStyle w:val="23"/>
        <w:spacing w:line="480" w:lineRule="auto"/>
        <w:ind w:firstLine="0" w:firstLineChars="0"/>
        <w:rPr>
          <w:rFonts w:ascii="Times New Roman"/>
        </w:rPr>
      </w:pPr>
      <w:r>
        <w:rPr>
          <w:rFonts w:ascii="Times New Roman"/>
        </w:rPr>
        <w:t xml:space="preserve">6.2 </w:t>
      </w:r>
      <w:r>
        <w:rPr>
          <w:rFonts w:hint="eastAsia" w:ascii="Times New Roman"/>
        </w:rPr>
        <w:t>分析</w:t>
      </w:r>
      <w:r>
        <w:rPr>
          <w:rFonts w:ascii="Times New Roman"/>
        </w:rPr>
        <w:t>天平：</w:t>
      </w:r>
      <w:r>
        <w:rPr>
          <w:rFonts w:hint="eastAsia" w:ascii="Times New Roman"/>
        </w:rPr>
        <w:t>精度为</w:t>
      </w:r>
      <w:r>
        <w:rPr>
          <w:rFonts w:ascii="Times New Roman"/>
        </w:rPr>
        <w:t>0.</w:t>
      </w:r>
      <w:r>
        <w:rPr>
          <w:rFonts w:hint="eastAsia" w:ascii="Times New Roman"/>
        </w:rPr>
        <w:t>0</w:t>
      </w:r>
      <w:r>
        <w:rPr>
          <w:rFonts w:ascii="Times New Roman"/>
        </w:rPr>
        <w:t>1</w:t>
      </w:r>
      <w:r>
        <w:rPr>
          <w:rFonts w:hint="eastAsia" w:ascii="Times New Roman"/>
        </w:rPr>
        <w:t xml:space="preserve"> </w:t>
      </w:r>
      <w:r>
        <w:rPr>
          <w:rFonts w:ascii="Times New Roman"/>
        </w:rPr>
        <w:t>g</w:t>
      </w:r>
      <w:r>
        <w:rPr>
          <w:rFonts w:hint="eastAsia" w:ascii="Times New Roman"/>
        </w:rPr>
        <w:t>、</w:t>
      </w:r>
      <w:r>
        <w:rPr>
          <w:rFonts w:ascii="Times New Roman"/>
        </w:rPr>
        <w:t>0.</w:t>
      </w:r>
      <w:r>
        <w:rPr>
          <w:rFonts w:hint="eastAsia" w:ascii="Times New Roman"/>
        </w:rPr>
        <w:t>0</w:t>
      </w:r>
      <w:r>
        <w:rPr>
          <w:rFonts w:ascii="Times New Roman"/>
        </w:rPr>
        <w:t>1</w:t>
      </w:r>
      <w:r>
        <w:rPr>
          <w:rFonts w:hint="eastAsia" w:ascii="Times New Roman"/>
        </w:rPr>
        <w:t xml:space="preserve"> m</w:t>
      </w:r>
      <w:r>
        <w:rPr>
          <w:rFonts w:ascii="Times New Roman"/>
        </w:rPr>
        <w:t>g</w:t>
      </w:r>
      <w:r>
        <w:rPr>
          <w:rFonts w:hint="eastAsia" w:ascii="Times New Roman"/>
        </w:rPr>
        <w:t>。</w:t>
      </w:r>
    </w:p>
    <w:p>
      <w:pPr>
        <w:pStyle w:val="23"/>
        <w:spacing w:line="480" w:lineRule="auto"/>
        <w:ind w:firstLine="0" w:firstLineChars="0"/>
        <w:rPr>
          <w:rFonts w:ascii="Times New Roman"/>
        </w:rPr>
      </w:pPr>
      <w:r>
        <w:rPr>
          <w:rFonts w:ascii="Times New Roman"/>
        </w:rPr>
        <w:t>6.</w:t>
      </w:r>
      <w:r>
        <w:rPr>
          <w:rFonts w:hint="eastAsia" w:ascii="Times New Roman"/>
        </w:rPr>
        <w:t>3</w:t>
      </w:r>
      <w:r>
        <w:rPr>
          <w:rFonts w:ascii="Times New Roman"/>
        </w:rPr>
        <w:t xml:space="preserve"> </w:t>
      </w:r>
      <w:bookmarkStart w:id="23" w:name="_Hlk120130249"/>
      <w:r>
        <w:rPr>
          <w:rFonts w:hint="eastAsia" w:ascii="Times New Roman"/>
        </w:rPr>
        <w:t>涡旋</w:t>
      </w:r>
      <w:r>
        <w:rPr>
          <w:rFonts w:ascii="Times New Roman"/>
        </w:rPr>
        <w:t>振荡器</w:t>
      </w:r>
      <w:bookmarkEnd w:id="23"/>
      <w:r>
        <w:rPr>
          <w:rFonts w:hint="eastAsia" w:ascii="Times New Roman"/>
        </w:rPr>
        <w:t>。</w:t>
      </w:r>
    </w:p>
    <w:p>
      <w:pPr>
        <w:pStyle w:val="23"/>
        <w:spacing w:line="480" w:lineRule="auto"/>
        <w:ind w:firstLine="0" w:firstLineChars="0"/>
        <w:rPr>
          <w:rFonts w:ascii="Times New Roman"/>
        </w:rPr>
      </w:pPr>
      <w:r>
        <w:rPr>
          <w:rFonts w:ascii="Times New Roman"/>
        </w:rPr>
        <w:t>6.</w:t>
      </w:r>
      <w:r>
        <w:rPr>
          <w:rFonts w:hint="eastAsia" w:ascii="Times New Roman"/>
        </w:rPr>
        <w:t>4</w:t>
      </w:r>
      <w:r>
        <w:rPr>
          <w:rFonts w:ascii="Times New Roman"/>
        </w:rPr>
        <w:t xml:space="preserve"> </w:t>
      </w:r>
      <w:r>
        <w:rPr>
          <w:rFonts w:hint="eastAsia" w:ascii="Times New Roman"/>
        </w:rPr>
        <w:t>高速冷冻</w:t>
      </w:r>
      <w:r>
        <w:rPr>
          <w:rFonts w:ascii="Times New Roman"/>
        </w:rPr>
        <w:t>离心机：</w:t>
      </w:r>
      <w:r>
        <w:rPr>
          <w:rFonts w:hint="eastAsia" w:ascii="Times New Roman"/>
        </w:rPr>
        <w:t>转速不小于</w:t>
      </w:r>
      <w:r>
        <w:rPr>
          <w:rFonts w:ascii="Times New Roman"/>
        </w:rPr>
        <w:t xml:space="preserve">14000 </w:t>
      </w:r>
      <w:r>
        <w:rPr>
          <w:rFonts w:hint="eastAsia" w:ascii="Times New Roman"/>
        </w:rPr>
        <w:t>r/min。</w:t>
      </w:r>
    </w:p>
    <w:p>
      <w:pPr>
        <w:pStyle w:val="23"/>
        <w:spacing w:line="480" w:lineRule="auto"/>
        <w:ind w:firstLine="0" w:firstLineChars="0"/>
        <w:rPr>
          <w:rFonts w:ascii="Times New Roman"/>
        </w:rPr>
      </w:pPr>
      <w:r>
        <w:rPr>
          <w:rFonts w:hint="eastAsia" w:ascii="Times New Roman"/>
        </w:rPr>
        <w:t>6.5 恒温培养箱：控温精度</w:t>
      </w:r>
      <w:r>
        <w:rPr>
          <w:rFonts w:ascii="Times New Roman"/>
        </w:rPr>
        <w:t>±</w:t>
      </w:r>
      <w:r>
        <w:rPr>
          <w:rFonts w:hint="eastAsia" w:ascii="Times New Roman"/>
        </w:rPr>
        <w:t xml:space="preserve">0.5 </w:t>
      </w:r>
      <w:r>
        <w:rPr>
          <w:rFonts w:ascii="Times New Roman"/>
        </w:rPr>
        <w:t>℃</w:t>
      </w:r>
      <w:r>
        <w:rPr>
          <w:rFonts w:hint="eastAsia" w:ascii="Times New Roman"/>
        </w:rPr>
        <w:t>。</w:t>
      </w:r>
    </w:p>
    <w:p>
      <w:pPr>
        <w:pStyle w:val="46"/>
        <w:numPr>
          <w:ilvl w:val="0"/>
          <w:numId w:val="0"/>
        </w:numPr>
        <w:spacing w:before="312" w:after="312"/>
        <w:rPr>
          <w:rFonts w:hAnsi="黑体"/>
        </w:rPr>
      </w:pPr>
      <w:r>
        <w:rPr>
          <w:rFonts w:hAnsi="黑体"/>
        </w:rPr>
        <w:t>7</w:t>
      </w:r>
      <w:r>
        <w:rPr>
          <w:rFonts w:hint="eastAsia" w:hAnsi="黑体"/>
        </w:rPr>
        <w:t xml:space="preserve"> 样品</w:t>
      </w:r>
    </w:p>
    <w:p>
      <w:pPr>
        <w:pStyle w:val="23"/>
        <w:spacing w:line="360" w:lineRule="auto"/>
        <w:rPr>
          <w:rFonts w:ascii="Times New Roman"/>
        </w:rPr>
      </w:pPr>
      <w:bookmarkStart w:id="24" w:name="_Hlk29284704"/>
      <w:r>
        <w:rPr>
          <w:rFonts w:hint="eastAsia" w:ascii="Times New Roman"/>
        </w:rPr>
        <w:t>取足够量实验室样品，</w:t>
      </w:r>
      <w:r>
        <w:rPr>
          <w:rFonts w:ascii="Times New Roman"/>
        </w:rPr>
        <w:t>常温下</w:t>
      </w:r>
      <w:r>
        <w:rPr>
          <w:rFonts w:hint="eastAsia" w:ascii="Times New Roman"/>
        </w:rPr>
        <w:t>避光</w:t>
      </w:r>
      <w:r>
        <w:rPr>
          <w:rFonts w:ascii="Times New Roman"/>
        </w:rPr>
        <w:t>保存</w:t>
      </w:r>
      <w:r>
        <w:rPr>
          <w:rFonts w:hint="eastAsia" w:ascii="Times New Roman"/>
        </w:rPr>
        <w:t>。液态蜂蜜</w:t>
      </w:r>
      <w:r>
        <w:rPr>
          <w:rFonts w:ascii="Times New Roman"/>
        </w:rPr>
        <w:t>搅拌均匀</w:t>
      </w:r>
      <w:r>
        <w:rPr>
          <w:rFonts w:hint="eastAsia" w:ascii="Times New Roman"/>
        </w:rPr>
        <w:t>后称取试料</w:t>
      </w:r>
      <w:r>
        <w:rPr>
          <w:rFonts w:ascii="Times New Roman"/>
        </w:rPr>
        <w:t>。结晶的蜂蜜样品</w:t>
      </w:r>
      <w:r>
        <w:rPr>
          <w:rFonts w:hint="eastAsia" w:ascii="Times New Roman"/>
        </w:rPr>
        <w:t>需置于</w:t>
      </w:r>
      <w:r>
        <w:rPr>
          <w:rFonts w:ascii="Times New Roman"/>
        </w:rPr>
        <w:t>不超过</w:t>
      </w:r>
      <w:r>
        <w:rPr>
          <w:rFonts w:hint="eastAsia" w:ascii="Times New Roman"/>
        </w:rPr>
        <w:t xml:space="preserve"> </w:t>
      </w:r>
      <w:r>
        <w:rPr>
          <w:rFonts w:ascii="Times New Roman"/>
        </w:rPr>
        <w:t>60 ℃水浴中</w:t>
      </w:r>
      <w:r>
        <w:rPr>
          <w:rFonts w:hint="eastAsia" w:ascii="Times New Roman"/>
        </w:rPr>
        <w:t>搅拌至全部融化并</w:t>
      </w:r>
      <w:r>
        <w:rPr>
          <w:rFonts w:ascii="Times New Roman"/>
        </w:rPr>
        <w:t>冷却至室温</w:t>
      </w:r>
      <w:r>
        <w:rPr>
          <w:rFonts w:hint="eastAsia" w:ascii="Times New Roman"/>
        </w:rPr>
        <w:t>后</w:t>
      </w:r>
      <w:r>
        <w:rPr>
          <w:rFonts w:ascii="Times New Roman"/>
        </w:rPr>
        <w:t>称</w:t>
      </w:r>
      <w:r>
        <w:rPr>
          <w:rFonts w:hint="eastAsia" w:ascii="Times New Roman"/>
        </w:rPr>
        <w:t>取试料</w:t>
      </w:r>
      <w:r>
        <w:rPr>
          <w:rFonts w:ascii="Times New Roman"/>
        </w:rPr>
        <w:t>。</w:t>
      </w:r>
      <w:bookmarkStart w:id="25" w:name="_Hlk121451441"/>
      <w:r>
        <w:rPr>
          <w:rFonts w:hint="eastAsia" w:ascii="Times New Roman"/>
        </w:rPr>
        <w:t>以果葡糖浆</w:t>
      </w:r>
      <w:bookmarkEnd w:id="25"/>
      <w:r>
        <w:rPr>
          <w:rFonts w:hint="eastAsia" w:ascii="Times New Roman"/>
        </w:rPr>
        <w:t>作为空白样品。</w:t>
      </w:r>
    </w:p>
    <w:bookmarkEnd w:id="24"/>
    <w:p>
      <w:pPr>
        <w:pStyle w:val="46"/>
        <w:numPr>
          <w:ilvl w:val="0"/>
          <w:numId w:val="0"/>
        </w:numPr>
        <w:spacing w:before="312" w:after="312"/>
        <w:rPr>
          <w:rFonts w:hAnsi="黑体"/>
          <w:szCs w:val="16"/>
        </w:rPr>
      </w:pPr>
      <w:r>
        <w:rPr>
          <w:rFonts w:hAnsi="黑体"/>
          <w:szCs w:val="16"/>
        </w:rPr>
        <w:t>8</w:t>
      </w:r>
      <w:r>
        <w:rPr>
          <w:rFonts w:hint="eastAsia" w:hAnsi="黑体"/>
          <w:szCs w:val="16"/>
        </w:rPr>
        <w:t xml:space="preserve"> 测定</w:t>
      </w:r>
      <w:r>
        <w:rPr>
          <w:rFonts w:hAnsi="黑体"/>
          <w:szCs w:val="16"/>
        </w:rPr>
        <w:t>步骤</w:t>
      </w:r>
    </w:p>
    <w:p>
      <w:pPr>
        <w:pStyle w:val="23"/>
        <w:spacing w:line="360" w:lineRule="auto"/>
        <w:ind w:firstLine="0" w:firstLineChars="0"/>
        <w:rPr>
          <w:rFonts w:ascii="Times New Roman" w:eastAsia="黑体"/>
        </w:rPr>
      </w:pPr>
      <w:r>
        <w:rPr>
          <w:rFonts w:ascii="Times New Roman"/>
        </w:rPr>
        <w:t>8.1</w:t>
      </w:r>
      <w:r>
        <w:rPr>
          <w:rFonts w:hint="eastAsia" w:ascii="Times New Roman"/>
        </w:rPr>
        <w:t xml:space="preserve"> </w:t>
      </w:r>
      <w:bookmarkStart w:id="26" w:name="_Hlk120130873"/>
      <w:r>
        <w:rPr>
          <w:rFonts w:ascii="Times New Roman"/>
        </w:rPr>
        <w:t>蜂蜜蛋白的</w:t>
      </w:r>
      <w:r>
        <w:rPr>
          <w:rFonts w:hint="eastAsia" w:ascii="Times New Roman"/>
        </w:rPr>
        <w:t>提取、还原、烷基化</w:t>
      </w:r>
      <w:r>
        <w:rPr>
          <w:rFonts w:ascii="Times New Roman"/>
        </w:rPr>
        <w:t>和酶切</w:t>
      </w:r>
      <w:bookmarkEnd w:id="26"/>
    </w:p>
    <w:p>
      <w:pPr>
        <w:pStyle w:val="23"/>
        <w:spacing w:line="360" w:lineRule="auto"/>
        <w:rPr>
          <w:rFonts w:ascii="Times New Roman"/>
        </w:rPr>
      </w:pPr>
      <w:bookmarkStart w:id="27" w:name="_Hlk29284812"/>
      <w:r>
        <w:rPr>
          <w:rFonts w:hint="eastAsia"/>
          <w:szCs w:val="21"/>
        </w:rPr>
        <w:t>平行做两份试验。</w:t>
      </w:r>
      <w:r>
        <w:rPr>
          <w:rFonts w:ascii="Times New Roman"/>
        </w:rPr>
        <w:t>称取</w:t>
      </w:r>
      <w:r>
        <w:rPr>
          <w:rFonts w:hint="eastAsia" w:ascii="Times New Roman"/>
        </w:rPr>
        <w:t>试样</w:t>
      </w:r>
      <w:r>
        <w:rPr>
          <w:rFonts w:ascii="Times New Roman"/>
        </w:rPr>
        <w:t>2 g</w:t>
      </w:r>
      <w:r>
        <w:rPr>
          <w:rFonts w:hint="eastAsia" w:ascii="Times New Roman"/>
        </w:rPr>
        <w:t xml:space="preserve"> (精确至±0.01 g)</w:t>
      </w:r>
      <w:r>
        <w:rPr>
          <w:rFonts w:ascii="Times New Roman"/>
        </w:rPr>
        <w:t>于10 mL离心管中，</w:t>
      </w:r>
      <w:r>
        <w:rPr>
          <w:rFonts w:hint="eastAsia" w:ascii="Times New Roman"/>
        </w:rPr>
        <w:t>准确</w:t>
      </w:r>
      <w:r>
        <w:rPr>
          <w:rFonts w:ascii="Times New Roman"/>
        </w:rPr>
        <w:t>加</w:t>
      </w:r>
      <w:r>
        <w:rPr>
          <w:rFonts w:hint="eastAsia" w:ascii="Times New Roman"/>
        </w:rPr>
        <w:t xml:space="preserve"> </w:t>
      </w:r>
      <w:r>
        <w:rPr>
          <w:rFonts w:ascii="Times New Roman"/>
        </w:rPr>
        <w:t>2 mL PBS</w:t>
      </w:r>
      <w:r>
        <w:rPr>
          <w:rFonts w:hint="eastAsia" w:ascii="Times New Roman"/>
        </w:rPr>
        <w:t>溶液</w:t>
      </w:r>
      <w:r>
        <w:rPr>
          <w:rFonts w:ascii="Times New Roman"/>
        </w:rPr>
        <w:t>(</w:t>
      </w:r>
      <w:r>
        <w:rPr>
          <w:rFonts w:hint="eastAsia" w:ascii="Times New Roman"/>
        </w:rPr>
        <w:t>5</w:t>
      </w:r>
      <w:r>
        <w:rPr>
          <w:rFonts w:ascii="Times New Roman"/>
        </w:rPr>
        <w:t>.</w:t>
      </w:r>
      <w:r>
        <w:rPr>
          <w:rFonts w:hint="eastAsia" w:ascii="Times New Roman"/>
        </w:rPr>
        <w:t>7</w:t>
      </w:r>
      <w:r>
        <w:rPr>
          <w:rFonts w:ascii="Times New Roman"/>
        </w:rPr>
        <w:t>)，</w:t>
      </w:r>
      <w:r>
        <w:rPr>
          <w:rFonts w:hint="eastAsia" w:ascii="Times New Roman"/>
        </w:rPr>
        <w:t>涡旋1 min</w:t>
      </w:r>
      <w:r>
        <w:rPr>
          <w:rFonts w:ascii="Times New Roman"/>
        </w:rPr>
        <w:t>，</w:t>
      </w:r>
      <w:r>
        <w:rPr>
          <w:rFonts w:hint="eastAsia" w:ascii="Times New Roman"/>
        </w:rPr>
        <w:t>于</w:t>
      </w:r>
      <w:r>
        <w:rPr>
          <w:rFonts w:ascii="Times New Roman"/>
        </w:rPr>
        <w:t>4 ℃</w:t>
      </w:r>
      <w:r>
        <w:rPr>
          <w:rFonts w:hint="eastAsia" w:ascii="Times New Roman"/>
        </w:rPr>
        <w:t>、</w:t>
      </w:r>
      <w:r>
        <w:rPr>
          <w:rFonts w:ascii="Times New Roman"/>
        </w:rPr>
        <w:t xml:space="preserve">8000 </w:t>
      </w:r>
      <w:r>
        <w:rPr>
          <w:rFonts w:hint="eastAsia" w:ascii="Times New Roman"/>
        </w:rPr>
        <w:t>r/min下</w:t>
      </w:r>
      <w:r>
        <w:rPr>
          <w:rFonts w:ascii="Times New Roman"/>
        </w:rPr>
        <w:t>离心5 min。</w:t>
      </w:r>
      <w:bookmarkStart w:id="28" w:name="_Hlk121450565"/>
      <w:r>
        <w:rPr>
          <w:rFonts w:ascii="Times New Roman"/>
        </w:rPr>
        <w:t>取0.5</w:t>
      </w:r>
      <w:r>
        <w:rPr>
          <w:rFonts w:hint="eastAsia" w:ascii="Times New Roman"/>
        </w:rPr>
        <w:t xml:space="preserve">0 </w:t>
      </w:r>
      <w:r>
        <w:rPr>
          <w:rFonts w:ascii="Times New Roman"/>
        </w:rPr>
        <w:t>mL</w:t>
      </w:r>
      <w:r>
        <w:rPr>
          <w:rFonts w:hint="eastAsia" w:ascii="Times New Roman"/>
        </w:rPr>
        <w:t>上清溶液，</w:t>
      </w:r>
      <w:r>
        <w:rPr>
          <w:rFonts w:ascii="Times New Roman"/>
        </w:rPr>
        <w:t>加2</w:t>
      </w:r>
      <w:r>
        <w:rPr>
          <w:rFonts w:hint="eastAsia" w:ascii="Times New Roman"/>
        </w:rPr>
        <w:t xml:space="preserve"> </w:t>
      </w:r>
      <w:r>
        <w:rPr>
          <w:rFonts w:ascii="Times New Roman"/>
        </w:rPr>
        <w:t>mL的</w:t>
      </w:r>
      <w:r>
        <w:rPr>
          <w:rFonts w:hint="eastAsia" w:ascii="Times New Roman"/>
        </w:rPr>
        <w:t>碳酸氢铵溶液</w:t>
      </w:r>
      <w:r>
        <w:rPr>
          <w:rFonts w:ascii="Times New Roman"/>
        </w:rPr>
        <w:t xml:space="preserve"> (</w:t>
      </w:r>
      <w:r>
        <w:rPr>
          <w:rFonts w:hint="eastAsia" w:ascii="Times New Roman"/>
        </w:rPr>
        <w:t>5</w:t>
      </w:r>
      <w:r>
        <w:rPr>
          <w:rFonts w:ascii="Times New Roman"/>
        </w:rPr>
        <w:t>.</w:t>
      </w:r>
      <w:r>
        <w:rPr>
          <w:rFonts w:hint="eastAsia" w:ascii="Times New Roman"/>
        </w:rPr>
        <w:t>8</w:t>
      </w:r>
      <w:r>
        <w:rPr>
          <w:rFonts w:ascii="Times New Roman"/>
        </w:rPr>
        <w:t>)</w:t>
      </w:r>
      <w:r>
        <w:rPr>
          <w:rFonts w:hint="eastAsia" w:ascii="Times New Roman"/>
        </w:rPr>
        <w:t>，</w:t>
      </w:r>
      <w:r>
        <w:rPr>
          <w:rFonts w:ascii="Times New Roman"/>
        </w:rPr>
        <w:t>充分混匀，</w:t>
      </w:r>
      <w:r>
        <w:rPr>
          <w:rFonts w:hint="eastAsia" w:ascii="Times New Roman"/>
        </w:rPr>
        <w:t>再</w:t>
      </w:r>
      <w:r>
        <w:rPr>
          <w:rFonts w:ascii="Times New Roman"/>
        </w:rPr>
        <w:t>加入250</w:t>
      </w:r>
      <w:r>
        <w:rPr>
          <w:rFonts w:hint="eastAsia" w:ascii="Times New Roman"/>
        </w:rPr>
        <w:t xml:space="preserve"> </w:t>
      </w:r>
      <w:r>
        <w:rPr>
          <w:rFonts w:ascii="Times New Roman"/>
        </w:rPr>
        <w:t>μL的</w:t>
      </w:r>
      <w:r>
        <w:rPr>
          <w:rFonts w:hint="eastAsia" w:ascii="Times New Roman"/>
        </w:rPr>
        <w:t>二硫苏糖醇</w:t>
      </w:r>
      <w:r>
        <w:rPr>
          <w:rFonts w:ascii="Times New Roman"/>
        </w:rPr>
        <w:t>溶液 (</w:t>
      </w:r>
      <w:r>
        <w:rPr>
          <w:rFonts w:hint="eastAsia" w:ascii="Times New Roman"/>
        </w:rPr>
        <w:t>5</w:t>
      </w:r>
      <w:r>
        <w:rPr>
          <w:rFonts w:ascii="Times New Roman"/>
        </w:rPr>
        <w:t>.9)，室温反应60 min；</w:t>
      </w:r>
      <w:r>
        <w:rPr>
          <w:rFonts w:hint="eastAsia" w:ascii="Times New Roman"/>
        </w:rPr>
        <w:t>还原后再</w:t>
      </w:r>
      <w:r>
        <w:rPr>
          <w:rFonts w:ascii="Times New Roman"/>
        </w:rPr>
        <w:t>加入750 μL的</w:t>
      </w:r>
      <w:r>
        <w:rPr>
          <w:rFonts w:hint="eastAsia" w:ascii="Times New Roman"/>
        </w:rPr>
        <w:t>碘乙酰胺</w:t>
      </w:r>
      <w:r>
        <w:rPr>
          <w:rFonts w:ascii="Times New Roman"/>
        </w:rPr>
        <w:t>溶液 (</w:t>
      </w:r>
      <w:r>
        <w:rPr>
          <w:rFonts w:hint="eastAsia" w:ascii="Times New Roman"/>
        </w:rPr>
        <w:t>5</w:t>
      </w:r>
      <w:r>
        <w:rPr>
          <w:rFonts w:ascii="Times New Roman"/>
        </w:rPr>
        <w:t>.1</w:t>
      </w:r>
      <w:r>
        <w:rPr>
          <w:rFonts w:hint="eastAsia" w:ascii="Times New Roman"/>
        </w:rPr>
        <w:t>0</w:t>
      </w:r>
      <w:r>
        <w:rPr>
          <w:rFonts w:ascii="Times New Roman"/>
        </w:rPr>
        <w:t>)</w:t>
      </w:r>
      <w:r>
        <w:rPr>
          <w:rFonts w:hint="eastAsia" w:ascii="Times New Roman"/>
        </w:rPr>
        <w:t>，</w:t>
      </w:r>
      <w:r>
        <w:rPr>
          <w:rFonts w:ascii="Times New Roman"/>
        </w:rPr>
        <w:t>在室温下暗</w:t>
      </w:r>
      <w:r>
        <w:rPr>
          <w:rFonts w:hint="eastAsia" w:ascii="Times New Roman"/>
        </w:rPr>
        <w:t>处</w:t>
      </w:r>
      <w:r>
        <w:rPr>
          <w:rFonts w:ascii="Times New Roman"/>
        </w:rPr>
        <w:t>反应60 min。加胰蛋白酶</w:t>
      </w:r>
      <w:r>
        <w:rPr>
          <w:rFonts w:hint="eastAsia" w:ascii="Times New Roman"/>
        </w:rPr>
        <w:t>溶液</w:t>
      </w:r>
      <w:r>
        <w:rPr>
          <w:rFonts w:ascii="Times New Roman"/>
        </w:rPr>
        <w:t>(</w:t>
      </w:r>
      <w:r>
        <w:rPr>
          <w:rFonts w:hint="eastAsia" w:ascii="Times New Roman"/>
        </w:rPr>
        <w:t>5</w:t>
      </w:r>
      <w:r>
        <w:rPr>
          <w:rFonts w:ascii="Times New Roman"/>
        </w:rPr>
        <w:t>.</w:t>
      </w:r>
      <w:r>
        <w:rPr>
          <w:rFonts w:hint="eastAsia" w:ascii="Times New Roman"/>
        </w:rPr>
        <w:t>13</w:t>
      </w:r>
      <w:r>
        <w:rPr>
          <w:rFonts w:ascii="Times New Roman"/>
        </w:rPr>
        <w:t>) 100 μL，于37 ℃酶解14 h</w:t>
      </w:r>
      <w:bookmarkEnd w:id="28"/>
      <w:r>
        <w:rPr>
          <w:rFonts w:hint="eastAsia" w:ascii="Times New Roman"/>
        </w:rPr>
        <w:t xml:space="preserve">，加入10 </w:t>
      </w:r>
      <w:r>
        <w:rPr>
          <w:rFonts w:ascii="Times New Roman"/>
        </w:rPr>
        <w:t>μL</w:t>
      </w:r>
      <w:r>
        <w:rPr>
          <w:rFonts w:hint="eastAsia" w:ascii="Times New Roman"/>
        </w:rPr>
        <w:t>甲酸(5.3)终止酶解反应，待净化。</w:t>
      </w:r>
    </w:p>
    <w:bookmarkEnd w:id="27"/>
    <w:p>
      <w:pPr>
        <w:pStyle w:val="23"/>
        <w:spacing w:line="360" w:lineRule="auto"/>
        <w:ind w:firstLine="0" w:firstLineChars="0"/>
        <w:rPr>
          <w:rFonts w:ascii="Times New Roman"/>
        </w:rPr>
      </w:pPr>
      <w:r>
        <w:rPr>
          <w:rFonts w:ascii="Times New Roman"/>
        </w:rPr>
        <w:t xml:space="preserve">8.2 </w:t>
      </w:r>
      <w:r>
        <w:rPr>
          <w:rFonts w:hint="eastAsia" w:ascii="Times New Roman"/>
        </w:rPr>
        <w:t>净化</w:t>
      </w:r>
    </w:p>
    <w:p>
      <w:pPr>
        <w:pStyle w:val="23"/>
        <w:spacing w:line="360" w:lineRule="auto"/>
        <w:rPr>
          <w:rFonts w:ascii="Times New Roman"/>
        </w:rPr>
      </w:pPr>
      <w:bookmarkStart w:id="29" w:name="_Hlk120130894"/>
      <w:bookmarkStart w:id="30" w:name="_Hlk121450618"/>
      <w:bookmarkStart w:id="31" w:name="_Hlk29284957"/>
      <w:r>
        <w:rPr>
          <w:rFonts w:hint="eastAsia" w:ascii="Times New Roman"/>
        </w:rPr>
        <w:t xml:space="preserve"> 固相萃取柱依次用</w:t>
      </w:r>
      <w:r>
        <w:rPr>
          <w:rFonts w:ascii="Times New Roman"/>
        </w:rPr>
        <w:t>1 mL</w:t>
      </w:r>
      <w:r>
        <w:rPr>
          <w:rFonts w:hint="eastAsia" w:ascii="Times New Roman"/>
        </w:rPr>
        <w:t>乙腈(</w:t>
      </w:r>
      <w:r>
        <w:rPr>
          <w:rFonts w:ascii="Times New Roman"/>
        </w:rPr>
        <w:t>5.</w:t>
      </w:r>
      <w:r>
        <w:rPr>
          <w:rFonts w:hint="eastAsia" w:ascii="Times New Roman"/>
        </w:rPr>
        <w:t>2)和</w:t>
      </w:r>
      <w:r>
        <w:rPr>
          <w:rFonts w:ascii="Times New Roman"/>
        </w:rPr>
        <w:t>1 mL</w:t>
      </w:r>
      <w:r>
        <w:rPr>
          <w:rFonts w:hint="eastAsia" w:ascii="Times New Roman"/>
        </w:rPr>
        <w:t>淋洗</w:t>
      </w:r>
      <w:r>
        <w:rPr>
          <w:rFonts w:ascii="Times New Roman"/>
        </w:rPr>
        <w:t>液</w:t>
      </w:r>
      <w:r>
        <w:rPr>
          <w:rFonts w:hint="eastAsia" w:ascii="Times New Roman"/>
        </w:rPr>
        <w:t>(</w:t>
      </w:r>
      <w:r>
        <w:rPr>
          <w:rFonts w:ascii="Times New Roman"/>
        </w:rPr>
        <w:t>5.</w:t>
      </w:r>
      <w:r>
        <w:rPr>
          <w:rFonts w:hint="eastAsia" w:ascii="Times New Roman"/>
        </w:rPr>
        <w:t xml:space="preserve">14)活化、平衡，将试样酶解液(8.1)全部加载过柱，并用1 </w:t>
      </w:r>
      <w:r>
        <w:rPr>
          <w:rFonts w:ascii="Times New Roman"/>
        </w:rPr>
        <w:t>mL</w:t>
      </w:r>
      <w:r>
        <w:rPr>
          <w:rFonts w:hint="eastAsia" w:ascii="Times New Roman"/>
        </w:rPr>
        <w:t>淋洗</w:t>
      </w:r>
      <w:r>
        <w:rPr>
          <w:rFonts w:ascii="Times New Roman"/>
        </w:rPr>
        <w:t>液</w:t>
      </w:r>
      <w:r>
        <w:rPr>
          <w:rFonts w:hint="eastAsia" w:ascii="Times New Roman"/>
        </w:rPr>
        <w:t>(</w:t>
      </w:r>
      <w:r>
        <w:rPr>
          <w:rFonts w:ascii="Times New Roman"/>
        </w:rPr>
        <w:t>5.</w:t>
      </w:r>
      <w:r>
        <w:rPr>
          <w:rFonts w:hint="eastAsia" w:ascii="Times New Roman"/>
        </w:rPr>
        <w:t>14)淋洗，抽干；再</w:t>
      </w:r>
      <w:r>
        <w:rPr>
          <w:rFonts w:ascii="Times New Roman"/>
        </w:rPr>
        <w:t>加入1 mL洗脱液</w:t>
      </w:r>
      <w:r>
        <w:rPr>
          <w:rFonts w:hint="eastAsia" w:ascii="Times New Roman"/>
        </w:rPr>
        <w:t>(</w:t>
      </w:r>
      <w:r>
        <w:rPr>
          <w:rFonts w:ascii="Times New Roman"/>
        </w:rPr>
        <w:t>5.</w:t>
      </w:r>
      <w:r>
        <w:rPr>
          <w:rFonts w:hint="eastAsia" w:ascii="Times New Roman"/>
        </w:rPr>
        <w:t>15)洗脱</w:t>
      </w:r>
      <w:r>
        <w:rPr>
          <w:rFonts w:ascii="Times New Roman"/>
        </w:rPr>
        <w:t>，</w:t>
      </w:r>
      <w:r>
        <w:rPr>
          <w:rFonts w:hint="eastAsia" w:ascii="Times New Roman"/>
        </w:rPr>
        <w:t>洗脱液于</w:t>
      </w:r>
      <w:r>
        <w:rPr>
          <w:rFonts w:ascii="Times New Roman"/>
        </w:rPr>
        <w:t>40</w:t>
      </w:r>
      <w:r>
        <w:rPr>
          <w:rFonts w:hint="eastAsia" w:ascii="Times New Roman"/>
        </w:rPr>
        <w:t xml:space="preserve"> </w:t>
      </w:r>
      <w:r>
        <w:rPr>
          <w:rFonts w:ascii="Times New Roman"/>
        </w:rPr>
        <w:t>℃</w:t>
      </w:r>
      <w:r>
        <w:rPr>
          <w:rFonts w:hint="eastAsia" w:ascii="Times New Roman"/>
        </w:rPr>
        <w:t>氮气吹干</w:t>
      </w:r>
      <w:r>
        <w:rPr>
          <w:rFonts w:ascii="Times New Roman"/>
        </w:rPr>
        <w:t>。</w:t>
      </w:r>
      <w:bookmarkEnd w:id="29"/>
      <w:r>
        <w:rPr>
          <w:rFonts w:hint="eastAsia" w:ascii="Times New Roman"/>
        </w:rPr>
        <w:t>加100</w:t>
      </w:r>
      <w:r>
        <w:rPr>
          <w:rFonts w:ascii="Times New Roman"/>
        </w:rPr>
        <w:t xml:space="preserve"> μ</w:t>
      </w:r>
      <w:r>
        <w:rPr>
          <w:rFonts w:hint="eastAsia" w:ascii="Times New Roman"/>
        </w:rPr>
        <w:t>L复溶液(</w:t>
      </w:r>
      <w:r>
        <w:rPr>
          <w:rFonts w:ascii="Times New Roman"/>
        </w:rPr>
        <w:t>5.</w:t>
      </w:r>
      <w:r>
        <w:rPr>
          <w:rFonts w:hint="eastAsia" w:ascii="Times New Roman"/>
        </w:rPr>
        <w:t>16)，</w:t>
      </w:r>
      <w:bookmarkEnd w:id="30"/>
      <w:bookmarkStart w:id="32" w:name="_Hlk121450627"/>
      <w:bookmarkStart w:id="33" w:name="_Hlk120536657"/>
      <w:r>
        <w:rPr>
          <w:rFonts w:hint="eastAsia" w:ascii="Times New Roman"/>
        </w:rPr>
        <w:t>涡旋溶解后，于14000 r/min离心15 min，上清液待测定。</w:t>
      </w:r>
      <w:bookmarkEnd w:id="32"/>
    </w:p>
    <w:bookmarkEnd w:id="31"/>
    <w:bookmarkEnd w:id="33"/>
    <w:p>
      <w:pPr>
        <w:pStyle w:val="23"/>
        <w:spacing w:line="360" w:lineRule="auto"/>
        <w:ind w:firstLine="0" w:firstLineChars="0"/>
        <w:rPr>
          <w:rFonts w:ascii="Times New Roman"/>
        </w:rPr>
      </w:pPr>
      <w:r>
        <w:rPr>
          <w:rFonts w:ascii="Times New Roman"/>
        </w:rPr>
        <w:t xml:space="preserve">8.3 </w:t>
      </w:r>
      <w:r>
        <w:rPr>
          <w:rFonts w:hint="eastAsia" w:ascii="Times New Roman"/>
        </w:rPr>
        <w:t>基质匹配系列标准溶液</w:t>
      </w:r>
      <w:r>
        <w:rPr>
          <w:rFonts w:ascii="Times New Roman"/>
        </w:rPr>
        <w:t>的制备</w:t>
      </w:r>
    </w:p>
    <w:p>
      <w:pPr>
        <w:pStyle w:val="23"/>
        <w:spacing w:line="360" w:lineRule="auto"/>
        <w:rPr>
          <w:rFonts w:ascii="Times New Roman"/>
        </w:rPr>
      </w:pPr>
      <w:bookmarkStart w:id="34" w:name="_Hlk120131434"/>
      <w:r>
        <w:rPr>
          <w:rFonts w:hint="eastAsia" w:ascii="Times New Roman"/>
        </w:rPr>
        <w:t>准确移取适量的混合标准工作溶液(5.12)，用果葡糖浆空白基质配制成最终浓度为含</w:t>
      </w:r>
      <w:r>
        <w:rPr>
          <w:rFonts w:ascii="Times New Roman"/>
          <w:i/>
          <w:iCs/>
          <w:sz w:val="20"/>
        </w:rPr>
        <w:t>ac</w:t>
      </w:r>
      <w:r>
        <w:rPr>
          <w:rFonts w:ascii="Times New Roman"/>
          <w:sz w:val="20"/>
        </w:rPr>
        <w:t>-MRJP1</w:t>
      </w:r>
      <w:r>
        <w:rPr>
          <w:rFonts w:hint="eastAsia" w:ascii="Times New Roman"/>
          <w:sz w:val="20"/>
        </w:rPr>
        <w:t xml:space="preserve">和 </w:t>
      </w:r>
      <w:r>
        <w:rPr>
          <w:rFonts w:ascii="Times New Roman"/>
          <w:i/>
          <w:iCs/>
          <w:sz w:val="20"/>
        </w:rPr>
        <w:t>am</w:t>
      </w:r>
      <w:r>
        <w:rPr>
          <w:rFonts w:ascii="Times New Roman"/>
          <w:sz w:val="20"/>
        </w:rPr>
        <w:t>-MRJP1</w:t>
      </w:r>
      <w:r>
        <w:rPr>
          <w:rFonts w:hint="eastAsia" w:ascii="Times New Roman"/>
        </w:rPr>
        <w:t xml:space="preserve">为20 </w:t>
      </w:r>
      <w:r>
        <w:rPr>
          <w:rFonts w:ascii="Times New Roman"/>
        </w:rPr>
        <w:t>μ</w:t>
      </w:r>
      <w:r>
        <w:rPr>
          <w:rFonts w:hint="eastAsia" w:ascii="Times New Roman"/>
        </w:rPr>
        <w:t xml:space="preserve">g/L、50 </w:t>
      </w:r>
      <w:r>
        <w:rPr>
          <w:rFonts w:ascii="Times New Roman"/>
        </w:rPr>
        <w:t>μ</w:t>
      </w:r>
      <w:r>
        <w:rPr>
          <w:rFonts w:hint="eastAsia" w:ascii="Times New Roman"/>
        </w:rPr>
        <w:t xml:space="preserve">g/L、100 </w:t>
      </w:r>
      <w:r>
        <w:rPr>
          <w:rFonts w:ascii="Times New Roman"/>
        </w:rPr>
        <w:t>μ</w:t>
      </w:r>
      <w:r>
        <w:rPr>
          <w:rFonts w:hint="eastAsia" w:ascii="Times New Roman"/>
        </w:rPr>
        <w:t xml:space="preserve">g/L、200 </w:t>
      </w:r>
      <w:r>
        <w:rPr>
          <w:rFonts w:ascii="Times New Roman"/>
        </w:rPr>
        <w:t>μ</w:t>
      </w:r>
      <w:r>
        <w:rPr>
          <w:rFonts w:hint="eastAsia" w:ascii="Times New Roman"/>
        </w:rPr>
        <w:t xml:space="preserve">g/L、500 </w:t>
      </w:r>
      <w:r>
        <w:rPr>
          <w:rFonts w:ascii="Times New Roman"/>
        </w:rPr>
        <w:t>μ</w:t>
      </w:r>
      <w:r>
        <w:rPr>
          <w:rFonts w:hint="eastAsia" w:ascii="Times New Roman"/>
        </w:rPr>
        <w:t xml:space="preserve">g/L(相当于蜂王浆主蛋白1的质量分数为20 </w:t>
      </w:r>
      <w:r>
        <w:rPr>
          <w:rFonts w:ascii="Times New Roman"/>
        </w:rPr>
        <w:t>μ</w:t>
      </w:r>
      <w:r>
        <w:rPr>
          <w:rFonts w:hint="eastAsia" w:ascii="Times New Roman"/>
        </w:rPr>
        <w:t xml:space="preserve">g/kg、50 </w:t>
      </w:r>
      <w:r>
        <w:rPr>
          <w:rFonts w:ascii="Times New Roman"/>
        </w:rPr>
        <w:t>μ</w:t>
      </w:r>
      <w:r>
        <w:rPr>
          <w:rFonts w:hint="eastAsia" w:ascii="Times New Roman"/>
        </w:rPr>
        <w:t xml:space="preserve">g/kg、100 </w:t>
      </w:r>
      <w:r>
        <w:rPr>
          <w:rFonts w:ascii="Times New Roman"/>
        </w:rPr>
        <w:t>μ</w:t>
      </w:r>
      <w:r>
        <w:rPr>
          <w:rFonts w:hint="eastAsia" w:ascii="Times New Roman"/>
        </w:rPr>
        <w:t xml:space="preserve">g/kg、200 </w:t>
      </w:r>
      <w:r>
        <w:rPr>
          <w:rFonts w:ascii="Times New Roman"/>
        </w:rPr>
        <w:t>μ</w:t>
      </w:r>
      <w:r>
        <w:rPr>
          <w:rFonts w:hint="eastAsia" w:ascii="Times New Roman"/>
        </w:rPr>
        <w:t xml:space="preserve">g/kg、500 </w:t>
      </w:r>
      <w:r>
        <w:rPr>
          <w:rFonts w:ascii="Times New Roman"/>
        </w:rPr>
        <w:t>μ</w:t>
      </w:r>
      <w:r>
        <w:rPr>
          <w:rFonts w:hint="eastAsia" w:ascii="Times New Roman"/>
        </w:rPr>
        <w:t>g/kg)的基质匹配标准系列溶液。按8.1和8.2与试样平行处理，直至氮气吹干，复溶、离心、上清液测定。</w:t>
      </w:r>
    </w:p>
    <w:bookmarkEnd w:id="34"/>
    <w:p>
      <w:pPr>
        <w:pStyle w:val="23"/>
        <w:spacing w:line="360" w:lineRule="auto"/>
        <w:ind w:firstLine="0" w:firstLineChars="0"/>
        <w:rPr>
          <w:rFonts w:ascii="Times New Roman"/>
        </w:rPr>
      </w:pPr>
      <w:r>
        <w:rPr>
          <w:rFonts w:ascii="Times New Roman"/>
        </w:rPr>
        <w:t>8.4 测定</w:t>
      </w:r>
    </w:p>
    <w:p>
      <w:pPr>
        <w:pStyle w:val="23"/>
        <w:spacing w:line="360" w:lineRule="auto"/>
        <w:ind w:firstLine="0" w:firstLineChars="0"/>
        <w:rPr>
          <w:rFonts w:ascii="Times New Roman"/>
        </w:rPr>
      </w:pPr>
      <w:r>
        <w:rPr>
          <w:rFonts w:ascii="Times New Roman"/>
        </w:rPr>
        <w:t xml:space="preserve">8.4.1 </w:t>
      </w:r>
      <w:r>
        <w:rPr>
          <w:rFonts w:hint="eastAsia" w:ascii="Times New Roman"/>
        </w:rPr>
        <w:t>液相色谱参考条件</w:t>
      </w:r>
    </w:p>
    <w:p>
      <w:pPr>
        <w:pStyle w:val="23"/>
        <w:spacing w:line="360" w:lineRule="auto"/>
        <w:ind w:firstLine="0" w:firstLineChars="0"/>
        <w:rPr>
          <w:rFonts w:ascii="Times New Roman"/>
        </w:rPr>
      </w:pPr>
      <w:r>
        <w:rPr>
          <w:rFonts w:hint="eastAsia" w:ascii="Times New Roman"/>
        </w:rPr>
        <w:t>液相色谱参考条件如下：</w:t>
      </w:r>
    </w:p>
    <w:p>
      <w:pPr>
        <w:pStyle w:val="23"/>
        <w:numPr>
          <w:ilvl w:val="0"/>
          <w:numId w:val="20"/>
        </w:numPr>
        <w:spacing w:line="360" w:lineRule="auto"/>
        <w:ind w:firstLine="0" w:firstLineChars="0"/>
        <w:rPr>
          <w:rFonts w:ascii="Times New Roman"/>
        </w:rPr>
      </w:pPr>
      <w:r>
        <w:rPr>
          <w:rFonts w:ascii="Times New Roman"/>
        </w:rPr>
        <w:t>色谱柱：C</w:t>
      </w:r>
      <w:r>
        <w:rPr>
          <w:rFonts w:ascii="Times New Roman"/>
          <w:vertAlign w:val="subscript"/>
        </w:rPr>
        <w:t>1</w:t>
      </w:r>
      <w:r>
        <w:rPr>
          <w:rFonts w:hint="eastAsia" w:ascii="Times New Roman"/>
          <w:vertAlign w:val="subscript"/>
        </w:rPr>
        <w:t>8</w:t>
      </w:r>
      <w:r>
        <w:rPr>
          <w:rFonts w:ascii="Times New Roman"/>
        </w:rPr>
        <w:t xml:space="preserve">，柱长100 mm，内径2.1 mm，粒径2.6 </w:t>
      </w:r>
      <w:r>
        <w:rPr>
          <w:rFonts w:ascii="Times New Roman"/>
          <w:sz w:val="22"/>
        </w:rPr>
        <w:t>µm</w:t>
      </w:r>
      <w:r>
        <w:rPr>
          <w:rFonts w:ascii="Times New Roman"/>
        </w:rPr>
        <w:t>；或性能相当者</w:t>
      </w:r>
      <w:r>
        <w:rPr>
          <w:rFonts w:hint="eastAsia" w:ascii="Times New Roman"/>
        </w:rPr>
        <w:t>；</w:t>
      </w:r>
    </w:p>
    <w:p>
      <w:pPr>
        <w:pStyle w:val="23"/>
        <w:numPr>
          <w:ilvl w:val="0"/>
          <w:numId w:val="20"/>
        </w:numPr>
        <w:spacing w:line="360" w:lineRule="auto"/>
        <w:ind w:firstLine="0" w:firstLineChars="0"/>
        <w:rPr>
          <w:rFonts w:ascii="Times New Roman"/>
        </w:rPr>
      </w:pPr>
      <w:r>
        <w:rPr>
          <w:rFonts w:ascii="Times New Roman"/>
        </w:rPr>
        <w:t>流动相：</w:t>
      </w:r>
      <w:bookmarkStart w:id="35" w:name="_Hlk120130323"/>
      <w:r>
        <w:rPr>
          <w:rFonts w:ascii="Times New Roman"/>
        </w:rPr>
        <w:t>A</w:t>
      </w:r>
      <w:r>
        <w:rPr>
          <w:rFonts w:hint="eastAsia" w:ascii="Times New Roman"/>
        </w:rPr>
        <w:t>为</w:t>
      </w:r>
      <w:r>
        <w:rPr>
          <w:rFonts w:ascii="Times New Roman"/>
        </w:rPr>
        <w:t>0.1%甲酸</w:t>
      </w:r>
      <w:r>
        <w:rPr>
          <w:rFonts w:hint="eastAsia" w:ascii="Times New Roman"/>
        </w:rPr>
        <w:t>溶液</w:t>
      </w:r>
      <w:r>
        <w:rPr>
          <w:rFonts w:ascii="Times New Roman"/>
        </w:rPr>
        <w:t>，B为0.1%甲酸</w:t>
      </w:r>
      <w:r>
        <w:rPr>
          <w:rFonts w:hint="eastAsia" w:ascii="Times New Roman"/>
        </w:rPr>
        <w:t>-</w:t>
      </w:r>
      <w:r>
        <w:rPr>
          <w:rFonts w:ascii="Times New Roman"/>
        </w:rPr>
        <w:t>乙腈</w:t>
      </w:r>
      <w:r>
        <w:rPr>
          <w:rFonts w:hint="eastAsia" w:ascii="Times New Roman"/>
        </w:rPr>
        <w:t>溶液</w:t>
      </w:r>
      <w:r>
        <w:rPr>
          <w:rFonts w:ascii="Times New Roman"/>
        </w:rPr>
        <w:t>。流动相梯度洗脱程序见表1</w:t>
      </w:r>
      <w:bookmarkEnd w:id="35"/>
      <w:r>
        <w:rPr>
          <w:rFonts w:hint="eastAsia" w:ascii="Times New Roman"/>
        </w:rPr>
        <w:t>；</w:t>
      </w:r>
    </w:p>
    <w:p>
      <w:pPr>
        <w:pStyle w:val="23"/>
        <w:numPr>
          <w:ilvl w:val="0"/>
          <w:numId w:val="20"/>
        </w:numPr>
        <w:spacing w:line="360" w:lineRule="auto"/>
        <w:ind w:firstLine="0" w:firstLineChars="0"/>
        <w:rPr>
          <w:rFonts w:ascii="Times New Roman"/>
        </w:rPr>
      </w:pPr>
      <w:r>
        <w:rPr>
          <w:rFonts w:ascii="Times New Roman"/>
        </w:rPr>
        <w:t>流速：0.3 mL/min</w:t>
      </w:r>
      <w:r>
        <w:rPr>
          <w:rFonts w:hint="eastAsia" w:ascii="Times New Roman"/>
        </w:rPr>
        <w:t>；</w:t>
      </w:r>
    </w:p>
    <w:p>
      <w:pPr>
        <w:pStyle w:val="23"/>
        <w:numPr>
          <w:ilvl w:val="0"/>
          <w:numId w:val="20"/>
        </w:numPr>
        <w:spacing w:line="360" w:lineRule="auto"/>
        <w:ind w:firstLine="0" w:firstLineChars="0"/>
        <w:rPr>
          <w:rFonts w:ascii="Times New Roman"/>
        </w:rPr>
      </w:pPr>
      <w:r>
        <w:rPr>
          <w:rFonts w:ascii="Times New Roman"/>
        </w:rPr>
        <w:t>柱温：35 ℃；</w:t>
      </w:r>
    </w:p>
    <w:p>
      <w:pPr>
        <w:pStyle w:val="23"/>
        <w:numPr>
          <w:ilvl w:val="0"/>
          <w:numId w:val="20"/>
        </w:numPr>
        <w:spacing w:line="360" w:lineRule="auto"/>
        <w:ind w:firstLine="0" w:firstLineChars="0"/>
        <w:rPr>
          <w:rFonts w:ascii="Times New Roman"/>
        </w:rPr>
      </w:pPr>
      <w:r>
        <w:rPr>
          <w:rFonts w:ascii="Times New Roman"/>
        </w:rPr>
        <w:t>进样量：</w:t>
      </w:r>
      <w:r>
        <w:rPr>
          <w:rFonts w:hint="eastAsia" w:ascii="Times New Roman"/>
        </w:rPr>
        <w:t>5</w:t>
      </w:r>
      <w:r>
        <w:rPr>
          <w:rFonts w:ascii="Times New Roman"/>
        </w:rPr>
        <w:t xml:space="preserve">.0 </w:t>
      </w:r>
      <w:r>
        <w:rPr>
          <w:rFonts w:ascii="Times New Roman"/>
          <w:sz w:val="22"/>
        </w:rPr>
        <w:t>µL</w:t>
      </w:r>
      <w:r>
        <w:rPr>
          <w:rFonts w:hint="eastAsia" w:ascii="Times New Roman" w:eastAsia="黑体"/>
        </w:rPr>
        <w:t>。</w:t>
      </w:r>
    </w:p>
    <w:p>
      <w:pPr>
        <w:pStyle w:val="23"/>
        <w:spacing w:before="156" w:beforeLines="50" w:after="156" w:afterLines="50"/>
        <w:ind w:firstLine="0" w:firstLineChars="0"/>
        <w:jc w:val="center"/>
        <w:rPr>
          <w:rFonts w:ascii="Times New Roman"/>
        </w:rPr>
      </w:pPr>
      <w:r>
        <w:rPr>
          <w:rFonts w:ascii="Times New Roman"/>
          <w:b/>
        </w:rPr>
        <w:t>表1</w:t>
      </w:r>
      <w:r>
        <w:rPr>
          <w:rFonts w:hint="eastAsia" w:ascii="Times New Roman"/>
        </w:rPr>
        <w:t xml:space="preserve"> </w:t>
      </w:r>
      <w:r>
        <w:rPr>
          <w:rFonts w:ascii="Times New Roman"/>
        </w:rPr>
        <w:t>梯度洗脱</w:t>
      </w:r>
      <w:r>
        <w:rPr>
          <w:rFonts w:hint="eastAsia" w:ascii="Times New Roman"/>
        </w:rPr>
        <w:t>程序</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188"/>
        <w:gridCol w:w="3191"/>
        <w:gridCol w:w="31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时间</w:t>
            </w:r>
          </w:p>
          <w:p>
            <w:pPr>
              <w:pStyle w:val="23"/>
              <w:ind w:firstLine="0" w:firstLineChars="0"/>
              <w:jc w:val="center"/>
              <w:rPr>
                <w:rFonts w:ascii="Times New Roman"/>
                <w:szCs w:val="18"/>
              </w:rPr>
            </w:pPr>
            <w:r>
              <w:rPr>
                <w:rFonts w:ascii="Times New Roman"/>
                <w:szCs w:val="18"/>
              </w:rPr>
              <w:t>min</w:t>
            </w:r>
          </w:p>
        </w:tc>
        <w:tc>
          <w:tcPr>
            <w:tcW w:w="1667" w:type="pct"/>
          </w:tcPr>
          <w:p>
            <w:pPr>
              <w:pStyle w:val="23"/>
              <w:ind w:firstLine="0" w:firstLineChars="0"/>
              <w:jc w:val="center"/>
              <w:rPr>
                <w:rFonts w:ascii="Times New Roman"/>
                <w:szCs w:val="18"/>
              </w:rPr>
            </w:pPr>
            <w:r>
              <w:rPr>
                <w:rFonts w:ascii="Times New Roman"/>
                <w:szCs w:val="18"/>
              </w:rPr>
              <w:t>A</w:t>
            </w:r>
          </w:p>
          <w:p>
            <w:pPr>
              <w:pStyle w:val="23"/>
              <w:ind w:firstLine="0" w:firstLineChars="0"/>
              <w:jc w:val="center"/>
              <w:rPr>
                <w:rFonts w:ascii="Times New Roman"/>
                <w:szCs w:val="18"/>
              </w:rPr>
            </w:pPr>
            <w:r>
              <w:rPr>
                <w:rFonts w:ascii="Times New Roman"/>
                <w:szCs w:val="18"/>
              </w:rPr>
              <w:t>%</w:t>
            </w:r>
          </w:p>
        </w:tc>
        <w:tc>
          <w:tcPr>
            <w:tcW w:w="1667" w:type="pct"/>
          </w:tcPr>
          <w:p>
            <w:pPr>
              <w:pStyle w:val="23"/>
              <w:ind w:firstLine="0" w:firstLineChars="0"/>
              <w:jc w:val="center"/>
              <w:rPr>
                <w:rFonts w:ascii="Times New Roman"/>
                <w:szCs w:val="18"/>
              </w:rPr>
            </w:pPr>
            <w:r>
              <w:rPr>
                <w:rFonts w:ascii="Times New Roman"/>
                <w:szCs w:val="18"/>
              </w:rPr>
              <w:t>B</w:t>
            </w:r>
          </w:p>
          <w:p>
            <w:pPr>
              <w:pStyle w:val="23"/>
              <w:ind w:firstLine="0" w:firstLineChars="0"/>
              <w:jc w:val="center"/>
              <w:rPr>
                <w:rFonts w:ascii="Times New Roman"/>
                <w:szCs w:val="18"/>
              </w:rPr>
            </w:pPr>
            <w:r>
              <w:rPr>
                <w:rFonts w:ascii="Times New Roman"/>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0.0</w:t>
            </w:r>
          </w:p>
        </w:tc>
        <w:tc>
          <w:tcPr>
            <w:tcW w:w="1667" w:type="pct"/>
          </w:tcPr>
          <w:p>
            <w:pPr>
              <w:pStyle w:val="23"/>
              <w:ind w:firstLine="0" w:firstLineChars="0"/>
              <w:jc w:val="center"/>
              <w:rPr>
                <w:rFonts w:ascii="Times New Roman"/>
                <w:szCs w:val="18"/>
              </w:rPr>
            </w:pPr>
            <w:r>
              <w:rPr>
                <w:rFonts w:ascii="Times New Roman"/>
                <w:szCs w:val="18"/>
              </w:rPr>
              <w:t>90</w:t>
            </w:r>
          </w:p>
        </w:tc>
        <w:tc>
          <w:tcPr>
            <w:tcW w:w="1667" w:type="pct"/>
          </w:tcPr>
          <w:p>
            <w:pPr>
              <w:pStyle w:val="23"/>
              <w:ind w:firstLine="0" w:firstLineChars="0"/>
              <w:jc w:val="center"/>
              <w:rPr>
                <w:rFonts w:ascii="Times New Roman"/>
                <w:szCs w:val="18"/>
              </w:rPr>
            </w:pPr>
            <w:r>
              <w:rPr>
                <w:rFonts w:ascii="Times New Roman"/>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tabs>
                <w:tab w:val="left" w:pos="855"/>
                <w:tab w:val="center" w:pos="1088"/>
              </w:tabs>
              <w:ind w:firstLine="0" w:firstLineChars="0"/>
              <w:jc w:val="center"/>
              <w:rPr>
                <w:rFonts w:ascii="Times New Roman"/>
                <w:szCs w:val="18"/>
              </w:rPr>
            </w:pPr>
            <w:r>
              <w:rPr>
                <w:rFonts w:ascii="Times New Roman"/>
                <w:szCs w:val="18"/>
              </w:rPr>
              <w:t>0.8</w:t>
            </w:r>
          </w:p>
        </w:tc>
        <w:tc>
          <w:tcPr>
            <w:tcW w:w="1667" w:type="pct"/>
          </w:tcPr>
          <w:p>
            <w:pPr>
              <w:pStyle w:val="23"/>
              <w:ind w:firstLine="0" w:firstLineChars="0"/>
              <w:jc w:val="center"/>
              <w:rPr>
                <w:rFonts w:ascii="Times New Roman"/>
                <w:szCs w:val="18"/>
              </w:rPr>
            </w:pPr>
            <w:r>
              <w:rPr>
                <w:rFonts w:ascii="Times New Roman"/>
                <w:szCs w:val="18"/>
              </w:rPr>
              <w:t>90</w:t>
            </w:r>
          </w:p>
        </w:tc>
        <w:tc>
          <w:tcPr>
            <w:tcW w:w="1667" w:type="pct"/>
          </w:tcPr>
          <w:p>
            <w:pPr>
              <w:pStyle w:val="23"/>
              <w:ind w:firstLine="0" w:firstLineChars="0"/>
              <w:jc w:val="center"/>
              <w:rPr>
                <w:rFonts w:ascii="Times New Roman"/>
                <w:szCs w:val="18"/>
              </w:rPr>
            </w:pPr>
            <w:r>
              <w:rPr>
                <w:rFonts w:ascii="Times New Roman"/>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1.3</w:t>
            </w:r>
          </w:p>
        </w:tc>
        <w:tc>
          <w:tcPr>
            <w:tcW w:w="1667" w:type="pct"/>
          </w:tcPr>
          <w:p>
            <w:pPr>
              <w:pStyle w:val="23"/>
              <w:ind w:firstLine="0" w:firstLineChars="0"/>
              <w:jc w:val="center"/>
              <w:rPr>
                <w:rFonts w:ascii="Times New Roman"/>
                <w:szCs w:val="18"/>
              </w:rPr>
            </w:pPr>
            <w:r>
              <w:rPr>
                <w:rFonts w:ascii="Times New Roman"/>
                <w:szCs w:val="18"/>
              </w:rPr>
              <w:t>80</w:t>
            </w:r>
          </w:p>
        </w:tc>
        <w:tc>
          <w:tcPr>
            <w:tcW w:w="1667" w:type="pct"/>
          </w:tcPr>
          <w:p>
            <w:pPr>
              <w:pStyle w:val="23"/>
              <w:ind w:firstLine="0" w:firstLineChars="0"/>
              <w:jc w:val="center"/>
              <w:rPr>
                <w:rFonts w:ascii="Times New Roman"/>
                <w:szCs w:val="18"/>
              </w:rPr>
            </w:pPr>
            <w:r>
              <w:rPr>
                <w:rFonts w:ascii="Times New Roman"/>
                <w:szCs w:val="1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4.5</w:t>
            </w:r>
          </w:p>
        </w:tc>
        <w:tc>
          <w:tcPr>
            <w:tcW w:w="1667" w:type="pct"/>
          </w:tcPr>
          <w:p>
            <w:pPr>
              <w:pStyle w:val="23"/>
              <w:ind w:firstLine="0" w:firstLineChars="0"/>
              <w:jc w:val="center"/>
              <w:rPr>
                <w:rFonts w:ascii="Times New Roman"/>
                <w:szCs w:val="18"/>
              </w:rPr>
            </w:pPr>
            <w:r>
              <w:rPr>
                <w:rFonts w:ascii="Times New Roman"/>
                <w:szCs w:val="18"/>
              </w:rPr>
              <w:t>70</w:t>
            </w:r>
          </w:p>
        </w:tc>
        <w:tc>
          <w:tcPr>
            <w:tcW w:w="1667" w:type="pct"/>
          </w:tcPr>
          <w:p>
            <w:pPr>
              <w:pStyle w:val="23"/>
              <w:ind w:firstLine="0" w:firstLineChars="0"/>
              <w:jc w:val="center"/>
              <w:rPr>
                <w:rFonts w:ascii="Times New Roman"/>
                <w:szCs w:val="18"/>
              </w:rPr>
            </w:pPr>
            <w:r>
              <w:rPr>
                <w:rFonts w:ascii="Times New Roman"/>
                <w:szCs w:val="18"/>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5.4</w:t>
            </w:r>
          </w:p>
        </w:tc>
        <w:tc>
          <w:tcPr>
            <w:tcW w:w="1667" w:type="pct"/>
          </w:tcPr>
          <w:p>
            <w:pPr>
              <w:pStyle w:val="23"/>
              <w:ind w:firstLine="0" w:firstLineChars="0"/>
              <w:jc w:val="center"/>
              <w:rPr>
                <w:rFonts w:ascii="Times New Roman"/>
                <w:szCs w:val="18"/>
              </w:rPr>
            </w:pPr>
            <w:r>
              <w:rPr>
                <w:rFonts w:ascii="Times New Roman"/>
                <w:szCs w:val="18"/>
              </w:rPr>
              <w:t>5</w:t>
            </w:r>
          </w:p>
        </w:tc>
        <w:tc>
          <w:tcPr>
            <w:tcW w:w="1667" w:type="pct"/>
          </w:tcPr>
          <w:p>
            <w:pPr>
              <w:pStyle w:val="23"/>
              <w:ind w:firstLine="0" w:firstLineChars="0"/>
              <w:jc w:val="center"/>
              <w:rPr>
                <w:rFonts w:ascii="Times New Roman"/>
                <w:szCs w:val="18"/>
              </w:rPr>
            </w:pPr>
            <w:r>
              <w:rPr>
                <w:rFonts w:ascii="Times New Roman"/>
                <w:szCs w:val="18"/>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6.0</w:t>
            </w:r>
          </w:p>
        </w:tc>
        <w:tc>
          <w:tcPr>
            <w:tcW w:w="1667" w:type="pct"/>
          </w:tcPr>
          <w:p>
            <w:pPr>
              <w:pStyle w:val="23"/>
              <w:ind w:firstLine="0" w:firstLineChars="0"/>
              <w:jc w:val="center"/>
              <w:rPr>
                <w:rFonts w:ascii="Times New Roman"/>
                <w:szCs w:val="18"/>
              </w:rPr>
            </w:pPr>
            <w:r>
              <w:rPr>
                <w:rFonts w:ascii="Times New Roman"/>
                <w:szCs w:val="18"/>
              </w:rPr>
              <w:t>5</w:t>
            </w:r>
          </w:p>
        </w:tc>
        <w:tc>
          <w:tcPr>
            <w:tcW w:w="1667" w:type="pct"/>
          </w:tcPr>
          <w:p>
            <w:pPr>
              <w:pStyle w:val="23"/>
              <w:ind w:firstLine="0" w:firstLineChars="0"/>
              <w:jc w:val="center"/>
              <w:rPr>
                <w:rFonts w:ascii="Times New Roman"/>
                <w:szCs w:val="18"/>
              </w:rPr>
            </w:pPr>
            <w:r>
              <w:rPr>
                <w:rFonts w:ascii="Times New Roman"/>
                <w:szCs w:val="18"/>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6.1</w:t>
            </w:r>
          </w:p>
        </w:tc>
        <w:tc>
          <w:tcPr>
            <w:tcW w:w="1667" w:type="pct"/>
          </w:tcPr>
          <w:p>
            <w:pPr>
              <w:pStyle w:val="23"/>
              <w:ind w:firstLine="0" w:firstLineChars="0"/>
              <w:jc w:val="center"/>
              <w:rPr>
                <w:rFonts w:ascii="Times New Roman"/>
                <w:szCs w:val="18"/>
              </w:rPr>
            </w:pPr>
            <w:r>
              <w:rPr>
                <w:rFonts w:ascii="Times New Roman"/>
                <w:szCs w:val="18"/>
              </w:rPr>
              <w:t>90</w:t>
            </w:r>
          </w:p>
        </w:tc>
        <w:tc>
          <w:tcPr>
            <w:tcW w:w="1667" w:type="pct"/>
          </w:tcPr>
          <w:p>
            <w:pPr>
              <w:pStyle w:val="23"/>
              <w:ind w:firstLine="0" w:firstLineChars="0"/>
              <w:jc w:val="center"/>
              <w:rPr>
                <w:rFonts w:ascii="Times New Roman"/>
                <w:szCs w:val="18"/>
              </w:rPr>
            </w:pPr>
            <w:r>
              <w:rPr>
                <w:rFonts w:ascii="Times New Roman"/>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666" w:type="pct"/>
          </w:tcPr>
          <w:p>
            <w:pPr>
              <w:pStyle w:val="23"/>
              <w:ind w:firstLine="0" w:firstLineChars="0"/>
              <w:jc w:val="center"/>
              <w:rPr>
                <w:rFonts w:ascii="Times New Roman"/>
                <w:szCs w:val="18"/>
              </w:rPr>
            </w:pPr>
            <w:r>
              <w:rPr>
                <w:rFonts w:ascii="Times New Roman"/>
                <w:szCs w:val="18"/>
              </w:rPr>
              <w:t>7.0</w:t>
            </w:r>
          </w:p>
        </w:tc>
        <w:tc>
          <w:tcPr>
            <w:tcW w:w="1667" w:type="pct"/>
          </w:tcPr>
          <w:p>
            <w:pPr>
              <w:pStyle w:val="23"/>
              <w:ind w:firstLine="0" w:firstLineChars="0"/>
              <w:jc w:val="center"/>
              <w:rPr>
                <w:rFonts w:ascii="Times New Roman"/>
                <w:szCs w:val="18"/>
              </w:rPr>
            </w:pPr>
            <w:r>
              <w:rPr>
                <w:rFonts w:ascii="Times New Roman"/>
                <w:szCs w:val="18"/>
              </w:rPr>
              <w:t>90</w:t>
            </w:r>
          </w:p>
        </w:tc>
        <w:tc>
          <w:tcPr>
            <w:tcW w:w="1667" w:type="pct"/>
          </w:tcPr>
          <w:p>
            <w:pPr>
              <w:pStyle w:val="23"/>
              <w:ind w:firstLine="0" w:firstLineChars="0"/>
              <w:jc w:val="center"/>
              <w:rPr>
                <w:rFonts w:ascii="Times New Roman"/>
                <w:szCs w:val="18"/>
              </w:rPr>
            </w:pPr>
            <w:r>
              <w:rPr>
                <w:rFonts w:ascii="Times New Roman"/>
                <w:szCs w:val="18"/>
              </w:rPr>
              <w:t>10</w:t>
            </w:r>
          </w:p>
        </w:tc>
      </w:tr>
    </w:tbl>
    <w:p>
      <w:pPr>
        <w:pStyle w:val="23"/>
        <w:spacing w:line="360" w:lineRule="auto"/>
        <w:ind w:firstLine="0" w:firstLineChars="0"/>
        <w:rPr>
          <w:rFonts w:ascii="Times New Roman" w:eastAsiaTheme="minorEastAsia"/>
        </w:rPr>
      </w:pPr>
      <w:r>
        <w:rPr>
          <w:rFonts w:ascii="Times New Roman" w:eastAsiaTheme="minorEastAsia"/>
        </w:rPr>
        <w:t xml:space="preserve">8.4.2 </w:t>
      </w:r>
      <w:r>
        <w:rPr>
          <w:rFonts w:hint="eastAsia" w:ascii="Times New Roman" w:eastAsiaTheme="minorEastAsia"/>
        </w:rPr>
        <w:t>质谱参考条件</w:t>
      </w:r>
    </w:p>
    <w:p>
      <w:pPr>
        <w:pStyle w:val="23"/>
        <w:spacing w:line="360" w:lineRule="auto"/>
        <w:ind w:firstLine="0" w:firstLineChars="0"/>
        <w:rPr>
          <w:rFonts w:ascii="Times New Roman" w:eastAsiaTheme="minorEastAsia"/>
        </w:rPr>
      </w:pPr>
      <w:r>
        <w:rPr>
          <w:rFonts w:hint="eastAsia" w:ascii="Times New Roman" w:eastAsiaTheme="minorEastAsia"/>
        </w:rPr>
        <w:t>质谱</w:t>
      </w:r>
      <w:r>
        <w:rPr>
          <w:rFonts w:hint="eastAsia" w:ascii="Times New Roman"/>
        </w:rPr>
        <w:t>参考条件如下：</w:t>
      </w:r>
    </w:p>
    <w:p>
      <w:pPr>
        <w:pStyle w:val="23"/>
        <w:numPr>
          <w:ilvl w:val="0"/>
          <w:numId w:val="21"/>
        </w:numPr>
        <w:spacing w:line="360" w:lineRule="auto"/>
        <w:ind w:firstLine="0" w:firstLineChars="0"/>
        <w:rPr>
          <w:rFonts w:ascii="Times New Roman" w:eastAsiaTheme="minorEastAsia"/>
        </w:rPr>
      </w:pPr>
      <w:r>
        <w:rPr>
          <w:rFonts w:ascii="Times New Roman" w:eastAsiaTheme="minorEastAsia"/>
        </w:rPr>
        <w:t>离子化模式：正离子模式</w:t>
      </w:r>
      <w:r>
        <w:rPr>
          <w:rFonts w:hint="eastAsia" w:ascii="Times New Roman" w:eastAsiaTheme="minorEastAsia"/>
        </w:rPr>
        <w:t>(</w:t>
      </w:r>
      <w:r>
        <w:rPr>
          <w:rFonts w:ascii="Times New Roman" w:eastAsiaTheme="minorEastAsia"/>
        </w:rPr>
        <w:t>ESI</w:t>
      </w:r>
      <w:r>
        <w:rPr>
          <w:rFonts w:ascii="Times New Roman" w:eastAsiaTheme="minorEastAsia"/>
          <w:vertAlign w:val="superscript"/>
        </w:rPr>
        <w:t>+</w:t>
      </w:r>
      <w:r>
        <w:rPr>
          <w:rFonts w:hint="eastAsia" w:ascii="Times New Roman" w:eastAsiaTheme="minorEastAsia"/>
        </w:rPr>
        <w:t>)</w:t>
      </w:r>
      <w:r>
        <w:rPr>
          <w:rFonts w:ascii="Times New Roman" w:eastAsiaTheme="minorEastAsia"/>
        </w:rPr>
        <w:t>；</w:t>
      </w:r>
    </w:p>
    <w:p>
      <w:pPr>
        <w:pStyle w:val="23"/>
        <w:numPr>
          <w:ilvl w:val="0"/>
          <w:numId w:val="21"/>
        </w:numPr>
        <w:spacing w:line="360" w:lineRule="auto"/>
        <w:ind w:firstLine="0" w:firstLineChars="0"/>
        <w:rPr>
          <w:rFonts w:ascii="Times New Roman" w:eastAsiaTheme="minorEastAsia"/>
        </w:rPr>
      </w:pPr>
      <w:r>
        <w:rPr>
          <w:rFonts w:ascii="Times New Roman" w:eastAsiaTheme="minorEastAsia"/>
        </w:rPr>
        <w:t>检测方式：多反应监测</w:t>
      </w:r>
      <w:r>
        <w:rPr>
          <w:rFonts w:hint="eastAsia" w:ascii="Times New Roman" w:eastAsiaTheme="minorEastAsia"/>
        </w:rPr>
        <w:t>(</w:t>
      </w:r>
      <w:r>
        <w:rPr>
          <w:rFonts w:ascii="Times New Roman" w:eastAsiaTheme="minorEastAsia"/>
        </w:rPr>
        <w:t>MRM</w:t>
      </w:r>
      <w:r>
        <w:rPr>
          <w:rFonts w:hint="eastAsia" w:ascii="Times New Roman" w:eastAsiaTheme="minorEastAsia"/>
        </w:rPr>
        <w:t>)；</w:t>
      </w:r>
    </w:p>
    <w:p>
      <w:pPr>
        <w:pStyle w:val="23"/>
        <w:numPr>
          <w:ilvl w:val="0"/>
          <w:numId w:val="21"/>
        </w:numPr>
        <w:spacing w:line="360" w:lineRule="auto"/>
        <w:ind w:firstLine="0" w:firstLineChars="0"/>
        <w:rPr>
          <w:rFonts w:ascii="Times New Roman" w:eastAsiaTheme="minorEastAsia"/>
        </w:rPr>
      </w:pPr>
      <w:r>
        <w:rPr>
          <w:rFonts w:ascii="Times New Roman" w:eastAsiaTheme="minorEastAsia"/>
        </w:rPr>
        <w:t>干燥气温度：290</w:t>
      </w:r>
      <w:r>
        <w:rPr>
          <w:rFonts w:hint="eastAsia" w:ascii="Times New Roman" w:eastAsiaTheme="minorEastAsia"/>
        </w:rPr>
        <w:t xml:space="preserve"> </w:t>
      </w:r>
      <w:r>
        <w:rPr>
          <w:rFonts w:ascii="Times New Roman" w:eastAsiaTheme="minorEastAsia"/>
        </w:rPr>
        <w:t>℃</w:t>
      </w:r>
      <w:r>
        <w:rPr>
          <w:rFonts w:hint="eastAsia" w:ascii="Times New Roman" w:eastAsiaTheme="minorEastAsia"/>
        </w:rPr>
        <w:t>；</w:t>
      </w:r>
    </w:p>
    <w:p>
      <w:pPr>
        <w:pStyle w:val="23"/>
        <w:numPr>
          <w:ilvl w:val="0"/>
          <w:numId w:val="21"/>
        </w:numPr>
        <w:spacing w:line="360" w:lineRule="auto"/>
        <w:ind w:firstLine="0" w:firstLineChars="0"/>
        <w:rPr>
          <w:rFonts w:ascii="Times New Roman" w:eastAsiaTheme="minorEastAsia"/>
        </w:rPr>
      </w:pPr>
      <w:r>
        <w:rPr>
          <w:rFonts w:ascii="Times New Roman" w:eastAsiaTheme="minorEastAsia"/>
        </w:rPr>
        <w:t>干燥气流速：11 L/min</w:t>
      </w:r>
      <w:r>
        <w:rPr>
          <w:rFonts w:hint="eastAsia" w:ascii="Times New Roman" w:eastAsiaTheme="minorEastAsia"/>
        </w:rPr>
        <w:t>；</w:t>
      </w:r>
    </w:p>
    <w:p>
      <w:pPr>
        <w:pStyle w:val="23"/>
        <w:numPr>
          <w:ilvl w:val="0"/>
          <w:numId w:val="21"/>
        </w:numPr>
        <w:spacing w:line="360" w:lineRule="auto"/>
        <w:ind w:firstLine="0" w:firstLineChars="0"/>
        <w:rPr>
          <w:rFonts w:ascii="Times New Roman" w:eastAsiaTheme="minorEastAsia"/>
        </w:rPr>
      </w:pPr>
      <w:r>
        <w:rPr>
          <w:rFonts w:ascii="Times New Roman" w:eastAsiaTheme="minorEastAsia"/>
        </w:rPr>
        <w:t>毛细管电压：3500</w:t>
      </w:r>
      <w:r>
        <w:rPr>
          <w:rFonts w:hint="eastAsia" w:ascii="Times New Roman" w:eastAsiaTheme="minorEastAsia"/>
        </w:rPr>
        <w:t xml:space="preserve"> V；</w:t>
      </w:r>
    </w:p>
    <w:p>
      <w:pPr>
        <w:pStyle w:val="23"/>
        <w:numPr>
          <w:ilvl w:val="0"/>
          <w:numId w:val="21"/>
        </w:numPr>
        <w:spacing w:line="360" w:lineRule="auto"/>
        <w:ind w:firstLine="0" w:firstLineChars="0"/>
        <w:rPr>
          <w:rFonts w:ascii="Times New Roman" w:eastAsiaTheme="minorEastAsia"/>
        </w:rPr>
      </w:pPr>
      <w:r>
        <w:rPr>
          <w:rFonts w:hint="eastAsia" w:ascii="Times New Roman" w:eastAsiaTheme="minorEastAsia"/>
        </w:rPr>
        <w:t>测试蛋白的特征性肽段、定量离子对、定性子离子对及其碰撞能量</w:t>
      </w:r>
      <w:r>
        <w:rPr>
          <w:rFonts w:ascii="Times New Roman" w:eastAsiaTheme="minorEastAsia"/>
        </w:rPr>
        <w:t>参考</w:t>
      </w:r>
      <w:r>
        <w:rPr>
          <w:rFonts w:hint="eastAsia" w:ascii="Times New Roman" w:eastAsiaTheme="minorEastAsia"/>
        </w:rPr>
        <w:t>值</w:t>
      </w:r>
      <w:r>
        <w:rPr>
          <w:rFonts w:ascii="Times New Roman" w:eastAsiaTheme="minorEastAsia"/>
        </w:rPr>
        <w:t>见表2</w:t>
      </w:r>
      <w:r>
        <w:rPr>
          <w:rFonts w:hint="eastAsia" w:ascii="Times New Roman" w:eastAsia="黑体"/>
        </w:rPr>
        <w:t>。</w:t>
      </w:r>
    </w:p>
    <w:p>
      <w:pPr>
        <w:pStyle w:val="23"/>
        <w:spacing w:before="156" w:beforeLines="50" w:after="156" w:afterLines="50"/>
        <w:ind w:firstLine="0" w:firstLineChars="0"/>
        <w:jc w:val="center"/>
        <w:rPr>
          <w:rFonts w:ascii="Times New Roman"/>
          <w:szCs w:val="21"/>
        </w:rPr>
      </w:pPr>
      <w:r>
        <w:rPr>
          <w:rFonts w:ascii="Times New Roman"/>
          <w:b/>
        </w:rPr>
        <w:t>表2</w:t>
      </w:r>
      <w:r>
        <w:rPr>
          <w:rFonts w:ascii="Times New Roman"/>
        </w:rPr>
        <w:t xml:space="preserve"> </w:t>
      </w:r>
      <w:r>
        <w:rPr>
          <w:rFonts w:hint="eastAsia" w:ascii="Times New Roman"/>
        </w:rPr>
        <w:t xml:space="preserve"> </w:t>
      </w:r>
      <w:r>
        <w:rPr>
          <w:rFonts w:hint="eastAsia" w:ascii="Times New Roman"/>
          <w:i/>
          <w:iCs/>
        </w:rPr>
        <w:t>am</w:t>
      </w:r>
      <w:r>
        <w:rPr>
          <w:rFonts w:hint="eastAsia" w:ascii="Times New Roman"/>
        </w:rPr>
        <w:t>-</w:t>
      </w:r>
      <w:r>
        <w:rPr>
          <w:rFonts w:ascii="Times New Roman"/>
        </w:rPr>
        <w:t>MRJP1</w:t>
      </w:r>
      <w:r>
        <w:rPr>
          <w:rFonts w:hint="eastAsia" w:ascii="Times New Roman"/>
        </w:rPr>
        <w:t>和</w:t>
      </w:r>
      <w:r>
        <w:rPr>
          <w:rFonts w:hint="eastAsia" w:ascii="Times New Roman"/>
          <w:i/>
          <w:iCs/>
        </w:rPr>
        <w:t>ac</w:t>
      </w:r>
      <w:r>
        <w:rPr>
          <w:rFonts w:hint="eastAsia" w:ascii="Times New Roman"/>
        </w:rPr>
        <w:t>-</w:t>
      </w:r>
      <w:r>
        <w:rPr>
          <w:rFonts w:ascii="Times New Roman"/>
        </w:rPr>
        <w:t>MRJP1</w:t>
      </w:r>
      <w:r>
        <w:rPr>
          <w:rFonts w:ascii="Times New Roman"/>
          <w:szCs w:val="21"/>
        </w:rPr>
        <w:t>多反应监测（MRM）离子对</w:t>
      </w:r>
      <w:r>
        <w:rPr>
          <w:rFonts w:hint="eastAsia" w:ascii="Times New Roman"/>
          <w:szCs w:val="21"/>
        </w:rPr>
        <w:t>、</w:t>
      </w:r>
      <w:r>
        <w:rPr>
          <w:rFonts w:ascii="Times New Roman"/>
          <w:szCs w:val="21"/>
        </w:rPr>
        <w:t>锥孔电压及碰撞能量的参考值</w:t>
      </w:r>
    </w:p>
    <w:tbl>
      <w:tblPr>
        <w:tblStyle w:val="3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szCs w:val="21"/>
              </w:rPr>
              <w:t>待测组分</w:t>
            </w:r>
          </w:p>
        </w:tc>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szCs w:val="21"/>
              </w:rPr>
              <w:t>定性/定量离子对</w:t>
            </w:r>
          </w:p>
          <w:p>
            <w:pPr>
              <w:pStyle w:val="23"/>
              <w:ind w:firstLine="0" w:firstLineChars="0"/>
              <w:jc w:val="center"/>
              <w:rPr>
                <w:rFonts w:ascii="Times New Roman" w:eastAsiaTheme="minorEastAsia"/>
                <w:szCs w:val="21"/>
              </w:rPr>
            </w:pPr>
            <w:r>
              <w:rPr>
                <w:rFonts w:ascii="Times New Roman" w:eastAsiaTheme="minorEastAsia"/>
                <w:szCs w:val="21"/>
              </w:rPr>
              <w:t>（</w:t>
            </w:r>
            <w:r>
              <w:rPr>
                <w:rFonts w:ascii="Times New Roman" w:eastAsiaTheme="minorEastAsia"/>
                <w:i/>
                <w:szCs w:val="21"/>
              </w:rPr>
              <w:t>m/z</w:t>
            </w:r>
            <w:r>
              <w:rPr>
                <w:rFonts w:ascii="Times New Roman" w:eastAsiaTheme="minorEastAsia"/>
                <w:szCs w:val="21"/>
              </w:rPr>
              <w:t>）</w:t>
            </w:r>
          </w:p>
        </w:tc>
        <w:tc>
          <w:tcPr>
            <w:tcW w:w="2393" w:type="dxa"/>
            <w:vAlign w:val="center"/>
          </w:tcPr>
          <w:p>
            <w:pPr>
              <w:pStyle w:val="23"/>
              <w:ind w:firstLine="0" w:firstLineChars="0"/>
              <w:jc w:val="center"/>
              <w:rPr>
                <w:rFonts w:ascii="Times New Roman" w:eastAsiaTheme="minorEastAsia"/>
                <w:szCs w:val="21"/>
              </w:rPr>
            </w:pPr>
            <w:r>
              <w:rPr>
                <w:rFonts w:ascii="Times New Roman" w:eastAsiaTheme="minorEastAsia"/>
                <w:szCs w:val="21"/>
              </w:rPr>
              <w:t>锥孔（或去簇）电压</w:t>
            </w:r>
          </w:p>
          <w:p>
            <w:pPr>
              <w:pStyle w:val="23"/>
              <w:ind w:firstLine="0" w:firstLineChars="0"/>
              <w:jc w:val="center"/>
              <w:rPr>
                <w:rFonts w:ascii="Times New Roman" w:eastAsiaTheme="minorEastAsia"/>
                <w:szCs w:val="21"/>
              </w:rPr>
            </w:pPr>
            <w:r>
              <w:rPr>
                <w:rFonts w:ascii="Times New Roman" w:eastAsiaTheme="minorEastAsia"/>
                <w:szCs w:val="21"/>
              </w:rPr>
              <w:t>（V）</w:t>
            </w:r>
          </w:p>
        </w:tc>
        <w:tc>
          <w:tcPr>
            <w:tcW w:w="2393" w:type="dxa"/>
            <w:vAlign w:val="center"/>
          </w:tcPr>
          <w:p>
            <w:pPr>
              <w:pStyle w:val="23"/>
              <w:ind w:firstLine="0" w:firstLineChars="0"/>
              <w:jc w:val="center"/>
              <w:rPr>
                <w:rFonts w:ascii="Times New Roman" w:eastAsiaTheme="minorEastAsia"/>
                <w:szCs w:val="21"/>
              </w:rPr>
            </w:pPr>
            <w:r>
              <w:rPr>
                <w:rFonts w:ascii="Times New Roman" w:eastAsiaTheme="minorEastAsia"/>
                <w:szCs w:val="21"/>
              </w:rPr>
              <w:t>碰撞能量</w:t>
            </w:r>
          </w:p>
          <w:p>
            <w:pPr>
              <w:pStyle w:val="23"/>
              <w:ind w:firstLine="0" w:firstLineChars="0"/>
              <w:jc w:val="center"/>
              <w:rPr>
                <w:rFonts w:ascii="Times New Roman" w:eastAsiaTheme="minorEastAsia"/>
                <w:szCs w:val="21"/>
              </w:rPr>
            </w:pPr>
            <w:r>
              <w:rPr>
                <w:rFonts w:ascii="Times New Roman" w:eastAsiaTheme="minorEastAsia"/>
                <w:szCs w:val="21"/>
              </w:rPr>
              <w:t>（eV）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2392" w:type="dxa"/>
            <w:vAlign w:val="center"/>
          </w:tcPr>
          <w:p>
            <w:pPr>
              <w:pStyle w:val="23"/>
              <w:ind w:firstLine="0" w:firstLineChars="0"/>
              <w:jc w:val="center"/>
              <w:rPr>
                <w:rFonts w:ascii="Times New Roman" w:eastAsiaTheme="minorEastAsia"/>
                <w:szCs w:val="21"/>
              </w:rPr>
            </w:pPr>
          </w:p>
        </w:tc>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szCs w:val="21"/>
              </w:rPr>
              <w:t>699.3&gt;410.2</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60</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i/>
                <w:iCs/>
                <w:szCs w:val="21"/>
              </w:rPr>
              <w:t>am</w:t>
            </w:r>
            <w:r>
              <w:rPr>
                <w:rFonts w:ascii="Times New Roman" w:eastAsiaTheme="minorEastAsia"/>
                <w:szCs w:val="21"/>
              </w:rPr>
              <w:t>-MRJP1</w:t>
            </w:r>
          </w:p>
        </w:tc>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szCs w:val="21"/>
              </w:rPr>
              <w:t>699.3&gt;563.2</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60</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2392" w:type="dxa"/>
            <w:vAlign w:val="center"/>
          </w:tcPr>
          <w:p>
            <w:pPr>
              <w:pStyle w:val="23"/>
              <w:ind w:firstLine="0" w:firstLineChars="0"/>
              <w:jc w:val="center"/>
              <w:rPr>
                <w:rFonts w:ascii="Times New Roman" w:eastAsiaTheme="minorEastAsia"/>
                <w:szCs w:val="21"/>
              </w:rPr>
            </w:pPr>
          </w:p>
        </w:tc>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b/>
                <w:szCs w:val="21"/>
              </w:rPr>
              <w:t>699.3&gt;1103.4*</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60</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2392" w:type="dxa"/>
            <w:vAlign w:val="center"/>
          </w:tcPr>
          <w:p>
            <w:pPr>
              <w:pStyle w:val="23"/>
              <w:ind w:firstLine="0" w:firstLineChars="0"/>
              <w:jc w:val="center"/>
              <w:rPr>
                <w:rFonts w:ascii="Times New Roman" w:eastAsiaTheme="minorEastAsia"/>
                <w:szCs w:val="21"/>
              </w:rPr>
            </w:pPr>
          </w:p>
        </w:tc>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szCs w:val="21"/>
              </w:rPr>
              <w:t>801.4&gt;217.1</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60</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i/>
                <w:iCs/>
                <w:szCs w:val="21"/>
              </w:rPr>
              <w:t>ac</w:t>
            </w:r>
            <w:r>
              <w:rPr>
                <w:rFonts w:ascii="Times New Roman" w:eastAsiaTheme="minorEastAsia"/>
                <w:szCs w:val="21"/>
              </w:rPr>
              <w:t>-MRJP1</w:t>
            </w:r>
          </w:p>
        </w:tc>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szCs w:val="21"/>
              </w:rPr>
              <w:t>801.4&gt;503.3</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60</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2392" w:type="dxa"/>
            <w:vAlign w:val="center"/>
          </w:tcPr>
          <w:p>
            <w:pPr>
              <w:pStyle w:val="23"/>
              <w:ind w:firstLine="0" w:firstLineChars="0"/>
              <w:jc w:val="center"/>
              <w:rPr>
                <w:rFonts w:ascii="Times New Roman" w:eastAsiaTheme="minorEastAsia"/>
                <w:szCs w:val="21"/>
              </w:rPr>
            </w:pPr>
          </w:p>
        </w:tc>
        <w:tc>
          <w:tcPr>
            <w:tcW w:w="2392" w:type="dxa"/>
            <w:vAlign w:val="center"/>
          </w:tcPr>
          <w:p>
            <w:pPr>
              <w:pStyle w:val="23"/>
              <w:ind w:firstLine="0" w:firstLineChars="0"/>
              <w:jc w:val="center"/>
              <w:rPr>
                <w:rFonts w:ascii="Times New Roman" w:eastAsiaTheme="minorEastAsia"/>
                <w:szCs w:val="21"/>
              </w:rPr>
            </w:pPr>
            <w:r>
              <w:rPr>
                <w:rFonts w:ascii="Times New Roman" w:eastAsiaTheme="minorEastAsia"/>
                <w:b/>
                <w:szCs w:val="21"/>
              </w:rPr>
              <w:t>801.4&gt;958.5*</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60</w:t>
            </w:r>
          </w:p>
        </w:tc>
        <w:tc>
          <w:tcPr>
            <w:tcW w:w="2393" w:type="dxa"/>
            <w:vAlign w:val="center"/>
          </w:tcPr>
          <w:p>
            <w:pPr>
              <w:jc w:val="center"/>
              <w:rPr>
                <w:rFonts w:ascii="Times New Roman" w:eastAsiaTheme="minorEastAsia"/>
                <w:sz w:val="21"/>
                <w:szCs w:val="21"/>
              </w:rPr>
            </w:pPr>
            <w:r>
              <w:rPr>
                <w:rFonts w:ascii="Times New Roman" w:eastAsiaTheme="minorEastAsia"/>
                <w:sz w:val="21"/>
                <w:szCs w:val="21"/>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rPr>
        <w:tc>
          <w:tcPr>
            <w:tcW w:w="9570" w:type="dxa"/>
            <w:gridSpan w:val="4"/>
            <w:vAlign w:val="center"/>
          </w:tcPr>
          <w:p>
            <w:pPr>
              <w:pStyle w:val="23"/>
              <w:ind w:firstLine="0" w:firstLineChars="0"/>
              <w:jc w:val="left"/>
              <w:rPr>
                <w:rFonts w:ascii="Times New Roman" w:eastAsiaTheme="minorEastAsia"/>
                <w:szCs w:val="21"/>
              </w:rPr>
            </w:pPr>
            <w:r>
              <w:rPr>
                <w:rFonts w:ascii="Times New Roman" w:eastAsiaTheme="minorEastAsia"/>
                <w:szCs w:val="21"/>
              </w:rPr>
              <w:t>注：*为定量子离子</w:t>
            </w:r>
          </w:p>
        </w:tc>
      </w:tr>
    </w:tbl>
    <w:p>
      <w:pPr>
        <w:pStyle w:val="23"/>
        <w:spacing w:line="360" w:lineRule="auto"/>
        <w:rPr>
          <w:rFonts w:ascii="Times New Roman"/>
        </w:rPr>
      </w:pPr>
      <w:r>
        <w:rPr>
          <w:rFonts w:ascii="Times New Roman" w:eastAsiaTheme="minorEastAsia"/>
        </w:rPr>
        <w:t>8.4.</w:t>
      </w:r>
      <w:r>
        <w:rPr>
          <w:rFonts w:ascii="Times New Roman"/>
        </w:rPr>
        <w:t>3</w:t>
      </w:r>
      <w:r>
        <w:rPr>
          <w:rFonts w:hint="eastAsia" w:ascii="Times New Roman"/>
        </w:rPr>
        <w:t xml:space="preserve"> 基质匹配标准系列溶液和试样溶液测定</w:t>
      </w:r>
    </w:p>
    <w:p>
      <w:pPr>
        <w:pStyle w:val="23"/>
        <w:spacing w:line="360" w:lineRule="auto"/>
        <w:rPr>
          <w:rFonts w:ascii="Times New Roman"/>
        </w:rPr>
      </w:pPr>
      <w:r>
        <w:rPr>
          <w:rFonts w:hint="eastAsia" w:ascii="Times New Roman"/>
        </w:rPr>
        <w:t>在仪器的最佳条件下，分别取基质匹配标准系列工作溶液（8.3）和试样溶液（8.2）上机测定。基质匹配标准溶液中蜂王浆主蛋白1的定量离子色谱图见附录A。</w:t>
      </w:r>
    </w:p>
    <w:p>
      <w:pPr>
        <w:pStyle w:val="23"/>
        <w:ind w:firstLine="0" w:firstLineChars="0"/>
        <w:rPr>
          <w:rFonts w:ascii="Times New Roman"/>
        </w:rPr>
      </w:pPr>
      <w:r>
        <w:rPr>
          <w:rFonts w:hint="eastAsia" w:ascii="Times New Roman"/>
        </w:rPr>
        <w:t xml:space="preserve">8.4.4 </w:t>
      </w:r>
      <w:r>
        <w:rPr>
          <w:rFonts w:ascii="Times New Roman"/>
        </w:rPr>
        <w:t>定性</w:t>
      </w:r>
    </w:p>
    <w:p>
      <w:pPr>
        <w:pStyle w:val="23"/>
        <w:spacing w:line="360" w:lineRule="auto"/>
        <w:rPr>
          <w:rFonts w:ascii="Times New Roman"/>
        </w:rPr>
      </w:pPr>
      <w:r>
        <w:rPr>
          <w:rFonts w:ascii="Times New Roman"/>
        </w:rPr>
        <w:t>在相同</w:t>
      </w:r>
      <w:r>
        <w:rPr>
          <w:rFonts w:hint="eastAsia" w:ascii="Times New Roman"/>
        </w:rPr>
        <w:t>测试</w:t>
      </w:r>
      <w:r>
        <w:rPr>
          <w:rFonts w:ascii="Times New Roman"/>
        </w:rPr>
        <w:t>条件下，</w:t>
      </w:r>
      <w:r>
        <w:rPr>
          <w:rFonts w:hint="eastAsia" w:ascii="Times New Roman"/>
        </w:rPr>
        <w:t>试样</w:t>
      </w:r>
      <w:r>
        <w:rPr>
          <w:rFonts w:ascii="Times New Roman"/>
        </w:rPr>
        <w:t>中</w:t>
      </w:r>
      <w:r>
        <w:rPr>
          <w:rFonts w:hint="eastAsia" w:ascii="Times New Roman"/>
        </w:rPr>
        <w:t>蜂王浆主蛋白1的特征性肽段</w:t>
      </w:r>
      <w:r>
        <w:rPr>
          <w:rFonts w:ascii="Times New Roman"/>
        </w:rPr>
        <w:t>的保留时间，与</w:t>
      </w:r>
      <w:r>
        <w:rPr>
          <w:rFonts w:hint="eastAsia" w:ascii="Times New Roman"/>
        </w:rPr>
        <w:t>基质匹配</w:t>
      </w:r>
      <w:r>
        <w:rPr>
          <w:rFonts w:ascii="Times New Roman"/>
        </w:rPr>
        <w:t>标准溶液的保留时间相对偏差不大于</w:t>
      </w:r>
      <w:r>
        <w:rPr>
          <w:rFonts w:hint="eastAsia" w:ascii="Times New Roman"/>
        </w:rPr>
        <w:t>2.</w:t>
      </w:r>
      <w:r>
        <w:rPr>
          <w:rFonts w:ascii="Times New Roman"/>
        </w:rPr>
        <w:t>5%</w:t>
      </w:r>
      <w:r>
        <w:rPr>
          <w:rFonts w:hint="eastAsia" w:ascii="Times New Roman"/>
        </w:rPr>
        <w:t>。</w:t>
      </w:r>
      <w:r>
        <w:rPr>
          <w:rFonts w:ascii="Times New Roman"/>
        </w:rPr>
        <w:t>且样品中各组分定性离子的相对丰度与浓度接近的标准溶液的相对丰度一致，偏差不超过表3的规定，则可判断样品中存在对应的待测物。</w:t>
      </w:r>
    </w:p>
    <w:p>
      <w:pPr>
        <w:spacing w:before="156" w:beforeLines="50" w:after="156" w:afterLines="50"/>
        <w:jc w:val="center"/>
        <w:rPr>
          <w:rFonts w:eastAsia="黑体"/>
          <w:szCs w:val="21"/>
        </w:rPr>
      </w:pPr>
      <w:r>
        <w:rPr>
          <w:b/>
        </w:rPr>
        <w:t>表3</w:t>
      </w:r>
      <w:r>
        <w:rPr>
          <w:rFonts w:eastAsia="黑体"/>
          <w:szCs w:val="21"/>
        </w:rPr>
        <w:t>定性测定时相对离子丰度的最大允许偏差</w:t>
      </w:r>
    </w:p>
    <w:p>
      <w:pPr>
        <w:pStyle w:val="23"/>
        <w:spacing w:before="156" w:beforeLines="50" w:after="156" w:afterLines="50"/>
        <w:ind w:firstLine="0" w:firstLineChars="0"/>
        <w:jc w:val="center"/>
        <w:rPr>
          <w:rFonts w:ascii="Times New Roman"/>
        </w:rPr>
      </w:pPr>
      <w:r>
        <w:rPr>
          <w:rFonts w:hint="eastAsia" w:ascii="Times New Roman"/>
        </w:rPr>
        <w:t xml:space="preserve">                                                                (单位：%)</w:t>
      </w:r>
    </w:p>
    <w:tbl>
      <w:tblPr>
        <w:tblStyle w:val="3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87"/>
        <w:gridCol w:w="1489"/>
        <w:gridCol w:w="1888"/>
        <w:gridCol w:w="1888"/>
        <w:gridCol w:w="1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287" w:type="dxa"/>
            <w:vAlign w:val="center"/>
          </w:tcPr>
          <w:p>
            <w:pPr>
              <w:pStyle w:val="23"/>
              <w:jc w:val="left"/>
              <w:rPr>
                <w:rFonts w:ascii="Times New Roman"/>
                <w:szCs w:val="18"/>
              </w:rPr>
            </w:pPr>
            <w:r>
              <w:rPr>
                <w:rFonts w:ascii="Times New Roman"/>
                <w:szCs w:val="18"/>
              </w:rPr>
              <w:t>相对离子丰度</w:t>
            </w:r>
          </w:p>
        </w:tc>
        <w:tc>
          <w:tcPr>
            <w:tcW w:w="1489" w:type="dxa"/>
            <w:vAlign w:val="center"/>
          </w:tcPr>
          <w:p>
            <w:pPr>
              <w:pStyle w:val="23"/>
              <w:jc w:val="left"/>
              <w:rPr>
                <w:rFonts w:ascii="Times New Roman"/>
                <w:szCs w:val="18"/>
              </w:rPr>
            </w:pPr>
            <w:r>
              <w:rPr>
                <w:rFonts w:ascii="Times New Roman"/>
                <w:szCs w:val="18"/>
              </w:rPr>
              <w:t>&gt;50</w:t>
            </w:r>
          </w:p>
        </w:tc>
        <w:tc>
          <w:tcPr>
            <w:tcW w:w="1888" w:type="dxa"/>
            <w:vAlign w:val="center"/>
          </w:tcPr>
          <w:p>
            <w:pPr>
              <w:pStyle w:val="23"/>
              <w:jc w:val="left"/>
              <w:rPr>
                <w:rFonts w:ascii="Times New Roman"/>
                <w:szCs w:val="18"/>
              </w:rPr>
            </w:pPr>
            <w:r>
              <w:rPr>
                <w:rFonts w:ascii="Times New Roman"/>
                <w:szCs w:val="18"/>
              </w:rPr>
              <w:t>&gt;20~50</w:t>
            </w:r>
          </w:p>
        </w:tc>
        <w:tc>
          <w:tcPr>
            <w:tcW w:w="1888" w:type="dxa"/>
            <w:vAlign w:val="center"/>
          </w:tcPr>
          <w:p>
            <w:pPr>
              <w:pStyle w:val="23"/>
              <w:jc w:val="left"/>
              <w:rPr>
                <w:rFonts w:ascii="Times New Roman"/>
                <w:szCs w:val="18"/>
              </w:rPr>
            </w:pPr>
            <w:r>
              <w:rPr>
                <w:rFonts w:ascii="Times New Roman"/>
                <w:szCs w:val="18"/>
              </w:rPr>
              <w:t>&gt;10~20</w:t>
            </w:r>
          </w:p>
        </w:tc>
        <w:tc>
          <w:tcPr>
            <w:tcW w:w="1888" w:type="dxa"/>
            <w:vAlign w:val="center"/>
          </w:tcPr>
          <w:p>
            <w:pPr>
              <w:pStyle w:val="23"/>
              <w:jc w:val="left"/>
              <w:rPr>
                <w:rFonts w:ascii="Times New Roman"/>
                <w:szCs w:val="18"/>
              </w:rPr>
            </w:pPr>
            <w:r>
              <w:rPr>
                <w:rFonts w:ascii="Times New Roman"/>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2287" w:type="dxa"/>
            <w:vAlign w:val="center"/>
          </w:tcPr>
          <w:p>
            <w:pPr>
              <w:pStyle w:val="23"/>
              <w:jc w:val="left"/>
              <w:rPr>
                <w:rFonts w:ascii="Times New Roman"/>
                <w:szCs w:val="18"/>
              </w:rPr>
            </w:pPr>
            <w:r>
              <w:rPr>
                <w:rFonts w:ascii="Times New Roman"/>
                <w:szCs w:val="18"/>
              </w:rPr>
              <w:t>允许相对偏差</w:t>
            </w:r>
          </w:p>
        </w:tc>
        <w:tc>
          <w:tcPr>
            <w:tcW w:w="1489" w:type="dxa"/>
            <w:vAlign w:val="center"/>
          </w:tcPr>
          <w:p>
            <w:pPr>
              <w:pStyle w:val="23"/>
              <w:jc w:val="left"/>
              <w:rPr>
                <w:rFonts w:ascii="Times New Roman"/>
                <w:szCs w:val="18"/>
              </w:rPr>
            </w:pPr>
            <w:r>
              <w:rPr>
                <w:rFonts w:ascii="Times New Roman"/>
                <w:szCs w:val="18"/>
              </w:rPr>
              <w:t>±20</w:t>
            </w:r>
          </w:p>
        </w:tc>
        <w:tc>
          <w:tcPr>
            <w:tcW w:w="1888" w:type="dxa"/>
            <w:vAlign w:val="center"/>
          </w:tcPr>
          <w:p>
            <w:pPr>
              <w:pStyle w:val="23"/>
              <w:jc w:val="left"/>
              <w:rPr>
                <w:rFonts w:ascii="Times New Roman"/>
                <w:szCs w:val="18"/>
              </w:rPr>
            </w:pPr>
            <w:r>
              <w:rPr>
                <w:rFonts w:ascii="Times New Roman"/>
                <w:szCs w:val="18"/>
              </w:rPr>
              <w:t>±25</w:t>
            </w:r>
          </w:p>
        </w:tc>
        <w:tc>
          <w:tcPr>
            <w:tcW w:w="1888" w:type="dxa"/>
            <w:vAlign w:val="center"/>
          </w:tcPr>
          <w:p>
            <w:pPr>
              <w:pStyle w:val="23"/>
              <w:jc w:val="left"/>
              <w:rPr>
                <w:rFonts w:ascii="Times New Roman"/>
                <w:szCs w:val="18"/>
              </w:rPr>
            </w:pPr>
            <w:r>
              <w:rPr>
                <w:rFonts w:ascii="Times New Roman"/>
                <w:szCs w:val="18"/>
              </w:rPr>
              <w:t>±30</w:t>
            </w:r>
          </w:p>
        </w:tc>
        <w:tc>
          <w:tcPr>
            <w:tcW w:w="1888" w:type="dxa"/>
            <w:vAlign w:val="center"/>
          </w:tcPr>
          <w:p>
            <w:pPr>
              <w:pStyle w:val="23"/>
              <w:jc w:val="left"/>
              <w:rPr>
                <w:rFonts w:ascii="Times New Roman"/>
                <w:szCs w:val="18"/>
              </w:rPr>
            </w:pPr>
            <w:r>
              <w:rPr>
                <w:rFonts w:ascii="Times New Roman"/>
                <w:szCs w:val="18"/>
              </w:rPr>
              <w:t>±50</w:t>
            </w:r>
          </w:p>
        </w:tc>
      </w:tr>
    </w:tbl>
    <w:p>
      <w:pPr>
        <w:pStyle w:val="23"/>
        <w:ind w:firstLine="0" w:firstLineChars="0"/>
        <w:rPr>
          <w:rFonts w:ascii="Times New Roman" w:eastAsiaTheme="minorEastAsia"/>
        </w:rPr>
      </w:pPr>
    </w:p>
    <w:p>
      <w:pPr>
        <w:pStyle w:val="23"/>
        <w:spacing w:line="360" w:lineRule="auto"/>
        <w:ind w:firstLine="0" w:firstLineChars="0"/>
        <w:rPr>
          <w:rFonts w:ascii="Times New Roman" w:eastAsiaTheme="minorEastAsia"/>
        </w:rPr>
      </w:pPr>
      <w:r>
        <w:rPr>
          <w:rFonts w:ascii="Times New Roman" w:eastAsiaTheme="minorEastAsia"/>
        </w:rPr>
        <w:t>8.4.</w:t>
      </w:r>
      <w:r>
        <w:rPr>
          <w:rFonts w:hint="eastAsia" w:ascii="Times New Roman" w:eastAsiaTheme="minorEastAsia"/>
        </w:rPr>
        <w:t xml:space="preserve">5 </w:t>
      </w:r>
      <w:r>
        <w:rPr>
          <w:rFonts w:ascii="Times New Roman" w:eastAsiaTheme="minorEastAsia"/>
        </w:rPr>
        <w:t>定量</w:t>
      </w:r>
    </w:p>
    <w:p>
      <w:pPr>
        <w:pStyle w:val="43"/>
        <w:numPr>
          <w:ilvl w:val="0"/>
          <w:numId w:val="0"/>
        </w:numPr>
        <w:spacing w:before="156" w:after="156" w:line="360" w:lineRule="auto"/>
        <w:ind w:firstLine="420" w:firstLineChars="200"/>
        <w:rPr>
          <w:rFonts w:ascii="宋体" w:hAnsi="宋体" w:eastAsia="宋体"/>
        </w:rPr>
      </w:pPr>
      <w:r>
        <w:rPr>
          <w:rFonts w:hint="eastAsia" w:ascii="宋体" w:hAnsi="宋体" w:eastAsia="宋体"/>
        </w:rPr>
        <w:t>以蜂王浆主蛋白1的浓度为横坐标，色谱峰面积（响应值）为纵坐标，绘制标准曲线，标准曲线的相关系数应不低于</w:t>
      </w:r>
      <w:r>
        <w:rPr>
          <w:rFonts w:ascii="宋体" w:hAnsi="宋体" w:eastAsia="宋体"/>
        </w:rPr>
        <w:t>0.99</w:t>
      </w:r>
      <w:r>
        <w:rPr>
          <w:rFonts w:hint="eastAsia" w:ascii="宋体" w:hAnsi="宋体" w:eastAsia="宋体"/>
        </w:rPr>
        <w:t>。试样溶液蜂王浆主蛋白1的</w:t>
      </w:r>
      <w:r>
        <w:rPr>
          <w:rFonts w:hint="eastAsia" w:ascii="宋体" w:hAnsi="宋体" w:eastAsia="宋体"/>
          <w:color w:val="000000"/>
        </w:rPr>
        <w:t>响应值均应在标准曲线的线性范围内，</w:t>
      </w:r>
      <w:r>
        <w:rPr>
          <w:rFonts w:hint="eastAsia" w:ascii="宋体" w:hAnsi="宋体" w:eastAsia="宋体"/>
        </w:rPr>
        <w:t>如超出线性范围，将试样溶液和基质匹配标准溶液作相应稀释后重新测定。单点校准时，试样溶液与标准溶液的响应值的相对偏差应</w:t>
      </w:r>
      <w:r>
        <w:rPr>
          <w:rFonts w:hint="eastAsia" w:ascii="宋体" w:hAnsi="宋体" w:eastAsia="宋体"/>
          <w:color w:val="000000"/>
        </w:rPr>
        <w:t>不超过</w:t>
      </w:r>
      <w:r>
        <w:rPr>
          <w:rFonts w:ascii="宋体" w:hAnsi="宋体" w:eastAsia="宋体"/>
          <w:color w:val="000000"/>
        </w:rPr>
        <w:t>30%</w:t>
      </w:r>
      <w:r>
        <w:rPr>
          <w:rFonts w:hint="eastAsia" w:ascii="宋体" w:hAnsi="宋体" w:eastAsia="宋体"/>
        </w:rPr>
        <w:t>。</w:t>
      </w:r>
    </w:p>
    <w:p>
      <w:pPr>
        <w:pStyle w:val="46"/>
        <w:numPr>
          <w:ilvl w:val="0"/>
          <w:numId w:val="0"/>
        </w:numPr>
        <w:spacing w:before="312" w:after="312"/>
        <w:rPr>
          <w:rFonts w:hAnsi="黑体"/>
          <w:szCs w:val="16"/>
        </w:rPr>
      </w:pPr>
      <w:r>
        <w:rPr>
          <w:rFonts w:hAnsi="黑体"/>
          <w:szCs w:val="16"/>
        </w:rPr>
        <w:t>9</w:t>
      </w:r>
      <w:r>
        <w:rPr>
          <w:rFonts w:hint="eastAsia" w:hAnsi="黑体"/>
          <w:szCs w:val="16"/>
        </w:rPr>
        <w:t xml:space="preserve"> 试验数据处理</w:t>
      </w:r>
    </w:p>
    <w:p>
      <w:pPr>
        <w:pStyle w:val="23"/>
        <w:spacing w:line="360" w:lineRule="auto"/>
        <w:rPr>
          <w:rFonts w:ascii="Times New Roman"/>
        </w:rPr>
      </w:pPr>
      <w:bookmarkStart w:id="36" w:name="_Hlk120131481"/>
      <w:bookmarkStart w:id="37" w:name="_Hlk29281790"/>
      <w:bookmarkStart w:id="38" w:name="_Hlk29281736"/>
      <w:r>
        <w:rPr>
          <w:rFonts w:ascii="Times New Roman"/>
        </w:rPr>
        <w:t>试样中</w:t>
      </w:r>
      <w:r>
        <w:rPr>
          <w:rFonts w:hint="eastAsia" w:ascii="Times New Roman"/>
        </w:rPr>
        <w:t>蜂王浆主蛋白1（</w:t>
      </w:r>
      <w:r>
        <w:rPr>
          <w:rFonts w:hint="eastAsia" w:ascii="Times New Roman"/>
          <w:i/>
          <w:iCs/>
        </w:rPr>
        <w:t>am</w:t>
      </w:r>
      <w:r>
        <w:rPr>
          <w:rFonts w:hint="eastAsia" w:ascii="Times New Roman"/>
        </w:rPr>
        <w:t>-</w:t>
      </w:r>
      <w:r>
        <w:rPr>
          <w:rFonts w:ascii="Times New Roman"/>
        </w:rPr>
        <w:t>MRJP1</w:t>
      </w:r>
      <w:r>
        <w:rPr>
          <w:rFonts w:hint="eastAsia" w:ascii="Times New Roman"/>
        </w:rPr>
        <w:t>或</w:t>
      </w:r>
      <w:r>
        <w:rPr>
          <w:rFonts w:hint="eastAsia" w:ascii="Times New Roman"/>
          <w:i/>
          <w:iCs/>
        </w:rPr>
        <w:t>ac</w:t>
      </w:r>
      <w:r>
        <w:rPr>
          <w:rFonts w:hint="eastAsia" w:ascii="Times New Roman"/>
        </w:rPr>
        <w:t>-</w:t>
      </w:r>
      <w:r>
        <w:rPr>
          <w:rFonts w:ascii="Times New Roman"/>
        </w:rPr>
        <w:t>MRJP1</w:t>
      </w:r>
      <w:r>
        <w:rPr>
          <w:rFonts w:hint="eastAsia" w:ascii="Times New Roman"/>
        </w:rPr>
        <w:t>）</w:t>
      </w:r>
      <w:r>
        <w:rPr>
          <w:rFonts w:ascii="Times New Roman"/>
        </w:rPr>
        <w:t>的</w:t>
      </w:r>
      <w:r>
        <w:rPr>
          <w:rFonts w:hint="eastAsia" w:ascii="Times New Roman"/>
        </w:rPr>
        <w:t>含量以质量分数</w:t>
      </w:r>
      <w:r>
        <w:rPr>
          <w:rFonts w:hint="eastAsia" w:ascii="Times New Roman"/>
          <w:i/>
          <w:iCs/>
        </w:rPr>
        <w:t>w</w:t>
      </w:r>
      <w:r>
        <w:rPr>
          <w:rFonts w:hint="eastAsia" w:ascii="Times New Roman"/>
          <w:i/>
          <w:iCs/>
          <w:vertAlign w:val="subscript"/>
        </w:rPr>
        <w:t>i</w:t>
      </w:r>
      <w:r>
        <w:rPr>
          <w:rFonts w:hint="eastAsia" w:ascii="Times New Roman"/>
          <w:iCs/>
        </w:rPr>
        <w:t>计，</w:t>
      </w:r>
      <w:r>
        <w:rPr>
          <w:rFonts w:hint="eastAsia" w:ascii="Times New Roman"/>
        </w:rPr>
        <w:t>数值以微</w:t>
      </w:r>
      <w:r>
        <w:rPr>
          <w:rFonts w:ascii="Times New Roman"/>
        </w:rPr>
        <w:t>克</w:t>
      </w:r>
      <w:r>
        <w:rPr>
          <w:rFonts w:hint="eastAsia" w:ascii="Times New Roman"/>
        </w:rPr>
        <w:t>每千克(µ</w:t>
      </w:r>
      <w:r>
        <w:rPr>
          <w:rFonts w:ascii="Times New Roman"/>
        </w:rPr>
        <w:t>g/kg</w:t>
      </w:r>
      <w:r>
        <w:rPr>
          <w:rFonts w:hint="eastAsia" w:ascii="Times New Roman"/>
        </w:rPr>
        <w:t>)表示。多点校准按公式(1)，单点校准按公式(2)计算；</w:t>
      </w:r>
      <w:r>
        <w:rPr>
          <w:rFonts w:ascii="Times New Roman"/>
        </w:rPr>
        <w:t xml:space="preserve"> </w:t>
      </w:r>
    </w:p>
    <w:p>
      <w:pPr>
        <w:pStyle w:val="23"/>
        <w:spacing w:line="360" w:lineRule="auto"/>
        <w:ind w:firstLine="0" w:firstLineChars="0"/>
        <w:jc w:val="center"/>
        <w:rPr>
          <w:rFonts w:ascii="Times New Roman" w:eastAsiaTheme="minorEastAsia"/>
          <w:color w:val="000000" w:themeColor="text1"/>
        </w:rPr>
      </w:pPr>
      <w:bookmarkStart w:id="39" w:name="_Hlk29281766"/>
      <w:r>
        <w:rPr>
          <w:rFonts w:hint="eastAsia" w:ascii="Times New Roman"/>
          <w:i/>
          <w:iCs/>
          <w:sz w:val="28"/>
        </w:rPr>
        <w:t>w</w:t>
      </w:r>
      <w:r>
        <w:rPr>
          <w:rFonts w:hint="eastAsia" w:ascii="Times New Roman"/>
          <w:i/>
          <w:iCs/>
          <w:sz w:val="28"/>
          <w:vertAlign w:val="subscript"/>
        </w:rPr>
        <w:t>i</w:t>
      </w:r>
      <w:r>
        <w:rPr>
          <w:rFonts w:ascii="Times New Roman"/>
          <w:sz w:val="32"/>
          <w:szCs w:val="32"/>
        </w:rPr>
        <w:t>=</w:t>
      </w:r>
      <m:oMath>
        <m:sSub>
          <m:sSubPr>
            <m:ctrlPr>
              <w:rPr>
                <w:rFonts w:ascii="Cambria Math" w:hAnsi="Cambria Math"/>
                <w:i/>
                <w:sz w:val="28"/>
                <w:szCs w:val="32"/>
              </w:rPr>
            </m:ctrlPr>
          </m:sSubPr>
          <m:e>
            <m:r>
              <m:rPr/>
              <w:rPr>
                <w:rFonts w:ascii="Cambria Math" w:hAnsi="Cambria Math"/>
                <w:sz w:val="28"/>
                <w:szCs w:val="32"/>
              </w:rPr>
              <m:t>p</m:t>
            </m:r>
            <m:ctrlPr>
              <w:rPr>
                <w:rFonts w:ascii="Cambria Math" w:hAnsi="Cambria Math"/>
                <w:i/>
                <w:sz w:val="28"/>
                <w:szCs w:val="32"/>
              </w:rPr>
            </m:ctrlPr>
          </m:e>
          <m:sub>
            <m:r>
              <m:rPr/>
              <w:rPr>
                <w:rFonts w:hint="eastAsia" w:ascii="Cambria Math" w:hAnsi="Cambria Math"/>
                <w:sz w:val="32"/>
                <w:szCs w:val="32"/>
                <w:vertAlign w:val="subscript"/>
              </w:rPr>
              <m:t>i</m:t>
            </m:r>
            <m:ctrlPr>
              <w:rPr>
                <w:rFonts w:ascii="Cambria Math" w:hAnsi="Cambria Math"/>
                <w:i/>
                <w:sz w:val="28"/>
                <w:szCs w:val="32"/>
              </w:rPr>
            </m:ctrlPr>
          </m:sub>
        </m:sSub>
      </m:oMath>
      <w:r>
        <w:rPr>
          <w:rFonts w:ascii="Times New Roman" w:eastAsiaTheme="minorEastAsia"/>
          <w:color w:val="000000" w:themeColor="text1"/>
          <w:sz w:val="28"/>
          <w:szCs w:val="28"/>
        </w:rPr>
        <w:t>…………………………………………</w:t>
      </w:r>
      <w:r>
        <w:rPr>
          <w:rFonts w:hint="eastAsia" w:ascii="Times New Roman"/>
        </w:rPr>
        <w:t>(</w:t>
      </w:r>
      <w:r>
        <w:rPr>
          <w:rFonts w:ascii="Times New Roman"/>
        </w:rPr>
        <w:t>1</w:t>
      </w:r>
      <w:bookmarkEnd w:id="39"/>
      <w:r>
        <w:rPr>
          <w:rFonts w:hint="eastAsia" w:ascii="Times New Roman"/>
        </w:rPr>
        <w:t>)</w:t>
      </w:r>
    </w:p>
    <w:p>
      <w:pPr>
        <w:pStyle w:val="23"/>
        <w:spacing w:line="360" w:lineRule="auto"/>
        <w:rPr>
          <w:rFonts w:ascii="Times New Roman"/>
        </w:rPr>
      </w:pPr>
      <w:r>
        <w:rPr>
          <w:rFonts w:hint="eastAsia" w:ascii="Times New Roman"/>
        </w:rPr>
        <w:t>式中：</w:t>
      </w:r>
    </w:p>
    <w:p>
      <w:pPr>
        <w:pStyle w:val="23"/>
        <w:spacing w:line="360" w:lineRule="auto"/>
        <w:rPr>
          <w:rFonts w:ascii="Times New Roman"/>
        </w:rPr>
      </w:pPr>
      <w:r>
        <w:rPr>
          <w:rFonts w:hint="eastAsia" w:ascii="Times New Roman"/>
          <w:i/>
          <w:iCs/>
        </w:rPr>
        <w:t>p</w:t>
      </w:r>
      <w:r>
        <w:rPr>
          <w:rFonts w:hint="eastAsia" w:ascii="Times New Roman"/>
          <w:i/>
          <w:iCs/>
          <w:vertAlign w:val="subscript"/>
        </w:rPr>
        <w:t xml:space="preserve">i </w:t>
      </w:r>
      <w:r>
        <w:rPr>
          <w:rFonts w:ascii="Times New Roman"/>
        </w:rPr>
        <w:t>—</w:t>
      </w:r>
      <w:r>
        <w:rPr>
          <w:rFonts w:hint="eastAsia" w:ascii="Times New Roman"/>
        </w:rPr>
        <w:t>从标准曲线查得的试样溶液蜂王浆主蛋白1的质量浓度，单位为微克每千克(µ</w:t>
      </w:r>
      <w:r>
        <w:rPr>
          <w:rFonts w:ascii="Times New Roman"/>
        </w:rPr>
        <w:t>g/kg</w:t>
      </w:r>
      <w:r>
        <w:rPr>
          <w:rFonts w:hint="eastAsia" w:ascii="Times New Roman"/>
        </w:rPr>
        <w:t>)；</w:t>
      </w:r>
    </w:p>
    <w:p>
      <w:pPr>
        <w:pStyle w:val="23"/>
        <w:spacing w:line="360" w:lineRule="auto"/>
        <w:ind w:firstLine="0" w:firstLineChars="0"/>
        <w:jc w:val="center"/>
        <w:rPr>
          <w:rFonts w:ascii="Times New Roman" w:eastAsiaTheme="minorEastAsia"/>
        </w:rPr>
      </w:pPr>
      <w:r>
        <w:rPr>
          <w:rFonts w:hint="eastAsia" w:ascii="Times New Roman"/>
          <w:i/>
          <w:iCs/>
          <w:sz w:val="28"/>
        </w:rPr>
        <w:t>w</w:t>
      </w:r>
      <w:r>
        <w:rPr>
          <w:rFonts w:hint="eastAsia" w:ascii="Times New Roman"/>
          <w:i/>
          <w:iCs/>
          <w:sz w:val="28"/>
          <w:vertAlign w:val="subscript"/>
        </w:rPr>
        <w:t>i</w:t>
      </w:r>
      <w:r>
        <w:rPr>
          <w:rFonts w:ascii="Times New Roman"/>
          <w:sz w:val="32"/>
          <w:szCs w:val="32"/>
        </w:rPr>
        <w:t>=</w:t>
      </w:r>
      <m:oMath>
        <m:f>
          <m:fPr>
            <m:ctrlPr>
              <w:rPr>
                <w:rFonts w:ascii="Cambria Math" w:hAnsi="Cambria Math"/>
                <w:sz w:val="28"/>
                <w:szCs w:val="32"/>
              </w:rPr>
            </m:ctrlPr>
          </m:fPr>
          <m:num>
            <m:sSub>
              <m:sSubPr>
                <m:ctrlPr>
                  <w:rPr>
                    <w:rFonts w:ascii="Cambria Math" w:hAnsi="Cambria Math"/>
                    <w:i/>
                    <w:sz w:val="28"/>
                    <w:szCs w:val="32"/>
                  </w:rPr>
                </m:ctrlPr>
              </m:sSubPr>
              <m:e>
                <m:r>
                  <m:rPr/>
                  <w:rPr>
                    <w:rFonts w:ascii="Cambria Math" w:hAnsi="Cambria Math"/>
                    <w:sz w:val="28"/>
                    <w:szCs w:val="32"/>
                  </w:rPr>
                  <m:t>A</m:t>
                </m:r>
                <m:ctrlPr>
                  <w:rPr>
                    <w:rFonts w:ascii="Cambria Math" w:hAnsi="Cambria Math"/>
                    <w:i/>
                    <w:sz w:val="28"/>
                    <w:szCs w:val="32"/>
                  </w:rPr>
                </m:ctrlPr>
              </m:e>
              <m:sub>
                <m:r>
                  <m:rPr/>
                  <w:rPr>
                    <w:rFonts w:ascii="Cambria Math" w:hAnsi="Cambria Math"/>
                    <w:sz w:val="28"/>
                    <w:szCs w:val="32"/>
                  </w:rPr>
                  <m:t>i</m:t>
                </m:r>
                <m:ctrlPr>
                  <w:rPr>
                    <w:rFonts w:ascii="Cambria Math" w:hAnsi="Cambria Math"/>
                    <w:i/>
                    <w:sz w:val="28"/>
                    <w:szCs w:val="32"/>
                  </w:rPr>
                </m:ctrlPr>
              </m:sub>
            </m:sSub>
            <m:r>
              <m:rPr>
                <m:sty m:val="p"/>
              </m:rPr>
              <w:rPr>
                <w:rFonts w:ascii="Cambria Math" w:hAnsi="Cambria Math"/>
                <w:sz w:val="28"/>
                <w:szCs w:val="32"/>
              </w:rPr>
              <m:t>×</m:t>
            </m:r>
            <m:sSub>
              <m:sSubPr>
                <m:ctrlPr>
                  <w:rPr>
                    <w:rFonts w:ascii="Cambria Math" w:hAnsi="Cambria Math"/>
                    <w:i/>
                    <w:sz w:val="28"/>
                    <w:szCs w:val="32"/>
                  </w:rPr>
                </m:ctrlPr>
              </m:sSubPr>
              <m:e>
                <m:r>
                  <m:rPr/>
                  <w:rPr>
                    <w:rFonts w:ascii="Cambria Math" w:hAnsi="Cambria Math"/>
                    <w:sz w:val="28"/>
                    <w:szCs w:val="32"/>
                  </w:rPr>
                  <m:t>p</m:t>
                </m:r>
                <m:ctrlPr>
                  <w:rPr>
                    <w:rFonts w:ascii="Cambria Math" w:hAnsi="Cambria Math"/>
                    <w:i/>
                    <w:sz w:val="28"/>
                    <w:szCs w:val="32"/>
                  </w:rPr>
                </m:ctrlPr>
              </m:e>
              <m:sub>
                <m:r>
                  <m:rPr/>
                  <w:rPr>
                    <w:rFonts w:ascii="Cambria Math" w:hAnsi="Cambria Math"/>
                    <w:sz w:val="28"/>
                    <w:szCs w:val="32"/>
                  </w:rPr>
                  <m:t>is</m:t>
                </m:r>
                <m:ctrlPr>
                  <w:rPr>
                    <w:rFonts w:ascii="Cambria Math" w:hAnsi="Cambria Math"/>
                    <w:i/>
                    <w:sz w:val="28"/>
                    <w:szCs w:val="32"/>
                  </w:rPr>
                </m:ctrlPr>
              </m:sub>
            </m:sSub>
            <m:ctrlPr>
              <w:rPr>
                <w:rFonts w:ascii="Cambria Math" w:hAnsi="Cambria Math"/>
                <w:sz w:val="28"/>
                <w:szCs w:val="32"/>
              </w:rPr>
            </m:ctrlPr>
          </m:num>
          <m:den>
            <m:sSub>
              <m:sSubPr>
                <m:ctrlPr>
                  <w:rPr>
                    <w:rFonts w:ascii="Cambria Math" w:hAnsi="Cambria Math"/>
                    <w:i/>
                    <w:sz w:val="28"/>
                    <w:szCs w:val="32"/>
                  </w:rPr>
                </m:ctrlPr>
              </m:sSubPr>
              <m:e>
                <m:r>
                  <m:rPr/>
                  <w:rPr>
                    <w:rFonts w:ascii="Cambria Math" w:hAnsi="Cambria Math"/>
                    <w:sz w:val="28"/>
                    <w:szCs w:val="32"/>
                  </w:rPr>
                  <m:t>A</m:t>
                </m:r>
                <m:ctrlPr>
                  <w:rPr>
                    <w:rFonts w:ascii="Cambria Math" w:hAnsi="Cambria Math"/>
                    <w:i/>
                    <w:sz w:val="28"/>
                    <w:szCs w:val="32"/>
                  </w:rPr>
                </m:ctrlPr>
              </m:e>
              <m:sub>
                <m:r>
                  <m:rPr/>
                  <w:rPr>
                    <w:rFonts w:ascii="Cambria Math" w:hAnsi="Cambria Math"/>
                    <w:sz w:val="28"/>
                    <w:szCs w:val="32"/>
                  </w:rPr>
                  <m:t>is</m:t>
                </m:r>
                <m:ctrlPr>
                  <w:rPr>
                    <w:rFonts w:ascii="Cambria Math" w:hAnsi="Cambria Math"/>
                    <w:i/>
                    <w:sz w:val="28"/>
                    <w:szCs w:val="32"/>
                  </w:rPr>
                </m:ctrlPr>
              </m:sub>
            </m:sSub>
            <m:ctrlPr>
              <w:rPr>
                <w:rFonts w:ascii="Cambria Math" w:hAnsi="Cambria Math"/>
                <w:sz w:val="28"/>
                <w:szCs w:val="32"/>
              </w:rPr>
            </m:ctrlPr>
          </m:den>
        </m:f>
      </m:oMath>
      <w:r>
        <w:rPr>
          <w:rFonts w:ascii="Times New Roman" w:eastAsiaTheme="minorEastAsia"/>
          <w:sz w:val="28"/>
          <w:szCs w:val="28"/>
        </w:rPr>
        <w:t>…………………………………………</w:t>
      </w:r>
      <w:r>
        <w:rPr>
          <w:rFonts w:hint="eastAsia" w:ascii="Times New Roman"/>
        </w:rPr>
        <w:t>(2)</w:t>
      </w:r>
    </w:p>
    <w:p>
      <w:pPr>
        <w:pStyle w:val="23"/>
        <w:spacing w:line="360" w:lineRule="auto"/>
        <w:rPr>
          <w:rFonts w:ascii="Times New Roman"/>
        </w:rPr>
      </w:pPr>
      <w:r>
        <w:rPr>
          <w:rFonts w:hint="eastAsia" w:ascii="Times New Roman"/>
        </w:rPr>
        <w:t>式中：</w:t>
      </w:r>
    </w:p>
    <w:p>
      <w:pPr>
        <w:pStyle w:val="23"/>
        <w:spacing w:line="360" w:lineRule="auto"/>
        <w:rPr>
          <w:rFonts w:ascii="Times New Roman"/>
        </w:rPr>
      </w:pPr>
      <w:r>
        <w:rPr>
          <w:rFonts w:hint="eastAsia" w:ascii="Times New Roman"/>
          <w:i/>
          <w:iCs/>
        </w:rPr>
        <w:t>A</w:t>
      </w:r>
      <w:r>
        <w:rPr>
          <w:rFonts w:hint="eastAsia" w:ascii="Times New Roman"/>
          <w:i/>
          <w:iCs/>
          <w:vertAlign w:val="subscript"/>
        </w:rPr>
        <w:t xml:space="preserve">i </w:t>
      </w:r>
      <w:r>
        <w:rPr>
          <w:rFonts w:ascii="Times New Roman"/>
        </w:rPr>
        <w:t>—</w:t>
      </w:r>
      <w:r>
        <w:rPr>
          <w:rFonts w:hint="eastAsia" w:ascii="Times New Roman"/>
        </w:rPr>
        <w:t>试样溶液中蜂王浆主蛋白1定量离子的色谱峰面积；</w:t>
      </w:r>
    </w:p>
    <w:p>
      <w:pPr>
        <w:pStyle w:val="23"/>
        <w:spacing w:line="360" w:lineRule="auto"/>
        <w:rPr>
          <w:rFonts w:ascii="Times New Roman"/>
        </w:rPr>
      </w:pPr>
      <w:r>
        <w:rPr>
          <w:rFonts w:hint="eastAsia" w:ascii="Times New Roman"/>
          <w:i/>
          <w:iCs/>
        </w:rPr>
        <w:t>p</w:t>
      </w:r>
      <w:r>
        <w:rPr>
          <w:rFonts w:hint="eastAsia" w:ascii="Times New Roman"/>
          <w:i/>
          <w:iCs/>
          <w:vertAlign w:val="subscript"/>
        </w:rPr>
        <w:t xml:space="preserve">is </w:t>
      </w:r>
      <w:r>
        <w:rPr>
          <w:rFonts w:ascii="Times New Roman"/>
        </w:rPr>
        <w:t>—</w:t>
      </w:r>
      <w:r>
        <w:rPr>
          <w:rFonts w:hint="eastAsia" w:ascii="Times New Roman"/>
        </w:rPr>
        <w:t>标准溶液中蜂王浆主蛋白1定量离子浓度，单位为微克每千克(µ</w:t>
      </w:r>
      <w:r>
        <w:rPr>
          <w:rFonts w:ascii="Times New Roman"/>
        </w:rPr>
        <w:t>g/kg</w:t>
      </w:r>
      <w:r>
        <w:rPr>
          <w:rFonts w:hint="eastAsia" w:ascii="Times New Roman"/>
        </w:rPr>
        <w:t>)；</w:t>
      </w:r>
    </w:p>
    <w:p>
      <w:pPr>
        <w:pStyle w:val="23"/>
        <w:spacing w:line="360" w:lineRule="auto"/>
        <w:rPr>
          <w:rFonts w:ascii="Times New Roman"/>
        </w:rPr>
      </w:pPr>
      <w:r>
        <w:rPr>
          <w:rFonts w:hint="eastAsia" w:ascii="Times New Roman"/>
          <w:i/>
          <w:iCs/>
        </w:rPr>
        <w:t>A</w:t>
      </w:r>
      <w:r>
        <w:rPr>
          <w:rFonts w:hint="eastAsia" w:ascii="Times New Roman"/>
          <w:i/>
          <w:iCs/>
          <w:vertAlign w:val="subscript"/>
        </w:rPr>
        <w:t xml:space="preserve">is </w:t>
      </w:r>
      <w:r>
        <w:rPr>
          <w:rFonts w:ascii="Times New Roman"/>
        </w:rPr>
        <w:t>—</w:t>
      </w:r>
      <w:r>
        <w:rPr>
          <w:rFonts w:hint="eastAsia" w:ascii="Times New Roman"/>
        </w:rPr>
        <w:t>标准溶液中蜂王浆主蛋白1的定量离子色谱峰面积；</w:t>
      </w:r>
    </w:p>
    <w:p>
      <w:pPr>
        <w:pStyle w:val="23"/>
        <w:spacing w:line="360" w:lineRule="auto"/>
        <w:rPr>
          <w:rFonts w:ascii="Times New Roman"/>
        </w:rPr>
      </w:pPr>
      <w:r>
        <w:rPr>
          <w:rFonts w:hint="eastAsia" w:ascii="Times New Roman"/>
        </w:rPr>
        <w:t>测定结果以平行测定的算术平均值表示，保留3位有效数字。</w:t>
      </w:r>
    </w:p>
    <w:bookmarkEnd w:id="36"/>
    <w:bookmarkEnd w:id="37"/>
    <w:bookmarkEnd w:id="38"/>
    <w:p>
      <w:pPr>
        <w:pStyle w:val="23"/>
        <w:spacing w:line="360" w:lineRule="auto"/>
        <w:ind w:firstLine="0" w:firstLineChars="0"/>
        <w:rPr>
          <w:rFonts w:ascii="Times New Roman"/>
          <w:sz w:val="20"/>
        </w:rPr>
      </w:pPr>
      <w:r>
        <w:rPr>
          <w:rFonts w:hint="eastAsia" w:ascii="Times New Roman"/>
          <w:sz w:val="20"/>
        </w:rPr>
        <w:t>10 精密度</w:t>
      </w:r>
    </w:p>
    <w:p>
      <w:pPr>
        <w:pStyle w:val="23"/>
        <w:spacing w:line="360" w:lineRule="auto"/>
        <w:ind w:firstLine="400"/>
        <w:rPr>
          <w:rFonts w:ascii="Times New Roman"/>
          <w:sz w:val="20"/>
        </w:rPr>
      </w:pPr>
      <w:r>
        <w:rPr>
          <w:rFonts w:hint="eastAsia" w:ascii="Times New Roman"/>
          <w:sz w:val="20"/>
        </w:rPr>
        <w:t>在重复性条件下，两次独立测定结果的与算术平均值的绝对差值不大于该算术平均值的20%。</w:t>
      </w:r>
    </w:p>
    <w:p>
      <w:pPr>
        <w:pStyle w:val="23"/>
        <w:spacing w:line="360" w:lineRule="auto"/>
        <w:ind w:firstLine="400"/>
        <w:rPr>
          <w:rFonts w:ascii="Times New Roman"/>
          <w:sz w:val="20"/>
        </w:rPr>
      </w:pPr>
    </w:p>
    <w:p>
      <w:pPr>
        <w:widowControl/>
        <w:jc w:val="left"/>
        <w:rPr>
          <w:b/>
          <w:color w:val="FF0000"/>
          <w:kern w:val="0"/>
          <w:szCs w:val="20"/>
        </w:rPr>
      </w:pPr>
      <w:r>
        <w:rPr>
          <w:b/>
          <w:color w:val="FF0000"/>
        </w:rPr>
        <w:br w:type="page"/>
      </w:r>
    </w:p>
    <w:p>
      <w:pPr>
        <w:pStyle w:val="23"/>
        <w:ind w:firstLine="0" w:firstLineChars="0"/>
        <w:jc w:val="center"/>
        <w:rPr>
          <w:rFonts w:ascii="Times New Roman"/>
          <w:b/>
        </w:rPr>
      </w:pPr>
      <w:r>
        <w:rPr>
          <w:rFonts w:hint="eastAsia" w:ascii="Times New Roman"/>
          <w:b/>
        </w:rPr>
        <w:t xml:space="preserve">附 录 </w:t>
      </w:r>
      <w:r>
        <w:rPr>
          <w:rFonts w:ascii="Times New Roman"/>
          <w:b/>
        </w:rPr>
        <w:t>A</w:t>
      </w:r>
    </w:p>
    <w:p>
      <w:pPr>
        <w:pStyle w:val="23"/>
        <w:ind w:firstLine="0" w:firstLineChars="0"/>
        <w:jc w:val="center"/>
        <w:rPr>
          <w:rFonts w:ascii="Times New Roman"/>
          <w:b/>
        </w:rPr>
      </w:pPr>
      <w:r>
        <w:rPr>
          <w:rFonts w:hint="eastAsia" w:ascii="Times New Roman"/>
          <w:b/>
        </w:rPr>
        <w:t>（资料性）</w:t>
      </w:r>
    </w:p>
    <w:p>
      <w:pPr>
        <w:pStyle w:val="23"/>
        <w:ind w:firstLine="0" w:firstLineChars="0"/>
        <w:jc w:val="center"/>
        <w:rPr>
          <w:rFonts w:ascii="Times New Roman"/>
          <w:bCs/>
        </w:rPr>
      </w:pPr>
      <w:r>
        <w:rPr>
          <w:rFonts w:hint="eastAsia" w:ascii="Times New Roman"/>
          <w:bCs/>
        </w:rPr>
        <w:t>蜂王浆主蛋白1的特征性肽段定量离子色谱图</w:t>
      </w:r>
    </w:p>
    <w:p>
      <w:pPr>
        <w:pStyle w:val="23"/>
        <w:ind w:firstLine="442"/>
        <w:rPr>
          <w:rFonts w:ascii="Times New Roman"/>
          <w:bCs/>
        </w:rPr>
      </w:pPr>
      <w:r>
        <w:rPr>
          <w:rFonts w:hint="eastAsia"/>
          <w:b/>
          <w:iCs/>
          <w:sz w:val="22"/>
        </w:rPr>
        <w:t>A.1</w:t>
      </w:r>
      <w:r>
        <w:rPr>
          <w:rFonts w:hint="eastAsia"/>
          <w:i/>
          <w:iCs/>
          <w:sz w:val="22"/>
        </w:rPr>
        <w:t xml:space="preserve"> </w:t>
      </w:r>
      <w:r>
        <w:rPr>
          <w:rFonts w:hint="eastAsia"/>
          <w:iCs/>
          <w:sz w:val="22"/>
        </w:rPr>
        <w:t>基质匹配标准溶液中</w:t>
      </w:r>
      <w:r>
        <w:rPr>
          <w:rFonts w:hint="eastAsia"/>
          <w:i/>
          <w:iCs/>
          <w:sz w:val="22"/>
        </w:rPr>
        <w:t>am</w:t>
      </w:r>
      <w:r>
        <w:rPr>
          <w:rFonts w:hint="eastAsia"/>
          <w:sz w:val="22"/>
        </w:rPr>
        <w:t>-MRJP1</w:t>
      </w:r>
      <w:r>
        <w:rPr>
          <w:rFonts w:hint="eastAsia" w:ascii="Times New Roman"/>
          <w:bCs/>
        </w:rPr>
        <w:t>定量离子色谱图见图A.1。</w:t>
      </w:r>
    </w:p>
    <w:p>
      <w:pPr>
        <w:pStyle w:val="23"/>
        <w:ind w:firstLine="0" w:firstLineChars="0"/>
        <w:jc w:val="center"/>
        <w:rPr>
          <w:rFonts w:ascii="Times New Roman"/>
          <w:b/>
        </w:rPr>
      </w:pPr>
    </w:p>
    <w:p>
      <w:pPr>
        <w:pStyle w:val="23"/>
        <w:ind w:firstLine="0" w:firstLineChars="0"/>
        <w:jc w:val="center"/>
        <w:rPr>
          <w:rFonts w:ascii="Times New Roman"/>
          <w:b/>
        </w:rPr>
      </w:pPr>
      <w:r>
        <w:rPr>
          <w:rFonts w:ascii="Times New Roman"/>
          <w:b/>
        </w:rPr>
        <w:drawing>
          <wp:inline distT="0" distB="0" distL="0" distR="0">
            <wp:extent cx="5039995" cy="1501140"/>
            <wp:effectExtent l="0" t="0" r="0" b="381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0000" cy="1501745"/>
                    </a:xfrm>
                    <a:prstGeom prst="rect">
                      <a:avLst/>
                    </a:prstGeom>
                    <a:noFill/>
                  </pic:spPr>
                </pic:pic>
              </a:graphicData>
            </a:graphic>
          </wp:inline>
        </w:drawing>
      </w:r>
    </w:p>
    <w:p>
      <w:pPr>
        <w:autoSpaceDE w:val="0"/>
        <w:autoSpaceDN w:val="0"/>
        <w:adjustRightInd w:val="0"/>
        <w:spacing w:after="200" w:line="480" w:lineRule="auto"/>
        <w:jc w:val="center"/>
        <w:rPr>
          <w:kern w:val="0"/>
          <w:sz w:val="22"/>
        </w:rPr>
      </w:pPr>
      <w:bookmarkStart w:id="40" w:name="_Hlk29479286"/>
      <w:r>
        <w:rPr>
          <w:b/>
          <w:kern w:val="0"/>
          <w:sz w:val="22"/>
        </w:rPr>
        <w:t>图</w:t>
      </w:r>
      <w:r>
        <w:rPr>
          <w:rFonts w:hint="eastAsia"/>
          <w:b/>
          <w:kern w:val="0"/>
          <w:sz w:val="22"/>
        </w:rPr>
        <w:t>A</w:t>
      </w:r>
      <w:r>
        <w:rPr>
          <w:b/>
          <w:kern w:val="0"/>
          <w:sz w:val="22"/>
        </w:rPr>
        <w:t>.1</w:t>
      </w:r>
      <w:r>
        <w:rPr>
          <w:rFonts w:hint="eastAsia"/>
          <w:kern w:val="0"/>
          <w:sz w:val="22"/>
        </w:rPr>
        <w:t xml:space="preserve"> </w:t>
      </w:r>
      <w:r>
        <w:rPr>
          <w:kern w:val="0"/>
          <w:sz w:val="22"/>
        </w:rPr>
        <w:t xml:space="preserve"> </w:t>
      </w:r>
      <w:r>
        <w:rPr>
          <w:rFonts w:hint="eastAsia"/>
          <w:kern w:val="0"/>
          <w:sz w:val="22"/>
        </w:rPr>
        <w:t>基质匹配溶液中</w:t>
      </w:r>
      <w:r>
        <w:rPr>
          <w:rFonts w:hint="eastAsia"/>
          <w:i/>
          <w:iCs/>
          <w:kern w:val="0"/>
          <w:sz w:val="22"/>
        </w:rPr>
        <w:t>am</w:t>
      </w:r>
      <w:r>
        <w:rPr>
          <w:rFonts w:hint="eastAsia"/>
          <w:kern w:val="0"/>
          <w:sz w:val="22"/>
        </w:rPr>
        <w:t xml:space="preserve">-MRJP1 (100 </w:t>
      </w:r>
      <w:r>
        <w:rPr>
          <w:rFonts w:hint="eastAsia"/>
        </w:rPr>
        <w:t>µ</w:t>
      </w:r>
      <w:r>
        <w:t>g/</w:t>
      </w:r>
      <w:r>
        <w:rPr>
          <w:rFonts w:hint="eastAsia"/>
        </w:rPr>
        <w:t>kg</w:t>
      </w:r>
      <w:r>
        <w:rPr>
          <w:rFonts w:hint="eastAsia"/>
          <w:kern w:val="0"/>
          <w:sz w:val="22"/>
        </w:rPr>
        <w:t>)</w:t>
      </w:r>
      <w:bookmarkStart w:id="41" w:name="_Hlk29461542"/>
      <w:r>
        <w:rPr>
          <w:rFonts w:hint="eastAsia"/>
          <w:kern w:val="0"/>
          <w:sz w:val="22"/>
        </w:rPr>
        <w:t>的定量</w:t>
      </w:r>
      <w:r>
        <w:rPr>
          <w:kern w:val="0"/>
          <w:sz w:val="22"/>
        </w:rPr>
        <w:t>离子色谱图</w:t>
      </w:r>
      <w:bookmarkEnd w:id="41"/>
    </w:p>
    <w:p>
      <w:pPr>
        <w:autoSpaceDE w:val="0"/>
        <w:autoSpaceDN w:val="0"/>
        <w:adjustRightInd w:val="0"/>
        <w:spacing w:after="200" w:line="480" w:lineRule="auto"/>
        <w:rPr>
          <w:kern w:val="0"/>
          <w:sz w:val="22"/>
        </w:rPr>
      </w:pPr>
      <w:r>
        <w:rPr>
          <w:rFonts w:hint="eastAsia"/>
          <w:kern w:val="0"/>
          <w:sz w:val="22"/>
        </w:rPr>
        <w:t xml:space="preserve">    A.2 </w:t>
      </w:r>
      <w:r>
        <w:rPr>
          <w:rFonts w:hint="eastAsia"/>
          <w:iCs/>
          <w:sz w:val="22"/>
        </w:rPr>
        <w:t>基质匹配标准溶液中</w:t>
      </w:r>
      <w:r>
        <w:rPr>
          <w:rFonts w:hint="eastAsia"/>
          <w:i/>
          <w:iCs/>
          <w:kern w:val="0"/>
          <w:sz w:val="22"/>
        </w:rPr>
        <w:t>ac</w:t>
      </w:r>
      <w:r>
        <w:rPr>
          <w:rFonts w:hint="eastAsia"/>
          <w:kern w:val="0"/>
          <w:sz w:val="22"/>
        </w:rPr>
        <w:t>-MRJP1</w:t>
      </w:r>
      <w:r>
        <w:rPr>
          <w:rFonts w:hint="eastAsia"/>
          <w:bCs/>
        </w:rPr>
        <w:t>定量离子色谱图见图A.2。</w:t>
      </w:r>
    </w:p>
    <w:p>
      <w:pPr>
        <w:autoSpaceDE w:val="0"/>
        <w:autoSpaceDN w:val="0"/>
        <w:adjustRightInd w:val="0"/>
        <w:spacing w:after="200"/>
        <w:jc w:val="center"/>
        <w:rPr>
          <w:kern w:val="0"/>
          <w:sz w:val="22"/>
        </w:rPr>
      </w:pPr>
      <w:r>
        <w:rPr>
          <w:kern w:val="0"/>
          <w:sz w:val="22"/>
        </w:rPr>
        <w:drawing>
          <wp:inline distT="0" distB="0" distL="0" distR="0">
            <wp:extent cx="5039995" cy="1501140"/>
            <wp:effectExtent l="0" t="0" r="0" b="381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40000" cy="1501745"/>
                    </a:xfrm>
                    <a:prstGeom prst="rect">
                      <a:avLst/>
                    </a:prstGeom>
                    <a:noFill/>
                  </pic:spPr>
                </pic:pic>
              </a:graphicData>
            </a:graphic>
          </wp:inline>
        </w:drawing>
      </w:r>
    </w:p>
    <w:p>
      <w:pPr>
        <w:autoSpaceDE w:val="0"/>
        <w:autoSpaceDN w:val="0"/>
        <w:adjustRightInd w:val="0"/>
        <w:spacing w:after="200" w:line="480" w:lineRule="auto"/>
        <w:jc w:val="center"/>
        <w:rPr>
          <w:kern w:val="0"/>
          <w:sz w:val="22"/>
        </w:rPr>
      </w:pPr>
      <w:r>
        <w:rPr>
          <w:b/>
          <w:kern w:val="0"/>
          <w:sz w:val="22"/>
        </w:rPr>
        <w:t>图</w:t>
      </w:r>
      <w:r>
        <w:rPr>
          <w:rFonts w:hint="eastAsia"/>
          <w:b/>
          <w:kern w:val="0"/>
          <w:sz w:val="22"/>
        </w:rPr>
        <w:t>A</w:t>
      </w:r>
      <w:r>
        <w:rPr>
          <w:b/>
          <w:kern w:val="0"/>
          <w:sz w:val="22"/>
        </w:rPr>
        <w:t>.2</w:t>
      </w:r>
      <w:r>
        <w:rPr>
          <w:rFonts w:hint="eastAsia"/>
          <w:kern w:val="0"/>
          <w:sz w:val="22"/>
        </w:rPr>
        <w:t xml:space="preserve"> </w:t>
      </w:r>
      <w:r>
        <w:rPr>
          <w:kern w:val="0"/>
          <w:sz w:val="22"/>
        </w:rPr>
        <w:t xml:space="preserve"> </w:t>
      </w:r>
      <w:r>
        <w:rPr>
          <w:rFonts w:hint="eastAsia"/>
          <w:kern w:val="0"/>
          <w:sz w:val="22"/>
        </w:rPr>
        <w:t>基质匹配溶液中</w:t>
      </w:r>
      <w:r>
        <w:rPr>
          <w:rFonts w:hint="eastAsia"/>
          <w:i/>
          <w:iCs/>
          <w:kern w:val="0"/>
          <w:sz w:val="22"/>
        </w:rPr>
        <w:t>ac</w:t>
      </w:r>
      <w:r>
        <w:rPr>
          <w:rFonts w:hint="eastAsia"/>
          <w:kern w:val="0"/>
          <w:sz w:val="22"/>
        </w:rPr>
        <w:t xml:space="preserve">-MRJP1(100 </w:t>
      </w:r>
      <w:r>
        <w:rPr>
          <w:rFonts w:hint="eastAsia"/>
        </w:rPr>
        <w:t>µ</w:t>
      </w:r>
      <w:r>
        <w:t>g/</w:t>
      </w:r>
      <w:r>
        <w:rPr>
          <w:rFonts w:hint="eastAsia"/>
        </w:rPr>
        <w:t>kg</w:t>
      </w:r>
      <w:r>
        <w:rPr>
          <w:rFonts w:hint="eastAsia"/>
          <w:kern w:val="0"/>
          <w:sz w:val="22"/>
        </w:rPr>
        <w:t>)</w:t>
      </w:r>
      <w:bookmarkEnd w:id="40"/>
      <w:r>
        <w:rPr>
          <w:rFonts w:hint="eastAsia"/>
          <w:kern w:val="0"/>
          <w:sz w:val="22"/>
        </w:rPr>
        <w:t>的定量</w:t>
      </w:r>
      <w:r>
        <w:rPr>
          <w:kern w:val="0"/>
          <w:sz w:val="22"/>
        </w:rPr>
        <w:t>离子色谱图</w:t>
      </w:r>
    </w:p>
    <w:p>
      <w:pPr>
        <w:pStyle w:val="130"/>
        <w:framePr w:wrap="around"/>
      </w:pPr>
      <w:r>
        <w:t>_________________________</w:t>
      </w:r>
    </w:p>
    <w:sectPr>
      <w:footerReference r:id="rId6" w:type="default"/>
      <w:footerReference r:id="rId7" w:type="even"/>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firstLineChars="200"/>
      <w:jc w:val="both"/>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28520"/>
    </w:sdtPr>
    <w:sdtContent>
      <w:p>
        <w:pPr>
          <w:pStyle w:val="17"/>
        </w:pPr>
        <w:r>
          <w:fldChar w:fldCharType="begin"/>
        </w:r>
        <w:r>
          <w:instrText xml:space="preserve">PAGE   \* MERGEFORMAT</w:instrText>
        </w:r>
        <w:r>
          <w:fldChar w:fldCharType="separate"/>
        </w:r>
        <w:r>
          <w:rPr>
            <w:lang w:val="zh-CN"/>
          </w:rPr>
          <w:t>1</w:t>
        </w:r>
        <w:r>
          <w:fldChar w:fldCharType="end"/>
        </w:r>
      </w:p>
    </w:sdtContent>
  </w:sdt>
  <w:p>
    <w:pPr>
      <w:pStyle w:val="44"/>
      <w:tabs>
        <w:tab w:val="right" w:pos="91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836350"/>
    </w:sdtPr>
    <w:sdtContent>
      <w:p>
        <w:pPr>
          <w:pStyle w:val="17"/>
          <w:jc w:val="left"/>
        </w:pPr>
        <w:r>
          <w:fldChar w:fldCharType="begin"/>
        </w:r>
        <w:r>
          <w:instrText xml:space="preserve">PAGE   \* MERGEFORMAT</w:instrText>
        </w:r>
        <w:r>
          <w:fldChar w:fldCharType="separate"/>
        </w:r>
        <w:r>
          <w:rPr>
            <w:lang w:val="zh-CN"/>
          </w:rPr>
          <w:t>6</w:t>
        </w:r>
        <w:r>
          <w:fldChar w:fldCharType="end"/>
        </w:r>
      </w:p>
    </w:sdtContent>
  </w:sdt>
  <w:p>
    <w:pPr>
      <w:pStyle w:val="17"/>
      <w:ind w:firstLine="360" w:firstLineChars="20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left"/>
    </w:pPr>
    <w:r>
      <w:rPr>
        <w:rFonts w:hint="eastAsia"/>
      </w:rPr>
      <w:t>NY</w:t>
    </w:r>
    <w:r>
      <w:t xml:space="preserve">/T </w:t>
    </w:r>
    <w:r>
      <w:rPr>
        <w:rFonts w:hint="eastAsia"/>
      </w:rPr>
      <w:t>XXXX</w:t>
    </w:r>
    <w:r>
      <w:t>—</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left"/>
    </w:pPr>
    <w:r>
      <w:rPr>
        <w:rFonts w:hint="eastAsia"/>
      </w:rPr>
      <w:t>NY</w:t>
    </w:r>
    <w:r>
      <w:t xml:space="preserve">/T </w:t>
    </w:r>
    <w:r>
      <w:rPr>
        <w:rFonts w:hint="eastAsia"/>
      </w:rPr>
      <w:t>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51"/>
      <w:suff w:val="nothing"/>
      <w:lvlText w:val="%1%2.%3　"/>
      <w:lvlJc w:val="left"/>
      <w:rPr>
        <w:rFonts w:hint="eastAsia" w:ascii="黑体" w:hAnsi="Times New Roman" w:eastAsia="黑体" w:cs="Times New Roman"/>
        <w:b w:val="0"/>
        <w:i w:val="0"/>
        <w:sz w:val="21"/>
      </w:rPr>
    </w:lvl>
    <w:lvl w:ilvl="3" w:tentative="0">
      <w:start w:val="1"/>
      <w:numFmt w:val="decimal"/>
      <w:pStyle w:val="147"/>
      <w:suff w:val="nothing"/>
      <w:lvlText w:val="%1%2.%3.%4　"/>
      <w:lvlJc w:val="left"/>
      <w:rPr>
        <w:rFonts w:hint="eastAsia" w:ascii="黑体" w:hAnsi="Times New Roman" w:eastAsia="黑体" w:cs="Times New Roman"/>
        <w:b w:val="0"/>
        <w:i w:val="0"/>
        <w:sz w:val="21"/>
      </w:rPr>
    </w:lvl>
    <w:lvl w:ilvl="4" w:tentative="0">
      <w:start w:val="1"/>
      <w:numFmt w:val="decimal"/>
      <w:pStyle w:val="148"/>
      <w:suff w:val="nothing"/>
      <w:lvlText w:val="%1%2.%3.%4.%5　"/>
      <w:lvlJc w:val="left"/>
      <w:rPr>
        <w:rFonts w:hint="eastAsia" w:ascii="黑体" w:hAnsi="Times New Roman" w:eastAsia="黑体" w:cs="Times New Roman"/>
        <w:b w:val="0"/>
        <w:i w:val="0"/>
        <w:sz w:val="21"/>
      </w:rPr>
    </w:lvl>
    <w:lvl w:ilvl="5" w:tentative="0">
      <w:start w:val="1"/>
      <w:numFmt w:val="decimal"/>
      <w:pStyle w:val="149"/>
      <w:suff w:val="nothing"/>
      <w:lvlText w:val="%1%2.%3.%4.%5.%6　"/>
      <w:lvlJc w:val="left"/>
      <w:rPr>
        <w:rFonts w:hint="eastAsia" w:ascii="黑体" w:hAnsi="Times New Roman" w:eastAsia="黑体" w:cs="Times New Roman"/>
        <w:b w:val="0"/>
        <w:i w:val="0"/>
        <w:sz w:val="21"/>
      </w:rPr>
    </w:lvl>
    <w:lvl w:ilvl="6" w:tentative="0">
      <w:start w:val="1"/>
      <w:numFmt w:val="decimal"/>
      <w:pStyle w:val="150"/>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70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7DD39EE"/>
    <w:multiLevelType w:val="singleLevel"/>
    <w:tmpl w:val="57DD39EE"/>
    <w:lvl w:ilvl="0" w:tentative="0">
      <w:start w:val="1"/>
      <w:numFmt w:val="lowerLetter"/>
      <w:suff w:val="space"/>
      <w:lvlText w:val="%1)"/>
      <w:lvlJc w:val="left"/>
    </w:lvl>
  </w:abstractNum>
  <w:abstractNum w:abstractNumId="15">
    <w:nsid w:val="57DD3E87"/>
    <w:multiLevelType w:val="singleLevel"/>
    <w:tmpl w:val="57DD3E87"/>
    <w:lvl w:ilvl="0" w:tentative="0">
      <w:start w:val="1"/>
      <w:numFmt w:val="lowerLetter"/>
      <w:suff w:val="space"/>
      <w:lvlText w:val="%1)"/>
      <w:lvlJc w:val="left"/>
    </w:lvl>
  </w:abstractNum>
  <w:abstractNum w:abstractNumId="16">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10"/>
  </w:num>
  <w:num w:numId="4">
    <w:abstractNumId w:val="3"/>
  </w:num>
  <w:num w:numId="5">
    <w:abstractNumId w:val="12"/>
  </w:num>
  <w:num w:numId="6">
    <w:abstractNumId w:val="20"/>
  </w:num>
  <w:num w:numId="7">
    <w:abstractNumId w:val="1"/>
  </w:num>
  <w:num w:numId="8">
    <w:abstractNumId w:val="13"/>
  </w:num>
  <w:num w:numId="9">
    <w:abstractNumId w:val="8"/>
  </w:num>
  <w:num w:numId="10">
    <w:abstractNumId w:val="6"/>
  </w:num>
  <w:num w:numId="11">
    <w:abstractNumId w:val="18"/>
  </w:num>
  <w:num w:numId="12">
    <w:abstractNumId w:val="16"/>
  </w:num>
  <w:num w:numId="13">
    <w:abstractNumId w:val="19"/>
  </w:num>
  <w:num w:numId="14">
    <w:abstractNumId w:val="9"/>
  </w:num>
  <w:num w:numId="15">
    <w:abstractNumId w:val="2"/>
  </w:num>
  <w:num w:numId="16">
    <w:abstractNumId w:val="5"/>
  </w:num>
  <w:num w:numId="17">
    <w:abstractNumId w:val="17"/>
  </w:num>
  <w:num w:numId="18">
    <w:abstractNumId w:val="4"/>
  </w:num>
  <w:num w:numId="19">
    <w:abstractNumId w:val="0"/>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xNGRkNTkyYTMwYTk3NDI2ZDFmYzYxZGM4MDgyOGQifQ=="/>
  </w:docVars>
  <w:rsids>
    <w:rsidRoot w:val="00035925"/>
    <w:rsid w:val="00000244"/>
    <w:rsid w:val="000016E1"/>
    <w:rsid w:val="0000185F"/>
    <w:rsid w:val="000033CD"/>
    <w:rsid w:val="00005083"/>
    <w:rsid w:val="0000586F"/>
    <w:rsid w:val="00005A78"/>
    <w:rsid w:val="000066CC"/>
    <w:rsid w:val="00006895"/>
    <w:rsid w:val="00007C08"/>
    <w:rsid w:val="000114AA"/>
    <w:rsid w:val="00011EC4"/>
    <w:rsid w:val="00013D86"/>
    <w:rsid w:val="00013E02"/>
    <w:rsid w:val="00016086"/>
    <w:rsid w:val="00016275"/>
    <w:rsid w:val="00016BB8"/>
    <w:rsid w:val="00017DA2"/>
    <w:rsid w:val="00021418"/>
    <w:rsid w:val="0002143C"/>
    <w:rsid w:val="000227A4"/>
    <w:rsid w:val="00022B29"/>
    <w:rsid w:val="0002320E"/>
    <w:rsid w:val="00023E76"/>
    <w:rsid w:val="0002445F"/>
    <w:rsid w:val="00025A65"/>
    <w:rsid w:val="00026C31"/>
    <w:rsid w:val="00027280"/>
    <w:rsid w:val="0002760A"/>
    <w:rsid w:val="000301AB"/>
    <w:rsid w:val="000320A7"/>
    <w:rsid w:val="000327FF"/>
    <w:rsid w:val="0003460B"/>
    <w:rsid w:val="00034CF1"/>
    <w:rsid w:val="00035925"/>
    <w:rsid w:val="00035F78"/>
    <w:rsid w:val="00037872"/>
    <w:rsid w:val="000429A8"/>
    <w:rsid w:val="00043293"/>
    <w:rsid w:val="00045008"/>
    <w:rsid w:val="00045216"/>
    <w:rsid w:val="000452C5"/>
    <w:rsid w:val="000455EA"/>
    <w:rsid w:val="00050185"/>
    <w:rsid w:val="00053897"/>
    <w:rsid w:val="00056009"/>
    <w:rsid w:val="00056176"/>
    <w:rsid w:val="0005753E"/>
    <w:rsid w:val="00057D4B"/>
    <w:rsid w:val="000620F8"/>
    <w:rsid w:val="00064ED1"/>
    <w:rsid w:val="000654D3"/>
    <w:rsid w:val="000663D5"/>
    <w:rsid w:val="0006727C"/>
    <w:rsid w:val="00067CDF"/>
    <w:rsid w:val="00071617"/>
    <w:rsid w:val="00071717"/>
    <w:rsid w:val="00071A3A"/>
    <w:rsid w:val="000732A9"/>
    <w:rsid w:val="000733F4"/>
    <w:rsid w:val="000746D2"/>
    <w:rsid w:val="000749D9"/>
    <w:rsid w:val="00074FBE"/>
    <w:rsid w:val="00075732"/>
    <w:rsid w:val="00075C9E"/>
    <w:rsid w:val="0007630D"/>
    <w:rsid w:val="00080AED"/>
    <w:rsid w:val="00081F76"/>
    <w:rsid w:val="000838C9"/>
    <w:rsid w:val="00083A09"/>
    <w:rsid w:val="0008615D"/>
    <w:rsid w:val="0009005E"/>
    <w:rsid w:val="0009020B"/>
    <w:rsid w:val="00092857"/>
    <w:rsid w:val="000938E3"/>
    <w:rsid w:val="000954F6"/>
    <w:rsid w:val="000A0205"/>
    <w:rsid w:val="000A1852"/>
    <w:rsid w:val="000A20A9"/>
    <w:rsid w:val="000A291A"/>
    <w:rsid w:val="000A2973"/>
    <w:rsid w:val="000A48B1"/>
    <w:rsid w:val="000B0332"/>
    <w:rsid w:val="000B0672"/>
    <w:rsid w:val="000B1309"/>
    <w:rsid w:val="000B18BC"/>
    <w:rsid w:val="000B244D"/>
    <w:rsid w:val="000B24FA"/>
    <w:rsid w:val="000B3143"/>
    <w:rsid w:val="000B42E6"/>
    <w:rsid w:val="000B476D"/>
    <w:rsid w:val="000C1361"/>
    <w:rsid w:val="000C2EFE"/>
    <w:rsid w:val="000C5514"/>
    <w:rsid w:val="000C6B05"/>
    <w:rsid w:val="000C6DD6"/>
    <w:rsid w:val="000C73D4"/>
    <w:rsid w:val="000D0762"/>
    <w:rsid w:val="000D0764"/>
    <w:rsid w:val="000D2CF3"/>
    <w:rsid w:val="000D3D4C"/>
    <w:rsid w:val="000D48B4"/>
    <w:rsid w:val="000D4F51"/>
    <w:rsid w:val="000D5A0F"/>
    <w:rsid w:val="000D718B"/>
    <w:rsid w:val="000D743B"/>
    <w:rsid w:val="000D76E2"/>
    <w:rsid w:val="000E0C46"/>
    <w:rsid w:val="000E1245"/>
    <w:rsid w:val="000E1FCE"/>
    <w:rsid w:val="000E4B32"/>
    <w:rsid w:val="000E6994"/>
    <w:rsid w:val="000F030C"/>
    <w:rsid w:val="000F0EC8"/>
    <w:rsid w:val="000F129C"/>
    <w:rsid w:val="000F2C49"/>
    <w:rsid w:val="000F3E5D"/>
    <w:rsid w:val="000F4790"/>
    <w:rsid w:val="000F6B1E"/>
    <w:rsid w:val="000F7CC7"/>
    <w:rsid w:val="00101675"/>
    <w:rsid w:val="001056DE"/>
    <w:rsid w:val="00105CC7"/>
    <w:rsid w:val="00106C4F"/>
    <w:rsid w:val="00106E37"/>
    <w:rsid w:val="001121D1"/>
    <w:rsid w:val="001124C0"/>
    <w:rsid w:val="001133E8"/>
    <w:rsid w:val="0011596E"/>
    <w:rsid w:val="00115C0D"/>
    <w:rsid w:val="00115D27"/>
    <w:rsid w:val="0012082C"/>
    <w:rsid w:val="001215A1"/>
    <w:rsid w:val="001276AA"/>
    <w:rsid w:val="0013175F"/>
    <w:rsid w:val="00131F08"/>
    <w:rsid w:val="00132040"/>
    <w:rsid w:val="00132E2E"/>
    <w:rsid w:val="00133ADA"/>
    <w:rsid w:val="0013576E"/>
    <w:rsid w:val="001357D1"/>
    <w:rsid w:val="00135B51"/>
    <w:rsid w:val="0013611A"/>
    <w:rsid w:val="0013771B"/>
    <w:rsid w:val="00142361"/>
    <w:rsid w:val="00143966"/>
    <w:rsid w:val="00143DF1"/>
    <w:rsid w:val="0014504A"/>
    <w:rsid w:val="00147AD1"/>
    <w:rsid w:val="00150A95"/>
    <w:rsid w:val="00151067"/>
    <w:rsid w:val="001512B4"/>
    <w:rsid w:val="001518F8"/>
    <w:rsid w:val="00153F55"/>
    <w:rsid w:val="0015532C"/>
    <w:rsid w:val="00155E64"/>
    <w:rsid w:val="0015677B"/>
    <w:rsid w:val="0016012A"/>
    <w:rsid w:val="00161AF0"/>
    <w:rsid w:val="001620A5"/>
    <w:rsid w:val="001645B9"/>
    <w:rsid w:val="00164E53"/>
    <w:rsid w:val="00164E9B"/>
    <w:rsid w:val="00165A00"/>
    <w:rsid w:val="001664E4"/>
    <w:rsid w:val="0016699D"/>
    <w:rsid w:val="001743C2"/>
    <w:rsid w:val="00174504"/>
    <w:rsid w:val="00175159"/>
    <w:rsid w:val="00176208"/>
    <w:rsid w:val="00176F85"/>
    <w:rsid w:val="00177A42"/>
    <w:rsid w:val="00180A5D"/>
    <w:rsid w:val="0018211B"/>
    <w:rsid w:val="001840D3"/>
    <w:rsid w:val="0018576C"/>
    <w:rsid w:val="00186882"/>
    <w:rsid w:val="001900F8"/>
    <w:rsid w:val="00190FB3"/>
    <w:rsid w:val="00191258"/>
    <w:rsid w:val="00191B98"/>
    <w:rsid w:val="00191ED4"/>
    <w:rsid w:val="00192680"/>
    <w:rsid w:val="00193037"/>
    <w:rsid w:val="00193A2C"/>
    <w:rsid w:val="00193BD2"/>
    <w:rsid w:val="00195884"/>
    <w:rsid w:val="00197B2C"/>
    <w:rsid w:val="001A185A"/>
    <w:rsid w:val="001A25C1"/>
    <w:rsid w:val="001A288E"/>
    <w:rsid w:val="001A30BC"/>
    <w:rsid w:val="001A468F"/>
    <w:rsid w:val="001A4E0C"/>
    <w:rsid w:val="001A5BA0"/>
    <w:rsid w:val="001B128B"/>
    <w:rsid w:val="001B1981"/>
    <w:rsid w:val="001B31FA"/>
    <w:rsid w:val="001B3CA4"/>
    <w:rsid w:val="001B5C6E"/>
    <w:rsid w:val="001B6DC2"/>
    <w:rsid w:val="001B7424"/>
    <w:rsid w:val="001C149C"/>
    <w:rsid w:val="001C21AC"/>
    <w:rsid w:val="001C3166"/>
    <w:rsid w:val="001C3AB2"/>
    <w:rsid w:val="001C47BA"/>
    <w:rsid w:val="001C59EA"/>
    <w:rsid w:val="001C6058"/>
    <w:rsid w:val="001C6BE3"/>
    <w:rsid w:val="001D00F0"/>
    <w:rsid w:val="001D246E"/>
    <w:rsid w:val="001D386D"/>
    <w:rsid w:val="001D3D1A"/>
    <w:rsid w:val="001D406C"/>
    <w:rsid w:val="001D41EE"/>
    <w:rsid w:val="001D6EE2"/>
    <w:rsid w:val="001E0380"/>
    <w:rsid w:val="001E13B1"/>
    <w:rsid w:val="001E17FA"/>
    <w:rsid w:val="001E266D"/>
    <w:rsid w:val="001E32EA"/>
    <w:rsid w:val="001E5524"/>
    <w:rsid w:val="001E71CD"/>
    <w:rsid w:val="001F045B"/>
    <w:rsid w:val="001F3641"/>
    <w:rsid w:val="001F3A19"/>
    <w:rsid w:val="001F4345"/>
    <w:rsid w:val="001F53B0"/>
    <w:rsid w:val="001F7B64"/>
    <w:rsid w:val="00200CE4"/>
    <w:rsid w:val="00205583"/>
    <w:rsid w:val="0021373A"/>
    <w:rsid w:val="0021768D"/>
    <w:rsid w:val="00220C3C"/>
    <w:rsid w:val="002232A4"/>
    <w:rsid w:val="002268FE"/>
    <w:rsid w:val="002316D0"/>
    <w:rsid w:val="0023187E"/>
    <w:rsid w:val="0023391C"/>
    <w:rsid w:val="00234467"/>
    <w:rsid w:val="00234915"/>
    <w:rsid w:val="00235007"/>
    <w:rsid w:val="002356A3"/>
    <w:rsid w:val="00236172"/>
    <w:rsid w:val="00236ACD"/>
    <w:rsid w:val="00237D8D"/>
    <w:rsid w:val="00240D2A"/>
    <w:rsid w:val="00241DA2"/>
    <w:rsid w:val="00243717"/>
    <w:rsid w:val="00243B86"/>
    <w:rsid w:val="00244BC6"/>
    <w:rsid w:val="00244E53"/>
    <w:rsid w:val="00247FEE"/>
    <w:rsid w:val="00250E7D"/>
    <w:rsid w:val="00253190"/>
    <w:rsid w:val="00254E30"/>
    <w:rsid w:val="002565D5"/>
    <w:rsid w:val="002579E8"/>
    <w:rsid w:val="00257F32"/>
    <w:rsid w:val="002622C0"/>
    <w:rsid w:val="00264C54"/>
    <w:rsid w:val="00265BFC"/>
    <w:rsid w:val="00266D1F"/>
    <w:rsid w:val="00270755"/>
    <w:rsid w:val="0027226B"/>
    <w:rsid w:val="002722D9"/>
    <w:rsid w:val="00272832"/>
    <w:rsid w:val="0027322D"/>
    <w:rsid w:val="002734CB"/>
    <w:rsid w:val="002735FB"/>
    <w:rsid w:val="00273E48"/>
    <w:rsid w:val="00274DBC"/>
    <w:rsid w:val="00276C7E"/>
    <w:rsid w:val="002778AE"/>
    <w:rsid w:val="0028269A"/>
    <w:rsid w:val="00282EE8"/>
    <w:rsid w:val="00283590"/>
    <w:rsid w:val="0028484A"/>
    <w:rsid w:val="00286973"/>
    <w:rsid w:val="002916F1"/>
    <w:rsid w:val="00292389"/>
    <w:rsid w:val="00292CFD"/>
    <w:rsid w:val="00294A48"/>
    <w:rsid w:val="00294B79"/>
    <w:rsid w:val="00294E70"/>
    <w:rsid w:val="00295032"/>
    <w:rsid w:val="002962D6"/>
    <w:rsid w:val="00296A71"/>
    <w:rsid w:val="002A09AF"/>
    <w:rsid w:val="002A1588"/>
    <w:rsid w:val="002A1924"/>
    <w:rsid w:val="002A2A91"/>
    <w:rsid w:val="002A35E9"/>
    <w:rsid w:val="002A53F1"/>
    <w:rsid w:val="002A67DD"/>
    <w:rsid w:val="002A6E8E"/>
    <w:rsid w:val="002A7420"/>
    <w:rsid w:val="002B0F12"/>
    <w:rsid w:val="002B1308"/>
    <w:rsid w:val="002B34E8"/>
    <w:rsid w:val="002B446B"/>
    <w:rsid w:val="002B4554"/>
    <w:rsid w:val="002B58E9"/>
    <w:rsid w:val="002B5955"/>
    <w:rsid w:val="002B6DC3"/>
    <w:rsid w:val="002C0FF6"/>
    <w:rsid w:val="002C1EC6"/>
    <w:rsid w:val="002C2E0C"/>
    <w:rsid w:val="002C4195"/>
    <w:rsid w:val="002C43CC"/>
    <w:rsid w:val="002C4833"/>
    <w:rsid w:val="002C4F85"/>
    <w:rsid w:val="002C5D52"/>
    <w:rsid w:val="002C60B2"/>
    <w:rsid w:val="002C72C0"/>
    <w:rsid w:val="002C72D8"/>
    <w:rsid w:val="002D1068"/>
    <w:rsid w:val="002D11FA"/>
    <w:rsid w:val="002D3749"/>
    <w:rsid w:val="002D44C1"/>
    <w:rsid w:val="002D55C3"/>
    <w:rsid w:val="002D69B9"/>
    <w:rsid w:val="002D6CB1"/>
    <w:rsid w:val="002E0BFA"/>
    <w:rsid w:val="002E0DDF"/>
    <w:rsid w:val="002E2906"/>
    <w:rsid w:val="002E363B"/>
    <w:rsid w:val="002E51CD"/>
    <w:rsid w:val="002E5495"/>
    <w:rsid w:val="002E5635"/>
    <w:rsid w:val="002E5D24"/>
    <w:rsid w:val="002E64C3"/>
    <w:rsid w:val="002E6A2C"/>
    <w:rsid w:val="002F1A45"/>
    <w:rsid w:val="002F1D8C"/>
    <w:rsid w:val="002F1EEF"/>
    <w:rsid w:val="002F21DA"/>
    <w:rsid w:val="002F3F68"/>
    <w:rsid w:val="003002AC"/>
    <w:rsid w:val="00300FAD"/>
    <w:rsid w:val="00301951"/>
    <w:rsid w:val="00301F39"/>
    <w:rsid w:val="00302B0A"/>
    <w:rsid w:val="00303199"/>
    <w:rsid w:val="00303446"/>
    <w:rsid w:val="0030429A"/>
    <w:rsid w:val="003047CC"/>
    <w:rsid w:val="003057C2"/>
    <w:rsid w:val="00306A50"/>
    <w:rsid w:val="00307877"/>
    <w:rsid w:val="00307AB9"/>
    <w:rsid w:val="00310A36"/>
    <w:rsid w:val="003112B0"/>
    <w:rsid w:val="00311BD5"/>
    <w:rsid w:val="00312FE1"/>
    <w:rsid w:val="0031524D"/>
    <w:rsid w:val="00315A7E"/>
    <w:rsid w:val="00315BBB"/>
    <w:rsid w:val="00317AFF"/>
    <w:rsid w:val="00317C56"/>
    <w:rsid w:val="0032037D"/>
    <w:rsid w:val="003207A3"/>
    <w:rsid w:val="00321931"/>
    <w:rsid w:val="00322039"/>
    <w:rsid w:val="0032279C"/>
    <w:rsid w:val="00324676"/>
    <w:rsid w:val="00325926"/>
    <w:rsid w:val="003259AE"/>
    <w:rsid w:val="00325D23"/>
    <w:rsid w:val="00327A8A"/>
    <w:rsid w:val="0033085C"/>
    <w:rsid w:val="00330CCE"/>
    <w:rsid w:val="0033174D"/>
    <w:rsid w:val="00331F8A"/>
    <w:rsid w:val="003338EF"/>
    <w:rsid w:val="00336610"/>
    <w:rsid w:val="00336725"/>
    <w:rsid w:val="00336A4B"/>
    <w:rsid w:val="00336D4A"/>
    <w:rsid w:val="003415F4"/>
    <w:rsid w:val="00341906"/>
    <w:rsid w:val="00343F73"/>
    <w:rsid w:val="00345060"/>
    <w:rsid w:val="00350421"/>
    <w:rsid w:val="003516C0"/>
    <w:rsid w:val="0035323B"/>
    <w:rsid w:val="0035486C"/>
    <w:rsid w:val="00360582"/>
    <w:rsid w:val="003609D2"/>
    <w:rsid w:val="00363F22"/>
    <w:rsid w:val="00364655"/>
    <w:rsid w:val="003658A1"/>
    <w:rsid w:val="00365BCA"/>
    <w:rsid w:val="003679E9"/>
    <w:rsid w:val="00367CF2"/>
    <w:rsid w:val="00372591"/>
    <w:rsid w:val="00372D3D"/>
    <w:rsid w:val="00373CCC"/>
    <w:rsid w:val="00375564"/>
    <w:rsid w:val="0038015B"/>
    <w:rsid w:val="00380564"/>
    <w:rsid w:val="0038259D"/>
    <w:rsid w:val="00383191"/>
    <w:rsid w:val="00383A70"/>
    <w:rsid w:val="00383C64"/>
    <w:rsid w:val="0038462D"/>
    <w:rsid w:val="00384AF3"/>
    <w:rsid w:val="00385C12"/>
    <w:rsid w:val="00386DED"/>
    <w:rsid w:val="003912E7"/>
    <w:rsid w:val="00393947"/>
    <w:rsid w:val="00393EA7"/>
    <w:rsid w:val="003954FA"/>
    <w:rsid w:val="00395A3E"/>
    <w:rsid w:val="003A2275"/>
    <w:rsid w:val="003A2642"/>
    <w:rsid w:val="003A3271"/>
    <w:rsid w:val="003A33F6"/>
    <w:rsid w:val="003A6A4F"/>
    <w:rsid w:val="003A7088"/>
    <w:rsid w:val="003A72B5"/>
    <w:rsid w:val="003A7E9E"/>
    <w:rsid w:val="003B00DF"/>
    <w:rsid w:val="003B1275"/>
    <w:rsid w:val="003B1778"/>
    <w:rsid w:val="003B1E50"/>
    <w:rsid w:val="003B3FCF"/>
    <w:rsid w:val="003C11CB"/>
    <w:rsid w:val="003C210E"/>
    <w:rsid w:val="003C39B1"/>
    <w:rsid w:val="003C4535"/>
    <w:rsid w:val="003C602E"/>
    <w:rsid w:val="003C75F3"/>
    <w:rsid w:val="003C78A3"/>
    <w:rsid w:val="003D1953"/>
    <w:rsid w:val="003D37B7"/>
    <w:rsid w:val="003D44B3"/>
    <w:rsid w:val="003D496B"/>
    <w:rsid w:val="003D5A2C"/>
    <w:rsid w:val="003D6A49"/>
    <w:rsid w:val="003D7852"/>
    <w:rsid w:val="003E0212"/>
    <w:rsid w:val="003E1867"/>
    <w:rsid w:val="003E295C"/>
    <w:rsid w:val="003E4BE0"/>
    <w:rsid w:val="003E5729"/>
    <w:rsid w:val="003E5C59"/>
    <w:rsid w:val="003E7C6D"/>
    <w:rsid w:val="003F0F32"/>
    <w:rsid w:val="003F107D"/>
    <w:rsid w:val="003F133F"/>
    <w:rsid w:val="003F4EE0"/>
    <w:rsid w:val="003F557A"/>
    <w:rsid w:val="00402153"/>
    <w:rsid w:val="00402FC1"/>
    <w:rsid w:val="004042D5"/>
    <w:rsid w:val="00405EE4"/>
    <w:rsid w:val="0040662E"/>
    <w:rsid w:val="00406662"/>
    <w:rsid w:val="004072F5"/>
    <w:rsid w:val="00410906"/>
    <w:rsid w:val="00410D92"/>
    <w:rsid w:val="004116D8"/>
    <w:rsid w:val="00411E10"/>
    <w:rsid w:val="00412073"/>
    <w:rsid w:val="0041498C"/>
    <w:rsid w:val="00414EB4"/>
    <w:rsid w:val="004205F8"/>
    <w:rsid w:val="0042154E"/>
    <w:rsid w:val="0042358F"/>
    <w:rsid w:val="00423D5E"/>
    <w:rsid w:val="00425082"/>
    <w:rsid w:val="00426292"/>
    <w:rsid w:val="004276B0"/>
    <w:rsid w:val="0043045E"/>
    <w:rsid w:val="00431DEB"/>
    <w:rsid w:val="00433809"/>
    <w:rsid w:val="00437847"/>
    <w:rsid w:val="00441192"/>
    <w:rsid w:val="004413D7"/>
    <w:rsid w:val="00441706"/>
    <w:rsid w:val="00444109"/>
    <w:rsid w:val="00444345"/>
    <w:rsid w:val="0044476C"/>
    <w:rsid w:val="00445765"/>
    <w:rsid w:val="00446337"/>
    <w:rsid w:val="00446B29"/>
    <w:rsid w:val="00447DE9"/>
    <w:rsid w:val="004506E5"/>
    <w:rsid w:val="00453F9A"/>
    <w:rsid w:val="00454EAA"/>
    <w:rsid w:val="00455B30"/>
    <w:rsid w:val="004638D4"/>
    <w:rsid w:val="00463E30"/>
    <w:rsid w:val="004646FA"/>
    <w:rsid w:val="004657E4"/>
    <w:rsid w:val="00465C13"/>
    <w:rsid w:val="00470AA4"/>
    <w:rsid w:val="004710EA"/>
    <w:rsid w:val="00471E91"/>
    <w:rsid w:val="004721F9"/>
    <w:rsid w:val="0047324C"/>
    <w:rsid w:val="00473D7B"/>
    <w:rsid w:val="004743B7"/>
    <w:rsid w:val="00474675"/>
    <w:rsid w:val="0047470C"/>
    <w:rsid w:val="0047509A"/>
    <w:rsid w:val="0047728D"/>
    <w:rsid w:val="00477B52"/>
    <w:rsid w:val="00484E51"/>
    <w:rsid w:val="00487190"/>
    <w:rsid w:val="004871FB"/>
    <w:rsid w:val="00491BCD"/>
    <w:rsid w:val="00495C54"/>
    <w:rsid w:val="0049781C"/>
    <w:rsid w:val="00497BB0"/>
    <w:rsid w:val="004A1F12"/>
    <w:rsid w:val="004A25F8"/>
    <w:rsid w:val="004A35F9"/>
    <w:rsid w:val="004A5E86"/>
    <w:rsid w:val="004A6BA1"/>
    <w:rsid w:val="004A7F1E"/>
    <w:rsid w:val="004B14B1"/>
    <w:rsid w:val="004B1BEB"/>
    <w:rsid w:val="004B24C1"/>
    <w:rsid w:val="004B2B71"/>
    <w:rsid w:val="004B3D88"/>
    <w:rsid w:val="004B5E4A"/>
    <w:rsid w:val="004B670A"/>
    <w:rsid w:val="004B69E1"/>
    <w:rsid w:val="004B7958"/>
    <w:rsid w:val="004C0DFA"/>
    <w:rsid w:val="004C12B6"/>
    <w:rsid w:val="004C15E9"/>
    <w:rsid w:val="004C1D9E"/>
    <w:rsid w:val="004C292F"/>
    <w:rsid w:val="004C7ABE"/>
    <w:rsid w:val="004D2C4F"/>
    <w:rsid w:val="004D2C64"/>
    <w:rsid w:val="004D2E8A"/>
    <w:rsid w:val="004D33B9"/>
    <w:rsid w:val="004D4FA8"/>
    <w:rsid w:val="004D5744"/>
    <w:rsid w:val="004D7F4F"/>
    <w:rsid w:val="004E17A8"/>
    <w:rsid w:val="004E48ED"/>
    <w:rsid w:val="004E6709"/>
    <w:rsid w:val="004F0436"/>
    <w:rsid w:val="004F5FDB"/>
    <w:rsid w:val="004F6442"/>
    <w:rsid w:val="004F7155"/>
    <w:rsid w:val="005001C2"/>
    <w:rsid w:val="0050141C"/>
    <w:rsid w:val="00503B21"/>
    <w:rsid w:val="00505CAF"/>
    <w:rsid w:val="00507CC5"/>
    <w:rsid w:val="00510280"/>
    <w:rsid w:val="00511D8B"/>
    <w:rsid w:val="00513B56"/>
    <w:rsid w:val="00513D6C"/>
    <w:rsid w:val="00513D73"/>
    <w:rsid w:val="00514A43"/>
    <w:rsid w:val="00514F10"/>
    <w:rsid w:val="005167DB"/>
    <w:rsid w:val="005174E5"/>
    <w:rsid w:val="00520E82"/>
    <w:rsid w:val="00522393"/>
    <w:rsid w:val="00522620"/>
    <w:rsid w:val="0052292E"/>
    <w:rsid w:val="00523BEE"/>
    <w:rsid w:val="00525656"/>
    <w:rsid w:val="0052724F"/>
    <w:rsid w:val="00530A6F"/>
    <w:rsid w:val="00533D17"/>
    <w:rsid w:val="00533E64"/>
    <w:rsid w:val="00534C02"/>
    <w:rsid w:val="00536B82"/>
    <w:rsid w:val="00540011"/>
    <w:rsid w:val="0054264B"/>
    <w:rsid w:val="00543786"/>
    <w:rsid w:val="00544727"/>
    <w:rsid w:val="005447D3"/>
    <w:rsid w:val="005453EF"/>
    <w:rsid w:val="00545CEE"/>
    <w:rsid w:val="00545D27"/>
    <w:rsid w:val="00546090"/>
    <w:rsid w:val="005469BA"/>
    <w:rsid w:val="00546D02"/>
    <w:rsid w:val="005529FB"/>
    <w:rsid w:val="005533D7"/>
    <w:rsid w:val="005645CB"/>
    <w:rsid w:val="00564FEC"/>
    <w:rsid w:val="005703DE"/>
    <w:rsid w:val="0057275B"/>
    <w:rsid w:val="0057513F"/>
    <w:rsid w:val="00575234"/>
    <w:rsid w:val="00581A72"/>
    <w:rsid w:val="00581BF9"/>
    <w:rsid w:val="00581CFA"/>
    <w:rsid w:val="00582DF2"/>
    <w:rsid w:val="00583BE3"/>
    <w:rsid w:val="00583DF6"/>
    <w:rsid w:val="00584429"/>
    <w:rsid w:val="0058464E"/>
    <w:rsid w:val="00585DE6"/>
    <w:rsid w:val="00585EA5"/>
    <w:rsid w:val="00587E4F"/>
    <w:rsid w:val="00590262"/>
    <w:rsid w:val="005903A0"/>
    <w:rsid w:val="00592408"/>
    <w:rsid w:val="005926B0"/>
    <w:rsid w:val="0059282C"/>
    <w:rsid w:val="00593B48"/>
    <w:rsid w:val="00596EE6"/>
    <w:rsid w:val="005A01CB"/>
    <w:rsid w:val="005A03C5"/>
    <w:rsid w:val="005A0E1D"/>
    <w:rsid w:val="005A47A0"/>
    <w:rsid w:val="005A58FF"/>
    <w:rsid w:val="005A5EAF"/>
    <w:rsid w:val="005A64C0"/>
    <w:rsid w:val="005B03E4"/>
    <w:rsid w:val="005B0C4E"/>
    <w:rsid w:val="005B3C11"/>
    <w:rsid w:val="005B4018"/>
    <w:rsid w:val="005B611D"/>
    <w:rsid w:val="005B6159"/>
    <w:rsid w:val="005B6369"/>
    <w:rsid w:val="005B666E"/>
    <w:rsid w:val="005C1C28"/>
    <w:rsid w:val="005C26D1"/>
    <w:rsid w:val="005C4153"/>
    <w:rsid w:val="005C4690"/>
    <w:rsid w:val="005C5191"/>
    <w:rsid w:val="005C6DB5"/>
    <w:rsid w:val="005C7A6B"/>
    <w:rsid w:val="005D0189"/>
    <w:rsid w:val="005D0752"/>
    <w:rsid w:val="005D0825"/>
    <w:rsid w:val="005D169E"/>
    <w:rsid w:val="005D1CAD"/>
    <w:rsid w:val="005D2319"/>
    <w:rsid w:val="005D28AC"/>
    <w:rsid w:val="005D646F"/>
    <w:rsid w:val="005E0014"/>
    <w:rsid w:val="005E01BA"/>
    <w:rsid w:val="005E055C"/>
    <w:rsid w:val="005E0A58"/>
    <w:rsid w:val="005E19E7"/>
    <w:rsid w:val="005E3835"/>
    <w:rsid w:val="005E4260"/>
    <w:rsid w:val="005E44B6"/>
    <w:rsid w:val="005E4CED"/>
    <w:rsid w:val="005E5016"/>
    <w:rsid w:val="005E57D9"/>
    <w:rsid w:val="005E5F64"/>
    <w:rsid w:val="005E6522"/>
    <w:rsid w:val="005E715D"/>
    <w:rsid w:val="005F0D35"/>
    <w:rsid w:val="005F16B8"/>
    <w:rsid w:val="005F1979"/>
    <w:rsid w:val="005F1C36"/>
    <w:rsid w:val="005F3C1C"/>
    <w:rsid w:val="005F514B"/>
    <w:rsid w:val="005F653F"/>
    <w:rsid w:val="00600F07"/>
    <w:rsid w:val="00601373"/>
    <w:rsid w:val="00601957"/>
    <w:rsid w:val="00606704"/>
    <w:rsid w:val="0061136C"/>
    <w:rsid w:val="0061400A"/>
    <w:rsid w:val="00614126"/>
    <w:rsid w:val="00614A37"/>
    <w:rsid w:val="006165F5"/>
    <w:rsid w:val="0061716C"/>
    <w:rsid w:val="0061745F"/>
    <w:rsid w:val="0061776E"/>
    <w:rsid w:val="00617813"/>
    <w:rsid w:val="00621A02"/>
    <w:rsid w:val="00621C16"/>
    <w:rsid w:val="00623389"/>
    <w:rsid w:val="006236F0"/>
    <w:rsid w:val="006243A1"/>
    <w:rsid w:val="006244AD"/>
    <w:rsid w:val="006257D4"/>
    <w:rsid w:val="0062604B"/>
    <w:rsid w:val="00626244"/>
    <w:rsid w:val="00627B21"/>
    <w:rsid w:val="00630EEB"/>
    <w:rsid w:val="00632E56"/>
    <w:rsid w:val="00634061"/>
    <w:rsid w:val="00634FFD"/>
    <w:rsid w:val="00635CBA"/>
    <w:rsid w:val="00637056"/>
    <w:rsid w:val="00637777"/>
    <w:rsid w:val="006430F0"/>
    <w:rsid w:val="0064338B"/>
    <w:rsid w:val="00644371"/>
    <w:rsid w:val="00644D65"/>
    <w:rsid w:val="00645F7C"/>
    <w:rsid w:val="00646542"/>
    <w:rsid w:val="00650123"/>
    <w:rsid w:val="006504F4"/>
    <w:rsid w:val="006506ED"/>
    <w:rsid w:val="006523F9"/>
    <w:rsid w:val="00654BC9"/>
    <w:rsid w:val="006552FD"/>
    <w:rsid w:val="00662D24"/>
    <w:rsid w:val="00663AF3"/>
    <w:rsid w:val="006649DF"/>
    <w:rsid w:val="00664D5B"/>
    <w:rsid w:val="00665653"/>
    <w:rsid w:val="00665B36"/>
    <w:rsid w:val="00666B6C"/>
    <w:rsid w:val="006709D3"/>
    <w:rsid w:val="00670C83"/>
    <w:rsid w:val="00671AED"/>
    <w:rsid w:val="0067390D"/>
    <w:rsid w:val="00674EF0"/>
    <w:rsid w:val="00676FCC"/>
    <w:rsid w:val="0067719E"/>
    <w:rsid w:val="006772AC"/>
    <w:rsid w:val="00680E1A"/>
    <w:rsid w:val="00681C60"/>
    <w:rsid w:val="00682682"/>
    <w:rsid w:val="00682702"/>
    <w:rsid w:val="00682CAE"/>
    <w:rsid w:val="0068334B"/>
    <w:rsid w:val="00683AA9"/>
    <w:rsid w:val="0068457E"/>
    <w:rsid w:val="0068576A"/>
    <w:rsid w:val="006863BF"/>
    <w:rsid w:val="00691F35"/>
    <w:rsid w:val="00692368"/>
    <w:rsid w:val="00696D97"/>
    <w:rsid w:val="006A191C"/>
    <w:rsid w:val="006A2CED"/>
    <w:rsid w:val="006A2EBC"/>
    <w:rsid w:val="006A40D0"/>
    <w:rsid w:val="006A5EA0"/>
    <w:rsid w:val="006A60F0"/>
    <w:rsid w:val="006A6112"/>
    <w:rsid w:val="006A6E5D"/>
    <w:rsid w:val="006A783B"/>
    <w:rsid w:val="006A7AE7"/>
    <w:rsid w:val="006A7B33"/>
    <w:rsid w:val="006A7DFE"/>
    <w:rsid w:val="006A7FFC"/>
    <w:rsid w:val="006B1729"/>
    <w:rsid w:val="006B188E"/>
    <w:rsid w:val="006B2767"/>
    <w:rsid w:val="006B28D2"/>
    <w:rsid w:val="006B4E13"/>
    <w:rsid w:val="006B652C"/>
    <w:rsid w:val="006B6C49"/>
    <w:rsid w:val="006B75DD"/>
    <w:rsid w:val="006C31DF"/>
    <w:rsid w:val="006C35B2"/>
    <w:rsid w:val="006C4A07"/>
    <w:rsid w:val="006C67E0"/>
    <w:rsid w:val="006C7128"/>
    <w:rsid w:val="006C7ABA"/>
    <w:rsid w:val="006C7E26"/>
    <w:rsid w:val="006D0D60"/>
    <w:rsid w:val="006D1122"/>
    <w:rsid w:val="006D219E"/>
    <w:rsid w:val="006D3C00"/>
    <w:rsid w:val="006D3FBA"/>
    <w:rsid w:val="006D4593"/>
    <w:rsid w:val="006D4809"/>
    <w:rsid w:val="006D6CF4"/>
    <w:rsid w:val="006D6F50"/>
    <w:rsid w:val="006D7252"/>
    <w:rsid w:val="006E0817"/>
    <w:rsid w:val="006E1F93"/>
    <w:rsid w:val="006E2DE0"/>
    <w:rsid w:val="006E2FBC"/>
    <w:rsid w:val="006E35F4"/>
    <w:rsid w:val="006E3675"/>
    <w:rsid w:val="006E3AA0"/>
    <w:rsid w:val="006E4A7F"/>
    <w:rsid w:val="006E70B0"/>
    <w:rsid w:val="006E7C56"/>
    <w:rsid w:val="006F0FA4"/>
    <w:rsid w:val="006F1438"/>
    <w:rsid w:val="006F2448"/>
    <w:rsid w:val="006F3366"/>
    <w:rsid w:val="006F41C6"/>
    <w:rsid w:val="007004F1"/>
    <w:rsid w:val="0070100E"/>
    <w:rsid w:val="00703FA4"/>
    <w:rsid w:val="00704DF6"/>
    <w:rsid w:val="0070651C"/>
    <w:rsid w:val="007116EC"/>
    <w:rsid w:val="007123AB"/>
    <w:rsid w:val="00712B5D"/>
    <w:rsid w:val="007132A3"/>
    <w:rsid w:val="00713862"/>
    <w:rsid w:val="00713C7B"/>
    <w:rsid w:val="00714D01"/>
    <w:rsid w:val="00716421"/>
    <w:rsid w:val="00720C7B"/>
    <w:rsid w:val="00720EFC"/>
    <w:rsid w:val="00722BD3"/>
    <w:rsid w:val="00723E2C"/>
    <w:rsid w:val="00724EFB"/>
    <w:rsid w:val="00730B59"/>
    <w:rsid w:val="00731400"/>
    <w:rsid w:val="00731E2E"/>
    <w:rsid w:val="00731F38"/>
    <w:rsid w:val="00736B94"/>
    <w:rsid w:val="00736E04"/>
    <w:rsid w:val="00740F67"/>
    <w:rsid w:val="007419C3"/>
    <w:rsid w:val="00744F22"/>
    <w:rsid w:val="007467A7"/>
    <w:rsid w:val="007469DD"/>
    <w:rsid w:val="0074741B"/>
    <w:rsid w:val="0074759E"/>
    <w:rsid w:val="00747720"/>
    <w:rsid w:val="007478EA"/>
    <w:rsid w:val="00752EA0"/>
    <w:rsid w:val="007539B0"/>
    <w:rsid w:val="0075415C"/>
    <w:rsid w:val="00754A3C"/>
    <w:rsid w:val="00756834"/>
    <w:rsid w:val="00756EAF"/>
    <w:rsid w:val="00757841"/>
    <w:rsid w:val="00757FE1"/>
    <w:rsid w:val="007611C8"/>
    <w:rsid w:val="00763502"/>
    <w:rsid w:val="007640AB"/>
    <w:rsid w:val="007647B8"/>
    <w:rsid w:val="007651F1"/>
    <w:rsid w:val="0076526D"/>
    <w:rsid w:val="00765915"/>
    <w:rsid w:val="00765C44"/>
    <w:rsid w:val="007675D1"/>
    <w:rsid w:val="00767D49"/>
    <w:rsid w:val="007700B5"/>
    <w:rsid w:val="0077377E"/>
    <w:rsid w:val="007746F3"/>
    <w:rsid w:val="00775E28"/>
    <w:rsid w:val="00775FFC"/>
    <w:rsid w:val="007810AC"/>
    <w:rsid w:val="0078187E"/>
    <w:rsid w:val="00781B9A"/>
    <w:rsid w:val="00781BB5"/>
    <w:rsid w:val="00781EF1"/>
    <w:rsid w:val="00782AC0"/>
    <w:rsid w:val="00784EEE"/>
    <w:rsid w:val="00785E0B"/>
    <w:rsid w:val="00786A62"/>
    <w:rsid w:val="00787E84"/>
    <w:rsid w:val="00790DBC"/>
    <w:rsid w:val="007913AB"/>
    <w:rsid w:val="007914F7"/>
    <w:rsid w:val="00793168"/>
    <w:rsid w:val="007933ED"/>
    <w:rsid w:val="007942DA"/>
    <w:rsid w:val="0079454C"/>
    <w:rsid w:val="007964AE"/>
    <w:rsid w:val="00797076"/>
    <w:rsid w:val="00797083"/>
    <w:rsid w:val="007A08ED"/>
    <w:rsid w:val="007A0FBD"/>
    <w:rsid w:val="007B0A99"/>
    <w:rsid w:val="007B1625"/>
    <w:rsid w:val="007B2304"/>
    <w:rsid w:val="007B2E55"/>
    <w:rsid w:val="007B35E3"/>
    <w:rsid w:val="007B3FBA"/>
    <w:rsid w:val="007B5371"/>
    <w:rsid w:val="007B706E"/>
    <w:rsid w:val="007B71EB"/>
    <w:rsid w:val="007C0D9D"/>
    <w:rsid w:val="007C0E15"/>
    <w:rsid w:val="007C2483"/>
    <w:rsid w:val="007C3475"/>
    <w:rsid w:val="007C35DE"/>
    <w:rsid w:val="007C3634"/>
    <w:rsid w:val="007C42F6"/>
    <w:rsid w:val="007C6205"/>
    <w:rsid w:val="007C632C"/>
    <w:rsid w:val="007C686A"/>
    <w:rsid w:val="007C6DD8"/>
    <w:rsid w:val="007C728E"/>
    <w:rsid w:val="007D17E4"/>
    <w:rsid w:val="007D23A3"/>
    <w:rsid w:val="007D2C53"/>
    <w:rsid w:val="007D3164"/>
    <w:rsid w:val="007D3D60"/>
    <w:rsid w:val="007D454B"/>
    <w:rsid w:val="007D5FA3"/>
    <w:rsid w:val="007E1980"/>
    <w:rsid w:val="007E4672"/>
    <w:rsid w:val="007E4B76"/>
    <w:rsid w:val="007E5EA8"/>
    <w:rsid w:val="007E6392"/>
    <w:rsid w:val="007F0CF1"/>
    <w:rsid w:val="007F12A5"/>
    <w:rsid w:val="007F24FE"/>
    <w:rsid w:val="007F3924"/>
    <w:rsid w:val="007F4B35"/>
    <w:rsid w:val="007F4CF1"/>
    <w:rsid w:val="007F758D"/>
    <w:rsid w:val="007F762F"/>
    <w:rsid w:val="007F7D52"/>
    <w:rsid w:val="007F7E55"/>
    <w:rsid w:val="00800915"/>
    <w:rsid w:val="008009E3"/>
    <w:rsid w:val="00800B79"/>
    <w:rsid w:val="008024BB"/>
    <w:rsid w:val="00804FE5"/>
    <w:rsid w:val="008052F5"/>
    <w:rsid w:val="00805F1F"/>
    <w:rsid w:val="008064FA"/>
    <w:rsid w:val="0080654C"/>
    <w:rsid w:val="008071C6"/>
    <w:rsid w:val="00807961"/>
    <w:rsid w:val="00810398"/>
    <w:rsid w:val="008113A2"/>
    <w:rsid w:val="00811C73"/>
    <w:rsid w:val="008140D3"/>
    <w:rsid w:val="00814F68"/>
    <w:rsid w:val="0081653F"/>
    <w:rsid w:val="008167A0"/>
    <w:rsid w:val="00817A00"/>
    <w:rsid w:val="008218AB"/>
    <w:rsid w:val="008307AE"/>
    <w:rsid w:val="00833123"/>
    <w:rsid w:val="00835DB3"/>
    <w:rsid w:val="0083617B"/>
    <w:rsid w:val="008369FD"/>
    <w:rsid w:val="008371BD"/>
    <w:rsid w:val="0084320E"/>
    <w:rsid w:val="008452D0"/>
    <w:rsid w:val="008504A8"/>
    <w:rsid w:val="0085065F"/>
    <w:rsid w:val="00851E4C"/>
    <w:rsid w:val="0085282E"/>
    <w:rsid w:val="0085448D"/>
    <w:rsid w:val="00855E3D"/>
    <w:rsid w:val="00856EB6"/>
    <w:rsid w:val="0085751F"/>
    <w:rsid w:val="00861346"/>
    <w:rsid w:val="0086232B"/>
    <w:rsid w:val="00862358"/>
    <w:rsid w:val="008642C9"/>
    <w:rsid w:val="0086457C"/>
    <w:rsid w:val="00870B4C"/>
    <w:rsid w:val="00871267"/>
    <w:rsid w:val="0087143F"/>
    <w:rsid w:val="00871566"/>
    <w:rsid w:val="0087198C"/>
    <w:rsid w:val="008721F8"/>
    <w:rsid w:val="0087260A"/>
    <w:rsid w:val="00872C1F"/>
    <w:rsid w:val="00873B42"/>
    <w:rsid w:val="00874244"/>
    <w:rsid w:val="008818D7"/>
    <w:rsid w:val="00883EA5"/>
    <w:rsid w:val="00884B78"/>
    <w:rsid w:val="008856D8"/>
    <w:rsid w:val="008877A7"/>
    <w:rsid w:val="008909DA"/>
    <w:rsid w:val="00892E82"/>
    <w:rsid w:val="00893CB0"/>
    <w:rsid w:val="00893D9A"/>
    <w:rsid w:val="008950DA"/>
    <w:rsid w:val="00895F66"/>
    <w:rsid w:val="00897AC8"/>
    <w:rsid w:val="00897E0D"/>
    <w:rsid w:val="008A13E1"/>
    <w:rsid w:val="008A2179"/>
    <w:rsid w:val="008A3511"/>
    <w:rsid w:val="008A6347"/>
    <w:rsid w:val="008A77F9"/>
    <w:rsid w:val="008B4133"/>
    <w:rsid w:val="008C136A"/>
    <w:rsid w:val="008C1936"/>
    <w:rsid w:val="008C1B58"/>
    <w:rsid w:val="008C27A1"/>
    <w:rsid w:val="008C39AE"/>
    <w:rsid w:val="008C590D"/>
    <w:rsid w:val="008C60EC"/>
    <w:rsid w:val="008C7FFD"/>
    <w:rsid w:val="008D12D7"/>
    <w:rsid w:val="008D26AF"/>
    <w:rsid w:val="008D27A0"/>
    <w:rsid w:val="008D39B9"/>
    <w:rsid w:val="008D6979"/>
    <w:rsid w:val="008D7045"/>
    <w:rsid w:val="008E00D7"/>
    <w:rsid w:val="008E031B"/>
    <w:rsid w:val="008E0F1D"/>
    <w:rsid w:val="008E45E6"/>
    <w:rsid w:val="008E474F"/>
    <w:rsid w:val="008E504A"/>
    <w:rsid w:val="008E5313"/>
    <w:rsid w:val="008E7029"/>
    <w:rsid w:val="008E7EF6"/>
    <w:rsid w:val="008F03EA"/>
    <w:rsid w:val="008F0562"/>
    <w:rsid w:val="008F0CC4"/>
    <w:rsid w:val="008F1611"/>
    <w:rsid w:val="008F1F98"/>
    <w:rsid w:val="008F6758"/>
    <w:rsid w:val="008F6D7A"/>
    <w:rsid w:val="008F7A10"/>
    <w:rsid w:val="00903176"/>
    <w:rsid w:val="00903D1B"/>
    <w:rsid w:val="00903EB6"/>
    <w:rsid w:val="009040DD"/>
    <w:rsid w:val="009041B5"/>
    <w:rsid w:val="00904DA2"/>
    <w:rsid w:val="009052C2"/>
    <w:rsid w:val="00905832"/>
    <w:rsid w:val="00905B47"/>
    <w:rsid w:val="009060E7"/>
    <w:rsid w:val="009062C7"/>
    <w:rsid w:val="00906452"/>
    <w:rsid w:val="00907C7F"/>
    <w:rsid w:val="00910C8C"/>
    <w:rsid w:val="00911C09"/>
    <w:rsid w:val="0091331C"/>
    <w:rsid w:val="0091429D"/>
    <w:rsid w:val="00916759"/>
    <w:rsid w:val="0092056A"/>
    <w:rsid w:val="0092271F"/>
    <w:rsid w:val="009242CD"/>
    <w:rsid w:val="0092446A"/>
    <w:rsid w:val="00926E47"/>
    <w:rsid w:val="0092789F"/>
    <w:rsid w:val="009279DE"/>
    <w:rsid w:val="00927A4D"/>
    <w:rsid w:val="00930116"/>
    <w:rsid w:val="00931E50"/>
    <w:rsid w:val="009331EB"/>
    <w:rsid w:val="00933C40"/>
    <w:rsid w:val="009362A2"/>
    <w:rsid w:val="00936A03"/>
    <w:rsid w:val="0094212C"/>
    <w:rsid w:val="009465C5"/>
    <w:rsid w:val="009470AF"/>
    <w:rsid w:val="009470C8"/>
    <w:rsid w:val="00950988"/>
    <w:rsid w:val="009511E6"/>
    <w:rsid w:val="009529F2"/>
    <w:rsid w:val="00954689"/>
    <w:rsid w:val="00954753"/>
    <w:rsid w:val="00957893"/>
    <w:rsid w:val="0096015E"/>
    <w:rsid w:val="009617C9"/>
    <w:rsid w:val="00961C93"/>
    <w:rsid w:val="00963BDC"/>
    <w:rsid w:val="00963BEE"/>
    <w:rsid w:val="00964952"/>
    <w:rsid w:val="00965324"/>
    <w:rsid w:val="00965557"/>
    <w:rsid w:val="00965CB7"/>
    <w:rsid w:val="009662C0"/>
    <w:rsid w:val="00967479"/>
    <w:rsid w:val="009674AF"/>
    <w:rsid w:val="009707B7"/>
    <w:rsid w:val="0097091E"/>
    <w:rsid w:val="009722F4"/>
    <w:rsid w:val="009736D0"/>
    <w:rsid w:val="009760D3"/>
    <w:rsid w:val="00977132"/>
    <w:rsid w:val="00980D6E"/>
    <w:rsid w:val="009812F6"/>
    <w:rsid w:val="00981A4B"/>
    <w:rsid w:val="009824E1"/>
    <w:rsid w:val="00982501"/>
    <w:rsid w:val="0098253C"/>
    <w:rsid w:val="009863AD"/>
    <w:rsid w:val="00986606"/>
    <w:rsid w:val="009877D3"/>
    <w:rsid w:val="00987BED"/>
    <w:rsid w:val="00993873"/>
    <w:rsid w:val="00993E0C"/>
    <w:rsid w:val="00994B80"/>
    <w:rsid w:val="00994E8F"/>
    <w:rsid w:val="00994F94"/>
    <w:rsid w:val="009951DC"/>
    <w:rsid w:val="00995417"/>
    <w:rsid w:val="009959BB"/>
    <w:rsid w:val="00997158"/>
    <w:rsid w:val="0099762F"/>
    <w:rsid w:val="009A3726"/>
    <w:rsid w:val="009A3A7C"/>
    <w:rsid w:val="009A492A"/>
    <w:rsid w:val="009A4CD9"/>
    <w:rsid w:val="009A5814"/>
    <w:rsid w:val="009A7119"/>
    <w:rsid w:val="009B17B6"/>
    <w:rsid w:val="009B2ADB"/>
    <w:rsid w:val="009B38F8"/>
    <w:rsid w:val="009B41D3"/>
    <w:rsid w:val="009B5B47"/>
    <w:rsid w:val="009B603A"/>
    <w:rsid w:val="009B60DF"/>
    <w:rsid w:val="009C1AC4"/>
    <w:rsid w:val="009C2D0E"/>
    <w:rsid w:val="009C30A5"/>
    <w:rsid w:val="009C3DAC"/>
    <w:rsid w:val="009C42E0"/>
    <w:rsid w:val="009C5519"/>
    <w:rsid w:val="009C569F"/>
    <w:rsid w:val="009D0ED3"/>
    <w:rsid w:val="009D254C"/>
    <w:rsid w:val="009D3A6E"/>
    <w:rsid w:val="009D3EF3"/>
    <w:rsid w:val="009D5362"/>
    <w:rsid w:val="009D62E7"/>
    <w:rsid w:val="009D659C"/>
    <w:rsid w:val="009D68A5"/>
    <w:rsid w:val="009D71A9"/>
    <w:rsid w:val="009E0466"/>
    <w:rsid w:val="009E1415"/>
    <w:rsid w:val="009E2AEE"/>
    <w:rsid w:val="009E3F7A"/>
    <w:rsid w:val="009E4933"/>
    <w:rsid w:val="009E6116"/>
    <w:rsid w:val="009E623F"/>
    <w:rsid w:val="009E7E33"/>
    <w:rsid w:val="009F0C36"/>
    <w:rsid w:val="009F2786"/>
    <w:rsid w:val="009F382D"/>
    <w:rsid w:val="009F4EC9"/>
    <w:rsid w:val="009F7A0D"/>
    <w:rsid w:val="00A01FE5"/>
    <w:rsid w:val="00A02E43"/>
    <w:rsid w:val="00A03C31"/>
    <w:rsid w:val="00A03F28"/>
    <w:rsid w:val="00A065F9"/>
    <w:rsid w:val="00A07F34"/>
    <w:rsid w:val="00A12A49"/>
    <w:rsid w:val="00A13953"/>
    <w:rsid w:val="00A17411"/>
    <w:rsid w:val="00A17A7C"/>
    <w:rsid w:val="00A2137F"/>
    <w:rsid w:val="00A22154"/>
    <w:rsid w:val="00A234AC"/>
    <w:rsid w:val="00A25C38"/>
    <w:rsid w:val="00A30916"/>
    <w:rsid w:val="00A309EF"/>
    <w:rsid w:val="00A3456E"/>
    <w:rsid w:val="00A349FC"/>
    <w:rsid w:val="00A34CAE"/>
    <w:rsid w:val="00A35396"/>
    <w:rsid w:val="00A36BBE"/>
    <w:rsid w:val="00A40A1F"/>
    <w:rsid w:val="00A41261"/>
    <w:rsid w:val="00A42846"/>
    <w:rsid w:val="00A42BE8"/>
    <w:rsid w:val="00A4307A"/>
    <w:rsid w:val="00A4499C"/>
    <w:rsid w:val="00A47EBB"/>
    <w:rsid w:val="00A5153F"/>
    <w:rsid w:val="00A51CDD"/>
    <w:rsid w:val="00A52A92"/>
    <w:rsid w:val="00A52E4D"/>
    <w:rsid w:val="00A56715"/>
    <w:rsid w:val="00A56EBC"/>
    <w:rsid w:val="00A579BF"/>
    <w:rsid w:val="00A57AF6"/>
    <w:rsid w:val="00A61B1C"/>
    <w:rsid w:val="00A634D6"/>
    <w:rsid w:val="00A6482A"/>
    <w:rsid w:val="00A65B6E"/>
    <w:rsid w:val="00A6730D"/>
    <w:rsid w:val="00A7125C"/>
    <w:rsid w:val="00A713B5"/>
    <w:rsid w:val="00A71625"/>
    <w:rsid w:val="00A71B9B"/>
    <w:rsid w:val="00A72FC7"/>
    <w:rsid w:val="00A732D7"/>
    <w:rsid w:val="00A751C7"/>
    <w:rsid w:val="00A77528"/>
    <w:rsid w:val="00A8010A"/>
    <w:rsid w:val="00A80197"/>
    <w:rsid w:val="00A802A6"/>
    <w:rsid w:val="00A80461"/>
    <w:rsid w:val="00A808B5"/>
    <w:rsid w:val="00A822B9"/>
    <w:rsid w:val="00A82709"/>
    <w:rsid w:val="00A8352D"/>
    <w:rsid w:val="00A855CB"/>
    <w:rsid w:val="00A857E9"/>
    <w:rsid w:val="00A86000"/>
    <w:rsid w:val="00A8705C"/>
    <w:rsid w:val="00A87844"/>
    <w:rsid w:val="00A87C28"/>
    <w:rsid w:val="00A90A4D"/>
    <w:rsid w:val="00A926C9"/>
    <w:rsid w:val="00A93424"/>
    <w:rsid w:val="00A973F4"/>
    <w:rsid w:val="00A97A7D"/>
    <w:rsid w:val="00A97FF3"/>
    <w:rsid w:val="00AA038C"/>
    <w:rsid w:val="00AA3D55"/>
    <w:rsid w:val="00AA408B"/>
    <w:rsid w:val="00AA5611"/>
    <w:rsid w:val="00AA7A09"/>
    <w:rsid w:val="00AB04B1"/>
    <w:rsid w:val="00AB3B50"/>
    <w:rsid w:val="00AB4493"/>
    <w:rsid w:val="00AB451E"/>
    <w:rsid w:val="00AB609E"/>
    <w:rsid w:val="00AC05B1"/>
    <w:rsid w:val="00AC12DB"/>
    <w:rsid w:val="00AC1705"/>
    <w:rsid w:val="00AC18AC"/>
    <w:rsid w:val="00AC3925"/>
    <w:rsid w:val="00AC39E2"/>
    <w:rsid w:val="00AC40BC"/>
    <w:rsid w:val="00AC4D78"/>
    <w:rsid w:val="00AD09C0"/>
    <w:rsid w:val="00AD0A1C"/>
    <w:rsid w:val="00AD0B5D"/>
    <w:rsid w:val="00AD2196"/>
    <w:rsid w:val="00AD2C9A"/>
    <w:rsid w:val="00AD356C"/>
    <w:rsid w:val="00AD7E9E"/>
    <w:rsid w:val="00AE1F39"/>
    <w:rsid w:val="00AE239C"/>
    <w:rsid w:val="00AE2914"/>
    <w:rsid w:val="00AE41A8"/>
    <w:rsid w:val="00AE42D2"/>
    <w:rsid w:val="00AE5148"/>
    <w:rsid w:val="00AE695F"/>
    <w:rsid w:val="00AE6D15"/>
    <w:rsid w:val="00AF09AC"/>
    <w:rsid w:val="00AF0D51"/>
    <w:rsid w:val="00AF2826"/>
    <w:rsid w:val="00AF28CC"/>
    <w:rsid w:val="00AF2CC3"/>
    <w:rsid w:val="00AF7782"/>
    <w:rsid w:val="00B00CB2"/>
    <w:rsid w:val="00B010A2"/>
    <w:rsid w:val="00B02D31"/>
    <w:rsid w:val="00B038A2"/>
    <w:rsid w:val="00B04182"/>
    <w:rsid w:val="00B07AE3"/>
    <w:rsid w:val="00B07C69"/>
    <w:rsid w:val="00B11430"/>
    <w:rsid w:val="00B11DC4"/>
    <w:rsid w:val="00B2180E"/>
    <w:rsid w:val="00B26892"/>
    <w:rsid w:val="00B26E4D"/>
    <w:rsid w:val="00B3505D"/>
    <w:rsid w:val="00B3533B"/>
    <w:rsid w:val="00B353EB"/>
    <w:rsid w:val="00B36B69"/>
    <w:rsid w:val="00B439C4"/>
    <w:rsid w:val="00B4535E"/>
    <w:rsid w:val="00B46A9E"/>
    <w:rsid w:val="00B479CC"/>
    <w:rsid w:val="00B47D5C"/>
    <w:rsid w:val="00B47F60"/>
    <w:rsid w:val="00B5010C"/>
    <w:rsid w:val="00B5140F"/>
    <w:rsid w:val="00B518BA"/>
    <w:rsid w:val="00B52156"/>
    <w:rsid w:val="00B52A8C"/>
    <w:rsid w:val="00B550BF"/>
    <w:rsid w:val="00B55FF1"/>
    <w:rsid w:val="00B61D78"/>
    <w:rsid w:val="00B62170"/>
    <w:rsid w:val="00B636A8"/>
    <w:rsid w:val="00B665C6"/>
    <w:rsid w:val="00B716EF"/>
    <w:rsid w:val="00B72793"/>
    <w:rsid w:val="00B732DF"/>
    <w:rsid w:val="00B74377"/>
    <w:rsid w:val="00B75905"/>
    <w:rsid w:val="00B759B2"/>
    <w:rsid w:val="00B76F74"/>
    <w:rsid w:val="00B771E0"/>
    <w:rsid w:val="00B805AF"/>
    <w:rsid w:val="00B8583B"/>
    <w:rsid w:val="00B86221"/>
    <w:rsid w:val="00B869EC"/>
    <w:rsid w:val="00B86D06"/>
    <w:rsid w:val="00B929BE"/>
    <w:rsid w:val="00B9397A"/>
    <w:rsid w:val="00B94260"/>
    <w:rsid w:val="00B9633D"/>
    <w:rsid w:val="00B97360"/>
    <w:rsid w:val="00BA0B75"/>
    <w:rsid w:val="00BA2029"/>
    <w:rsid w:val="00BA2436"/>
    <w:rsid w:val="00BA2EBE"/>
    <w:rsid w:val="00BA309F"/>
    <w:rsid w:val="00BA6B38"/>
    <w:rsid w:val="00BB0F28"/>
    <w:rsid w:val="00BB3095"/>
    <w:rsid w:val="00BB3396"/>
    <w:rsid w:val="00BB376D"/>
    <w:rsid w:val="00BB452F"/>
    <w:rsid w:val="00BB458A"/>
    <w:rsid w:val="00BB4CF4"/>
    <w:rsid w:val="00BB66CB"/>
    <w:rsid w:val="00BC40E8"/>
    <w:rsid w:val="00BC4A63"/>
    <w:rsid w:val="00BC5161"/>
    <w:rsid w:val="00BC6781"/>
    <w:rsid w:val="00BC7088"/>
    <w:rsid w:val="00BC75ED"/>
    <w:rsid w:val="00BD00D3"/>
    <w:rsid w:val="00BD07D7"/>
    <w:rsid w:val="00BD1659"/>
    <w:rsid w:val="00BD195F"/>
    <w:rsid w:val="00BD216A"/>
    <w:rsid w:val="00BD2452"/>
    <w:rsid w:val="00BD2994"/>
    <w:rsid w:val="00BD2E6B"/>
    <w:rsid w:val="00BD3AA9"/>
    <w:rsid w:val="00BD4A18"/>
    <w:rsid w:val="00BD4A98"/>
    <w:rsid w:val="00BD6DB2"/>
    <w:rsid w:val="00BE11CF"/>
    <w:rsid w:val="00BE138F"/>
    <w:rsid w:val="00BE21AB"/>
    <w:rsid w:val="00BE24D3"/>
    <w:rsid w:val="00BE3BCC"/>
    <w:rsid w:val="00BE4331"/>
    <w:rsid w:val="00BE55CB"/>
    <w:rsid w:val="00BE579D"/>
    <w:rsid w:val="00BE6547"/>
    <w:rsid w:val="00BE66FA"/>
    <w:rsid w:val="00BE73CB"/>
    <w:rsid w:val="00BF1E6C"/>
    <w:rsid w:val="00BF23AF"/>
    <w:rsid w:val="00BF4C73"/>
    <w:rsid w:val="00BF617A"/>
    <w:rsid w:val="00BF6364"/>
    <w:rsid w:val="00BF6968"/>
    <w:rsid w:val="00BF6FCE"/>
    <w:rsid w:val="00C015F3"/>
    <w:rsid w:val="00C029F4"/>
    <w:rsid w:val="00C0379D"/>
    <w:rsid w:val="00C03931"/>
    <w:rsid w:val="00C05FE3"/>
    <w:rsid w:val="00C066E8"/>
    <w:rsid w:val="00C10957"/>
    <w:rsid w:val="00C1433C"/>
    <w:rsid w:val="00C143C5"/>
    <w:rsid w:val="00C14A8F"/>
    <w:rsid w:val="00C1599B"/>
    <w:rsid w:val="00C1728B"/>
    <w:rsid w:val="00C20D71"/>
    <w:rsid w:val="00C2136D"/>
    <w:rsid w:val="00C214EE"/>
    <w:rsid w:val="00C2314B"/>
    <w:rsid w:val="00C236CC"/>
    <w:rsid w:val="00C23742"/>
    <w:rsid w:val="00C23AB9"/>
    <w:rsid w:val="00C24971"/>
    <w:rsid w:val="00C2692B"/>
    <w:rsid w:val="00C26B8A"/>
    <w:rsid w:val="00C26BE5"/>
    <w:rsid w:val="00C26E4D"/>
    <w:rsid w:val="00C27909"/>
    <w:rsid w:val="00C27B03"/>
    <w:rsid w:val="00C314E1"/>
    <w:rsid w:val="00C33A9B"/>
    <w:rsid w:val="00C33AAE"/>
    <w:rsid w:val="00C34397"/>
    <w:rsid w:val="00C34455"/>
    <w:rsid w:val="00C358E3"/>
    <w:rsid w:val="00C36958"/>
    <w:rsid w:val="00C3788B"/>
    <w:rsid w:val="00C40037"/>
    <w:rsid w:val="00C4095D"/>
    <w:rsid w:val="00C41B34"/>
    <w:rsid w:val="00C4543C"/>
    <w:rsid w:val="00C46D40"/>
    <w:rsid w:val="00C5067B"/>
    <w:rsid w:val="00C50ADC"/>
    <w:rsid w:val="00C52BDB"/>
    <w:rsid w:val="00C54B21"/>
    <w:rsid w:val="00C601D2"/>
    <w:rsid w:val="00C630E2"/>
    <w:rsid w:val="00C64586"/>
    <w:rsid w:val="00C65BCC"/>
    <w:rsid w:val="00C65C5D"/>
    <w:rsid w:val="00C66970"/>
    <w:rsid w:val="00C7194D"/>
    <w:rsid w:val="00C73B81"/>
    <w:rsid w:val="00C74028"/>
    <w:rsid w:val="00C746E7"/>
    <w:rsid w:val="00C85874"/>
    <w:rsid w:val="00C8691C"/>
    <w:rsid w:val="00C874CE"/>
    <w:rsid w:val="00C90C9D"/>
    <w:rsid w:val="00C9434B"/>
    <w:rsid w:val="00C95247"/>
    <w:rsid w:val="00CA0D67"/>
    <w:rsid w:val="00CA168A"/>
    <w:rsid w:val="00CA1CFA"/>
    <w:rsid w:val="00CA2B6D"/>
    <w:rsid w:val="00CA357E"/>
    <w:rsid w:val="00CA44F9"/>
    <w:rsid w:val="00CA45A6"/>
    <w:rsid w:val="00CA4A69"/>
    <w:rsid w:val="00CA5483"/>
    <w:rsid w:val="00CA78C8"/>
    <w:rsid w:val="00CA7D9E"/>
    <w:rsid w:val="00CB134B"/>
    <w:rsid w:val="00CB5D06"/>
    <w:rsid w:val="00CC3E0C"/>
    <w:rsid w:val="00CC4D66"/>
    <w:rsid w:val="00CC587C"/>
    <w:rsid w:val="00CC58D3"/>
    <w:rsid w:val="00CC6BF3"/>
    <w:rsid w:val="00CC6C4A"/>
    <w:rsid w:val="00CC784D"/>
    <w:rsid w:val="00CC7909"/>
    <w:rsid w:val="00CD0A8A"/>
    <w:rsid w:val="00CD3514"/>
    <w:rsid w:val="00CD558A"/>
    <w:rsid w:val="00CD5B0D"/>
    <w:rsid w:val="00CD7EBA"/>
    <w:rsid w:val="00CE04F7"/>
    <w:rsid w:val="00CE13AF"/>
    <w:rsid w:val="00CE22BE"/>
    <w:rsid w:val="00CE3661"/>
    <w:rsid w:val="00CE4D29"/>
    <w:rsid w:val="00CE4D48"/>
    <w:rsid w:val="00CE53DB"/>
    <w:rsid w:val="00CF05A8"/>
    <w:rsid w:val="00CF3B02"/>
    <w:rsid w:val="00CF4B49"/>
    <w:rsid w:val="00CF587F"/>
    <w:rsid w:val="00CF7541"/>
    <w:rsid w:val="00D01A03"/>
    <w:rsid w:val="00D0337B"/>
    <w:rsid w:val="00D03B01"/>
    <w:rsid w:val="00D03DB5"/>
    <w:rsid w:val="00D058D7"/>
    <w:rsid w:val="00D06811"/>
    <w:rsid w:val="00D07684"/>
    <w:rsid w:val="00D079B2"/>
    <w:rsid w:val="00D114E9"/>
    <w:rsid w:val="00D12BD9"/>
    <w:rsid w:val="00D1311E"/>
    <w:rsid w:val="00D13749"/>
    <w:rsid w:val="00D150E9"/>
    <w:rsid w:val="00D237DD"/>
    <w:rsid w:val="00D37A07"/>
    <w:rsid w:val="00D41E4B"/>
    <w:rsid w:val="00D429C6"/>
    <w:rsid w:val="00D42FA0"/>
    <w:rsid w:val="00D4354B"/>
    <w:rsid w:val="00D435AF"/>
    <w:rsid w:val="00D46B8F"/>
    <w:rsid w:val="00D47748"/>
    <w:rsid w:val="00D47D0D"/>
    <w:rsid w:val="00D50E66"/>
    <w:rsid w:val="00D54A2B"/>
    <w:rsid w:val="00D54CC3"/>
    <w:rsid w:val="00D55F2A"/>
    <w:rsid w:val="00D6041A"/>
    <w:rsid w:val="00D620FC"/>
    <w:rsid w:val="00D62D6D"/>
    <w:rsid w:val="00D633EB"/>
    <w:rsid w:val="00D6509F"/>
    <w:rsid w:val="00D66866"/>
    <w:rsid w:val="00D6701F"/>
    <w:rsid w:val="00D71C38"/>
    <w:rsid w:val="00D72C3D"/>
    <w:rsid w:val="00D73BF3"/>
    <w:rsid w:val="00D73DCC"/>
    <w:rsid w:val="00D740DE"/>
    <w:rsid w:val="00D74AD9"/>
    <w:rsid w:val="00D75289"/>
    <w:rsid w:val="00D761A5"/>
    <w:rsid w:val="00D77021"/>
    <w:rsid w:val="00D77D77"/>
    <w:rsid w:val="00D82FF7"/>
    <w:rsid w:val="00D8336D"/>
    <w:rsid w:val="00D83EE6"/>
    <w:rsid w:val="00D847FE"/>
    <w:rsid w:val="00D87A1F"/>
    <w:rsid w:val="00D90E07"/>
    <w:rsid w:val="00D9181D"/>
    <w:rsid w:val="00D92D85"/>
    <w:rsid w:val="00D93148"/>
    <w:rsid w:val="00D93314"/>
    <w:rsid w:val="00D964EA"/>
    <w:rsid w:val="00D966D0"/>
    <w:rsid w:val="00D97AD6"/>
    <w:rsid w:val="00D97F09"/>
    <w:rsid w:val="00DA0C59"/>
    <w:rsid w:val="00DA3991"/>
    <w:rsid w:val="00DA5CB5"/>
    <w:rsid w:val="00DB0990"/>
    <w:rsid w:val="00DB417D"/>
    <w:rsid w:val="00DB468E"/>
    <w:rsid w:val="00DB7E44"/>
    <w:rsid w:val="00DB7E6C"/>
    <w:rsid w:val="00DC0A64"/>
    <w:rsid w:val="00DC17AB"/>
    <w:rsid w:val="00DC31ED"/>
    <w:rsid w:val="00DC5313"/>
    <w:rsid w:val="00DC5868"/>
    <w:rsid w:val="00DC798F"/>
    <w:rsid w:val="00DD00B0"/>
    <w:rsid w:val="00DD08EB"/>
    <w:rsid w:val="00DD157C"/>
    <w:rsid w:val="00DD1766"/>
    <w:rsid w:val="00DD42AE"/>
    <w:rsid w:val="00DD431F"/>
    <w:rsid w:val="00DD5A29"/>
    <w:rsid w:val="00DD5D9D"/>
    <w:rsid w:val="00DE0AC5"/>
    <w:rsid w:val="00DE103D"/>
    <w:rsid w:val="00DE1D57"/>
    <w:rsid w:val="00DE35CB"/>
    <w:rsid w:val="00DE3D87"/>
    <w:rsid w:val="00DE7777"/>
    <w:rsid w:val="00DF0198"/>
    <w:rsid w:val="00DF21E9"/>
    <w:rsid w:val="00DF3F4A"/>
    <w:rsid w:val="00E00F14"/>
    <w:rsid w:val="00E012F4"/>
    <w:rsid w:val="00E03640"/>
    <w:rsid w:val="00E062AD"/>
    <w:rsid w:val="00E06386"/>
    <w:rsid w:val="00E074A0"/>
    <w:rsid w:val="00E11C44"/>
    <w:rsid w:val="00E15974"/>
    <w:rsid w:val="00E2056A"/>
    <w:rsid w:val="00E2482C"/>
    <w:rsid w:val="00E24CB8"/>
    <w:rsid w:val="00E24EB4"/>
    <w:rsid w:val="00E252C9"/>
    <w:rsid w:val="00E2592C"/>
    <w:rsid w:val="00E27326"/>
    <w:rsid w:val="00E27F7C"/>
    <w:rsid w:val="00E320ED"/>
    <w:rsid w:val="00E33AFB"/>
    <w:rsid w:val="00E34218"/>
    <w:rsid w:val="00E419F0"/>
    <w:rsid w:val="00E43E31"/>
    <w:rsid w:val="00E43E3E"/>
    <w:rsid w:val="00E45726"/>
    <w:rsid w:val="00E4595B"/>
    <w:rsid w:val="00E46282"/>
    <w:rsid w:val="00E47F85"/>
    <w:rsid w:val="00E5061E"/>
    <w:rsid w:val="00E51048"/>
    <w:rsid w:val="00E5211F"/>
    <w:rsid w:val="00E5216E"/>
    <w:rsid w:val="00E52347"/>
    <w:rsid w:val="00E52926"/>
    <w:rsid w:val="00E57EBA"/>
    <w:rsid w:val="00E61797"/>
    <w:rsid w:val="00E63171"/>
    <w:rsid w:val="00E63783"/>
    <w:rsid w:val="00E63B04"/>
    <w:rsid w:val="00E64DE0"/>
    <w:rsid w:val="00E6530F"/>
    <w:rsid w:val="00E653D0"/>
    <w:rsid w:val="00E679D2"/>
    <w:rsid w:val="00E704BA"/>
    <w:rsid w:val="00E71FE1"/>
    <w:rsid w:val="00E72F4A"/>
    <w:rsid w:val="00E751A0"/>
    <w:rsid w:val="00E75BB8"/>
    <w:rsid w:val="00E805CC"/>
    <w:rsid w:val="00E819B5"/>
    <w:rsid w:val="00E82344"/>
    <w:rsid w:val="00E84C82"/>
    <w:rsid w:val="00E84D64"/>
    <w:rsid w:val="00E84F04"/>
    <w:rsid w:val="00E86A01"/>
    <w:rsid w:val="00E87408"/>
    <w:rsid w:val="00E903AF"/>
    <w:rsid w:val="00E914C4"/>
    <w:rsid w:val="00E920A1"/>
    <w:rsid w:val="00E934F5"/>
    <w:rsid w:val="00E95149"/>
    <w:rsid w:val="00E96414"/>
    <w:rsid w:val="00E96961"/>
    <w:rsid w:val="00E97B87"/>
    <w:rsid w:val="00EA0EC6"/>
    <w:rsid w:val="00EA0FA3"/>
    <w:rsid w:val="00EA11D0"/>
    <w:rsid w:val="00EA4C4C"/>
    <w:rsid w:val="00EA5B8E"/>
    <w:rsid w:val="00EA72EC"/>
    <w:rsid w:val="00EB0CF5"/>
    <w:rsid w:val="00EB11CB"/>
    <w:rsid w:val="00EB275A"/>
    <w:rsid w:val="00EB3A58"/>
    <w:rsid w:val="00EB4A42"/>
    <w:rsid w:val="00EB7162"/>
    <w:rsid w:val="00EB76D7"/>
    <w:rsid w:val="00EB786A"/>
    <w:rsid w:val="00EC0E25"/>
    <w:rsid w:val="00EC0FEA"/>
    <w:rsid w:val="00EC1578"/>
    <w:rsid w:val="00EC1C72"/>
    <w:rsid w:val="00EC1EAE"/>
    <w:rsid w:val="00EC229F"/>
    <w:rsid w:val="00EC3CC9"/>
    <w:rsid w:val="00EC4945"/>
    <w:rsid w:val="00EC680A"/>
    <w:rsid w:val="00EC6A30"/>
    <w:rsid w:val="00EC72B0"/>
    <w:rsid w:val="00ED03D7"/>
    <w:rsid w:val="00ED09D8"/>
    <w:rsid w:val="00ED7732"/>
    <w:rsid w:val="00ED7D7E"/>
    <w:rsid w:val="00EE0B57"/>
    <w:rsid w:val="00EE141A"/>
    <w:rsid w:val="00EE1632"/>
    <w:rsid w:val="00EE2BED"/>
    <w:rsid w:val="00EE374B"/>
    <w:rsid w:val="00EE5665"/>
    <w:rsid w:val="00EE79DB"/>
    <w:rsid w:val="00EF16E0"/>
    <w:rsid w:val="00EF1CD8"/>
    <w:rsid w:val="00EF3C52"/>
    <w:rsid w:val="00EF738F"/>
    <w:rsid w:val="00F00A1D"/>
    <w:rsid w:val="00F03DF2"/>
    <w:rsid w:val="00F04285"/>
    <w:rsid w:val="00F04EA6"/>
    <w:rsid w:val="00F07EF5"/>
    <w:rsid w:val="00F11BB5"/>
    <w:rsid w:val="00F13616"/>
    <w:rsid w:val="00F1417B"/>
    <w:rsid w:val="00F20C36"/>
    <w:rsid w:val="00F22DC9"/>
    <w:rsid w:val="00F23CF5"/>
    <w:rsid w:val="00F265F3"/>
    <w:rsid w:val="00F26A52"/>
    <w:rsid w:val="00F26C2E"/>
    <w:rsid w:val="00F32C8B"/>
    <w:rsid w:val="00F34B99"/>
    <w:rsid w:val="00F402A0"/>
    <w:rsid w:val="00F4375D"/>
    <w:rsid w:val="00F43F60"/>
    <w:rsid w:val="00F455E1"/>
    <w:rsid w:val="00F476D9"/>
    <w:rsid w:val="00F51C0D"/>
    <w:rsid w:val="00F52DAB"/>
    <w:rsid w:val="00F52EF8"/>
    <w:rsid w:val="00F543F0"/>
    <w:rsid w:val="00F55445"/>
    <w:rsid w:val="00F57730"/>
    <w:rsid w:val="00F579FB"/>
    <w:rsid w:val="00F6290A"/>
    <w:rsid w:val="00F6343A"/>
    <w:rsid w:val="00F64AB4"/>
    <w:rsid w:val="00F661D7"/>
    <w:rsid w:val="00F66EEA"/>
    <w:rsid w:val="00F70D1D"/>
    <w:rsid w:val="00F71CD7"/>
    <w:rsid w:val="00F72B88"/>
    <w:rsid w:val="00F73701"/>
    <w:rsid w:val="00F74948"/>
    <w:rsid w:val="00F75B40"/>
    <w:rsid w:val="00F801A6"/>
    <w:rsid w:val="00F80D57"/>
    <w:rsid w:val="00F816B4"/>
    <w:rsid w:val="00F81D29"/>
    <w:rsid w:val="00F832EF"/>
    <w:rsid w:val="00F85A82"/>
    <w:rsid w:val="00F879DC"/>
    <w:rsid w:val="00F91C4D"/>
    <w:rsid w:val="00F92FD9"/>
    <w:rsid w:val="00F931A1"/>
    <w:rsid w:val="00F94463"/>
    <w:rsid w:val="00F9601A"/>
    <w:rsid w:val="00F977A7"/>
    <w:rsid w:val="00FA013C"/>
    <w:rsid w:val="00FA239B"/>
    <w:rsid w:val="00FA3365"/>
    <w:rsid w:val="00FA4760"/>
    <w:rsid w:val="00FA5ABD"/>
    <w:rsid w:val="00FA62AF"/>
    <w:rsid w:val="00FA6684"/>
    <w:rsid w:val="00FA731E"/>
    <w:rsid w:val="00FB07EB"/>
    <w:rsid w:val="00FB2B38"/>
    <w:rsid w:val="00FB5094"/>
    <w:rsid w:val="00FB6E89"/>
    <w:rsid w:val="00FC0EB0"/>
    <w:rsid w:val="00FC1D27"/>
    <w:rsid w:val="00FC3F5F"/>
    <w:rsid w:val="00FC6358"/>
    <w:rsid w:val="00FC7270"/>
    <w:rsid w:val="00FC76D1"/>
    <w:rsid w:val="00FC7CF5"/>
    <w:rsid w:val="00FC7E1F"/>
    <w:rsid w:val="00FD01CF"/>
    <w:rsid w:val="00FD2433"/>
    <w:rsid w:val="00FD320D"/>
    <w:rsid w:val="00FD5E8D"/>
    <w:rsid w:val="00FE23DE"/>
    <w:rsid w:val="00FE45C8"/>
    <w:rsid w:val="00FE5F66"/>
    <w:rsid w:val="00FE6746"/>
    <w:rsid w:val="00FE7243"/>
    <w:rsid w:val="00FE737C"/>
    <w:rsid w:val="00FF0AFE"/>
    <w:rsid w:val="00FF0E54"/>
    <w:rsid w:val="00FF1165"/>
    <w:rsid w:val="00FF1285"/>
    <w:rsid w:val="00FF2863"/>
    <w:rsid w:val="00FF313E"/>
    <w:rsid w:val="00FF3FAA"/>
    <w:rsid w:val="00FF6887"/>
    <w:rsid w:val="00FF698F"/>
    <w:rsid w:val="00FF6D6C"/>
    <w:rsid w:val="07153684"/>
    <w:rsid w:val="08C51D39"/>
    <w:rsid w:val="0E241991"/>
    <w:rsid w:val="0E7F5341"/>
    <w:rsid w:val="12AF0751"/>
    <w:rsid w:val="16DB1C99"/>
    <w:rsid w:val="1D8C4FFF"/>
    <w:rsid w:val="201F5D69"/>
    <w:rsid w:val="213F41F6"/>
    <w:rsid w:val="24DB5972"/>
    <w:rsid w:val="25493047"/>
    <w:rsid w:val="2A315BCB"/>
    <w:rsid w:val="34F0518B"/>
    <w:rsid w:val="3678460A"/>
    <w:rsid w:val="36896FA6"/>
    <w:rsid w:val="394C5F66"/>
    <w:rsid w:val="3C01346B"/>
    <w:rsid w:val="41146449"/>
    <w:rsid w:val="43512D7B"/>
    <w:rsid w:val="46BE6AB4"/>
    <w:rsid w:val="47467E1E"/>
    <w:rsid w:val="47607AAE"/>
    <w:rsid w:val="4AEA76CC"/>
    <w:rsid w:val="4B851E31"/>
    <w:rsid w:val="52A51DDF"/>
    <w:rsid w:val="53351F84"/>
    <w:rsid w:val="53E429E6"/>
    <w:rsid w:val="565A340A"/>
    <w:rsid w:val="5B123E6D"/>
    <w:rsid w:val="5C9F0AA1"/>
    <w:rsid w:val="60C0036F"/>
    <w:rsid w:val="64A216B3"/>
    <w:rsid w:val="685A69D2"/>
    <w:rsid w:val="6B577137"/>
    <w:rsid w:val="6D9114AA"/>
    <w:rsid w:val="6F0F261A"/>
    <w:rsid w:val="760D58E7"/>
    <w:rsid w:val="770F5840"/>
    <w:rsid w:val="7AA07356"/>
    <w:rsid w:val="7BBE63A7"/>
    <w:rsid w:val="7DA07348"/>
    <w:rsid w:val="7EA02A8E"/>
    <w:rsid w:val="7EB64F27"/>
    <w:rsid w:val="7F65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146"/>
    <w:semiHidden/>
    <w:unhideWhenUsed/>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138"/>
    <w:qFormat/>
    <w:uiPriority w:val="0"/>
    <w:rPr>
      <w:sz w:val="18"/>
      <w:szCs w:val="18"/>
    </w:rPr>
  </w:style>
  <w:style w:type="paragraph" w:styleId="17">
    <w:name w:val="footer"/>
    <w:basedOn w:val="1"/>
    <w:link w:val="142"/>
    <w:qFormat/>
    <w:uiPriority w:val="0"/>
    <w:pPr>
      <w:snapToGrid w:val="0"/>
      <w:ind w:right="210" w:rightChars="100"/>
      <w:jc w:val="right"/>
    </w:pPr>
    <w:rPr>
      <w:sz w:val="18"/>
      <w:szCs w:val="18"/>
    </w:rPr>
  </w:style>
  <w:style w:type="paragraph" w:styleId="18">
    <w:name w:val="header"/>
    <w:basedOn w:val="1"/>
    <w:link w:val="139"/>
    <w:qFormat/>
    <w:uiPriority w:val="0"/>
    <w:pPr>
      <w:snapToGrid w:val="0"/>
      <w:jc w:val="left"/>
    </w:pPr>
    <w:rPr>
      <w:sz w:val="18"/>
      <w:szCs w:val="18"/>
    </w:rPr>
  </w:style>
  <w:style w:type="paragraph" w:styleId="19">
    <w:name w:val="toc 1"/>
    <w:basedOn w:val="1"/>
    <w:next w:val="1"/>
    <w:qFormat/>
    <w:uiPriority w:val="0"/>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7"/>
    <w:next w:val="7"/>
    <w:link w:val="141"/>
    <w:semiHidden/>
    <w:unhideWhenUsed/>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qFormat/>
    <w:uiPriority w:val="22"/>
    <w:rPr>
      <w:b/>
      <w:bCs/>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basedOn w:val="34"/>
    <w:semiHidden/>
    <w:unhideWhenUsed/>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3"/>
    <w:qFormat/>
    <w:uiPriority w:val="99"/>
    <w:rPr>
      <w:rFonts w:ascii="宋体"/>
      <w:sz w:val="21"/>
      <w:lang w:val="en-US" w:eastAsia="zh-CN" w:bidi="ar-SA"/>
    </w:rPr>
  </w:style>
  <w:style w:type="paragraph" w:customStyle="1" w:styleId="43">
    <w:name w:val="一级条标题"/>
    <w:next w:val="23"/>
    <w:link w:val="15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3"/>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3"/>
    <w:qFormat/>
    <w:uiPriority w:val="0"/>
    <w:pPr>
      <w:numPr>
        <w:ilvl w:val="0"/>
        <w:numId w:val="0"/>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3"/>
    <w:qFormat/>
    <w:uiPriority w:val="0"/>
    <w:pPr>
      <w:numPr>
        <w:ilvl w:val="4"/>
        <w:numId w:val="2"/>
      </w:numPr>
      <w:outlineLvl w:val="5"/>
    </w:pPr>
  </w:style>
  <w:style w:type="paragraph" w:customStyle="1" w:styleId="57">
    <w:name w:val="五级条标题"/>
    <w:basedOn w:val="56"/>
    <w:next w:val="23"/>
    <w:qFormat/>
    <w:uiPriority w:val="0"/>
    <w:pPr>
      <w:numPr>
        <w:ilvl w:val="5"/>
      </w:numPr>
      <w:outlineLvl w:val="6"/>
    </w:pPr>
  </w:style>
  <w:style w:type="paragraph" w:customStyle="1" w:styleId="58">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ind w:left="0"/>
    </w:pPr>
    <w:rPr>
      <w:rFonts w:ascii="宋体" w:eastAsia="宋体"/>
    </w:rPr>
  </w:style>
  <w:style w:type="paragraph" w:customStyle="1" w:styleId="65">
    <w:name w:val="注：（正文）"/>
    <w:basedOn w:val="58"/>
    <w:next w:val="23"/>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3"/>
    <w:next w:val="23"/>
    <w:qFormat/>
    <w:uiPriority w:val="0"/>
    <w:pPr>
      <w:ind w:firstLine="0" w:firstLineChars="0"/>
      <w:jc w:val="center"/>
    </w:pPr>
    <w:rPr>
      <w:rFonts w:ascii="黑体" w:eastAsia="黑体"/>
    </w:rPr>
  </w:style>
  <w:style w:type="paragraph" w:customStyle="1" w:styleId="87">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8">
    <w:name w:val="附录表标题"/>
    <w:basedOn w:val="1"/>
    <w:next w:val="23"/>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3"/>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3"/>
    <w:next w:val="23"/>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3"/>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7">
    <w:name w:val="附录四级条标题"/>
    <w:basedOn w:val="94"/>
    <w:next w:val="23"/>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0">
    <w:name w:val="附录图标题"/>
    <w:basedOn w:val="1"/>
    <w:next w:val="23"/>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3"/>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3"/>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3"/>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3"/>
    <w:next w:val="23"/>
    <w:qFormat/>
    <w:uiPriority w:val="0"/>
    <w:pPr>
      <w:ind w:firstLine="360"/>
    </w:pPr>
    <w:rPr>
      <w:sz w:val="18"/>
    </w:rPr>
  </w:style>
  <w:style w:type="paragraph" w:customStyle="1" w:styleId="117">
    <w:name w:val="首示例"/>
    <w:next w:val="23"/>
    <w:link w:val="118"/>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4"/>
    <w:qFormat/>
    <w:uiPriority w:val="0"/>
    <w:pPr>
      <w:numPr>
        <w:numId w:val="0"/>
      </w:numPr>
      <w:jc w:val="both"/>
    </w:pPr>
  </w:style>
  <w:style w:type="paragraph" w:customStyle="1" w:styleId="121">
    <w:name w:val="图标脚注说明"/>
    <w:basedOn w:val="23"/>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3"/>
    <w:next w:val="23"/>
    <w:qFormat/>
    <w:uiPriority w:val="0"/>
    <w:pPr>
      <w:ind w:firstLine="0" w:firstLineChars="0"/>
    </w:pPr>
  </w:style>
  <w:style w:type="paragraph" w:customStyle="1" w:styleId="129">
    <w:name w:val="正文图标题"/>
    <w:next w:val="23"/>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character" w:customStyle="1" w:styleId="138">
    <w:name w:val="批注框文本 Char"/>
    <w:link w:val="16"/>
    <w:qFormat/>
    <w:uiPriority w:val="0"/>
    <w:rPr>
      <w:kern w:val="2"/>
      <w:sz w:val="18"/>
      <w:szCs w:val="18"/>
    </w:rPr>
  </w:style>
  <w:style w:type="character" w:customStyle="1" w:styleId="139">
    <w:name w:val="页眉 Char"/>
    <w:basedOn w:val="34"/>
    <w:link w:val="18"/>
    <w:qFormat/>
    <w:uiPriority w:val="99"/>
    <w:rPr>
      <w:kern w:val="2"/>
      <w:sz w:val="18"/>
      <w:szCs w:val="18"/>
    </w:rPr>
  </w:style>
  <w:style w:type="character" w:customStyle="1" w:styleId="140">
    <w:name w:val="批注文字 Char"/>
    <w:basedOn w:val="34"/>
    <w:link w:val="7"/>
    <w:semiHidden/>
    <w:qFormat/>
    <w:uiPriority w:val="0"/>
    <w:rPr>
      <w:kern w:val="2"/>
      <w:sz w:val="21"/>
      <w:szCs w:val="24"/>
    </w:rPr>
  </w:style>
  <w:style w:type="character" w:customStyle="1" w:styleId="141">
    <w:name w:val="批注主题 Char"/>
    <w:basedOn w:val="140"/>
    <w:link w:val="31"/>
    <w:semiHidden/>
    <w:qFormat/>
    <w:uiPriority w:val="0"/>
    <w:rPr>
      <w:b/>
      <w:bCs/>
      <w:kern w:val="2"/>
      <w:sz w:val="21"/>
      <w:szCs w:val="24"/>
    </w:rPr>
  </w:style>
  <w:style w:type="character" w:customStyle="1" w:styleId="142">
    <w:name w:val="页脚 Char"/>
    <w:basedOn w:val="34"/>
    <w:link w:val="17"/>
    <w:qFormat/>
    <w:uiPriority w:val="99"/>
    <w:rPr>
      <w:kern w:val="2"/>
      <w:sz w:val="18"/>
      <w:szCs w:val="18"/>
    </w:rPr>
  </w:style>
  <w:style w:type="paragraph" w:styleId="143">
    <w:name w:val="List Paragraph"/>
    <w:basedOn w:val="1"/>
    <w:qFormat/>
    <w:uiPriority w:val="34"/>
    <w:pPr>
      <w:ind w:firstLine="420" w:firstLineChars="200"/>
    </w:pPr>
  </w:style>
  <w:style w:type="character" w:styleId="144">
    <w:name w:val="Placeholder Text"/>
    <w:basedOn w:val="34"/>
    <w:semiHidden/>
    <w:qFormat/>
    <w:uiPriority w:val="99"/>
    <w:rPr>
      <w:color w:val="808080"/>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6">
    <w:name w:val="日期 Char"/>
    <w:basedOn w:val="34"/>
    <w:link w:val="14"/>
    <w:semiHidden/>
    <w:qFormat/>
    <w:uiPriority w:val="0"/>
    <w:rPr>
      <w:kern w:val="2"/>
      <w:sz w:val="21"/>
      <w:szCs w:val="24"/>
    </w:rPr>
  </w:style>
  <w:style w:type="paragraph" w:customStyle="1" w:styleId="147">
    <w:name w:val="二级无标题条"/>
    <w:basedOn w:val="1"/>
    <w:qFormat/>
    <w:uiPriority w:val="99"/>
    <w:pPr>
      <w:widowControl/>
      <w:numPr>
        <w:ilvl w:val="3"/>
        <w:numId w:val="19"/>
      </w:numPr>
      <w:jc w:val="left"/>
    </w:pPr>
    <w:rPr>
      <w:rFonts w:asciiTheme="minorHAnsi" w:hAnsiTheme="minorHAnsi" w:eastAsiaTheme="minorEastAsia"/>
      <w:kern w:val="0"/>
      <w:sz w:val="24"/>
    </w:rPr>
  </w:style>
  <w:style w:type="paragraph" w:customStyle="1" w:styleId="148">
    <w:name w:val="三级无标题条"/>
    <w:basedOn w:val="1"/>
    <w:qFormat/>
    <w:uiPriority w:val="99"/>
    <w:pPr>
      <w:widowControl/>
      <w:numPr>
        <w:ilvl w:val="4"/>
        <w:numId w:val="19"/>
      </w:numPr>
      <w:jc w:val="left"/>
    </w:pPr>
    <w:rPr>
      <w:rFonts w:asciiTheme="minorHAnsi" w:hAnsiTheme="minorHAnsi" w:eastAsiaTheme="minorEastAsia"/>
      <w:kern w:val="0"/>
      <w:sz w:val="24"/>
    </w:rPr>
  </w:style>
  <w:style w:type="paragraph" w:customStyle="1" w:styleId="149">
    <w:name w:val="四级无标题条"/>
    <w:basedOn w:val="1"/>
    <w:qFormat/>
    <w:uiPriority w:val="99"/>
    <w:pPr>
      <w:widowControl/>
      <w:numPr>
        <w:ilvl w:val="5"/>
        <w:numId w:val="19"/>
      </w:numPr>
      <w:jc w:val="left"/>
    </w:pPr>
    <w:rPr>
      <w:rFonts w:asciiTheme="minorHAnsi" w:hAnsiTheme="minorHAnsi" w:eastAsiaTheme="minorEastAsia"/>
      <w:kern w:val="0"/>
      <w:sz w:val="24"/>
    </w:rPr>
  </w:style>
  <w:style w:type="paragraph" w:customStyle="1" w:styleId="150">
    <w:name w:val="五级无标题条"/>
    <w:basedOn w:val="1"/>
    <w:qFormat/>
    <w:uiPriority w:val="99"/>
    <w:pPr>
      <w:widowControl/>
      <w:numPr>
        <w:ilvl w:val="6"/>
        <w:numId w:val="19"/>
      </w:numPr>
      <w:jc w:val="left"/>
    </w:pPr>
    <w:rPr>
      <w:rFonts w:asciiTheme="minorHAnsi" w:hAnsiTheme="minorHAnsi" w:eastAsiaTheme="minorEastAsia"/>
      <w:kern w:val="0"/>
      <w:sz w:val="24"/>
    </w:rPr>
  </w:style>
  <w:style w:type="paragraph" w:customStyle="1" w:styleId="151">
    <w:name w:val="一级无标题条"/>
    <w:basedOn w:val="1"/>
    <w:qFormat/>
    <w:uiPriority w:val="99"/>
    <w:pPr>
      <w:widowControl/>
      <w:numPr>
        <w:ilvl w:val="2"/>
        <w:numId w:val="19"/>
      </w:numPr>
      <w:jc w:val="left"/>
    </w:pPr>
    <w:rPr>
      <w:rFonts w:asciiTheme="minorHAnsi" w:hAnsiTheme="minorHAnsi" w:eastAsiaTheme="minorEastAsia"/>
      <w:kern w:val="0"/>
      <w:sz w:val="24"/>
    </w:rPr>
  </w:style>
  <w:style w:type="character" w:customStyle="1" w:styleId="152">
    <w:name w:val="一级条标题 Char1"/>
    <w:basedOn w:val="34"/>
    <w:link w:val="43"/>
    <w:qFormat/>
    <w:uiPriority w:val="0"/>
    <w:rPr>
      <w:rFonts w:ascii="黑体" w:eastAsia="黑体"/>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8B7CF-8579-4F3C-A758-F2B95EFBA242}">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712</Words>
  <Characters>4062</Characters>
  <Lines>33</Lines>
  <Paragraphs>9</Paragraphs>
  <TotalTime>272</TotalTime>
  <ScaleCrop>false</ScaleCrop>
  <LinksUpToDate>false</LinksUpToDate>
  <CharactersWithSpaces>4765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2023-05-24T11:47:00Z</dcterms:created>
  <dc:creator>CNIS</dc:creator>
  <cp:lastModifiedBy>种美丽</cp:lastModifiedBy>
  <cp:lastPrinted>2023-07-27T05:42:35Z</cp:lastPrinted>
  <dcterms:modified xsi:type="dcterms:W3CDTF">2023-07-27T05:43:30Z</dcterms:modified>
  <dc:title>标准名称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3398F0EF2E7243A08F04CCF6DBC52D27_13</vt:lpwstr>
  </property>
</Properties>
</file>