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360" w:lineRule="auto"/>
        <w:jc w:val="left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1</w:t>
      </w:r>
    </w:p>
    <w:p>
      <w:pPr>
        <w:overflowPunct w:val="0"/>
        <w:topLinePunct/>
        <w:autoSpaceDE w:val="0"/>
        <w:autoSpaceDN w:val="0"/>
        <w:adjustRightInd w:val="0"/>
        <w:spacing w:line="594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市场监管行业标准管理范围</w:t>
      </w:r>
    </w:p>
    <w:p>
      <w:pPr>
        <w:overflowPunct w:val="0"/>
        <w:topLinePunct/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（一）市场监管综合执法行政业务相关管理标准。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（二）市场主体统一登记注册和营业执照核发、市场监管领域（不含药品、医疗器械、化妆品监管领域）涉企经营许可电子证件管理等相关标准。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（三）市场监管领域市场主体信用风险分类管理、市场主体信用修复、市场主体经营异常名录和严重违法失信名单等信用管理相关标准。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（四）价格收费违法违规、不正当竞争、垄断经营及违法直销、传销管理相关标准。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（五）网络市场经营主体及行为的监管，以及合同管理等相关标准。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（六）消费环境建设及消费维权管理相关标准。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（七）广告监管相关标准。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（八）市场监管领域产品伤害监测、质量统计监测、质量督察考核、质量基础设施协同服务和产品防伪质量管理等相关标准。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（九）产品质量监督抽查、工业产品生产许可管理、产品质量安全风险监控、分类监管、产品质量安全追溯、棉花等纤维质量监督等相关产品质量安全监管标准。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（十）市场监管领域食品相关监管标准。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十一）特种设备的生产、经营、使用、检验、检测相关标准，特种设备进出口、高耗能特种设备节能、锅炉环境保护监督检查（不含房屋建筑工地和市政工程工地起重机械、场（厂）内专用机动车辆的安装、使用）等相关标准。</w:t>
      </w:r>
    </w:p>
    <w:p>
      <w:pPr>
        <w:overflowPunct w:val="0"/>
        <w:topLinePunct/>
        <w:adjustRightInd w:val="0"/>
        <w:spacing w:line="594" w:lineRule="exact"/>
        <w:ind w:firstLine="640" w:firstLineChars="200"/>
      </w:pPr>
      <w:r>
        <w:rPr>
          <w:rFonts w:hint="eastAsia" w:ascii="Times New Roman" w:hAnsi="Times New Roman" w:eastAsia="仿宋_GB2312"/>
          <w:sz w:val="32"/>
          <w:szCs w:val="32"/>
        </w:rPr>
        <w:t>（十二）市场监管领域（不含药品、医疗器械、化妆品监管领域）信息和数据采集、表示、处理、传输、共享与交换、安全、描述、管理、组织、存储、检索及其技术，包括信息资源利用、云服务、数据治理、大数据应用等市场监管信息化相关标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84E73"/>
    <w:rsid w:val="3EAB0813"/>
    <w:rsid w:val="7FBC7A3E"/>
    <w:rsid w:val="AFFD539B"/>
    <w:rsid w:val="BB7E9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616</Characters>
  <Lines>0</Lines>
  <Paragraphs>0</Paragraphs>
  <TotalTime>1</TotalTime>
  <ScaleCrop>false</ScaleCrop>
  <LinksUpToDate>false</LinksUpToDate>
  <CharactersWithSpaces>616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oa</cp:lastModifiedBy>
  <dcterms:modified xsi:type="dcterms:W3CDTF">2023-09-05T10:45:09Z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715DB1AACB434EA8B62E0CD54BF4451F_13</vt:lpwstr>
  </property>
</Properties>
</file>