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黑体" w:hAnsi="黑体" w:eastAsia="黑体"/>
          <w:bCs/>
          <w:sz w:val="32"/>
          <w:szCs w:val="32"/>
        </w:rPr>
      </w:pPr>
      <w:r>
        <w:rPr>
          <w:rFonts w:ascii="黑体" w:hAnsi="黑体" w:eastAsia="黑体"/>
          <w:bCs/>
          <w:sz w:val="32"/>
          <w:szCs w:val="32"/>
        </w:rPr>
        <w:t>《</w:t>
      </w:r>
      <w:r>
        <w:rPr>
          <w:rFonts w:ascii="黑体" w:hAnsi="黑体" w:eastAsia="黑体"/>
          <w:sz w:val="32"/>
          <w:szCs w:val="32"/>
        </w:rPr>
        <w:t xml:space="preserve">食品安全国家标准 </w:t>
      </w:r>
      <w:r>
        <w:rPr>
          <w:rFonts w:hint="eastAsia" w:ascii="黑体" w:hAnsi="黑体" w:eastAsia="黑体"/>
          <w:sz w:val="32"/>
          <w:szCs w:val="32"/>
        </w:rPr>
        <w:t>食品</w:t>
      </w:r>
      <w:r>
        <w:rPr>
          <w:rFonts w:hint="eastAsia" w:ascii="黑体" w:hAnsi="黑体" w:eastAsia="黑体"/>
          <w:bCs/>
          <w:sz w:val="32"/>
          <w:szCs w:val="32"/>
        </w:rPr>
        <w:t>添加剂</w:t>
      </w:r>
      <w:r>
        <w:rPr>
          <w:rFonts w:ascii="黑体" w:hAnsi="黑体" w:eastAsia="黑体"/>
          <w:bCs/>
          <w:sz w:val="32"/>
          <w:szCs w:val="32"/>
        </w:rPr>
        <w:t xml:space="preserve"> </w:t>
      </w:r>
      <w:r>
        <w:rPr>
          <w:rFonts w:hint="eastAsia" w:ascii="黑体" w:hAnsi="黑体" w:eastAsia="黑体"/>
          <w:bCs/>
          <w:sz w:val="32"/>
          <w:szCs w:val="32"/>
        </w:rPr>
        <w:t>乳酸</w:t>
      </w:r>
      <w:r>
        <w:rPr>
          <w:rFonts w:ascii="黑体" w:hAnsi="黑体" w:eastAsia="黑体"/>
          <w:bCs/>
          <w:sz w:val="32"/>
          <w:szCs w:val="32"/>
        </w:rPr>
        <w:t>》</w:t>
      </w:r>
    </w:p>
    <w:p>
      <w:pPr>
        <w:widowControl/>
        <w:jc w:val="center"/>
        <w:rPr>
          <w:rFonts w:ascii="黑体" w:hAnsi="黑体" w:eastAsia="黑体"/>
          <w:sz w:val="28"/>
          <w:szCs w:val="28"/>
        </w:rPr>
      </w:pPr>
      <w:r>
        <w:rPr>
          <w:rFonts w:hint="eastAsia" w:ascii="黑体" w:hAnsi="黑体" w:eastAsia="黑体"/>
          <w:bCs/>
          <w:sz w:val="32"/>
          <w:szCs w:val="32"/>
        </w:rPr>
        <w:t>（GB</w:t>
      </w:r>
      <w:r>
        <w:rPr>
          <w:rFonts w:ascii="黑体" w:hAnsi="黑体" w:eastAsia="黑体"/>
          <w:bCs/>
          <w:sz w:val="32"/>
          <w:szCs w:val="32"/>
        </w:rPr>
        <w:t xml:space="preserve"> </w:t>
      </w:r>
      <w:r>
        <w:rPr>
          <w:rFonts w:hint="eastAsia" w:ascii="黑体" w:hAnsi="黑体" w:eastAsia="黑体"/>
          <w:bCs/>
          <w:sz w:val="32"/>
          <w:szCs w:val="32"/>
        </w:rPr>
        <w:t>1886.173-XXXX）（征求意见稿）</w:t>
      </w:r>
      <w:r>
        <w:rPr>
          <w:rFonts w:ascii="黑体" w:hAnsi="黑体" w:eastAsia="黑体"/>
          <w:sz w:val="32"/>
          <w:szCs w:val="32"/>
        </w:rPr>
        <w:t>编制说明</w:t>
      </w:r>
    </w:p>
    <w:p>
      <w:pPr>
        <w:numPr>
          <w:ilvl w:val="255"/>
          <w:numId w:val="0"/>
        </w:numPr>
        <w:tabs>
          <w:tab w:val="left" w:pos="426"/>
        </w:tabs>
        <w:spacing w:before="193" w:after="193" w:line="360" w:lineRule="auto"/>
        <w:rPr>
          <w:rFonts w:ascii="黑体" w:hAnsi="黑体" w:eastAsia="黑体"/>
          <w:szCs w:val="21"/>
        </w:rPr>
      </w:pPr>
      <w:r>
        <w:rPr>
          <w:rFonts w:hint="eastAsia" w:ascii="黑体" w:hAnsi="黑体" w:eastAsia="黑体"/>
          <w:szCs w:val="21"/>
        </w:rPr>
        <w:t>一、标准起草基本情况</w:t>
      </w:r>
    </w:p>
    <w:p>
      <w:pPr>
        <w:spacing w:line="360" w:lineRule="auto"/>
        <w:outlineLvl w:val="0"/>
        <w:rPr>
          <w:rFonts w:ascii="黑体" w:hAnsi="黑体" w:eastAsia="黑体"/>
          <w:szCs w:val="21"/>
        </w:rPr>
      </w:pPr>
      <w:r>
        <w:rPr>
          <w:rFonts w:hint="eastAsia" w:ascii="黑体" w:hAnsi="黑体" w:eastAsia="黑体"/>
          <w:szCs w:val="21"/>
        </w:rPr>
        <w:t>（一）项目承担单位、参与人员</w:t>
      </w:r>
    </w:p>
    <w:p>
      <w:pPr>
        <w:widowControl/>
        <w:spacing w:line="360" w:lineRule="auto"/>
        <w:ind w:firstLine="420" w:firstLineChars="200"/>
        <w:rPr>
          <w:szCs w:val="21"/>
        </w:rPr>
      </w:pPr>
      <w:r>
        <w:rPr>
          <w:szCs w:val="28"/>
        </w:rPr>
        <w:t>根据《国家卫生健康委办公厅关于印发202</w:t>
      </w:r>
      <w:r>
        <w:rPr>
          <w:rFonts w:hint="eastAsia"/>
          <w:szCs w:val="28"/>
        </w:rPr>
        <w:t>2</w:t>
      </w:r>
      <w:r>
        <w:rPr>
          <w:szCs w:val="28"/>
        </w:rPr>
        <w:t>年度食品安全国家标准立项计划的通知》（国卫办食品函〔202</w:t>
      </w:r>
      <w:r>
        <w:rPr>
          <w:rFonts w:hint="eastAsia"/>
          <w:szCs w:val="28"/>
        </w:rPr>
        <w:t>2</w:t>
      </w:r>
      <w:r>
        <w:rPr>
          <w:szCs w:val="28"/>
        </w:rPr>
        <w:t>〕</w:t>
      </w:r>
      <w:r>
        <w:rPr>
          <w:rFonts w:hint="eastAsia"/>
          <w:szCs w:val="28"/>
        </w:rPr>
        <w:t>262</w:t>
      </w:r>
      <w:r>
        <w:rPr>
          <w:szCs w:val="28"/>
        </w:rPr>
        <w:t>号），</w:t>
      </w:r>
      <w:r>
        <w:rPr>
          <w:szCs w:val="21"/>
        </w:rPr>
        <w:t xml:space="preserve">《食品安全国家标准 食品添加剂 </w:t>
      </w:r>
      <w:r>
        <w:rPr>
          <w:rFonts w:hint="eastAsia"/>
          <w:szCs w:val="21"/>
        </w:rPr>
        <w:t>乳酸</w:t>
      </w:r>
      <w:r>
        <w:rPr>
          <w:szCs w:val="21"/>
        </w:rPr>
        <w:t>》被列入202</w:t>
      </w:r>
      <w:r>
        <w:rPr>
          <w:rFonts w:hint="eastAsia"/>
          <w:szCs w:val="21"/>
        </w:rPr>
        <w:t>2</w:t>
      </w:r>
      <w:r>
        <w:rPr>
          <w:szCs w:val="21"/>
        </w:rPr>
        <w:t>年度食品安全国家标准修订计划</w:t>
      </w:r>
      <w:r>
        <w:rPr>
          <w:rFonts w:hint="eastAsia"/>
          <w:szCs w:val="21"/>
        </w:rPr>
        <w:t>（项目编号为</w:t>
      </w:r>
      <w:r>
        <w:rPr>
          <w:szCs w:val="21"/>
        </w:rPr>
        <w:t>spaq-2022-08</w:t>
      </w:r>
      <w:r>
        <w:rPr>
          <w:rFonts w:hint="eastAsia"/>
          <w:szCs w:val="21"/>
        </w:rPr>
        <w:t>）</w:t>
      </w:r>
      <w:r>
        <w:rPr>
          <w:szCs w:val="21"/>
        </w:rPr>
        <w:t>，项目承担单位为</w:t>
      </w:r>
      <w:r>
        <w:rPr>
          <w:rFonts w:hint="eastAsia"/>
          <w:szCs w:val="21"/>
        </w:rPr>
        <w:t>中国食品添加剂和配料协会、国家食品安全风险评估中心、大连大学、发酵行业生产力促进中心</w:t>
      </w:r>
      <w:r>
        <w:rPr>
          <w:szCs w:val="21"/>
        </w:rPr>
        <w:t>。</w:t>
      </w:r>
    </w:p>
    <w:p>
      <w:pPr>
        <w:widowControl/>
        <w:spacing w:line="360" w:lineRule="auto"/>
        <w:ind w:firstLine="420" w:firstLineChars="200"/>
        <w:rPr>
          <w:szCs w:val="21"/>
        </w:rPr>
      </w:pPr>
      <w:r>
        <w:rPr>
          <w:szCs w:val="21"/>
        </w:rPr>
        <w:t>本标准主要起草人</w:t>
      </w:r>
      <w:r>
        <w:rPr>
          <w:rFonts w:hint="eastAsia"/>
          <w:szCs w:val="21"/>
        </w:rPr>
        <w:t>：略。</w:t>
      </w:r>
      <w:r>
        <w:rPr>
          <w:szCs w:val="21"/>
        </w:rPr>
        <w:t>负责标准技术资料查询、收集及对比，检测方法的验证比对，样品检测及数据整理，标准文本及编制说明的起草、撰写，行业内征求意见，组织标准的研讨会及标准报送等。</w:t>
      </w:r>
    </w:p>
    <w:p>
      <w:pPr>
        <w:spacing w:line="360" w:lineRule="auto"/>
        <w:outlineLvl w:val="0"/>
        <w:rPr>
          <w:rFonts w:ascii="黑体" w:hAnsi="黑体" w:eastAsia="黑体"/>
          <w:szCs w:val="21"/>
        </w:rPr>
      </w:pPr>
      <w:r>
        <w:rPr>
          <w:rFonts w:ascii="黑体" w:hAnsi="黑体" w:eastAsia="黑体"/>
          <w:szCs w:val="21"/>
        </w:rPr>
        <w:t>（二）简要起草过程</w:t>
      </w:r>
    </w:p>
    <w:p>
      <w:pPr>
        <w:widowControl/>
        <w:spacing w:line="360" w:lineRule="auto"/>
        <w:ind w:firstLine="420" w:firstLineChars="200"/>
        <w:rPr>
          <w:szCs w:val="21"/>
        </w:rPr>
      </w:pPr>
      <w:r>
        <w:rPr>
          <w:szCs w:val="21"/>
        </w:rPr>
        <w:t>1．标准任务下达后，中国食品添加剂和配料协会</w:t>
      </w:r>
      <w:r>
        <w:rPr>
          <w:rFonts w:hint="eastAsia"/>
          <w:szCs w:val="21"/>
        </w:rPr>
        <w:t>（以下简称“添加剂协会”）会同国家食品安全风险评估中心（以下简称“评估中心”）、大连大学、发酵行业生产力促进中心（以下简称“发酵产促中心”）</w:t>
      </w:r>
      <w:r>
        <w:rPr>
          <w:szCs w:val="21"/>
        </w:rPr>
        <w:t>针对修订</w:t>
      </w:r>
      <w:r>
        <w:rPr>
          <w:rFonts w:hint="eastAsia"/>
          <w:szCs w:val="21"/>
        </w:rPr>
        <w:t>《</w:t>
      </w:r>
      <w:r>
        <w:rPr>
          <w:szCs w:val="21"/>
        </w:rPr>
        <w:t>食品安全国家标准</w:t>
      </w:r>
      <w:r>
        <w:rPr>
          <w:rFonts w:hint="eastAsia"/>
          <w:szCs w:val="21"/>
        </w:rPr>
        <w:t xml:space="preserve"> </w:t>
      </w:r>
      <w:r>
        <w:rPr>
          <w:szCs w:val="21"/>
        </w:rPr>
        <w:t>食品添加剂</w:t>
      </w:r>
      <w:r>
        <w:rPr>
          <w:rFonts w:hint="eastAsia"/>
          <w:szCs w:val="21"/>
        </w:rPr>
        <w:t xml:space="preserve"> 乳酸》</w:t>
      </w:r>
      <w:r>
        <w:rPr>
          <w:szCs w:val="21"/>
        </w:rPr>
        <w:t>的具体工作进行了认真研究，于202</w:t>
      </w:r>
      <w:r>
        <w:rPr>
          <w:rFonts w:hint="eastAsia"/>
          <w:szCs w:val="21"/>
        </w:rPr>
        <w:t>2</w:t>
      </w:r>
      <w:r>
        <w:rPr>
          <w:szCs w:val="21"/>
        </w:rPr>
        <w:t>年</w:t>
      </w:r>
      <w:r>
        <w:rPr>
          <w:rFonts w:hint="eastAsia"/>
          <w:szCs w:val="21"/>
        </w:rPr>
        <w:t>10</w:t>
      </w:r>
      <w:r>
        <w:rPr>
          <w:szCs w:val="21"/>
        </w:rPr>
        <w:t>月</w:t>
      </w:r>
      <w:r>
        <w:rPr>
          <w:rFonts w:hint="eastAsia"/>
          <w:szCs w:val="21"/>
        </w:rPr>
        <w:t>20</w:t>
      </w:r>
      <w:r>
        <w:rPr>
          <w:szCs w:val="21"/>
        </w:rPr>
        <w:t>日召开了标准修订工作启动会，由</w:t>
      </w:r>
      <w:bookmarkStart w:id="0" w:name="_Hlk115340629"/>
      <w:r>
        <w:rPr>
          <w:rFonts w:hint="eastAsia"/>
          <w:szCs w:val="21"/>
        </w:rPr>
        <w:t>发酵产促中心</w:t>
      </w:r>
      <w:bookmarkEnd w:id="0"/>
      <w:r>
        <w:rPr>
          <w:rFonts w:hint="eastAsia"/>
          <w:szCs w:val="21"/>
        </w:rPr>
        <w:t>汇报项目的任务来源、立项建议情况</w:t>
      </w:r>
      <w:r>
        <w:rPr>
          <w:szCs w:val="21"/>
        </w:rPr>
        <w:t>、研究内容、国内外法规标准以及</w:t>
      </w:r>
      <w:r>
        <w:rPr>
          <w:rFonts w:hint="eastAsia"/>
          <w:szCs w:val="21"/>
        </w:rPr>
        <w:t>会议主要目的，</w:t>
      </w:r>
      <w:r>
        <w:rPr>
          <w:szCs w:val="21"/>
        </w:rPr>
        <w:t>现场交流和研讨对标准的</w:t>
      </w:r>
      <w:r>
        <w:rPr>
          <w:rFonts w:hint="eastAsia"/>
          <w:szCs w:val="21"/>
        </w:rPr>
        <w:t>行业共性</w:t>
      </w:r>
      <w:r>
        <w:rPr>
          <w:szCs w:val="21"/>
        </w:rPr>
        <w:t>修订意见，组建了标准起草工作组，确定了总体分工方案及时间安排</w:t>
      </w:r>
      <w:r>
        <w:rPr>
          <w:rFonts w:hint="eastAsia"/>
          <w:szCs w:val="21"/>
        </w:rPr>
        <w:t>，由</w:t>
      </w:r>
      <w:r>
        <w:rPr>
          <w:szCs w:val="21"/>
        </w:rPr>
        <w:t>发酵</w:t>
      </w:r>
      <w:r>
        <w:rPr>
          <w:rFonts w:hint="eastAsia"/>
          <w:szCs w:val="21"/>
        </w:rPr>
        <w:t>产促</w:t>
      </w:r>
      <w:r>
        <w:rPr>
          <w:szCs w:val="21"/>
        </w:rPr>
        <w:t>中心负责起草标准</w:t>
      </w:r>
      <w:r>
        <w:rPr>
          <w:rFonts w:hint="eastAsia"/>
          <w:szCs w:val="21"/>
        </w:rPr>
        <w:t>相关文件，添加剂协会负责行业调研联络，工作组共同开展样品检验工作。</w:t>
      </w:r>
    </w:p>
    <w:p>
      <w:pPr>
        <w:widowControl/>
        <w:spacing w:line="360" w:lineRule="auto"/>
        <w:ind w:firstLine="420" w:firstLineChars="200"/>
        <w:rPr>
          <w:szCs w:val="21"/>
        </w:rPr>
      </w:pPr>
      <w:r>
        <w:rPr>
          <w:szCs w:val="21"/>
        </w:rPr>
        <w:t>2．</w:t>
      </w:r>
      <w:r>
        <w:rPr>
          <w:rFonts w:hint="eastAsia"/>
          <w:szCs w:val="21"/>
        </w:rPr>
        <w:t>根据启动会讨论拟定的修订内容及工作计划，起草工作组继续收集标准修订意见，并调研行业产品实际情况，2022年10月26日启动样品征集工作；2022年11月-2023年</w:t>
      </w:r>
      <w:r>
        <w:rPr>
          <w:szCs w:val="21"/>
        </w:rPr>
        <w:t>3</w:t>
      </w:r>
      <w:r>
        <w:rPr>
          <w:rFonts w:hint="eastAsia"/>
          <w:szCs w:val="21"/>
        </w:rPr>
        <w:t>月，查阅对比分析国内外法规标准及技术资料，</w:t>
      </w:r>
      <w:bookmarkStart w:id="1" w:name="_Hlk150416750"/>
      <w:r>
        <w:rPr>
          <w:rFonts w:hint="eastAsia"/>
          <w:szCs w:val="21"/>
        </w:rPr>
        <w:t>深入研究行业中收集到的标准修订意见；2023年4月</w:t>
      </w:r>
      <w:bookmarkEnd w:id="1"/>
      <w:r>
        <w:rPr>
          <w:rFonts w:hint="eastAsia"/>
          <w:szCs w:val="21"/>
        </w:rPr>
        <w:t>25日，</w:t>
      </w:r>
      <w:r>
        <w:rPr>
          <w:szCs w:val="21"/>
        </w:rPr>
        <w:t>起草工作组在参考</w:t>
      </w:r>
      <w:r>
        <w:rPr>
          <w:rFonts w:hint="eastAsia"/>
          <w:szCs w:val="21"/>
        </w:rPr>
        <w:t>相关标准等</w:t>
      </w:r>
      <w:r>
        <w:rPr>
          <w:szCs w:val="21"/>
        </w:rPr>
        <w:t xml:space="preserve">资料的基础上，结合目前国内市场产品的实际情况，对现行标准GB </w:t>
      </w:r>
      <w:r>
        <w:rPr>
          <w:rFonts w:hint="eastAsia"/>
          <w:szCs w:val="21"/>
        </w:rPr>
        <w:t>1886.173</w:t>
      </w:r>
      <w:r>
        <w:rPr>
          <w:szCs w:val="21"/>
        </w:rPr>
        <w:t>-201</w:t>
      </w:r>
      <w:r>
        <w:rPr>
          <w:rFonts w:hint="eastAsia"/>
          <w:szCs w:val="21"/>
        </w:rPr>
        <w:t>6</w:t>
      </w:r>
      <w:r>
        <w:rPr>
          <w:szCs w:val="21"/>
        </w:rPr>
        <w:t>中产品的质量技术指标和相应试验方法进行研究，</w:t>
      </w:r>
      <w:r>
        <w:rPr>
          <w:rFonts w:hint="eastAsia"/>
          <w:szCs w:val="21"/>
        </w:rPr>
        <w:t>整理相关意见并召开第二次工作组会议，研讨标准修订方向，组织开展样品普查及方法验证工作；2023年5月-6月</w:t>
      </w:r>
      <w:r>
        <w:rPr>
          <w:szCs w:val="21"/>
        </w:rPr>
        <w:t>，</w:t>
      </w:r>
      <w:r>
        <w:rPr>
          <w:rFonts w:hint="eastAsia"/>
          <w:szCs w:val="21"/>
        </w:rPr>
        <w:t>完成第一次产品指标检验，并对存在异议的数据结果重新测定，2022年7月-</w:t>
      </w:r>
      <w:r>
        <w:rPr>
          <w:szCs w:val="21"/>
        </w:rPr>
        <w:t>8</w:t>
      </w:r>
      <w:r>
        <w:rPr>
          <w:rFonts w:hint="eastAsia"/>
          <w:szCs w:val="21"/>
        </w:rPr>
        <w:t>月，样品检测工作基本完成；2023年9月26日召开标准第三次研讨会，工作组针对标准修订内容，根据会上交流情况以及前期起草</w:t>
      </w:r>
      <w:r>
        <w:rPr>
          <w:szCs w:val="21"/>
        </w:rPr>
        <w:t>工作，形成了标准行业内征求意见稿</w:t>
      </w:r>
      <w:r>
        <w:rPr>
          <w:rFonts w:hint="eastAsia"/>
          <w:szCs w:val="21"/>
        </w:rPr>
        <w:t>。</w:t>
      </w:r>
    </w:p>
    <w:p>
      <w:pPr>
        <w:widowControl/>
        <w:spacing w:line="360" w:lineRule="auto"/>
        <w:ind w:firstLine="420" w:firstLineChars="200"/>
        <w:rPr>
          <w:szCs w:val="21"/>
        </w:rPr>
      </w:pPr>
      <w:r>
        <w:rPr>
          <w:szCs w:val="21"/>
        </w:rPr>
        <w:t>3．202</w:t>
      </w:r>
      <w:r>
        <w:rPr>
          <w:rFonts w:hint="eastAsia"/>
          <w:szCs w:val="21"/>
        </w:rPr>
        <w:t>3</w:t>
      </w:r>
      <w:r>
        <w:rPr>
          <w:szCs w:val="21"/>
        </w:rPr>
        <w:t>年</w:t>
      </w:r>
      <w:r>
        <w:rPr>
          <w:rFonts w:hint="eastAsia"/>
          <w:szCs w:val="21"/>
        </w:rPr>
        <w:t>11</w:t>
      </w:r>
      <w:r>
        <w:rPr>
          <w:szCs w:val="21"/>
        </w:rPr>
        <w:t>月开始，起草工作组将标准文本及编制说明的征求意见稿以电子邮件的形式定向发给有关单位和专家，同时在网站上刊登了该标准的征求意见稿，广泛征求意见。</w:t>
      </w:r>
    </w:p>
    <w:p>
      <w:pPr>
        <w:numPr>
          <w:ilvl w:val="255"/>
          <w:numId w:val="0"/>
        </w:numPr>
        <w:tabs>
          <w:tab w:val="left" w:pos="426"/>
        </w:tabs>
        <w:spacing w:before="193" w:after="193" w:line="360" w:lineRule="auto"/>
        <w:rPr>
          <w:rFonts w:ascii="黑体" w:hAnsi="黑体" w:eastAsia="黑体"/>
          <w:szCs w:val="21"/>
        </w:rPr>
      </w:pPr>
      <w:r>
        <w:rPr>
          <w:rFonts w:hint="eastAsia" w:ascii="黑体" w:hAnsi="黑体" w:eastAsia="黑体"/>
          <w:szCs w:val="21"/>
        </w:rPr>
        <w:t>二、</w:t>
      </w:r>
      <w:r>
        <w:rPr>
          <w:rFonts w:ascii="黑体" w:hAnsi="黑体" w:eastAsia="黑体"/>
          <w:szCs w:val="21"/>
        </w:rPr>
        <w:t>与我国有关法律法规和其他标准的关系</w:t>
      </w:r>
    </w:p>
    <w:p>
      <w:pPr>
        <w:widowControl/>
        <w:spacing w:line="360" w:lineRule="auto"/>
        <w:ind w:firstLine="420" w:firstLineChars="200"/>
        <w:rPr>
          <w:szCs w:val="21"/>
        </w:rPr>
      </w:pPr>
      <w:r>
        <w:rPr>
          <w:rFonts w:hint="eastAsia"/>
          <w:szCs w:val="21"/>
        </w:rPr>
        <w:t>《食品安全国家标准 食品添加剂使用标准》（GB 2760-2014）中规定，乳酸作为酸度调节剂，</w:t>
      </w:r>
      <w:r>
        <w:rPr>
          <w:szCs w:val="21"/>
        </w:rPr>
        <w:t>可在表</w:t>
      </w:r>
      <w:r>
        <w:rPr>
          <w:rFonts w:hint="eastAsia"/>
          <w:szCs w:val="21"/>
        </w:rPr>
        <w:t>A</w:t>
      </w:r>
      <w:r>
        <w:rPr>
          <w:szCs w:val="21"/>
        </w:rPr>
        <w:t>.3所例外的各类食品中按生产需要适量使用</w:t>
      </w:r>
      <w:r>
        <w:rPr>
          <w:rFonts w:hint="eastAsia"/>
          <w:szCs w:val="21"/>
        </w:rPr>
        <w:t>，同时还可作为加工助剂，在各类食品加工过程中使用，残留量不需限定</w:t>
      </w:r>
      <w:r>
        <w:rPr>
          <w:szCs w:val="21"/>
        </w:rPr>
        <w:t>。本标准在</w:t>
      </w:r>
      <w:bookmarkStart w:id="2" w:name="OLE_LINK8"/>
      <w:bookmarkStart w:id="3" w:name="OLE_LINK5"/>
      <w:r>
        <w:rPr>
          <w:szCs w:val="21"/>
        </w:rPr>
        <w:t xml:space="preserve">《食品安全国家标准 食品添加剂 </w:t>
      </w:r>
      <w:r>
        <w:rPr>
          <w:rFonts w:hint="eastAsia"/>
          <w:szCs w:val="21"/>
        </w:rPr>
        <w:t>乳酸</w:t>
      </w:r>
      <w:r>
        <w:rPr>
          <w:szCs w:val="21"/>
        </w:rPr>
        <w:t xml:space="preserve">》（GB </w:t>
      </w:r>
      <w:r>
        <w:rPr>
          <w:rFonts w:hint="eastAsia"/>
          <w:szCs w:val="21"/>
        </w:rPr>
        <w:t>1886.173</w:t>
      </w:r>
      <w:r>
        <w:rPr>
          <w:szCs w:val="21"/>
        </w:rPr>
        <w:t>-201</w:t>
      </w:r>
      <w:r>
        <w:rPr>
          <w:rFonts w:hint="eastAsia"/>
          <w:szCs w:val="21"/>
        </w:rPr>
        <w:t>6</w:t>
      </w:r>
      <w:r>
        <w:rPr>
          <w:szCs w:val="21"/>
        </w:rPr>
        <w:t>）</w:t>
      </w:r>
      <w:bookmarkEnd w:id="2"/>
      <w:bookmarkEnd w:id="3"/>
      <w:r>
        <w:rPr>
          <w:szCs w:val="21"/>
        </w:rPr>
        <w:t>基础上，根据国内产品质量和实际检验情况进行修订，符合《食品安全法》、《食品安全国家标准 食品添加剂使用标准》（GB 2760-2014）等我国有关法律法规的规定。标准文本中引用的相关标准如下：</w:t>
      </w:r>
    </w:p>
    <w:p>
      <w:pPr>
        <w:pStyle w:val="37"/>
        <w:spacing w:line="360" w:lineRule="auto"/>
        <w:ind w:firstLine="420"/>
        <w:rPr>
          <w:rFonts w:ascii="Times New Roman"/>
        </w:rPr>
      </w:pPr>
      <w:r>
        <w:rPr>
          <w:rFonts w:hint="eastAsia" w:ascii="Times New Roman"/>
        </w:rPr>
        <w:t>GB/T 601  化学试剂 标准滴定溶液的制备</w:t>
      </w:r>
    </w:p>
    <w:p>
      <w:pPr>
        <w:pStyle w:val="37"/>
        <w:spacing w:line="360" w:lineRule="auto"/>
        <w:ind w:firstLine="420"/>
        <w:rPr>
          <w:rFonts w:ascii="Times New Roman"/>
        </w:rPr>
      </w:pPr>
      <w:r>
        <w:rPr>
          <w:rFonts w:hint="eastAsia" w:ascii="Times New Roman"/>
        </w:rPr>
        <w:t>GB/T 602  化学试剂 杂质测定用标准溶液的制备</w:t>
      </w:r>
    </w:p>
    <w:p>
      <w:pPr>
        <w:pStyle w:val="37"/>
        <w:spacing w:line="360" w:lineRule="auto"/>
        <w:ind w:firstLine="420"/>
        <w:rPr>
          <w:rFonts w:ascii="Times New Roman"/>
        </w:rPr>
      </w:pPr>
      <w:r>
        <w:rPr>
          <w:rFonts w:hint="eastAsia" w:ascii="Times New Roman"/>
        </w:rPr>
        <w:t>GB/T 603  化学试剂 试验方法中所用制剂及制品的制备</w:t>
      </w:r>
    </w:p>
    <w:p>
      <w:pPr>
        <w:pStyle w:val="37"/>
        <w:spacing w:line="360" w:lineRule="auto"/>
        <w:ind w:firstLine="420"/>
        <w:rPr>
          <w:rFonts w:ascii="Times New Roman"/>
        </w:rPr>
      </w:pPr>
      <w:r>
        <w:rPr>
          <w:rFonts w:hint="eastAsia" w:ascii="Times New Roman"/>
        </w:rPr>
        <w:t>GB 5009.12  食品安全国家标准 食品中铅的测定</w:t>
      </w:r>
    </w:p>
    <w:p>
      <w:pPr>
        <w:pStyle w:val="37"/>
        <w:spacing w:line="360" w:lineRule="auto"/>
        <w:ind w:firstLine="420"/>
        <w:rPr>
          <w:rFonts w:ascii="Times New Roman"/>
        </w:rPr>
      </w:pPr>
      <w:r>
        <w:rPr>
          <w:rFonts w:hint="eastAsia" w:ascii="Times New Roman"/>
        </w:rPr>
        <w:t xml:space="preserve">GB 5009.36 </w:t>
      </w:r>
      <w:r>
        <w:rPr>
          <w:rFonts w:ascii="Times New Roman"/>
        </w:rPr>
        <w:t xml:space="preserve"> </w:t>
      </w:r>
      <w:r>
        <w:rPr>
          <w:rFonts w:hint="eastAsia" w:ascii="Times New Roman"/>
        </w:rPr>
        <w:t>食品安全国家标准 食品中氰化物的测定</w:t>
      </w:r>
    </w:p>
    <w:p>
      <w:pPr>
        <w:pStyle w:val="37"/>
        <w:spacing w:line="360" w:lineRule="auto"/>
        <w:ind w:firstLine="420"/>
        <w:rPr>
          <w:rFonts w:ascii="Times New Roman"/>
        </w:rPr>
      </w:pPr>
      <w:r>
        <w:rPr>
          <w:rFonts w:hint="eastAsia" w:ascii="Times New Roman"/>
        </w:rPr>
        <w:t>GB 5009.75  食品安全国家标准 食品添加剂中铅的测定</w:t>
      </w:r>
    </w:p>
    <w:p>
      <w:pPr>
        <w:pStyle w:val="37"/>
        <w:spacing w:line="360" w:lineRule="auto"/>
        <w:ind w:firstLine="420"/>
        <w:rPr>
          <w:rFonts w:ascii="Times New Roman"/>
        </w:rPr>
      </w:pPr>
      <w:r>
        <w:rPr>
          <w:rFonts w:hint="eastAsia" w:ascii="Times New Roman"/>
        </w:rPr>
        <w:t>GB 5009.76  食品安全国家标准 食品添加剂中砷的测定</w:t>
      </w:r>
    </w:p>
    <w:p>
      <w:pPr>
        <w:numPr>
          <w:ilvl w:val="255"/>
          <w:numId w:val="0"/>
        </w:numPr>
        <w:tabs>
          <w:tab w:val="left" w:pos="426"/>
        </w:tabs>
        <w:spacing w:before="193" w:after="193" w:line="360" w:lineRule="auto"/>
        <w:ind w:firstLine="420" w:firstLineChars="200"/>
        <w:rPr>
          <w:rFonts w:ascii="黑体" w:hAnsi="黑体" w:eastAsia="黑体"/>
          <w:szCs w:val="21"/>
        </w:rPr>
      </w:pPr>
      <w:r>
        <w:rPr>
          <w:rFonts w:hint="eastAsia"/>
        </w:rPr>
        <w:t>GB/T 6682  分析实验室用水规格和试验方法</w:t>
      </w:r>
    </w:p>
    <w:p>
      <w:pPr>
        <w:numPr>
          <w:ilvl w:val="255"/>
          <w:numId w:val="0"/>
        </w:numPr>
        <w:tabs>
          <w:tab w:val="left" w:pos="426"/>
        </w:tabs>
        <w:spacing w:before="193" w:after="193" w:line="360" w:lineRule="auto"/>
        <w:rPr>
          <w:rFonts w:ascii="黑体" w:hAnsi="黑体" w:eastAsia="黑体"/>
          <w:szCs w:val="21"/>
        </w:rPr>
      </w:pPr>
      <w:r>
        <w:rPr>
          <w:rFonts w:hint="eastAsia" w:ascii="黑体" w:hAnsi="黑体" w:eastAsia="黑体"/>
          <w:szCs w:val="21"/>
        </w:rPr>
        <w:t>三、</w:t>
      </w:r>
      <w:r>
        <w:rPr>
          <w:rFonts w:ascii="黑体" w:hAnsi="黑体" w:eastAsia="黑体"/>
          <w:szCs w:val="21"/>
        </w:rPr>
        <w:t>国外相关法律、法规和标准情况的说明</w:t>
      </w:r>
    </w:p>
    <w:p>
      <w:pPr>
        <w:wordWrap w:val="0"/>
        <w:spacing w:line="360" w:lineRule="auto"/>
        <w:ind w:firstLine="420" w:firstLineChars="200"/>
        <w:rPr>
          <w:szCs w:val="21"/>
        </w:rPr>
        <w:sectPr>
          <w:footerReference r:id="rId3" w:type="default"/>
          <w:footerReference r:id="rId4" w:type="even"/>
          <w:pgSz w:w="11906" w:h="16838"/>
          <w:pgMar w:top="1440" w:right="1797" w:bottom="1440" w:left="1797" w:header="851" w:footer="992" w:gutter="0"/>
          <w:cols w:space="425" w:num="1"/>
          <w:docGrid w:type="linesAndChars" w:linePitch="387" w:charSpace="0"/>
        </w:sectPr>
      </w:pPr>
      <w:r>
        <w:rPr>
          <w:rFonts w:hint="eastAsia"/>
        </w:rPr>
        <w:t>经查阅，联合国粮农组织/世界卫生组织联合食品添加剂专家委员会（JECFA 2006）</w:t>
      </w:r>
      <w:bookmarkStart w:id="4" w:name="_Hlk117621540"/>
      <w:r>
        <w:rPr>
          <w:rFonts w:hint="eastAsia"/>
        </w:rPr>
        <w:t xml:space="preserve">、美国食品化学品法典（FCC </w:t>
      </w:r>
      <w:r>
        <w:t>12</w:t>
      </w:r>
      <w:r>
        <w:rPr>
          <w:rFonts w:hint="eastAsia"/>
        </w:rPr>
        <w:t>）、欧盟委员会法规（EU）No.231/2012（E</w:t>
      </w:r>
      <w:r>
        <w:t xml:space="preserve"> 270</w:t>
      </w:r>
      <w:r>
        <w:rPr>
          <w:rFonts w:hint="eastAsia"/>
        </w:rPr>
        <w:t>）、</w:t>
      </w:r>
      <w:r>
        <w:rPr>
          <w:rFonts w:hint="eastAsia"/>
          <w:szCs w:val="21"/>
        </w:rPr>
        <w:t>日本食品添加物公定书（J</w:t>
      </w:r>
      <w:r>
        <w:rPr>
          <w:szCs w:val="21"/>
        </w:rPr>
        <w:t>SFA 9</w:t>
      </w:r>
      <w:r>
        <w:rPr>
          <w:rFonts w:hint="eastAsia"/>
          <w:szCs w:val="21"/>
        </w:rPr>
        <w:t>）</w:t>
      </w:r>
      <w:r>
        <w:rPr>
          <w:rFonts w:hint="eastAsia"/>
        </w:rPr>
        <w:t>、韩国食品添加剂法典（2021）</w:t>
      </w:r>
      <w:bookmarkEnd w:id="4"/>
      <w:r>
        <w:rPr>
          <w:rFonts w:hint="eastAsia"/>
        </w:rPr>
        <w:t>均公布了乳酸的质量规格标准。本标准在</w:t>
      </w:r>
      <w:r>
        <w:t xml:space="preserve">GB </w:t>
      </w:r>
      <w:r>
        <w:rPr>
          <w:rFonts w:hint="eastAsia"/>
        </w:rPr>
        <w:t>1886.173</w:t>
      </w:r>
      <w:r>
        <w:t>-201</w:t>
      </w:r>
      <w:r>
        <w:rPr>
          <w:rFonts w:hint="eastAsia"/>
        </w:rPr>
        <w:t>6基础上，主要参考了联合国粮农组织/世界卫生组织联合食品添加剂专家委员会（JECFA 2006），同时结合国内产品实际情况进行修订。</w:t>
      </w:r>
      <w:bookmarkStart w:id="5" w:name="OLE_LINK40"/>
      <w:bookmarkStart w:id="6" w:name="OLE_LINK41"/>
      <w:r>
        <w:rPr>
          <w:rFonts w:hint="eastAsia"/>
        </w:rPr>
        <w:t>表1是国内外乳酸质量标准中技术指标的对比情况，表2是国内乳酸质量标准中试验方法的对比情况。</w:t>
      </w:r>
      <w:bookmarkEnd w:id="5"/>
      <w:bookmarkEnd w:id="6"/>
    </w:p>
    <w:p>
      <w:pPr>
        <w:jc w:val="center"/>
        <w:rPr>
          <w:rFonts w:hAnsi="黑体" w:eastAsia="黑体"/>
          <w:szCs w:val="21"/>
        </w:rPr>
      </w:pPr>
      <w:r>
        <w:rPr>
          <w:rFonts w:hAnsi="黑体" w:eastAsia="黑体"/>
          <w:szCs w:val="21"/>
        </w:rPr>
        <w:t>表</w:t>
      </w:r>
      <w:r>
        <w:rPr>
          <w:rFonts w:hint="eastAsia" w:ascii="黑体" w:hAnsi="黑体" w:eastAsia="黑体" w:cs="黑体"/>
          <w:szCs w:val="21"/>
        </w:rPr>
        <w:t xml:space="preserve">1 </w:t>
      </w:r>
      <w:r>
        <w:rPr>
          <w:rFonts w:hAnsi="黑体" w:eastAsia="黑体"/>
          <w:szCs w:val="21"/>
        </w:rPr>
        <w:t>国内</w:t>
      </w:r>
      <w:r>
        <w:rPr>
          <w:rFonts w:ascii="黑体" w:hAnsi="黑体" w:eastAsia="黑体"/>
          <w:szCs w:val="21"/>
        </w:rPr>
        <w:t>外</w:t>
      </w:r>
      <w:r>
        <w:rPr>
          <w:rFonts w:hint="eastAsia" w:eastAsia="黑体"/>
          <w:szCs w:val="21"/>
        </w:rPr>
        <w:t>乳酸</w:t>
      </w:r>
      <w:r>
        <w:rPr>
          <w:rFonts w:hint="eastAsia" w:ascii="黑体" w:hAnsi="黑体" w:eastAsia="黑体"/>
          <w:szCs w:val="21"/>
        </w:rPr>
        <w:t>标</w:t>
      </w:r>
      <w:r>
        <w:rPr>
          <w:rFonts w:hint="eastAsia" w:hAnsi="黑体" w:eastAsia="黑体"/>
          <w:szCs w:val="21"/>
        </w:rPr>
        <w:t>准技术指标对比表</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442"/>
        <w:gridCol w:w="2149"/>
        <w:gridCol w:w="1732"/>
        <w:gridCol w:w="1443"/>
        <w:gridCol w:w="1446"/>
        <w:gridCol w:w="2169"/>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28" w:type="pct"/>
            <w:gridSpan w:val="2"/>
            <w:tcBorders>
              <w:right w:val="single" w:color="auto" w:sz="4" w:space="0"/>
            </w:tcBorders>
            <w:vAlign w:val="center"/>
          </w:tcPr>
          <w:p>
            <w:pPr>
              <w:spacing w:line="300" w:lineRule="exact"/>
              <w:jc w:val="center"/>
              <w:rPr>
                <w:sz w:val="18"/>
                <w:szCs w:val="18"/>
              </w:rPr>
            </w:pPr>
            <w:r>
              <w:rPr>
                <w:sz w:val="18"/>
                <w:szCs w:val="18"/>
              </w:rPr>
              <w:t>项目</w:t>
            </w:r>
          </w:p>
        </w:tc>
        <w:tc>
          <w:tcPr>
            <w:tcW w:w="758" w:type="pct"/>
            <w:vAlign w:val="center"/>
          </w:tcPr>
          <w:p>
            <w:pPr>
              <w:spacing w:line="300" w:lineRule="exact"/>
              <w:jc w:val="center"/>
              <w:rPr>
                <w:rFonts w:hint="eastAsia" w:eastAsia="宋体"/>
                <w:sz w:val="18"/>
                <w:szCs w:val="18"/>
                <w:lang w:eastAsia="zh-CN"/>
              </w:rPr>
            </w:pPr>
            <w:r>
              <w:rPr>
                <w:rFonts w:hint="eastAsia"/>
                <w:sz w:val="18"/>
                <w:szCs w:val="18"/>
                <w:lang w:val="en-US" w:eastAsia="zh-CN"/>
              </w:rPr>
              <w:t>本标准</w:t>
            </w:r>
          </w:p>
        </w:tc>
        <w:tc>
          <w:tcPr>
            <w:tcW w:w="611" w:type="pct"/>
            <w:vAlign w:val="center"/>
          </w:tcPr>
          <w:p>
            <w:pPr>
              <w:spacing w:line="300" w:lineRule="exact"/>
              <w:jc w:val="center"/>
              <w:rPr>
                <w:sz w:val="18"/>
                <w:szCs w:val="18"/>
              </w:rPr>
            </w:pPr>
            <w:r>
              <w:rPr>
                <w:sz w:val="18"/>
                <w:szCs w:val="18"/>
              </w:rPr>
              <w:t>JECFA</w:t>
            </w:r>
            <w:r>
              <w:rPr>
                <w:rFonts w:hint="eastAsia"/>
                <w:sz w:val="18"/>
                <w:szCs w:val="18"/>
              </w:rPr>
              <w:t xml:space="preserve"> (2006)</w:t>
            </w:r>
          </w:p>
        </w:tc>
        <w:tc>
          <w:tcPr>
            <w:tcW w:w="509" w:type="pct"/>
            <w:vAlign w:val="center"/>
          </w:tcPr>
          <w:p>
            <w:pPr>
              <w:spacing w:line="300" w:lineRule="exact"/>
              <w:jc w:val="center"/>
              <w:rPr>
                <w:sz w:val="18"/>
                <w:szCs w:val="18"/>
              </w:rPr>
            </w:pPr>
            <w:r>
              <w:rPr>
                <w:rFonts w:cstheme="minorHAnsi"/>
                <w:sz w:val="18"/>
                <w:szCs w:val="18"/>
              </w:rPr>
              <w:t xml:space="preserve">FCC </w:t>
            </w:r>
            <w:r>
              <w:rPr>
                <w:rFonts w:hint="eastAsia" w:cstheme="minorHAnsi"/>
                <w:sz w:val="18"/>
                <w:szCs w:val="18"/>
              </w:rPr>
              <w:t>1</w:t>
            </w:r>
            <w:r>
              <w:rPr>
                <w:rFonts w:cstheme="minorHAnsi"/>
                <w:sz w:val="18"/>
                <w:szCs w:val="18"/>
              </w:rPr>
              <w:t>2</w:t>
            </w:r>
          </w:p>
        </w:tc>
        <w:tc>
          <w:tcPr>
            <w:tcW w:w="510" w:type="pct"/>
            <w:vAlign w:val="center"/>
          </w:tcPr>
          <w:p>
            <w:pPr>
              <w:spacing w:line="300" w:lineRule="exact"/>
              <w:jc w:val="center"/>
              <w:rPr>
                <w:sz w:val="18"/>
                <w:szCs w:val="18"/>
              </w:rPr>
            </w:pPr>
            <w:r>
              <w:rPr>
                <w:sz w:val="18"/>
                <w:szCs w:val="18"/>
              </w:rPr>
              <w:t xml:space="preserve">(EU) </w:t>
            </w:r>
            <w:r>
              <w:rPr>
                <w:rFonts w:hint="eastAsia"/>
                <w:sz w:val="18"/>
                <w:szCs w:val="18"/>
              </w:rPr>
              <w:t>E 270</w:t>
            </w:r>
            <w:r>
              <w:rPr>
                <w:sz w:val="18"/>
                <w:szCs w:val="18"/>
              </w:rPr>
              <w:t xml:space="preserve"> </w:t>
            </w:r>
          </w:p>
        </w:tc>
        <w:tc>
          <w:tcPr>
            <w:tcW w:w="765" w:type="pct"/>
            <w:vAlign w:val="center"/>
          </w:tcPr>
          <w:p>
            <w:pPr>
              <w:spacing w:line="300" w:lineRule="exact"/>
              <w:jc w:val="center"/>
              <w:rPr>
                <w:sz w:val="18"/>
                <w:szCs w:val="18"/>
              </w:rPr>
            </w:pPr>
            <w:r>
              <w:rPr>
                <w:rFonts w:hint="eastAsia"/>
                <w:sz w:val="18"/>
                <w:szCs w:val="18"/>
              </w:rPr>
              <w:t>JSFA 9</w:t>
            </w:r>
          </w:p>
        </w:tc>
        <w:tc>
          <w:tcPr>
            <w:tcW w:w="816" w:type="pct"/>
            <w:vAlign w:val="center"/>
          </w:tcPr>
          <w:p>
            <w:pPr>
              <w:spacing w:line="300" w:lineRule="exact"/>
              <w:jc w:val="center"/>
              <w:rPr>
                <w:sz w:val="18"/>
                <w:szCs w:val="18"/>
              </w:rPr>
            </w:pPr>
            <w:r>
              <w:rPr>
                <w:rFonts w:hint="eastAsia"/>
                <w:sz w:val="18"/>
                <w:szCs w:val="18"/>
              </w:rPr>
              <w:t xml:space="preserve">KR </w:t>
            </w:r>
            <w:r>
              <w:rPr>
                <w:sz w:val="18"/>
                <w:szCs w:val="18"/>
              </w:rPr>
              <w:t>Food Additives Code</w:t>
            </w:r>
            <w:r>
              <w:rPr>
                <w:rFonts w:hint="eastAsia"/>
                <w:sz w:val="18"/>
                <w:szCs w:val="18"/>
              </w:rPr>
              <w:t xml:space="preserve"> (20</w:t>
            </w:r>
            <w:r>
              <w:rPr>
                <w:sz w:val="18"/>
                <w:szCs w:val="18"/>
              </w:rPr>
              <w:t>2</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spacing w:line="300" w:lineRule="exact"/>
              <w:rPr>
                <w:sz w:val="18"/>
                <w:szCs w:val="18"/>
              </w:rPr>
            </w:pPr>
            <w:r>
              <w:rPr>
                <w:rFonts w:hint="eastAsia"/>
                <w:sz w:val="18"/>
                <w:szCs w:val="18"/>
              </w:rPr>
              <w:t>感官</w:t>
            </w:r>
          </w:p>
        </w:tc>
        <w:tc>
          <w:tcPr>
            <w:tcW w:w="156" w:type="pct"/>
            <w:tcBorders>
              <w:left w:val="nil"/>
              <w:bottom w:val="single" w:color="auto" w:sz="4" w:space="0"/>
              <w:right w:val="single" w:color="auto" w:sz="4" w:space="0"/>
            </w:tcBorders>
            <w:vAlign w:val="center"/>
          </w:tcPr>
          <w:p>
            <w:pPr>
              <w:spacing w:line="300" w:lineRule="exact"/>
              <w:rPr>
                <w:sz w:val="18"/>
                <w:szCs w:val="18"/>
              </w:rPr>
            </w:pPr>
          </w:p>
        </w:tc>
        <w:tc>
          <w:tcPr>
            <w:tcW w:w="758" w:type="pct"/>
            <w:vAlign w:val="center"/>
          </w:tcPr>
          <w:p>
            <w:pPr>
              <w:jc w:val="center"/>
              <w:rPr>
                <w:sz w:val="18"/>
                <w:szCs w:val="18"/>
              </w:rPr>
            </w:pPr>
            <w:r>
              <w:rPr>
                <w:rFonts w:hint="eastAsia"/>
                <w:sz w:val="18"/>
                <w:szCs w:val="18"/>
              </w:rPr>
              <w:t>无色至淡黄色透明液体，白色至淡黄色结晶性颗粒。无异味，或略带特征性气味</w:t>
            </w:r>
          </w:p>
        </w:tc>
        <w:tc>
          <w:tcPr>
            <w:tcW w:w="611" w:type="pct"/>
            <w:vAlign w:val="center"/>
          </w:tcPr>
          <w:p>
            <w:pPr>
              <w:jc w:val="center"/>
              <w:rPr>
                <w:sz w:val="18"/>
                <w:szCs w:val="18"/>
              </w:rPr>
            </w:pPr>
            <w:r>
              <w:rPr>
                <w:sz w:val="18"/>
                <w:szCs w:val="18"/>
              </w:rPr>
              <w:t>无色糖浆</w:t>
            </w:r>
            <w:r>
              <w:rPr>
                <w:rFonts w:hint="eastAsia"/>
                <w:sz w:val="18"/>
                <w:szCs w:val="18"/>
              </w:rPr>
              <w:t>状液体，</w:t>
            </w:r>
            <w:r>
              <w:rPr>
                <w:sz w:val="18"/>
                <w:szCs w:val="18"/>
              </w:rPr>
              <w:t>白色</w:t>
            </w:r>
            <w:r>
              <w:rPr>
                <w:rFonts w:hint="eastAsia"/>
                <w:sz w:val="18"/>
                <w:szCs w:val="18"/>
              </w:rPr>
              <w:t>至</w:t>
            </w:r>
            <w:r>
              <w:rPr>
                <w:sz w:val="18"/>
                <w:szCs w:val="18"/>
              </w:rPr>
              <w:t>淡黄色</w:t>
            </w:r>
            <w:r>
              <w:rPr>
                <w:rFonts w:hint="eastAsia"/>
                <w:sz w:val="18"/>
                <w:szCs w:val="18"/>
              </w:rPr>
              <w:t>固体或</w:t>
            </w:r>
            <w:r>
              <w:rPr>
                <w:sz w:val="18"/>
                <w:szCs w:val="18"/>
              </w:rPr>
              <w:t>粉末</w:t>
            </w:r>
          </w:p>
        </w:tc>
        <w:tc>
          <w:tcPr>
            <w:tcW w:w="509" w:type="pct"/>
            <w:vAlign w:val="center"/>
          </w:tcPr>
          <w:p>
            <w:pPr>
              <w:jc w:val="center"/>
              <w:rPr>
                <w:sz w:val="18"/>
                <w:szCs w:val="18"/>
              </w:rPr>
            </w:pPr>
            <w:r>
              <w:rPr>
                <w:rFonts w:hint="eastAsia"/>
                <w:sz w:val="18"/>
                <w:szCs w:val="18"/>
              </w:rPr>
              <w:t>无色或黄色糖浆状液体</w:t>
            </w:r>
          </w:p>
        </w:tc>
        <w:tc>
          <w:tcPr>
            <w:tcW w:w="510" w:type="pct"/>
            <w:vAlign w:val="center"/>
          </w:tcPr>
          <w:p>
            <w:pPr>
              <w:spacing w:line="300" w:lineRule="exact"/>
              <w:jc w:val="center"/>
              <w:rPr>
                <w:sz w:val="18"/>
                <w:szCs w:val="18"/>
              </w:rPr>
            </w:pPr>
            <w:r>
              <w:rPr>
                <w:sz w:val="18"/>
                <w:szCs w:val="18"/>
              </w:rPr>
              <w:t>无色或淡黄色糖浆状液体</w:t>
            </w:r>
            <w:r>
              <w:rPr>
                <w:rFonts w:hint="eastAsia"/>
                <w:sz w:val="18"/>
                <w:szCs w:val="18"/>
              </w:rPr>
              <w:t>或</w:t>
            </w:r>
            <w:r>
              <w:rPr>
                <w:sz w:val="18"/>
                <w:szCs w:val="18"/>
              </w:rPr>
              <w:t>固体，几乎无味</w:t>
            </w:r>
          </w:p>
        </w:tc>
        <w:tc>
          <w:tcPr>
            <w:tcW w:w="765" w:type="pct"/>
            <w:shd w:val="clear" w:color="auto" w:fill="auto"/>
            <w:vAlign w:val="center"/>
          </w:tcPr>
          <w:p>
            <w:pPr>
              <w:jc w:val="center"/>
              <w:rPr>
                <w:sz w:val="18"/>
                <w:szCs w:val="18"/>
              </w:rPr>
            </w:pPr>
            <w:r>
              <w:rPr>
                <w:rFonts w:ascii="Arial" w:hAnsi="Arial" w:cs="Arial"/>
                <w:sz w:val="18"/>
                <w:szCs w:val="18"/>
              </w:rPr>
              <w:t>白色</w:t>
            </w:r>
            <w:r>
              <w:rPr>
                <w:rFonts w:hint="eastAsia" w:ascii="Arial" w:hAnsi="Arial" w:cs="Arial"/>
                <w:sz w:val="18"/>
                <w:szCs w:val="18"/>
              </w:rPr>
              <w:t>至</w:t>
            </w:r>
            <w:r>
              <w:rPr>
                <w:rFonts w:ascii="Arial" w:hAnsi="Arial" w:cs="Arial"/>
                <w:sz w:val="18"/>
                <w:szCs w:val="18"/>
              </w:rPr>
              <w:t>淡黄色</w:t>
            </w:r>
            <w:r>
              <w:rPr>
                <w:rFonts w:hint="eastAsia" w:ascii="Arial" w:hAnsi="Arial" w:cs="Arial"/>
                <w:sz w:val="18"/>
                <w:szCs w:val="18"/>
              </w:rPr>
              <w:t>固体</w:t>
            </w:r>
            <w:r>
              <w:rPr>
                <w:rFonts w:ascii="Arial" w:hAnsi="Arial" w:cs="Arial"/>
                <w:sz w:val="18"/>
                <w:szCs w:val="18"/>
              </w:rPr>
              <w:t>或无色</w:t>
            </w:r>
            <w:r>
              <w:rPr>
                <w:rFonts w:hint="eastAsia" w:ascii="Arial" w:hAnsi="Arial" w:cs="Arial"/>
                <w:sz w:val="18"/>
                <w:szCs w:val="18"/>
              </w:rPr>
              <w:t>至</w:t>
            </w:r>
            <w:r>
              <w:rPr>
                <w:rFonts w:ascii="Arial" w:hAnsi="Arial" w:cs="Arial"/>
                <w:sz w:val="18"/>
                <w:szCs w:val="18"/>
              </w:rPr>
              <w:t>淡黄色透明液体</w:t>
            </w:r>
            <w:r>
              <w:rPr>
                <w:rFonts w:hint="eastAsia" w:ascii="Arial" w:hAnsi="Arial" w:cs="Arial"/>
                <w:sz w:val="18"/>
                <w:szCs w:val="18"/>
              </w:rPr>
              <w:t>，无味或几乎无味或无异味，</w:t>
            </w:r>
            <w:r>
              <w:rPr>
                <w:rFonts w:ascii="Arial" w:hAnsi="Arial" w:cs="Arial"/>
                <w:sz w:val="18"/>
                <w:szCs w:val="18"/>
              </w:rPr>
              <w:t>有酸味</w:t>
            </w:r>
          </w:p>
        </w:tc>
        <w:tc>
          <w:tcPr>
            <w:tcW w:w="816" w:type="pct"/>
            <w:shd w:val="clear" w:color="auto" w:fill="auto"/>
            <w:vAlign w:val="center"/>
          </w:tcPr>
          <w:p>
            <w:pPr>
              <w:jc w:val="center"/>
              <w:rPr>
                <w:sz w:val="18"/>
                <w:szCs w:val="18"/>
              </w:rPr>
            </w:pPr>
            <w:r>
              <w:rPr>
                <w:rFonts w:ascii="Arial" w:hAnsi="Arial" w:cs="Arial"/>
                <w:sz w:val="18"/>
                <w:szCs w:val="18"/>
              </w:rPr>
              <w:t>白色</w:t>
            </w:r>
            <w:r>
              <w:rPr>
                <w:rFonts w:hint="eastAsia" w:ascii="Arial" w:hAnsi="Arial" w:cs="Arial"/>
                <w:sz w:val="18"/>
                <w:szCs w:val="18"/>
              </w:rPr>
              <w:t>至</w:t>
            </w:r>
            <w:r>
              <w:rPr>
                <w:rFonts w:ascii="Arial" w:hAnsi="Arial" w:cs="Arial"/>
                <w:sz w:val="18"/>
                <w:szCs w:val="18"/>
              </w:rPr>
              <w:t>淡黄色</w:t>
            </w:r>
            <w:r>
              <w:rPr>
                <w:rFonts w:hint="eastAsia" w:ascii="Arial" w:hAnsi="Arial" w:cs="Arial"/>
                <w:sz w:val="18"/>
                <w:szCs w:val="18"/>
              </w:rPr>
              <w:t>固体</w:t>
            </w:r>
            <w:r>
              <w:rPr>
                <w:rFonts w:ascii="Arial" w:hAnsi="Arial" w:cs="Arial"/>
                <w:sz w:val="18"/>
                <w:szCs w:val="18"/>
              </w:rPr>
              <w:t>或无色</w:t>
            </w:r>
            <w:r>
              <w:rPr>
                <w:rFonts w:hint="eastAsia" w:ascii="Arial" w:hAnsi="Arial" w:cs="Arial"/>
                <w:sz w:val="18"/>
                <w:szCs w:val="18"/>
              </w:rPr>
              <w:t>至</w:t>
            </w:r>
            <w:r>
              <w:rPr>
                <w:rFonts w:ascii="Arial" w:hAnsi="Arial" w:cs="Arial"/>
                <w:sz w:val="18"/>
                <w:szCs w:val="18"/>
              </w:rPr>
              <w:t>淡黄色透明糖浆状液体</w:t>
            </w:r>
            <w:r>
              <w:rPr>
                <w:rFonts w:hint="eastAsia" w:ascii="Arial" w:hAnsi="Arial" w:cs="Arial"/>
                <w:sz w:val="18"/>
                <w:szCs w:val="18"/>
              </w:rPr>
              <w:t>，无味或几乎无味或无异味，</w:t>
            </w:r>
            <w:r>
              <w:rPr>
                <w:rFonts w:ascii="Arial" w:hAnsi="Arial" w:cs="Arial"/>
                <w:sz w:val="18"/>
                <w:szCs w:val="18"/>
              </w:rPr>
              <w:t>有酸味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乳酸含量，%</w:t>
            </w:r>
          </w:p>
        </w:tc>
        <w:tc>
          <w:tcPr>
            <w:tcW w:w="156" w:type="pct"/>
            <w:tcBorders>
              <w:left w:val="nil"/>
              <w:right w:val="single" w:color="auto" w:sz="4" w:space="0"/>
            </w:tcBorders>
            <w:vAlign w:val="center"/>
          </w:tcPr>
          <w:p>
            <w:pPr>
              <w:jc w:val="left"/>
              <w:rPr>
                <w:sz w:val="18"/>
                <w:szCs w:val="18"/>
              </w:rPr>
            </w:pPr>
            <w:r>
              <w:rPr>
                <w:rFonts w:asciiTheme="minorEastAsia" w:hAnsiTheme="minorEastAsia"/>
                <w:sz w:val="18"/>
                <w:szCs w:val="18"/>
              </w:rPr>
              <w:t>≥</w:t>
            </w:r>
          </w:p>
        </w:tc>
        <w:tc>
          <w:tcPr>
            <w:tcW w:w="758" w:type="pct"/>
            <w:vAlign w:val="center"/>
          </w:tcPr>
          <w:p>
            <w:pPr>
              <w:jc w:val="center"/>
              <w:rPr>
                <w:sz w:val="18"/>
                <w:szCs w:val="18"/>
              </w:rPr>
            </w:pPr>
            <w:r>
              <w:rPr>
                <w:rFonts w:hint="eastAsia"/>
                <w:sz w:val="18"/>
                <w:szCs w:val="18"/>
              </w:rPr>
              <w:t>标示值的</w:t>
            </w:r>
          </w:p>
          <w:p>
            <w:pPr>
              <w:jc w:val="center"/>
              <w:rPr>
                <w:sz w:val="18"/>
                <w:szCs w:val="18"/>
              </w:rPr>
            </w:pPr>
            <w:r>
              <w:rPr>
                <w:rFonts w:hint="eastAsia"/>
                <w:sz w:val="18"/>
                <w:szCs w:val="18"/>
              </w:rPr>
              <w:t>9</w:t>
            </w:r>
            <w:r>
              <w:rPr>
                <w:sz w:val="18"/>
                <w:szCs w:val="18"/>
              </w:rPr>
              <w:t>5.0</w:t>
            </w:r>
            <w:r>
              <w:rPr>
                <w:rFonts w:hint="eastAsia"/>
                <w:sz w:val="18"/>
                <w:szCs w:val="18"/>
              </w:rPr>
              <w:t>%-</w:t>
            </w:r>
            <w:r>
              <w:rPr>
                <w:sz w:val="18"/>
                <w:szCs w:val="18"/>
              </w:rPr>
              <w:t>105.0</w:t>
            </w:r>
            <w:r>
              <w:rPr>
                <w:rFonts w:hint="eastAsia"/>
                <w:sz w:val="18"/>
                <w:szCs w:val="18"/>
              </w:rPr>
              <w:t>%</w:t>
            </w:r>
          </w:p>
        </w:tc>
        <w:tc>
          <w:tcPr>
            <w:tcW w:w="611" w:type="pct"/>
            <w:vAlign w:val="center"/>
          </w:tcPr>
          <w:p>
            <w:pPr>
              <w:jc w:val="center"/>
              <w:rPr>
                <w:sz w:val="18"/>
                <w:szCs w:val="18"/>
              </w:rPr>
            </w:pPr>
            <w:bookmarkStart w:id="7" w:name="OLE_LINK381"/>
            <w:bookmarkStart w:id="8" w:name="OLE_LINK382"/>
            <w:r>
              <w:rPr>
                <w:rFonts w:hint="eastAsia"/>
                <w:sz w:val="18"/>
                <w:szCs w:val="18"/>
              </w:rPr>
              <w:t>标示值的</w:t>
            </w:r>
          </w:p>
          <w:p>
            <w:pPr>
              <w:jc w:val="center"/>
              <w:rPr>
                <w:sz w:val="18"/>
                <w:szCs w:val="18"/>
              </w:rPr>
            </w:pPr>
            <w:r>
              <w:rPr>
                <w:rFonts w:hint="eastAsia"/>
                <w:sz w:val="18"/>
                <w:szCs w:val="18"/>
              </w:rPr>
              <w:t>9</w:t>
            </w:r>
            <w:r>
              <w:rPr>
                <w:sz w:val="18"/>
                <w:szCs w:val="18"/>
              </w:rPr>
              <w:t>5.0</w:t>
            </w:r>
            <w:r>
              <w:rPr>
                <w:rFonts w:hint="eastAsia"/>
                <w:sz w:val="18"/>
                <w:szCs w:val="18"/>
              </w:rPr>
              <w:t>%-</w:t>
            </w:r>
            <w:r>
              <w:rPr>
                <w:sz w:val="18"/>
                <w:szCs w:val="18"/>
              </w:rPr>
              <w:t>105.0</w:t>
            </w:r>
            <w:r>
              <w:rPr>
                <w:rFonts w:hint="eastAsia"/>
                <w:sz w:val="18"/>
                <w:szCs w:val="18"/>
              </w:rPr>
              <w:t>%</w:t>
            </w:r>
            <w:bookmarkEnd w:id="7"/>
            <w:bookmarkEnd w:id="8"/>
          </w:p>
        </w:tc>
        <w:tc>
          <w:tcPr>
            <w:tcW w:w="509" w:type="pct"/>
            <w:vAlign w:val="center"/>
          </w:tcPr>
          <w:p>
            <w:pPr>
              <w:jc w:val="center"/>
              <w:rPr>
                <w:sz w:val="18"/>
                <w:szCs w:val="18"/>
              </w:rPr>
            </w:pPr>
            <w:r>
              <w:rPr>
                <w:rFonts w:hint="eastAsia"/>
                <w:sz w:val="18"/>
                <w:szCs w:val="18"/>
              </w:rPr>
              <w:t>标示值的9</w:t>
            </w:r>
            <w:r>
              <w:rPr>
                <w:sz w:val="18"/>
                <w:szCs w:val="18"/>
              </w:rPr>
              <w:t>5.0</w:t>
            </w:r>
            <w:r>
              <w:rPr>
                <w:rFonts w:hint="eastAsia"/>
                <w:sz w:val="18"/>
                <w:szCs w:val="18"/>
              </w:rPr>
              <w:t>%-</w:t>
            </w:r>
            <w:r>
              <w:rPr>
                <w:sz w:val="18"/>
                <w:szCs w:val="18"/>
              </w:rPr>
              <w:t>105.0</w:t>
            </w:r>
            <w:r>
              <w:rPr>
                <w:rFonts w:hint="eastAsia"/>
                <w:sz w:val="18"/>
                <w:szCs w:val="18"/>
              </w:rPr>
              <w:t>%</w:t>
            </w:r>
          </w:p>
        </w:tc>
        <w:tc>
          <w:tcPr>
            <w:tcW w:w="510" w:type="pct"/>
            <w:vAlign w:val="center"/>
          </w:tcPr>
          <w:p>
            <w:pPr>
              <w:spacing w:line="300" w:lineRule="exact"/>
              <w:jc w:val="center"/>
              <w:rPr>
                <w:sz w:val="18"/>
                <w:szCs w:val="18"/>
              </w:rPr>
            </w:pPr>
            <w:r>
              <w:rPr>
                <w:sz w:val="18"/>
                <w:szCs w:val="18"/>
              </w:rPr>
              <w:t>76</w:t>
            </w:r>
          </w:p>
        </w:tc>
        <w:tc>
          <w:tcPr>
            <w:tcW w:w="765" w:type="pct"/>
            <w:shd w:val="clear" w:color="auto" w:fill="auto"/>
            <w:vAlign w:val="center"/>
          </w:tcPr>
          <w:p>
            <w:pPr>
              <w:jc w:val="center"/>
              <w:rPr>
                <w:sz w:val="18"/>
                <w:szCs w:val="18"/>
              </w:rPr>
            </w:pPr>
            <w:r>
              <w:rPr>
                <w:sz w:val="18"/>
                <w:szCs w:val="18"/>
              </w:rPr>
              <w:t>40.0</w:t>
            </w:r>
            <w:r>
              <w:rPr>
                <w:rFonts w:hint="eastAsia"/>
                <w:sz w:val="18"/>
                <w:szCs w:val="18"/>
              </w:rPr>
              <w:t>（标示值的9</w:t>
            </w:r>
            <w:r>
              <w:rPr>
                <w:sz w:val="18"/>
                <w:szCs w:val="18"/>
              </w:rPr>
              <w:t>5</w:t>
            </w:r>
            <w:r>
              <w:rPr>
                <w:rFonts w:hint="eastAsia"/>
                <w:sz w:val="18"/>
                <w:szCs w:val="18"/>
              </w:rPr>
              <w:t>%-</w:t>
            </w:r>
            <w:r>
              <w:rPr>
                <w:sz w:val="18"/>
                <w:szCs w:val="18"/>
              </w:rPr>
              <w:t>105</w:t>
            </w:r>
            <w:r>
              <w:rPr>
                <w:rFonts w:hint="eastAsia"/>
                <w:sz w:val="18"/>
                <w:szCs w:val="18"/>
              </w:rPr>
              <w:t>%）</w:t>
            </w:r>
          </w:p>
        </w:tc>
        <w:tc>
          <w:tcPr>
            <w:tcW w:w="816" w:type="pct"/>
            <w:shd w:val="clear" w:color="auto" w:fill="auto"/>
            <w:vAlign w:val="center"/>
          </w:tcPr>
          <w:p>
            <w:pPr>
              <w:jc w:val="center"/>
              <w:rPr>
                <w:sz w:val="18"/>
                <w:szCs w:val="18"/>
              </w:rPr>
            </w:pPr>
            <w:r>
              <w:rPr>
                <w:sz w:val="18"/>
                <w:szCs w:val="18"/>
              </w:rPr>
              <w:t>40.0</w:t>
            </w:r>
            <w:r>
              <w:rPr>
                <w:rFonts w:hint="eastAsia"/>
                <w:sz w:val="18"/>
                <w:szCs w:val="18"/>
              </w:rPr>
              <w:t>（标示值的9</w:t>
            </w:r>
            <w:r>
              <w:rPr>
                <w:sz w:val="18"/>
                <w:szCs w:val="18"/>
              </w:rPr>
              <w:t>5</w:t>
            </w:r>
            <w:r>
              <w:rPr>
                <w:rFonts w:hint="eastAsia"/>
                <w:sz w:val="18"/>
                <w:szCs w:val="18"/>
              </w:rPr>
              <w:t>%-</w:t>
            </w:r>
            <w:r>
              <w:rPr>
                <w:sz w:val="18"/>
                <w:szCs w:val="18"/>
              </w:rPr>
              <w:t>105</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L-乳酸占总酸含量，%</w:t>
            </w:r>
          </w:p>
        </w:tc>
        <w:tc>
          <w:tcPr>
            <w:tcW w:w="156" w:type="pct"/>
            <w:tcBorders>
              <w:left w:val="nil"/>
              <w:right w:val="single" w:color="auto" w:sz="4" w:space="0"/>
            </w:tcBorders>
            <w:vAlign w:val="center"/>
          </w:tcPr>
          <w:p>
            <w:pPr>
              <w:jc w:val="center"/>
              <w:rPr>
                <w:sz w:val="18"/>
                <w:szCs w:val="18"/>
              </w:rPr>
            </w:pPr>
            <w:r>
              <w:rPr>
                <w:rFonts w:hint="eastAsia"/>
                <w:sz w:val="18"/>
                <w:szCs w:val="18"/>
              </w:rPr>
              <w:t>≥</w:t>
            </w:r>
          </w:p>
        </w:tc>
        <w:tc>
          <w:tcPr>
            <w:tcW w:w="758" w:type="pct"/>
            <w:vAlign w:val="center"/>
          </w:tcPr>
          <w:p>
            <w:pPr>
              <w:jc w:val="center"/>
              <w:rPr>
                <w:rFonts w:hint="default" w:eastAsia="宋体"/>
                <w:sz w:val="18"/>
                <w:szCs w:val="18"/>
                <w:lang w:val="en-US" w:eastAsia="zh-CN"/>
              </w:rPr>
            </w:pPr>
            <w:r>
              <w:rPr>
                <w:rFonts w:hint="eastAsia"/>
                <w:sz w:val="18"/>
                <w:szCs w:val="18"/>
              </w:rPr>
              <w:t>9</w:t>
            </w:r>
            <w:r>
              <w:rPr>
                <w:rFonts w:hint="eastAsia"/>
                <w:sz w:val="18"/>
                <w:szCs w:val="18"/>
                <w:lang w:val="en-US" w:eastAsia="zh-CN"/>
              </w:rPr>
              <w:t>8</w:t>
            </w:r>
          </w:p>
        </w:tc>
        <w:tc>
          <w:tcPr>
            <w:tcW w:w="611" w:type="pct"/>
            <w:vAlign w:val="center"/>
          </w:tcPr>
          <w:p>
            <w:pPr>
              <w:jc w:val="center"/>
              <w:rPr>
                <w:sz w:val="18"/>
                <w:szCs w:val="18"/>
              </w:rPr>
            </w:pPr>
            <w:r>
              <w:rPr>
                <w:rFonts w:hint="eastAsia"/>
                <w:sz w:val="18"/>
                <w:szCs w:val="18"/>
              </w:rPr>
              <w:t>—</w:t>
            </w:r>
          </w:p>
        </w:tc>
        <w:tc>
          <w:tcPr>
            <w:tcW w:w="509" w:type="pct"/>
            <w:vAlign w:val="center"/>
          </w:tcPr>
          <w:p>
            <w:pPr>
              <w:jc w:val="center"/>
              <w:rPr>
                <w:sz w:val="18"/>
                <w:szCs w:val="18"/>
              </w:rPr>
            </w:pPr>
            <w:r>
              <w:rPr>
                <w:rFonts w:hint="eastAsia"/>
                <w:sz w:val="18"/>
                <w:szCs w:val="18"/>
              </w:rPr>
              <w:t>—</w:t>
            </w:r>
          </w:p>
        </w:tc>
        <w:tc>
          <w:tcPr>
            <w:tcW w:w="510" w:type="pct"/>
            <w:vAlign w:val="center"/>
          </w:tcPr>
          <w:p>
            <w:pPr>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rFonts w:hint="eastAsia"/>
                <w:sz w:val="18"/>
                <w:szCs w:val="18"/>
              </w:rPr>
              <w:t>—</w:t>
            </w:r>
          </w:p>
        </w:tc>
        <w:tc>
          <w:tcPr>
            <w:tcW w:w="816" w:type="pct"/>
            <w:shd w:val="clear" w:color="auto" w:fill="auto"/>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灼烧残渣，%</w:t>
            </w:r>
          </w:p>
        </w:tc>
        <w:tc>
          <w:tcPr>
            <w:tcW w:w="156" w:type="pct"/>
            <w:tcBorders>
              <w:left w:val="nil"/>
              <w:right w:val="single" w:color="auto" w:sz="4" w:space="0"/>
            </w:tcBorders>
            <w:vAlign w:val="center"/>
          </w:tcPr>
          <w:p>
            <w:pPr>
              <w:jc w:val="center"/>
              <w:rPr>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0.1</w:t>
            </w:r>
          </w:p>
        </w:tc>
        <w:tc>
          <w:tcPr>
            <w:tcW w:w="611" w:type="pct"/>
            <w:vAlign w:val="center"/>
          </w:tcPr>
          <w:p>
            <w:pPr>
              <w:jc w:val="center"/>
              <w:rPr>
                <w:sz w:val="18"/>
                <w:szCs w:val="18"/>
              </w:rPr>
            </w:pPr>
            <w:r>
              <w:rPr>
                <w:rFonts w:hint="eastAsia"/>
                <w:sz w:val="18"/>
                <w:szCs w:val="18"/>
              </w:rPr>
              <w:t>0.1</w:t>
            </w:r>
          </w:p>
        </w:tc>
        <w:tc>
          <w:tcPr>
            <w:tcW w:w="509" w:type="pct"/>
            <w:vAlign w:val="center"/>
          </w:tcPr>
          <w:p>
            <w:pPr>
              <w:jc w:val="center"/>
              <w:rPr>
                <w:sz w:val="18"/>
                <w:szCs w:val="18"/>
              </w:rPr>
            </w:pPr>
            <w:r>
              <w:rPr>
                <w:rFonts w:hint="eastAsia"/>
                <w:sz w:val="18"/>
                <w:szCs w:val="18"/>
              </w:rPr>
              <w:t>0.1</w:t>
            </w:r>
          </w:p>
        </w:tc>
        <w:tc>
          <w:tcPr>
            <w:tcW w:w="510" w:type="pct"/>
            <w:vAlign w:val="center"/>
          </w:tcPr>
          <w:p>
            <w:pPr>
              <w:spacing w:line="300" w:lineRule="exact"/>
              <w:jc w:val="center"/>
              <w:rPr>
                <w:sz w:val="18"/>
                <w:szCs w:val="18"/>
              </w:rPr>
            </w:pPr>
            <w:r>
              <w:rPr>
                <w:rFonts w:hint="eastAsia"/>
                <w:sz w:val="18"/>
                <w:szCs w:val="18"/>
              </w:rPr>
              <w:t>0.1</w:t>
            </w:r>
          </w:p>
        </w:tc>
        <w:tc>
          <w:tcPr>
            <w:tcW w:w="765" w:type="pct"/>
            <w:shd w:val="clear" w:color="auto" w:fill="auto"/>
            <w:vAlign w:val="center"/>
          </w:tcPr>
          <w:p>
            <w:pPr>
              <w:jc w:val="center"/>
              <w:rPr>
                <w:sz w:val="18"/>
                <w:szCs w:val="18"/>
              </w:rPr>
            </w:pPr>
            <w:r>
              <w:rPr>
                <w:rFonts w:hint="eastAsia"/>
                <w:sz w:val="18"/>
                <w:szCs w:val="18"/>
              </w:rPr>
              <w:t>0.1</w:t>
            </w:r>
          </w:p>
        </w:tc>
        <w:tc>
          <w:tcPr>
            <w:tcW w:w="816" w:type="pct"/>
            <w:shd w:val="clear" w:color="auto" w:fill="auto"/>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乙醚不溶物，%</w:t>
            </w:r>
          </w:p>
        </w:tc>
        <w:tc>
          <w:tcPr>
            <w:tcW w:w="156" w:type="pct"/>
            <w:tcBorders>
              <w:left w:val="nil"/>
              <w:right w:val="single" w:color="auto" w:sz="4" w:space="0"/>
            </w:tcBorders>
            <w:vAlign w:val="center"/>
          </w:tcPr>
          <w:p>
            <w:pPr>
              <w:jc w:val="center"/>
              <w:rPr>
                <w:rFonts w:ascii="宋体" w:hAnsi="宋体"/>
                <w:sz w:val="18"/>
                <w:szCs w:val="18"/>
              </w:rPr>
            </w:pPr>
            <w:r>
              <w:rPr>
                <w:rFonts w:hint="eastAsia"/>
                <w:sz w:val="18"/>
                <w:szCs w:val="18"/>
              </w:rPr>
              <w:t>≤</w:t>
            </w:r>
          </w:p>
        </w:tc>
        <w:tc>
          <w:tcPr>
            <w:tcW w:w="758" w:type="pct"/>
            <w:vAlign w:val="center"/>
          </w:tcPr>
          <w:p>
            <w:pPr>
              <w:jc w:val="center"/>
              <w:rPr>
                <w:sz w:val="18"/>
                <w:szCs w:val="18"/>
              </w:rPr>
            </w:pPr>
            <w:r>
              <w:rPr>
                <w:rFonts w:hint="eastAsia"/>
                <w:sz w:val="18"/>
                <w:szCs w:val="18"/>
              </w:rPr>
              <w:t>—</w:t>
            </w:r>
          </w:p>
        </w:tc>
        <w:tc>
          <w:tcPr>
            <w:tcW w:w="611" w:type="pct"/>
            <w:vAlign w:val="center"/>
          </w:tcPr>
          <w:p>
            <w:pPr>
              <w:jc w:val="center"/>
              <w:rPr>
                <w:sz w:val="18"/>
                <w:szCs w:val="18"/>
              </w:rPr>
            </w:pPr>
            <w:r>
              <w:rPr>
                <w:rFonts w:hint="eastAsia"/>
                <w:sz w:val="18"/>
                <w:szCs w:val="18"/>
              </w:rPr>
              <w:t>—</w:t>
            </w:r>
          </w:p>
        </w:tc>
        <w:tc>
          <w:tcPr>
            <w:tcW w:w="509" w:type="pct"/>
            <w:vAlign w:val="center"/>
          </w:tcPr>
          <w:p>
            <w:pPr>
              <w:jc w:val="center"/>
              <w:rPr>
                <w:sz w:val="18"/>
                <w:szCs w:val="18"/>
              </w:rPr>
            </w:pPr>
            <w:r>
              <w:rPr>
                <w:rFonts w:hint="eastAsia"/>
                <w:sz w:val="18"/>
                <w:szCs w:val="18"/>
              </w:rPr>
              <w:t>—</w:t>
            </w:r>
          </w:p>
        </w:tc>
        <w:tc>
          <w:tcPr>
            <w:tcW w:w="510" w:type="pct"/>
            <w:vAlign w:val="center"/>
          </w:tcPr>
          <w:p>
            <w:pPr>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sz w:val="18"/>
                <w:szCs w:val="18"/>
              </w:rPr>
              <w:t>0.7</w:t>
            </w:r>
          </w:p>
        </w:tc>
        <w:tc>
          <w:tcPr>
            <w:tcW w:w="816" w:type="pct"/>
            <w:shd w:val="clear" w:color="auto" w:fill="auto"/>
            <w:vAlign w:val="center"/>
          </w:tcPr>
          <w:p>
            <w:pPr>
              <w:jc w:val="center"/>
              <w:rPr>
                <w:sz w:val="18"/>
                <w:szCs w:val="18"/>
              </w:rPr>
            </w:pPr>
            <w:r>
              <w:rPr>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氯化物（以Cl计），%</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0.002</w:t>
            </w:r>
          </w:p>
        </w:tc>
        <w:tc>
          <w:tcPr>
            <w:tcW w:w="611" w:type="pct"/>
            <w:vAlign w:val="center"/>
          </w:tcPr>
          <w:p>
            <w:pPr>
              <w:jc w:val="center"/>
              <w:rPr>
                <w:sz w:val="18"/>
                <w:szCs w:val="18"/>
              </w:rPr>
            </w:pPr>
            <w:r>
              <w:rPr>
                <w:rFonts w:hint="eastAsia"/>
                <w:sz w:val="18"/>
                <w:szCs w:val="18"/>
              </w:rPr>
              <w:t>0.2</w:t>
            </w:r>
          </w:p>
        </w:tc>
        <w:tc>
          <w:tcPr>
            <w:tcW w:w="509" w:type="pct"/>
            <w:vAlign w:val="center"/>
          </w:tcPr>
          <w:p>
            <w:pPr>
              <w:jc w:val="center"/>
              <w:rPr>
                <w:sz w:val="18"/>
                <w:szCs w:val="18"/>
              </w:rPr>
            </w:pPr>
            <w:r>
              <w:rPr>
                <w:rFonts w:hint="eastAsia"/>
                <w:sz w:val="18"/>
                <w:szCs w:val="18"/>
              </w:rPr>
              <w:t>0.1</w:t>
            </w:r>
          </w:p>
        </w:tc>
        <w:tc>
          <w:tcPr>
            <w:tcW w:w="510" w:type="pct"/>
            <w:vAlign w:val="center"/>
          </w:tcPr>
          <w:p>
            <w:pPr>
              <w:spacing w:line="300" w:lineRule="exact"/>
              <w:jc w:val="center"/>
              <w:rPr>
                <w:sz w:val="18"/>
                <w:szCs w:val="18"/>
              </w:rPr>
            </w:pPr>
            <w:r>
              <w:rPr>
                <w:rFonts w:hint="eastAsia"/>
                <w:sz w:val="18"/>
                <w:szCs w:val="18"/>
              </w:rPr>
              <w:t>0.2</w:t>
            </w:r>
          </w:p>
        </w:tc>
        <w:tc>
          <w:tcPr>
            <w:tcW w:w="765" w:type="pct"/>
            <w:shd w:val="clear" w:color="auto" w:fill="auto"/>
            <w:vAlign w:val="center"/>
          </w:tcPr>
          <w:p>
            <w:pPr>
              <w:jc w:val="center"/>
              <w:rPr>
                <w:sz w:val="18"/>
                <w:szCs w:val="18"/>
              </w:rPr>
            </w:pPr>
            <w:r>
              <w:rPr>
                <w:rFonts w:hint="eastAsia"/>
                <w:sz w:val="18"/>
                <w:szCs w:val="18"/>
              </w:rPr>
              <w:t>—</w:t>
            </w:r>
          </w:p>
        </w:tc>
        <w:tc>
          <w:tcPr>
            <w:tcW w:w="816" w:type="pct"/>
            <w:shd w:val="clear" w:color="auto" w:fill="auto"/>
            <w:vAlign w:val="center"/>
          </w:tcPr>
          <w:p>
            <w:pPr>
              <w:jc w:val="center"/>
              <w:rPr>
                <w:sz w:val="18"/>
                <w:szCs w:val="18"/>
              </w:rPr>
            </w:pPr>
            <w:r>
              <w:rPr>
                <w:rFonts w:hint="eastAsia"/>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硫酸盐（以SO</w:t>
            </w:r>
            <w:r>
              <w:rPr>
                <w:rFonts w:hint="eastAsia"/>
                <w:sz w:val="18"/>
                <w:szCs w:val="18"/>
                <w:vertAlign w:val="subscript"/>
              </w:rPr>
              <w:t>4</w:t>
            </w:r>
            <w:r>
              <w:rPr>
                <w:rFonts w:hint="eastAsia"/>
                <w:sz w:val="18"/>
                <w:szCs w:val="18"/>
              </w:rPr>
              <w:t>计），%</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0.005</w:t>
            </w:r>
          </w:p>
        </w:tc>
        <w:tc>
          <w:tcPr>
            <w:tcW w:w="611" w:type="pct"/>
            <w:vAlign w:val="center"/>
          </w:tcPr>
          <w:p>
            <w:pPr>
              <w:jc w:val="center"/>
              <w:rPr>
                <w:sz w:val="18"/>
                <w:szCs w:val="18"/>
              </w:rPr>
            </w:pPr>
            <w:r>
              <w:rPr>
                <w:rFonts w:hint="eastAsia"/>
                <w:sz w:val="18"/>
                <w:szCs w:val="18"/>
              </w:rPr>
              <w:t>0.25</w:t>
            </w:r>
          </w:p>
        </w:tc>
        <w:tc>
          <w:tcPr>
            <w:tcW w:w="509" w:type="pct"/>
            <w:vAlign w:val="center"/>
          </w:tcPr>
          <w:p>
            <w:pPr>
              <w:jc w:val="center"/>
              <w:rPr>
                <w:sz w:val="18"/>
                <w:szCs w:val="18"/>
              </w:rPr>
            </w:pPr>
            <w:r>
              <w:rPr>
                <w:rFonts w:hint="eastAsia"/>
                <w:sz w:val="18"/>
                <w:szCs w:val="18"/>
              </w:rPr>
              <w:t>0.25</w:t>
            </w:r>
          </w:p>
        </w:tc>
        <w:tc>
          <w:tcPr>
            <w:tcW w:w="510" w:type="pct"/>
            <w:vAlign w:val="center"/>
          </w:tcPr>
          <w:p>
            <w:pPr>
              <w:spacing w:line="300" w:lineRule="exact"/>
              <w:jc w:val="center"/>
              <w:rPr>
                <w:sz w:val="18"/>
                <w:szCs w:val="18"/>
              </w:rPr>
            </w:pPr>
            <w:r>
              <w:rPr>
                <w:rFonts w:hint="eastAsia"/>
                <w:sz w:val="18"/>
                <w:szCs w:val="18"/>
              </w:rPr>
              <w:t>0.25</w:t>
            </w:r>
          </w:p>
        </w:tc>
        <w:tc>
          <w:tcPr>
            <w:tcW w:w="765" w:type="pct"/>
            <w:shd w:val="clear" w:color="auto" w:fill="auto"/>
            <w:vAlign w:val="center"/>
          </w:tcPr>
          <w:p>
            <w:pPr>
              <w:jc w:val="center"/>
              <w:rPr>
                <w:sz w:val="18"/>
                <w:szCs w:val="18"/>
              </w:rPr>
            </w:pPr>
            <w:r>
              <w:rPr>
                <w:rFonts w:hint="eastAsia"/>
                <w:sz w:val="18"/>
                <w:szCs w:val="18"/>
              </w:rPr>
              <w:t>0.010</w:t>
            </w:r>
          </w:p>
        </w:tc>
        <w:tc>
          <w:tcPr>
            <w:tcW w:w="816" w:type="pct"/>
            <w:shd w:val="clear" w:color="auto" w:fill="auto"/>
            <w:vAlign w:val="center"/>
          </w:tcPr>
          <w:p>
            <w:pPr>
              <w:jc w:val="center"/>
              <w:rPr>
                <w:sz w:val="18"/>
                <w:szCs w:val="18"/>
              </w:rPr>
            </w:pPr>
            <w:r>
              <w:rPr>
                <w:rFonts w:hint="eastAsia"/>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铁盐（以Fe计）</w:t>
            </w:r>
            <w:r>
              <w:rPr>
                <w:sz w:val="18"/>
                <w:szCs w:val="18"/>
              </w:rPr>
              <w:t>，</w:t>
            </w:r>
            <w:r>
              <w:rPr>
                <w:rFonts w:hint="eastAsia"/>
                <w:sz w:val="18"/>
                <w:szCs w:val="18"/>
              </w:rPr>
              <w:t>%</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0.001</w:t>
            </w:r>
          </w:p>
        </w:tc>
        <w:tc>
          <w:tcPr>
            <w:tcW w:w="611" w:type="pct"/>
            <w:vAlign w:val="center"/>
          </w:tcPr>
          <w:p>
            <w:pPr>
              <w:jc w:val="center"/>
              <w:rPr>
                <w:sz w:val="18"/>
                <w:szCs w:val="18"/>
              </w:rPr>
            </w:pPr>
            <w:r>
              <w:rPr>
                <w:rFonts w:hint="eastAsia"/>
                <w:sz w:val="18"/>
                <w:szCs w:val="18"/>
              </w:rPr>
              <w:t>0.001</w:t>
            </w:r>
          </w:p>
        </w:tc>
        <w:tc>
          <w:tcPr>
            <w:tcW w:w="509" w:type="pct"/>
            <w:vAlign w:val="center"/>
          </w:tcPr>
          <w:p>
            <w:pPr>
              <w:jc w:val="center"/>
              <w:rPr>
                <w:sz w:val="18"/>
                <w:szCs w:val="18"/>
              </w:rPr>
            </w:pPr>
            <w:r>
              <w:rPr>
                <w:rFonts w:hint="eastAsia"/>
                <w:sz w:val="18"/>
                <w:szCs w:val="18"/>
              </w:rPr>
              <w:t>0.001</w:t>
            </w:r>
          </w:p>
        </w:tc>
        <w:tc>
          <w:tcPr>
            <w:tcW w:w="510" w:type="pct"/>
            <w:vAlign w:val="center"/>
          </w:tcPr>
          <w:p>
            <w:pPr>
              <w:spacing w:line="300" w:lineRule="exact"/>
              <w:jc w:val="center"/>
              <w:rPr>
                <w:sz w:val="18"/>
                <w:szCs w:val="18"/>
              </w:rPr>
            </w:pPr>
            <w:r>
              <w:rPr>
                <w:rFonts w:hint="eastAsia"/>
                <w:sz w:val="18"/>
                <w:szCs w:val="18"/>
              </w:rPr>
              <w:t>0.001</w:t>
            </w:r>
          </w:p>
        </w:tc>
        <w:tc>
          <w:tcPr>
            <w:tcW w:w="765" w:type="pct"/>
            <w:shd w:val="clear" w:color="auto" w:fill="auto"/>
            <w:vAlign w:val="center"/>
          </w:tcPr>
          <w:p>
            <w:pPr>
              <w:jc w:val="center"/>
              <w:rPr>
                <w:sz w:val="18"/>
                <w:szCs w:val="18"/>
              </w:rPr>
            </w:pPr>
            <w:r>
              <w:rPr>
                <w:rFonts w:hint="eastAsia"/>
                <w:sz w:val="18"/>
                <w:szCs w:val="18"/>
              </w:rPr>
              <w:t>0.001</w:t>
            </w:r>
          </w:p>
        </w:tc>
        <w:tc>
          <w:tcPr>
            <w:tcW w:w="816" w:type="pct"/>
            <w:shd w:val="clear" w:color="auto" w:fill="auto"/>
            <w:vAlign w:val="center"/>
          </w:tcPr>
          <w:p>
            <w:pPr>
              <w:jc w:val="center"/>
              <w:rPr>
                <w:sz w:val="18"/>
                <w:szCs w:val="18"/>
              </w:rPr>
            </w:pPr>
            <w:r>
              <w:rPr>
                <w:rFonts w:hint="eastAsia"/>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氰化物</w:t>
            </w:r>
            <w:r>
              <w:rPr>
                <w:sz w:val="18"/>
                <w:szCs w:val="18"/>
              </w:rPr>
              <w:t>，mg/kg</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rFonts w:hint="eastAsia" w:eastAsia="宋体"/>
                <w:sz w:val="18"/>
                <w:szCs w:val="18"/>
                <w:lang w:eastAsia="zh-CN"/>
              </w:rPr>
            </w:pPr>
            <w:r>
              <w:rPr>
                <w:rFonts w:hint="eastAsia"/>
                <w:sz w:val="18"/>
                <w:szCs w:val="18"/>
              </w:rPr>
              <w:t>1</w:t>
            </w:r>
            <w:r>
              <w:rPr>
                <w:rFonts w:hint="eastAsia"/>
                <w:sz w:val="18"/>
                <w:szCs w:val="18"/>
                <w:lang w:eastAsia="zh-CN"/>
              </w:rPr>
              <w:t>（</w:t>
            </w:r>
            <w:r>
              <w:rPr>
                <w:rFonts w:hint="eastAsia"/>
                <w:sz w:val="18"/>
                <w:szCs w:val="18"/>
                <w:lang w:val="en-US" w:eastAsia="zh-CN"/>
              </w:rPr>
              <w:t>以木薯淀粉为原料生产的乳酸</w:t>
            </w:r>
            <w:r>
              <w:rPr>
                <w:rFonts w:hint="eastAsia"/>
                <w:sz w:val="18"/>
                <w:szCs w:val="18"/>
                <w:lang w:eastAsia="zh-CN"/>
              </w:rPr>
              <w:t>）</w:t>
            </w:r>
          </w:p>
        </w:tc>
        <w:tc>
          <w:tcPr>
            <w:tcW w:w="611" w:type="pct"/>
            <w:vAlign w:val="center"/>
          </w:tcPr>
          <w:p>
            <w:pPr>
              <w:jc w:val="center"/>
              <w:rPr>
                <w:sz w:val="18"/>
                <w:szCs w:val="18"/>
              </w:rPr>
            </w:pPr>
            <w:r>
              <w:rPr>
                <w:rFonts w:hint="eastAsia"/>
                <w:sz w:val="18"/>
                <w:szCs w:val="18"/>
              </w:rPr>
              <w:t>1</w:t>
            </w:r>
          </w:p>
        </w:tc>
        <w:tc>
          <w:tcPr>
            <w:tcW w:w="509" w:type="pct"/>
            <w:vAlign w:val="center"/>
          </w:tcPr>
          <w:p>
            <w:pPr>
              <w:jc w:val="center"/>
              <w:rPr>
                <w:sz w:val="18"/>
                <w:szCs w:val="18"/>
              </w:rPr>
            </w:pPr>
            <w:r>
              <w:rPr>
                <w:sz w:val="18"/>
                <w:szCs w:val="18"/>
              </w:rPr>
              <w:t>5</w:t>
            </w:r>
          </w:p>
        </w:tc>
        <w:tc>
          <w:tcPr>
            <w:tcW w:w="510" w:type="pct"/>
            <w:vAlign w:val="center"/>
          </w:tcPr>
          <w:p>
            <w:pPr>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rFonts w:hint="eastAsia"/>
                <w:sz w:val="18"/>
                <w:szCs w:val="18"/>
              </w:rPr>
              <w:t>通过试验</w:t>
            </w:r>
          </w:p>
        </w:tc>
        <w:tc>
          <w:tcPr>
            <w:tcW w:w="816" w:type="pct"/>
            <w:shd w:val="clear" w:color="auto" w:fill="auto"/>
            <w:vAlign w:val="center"/>
          </w:tcPr>
          <w:p>
            <w:pPr>
              <w:jc w:val="center"/>
              <w:rPr>
                <w:sz w:val="18"/>
                <w:szCs w:val="18"/>
              </w:rPr>
            </w:pPr>
            <w:r>
              <w:rPr>
                <w:rFonts w:hint="eastAsia"/>
                <w:sz w:val="18"/>
                <w:szCs w:val="18"/>
              </w:rPr>
              <w:t>通过试验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28" w:type="pct"/>
            <w:gridSpan w:val="2"/>
            <w:tcBorders>
              <w:right w:val="single" w:color="auto" w:sz="4" w:space="0"/>
            </w:tcBorders>
            <w:vAlign w:val="center"/>
          </w:tcPr>
          <w:p>
            <w:pPr>
              <w:jc w:val="left"/>
              <w:rPr>
                <w:rFonts w:ascii="宋体" w:hAnsi="宋体"/>
                <w:sz w:val="18"/>
                <w:szCs w:val="18"/>
              </w:rPr>
            </w:pPr>
            <w:r>
              <w:rPr>
                <w:rFonts w:hint="eastAsia"/>
                <w:sz w:val="18"/>
                <w:szCs w:val="18"/>
              </w:rPr>
              <w:t>柠檬酸、草酸、磷酸、酒石酸</w:t>
            </w:r>
          </w:p>
        </w:tc>
        <w:tc>
          <w:tcPr>
            <w:tcW w:w="758" w:type="pct"/>
            <w:vAlign w:val="center"/>
          </w:tcPr>
          <w:p>
            <w:pPr>
              <w:jc w:val="center"/>
              <w:rPr>
                <w:sz w:val="18"/>
                <w:szCs w:val="18"/>
              </w:rPr>
            </w:pPr>
            <w:r>
              <w:rPr>
                <w:rFonts w:hint="eastAsia"/>
                <w:sz w:val="18"/>
                <w:szCs w:val="18"/>
              </w:rPr>
              <w:t>通过试验</w:t>
            </w:r>
          </w:p>
        </w:tc>
        <w:tc>
          <w:tcPr>
            <w:tcW w:w="611" w:type="pct"/>
            <w:vAlign w:val="center"/>
          </w:tcPr>
          <w:p>
            <w:pPr>
              <w:jc w:val="center"/>
              <w:rPr>
                <w:sz w:val="18"/>
                <w:szCs w:val="18"/>
              </w:rPr>
            </w:pPr>
            <w:r>
              <w:rPr>
                <w:rFonts w:hint="eastAsia"/>
                <w:sz w:val="18"/>
                <w:szCs w:val="18"/>
              </w:rPr>
              <w:t>通过试验</w:t>
            </w:r>
          </w:p>
        </w:tc>
        <w:tc>
          <w:tcPr>
            <w:tcW w:w="509" w:type="pct"/>
            <w:vAlign w:val="center"/>
          </w:tcPr>
          <w:p>
            <w:pPr>
              <w:jc w:val="center"/>
              <w:rPr>
                <w:sz w:val="18"/>
                <w:szCs w:val="18"/>
              </w:rPr>
            </w:pPr>
            <w:r>
              <w:rPr>
                <w:rFonts w:hint="eastAsia"/>
                <w:sz w:val="18"/>
                <w:szCs w:val="18"/>
              </w:rPr>
              <w:t>通过试验</w:t>
            </w:r>
          </w:p>
        </w:tc>
        <w:tc>
          <w:tcPr>
            <w:tcW w:w="510" w:type="pct"/>
            <w:vAlign w:val="center"/>
          </w:tcPr>
          <w:p>
            <w:pPr>
              <w:jc w:val="center"/>
              <w:rPr>
                <w:sz w:val="18"/>
                <w:szCs w:val="18"/>
              </w:rPr>
            </w:pPr>
            <w:r>
              <w:rPr>
                <w:rFonts w:hint="eastAsia"/>
                <w:sz w:val="18"/>
                <w:szCs w:val="18"/>
              </w:rPr>
              <w:t>—</w:t>
            </w:r>
          </w:p>
        </w:tc>
        <w:tc>
          <w:tcPr>
            <w:tcW w:w="765" w:type="pct"/>
            <w:shd w:val="clear" w:color="auto" w:fill="auto"/>
            <w:vAlign w:val="center"/>
          </w:tcPr>
          <w:p>
            <w:pPr>
              <w:spacing w:line="300" w:lineRule="exact"/>
              <w:jc w:val="center"/>
              <w:rPr>
                <w:sz w:val="18"/>
                <w:szCs w:val="18"/>
              </w:rPr>
            </w:pPr>
            <w:r>
              <w:rPr>
                <w:sz w:val="18"/>
                <w:szCs w:val="18"/>
              </w:rPr>
              <w:t>通过试验</w:t>
            </w:r>
          </w:p>
        </w:tc>
        <w:tc>
          <w:tcPr>
            <w:tcW w:w="816" w:type="pct"/>
            <w:shd w:val="clear" w:color="auto" w:fill="auto"/>
            <w:vAlign w:val="center"/>
          </w:tcPr>
          <w:p>
            <w:pPr>
              <w:jc w:val="center"/>
              <w:rPr>
                <w:sz w:val="18"/>
                <w:szCs w:val="18"/>
              </w:rPr>
            </w:pPr>
            <w:r>
              <w:rPr>
                <w:sz w:val="18"/>
                <w:szCs w:val="18"/>
              </w:rPr>
              <w:t>通过试验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还原糖</w:t>
            </w:r>
          </w:p>
        </w:tc>
        <w:tc>
          <w:tcPr>
            <w:tcW w:w="156" w:type="pct"/>
            <w:tcBorders>
              <w:left w:val="nil"/>
              <w:right w:val="single" w:color="auto" w:sz="4" w:space="0"/>
            </w:tcBorders>
            <w:vAlign w:val="center"/>
          </w:tcPr>
          <w:p>
            <w:pPr>
              <w:jc w:val="left"/>
              <w:rPr>
                <w:rFonts w:ascii="宋体" w:hAnsi="宋体"/>
                <w:sz w:val="18"/>
                <w:szCs w:val="18"/>
              </w:rPr>
            </w:pPr>
          </w:p>
        </w:tc>
        <w:tc>
          <w:tcPr>
            <w:tcW w:w="758" w:type="pct"/>
            <w:vAlign w:val="center"/>
          </w:tcPr>
          <w:p>
            <w:pPr>
              <w:jc w:val="center"/>
              <w:rPr>
                <w:sz w:val="18"/>
                <w:szCs w:val="18"/>
              </w:rPr>
            </w:pPr>
            <w:r>
              <w:rPr>
                <w:rFonts w:hint="eastAsia"/>
                <w:sz w:val="18"/>
                <w:szCs w:val="18"/>
              </w:rPr>
              <w:t>通过试验</w:t>
            </w:r>
          </w:p>
        </w:tc>
        <w:tc>
          <w:tcPr>
            <w:tcW w:w="611" w:type="pct"/>
            <w:vAlign w:val="center"/>
          </w:tcPr>
          <w:p>
            <w:pPr>
              <w:jc w:val="center"/>
              <w:rPr>
                <w:sz w:val="18"/>
                <w:szCs w:val="18"/>
              </w:rPr>
            </w:pPr>
            <w:r>
              <w:rPr>
                <w:rFonts w:hint="eastAsia"/>
                <w:sz w:val="18"/>
                <w:szCs w:val="18"/>
              </w:rPr>
              <w:t>通过试验</w:t>
            </w:r>
          </w:p>
        </w:tc>
        <w:tc>
          <w:tcPr>
            <w:tcW w:w="509" w:type="pct"/>
            <w:vAlign w:val="center"/>
          </w:tcPr>
          <w:p>
            <w:pPr>
              <w:jc w:val="center"/>
              <w:rPr>
                <w:sz w:val="18"/>
                <w:szCs w:val="18"/>
              </w:rPr>
            </w:pPr>
            <w:r>
              <w:rPr>
                <w:rFonts w:hint="eastAsia"/>
                <w:sz w:val="18"/>
                <w:szCs w:val="18"/>
              </w:rPr>
              <w:t>通过试验</w:t>
            </w:r>
          </w:p>
        </w:tc>
        <w:tc>
          <w:tcPr>
            <w:tcW w:w="510" w:type="pct"/>
            <w:vAlign w:val="center"/>
          </w:tcPr>
          <w:p>
            <w:pPr>
              <w:spacing w:line="300" w:lineRule="exact"/>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rFonts w:hint="eastAsia"/>
                <w:sz w:val="18"/>
                <w:szCs w:val="18"/>
              </w:rPr>
              <w:t>—</w:t>
            </w:r>
          </w:p>
        </w:tc>
        <w:tc>
          <w:tcPr>
            <w:tcW w:w="816" w:type="pct"/>
            <w:shd w:val="clear" w:color="auto" w:fill="auto"/>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挥发性脂肪酸</w:t>
            </w:r>
          </w:p>
        </w:tc>
        <w:tc>
          <w:tcPr>
            <w:tcW w:w="156" w:type="pct"/>
            <w:tcBorders>
              <w:left w:val="nil"/>
              <w:right w:val="single" w:color="auto" w:sz="4" w:space="0"/>
            </w:tcBorders>
            <w:vAlign w:val="center"/>
          </w:tcPr>
          <w:p>
            <w:pPr>
              <w:jc w:val="left"/>
              <w:rPr>
                <w:rFonts w:ascii="宋体" w:hAnsi="宋体"/>
                <w:sz w:val="18"/>
                <w:szCs w:val="18"/>
              </w:rPr>
            </w:pPr>
          </w:p>
        </w:tc>
        <w:tc>
          <w:tcPr>
            <w:tcW w:w="758" w:type="pct"/>
            <w:vAlign w:val="center"/>
          </w:tcPr>
          <w:p>
            <w:pPr>
              <w:jc w:val="center"/>
              <w:rPr>
                <w:sz w:val="18"/>
                <w:szCs w:val="18"/>
              </w:rPr>
            </w:pPr>
            <w:r>
              <w:rPr>
                <w:rFonts w:hint="eastAsia"/>
                <w:sz w:val="18"/>
                <w:szCs w:val="18"/>
              </w:rPr>
              <w:t>—</w:t>
            </w:r>
          </w:p>
        </w:tc>
        <w:tc>
          <w:tcPr>
            <w:tcW w:w="611" w:type="pct"/>
            <w:vAlign w:val="center"/>
          </w:tcPr>
          <w:p>
            <w:pPr>
              <w:jc w:val="center"/>
              <w:rPr>
                <w:sz w:val="18"/>
                <w:szCs w:val="18"/>
              </w:rPr>
            </w:pPr>
            <w:r>
              <w:rPr>
                <w:rFonts w:hint="eastAsia"/>
                <w:sz w:val="18"/>
                <w:szCs w:val="18"/>
              </w:rPr>
              <w:t>—</w:t>
            </w:r>
          </w:p>
        </w:tc>
        <w:tc>
          <w:tcPr>
            <w:tcW w:w="509" w:type="pct"/>
            <w:vAlign w:val="center"/>
          </w:tcPr>
          <w:p>
            <w:pPr>
              <w:jc w:val="center"/>
              <w:rPr>
                <w:sz w:val="18"/>
                <w:szCs w:val="18"/>
              </w:rPr>
            </w:pPr>
            <w:r>
              <w:rPr>
                <w:rFonts w:hint="eastAsia"/>
                <w:sz w:val="18"/>
                <w:szCs w:val="18"/>
              </w:rPr>
              <w:t>—</w:t>
            </w:r>
          </w:p>
        </w:tc>
        <w:tc>
          <w:tcPr>
            <w:tcW w:w="510" w:type="pct"/>
            <w:vAlign w:val="center"/>
          </w:tcPr>
          <w:p>
            <w:pPr>
              <w:spacing w:line="300" w:lineRule="exact"/>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rFonts w:hint="eastAsia"/>
                <w:sz w:val="18"/>
                <w:szCs w:val="18"/>
              </w:rPr>
              <w:t>通过试验</w:t>
            </w:r>
          </w:p>
        </w:tc>
        <w:tc>
          <w:tcPr>
            <w:tcW w:w="816" w:type="pct"/>
            <w:shd w:val="clear" w:color="auto" w:fill="auto"/>
            <w:vAlign w:val="center"/>
          </w:tcPr>
          <w:p>
            <w:pPr>
              <w:jc w:val="center"/>
              <w:rPr>
                <w:sz w:val="18"/>
                <w:szCs w:val="18"/>
              </w:rPr>
            </w:pPr>
            <w:r>
              <w:rPr>
                <w:rFonts w:hint="eastAsia"/>
                <w:sz w:val="18"/>
                <w:szCs w:val="18"/>
              </w:rPr>
              <w:t>通过试验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rFonts w:cstheme="minorHAnsi"/>
                <w:sz w:val="18"/>
                <w:szCs w:val="18"/>
              </w:rPr>
            </w:pPr>
            <w:r>
              <w:rPr>
                <w:rFonts w:hint="eastAsia"/>
                <w:sz w:val="18"/>
                <w:szCs w:val="18"/>
              </w:rPr>
              <w:t>甲醇</w:t>
            </w:r>
            <w:r>
              <w:rPr>
                <w:rFonts w:cstheme="minorHAnsi"/>
                <w:sz w:val="18"/>
                <w:szCs w:val="18"/>
              </w:rPr>
              <w:t>（以CH</w:t>
            </w:r>
            <w:r>
              <w:rPr>
                <w:rFonts w:cstheme="minorHAnsi"/>
                <w:b/>
                <w:bCs/>
                <w:sz w:val="18"/>
                <w:szCs w:val="18"/>
                <w:vertAlign w:val="subscript"/>
              </w:rPr>
              <w:t>3</w:t>
            </w:r>
            <w:r>
              <w:rPr>
                <w:rFonts w:cstheme="minorHAnsi"/>
                <w:sz w:val="18"/>
                <w:szCs w:val="18"/>
              </w:rPr>
              <w:t>OH计）</w:t>
            </w:r>
            <w:r>
              <w:rPr>
                <w:rFonts w:hint="eastAsia" w:cstheme="minorHAnsi"/>
                <w:sz w:val="18"/>
                <w:szCs w:val="18"/>
              </w:rPr>
              <w:t>，</w:t>
            </w:r>
            <w:r>
              <w:rPr>
                <w:rFonts w:cstheme="minorHAnsi"/>
                <w:sz w:val="18"/>
                <w:szCs w:val="18"/>
              </w:rPr>
              <w:t>%</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w:t>
            </w:r>
          </w:p>
        </w:tc>
        <w:tc>
          <w:tcPr>
            <w:tcW w:w="611" w:type="pct"/>
            <w:vAlign w:val="center"/>
          </w:tcPr>
          <w:p>
            <w:pPr>
              <w:jc w:val="center"/>
              <w:rPr>
                <w:sz w:val="18"/>
                <w:szCs w:val="18"/>
              </w:rPr>
            </w:pPr>
            <w:r>
              <w:rPr>
                <w:rFonts w:hint="eastAsia"/>
                <w:sz w:val="18"/>
                <w:szCs w:val="18"/>
              </w:rPr>
              <w:t>—</w:t>
            </w:r>
          </w:p>
        </w:tc>
        <w:tc>
          <w:tcPr>
            <w:tcW w:w="509" w:type="pct"/>
            <w:vAlign w:val="center"/>
          </w:tcPr>
          <w:p>
            <w:pPr>
              <w:jc w:val="center"/>
              <w:rPr>
                <w:sz w:val="18"/>
                <w:szCs w:val="18"/>
              </w:rPr>
            </w:pPr>
            <w:r>
              <w:rPr>
                <w:rFonts w:hint="eastAsia"/>
                <w:sz w:val="18"/>
                <w:szCs w:val="18"/>
              </w:rPr>
              <w:t>—</w:t>
            </w:r>
          </w:p>
        </w:tc>
        <w:tc>
          <w:tcPr>
            <w:tcW w:w="510" w:type="pct"/>
            <w:vAlign w:val="center"/>
          </w:tcPr>
          <w:p>
            <w:pPr>
              <w:spacing w:line="300" w:lineRule="exact"/>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rFonts w:hint="eastAsia"/>
                <w:sz w:val="18"/>
                <w:szCs w:val="18"/>
              </w:rPr>
              <w:t>0.20</w:t>
            </w:r>
          </w:p>
        </w:tc>
        <w:tc>
          <w:tcPr>
            <w:tcW w:w="816" w:type="pct"/>
            <w:shd w:val="clear" w:color="auto" w:fill="auto"/>
            <w:vAlign w:val="center"/>
          </w:tcPr>
          <w:p>
            <w:pPr>
              <w:jc w:val="center"/>
              <w:rPr>
                <w:sz w:val="18"/>
                <w:szCs w:val="18"/>
              </w:rPr>
            </w:pPr>
            <w:r>
              <w:rPr>
                <w:rFonts w:hint="eastAsia"/>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jc w:val="left"/>
              <w:rPr>
                <w:sz w:val="18"/>
                <w:szCs w:val="18"/>
              </w:rPr>
            </w:pPr>
            <w:r>
              <w:rPr>
                <w:rFonts w:hint="eastAsia"/>
                <w:sz w:val="18"/>
                <w:szCs w:val="18"/>
              </w:rPr>
              <w:t>易炭化合物</w:t>
            </w:r>
          </w:p>
        </w:tc>
        <w:tc>
          <w:tcPr>
            <w:tcW w:w="156" w:type="pct"/>
            <w:tcBorders>
              <w:left w:val="nil"/>
              <w:right w:val="single" w:color="auto" w:sz="4" w:space="0"/>
            </w:tcBorders>
            <w:vAlign w:val="center"/>
          </w:tcPr>
          <w:p>
            <w:pPr>
              <w:jc w:val="center"/>
              <w:rPr>
                <w:rFonts w:ascii="宋体" w:hAnsi="宋体"/>
                <w:sz w:val="18"/>
                <w:szCs w:val="18"/>
              </w:rPr>
            </w:pPr>
          </w:p>
        </w:tc>
        <w:tc>
          <w:tcPr>
            <w:tcW w:w="758" w:type="pct"/>
            <w:vAlign w:val="center"/>
          </w:tcPr>
          <w:p>
            <w:pPr>
              <w:jc w:val="center"/>
              <w:rPr>
                <w:sz w:val="18"/>
                <w:szCs w:val="18"/>
              </w:rPr>
            </w:pPr>
            <w:r>
              <w:rPr>
                <w:rFonts w:hint="eastAsia"/>
                <w:sz w:val="18"/>
                <w:szCs w:val="18"/>
              </w:rPr>
              <w:t>通过试验</w:t>
            </w:r>
          </w:p>
        </w:tc>
        <w:tc>
          <w:tcPr>
            <w:tcW w:w="611" w:type="pct"/>
            <w:vAlign w:val="center"/>
          </w:tcPr>
          <w:p>
            <w:pPr>
              <w:jc w:val="center"/>
              <w:rPr>
                <w:sz w:val="18"/>
                <w:szCs w:val="18"/>
              </w:rPr>
            </w:pPr>
            <w:r>
              <w:rPr>
                <w:rFonts w:hint="eastAsia"/>
                <w:sz w:val="18"/>
                <w:szCs w:val="18"/>
              </w:rPr>
              <w:t>通过试验</w:t>
            </w:r>
          </w:p>
        </w:tc>
        <w:tc>
          <w:tcPr>
            <w:tcW w:w="509" w:type="pct"/>
            <w:vAlign w:val="center"/>
          </w:tcPr>
          <w:p>
            <w:pPr>
              <w:jc w:val="center"/>
              <w:rPr>
                <w:sz w:val="18"/>
                <w:szCs w:val="18"/>
              </w:rPr>
            </w:pPr>
            <w:r>
              <w:rPr>
                <w:rFonts w:hint="eastAsia"/>
                <w:sz w:val="18"/>
                <w:szCs w:val="18"/>
              </w:rPr>
              <w:t>—</w:t>
            </w:r>
          </w:p>
        </w:tc>
        <w:tc>
          <w:tcPr>
            <w:tcW w:w="510" w:type="pct"/>
            <w:vAlign w:val="center"/>
          </w:tcPr>
          <w:p>
            <w:pPr>
              <w:spacing w:line="300" w:lineRule="exact"/>
              <w:jc w:val="center"/>
              <w:rPr>
                <w:sz w:val="18"/>
                <w:szCs w:val="18"/>
              </w:rPr>
            </w:pPr>
            <w:r>
              <w:rPr>
                <w:rFonts w:hint="eastAsia"/>
                <w:sz w:val="18"/>
                <w:szCs w:val="18"/>
              </w:rPr>
              <w:t>—</w:t>
            </w:r>
          </w:p>
        </w:tc>
        <w:tc>
          <w:tcPr>
            <w:tcW w:w="765" w:type="pct"/>
            <w:shd w:val="clear" w:color="auto" w:fill="auto"/>
            <w:vAlign w:val="center"/>
          </w:tcPr>
          <w:p>
            <w:pPr>
              <w:jc w:val="center"/>
              <w:rPr>
                <w:sz w:val="18"/>
                <w:szCs w:val="18"/>
              </w:rPr>
            </w:pPr>
            <w:r>
              <w:rPr>
                <w:rFonts w:hint="eastAsia"/>
                <w:sz w:val="18"/>
                <w:szCs w:val="18"/>
              </w:rPr>
              <w:t>通过试验</w:t>
            </w:r>
          </w:p>
        </w:tc>
        <w:tc>
          <w:tcPr>
            <w:tcW w:w="816" w:type="pct"/>
            <w:shd w:val="clear" w:color="auto" w:fill="auto"/>
            <w:vAlign w:val="center"/>
          </w:tcPr>
          <w:p>
            <w:pPr>
              <w:jc w:val="center"/>
              <w:rPr>
                <w:sz w:val="18"/>
                <w:szCs w:val="18"/>
              </w:rPr>
            </w:pPr>
            <w:r>
              <w:rPr>
                <w:rFonts w:hint="eastAsia"/>
                <w:sz w:val="18"/>
                <w:szCs w:val="18"/>
              </w:rPr>
              <w:t>通过试验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rPr>
                <w:sz w:val="18"/>
                <w:szCs w:val="18"/>
              </w:rPr>
            </w:pPr>
            <w:r>
              <w:rPr>
                <w:sz w:val="18"/>
                <w:szCs w:val="18"/>
              </w:rPr>
              <w:t>铅</w:t>
            </w:r>
            <w:r>
              <w:rPr>
                <w:rFonts w:hint="eastAsia"/>
                <w:sz w:val="18"/>
                <w:szCs w:val="18"/>
              </w:rPr>
              <w:t>（Pb）</w:t>
            </w:r>
            <w:r>
              <w:rPr>
                <w:sz w:val="18"/>
                <w:szCs w:val="18"/>
              </w:rPr>
              <w:t>，mg/kg</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2.0</w:t>
            </w:r>
          </w:p>
        </w:tc>
        <w:tc>
          <w:tcPr>
            <w:tcW w:w="611" w:type="pct"/>
            <w:vAlign w:val="center"/>
          </w:tcPr>
          <w:p>
            <w:pPr>
              <w:jc w:val="center"/>
              <w:rPr>
                <w:sz w:val="18"/>
                <w:szCs w:val="18"/>
              </w:rPr>
            </w:pPr>
            <w:r>
              <w:rPr>
                <w:rFonts w:hint="eastAsia"/>
                <w:sz w:val="18"/>
                <w:szCs w:val="18"/>
              </w:rPr>
              <w:t>2</w:t>
            </w:r>
            <w:r>
              <w:rPr>
                <w:sz w:val="18"/>
                <w:szCs w:val="18"/>
              </w:rPr>
              <w:t xml:space="preserve"> </w:t>
            </w:r>
          </w:p>
        </w:tc>
        <w:tc>
          <w:tcPr>
            <w:tcW w:w="509" w:type="pct"/>
            <w:vAlign w:val="center"/>
          </w:tcPr>
          <w:p>
            <w:pPr>
              <w:jc w:val="center"/>
              <w:rPr>
                <w:sz w:val="18"/>
                <w:szCs w:val="18"/>
              </w:rPr>
            </w:pPr>
            <w:r>
              <w:rPr>
                <w:rFonts w:hint="eastAsia"/>
                <w:sz w:val="18"/>
                <w:szCs w:val="18"/>
              </w:rPr>
              <w:t>0.5</w:t>
            </w:r>
          </w:p>
        </w:tc>
        <w:tc>
          <w:tcPr>
            <w:tcW w:w="510" w:type="pct"/>
            <w:vAlign w:val="center"/>
          </w:tcPr>
          <w:p>
            <w:pPr>
              <w:spacing w:line="300" w:lineRule="exact"/>
              <w:jc w:val="center"/>
              <w:rPr>
                <w:sz w:val="18"/>
                <w:szCs w:val="18"/>
              </w:rPr>
            </w:pPr>
            <w:r>
              <w:rPr>
                <w:rFonts w:hint="eastAsia"/>
                <w:sz w:val="18"/>
                <w:szCs w:val="18"/>
              </w:rPr>
              <w:t>2</w:t>
            </w:r>
          </w:p>
        </w:tc>
        <w:tc>
          <w:tcPr>
            <w:tcW w:w="765" w:type="pct"/>
            <w:shd w:val="clear" w:color="auto" w:fill="auto"/>
            <w:vAlign w:val="center"/>
          </w:tcPr>
          <w:p>
            <w:pPr>
              <w:jc w:val="center"/>
              <w:rPr>
                <w:sz w:val="18"/>
                <w:szCs w:val="18"/>
              </w:rPr>
            </w:pPr>
            <w:r>
              <w:rPr>
                <w:sz w:val="18"/>
                <w:szCs w:val="18"/>
              </w:rPr>
              <w:t>2</w:t>
            </w:r>
          </w:p>
        </w:tc>
        <w:tc>
          <w:tcPr>
            <w:tcW w:w="816" w:type="pct"/>
            <w:shd w:val="clear" w:color="auto" w:fill="auto"/>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rPr>
                <w:sz w:val="18"/>
                <w:szCs w:val="18"/>
              </w:rPr>
            </w:pPr>
            <w:r>
              <w:rPr>
                <w:rFonts w:hint="eastAsia"/>
                <w:sz w:val="18"/>
                <w:szCs w:val="18"/>
              </w:rPr>
              <w:t>砷（As）</w:t>
            </w:r>
            <w:r>
              <w:rPr>
                <w:sz w:val="18"/>
                <w:szCs w:val="18"/>
              </w:rPr>
              <w:t>，mg/kg</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1.0</w:t>
            </w:r>
          </w:p>
        </w:tc>
        <w:tc>
          <w:tcPr>
            <w:tcW w:w="611" w:type="pct"/>
            <w:vAlign w:val="center"/>
          </w:tcPr>
          <w:p>
            <w:pPr>
              <w:jc w:val="center"/>
              <w:rPr>
                <w:sz w:val="18"/>
                <w:szCs w:val="18"/>
              </w:rPr>
            </w:pPr>
            <w:r>
              <w:rPr>
                <w:rFonts w:hint="eastAsia"/>
                <w:sz w:val="18"/>
                <w:szCs w:val="18"/>
              </w:rPr>
              <w:t>—</w:t>
            </w:r>
          </w:p>
        </w:tc>
        <w:tc>
          <w:tcPr>
            <w:tcW w:w="509" w:type="pct"/>
            <w:vAlign w:val="center"/>
          </w:tcPr>
          <w:p>
            <w:pPr>
              <w:jc w:val="center"/>
              <w:rPr>
                <w:sz w:val="18"/>
                <w:szCs w:val="18"/>
              </w:rPr>
            </w:pPr>
            <w:r>
              <w:rPr>
                <w:rFonts w:hint="eastAsia"/>
                <w:sz w:val="18"/>
                <w:szCs w:val="18"/>
              </w:rPr>
              <w:softHyphen/>
            </w:r>
            <w:r>
              <w:rPr>
                <w:rFonts w:hint="eastAsia"/>
                <w:sz w:val="18"/>
                <w:szCs w:val="18"/>
              </w:rPr>
              <w:t>—</w:t>
            </w:r>
          </w:p>
        </w:tc>
        <w:tc>
          <w:tcPr>
            <w:tcW w:w="510" w:type="pct"/>
            <w:vAlign w:val="center"/>
          </w:tcPr>
          <w:p>
            <w:pPr>
              <w:spacing w:line="300" w:lineRule="exact"/>
              <w:jc w:val="center"/>
              <w:rPr>
                <w:sz w:val="18"/>
                <w:szCs w:val="18"/>
              </w:rPr>
            </w:pPr>
            <w:r>
              <w:rPr>
                <w:rFonts w:hint="eastAsia"/>
                <w:sz w:val="18"/>
                <w:szCs w:val="18"/>
              </w:rPr>
              <w:t>3</w:t>
            </w:r>
          </w:p>
        </w:tc>
        <w:tc>
          <w:tcPr>
            <w:tcW w:w="765" w:type="pct"/>
            <w:shd w:val="clear" w:color="auto" w:fill="auto"/>
            <w:vAlign w:val="center"/>
          </w:tcPr>
          <w:p>
            <w:pPr>
              <w:jc w:val="center"/>
              <w:rPr>
                <w:sz w:val="18"/>
                <w:szCs w:val="18"/>
              </w:rPr>
            </w:pPr>
            <w:r>
              <w:rPr>
                <w:sz w:val="18"/>
                <w:szCs w:val="18"/>
              </w:rPr>
              <w:t>3</w:t>
            </w:r>
          </w:p>
        </w:tc>
        <w:tc>
          <w:tcPr>
            <w:tcW w:w="816" w:type="pct"/>
            <w:shd w:val="clear" w:color="auto" w:fill="auto"/>
            <w:vAlign w:val="center"/>
          </w:tcPr>
          <w:p>
            <w:pPr>
              <w:jc w:val="center"/>
              <w:rPr>
                <w:sz w:val="18"/>
                <w:szCs w:val="18"/>
              </w:rPr>
            </w:pPr>
            <w:r>
              <w:rPr>
                <w:rFonts w:hint="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72" w:type="pct"/>
            <w:tcBorders>
              <w:right w:val="nil"/>
            </w:tcBorders>
            <w:vAlign w:val="center"/>
          </w:tcPr>
          <w:p>
            <w:pPr>
              <w:rPr>
                <w:sz w:val="18"/>
                <w:szCs w:val="18"/>
              </w:rPr>
            </w:pPr>
            <w:r>
              <w:rPr>
                <w:rFonts w:hint="eastAsia"/>
                <w:sz w:val="18"/>
                <w:szCs w:val="18"/>
              </w:rPr>
              <w:t>汞（H</w:t>
            </w:r>
            <w:r>
              <w:rPr>
                <w:sz w:val="18"/>
                <w:szCs w:val="18"/>
              </w:rPr>
              <w:t>g</w:t>
            </w:r>
            <w:r>
              <w:rPr>
                <w:rFonts w:hint="eastAsia"/>
                <w:sz w:val="18"/>
                <w:szCs w:val="18"/>
              </w:rPr>
              <w:t>）</w:t>
            </w:r>
            <w:r>
              <w:rPr>
                <w:sz w:val="18"/>
                <w:szCs w:val="18"/>
              </w:rPr>
              <w:t>，mg/kg</w:t>
            </w:r>
          </w:p>
        </w:tc>
        <w:tc>
          <w:tcPr>
            <w:tcW w:w="156" w:type="pct"/>
            <w:tcBorders>
              <w:left w:val="nil"/>
              <w:right w:val="single" w:color="auto" w:sz="4" w:space="0"/>
            </w:tcBorders>
            <w:vAlign w:val="center"/>
          </w:tcPr>
          <w:p>
            <w:pPr>
              <w:jc w:val="center"/>
              <w:rPr>
                <w:rFonts w:ascii="宋体" w:hAnsi="宋体"/>
                <w:sz w:val="18"/>
                <w:szCs w:val="18"/>
              </w:rPr>
            </w:pPr>
            <w:r>
              <w:rPr>
                <w:rFonts w:ascii="宋体" w:hAnsi="宋体"/>
                <w:sz w:val="18"/>
                <w:szCs w:val="18"/>
              </w:rPr>
              <w:t>≤</w:t>
            </w:r>
          </w:p>
        </w:tc>
        <w:tc>
          <w:tcPr>
            <w:tcW w:w="758" w:type="pct"/>
            <w:vAlign w:val="center"/>
          </w:tcPr>
          <w:p>
            <w:pPr>
              <w:jc w:val="center"/>
              <w:rPr>
                <w:sz w:val="18"/>
                <w:szCs w:val="18"/>
              </w:rPr>
            </w:pPr>
            <w:r>
              <w:rPr>
                <w:rFonts w:hint="eastAsia"/>
                <w:sz w:val="18"/>
                <w:szCs w:val="18"/>
              </w:rPr>
              <w:t>—</w:t>
            </w:r>
          </w:p>
        </w:tc>
        <w:tc>
          <w:tcPr>
            <w:tcW w:w="611" w:type="pct"/>
            <w:vAlign w:val="center"/>
          </w:tcPr>
          <w:p>
            <w:pPr>
              <w:jc w:val="center"/>
              <w:rPr>
                <w:b/>
                <w:sz w:val="18"/>
                <w:szCs w:val="18"/>
              </w:rPr>
            </w:pPr>
            <w:r>
              <w:rPr>
                <w:rFonts w:hint="eastAsia"/>
                <w:b/>
                <w:sz w:val="18"/>
                <w:szCs w:val="18"/>
              </w:rPr>
              <w:t>—</w:t>
            </w:r>
          </w:p>
        </w:tc>
        <w:tc>
          <w:tcPr>
            <w:tcW w:w="509" w:type="pct"/>
            <w:vAlign w:val="center"/>
          </w:tcPr>
          <w:p>
            <w:pPr>
              <w:jc w:val="center"/>
              <w:rPr>
                <w:sz w:val="18"/>
                <w:szCs w:val="18"/>
              </w:rPr>
            </w:pPr>
            <w:r>
              <w:rPr>
                <w:rFonts w:hint="eastAsia"/>
                <w:sz w:val="18"/>
                <w:szCs w:val="18"/>
              </w:rPr>
              <w:t>—</w:t>
            </w:r>
          </w:p>
        </w:tc>
        <w:tc>
          <w:tcPr>
            <w:tcW w:w="510" w:type="pct"/>
            <w:vAlign w:val="center"/>
          </w:tcPr>
          <w:p>
            <w:pPr>
              <w:spacing w:line="300" w:lineRule="exact"/>
              <w:jc w:val="center"/>
              <w:rPr>
                <w:sz w:val="18"/>
                <w:szCs w:val="18"/>
              </w:rPr>
            </w:pPr>
            <w:r>
              <w:rPr>
                <w:rFonts w:hint="eastAsia"/>
                <w:sz w:val="18"/>
                <w:szCs w:val="18"/>
              </w:rPr>
              <w:t>1</w:t>
            </w:r>
          </w:p>
        </w:tc>
        <w:tc>
          <w:tcPr>
            <w:tcW w:w="765" w:type="pct"/>
            <w:shd w:val="clear" w:color="auto" w:fill="auto"/>
            <w:vAlign w:val="center"/>
          </w:tcPr>
          <w:p>
            <w:pPr>
              <w:spacing w:line="300" w:lineRule="exact"/>
              <w:jc w:val="center"/>
              <w:rPr>
                <w:sz w:val="18"/>
                <w:szCs w:val="18"/>
              </w:rPr>
            </w:pPr>
            <w:r>
              <w:rPr>
                <w:sz w:val="18"/>
                <w:szCs w:val="18"/>
              </w:rPr>
              <w:t>—</w:t>
            </w:r>
          </w:p>
        </w:tc>
        <w:tc>
          <w:tcPr>
            <w:tcW w:w="816" w:type="pct"/>
            <w:shd w:val="clear" w:color="auto" w:fill="auto"/>
            <w:vAlign w:val="center"/>
          </w:tcPr>
          <w:p>
            <w:pPr>
              <w:spacing w:line="300" w:lineRule="exact"/>
              <w:jc w:val="center"/>
              <w:rPr>
                <w:sz w:val="18"/>
                <w:szCs w:val="18"/>
              </w:rPr>
            </w:pPr>
            <w:r>
              <w:rPr>
                <w:rFonts w:hint="eastAsia"/>
                <w:sz w:val="18"/>
                <w:szCs w:val="18"/>
              </w:rPr>
              <w:t>1.0</w:t>
            </w:r>
          </w:p>
        </w:tc>
      </w:tr>
    </w:tbl>
    <w:p>
      <w:pPr>
        <w:jc w:val="center"/>
        <w:rPr>
          <w:rFonts w:eastAsia="黑体"/>
          <w:szCs w:val="21"/>
        </w:rPr>
        <w:sectPr>
          <w:pgSz w:w="16838" w:h="11906" w:orient="landscape"/>
          <w:pgMar w:top="1797" w:right="1440" w:bottom="1797" w:left="1440" w:header="851" w:footer="992" w:gutter="0"/>
          <w:cols w:space="425" w:num="1"/>
          <w:docGrid w:linePitch="387" w:charSpace="0"/>
        </w:sectPr>
      </w:pPr>
    </w:p>
    <w:p>
      <w:pPr>
        <w:spacing w:before="120" w:beforeLines="50"/>
        <w:jc w:val="center"/>
        <w:rPr>
          <w:rFonts w:eastAsia="黑体"/>
          <w:szCs w:val="21"/>
        </w:rPr>
      </w:pPr>
      <w:r>
        <w:rPr>
          <w:rFonts w:eastAsia="黑体"/>
          <w:szCs w:val="21"/>
        </w:rPr>
        <w:t>表</w:t>
      </w:r>
      <w:r>
        <w:rPr>
          <w:rFonts w:hint="eastAsia" w:ascii="黑体" w:hAnsi="黑体" w:eastAsia="黑体" w:cs="黑体"/>
          <w:szCs w:val="21"/>
        </w:rPr>
        <w:t>2</w:t>
      </w:r>
      <w:r>
        <w:rPr>
          <w:rFonts w:hint="eastAsia" w:eastAsia="黑体"/>
          <w:szCs w:val="21"/>
        </w:rPr>
        <w:t xml:space="preserve"> 国内外乳酸标准试验方法对比</w:t>
      </w:r>
      <w:r>
        <w:rPr>
          <w:rFonts w:eastAsia="黑体"/>
          <w:szCs w:val="21"/>
        </w:rPr>
        <w:t>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2517"/>
        <w:gridCol w:w="2384"/>
        <w:gridCol w:w="1724"/>
        <w:gridCol w:w="1321"/>
        <w:gridCol w:w="1721"/>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86" w:type="pct"/>
            <w:tcBorders>
              <w:right w:val="nil"/>
            </w:tcBorders>
            <w:vAlign w:val="center"/>
          </w:tcPr>
          <w:p>
            <w:pPr>
              <w:spacing w:line="300" w:lineRule="exact"/>
              <w:jc w:val="center"/>
              <w:rPr>
                <w:sz w:val="18"/>
                <w:szCs w:val="18"/>
              </w:rPr>
            </w:pPr>
            <w:r>
              <w:rPr>
                <w:sz w:val="18"/>
                <w:szCs w:val="18"/>
              </w:rPr>
              <w:t>项目</w:t>
            </w:r>
          </w:p>
        </w:tc>
        <w:tc>
          <w:tcPr>
            <w:tcW w:w="888" w:type="pct"/>
            <w:vAlign w:val="center"/>
          </w:tcPr>
          <w:p>
            <w:pPr>
              <w:spacing w:line="300" w:lineRule="exact"/>
              <w:jc w:val="center"/>
              <w:rPr>
                <w:rFonts w:hint="eastAsia" w:eastAsia="宋体"/>
                <w:sz w:val="18"/>
                <w:szCs w:val="18"/>
                <w:lang w:eastAsia="zh-CN"/>
              </w:rPr>
            </w:pPr>
            <w:r>
              <w:rPr>
                <w:rFonts w:hint="eastAsia"/>
                <w:sz w:val="18"/>
                <w:szCs w:val="18"/>
                <w:lang w:val="en-US" w:eastAsia="zh-CN"/>
              </w:rPr>
              <w:t>本标准</w:t>
            </w:r>
          </w:p>
        </w:tc>
        <w:tc>
          <w:tcPr>
            <w:tcW w:w="841" w:type="pct"/>
            <w:vAlign w:val="center"/>
          </w:tcPr>
          <w:p>
            <w:pPr>
              <w:spacing w:line="300" w:lineRule="exact"/>
              <w:jc w:val="center"/>
              <w:rPr>
                <w:sz w:val="18"/>
                <w:szCs w:val="18"/>
              </w:rPr>
            </w:pPr>
            <w:r>
              <w:rPr>
                <w:sz w:val="18"/>
                <w:szCs w:val="18"/>
              </w:rPr>
              <w:t>JECFA</w:t>
            </w:r>
            <w:r>
              <w:rPr>
                <w:rFonts w:hint="eastAsia"/>
                <w:sz w:val="18"/>
                <w:szCs w:val="18"/>
              </w:rPr>
              <w:t xml:space="preserve"> (2006)</w:t>
            </w:r>
          </w:p>
        </w:tc>
        <w:tc>
          <w:tcPr>
            <w:tcW w:w="608" w:type="pct"/>
            <w:vAlign w:val="center"/>
          </w:tcPr>
          <w:p>
            <w:pPr>
              <w:spacing w:line="300" w:lineRule="exact"/>
              <w:jc w:val="center"/>
              <w:rPr>
                <w:sz w:val="18"/>
                <w:szCs w:val="18"/>
              </w:rPr>
            </w:pPr>
            <w:r>
              <w:rPr>
                <w:rFonts w:cstheme="minorHAnsi"/>
                <w:sz w:val="18"/>
                <w:szCs w:val="18"/>
              </w:rPr>
              <w:t xml:space="preserve">FCC </w:t>
            </w:r>
            <w:r>
              <w:rPr>
                <w:rFonts w:hint="eastAsia" w:cstheme="minorHAnsi"/>
                <w:sz w:val="18"/>
                <w:szCs w:val="18"/>
              </w:rPr>
              <w:t>1</w:t>
            </w:r>
            <w:r>
              <w:rPr>
                <w:rFonts w:cstheme="minorHAnsi"/>
                <w:sz w:val="18"/>
                <w:szCs w:val="18"/>
              </w:rPr>
              <w:t>2</w:t>
            </w:r>
          </w:p>
        </w:tc>
        <w:tc>
          <w:tcPr>
            <w:tcW w:w="466" w:type="pct"/>
            <w:vAlign w:val="center"/>
          </w:tcPr>
          <w:p>
            <w:pPr>
              <w:spacing w:line="300" w:lineRule="exact"/>
              <w:jc w:val="center"/>
              <w:rPr>
                <w:sz w:val="18"/>
                <w:szCs w:val="18"/>
              </w:rPr>
            </w:pPr>
            <w:r>
              <w:rPr>
                <w:sz w:val="18"/>
                <w:szCs w:val="18"/>
              </w:rPr>
              <w:t xml:space="preserve">(EU) </w:t>
            </w:r>
            <w:r>
              <w:rPr>
                <w:rFonts w:hint="eastAsia"/>
                <w:sz w:val="18"/>
                <w:szCs w:val="18"/>
              </w:rPr>
              <w:t>E 270</w:t>
            </w:r>
            <w:r>
              <w:rPr>
                <w:sz w:val="18"/>
                <w:szCs w:val="18"/>
              </w:rPr>
              <w:t xml:space="preserve"> </w:t>
            </w:r>
          </w:p>
        </w:tc>
        <w:tc>
          <w:tcPr>
            <w:tcW w:w="607" w:type="pct"/>
            <w:vAlign w:val="center"/>
          </w:tcPr>
          <w:p>
            <w:pPr>
              <w:spacing w:line="300" w:lineRule="exact"/>
              <w:jc w:val="center"/>
              <w:rPr>
                <w:sz w:val="18"/>
                <w:szCs w:val="18"/>
              </w:rPr>
            </w:pPr>
            <w:r>
              <w:rPr>
                <w:rFonts w:hint="eastAsia"/>
                <w:sz w:val="18"/>
                <w:szCs w:val="18"/>
              </w:rPr>
              <w:t>JSFA 9</w:t>
            </w:r>
          </w:p>
        </w:tc>
        <w:tc>
          <w:tcPr>
            <w:tcW w:w="702" w:type="pct"/>
            <w:vAlign w:val="center"/>
          </w:tcPr>
          <w:p>
            <w:pPr>
              <w:spacing w:line="300" w:lineRule="exact"/>
              <w:jc w:val="center"/>
              <w:rPr>
                <w:sz w:val="18"/>
                <w:szCs w:val="18"/>
              </w:rPr>
            </w:pPr>
            <w:r>
              <w:rPr>
                <w:rFonts w:hint="eastAsia"/>
                <w:sz w:val="18"/>
                <w:szCs w:val="18"/>
              </w:rPr>
              <w:t xml:space="preserve">KR </w:t>
            </w:r>
            <w:r>
              <w:rPr>
                <w:sz w:val="18"/>
                <w:szCs w:val="18"/>
              </w:rPr>
              <w:t>Food Additives</w:t>
            </w:r>
          </w:p>
          <w:p>
            <w:pPr>
              <w:spacing w:line="300" w:lineRule="exact"/>
              <w:jc w:val="center"/>
              <w:rPr>
                <w:sz w:val="18"/>
                <w:szCs w:val="18"/>
              </w:rPr>
            </w:pPr>
            <w:r>
              <w:rPr>
                <w:sz w:val="18"/>
                <w:szCs w:val="18"/>
              </w:rPr>
              <w:t>Code</w:t>
            </w:r>
            <w:r>
              <w:rPr>
                <w:rFonts w:hint="eastAsia"/>
                <w:sz w:val="18"/>
                <w:szCs w:val="18"/>
              </w:rPr>
              <w:t xml:space="preserve"> (20</w:t>
            </w:r>
            <w:r>
              <w:rPr>
                <w:sz w:val="18"/>
                <w:szCs w:val="18"/>
              </w:rPr>
              <w:t>20</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6" w:type="pct"/>
            <w:tcBorders>
              <w:right w:val="nil"/>
            </w:tcBorders>
            <w:vAlign w:val="center"/>
          </w:tcPr>
          <w:p>
            <w:pPr>
              <w:spacing w:line="300" w:lineRule="exact"/>
              <w:rPr>
                <w:sz w:val="18"/>
                <w:szCs w:val="18"/>
              </w:rPr>
            </w:pPr>
            <w:r>
              <w:rPr>
                <w:rFonts w:hint="eastAsia"/>
                <w:sz w:val="18"/>
                <w:szCs w:val="18"/>
              </w:rPr>
              <w:t>鉴别试验</w:t>
            </w:r>
          </w:p>
        </w:tc>
        <w:tc>
          <w:tcPr>
            <w:tcW w:w="888" w:type="pct"/>
            <w:vAlign w:val="center"/>
          </w:tcPr>
          <w:p>
            <w:pPr>
              <w:numPr>
                <w:ilvl w:val="0"/>
                <w:numId w:val="3"/>
              </w:numPr>
              <w:spacing w:line="300" w:lineRule="exact"/>
              <w:jc w:val="left"/>
              <w:rPr>
                <w:sz w:val="18"/>
                <w:szCs w:val="18"/>
              </w:rPr>
            </w:pPr>
            <w:r>
              <w:rPr>
                <w:rFonts w:hint="eastAsia"/>
                <w:sz w:val="18"/>
                <w:szCs w:val="18"/>
              </w:rPr>
              <w:t>酸性试验</w:t>
            </w:r>
          </w:p>
          <w:p>
            <w:pPr>
              <w:numPr>
                <w:ilvl w:val="0"/>
                <w:numId w:val="3"/>
              </w:numPr>
              <w:spacing w:line="300" w:lineRule="exact"/>
              <w:jc w:val="left"/>
              <w:rPr>
                <w:sz w:val="18"/>
                <w:szCs w:val="18"/>
              </w:rPr>
            </w:pPr>
            <w:r>
              <w:rPr>
                <w:rFonts w:hint="eastAsia"/>
                <w:sz w:val="18"/>
                <w:szCs w:val="18"/>
              </w:rPr>
              <w:t>乳酸盐</w:t>
            </w:r>
          </w:p>
        </w:tc>
        <w:tc>
          <w:tcPr>
            <w:tcW w:w="841" w:type="pct"/>
            <w:vAlign w:val="center"/>
          </w:tcPr>
          <w:p>
            <w:pPr>
              <w:numPr>
                <w:ilvl w:val="0"/>
                <w:numId w:val="4"/>
              </w:numPr>
              <w:spacing w:line="300" w:lineRule="exact"/>
              <w:jc w:val="left"/>
              <w:rPr>
                <w:sz w:val="18"/>
                <w:szCs w:val="18"/>
              </w:rPr>
            </w:pPr>
            <w:r>
              <w:rPr>
                <w:rFonts w:hint="eastAsia"/>
                <w:sz w:val="18"/>
                <w:szCs w:val="18"/>
              </w:rPr>
              <w:t>溶解性</w:t>
            </w:r>
          </w:p>
          <w:p>
            <w:pPr>
              <w:numPr>
                <w:ilvl w:val="0"/>
                <w:numId w:val="4"/>
              </w:numPr>
              <w:spacing w:line="300" w:lineRule="exact"/>
              <w:jc w:val="left"/>
              <w:rPr>
                <w:sz w:val="18"/>
                <w:szCs w:val="18"/>
              </w:rPr>
            </w:pPr>
            <w:r>
              <w:rPr>
                <w:rFonts w:hint="eastAsia"/>
                <w:sz w:val="18"/>
                <w:szCs w:val="18"/>
              </w:rPr>
              <w:t>酸性试验</w:t>
            </w:r>
          </w:p>
          <w:p>
            <w:pPr>
              <w:numPr>
                <w:ilvl w:val="0"/>
                <w:numId w:val="4"/>
              </w:numPr>
              <w:spacing w:line="300" w:lineRule="exact"/>
              <w:jc w:val="left"/>
              <w:rPr>
                <w:sz w:val="18"/>
                <w:szCs w:val="18"/>
              </w:rPr>
            </w:pPr>
            <w:r>
              <w:rPr>
                <w:rFonts w:hint="eastAsia"/>
                <w:sz w:val="18"/>
                <w:szCs w:val="18"/>
              </w:rPr>
              <w:t>乳酸盐</w:t>
            </w:r>
          </w:p>
        </w:tc>
        <w:tc>
          <w:tcPr>
            <w:tcW w:w="608" w:type="pct"/>
            <w:vAlign w:val="center"/>
          </w:tcPr>
          <w:p>
            <w:pPr>
              <w:spacing w:line="300" w:lineRule="exact"/>
              <w:jc w:val="left"/>
              <w:rPr>
                <w:sz w:val="18"/>
                <w:szCs w:val="18"/>
              </w:rPr>
            </w:pPr>
            <w:r>
              <w:rPr>
                <w:sz w:val="18"/>
                <w:szCs w:val="18"/>
              </w:rPr>
              <w:t>乳酸盐</w:t>
            </w:r>
          </w:p>
        </w:tc>
        <w:tc>
          <w:tcPr>
            <w:tcW w:w="466" w:type="pct"/>
            <w:vAlign w:val="center"/>
          </w:tcPr>
          <w:p>
            <w:pPr>
              <w:spacing w:line="300" w:lineRule="exact"/>
              <w:jc w:val="left"/>
              <w:rPr>
                <w:sz w:val="18"/>
                <w:szCs w:val="18"/>
              </w:rPr>
            </w:pPr>
            <w:r>
              <w:rPr>
                <w:rFonts w:hint="eastAsia"/>
                <w:sz w:val="18"/>
                <w:szCs w:val="18"/>
              </w:rPr>
              <w:t>乳酸盐</w:t>
            </w:r>
          </w:p>
        </w:tc>
        <w:tc>
          <w:tcPr>
            <w:tcW w:w="607" w:type="pct"/>
            <w:vAlign w:val="center"/>
          </w:tcPr>
          <w:p>
            <w:pPr>
              <w:numPr>
                <w:ilvl w:val="0"/>
                <w:numId w:val="5"/>
              </w:numPr>
              <w:spacing w:line="300" w:lineRule="exact"/>
              <w:jc w:val="left"/>
              <w:rPr>
                <w:sz w:val="18"/>
                <w:szCs w:val="18"/>
              </w:rPr>
            </w:pPr>
            <w:r>
              <w:rPr>
                <w:rFonts w:hint="eastAsia"/>
                <w:sz w:val="18"/>
                <w:szCs w:val="18"/>
              </w:rPr>
              <w:t>酸性试验</w:t>
            </w:r>
          </w:p>
          <w:p>
            <w:pPr>
              <w:numPr>
                <w:ilvl w:val="0"/>
                <w:numId w:val="5"/>
              </w:numPr>
              <w:spacing w:line="300" w:lineRule="exact"/>
              <w:jc w:val="left"/>
              <w:rPr>
                <w:sz w:val="18"/>
                <w:szCs w:val="18"/>
              </w:rPr>
            </w:pPr>
            <w:r>
              <w:rPr>
                <w:rFonts w:hint="eastAsia"/>
                <w:sz w:val="18"/>
                <w:szCs w:val="18"/>
              </w:rPr>
              <w:t>乳酸盐</w:t>
            </w:r>
          </w:p>
        </w:tc>
        <w:tc>
          <w:tcPr>
            <w:tcW w:w="702" w:type="pct"/>
            <w:vAlign w:val="center"/>
          </w:tcPr>
          <w:p>
            <w:pPr>
              <w:numPr>
                <w:ilvl w:val="0"/>
                <w:numId w:val="6"/>
              </w:numPr>
              <w:spacing w:line="300" w:lineRule="exact"/>
              <w:jc w:val="left"/>
              <w:rPr>
                <w:sz w:val="18"/>
                <w:szCs w:val="18"/>
              </w:rPr>
            </w:pPr>
            <w:r>
              <w:rPr>
                <w:rFonts w:hint="eastAsia"/>
                <w:sz w:val="18"/>
                <w:szCs w:val="18"/>
              </w:rPr>
              <w:t>酸性试验</w:t>
            </w:r>
          </w:p>
          <w:p>
            <w:pPr>
              <w:numPr>
                <w:ilvl w:val="0"/>
                <w:numId w:val="6"/>
              </w:numPr>
              <w:spacing w:line="300" w:lineRule="exact"/>
              <w:jc w:val="left"/>
              <w:rPr>
                <w:sz w:val="18"/>
                <w:szCs w:val="18"/>
              </w:rPr>
            </w:pPr>
            <w:r>
              <w:rPr>
                <w:rFonts w:hint="eastAsia"/>
                <w:sz w:val="18"/>
                <w:szCs w:val="18"/>
              </w:rPr>
              <w:t>乳酸盐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6" w:type="pct"/>
            <w:tcBorders>
              <w:right w:val="nil"/>
            </w:tcBorders>
            <w:vAlign w:val="center"/>
          </w:tcPr>
          <w:p>
            <w:pPr>
              <w:jc w:val="left"/>
              <w:rPr>
                <w:sz w:val="18"/>
                <w:szCs w:val="18"/>
              </w:rPr>
            </w:pPr>
            <w:r>
              <w:rPr>
                <w:rFonts w:hint="eastAsia"/>
                <w:sz w:val="18"/>
                <w:szCs w:val="18"/>
              </w:rPr>
              <w:t>乳酸含量</w:t>
            </w:r>
          </w:p>
        </w:tc>
        <w:tc>
          <w:tcPr>
            <w:tcW w:w="888" w:type="pct"/>
            <w:vAlign w:val="center"/>
          </w:tcPr>
          <w:p>
            <w:pPr>
              <w:jc w:val="left"/>
              <w:rPr>
                <w:sz w:val="18"/>
                <w:szCs w:val="18"/>
              </w:rPr>
            </w:pPr>
            <w:r>
              <w:rPr>
                <w:rFonts w:hint="eastAsia"/>
                <w:sz w:val="18"/>
                <w:szCs w:val="18"/>
              </w:rPr>
              <w:t>硫酸滴定</w:t>
            </w:r>
          </w:p>
        </w:tc>
        <w:tc>
          <w:tcPr>
            <w:tcW w:w="841" w:type="pct"/>
            <w:vAlign w:val="center"/>
          </w:tcPr>
          <w:p>
            <w:pPr>
              <w:jc w:val="left"/>
              <w:rPr>
                <w:sz w:val="18"/>
                <w:szCs w:val="18"/>
              </w:rPr>
            </w:pPr>
            <w:r>
              <w:rPr>
                <w:rFonts w:hint="eastAsia"/>
                <w:sz w:val="18"/>
                <w:szCs w:val="18"/>
              </w:rPr>
              <w:t>硫酸滴定</w:t>
            </w:r>
          </w:p>
        </w:tc>
        <w:tc>
          <w:tcPr>
            <w:tcW w:w="608" w:type="pct"/>
            <w:vAlign w:val="center"/>
          </w:tcPr>
          <w:p>
            <w:pPr>
              <w:jc w:val="left"/>
              <w:rPr>
                <w:sz w:val="18"/>
                <w:szCs w:val="18"/>
              </w:rPr>
            </w:pPr>
            <w:r>
              <w:rPr>
                <w:rFonts w:hint="eastAsia"/>
                <w:sz w:val="18"/>
                <w:szCs w:val="18"/>
              </w:rPr>
              <w:t>硫酸滴定</w:t>
            </w:r>
          </w:p>
        </w:tc>
        <w:tc>
          <w:tcPr>
            <w:tcW w:w="466" w:type="pct"/>
            <w:vAlign w:val="center"/>
          </w:tcPr>
          <w:p>
            <w:pPr>
              <w:jc w:val="left"/>
              <w:rPr>
                <w:b/>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硫酸滴定</w:t>
            </w:r>
          </w:p>
        </w:tc>
        <w:tc>
          <w:tcPr>
            <w:tcW w:w="702" w:type="pct"/>
            <w:vAlign w:val="center"/>
          </w:tcPr>
          <w:p>
            <w:pPr>
              <w:jc w:val="left"/>
              <w:rPr>
                <w:sz w:val="18"/>
                <w:szCs w:val="18"/>
              </w:rPr>
            </w:pPr>
            <w:r>
              <w:rPr>
                <w:rFonts w:hint="eastAsia"/>
                <w:sz w:val="18"/>
                <w:szCs w:val="18"/>
              </w:rPr>
              <w:t>硫酸滴定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6" w:type="pct"/>
            <w:tcBorders>
              <w:right w:val="nil"/>
            </w:tcBorders>
            <w:vAlign w:val="center"/>
          </w:tcPr>
          <w:p>
            <w:pPr>
              <w:jc w:val="left"/>
              <w:rPr>
                <w:sz w:val="18"/>
                <w:szCs w:val="18"/>
              </w:rPr>
            </w:pPr>
            <w:r>
              <w:rPr>
                <w:rFonts w:hint="eastAsia"/>
                <w:sz w:val="18"/>
                <w:szCs w:val="18"/>
              </w:rPr>
              <w:t>L-乳酸占总酸含量</w:t>
            </w:r>
          </w:p>
        </w:tc>
        <w:tc>
          <w:tcPr>
            <w:tcW w:w="888" w:type="pct"/>
            <w:vAlign w:val="center"/>
          </w:tcPr>
          <w:p>
            <w:pPr>
              <w:jc w:val="left"/>
              <w:rPr>
                <w:sz w:val="18"/>
                <w:szCs w:val="18"/>
                <w:highlight w:val="yellow"/>
              </w:rPr>
            </w:pPr>
            <w:r>
              <w:rPr>
                <w:rFonts w:hint="eastAsia"/>
                <w:sz w:val="18"/>
                <w:szCs w:val="18"/>
              </w:rPr>
              <w:t>高效液相色谱法</w:t>
            </w:r>
          </w:p>
        </w:tc>
        <w:tc>
          <w:tcPr>
            <w:tcW w:w="841" w:type="pct"/>
            <w:vAlign w:val="center"/>
          </w:tcPr>
          <w:p>
            <w:pPr>
              <w:jc w:val="left"/>
              <w:rPr>
                <w:b/>
                <w:sz w:val="18"/>
                <w:szCs w:val="18"/>
              </w:rPr>
            </w:pPr>
            <w:r>
              <w:rPr>
                <w:rFonts w:hint="eastAsia"/>
                <w:b/>
                <w:sz w:val="18"/>
                <w:szCs w:val="18"/>
              </w:rPr>
              <w:t>—</w:t>
            </w:r>
          </w:p>
        </w:tc>
        <w:tc>
          <w:tcPr>
            <w:tcW w:w="608" w:type="pct"/>
            <w:vAlign w:val="center"/>
          </w:tcPr>
          <w:p>
            <w:pPr>
              <w:jc w:val="left"/>
              <w:rPr>
                <w:b/>
                <w:sz w:val="18"/>
                <w:szCs w:val="18"/>
              </w:rPr>
            </w:pPr>
            <w:r>
              <w:rPr>
                <w:rFonts w:hint="eastAsia"/>
                <w:b/>
                <w:sz w:val="18"/>
                <w:szCs w:val="18"/>
              </w:rPr>
              <w:t>—</w:t>
            </w:r>
          </w:p>
        </w:tc>
        <w:tc>
          <w:tcPr>
            <w:tcW w:w="466" w:type="pct"/>
            <w:vAlign w:val="center"/>
          </w:tcPr>
          <w:p>
            <w:pPr>
              <w:jc w:val="left"/>
              <w:rPr>
                <w:sz w:val="18"/>
                <w:szCs w:val="18"/>
              </w:rPr>
            </w:pPr>
            <w:r>
              <w:rPr>
                <w:rFonts w:hint="eastAsia"/>
                <w:b/>
                <w:sz w:val="18"/>
                <w:szCs w:val="18"/>
              </w:rPr>
              <w:t>—</w:t>
            </w:r>
          </w:p>
        </w:tc>
        <w:tc>
          <w:tcPr>
            <w:tcW w:w="607" w:type="pct"/>
            <w:vAlign w:val="center"/>
          </w:tcPr>
          <w:p>
            <w:pPr>
              <w:jc w:val="left"/>
              <w:rPr>
                <w:b/>
                <w:sz w:val="18"/>
                <w:szCs w:val="18"/>
              </w:rPr>
            </w:pPr>
            <w:r>
              <w:rPr>
                <w:rFonts w:hint="eastAsia"/>
                <w:b/>
                <w:sz w:val="18"/>
                <w:szCs w:val="18"/>
              </w:rPr>
              <w:t>—</w:t>
            </w:r>
          </w:p>
        </w:tc>
        <w:tc>
          <w:tcPr>
            <w:tcW w:w="702" w:type="pct"/>
            <w:vAlign w:val="center"/>
          </w:tcPr>
          <w:p>
            <w:pPr>
              <w:jc w:val="left"/>
              <w:rPr>
                <w:b/>
                <w:sz w:val="18"/>
                <w:szCs w:val="18"/>
              </w:rPr>
            </w:pP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灼烧残渣</w:t>
            </w:r>
          </w:p>
        </w:tc>
        <w:tc>
          <w:tcPr>
            <w:tcW w:w="888" w:type="pct"/>
            <w:vAlign w:val="center"/>
          </w:tcPr>
          <w:p>
            <w:pPr>
              <w:jc w:val="left"/>
              <w:rPr>
                <w:sz w:val="18"/>
                <w:szCs w:val="18"/>
              </w:rPr>
            </w:pPr>
            <w:r>
              <w:rPr>
                <w:rFonts w:hint="eastAsia"/>
                <w:sz w:val="18"/>
                <w:szCs w:val="18"/>
              </w:rPr>
              <w:t>重量法</w:t>
            </w:r>
          </w:p>
        </w:tc>
        <w:tc>
          <w:tcPr>
            <w:tcW w:w="841" w:type="pct"/>
            <w:vAlign w:val="center"/>
          </w:tcPr>
          <w:p>
            <w:pPr>
              <w:jc w:val="left"/>
              <w:rPr>
                <w:sz w:val="18"/>
                <w:szCs w:val="18"/>
              </w:rPr>
            </w:pPr>
            <w:r>
              <w:rPr>
                <w:rFonts w:hint="eastAsia"/>
                <w:sz w:val="18"/>
                <w:szCs w:val="18"/>
              </w:rPr>
              <w:t>重量法</w:t>
            </w:r>
          </w:p>
        </w:tc>
        <w:tc>
          <w:tcPr>
            <w:tcW w:w="608" w:type="pct"/>
            <w:vAlign w:val="center"/>
          </w:tcPr>
          <w:p>
            <w:pPr>
              <w:jc w:val="left"/>
              <w:rPr>
                <w:sz w:val="18"/>
                <w:szCs w:val="18"/>
              </w:rPr>
            </w:pPr>
            <w:r>
              <w:rPr>
                <w:rFonts w:hint="eastAsia"/>
                <w:sz w:val="18"/>
                <w:szCs w:val="18"/>
              </w:rPr>
              <w:t>重量法</w:t>
            </w:r>
          </w:p>
        </w:tc>
        <w:tc>
          <w:tcPr>
            <w:tcW w:w="466" w:type="pct"/>
            <w:vAlign w:val="center"/>
          </w:tcPr>
          <w:p>
            <w:pPr>
              <w:spacing w:line="260" w:lineRule="exact"/>
              <w:jc w:val="left"/>
              <w:rPr>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重量法</w:t>
            </w:r>
          </w:p>
        </w:tc>
        <w:tc>
          <w:tcPr>
            <w:tcW w:w="702" w:type="pct"/>
            <w:vAlign w:val="center"/>
          </w:tcPr>
          <w:p>
            <w:pPr>
              <w:jc w:val="left"/>
              <w:rPr>
                <w:sz w:val="18"/>
                <w:szCs w:val="18"/>
              </w:rPr>
            </w:pPr>
            <w:r>
              <w:rPr>
                <w:rFonts w:hint="eastAsia"/>
                <w:sz w:val="18"/>
                <w:szCs w:val="18"/>
              </w:rPr>
              <w:t>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乙醚不溶物</w:t>
            </w:r>
          </w:p>
        </w:tc>
        <w:tc>
          <w:tcPr>
            <w:tcW w:w="888" w:type="pct"/>
            <w:vAlign w:val="center"/>
          </w:tcPr>
          <w:p>
            <w:pPr>
              <w:jc w:val="left"/>
              <w:rPr>
                <w:sz w:val="18"/>
                <w:szCs w:val="18"/>
              </w:rPr>
            </w:pPr>
            <w:r>
              <w:rPr>
                <w:sz w:val="18"/>
                <w:szCs w:val="18"/>
              </w:rPr>
              <w:t>—</w:t>
            </w:r>
          </w:p>
        </w:tc>
        <w:tc>
          <w:tcPr>
            <w:tcW w:w="841" w:type="pct"/>
            <w:vAlign w:val="center"/>
          </w:tcPr>
          <w:p>
            <w:pPr>
              <w:jc w:val="left"/>
              <w:rPr>
                <w:sz w:val="18"/>
                <w:szCs w:val="18"/>
              </w:rPr>
            </w:pPr>
            <w:r>
              <w:rPr>
                <w:rFonts w:hint="eastAsia"/>
                <w:sz w:val="18"/>
                <w:szCs w:val="18"/>
              </w:rPr>
              <w:t>—</w:t>
            </w:r>
          </w:p>
        </w:tc>
        <w:tc>
          <w:tcPr>
            <w:tcW w:w="608" w:type="pct"/>
            <w:vAlign w:val="center"/>
          </w:tcPr>
          <w:p>
            <w:pPr>
              <w:jc w:val="left"/>
              <w:rPr>
                <w:sz w:val="18"/>
                <w:szCs w:val="18"/>
              </w:rPr>
            </w:pPr>
            <w:r>
              <w:rPr>
                <w:rFonts w:hint="eastAsia"/>
                <w:b/>
                <w:sz w:val="18"/>
                <w:szCs w:val="18"/>
              </w:rPr>
              <w:t>—</w:t>
            </w:r>
          </w:p>
        </w:tc>
        <w:tc>
          <w:tcPr>
            <w:tcW w:w="466" w:type="pct"/>
            <w:vAlign w:val="center"/>
          </w:tcPr>
          <w:p>
            <w:pPr>
              <w:jc w:val="left"/>
              <w:rPr>
                <w:b/>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重量法</w:t>
            </w:r>
          </w:p>
        </w:tc>
        <w:tc>
          <w:tcPr>
            <w:tcW w:w="702" w:type="pct"/>
            <w:vAlign w:val="center"/>
          </w:tcPr>
          <w:p>
            <w:pPr>
              <w:jc w:val="left"/>
              <w:rPr>
                <w:sz w:val="18"/>
                <w:szCs w:val="18"/>
              </w:rPr>
            </w:pPr>
            <w:r>
              <w:rPr>
                <w:rFonts w:hint="eastAsia"/>
                <w:sz w:val="18"/>
                <w:szCs w:val="18"/>
              </w:rPr>
              <w:t>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bookmarkStart w:id="9" w:name="_Hlk80279237"/>
            <w:r>
              <w:rPr>
                <w:rFonts w:hint="eastAsia"/>
                <w:sz w:val="18"/>
                <w:szCs w:val="18"/>
              </w:rPr>
              <w:t>氯化物（以Cl计）</w:t>
            </w:r>
          </w:p>
        </w:tc>
        <w:tc>
          <w:tcPr>
            <w:tcW w:w="888" w:type="pct"/>
            <w:vAlign w:val="center"/>
          </w:tcPr>
          <w:p>
            <w:pPr>
              <w:jc w:val="left"/>
              <w:rPr>
                <w:sz w:val="18"/>
                <w:szCs w:val="18"/>
              </w:rPr>
            </w:pPr>
            <w:r>
              <w:rPr>
                <w:rFonts w:hint="eastAsia"/>
                <w:sz w:val="18"/>
                <w:szCs w:val="18"/>
              </w:rPr>
              <w:t>比浊法</w:t>
            </w:r>
          </w:p>
        </w:tc>
        <w:tc>
          <w:tcPr>
            <w:tcW w:w="841" w:type="pct"/>
            <w:vAlign w:val="center"/>
          </w:tcPr>
          <w:p>
            <w:pPr>
              <w:jc w:val="left"/>
              <w:rPr>
                <w:sz w:val="18"/>
                <w:szCs w:val="18"/>
              </w:rPr>
            </w:pPr>
            <w:r>
              <w:rPr>
                <w:rFonts w:hint="eastAsia"/>
                <w:sz w:val="18"/>
                <w:szCs w:val="18"/>
              </w:rPr>
              <w:t>比浊法</w:t>
            </w:r>
          </w:p>
        </w:tc>
        <w:tc>
          <w:tcPr>
            <w:tcW w:w="608" w:type="pct"/>
            <w:vAlign w:val="center"/>
          </w:tcPr>
          <w:p>
            <w:pPr>
              <w:jc w:val="left"/>
              <w:rPr>
                <w:sz w:val="18"/>
                <w:szCs w:val="18"/>
              </w:rPr>
            </w:pPr>
            <w:r>
              <w:rPr>
                <w:rFonts w:hint="eastAsia"/>
                <w:sz w:val="18"/>
                <w:szCs w:val="18"/>
              </w:rPr>
              <w:t>比浊法</w:t>
            </w:r>
          </w:p>
        </w:tc>
        <w:tc>
          <w:tcPr>
            <w:tcW w:w="466" w:type="pct"/>
            <w:vAlign w:val="center"/>
          </w:tcPr>
          <w:p>
            <w:pPr>
              <w:jc w:val="left"/>
              <w:rPr>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w:t>
            </w:r>
          </w:p>
        </w:tc>
        <w:tc>
          <w:tcPr>
            <w:tcW w:w="702" w:type="pct"/>
            <w:vAlign w:val="center"/>
          </w:tcPr>
          <w:p>
            <w:pPr>
              <w:jc w:val="left"/>
              <w:rPr>
                <w:sz w:val="18"/>
                <w:szCs w:val="18"/>
              </w:rPr>
            </w:pPr>
            <w:r>
              <w:rPr>
                <w:rFonts w:hint="eastAsia"/>
                <w:sz w:val="18"/>
                <w:szCs w:val="18"/>
              </w:rPr>
              <w:t>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硫酸盐（以SO</w:t>
            </w:r>
            <w:r>
              <w:rPr>
                <w:rFonts w:hint="eastAsia"/>
                <w:sz w:val="18"/>
                <w:szCs w:val="18"/>
                <w:vertAlign w:val="subscript"/>
              </w:rPr>
              <w:t>4</w:t>
            </w:r>
            <w:r>
              <w:rPr>
                <w:rFonts w:hint="eastAsia"/>
                <w:sz w:val="18"/>
                <w:szCs w:val="18"/>
              </w:rPr>
              <w:t>计）</w:t>
            </w:r>
          </w:p>
        </w:tc>
        <w:tc>
          <w:tcPr>
            <w:tcW w:w="888" w:type="pct"/>
            <w:vAlign w:val="center"/>
          </w:tcPr>
          <w:p>
            <w:pPr>
              <w:jc w:val="left"/>
              <w:rPr>
                <w:sz w:val="18"/>
                <w:szCs w:val="18"/>
              </w:rPr>
            </w:pPr>
            <w:r>
              <w:rPr>
                <w:rFonts w:hint="eastAsia"/>
                <w:sz w:val="18"/>
                <w:szCs w:val="18"/>
              </w:rPr>
              <w:t>比浊法</w:t>
            </w:r>
          </w:p>
        </w:tc>
        <w:tc>
          <w:tcPr>
            <w:tcW w:w="841" w:type="pct"/>
            <w:vAlign w:val="center"/>
          </w:tcPr>
          <w:p>
            <w:pPr>
              <w:jc w:val="left"/>
              <w:rPr>
                <w:sz w:val="18"/>
                <w:szCs w:val="18"/>
              </w:rPr>
            </w:pPr>
            <w:r>
              <w:rPr>
                <w:rFonts w:hint="eastAsia"/>
                <w:sz w:val="18"/>
                <w:szCs w:val="18"/>
              </w:rPr>
              <w:t>重量法</w:t>
            </w:r>
          </w:p>
        </w:tc>
        <w:tc>
          <w:tcPr>
            <w:tcW w:w="608" w:type="pct"/>
            <w:vAlign w:val="center"/>
          </w:tcPr>
          <w:p>
            <w:pPr>
              <w:jc w:val="left"/>
              <w:rPr>
                <w:b/>
                <w:sz w:val="18"/>
                <w:szCs w:val="18"/>
              </w:rPr>
            </w:pPr>
            <w:r>
              <w:rPr>
                <w:rFonts w:hint="eastAsia"/>
                <w:sz w:val="18"/>
                <w:szCs w:val="18"/>
              </w:rPr>
              <w:t>比浊法</w:t>
            </w:r>
          </w:p>
        </w:tc>
        <w:tc>
          <w:tcPr>
            <w:tcW w:w="466" w:type="pct"/>
            <w:vAlign w:val="center"/>
          </w:tcPr>
          <w:p>
            <w:pPr>
              <w:spacing w:line="260" w:lineRule="exact"/>
              <w:jc w:val="left"/>
              <w:rPr>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比浊法</w:t>
            </w:r>
          </w:p>
        </w:tc>
        <w:tc>
          <w:tcPr>
            <w:tcW w:w="702" w:type="pct"/>
            <w:vAlign w:val="center"/>
          </w:tcPr>
          <w:p>
            <w:pPr>
              <w:jc w:val="left"/>
              <w:rPr>
                <w:sz w:val="18"/>
                <w:szCs w:val="18"/>
              </w:rPr>
            </w:pPr>
            <w:r>
              <w:rPr>
                <w:rFonts w:hint="eastAsia"/>
                <w:sz w:val="18"/>
                <w:szCs w:val="18"/>
              </w:rPr>
              <w:t>比浊法</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铁盐（以Fe计）</w:t>
            </w:r>
          </w:p>
        </w:tc>
        <w:tc>
          <w:tcPr>
            <w:tcW w:w="888" w:type="pct"/>
            <w:vAlign w:val="center"/>
          </w:tcPr>
          <w:p>
            <w:pPr>
              <w:jc w:val="left"/>
              <w:rPr>
                <w:sz w:val="18"/>
                <w:szCs w:val="18"/>
              </w:rPr>
            </w:pPr>
            <w:r>
              <w:rPr>
                <w:rFonts w:hint="eastAsia"/>
                <w:sz w:val="18"/>
                <w:szCs w:val="18"/>
              </w:rPr>
              <w:t>比色法</w:t>
            </w:r>
          </w:p>
        </w:tc>
        <w:tc>
          <w:tcPr>
            <w:tcW w:w="841" w:type="pct"/>
            <w:vAlign w:val="center"/>
          </w:tcPr>
          <w:p>
            <w:pPr>
              <w:jc w:val="left"/>
              <w:rPr>
                <w:sz w:val="18"/>
                <w:szCs w:val="18"/>
              </w:rPr>
            </w:pPr>
            <w:r>
              <w:rPr>
                <w:rFonts w:hint="eastAsia"/>
                <w:sz w:val="18"/>
                <w:szCs w:val="18"/>
              </w:rPr>
              <w:t>比色法（用灼烧残渣测试中得到的灰分）</w:t>
            </w:r>
          </w:p>
        </w:tc>
        <w:tc>
          <w:tcPr>
            <w:tcW w:w="608" w:type="pct"/>
            <w:vAlign w:val="center"/>
          </w:tcPr>
          <w:p>
            <w:pPr>
              <w:jc w:val="left"/>
              <w:rPr>
                <w:sz w:val="18"/>
                <w:szCs w:val="18"/>
              </w:rPr>
            </w:pPr>
            <w:r>
              <w:rPr>
                <w:rFonts w:hint="eastAsia"/>
                <w:sz w:val="18"/>
                <w:szCs w:val="18"/>
              </w:rPr>
              <w:t>比色法（用灼烧残渣测试中得到的灰分）</w:t>
            </w:r>
          </w:p>
        </w:tc>
        <w:tc>
          <w:tcPr>
            <w:tcW w:w="466" w:type="pct"/>
            <w:vAlign w:val="center"/>
          </w:tcPr>
          <w:p>
            <w:pPr>
              <w:jc w:val="left"/>
              <w:rPr>
                <w:b/>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比色法</w:t>
            </w:r>
          </w:p>
        </w:tc>
        <w:tc>
          <w:tcPr>
            <w:tcW w:w="702" w:type="pct"/>
            <w:vAlign w:val="center"/>
          </w:tcPr>
          <w:p>
            <w:pPr>
              <w:jc w:val="left"/>
              <w:rPr>
                <w:sz w:val="18"/>
                <w:szCs w:val="18"/>
              </w:rPr>
            </w:pPr>
            <w:r>
              <w:rPr>
                <w:rFonts w:hint="eastAsia"/>
                <w:sz w:val="18"/>
                <w:szCs w:val="18"/>
              </w:rPr>
              <w:t>比色法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氰化物</w:t>
            </w:r>
          </w:p>
        </w:tc>
        <w:tc>
          <w:tcPr>
            <w:tcW w:w="888" w:type="pct"/>
            <w:vAlign w:val="center"/>
          </w:tcPr>
          <w:p>
            <w:pPr>
              <w:jc w:val="left"/>
              <w:rPr>
                <w:sz w:val="18"/>
                <w:szCs w:val="18"/>
              </w:rPr>
            </w:pPr>
            <w:r>
              <w:rPr>
                <w:sz w:val="18"/>
                <w:szCs w:val="18"/>
              </w:rPr>
              <w:t>分光光度法</w:t>
            </w:r>
            <w:r>
              <w:rPr>
                <w:rFonts w:hint="eastAsia"/>
                <w:sz w:val="18"/>
                <w:szCs w:val="18"/>
              </w:rPr>
              <w:t>（</w:t>
            </w:r>
            <w:r>
              <w:rPr>
                <w:rFonts w:hint="eastAsia"/>
                <w:sz w:val="18"/>
                <w:szCs w:val="18"/>
                <w:lang w:val="en-US" w:eastAsia="zh-CN"/>
              </w:rPr>
              <w:t>638</w:t>
            </w:r>
            <w:r>
              <w:rPr>
                <w:rFonts w:hint="eastAsia"/>
                <w:sz w:val="18"/>
                <w:szCs w:val="18"/>
              </w:rPr>
              <w:t>nm），比较吸光度</w:t>
            </w:r>
          </w:p>
        </w:tc>
        <w:tc>
          <w:tcPr>
            <w:tcW w:w="841" w:type="pct"/>
            <w:vAlign w:val="center"/>
          </w:tcPr>
          <w:p>
            <w:pPr>
              <w:jc w:val="left"/>
              <w:rPr>
                <w:sz w:val="18"/>
                <w:szCs w:val="18"/>
              </w:rPr>
            </w:pPr>
            <w:r>
              <w:rPr>
                <w:rFonts w:hint="eastAsia"/>
                <w:sz w:val="18"/>
                <w:szCs w:val="18"/>
              </w:rPr>
              <w:t>滴定法（无蓝色产生）</w:t>
            </w:r>
          </w:p>
        </w:tc>
        <w:tc>
          <w:tcPr>
            <w:tcW w:w="608" w:type="pct"/>
            <w:vAlign w:val="center"/>
          </w:tcPr>
          <w:p>
            <w:pPr>
              <w:jc w:val="left"/>
              <w:rPr>
                <w:sz w:val="18"/>
                <w:szCs w:val="18"/>
              </w:rPr>
            </w:pPr>
            <w:r>
              <w:rPr>
                <w:sz w:val="18"/>
                <w:szCs w:val="18"/>
              </w:rPr>
              <w:t>分光光度法</w:t>
            </w:r>
            <w:r>
              <w:rPr>
                <w:rFonts w:hint="eastAsia"/>
                <w:sz w:val="18"/>
                <w:szCs w:val="18"/>
              </w:rPr>
              <w:t>（480nm），比较吸光度</w:t>
            </w:r>
          </w:p>
        </w:tc>
        <w:tc>
          <w:tcPr>
            <w:tcW w:w="466" w:type="pct"/>
            <w:vAlign w:val="center"/>
          </w:tcPr>
          <w:p>
            <w:pPr>
              <w:jc w:val="left"/>
              <w:rPr>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滴定法（无蓝色产生）</w:t>
            </w:r>
          </w:p>
        </w:tc>
        <w:tc>
          <w:tcPr>
            <w:tcW w:w="702" w:type="pct"/>
            <w:vAlign w:val="center"/>
          </w:tcPr>
          <w:p>
            <w:pPr>
              <w:jc w:val="left"/>
              <w:rPr>
                <w:sz w:val="18"/>
                <w:szCs w:val="18"/>
              </w:rPr>
            </w:pPr>
            <w:r>
              <w:rPr>
                <w:rFonts w:hint="eastAsia"/>
                <w:sz w:val="18"/>
                <w:szCs w:val="18"/>
              </w:rPr>
              <w:t>滴定法（无蓝色产生）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spacing w:line="300" w:lineRule="exact"/>
              <w:rPr>
                <w:sz w:val="18"/>
                <w:szCs w:val="18"/>
              </w:rPr>
            </w:pPr>
            <w:r>
              <w:rPr>
                <w:rFonts w:hint="eastAsia"/>
                <w:sz w:val="18"/>
                <w:szCs w:val="18"/>
              </w:rPr>
              <w:t>柠檬酸、草酸、磷酸、酒石酸</w:t>
            </w:r>
          </w:p>
        </w:tc>
        <w:tc>
          <w:tcPr>
            <w:tcW w:w="888" w:type="pct"/>
            <w:vAlign w:val="center"/>
          </w:tcPr>
          <w:p>
            <w:pPr>
              <w:jc w:val="left"/>
              <w:rPr>
                <w:sz w:val="18"/>
                <w:szCs w:val="18"/>
              </w:rPr>
            </w:pPr>
            <w:r>
              <w:rPr>
                <w:rFonts w:hint="eastAsia"/>
                <w:sz w:val="18"/>
                <w:szCs w:val="18"/>
              </w:rPr>
              <w:t>水溶液加氢氧化钙，</w:t>
            </w:r>
          </w:p>
          <w:p>
            <w:pPr>
              <w:jc w:val="left"/>
              <w:rPr>
                <w:sz w:val="18"/>
                <w:szCs w:val="18"/>
              </w:rPr>
            </w:pPr>
            <w:r>
              <w:rPr>
                <w:rFonts w:hint="eastAsia"/>
                <w:sz w:val="18"/>
                <w:szCs w:val="18"/>
              </w:rPr>
              <w:t>煮沸无浑浊产生</w:t>
            </w:r>
          </w:p>
        </w:tc>
        <w:tc>
          <w:tcPr>
            <w:tcW w:w="841" w:type="pct"/>
            <w:vAlign w:val="center"/>
          </w:tcPr>
          <w:p>
            <w:pPr>
              <w:jc w:val="left"/>
              <w:rPr>
                <w:sz w:val="18"/>
                <w:szCs w:val="18"/>
              </w:rPr>
            </w:pPr>
            <w:r>
              <w:rPr>
                <w:rFonts w:hint="eastAsia"/>
                <w:sz w:val="18"/>
                <w:szCs w:val="18"/>
              </w:rPr>
              <w:t>水溶液加氢氧化钙，煮沸无浑浊产生</w:t>
            </w:r>
          </w:p>
        </w:tc>
        <w:tc>
          <w:tcPr>
            <w:tcW w:w="608" w:type="pct"/>
            <w:vAlign w:val="center"/>
          </w:tcPr>
          <w:p>
            <w:pPr>
              <w:jc w:val="left"/>
              <w:rPr>
                <w:sz w:val="18"/>
                <w:szCs w:val="18"/>
              </w:rPr>
            </w:pPr>
            <w:r>
              <w:rPr>
                <w:rFonts w:hint="eastAsia"/>
                <w:sz w:val="18"/>
                <w:szCs w:val="18"/>
              </w:rPr>
              <w:t>水溶液加氢氧化钙，</w:t>
            </w:r>
          </w:p>
          <w:p>
            <w:pPr>
              <w:jc w:val="left"/>
              <w:rPr>
                <w:sz w:val="18"/>
                <w:szCs w:val="18"/>
              </w:rPr>
            </w:pPr>
            <w:r>
              <w:rPr>
                <w:rFonts w:hint="eastAsia"/>
                <w:sz w:val="18"/>
                <w:szCs w:val="18"/>
              </w:rPr>
              <w:t>煮沸无浑浊产生</w:t>
            </w:r>
          </w:p>
        </w:tc>
        <w:tc>
          <w:tcPr>
            <w:tcW w:w="466" w:type="pct"/>
            <w:vAlign w:val="center"/>
          </w:tcPr>
          <w:p>
            <w:pPr>
              <w:spacing w:line="260" w:lineRule="exact"/>
              <w:jc w:val="left"/>
              <w:rPr>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水溶液加氢氧化钙，</w:t>
            </w:r>
          </w:p>
          <w:p>
            <w:pPr>
              <w:jc w:val="left"/>
              <w:rPr>
                <w:sz w:val="18"/>
                <w:szCs w:val="18"/>
              </w:rPr>
            </w:pPr>
            <w:r>
              <w:rPr>
                <w:rFonts w:hint="eastAsia"/>
                <w:sz w:val="18"/>
                <w:szCs w:val="18"/>
              </w:rPr>
              <w:t>煮沸无浑浊产生</w:t>
            </w:r>
          </w:p>
        </w:tc>
        <w:tc>
          <w:tcPr>
            <w:tcW w:w="702" w:type="pct"/>
            <w:vAlign w:val="center"/>
          </w:tcPr>
          <w:p>
            <w:pPr>
              <w:jc w:val="left"/>
              <w:rPr>
                <w:sz w:val="18"/>
                <w:szCs w:val="18"/>
              </w:rPr>
            </w:pPr>
            <w:r>
              <w:rPr>
                <w:rFonts w:hint="eastAsia"/>
                <w:sz w:val="18"/>
                <w:szCs w:val="18"/>
              </w:rPr>
              <w:t>水溶液加氢氧化钙，煮沸无浑浊产生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还原糖</w:t>
            </w:r>
          </w:p>
        </w:tc>
        <w:tc>
          <w:tcPr>
            <w:tcW w:w="888" w:type="pct"/>
            <w:vAlign w:val="center"/>
          </w:tcPr>
          <w:p>
            <w:pPr>
              <w:jc w:val="left"/>
              <w:rPr>
                <w:sz w:val="18"/>
                <w:szCs w:val="18"/>
              </w:rPr>
            </w:pPr>
            <w:r>
              <w:rPr>
                <w:rFonts w:hint="eastAsia"/>
                <w:sz w:val="18"/>
                <w:szCs w:val="18"/>
              </w:rPr>
              <w:t>加碱性酒石酸铜，</w:t>
            </w:r>
          </w:p>
          <w:p>
            <w:pPr>
              <w:jc w:val="left"/>
              <w:rPr>
                <w:sz w:val="18"/>
                <w:szCs w:val="18"/>
              </w:rPr>
            </w:pPr>
            <w:r>
              <w:rPr>
                <w:rFonts w:hint="eastAsia"/>
                <w:sz w:val="18"/>
                <w:szCs w:val="18"/>
              </w:rPr>
              <w:t>煮沸无红色沉淀产生</w:t>
            </w:r>
          </w:p>
        </w:tc>
        <w:tc>
          <w:tcPr>
            <w:tcW w:w="841" w:type="pct"/>
            <w:vAlign w:val="center"/>
          </w:tcPr>
          <w:p>
            <w:pPr>
              <w:jc w:val="left"/>
              <w:rPr>
                <w:sz w:val="18"/>
                <w:szCs w:val="18"/>
              </w:rPr>
            </w:pPr>
            <w:r>
              <w:rPr>
                <w:rFonts w:hint="eastAsia"/>
                <w:sz w:val="18"/>
                <w:szCs w:val="18"/>
              </w:rPr>
              <w:t>加碱性酒石酸铜，</w:t>
            </w:r>
          </w:p>
          <w:p>
            <w:pPr>
              <w:jc w:val="left"/>
              <w:rPr>
                <w:sz w:val="18"/>
                <w:szCs w:val="18"/>
              </w:rPr>
            </w:pPr>
            <w:r>
              <w:rPr>
                <w:rFonts w:hint="eastAsia"/>
                <w:sz w:val="18"/>
                <w:szCs w:val="18"/>
              </w:rPr>
              <w:t>煮沸无红色沉淀产生</w:t>
            </w:r>
          </w:p>
        </w:tc>
        <w:tc>
          <w:tcPr>
            <w:tcW w:w="608" w:type="pct"/>
            <w:vAlign w:val="center"/>
          </w:tcPr>
          <w:p>
            <w:pPr>
              <w:jc w:val="left"/>
              <w:rPr>
                <w:sz w:val="18"/>
                <w:szCs w:val="18"/>
              </w:rPr>
            </w:pPr>
            <w:r>
              <w:rPr>
                <w:rFonts w:hint="eastAsia"/>
                <w:sz w:val="18"/>
                <w:szCs w:val="18"/>
              </w:rPr>
              <w:t>加热的碱性酒石酸铜，不产生红色沉淀产生</w:t>
            </w:r>
          </w:p>
        </w:tc>
        <w:tc>
          <w:tcPr>
            <w:tcW w:w="466" w:type="pct"/>
            <w:vAlign w:val="center"/>
          </w:tcPr>
          <w:p>
            <w:pPr>
              <w:jc w:val="left"/>
              <w:rPr>
                <w:b/>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w:t>
            </w:r>
          </w:p>
        </w:tc>
        <w:tc>
          <w:tcPr>
            <w:tcW w:w="702" w:type="pct"/>
            <w:vAlign w:val="center"/>
          </w:tcPr>
          <w:p>
            <w:pPr>
              <w:jc w:val="lef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bookmarkStart w:id="10" w:name="_Hlk79482449"/>
            <w:r>
              <w:rPr>
                <w:rFonts w:hint="eastAsia"/>
                <w:sz w:val="18"/>
                <w:szCs w:val="18"/>
              </w:rPr>
              <w:t>挥发性脂肪酸</w:t>
            </w:r>
          </w:p>
        </w:tc>
        <w:tc>
          <w:tcPr>
            <w:tcW w:w="888" w:type="pct"/>
            <w:vAlign w:val="center"/>
          </w:tcPr>
          <w:p>
            <w:pPr>
              <w:jc w:val="left"/>
              <w:rPr>
                <w:sz w:val="18"/>
                <w:szCs w:val="18"/>
              </w:rPr>
            </w:pPr>
            <w:r>
              <w:rPr>
                <w:sz w:val="18"/>
                <w:szCs w:val="18"/>
              </w:rPr>
              <w:t>—</w:t>
            </w:r>
          </w:p>
        </w:tc>
        <w:tc>
          <w:tcPr>
            <w:tcW w:w="841" w:type="pct"/>
            <w:vAlign w:val="center"/>
          </w:tcPr>
          <w:p>
            <w:pPr>
              <w:jc w:val="left"/>
              <w:rPr>
                <w:sz w:val="18"/>
                <w:szCs w:val="18"/>
              </w:rPr>
            </w:pPr>
            <w:r>
              <w:rPr>
                <w:sz w:val="18"/>
                <w:szCs w:val="18"/>
              </w:rPr>
              <w:t>—</w:t>
            </w:r>
          </w:p>
        </w:tc>
        <w:tc>
          <w:tcPr>
            <w:tcW w:w="608" w:type="pct"/>
            <w:vAlign w:val="center"/>
          </w:tcPr>
          <w:p>
            <w:pPr>
              <w:jc w:val="left"/>
              <w:rPr>
                <w:b/>
                <w:sz w:val="18"/>
                <w:szCs w:val="18"/>
              </w:rPr>
            </w:pPr>
            <w:r>
              <w:rPr>
                <w:rFonts w:hint="eastAsia"/>
                <w:b/>
                <w:sz w:val="18"/>
                <w:szCs w:val="18"/>
              </w:rPr>
              <w:t>—</w:t>
            </w:r>
          </w:p>
        </w:tc>
        <w:tc>
          <w:tcPr>
            <w:tcW w:w="466" w:type="pct"/>
            <w:vAlign w:val="center"/>
          </w:tcPr>
          <w:p>
            <w:pPr>
              <w:jc w:val="left"/>
              <w:rPr>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水浴加热不会散发类似丁酸气味</w:t>
            </w:r>
          </w:p>
        </w:tc>
        <w:tc>
          <w:tcPr>
            <w:tcW w:w="702" w:type="pct"/>
            <w:vAlign w:val="center"/>
          </w:tcPr>
          <w:p>
            <w:pPr>
              <w:jc w:val="left"/>
              <w:rPr>
                <w:sz w:val="18"/>
                <w:szCs w:val="18"/>
              </w:rPr>
            </w:pPr>
            <w:r>
              <w:rPr>
                <w:rFonts w:hint="eastAsia"/>
                <w:sz w:val="18"/>
                <w:szCs w:val="18"/>
              </w:rPr>
              <w:t>水浴加热不会散发类似丁酸气味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rFonts w:cstheme="minorHAnsi"/>
                <w:sz w:val="18"/>
                <w:szCs w:val="18"/>
              </w:rPr>
            </w:pPr>
            <w:r>
              <w:rPr>
                <w:rFonts w:hint="eastAsia"/>
                <w:sz w:val="18"/>
                <w:szCs w:val="18"/>
              </w:rPr>
              <w:t>甲醇</w:t>
            </w:r>
            <w:r>
              <w:rPr>
                <w:rFonts w:cstheme="minorHAnsi"/>
                <w:sz w:val="18"/>
                <w:szCs w:val="18"/>
              </w:rPr>
              <w:t>（以CH</w:t>
            </w:r>
            <w:r>
              <w:rPr>
                <w:rFonts w:cstheme="minorHAnsi"/>
                <w:b/>
                <w:bCs/>
                <w:sz w:val="18"/>
                <w:szCs w:val="18"/>
                <w:vertAlign w:val="subscript"/>
              </w:rPr>
              <w:t>3</w:t>
            </w:r>
            <w:r>
              <w:rPr>
                <w:rFonts w:cstheme="minorHAnsi"/>
                <w:sz w:val="18"/>
                <w:szCs w:val="18"/>
              </w:rPr>
              <w:t>OH计）</w:t>
            </w:r>
          </w:p>
        </w:tc>
        <w:tc>
          <w:tcPr>
            <w:tcW w:w="888" w:type="pct"/>
            <w:vAlign w:val="center"/>
          </w:tcPr>
          <w:p>
            <w:pPr>
              <w:jc w:val="left"/>
              <w:rPr>
                <w:sz w:val="18"/>
                <w:szCs w:val="18"/>
              </w:rPr>
            </w:pPr>
            <w:r>
              <w:rPr>
                <w:sz w:val="18"/>
                <w:szCs w:val="18"/>
              </w:rPr>
              <w:t>—</w:t>
            </w:r>
          </w:p>
        </w:tc>
        <w:tc>
          <w:tcPr>
            <w:tcW w:w="841" w:type="pct"/>
            <w:vAlign w:val="center"/>
          </w:tcPr>
          <w:p>
            <w:pPr>
              <w:jc w:val="left"/>
              <w:rPr>
                <w:sz w:val="18"/>
                <w:szCs w:val="18"/>
              </w:rPr>
            </w:pPr>
            <w:r>
              <w:rPr>
                <w:sz w:val="18"/>
                <w:szCs w:val="18"/>
              </w:rPr>
              <w:t>—</w:t>
            </w:r>
          </w:p>
        </w:tc>
        <w:tc>
          <w:tcPr>
            <w:tcW w:w="608" w:type="pct"/>
            <w:vAlign w:val="center"/>
          </w:tcPr>
          <w:p>
            <w:pPr>
              <w:jc w:val="left"/>
              <w:rPr>
                <w:sz w:val="18"/>
                <w:szCs w:val="18"/>
              </w:rPr>
            </w:pPr>
            <w:r>
              <w:rPr>
                <w:rFonts w:hint="eastAsia"/>
                <w:b/>
                <w:sz w:val="18"/>
                <w:szCs w:val="18"/>
              </w:rPr>
              <w:t>—</w:t>
            </w:r>
          </w:p>
        </w:tc>
        <w:tc>
          <w:tcPr>
            <w:tcW w:w="466" w:type="pct"/>
            <w:vAlign w:val="center"/>
          </w:tcPr>
          <w:p>
            <w:pPr>
              <w:spacing w:line="260" w:lineRule="exact"/>
              <w:jc w:val="left"/>
              <w:rPr>
                <w:sz w:val="18"/>
                <w:szCs w:val="18"/>
              </w:rPr>
            </w:pPr>
            <w:r>
              <w:rPr>
                <w:rFonts w:hint="eastAsia"/>
                <w:b/>
                <w:sz w:val="18"/>
                <w:szCs w:val="18"/>
              </w:rPr>
              <w:t>—</w:t>
            </w:r>
          </w:p>
        </w:tc>
        <w:tc>
          <w:tcPr>
            <w:tcW w:w="607" w:type="pct"/>
            <w:vAlign w:val="center"/>
          </w:tcPr>
          <w:p>
            <w:pPr>
              <w:jc w:val="left"/>
              <w:rPr>
                <w:sz w:val="18"/>
                <w:szCs w:val="18"/>
              </w:rPr>
            </w:pPr>
            <w:r>
              <w:rPr>
                <w:sz w:val="18"/>
                <w:szCs w:val="18"/>
              </w:rPr>
              <w:t>比色法</w:t>
            </w:r>
          </w:p>
        </w:tc>
        <w:tc>
          <w:tcPr>
            <w:tcW w:w="702" w:type="pct"/>
            <w:vAlign w:val="center"/>
          </w:tcPr>
          <w:p>
            <w:pPr>
              <w:jc w:val="left"/>
              <w:rPr>
                <w:sz w:val="18"/>
                <w:szCs w:val="18"/>
              </w:rPr>
            </w:pPr>
            <w:r>
              <w:rPr>
                <w:sz w:val="18"/>
                <w:szCs w:val="18"/>
              </w:rPr>
              <w:t>比色法</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jc w:val="left"/>
              <w:rPr>
                <w:sz w:val="18"/>
                <w:szCs w:val="18"/>
              </w:rPr>
            </w:pPr>
            <w:r>
              <w:rPr>
                <w:rFonts w:hint="eastAsia"/>
                <w:sz w:val="18"/>
                <w:szCs w:val="18"/>
              </w:rPr>
              <w:t>易炭化合物</w:t>
            </w:r>
          </w:p>
        </w:tc>
        <w:tc>
          <w:tcPr>
            <w:tcW w:w="888" w:type="pct"/>
            <w:vAlign w:val="center"/>
          </w:tcPr>
          <w:p>
            <w:pPr>
              <w:jc w:val="left"/>
              <w:rPr>
                <w:rFonts w:hint="eastAsia" w:eastAsia="宋体"/>
                <w:sz w:val="18"/>
                <w:szCs w:val="18"/>
                <w:lang w:eastAsia="zh-CN"/>
              </w:rPr>
            </w:pPr>
            <w:r>
              <w:rPr>
                <w:rFonts w:hint="eastAsia"/>
                <w:sz w:val="18"/>
                <w:szCs w:val="18"/>
              </w:rPr>
              <w:t>加硫酸15℃下15min，试样和硫酸接触液面</w:t>
            </w:r>
            <w:r>
              <w:rPr>
                <w:rFonts w:hint="eastAsia"/>
                <w:sz w:val="18"/>
                <w:szCs w:val="18"/>
                <w:lang w:val="en-US" w:eastAsia="zh-CN"/>
              </w:rPr>
              <w:t>无深灰色产生</w:t>
            </w:r>
          </w:p>
        </w:tc>
        <w:tc>
          <w:tcPr>
            <w:tcW w:w="841" w:type="pct"/>
            <w:vAlign w:val="center"/>
          </w:tcPr>
          <w:p>
            <w:pPr>
              <w:jc w:val="left"/>
              <w:rPr>
                <w:sz w:val="18"/>
                <w:szCs w:val="18"/>
              </w:rPr>
            </w:pPr>
            <w:r>
              <w:rPr>
                <w:rFonts w:hint="eastAsia"/>
                <w:sz w:val="18"/>
                <w:szCs w:val="18"/>
              </w:rPr>
              <w:t>加硫酸15℃下15min，试样和硫酸接触液面无深灰色产生</w:t>
            </w:r>
          </w:p>
        </w:tc>
        <w:tc>
          <w:tcPr>
            <w:tcW w:w="608" w:type="pct"/>
            <w:vAlign w:val="center"/>
          </w:tcPr>
          <w:p>
            <w:pPr>
              <w:spacing w:line="260" w:lineRule="exact"/>
              <w:jc w:val="left"/>
              <w:rPr>
                <w:sz w:val="18"/>
                <w:szCs w:val="18"/>
              </w:rPr>
            </w:pPr>
            <w:r>
              <w:rPr>
                <w:rFonts w:hint="eastAsia"/>
                <w:b/>
                <w:sz w:val="18"/>
                <w:szCs w:val="18"/>
              </w:rPr>
              <w:t>—</w:t>
            </w:r>
          </w:p>
        </w:tc>
        <w:tc>
          <w:tcPr>
            <w:tcW w:w="466" w:type="pct"/>
            <w:vAlign w:val="center"/>
          </w:tcPr>
          <w:p>
            <w:pPr>
              <w:jc w:val="left"/>
              <w:rPr>
                <w:b/>
                <w:sz w:val="18"/>
                <w:szCs w:val="18"/>
              </w:rPr>
            </w:pPr>
            <w:r>
              <w:rPr>
                <w:rFonts w:hint="eastAsia"/>
                <w:b/>
                <w:sz w:val="18"/>
                <w:szCs w:val="18"/>
              </w:rPr>
              <w:t>—</w:t>
            </w:r>
          </w:p>
        </w:tc>
        <w:tc>
          <w:tcPr>
            <w:tcW w:w="607" w:type="pct"/>
            <w:vAlign w:val="center"/>
          </w:tcPr>
          <w:p>
            <w:pPr>
              <w:jc w:val="left"/>
              <w:rPr>
                <w:sz w:val="18"/>
                <w:szCs w:val="18"/>
              </w:rPr>
            </w:pPr>
            <w:r>
              <w:rPr>
                <w:rFonts w:hint="eastAsia"/>
                <w:sz w:val="18"/>
                <w:szCs w:val="18"/>
              </w:rPr>
              <w:t>加硫酸15℃下15min，试样和硫酸接触液面无深灰色产生</w:t>
            </w:r>
          </w:p>
        </w:tc>
        <w:tc>
          <w:tcPr>
            <w:tcW w:w="702" w:type="pct"/>
            <w:vAlign w:val="center"/>
          </w:tcPr>
          <w:p>
            <w:pPr>
              <w:jc w:val="left"/>
              <w:rPr>
                <w:sz w:val="18"/>
                <w:szCs w:val="18"/>
              </w:rPr>
            </w:pPr>
            <w:r>
              <w:rPr>
                <w:rFonts w:hint="eastAsia"/>
                <w:sz w:val="18"/>
                <w:szCs w:val="18"/>
              </w:rPr>
              <w:t>加硫酸15℃下15min，试样和硫酸接触液面无深灰色产生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rPr>
                <w:sz w:val="18"/>
                <w:szCs w:val="18"/>
              </w:rPr>
            </w:pPr>
            <w:r>
              <w:rPr>
                <w:sz w:val="18"/>
                <w:szCs w:val="18"/>
              </w:rPr>
              <w:t>铅</w:t>
            </w:r>
            <w:r>
              <w:rPr>
                <w:rFonts w:hint="eastAsia"/>
                <w:sz w:val="18"/>
                <w:szCs w:val="18"/>
              </w:rPr>
              <w:t>（Pb）</w:t>
            </w:r>
          </w:p>
        </w:tc>
        <w:tc>
          <w:tcPr>
            <w:tcW w:w="888" w:type="pct"/>
            <w:vAlign w:val="center"/>
          </w:tcPr>
          <w:p>
            <w:pPr>
              <w:jc w:val="left"/>
              <w:rPr>
                <w:sz w:val="18"/>
                <w:szCs w:val="18"/>
              </w:rPr>
            </w:pPr>
            <w:r>
              <w:rPr>
                <w:rFonts w:hint="eastAsia"/>
                <w:sz w:val="18"/>
                <w:szCs w:val="18"/>
              </w:rPr>
              <w:t>GB 5009.75或</w:t>
            </w:r>
          </w:p>
          <w:p>
            <w:pPr>
              <w:jc w:val="left"/>
              <w:rPr>
                <w:sz w:val="18"/>
                <w:szCs w:val="18"/>
              </w:rPr>
            </w:pPr>
            <w:r>
              <w:rPr>
                <w:rFonts w:hint="eastAsia"/>
                <w:sz w:val="18"/>
                <w:szCs w:val="18"/>
              </w:rPr>
              <w:t>GB 5009.12</w:t>
            </w:r>
          </w:p>
        </w:tc>
        <w:tc>
          <w:tcPr>
            <w:tcW w:w="841" w:type="pct"/>
            <w:vAlign w:val="center"/>
          </w:tcPr>
          <w:p>
            <w:pPr>
              <w:jc w:val="left"/>
              <w:rPr>
                <w:sz w:val="18"/>
                <w:szCs w:val="18"/>
              </w:rPr>
            </w:pPr>
            <w:r>
              <w:rPr>
                <w:rFonts w:hint="eastAsia"/>
                <w:sz w:val="18"/>
                <w:szCs w:val="18"/>
              </w:rPr>
              <w:t>原子吸收光谱法</w:t>
            </w:r>
          </w:p>
        </w:tc>
        <w:tc>
          <w:tcPr>
            <w:tcW w:w="608" w:type="pct"/>
            <w:vAlign w:val="center"/>
          </w:tcPr>
          <w:p>
            <w:pPr>
              <w:spacing w:line="260" w:lineRule="exact"/>
              <w:jc w:val="left"/>
              <w:rPr>
                <w:sz w:val="18"/>
                <w:szCs w:val="18"/>
              </w:rPr>
            </w:pPr>
            <w:r>
              <w:rPr>
                <w:rFonts w:hint="eastAsia"/>
                <w:sz w:val="18"/>
                <w:szCs w:val="18"/>
              </w:rPr>
              <w:t>石墨炉原子吸收光谱法</w:t>
            </w:r>
          </w:p>
        </w:tc>
        <w:tc>
          <w:tcPr>
            <w:tcW w:w="466" w:type="pct"/>
            <w:vAlign w:val="center"/>
          </w:tcPr>
          <w:p>
            <w:pPr>
              <w:jc w:val="left"/>
              <w:rPr>
                <w:sz w:val="18"/>
                <w:szCs w:val="18"/>
              </w:rPr>
            </w:pPr>
            <w:r>
              <w:rPr>
                <w:rFonts w:hint="eastAsia"/>
                <w:b/>
                <w:sz w:val="18"/>
                <w:szCs w:val="18"/>
              </w:rPr>
              <w:t>—</w:t>
            </w:r>
          </w:p>
        </w:tc>
        <w:tc>
          <w:tcPr>
            <w:tcW w:w="607" w:type="pct"/>
            <w:vAlign w:val="center"/>
          </w:tcPr>
          <w:p>
            <w:pPr>
              <w:spacing w:line="260" w:lineRule="exact"/>
              <w:jc w:val="left"/>
              <w:rPr>
                <w:sz w:val="18"/>
                <w:szCs w:val="18"/>
              </w:rPr>
            </w:pPr>
            <w:r>
              <w:rPr>
                <w:sz w:val="18"/>
                <w:szCs w:val="18"/>
              </w:rPr>
              <w:t>火焰原子吸收光谱法</w:t>
            </w:r>
          </w:p>
        </w:tc>
        <w:tc>
          <w:tcPr>
            <w:tcW w:w="702" w:type="pct"/>
            <w:vAlign w:val="center"/>
          </w:tcPr>
          <w:p>
            <w:pPr>
              <w:spacing w:line="260" w:lineRule="exact"/>
              <w:jc w:val="left"/>
              <w:rPr>
                <w:sz w:val="18"/>
                <w:szCs w:val="18"/>
              </w:rPr>
            </w:pPr>
            <w:r>
              <w:rPr>
                <w:rFonts w:hint="eastAsia"/>
                <w:sz w:val="18"/>
                <w:szCs w:val="18"/>
              </w:rPr>
              <w:t>原子吸收光谱法或电感耦合等离子体质谱法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rPr>
                <w:sz w:val="18"/>
                <w:szCs w:val="18"/>
              </w:rPr>
            </w:pPr>
            <w:r>
              <w:rPr>
                <w:rFonts w:hint="eastAsia"/>
                <w:sz w:val="18"/>
                <w:szCs w:val="18"/>
              </w:rPr>
              <w:t>砷（As）</w:t>
            </w:r>
          </w:p>
        </w:tc>
        <w:tc>
          <w:tcPr>
            <w:tcW w:w="888" w:type="pct"/>
            <w:vAlign w:val="center"/>
          </w:tcPr>
          <w:p>
            <w:pPr>
              <w:jc w:val="left"/>
              <w:rPr>
                <w:sz w:val="18"/>
                <w:szCs w:val="18"/>
              </w:rPr>
            </w:pPr>
            <w:r>
              <w:rPr>
                <w:rFonts w:hint="eastAsia"/>
                <w:sz w:val="18"/>
                <w:szCs w:val="18"/>
              </w:rPr>
              <w:t>GB 5009.76</w:t>
            </w:r>
          </w:p>
        </w:tc>
        <w:tc>
          <w:tcPr>
            <w:tcW w:w="841" w:type="pct"/>
            <w:vAlign w:val="center"/>
          </w:tcPr>
          <w:p>
            <w:pPr>
              <w:jc w:val="left"/>
              <w:rPr>
                <w:sz w:val="18"/>
                <w:szCs w:val="18"/>
              </w:rPr>
            </w:pPr>
            <w:r>
              <w:rPr>
                <w:sz w:val="18"/>
                <w:szCs w:val="18"/>
              </w:rPr>
              <w:t>—</w:t>
            </w:r>
          </w:p>
        </w:tc>
        <w:tc>
          <w:tcPr>
            <w:tcW w:w="608" w:type="pct"/>
            <w:vAlign w:val="center"/>
          </w:tcPr>
          <w:p>
            <w:pPr>
              <w:jc w:val="left"/>
              <w:rPr>
                <w:sz w:val="18"/>
                <w:szCs w:val="18"/>
              </w:rPr>
            </w:pPr>
            <w:r>
              <w:rPr>
                <w:sz w:val="18"/>
                <w:szCs w:val="18"/>
              </w:rPr>
              <w:t>—</w:t>
            </w:r>
          </w:p>
        </w:tc>
        <w:tc>
          <w:tcPr>
            <w:tcW w:w="466" w:type="pct"/>
            <w:vAlign w:val="center"/>
          </w:tcPr>
          <w:p>
            <w:pPr>
              <w:spacing w:line="260" w:lineRule="exact"/>
              <w:jc w:val="left"/>
              <w:rPr>
                <w:sz w:val="18"/>
                <w:szCs w:val="18"/>
              </w:rPr>
            </w:pPr>
            <w:r>
              <w:rPr>
                <w:rFonts w:hint="eastAsia"/>
                <w:b/>
                <w:sz w:val="18"/>
                <w:szCs w:val="18"/>
              </w:rPr>
              <w:t>—</w:t>
            </w:r>
          </w:p>
        </w:tc>
        <w:tc>
          <w:tcPr>
            <w:tcW w:w="607" w:type="pct"/>
            <w:vAlign w:val="center"/>
          </w:tcPr>
          <w:p>
            <w:pPr>
              <w:spacing w:line="260" w:lineRule="exact"/>
              <w:jc w:val="left"/>
              <w:rPr>
                <w:sz w:val="18"/>
                <w:szCs w:val="18"/>
              </w:rPr>
            </w:pPr>
            <w:r>
              <w:rPr>
                <w:rFonts w:hint="eastAsia"/>
                <w:sz w:val="18"/>
                <w:szCs w:val="18"/>
              </w:rPr>
              <w:t>二乙氨基二硫代甲酸银比色法</w:t>
            </w:r>
          </w:p>
        </w:tc>
        <w:tc>
          <w:tcPr>
            <w:tcW w:w="702" w:type="pct"/>
            <w:vAlign w:val="center"/>
          </w:tcPr>
          <w:p>
            <w:pPr>
              <w:spacing w:line="260" w:lineRule="exact"/>
              <w:jc w:val="left"/>
              <w:rPr>
                <w:sz w:val="18"/>
                <w:szCs w:val="18"/>
              </w:rPr>
            </w:pPr>
            <w:r>
              <w:rPr>
                <w:rFonts w:hint="eastAsia"/>
                <w:sz w:val="18"/>
                <w:szCs w:val="18"/>
              </w:rPr>
              <w:t>二乙氨基二硫代甲酸银比色法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6" w:type="pct"/>
            <w:tcBorders>
              <w:right w:val="nil"/>
            </w:tcBorders>
            <w:vAlign w:val="center"/>
          </w:tcPr>
          <w:p>
            <w:pPr>
              <w:rPr>
                <w:sz w:val="18"/>
                <w:szCs w:val="18"/>
              </w:rPr>
            </w:pPr>
            <w:r>
              <w:rPr>
                <w:rFonts w:hint="eastAsia"/>
                <w:sz w:val="18"/>
                <w:szCs w:val="18"/>
              </w:rPr>
              <w:t>汞（H</w:t>
            </w:r>
            <w:r>
              <w:rPr>
                <w:sz w:val="18"/>
                <w:szCs w:val="18"/>
              </w:rPr>
              <w:t>g</w:t>
            </w:r>
            <w:r>
              <w:rPr>
                <w:rFonts w:hint="eastAsia"/>
                <w:sz w:val="18"/>
                <w:szCs w:val="18"/>
              </w:rPr>
              <w:t>）</w:t>
            </w:r>
          </w:p>
        </w:tc>
        <w:tc>
          <w:tcPr>
            <w:tcW w:w="888" w:type="pct"/>
            <w:vAlign w:val="center"/>
          </w:tcPr>
          <w:p>
            <w:pPr>
              <w:spacing w:line="260" w:lineRule="exact"/>
              <w:jc w:val="left"/>
              <w:rPr>
                <w:sz w:val="18"/>
                <w:szCs w:val="18"/>
              </w:rPr>
            </w:pPr>
            <w:r>
              <w:rPr>
                <w:sz w:val="18"/>
                <w:szCs w:val="18"/>
              </w:rPr>
              <w:t>—</w:t>
            </w:r>
          </w:p>
        </w:tc>
        <w:tc>
          <w:tcPr>
            <w:tcW w:w="841" w:type="pct"/>
            <w:vAlign w:val="center"/>
          </w:tcPr>
          <w:p>
            <w:pPr>
              <w:jc w:val="left"/>
              <w:rPr>
                <w:sz w:val="18"/>
                <w:szCs w:val="18"/>
              </w:rPr>
            </w:pPr>
            <w:r>
              <w:rPr>
                <w:sz w:val="18"/>
                <w:szCs w:val="18"/>
              </w:rPr>
              <w:t>—</w:t>
            </w:r>
          </w:p>
        </w:tc>
        <w:tc>
          <w:tcPr>
            <w:tcW w:w="608" w:type="pct"/>
            <w:vAlign w:val="center"/>
          </w:tcPr>
          <w:p>
            <w:pPr>
              <w:jc w:val="left"/>
              <w:rPr>
                <w:sz w:val="18"/>
                <w:szCs w:val="18"/>
              </w:rPr>
            </w:pPr>
            <w:r>
              <w:rPr>
                <w:sz w:val="18"/>
                <w:szCs w:val="18"/>
              </w:rPr>
              <w:t>—</w:t>
            </w:r>
          </w:p>
        </w:tc>
        <w:tc>
          <w:tcPr>
            <w:tcW w:w="466" w:type="pct"/>
            <w:vAlign w:val="center"/>
          </w:tcPr>
          <w:p>
            <w:pPr>
              <w:spacing w:line="260" w:lineRule="exact"/>
              <w:jc w:val="left"/>
              <w:rPr>
                <w:sz w:val="18"/>
                <w:szCs w:val="18"/>
              </w:rPr>
            </w:pPr>
            <w:r>
              <w:rPr>
                <w:rFonts w:hint="eastAsia"/>
                <w:b/>
                <w:sz w:val="18"/>
                <w:szCs w:val="18"/>
              </w:rPr>
              <w:t>—</w:t>
            </w:r>
          </w:p>
        </w:tc>
        <w:tc>
          <w:tcPr>
            <w:tcW w:w="607" w:type="pct"/>
            <w:vAlign w:val="center"/>
          </w:tcPr>
          <w:p>
            <w:pPr>
              <w:spacing w:line="260" w:lineRule="exact"/>
              <w:jc w:val="left"/>
              <w:rPr>
                <w:sz w:val="18"/>
                <w:szCs w:val="18"/>
              </w:rPr>
            </w:pPr>
            <w:r>
              <w:rPr>
                <w:sz w:val="18"/>
                <w:szCs w:val="18"/>
              </w:rPr>
              <w:t>—</w:t>
            </w:r>
          </w:p>
        </w:tc>
        <w:tc>
          <w:tcPr>
            <w:tcW w:w="702" w:type="pct"/>
            <w:vAlign w:val="center"/>
          </w:tcPr>
          <w:p>
            <w:pPr>
              <w:spacing w:line="260" w:lineRule="exact"/>
              <w:jc w:val="left"/>
              <w:rPr>
                <w:sz w:val="18"/>
                <w:szCs w:val="18"/>
              </w:rPr>
            </w:pPr>
            <w:bookmarkStart w:id="11" w:name="OLE_LINK452"/>
            <w:r>
              <w:rPr>
                <w:rFonts w:hint="eastAsia"/>
                <w:sz w:val="18"/>
                <w:szCs w:val="18"/>
              </w:rPr>
              <w:t>冷原子吸收光谱法</w:t>
            </w:r>
            <w:bookmarkEnd w:id="11"/>
          </w:p>
        </w:tc>
      </w:tr>
    </w:tbl>
    <w:p>
      <w:pPr>
        <w:spacing w:before="120" w:beforeLines="50"/>
        <w:jc w:val="center"/>
        <w:rPr>
          <w:rFonts w:eastAsia="黑体"/>
          <w:szCs w:val="21"/>
        </w:rPr>
        <w:sectPr>
          <w:pgSz w:w="16838" w:h="11906" w:orient="landscape"/>
          <w:pgMar w:top="1797" w:right="1440" w:bottom="1797" w:left="1440" w:header="851" w:footer="992" w:gutter="0"/>
          <w:cols w:space="425" w:num="1"/>
          <w:docGrid w:linePitch="387" w:charSpace="0"/>
        </w:sectPr>
      </w:pPr>
    </w:p>
    <w:p>
      <w:pPr>
        <w:numPr>
          <w:ilvl w:val="255"/>
          <w:numId w:val="0"/>
        </w:numPr>
        <w:tabs>
          <w:tab w:val="left" w:pos="426"/>
        </w:tabs>
        <w:spacing w:before="193" w:after="193" w:line="360" w:lineRule="auto"/>
        <w:rPr>
          <w:rFonts w:ascii="黑体" w:hAnsi="黑体" w:eastAsia="黑体" w:cs="Arial"/>
          <w:szCs w:val="21"/>
        </w:rPr>
      </w:pPr>
      <w:r>
        <w:rPr>
          <w:rFonts w:hint="eastAsia" w:ascii="黑体" w:hAnsi="黑体" w:eastAsia="黑体" w:cs="Arial"/>
          <w:szCs w:val="21"/>
        </w:rPr>
        <w:t>四、标准的修订原则</w:t>
      </w:r>
    </w:p>
    <w:p>
      <w:pPr>
        <w:spacing w:line="360" w:lineRule="auto"/>
        <w:rPr>
          <w:rFonts w:ascii="黑体" w:hAnsi="黑体" w:eastAsia="黑体"/>
          <w:szCs w:val="21"/>
        </w:rPr>
      </w:pPr>
      <w:r>
        <w:rPr>
          <w:rFonts w:hint="eastAsia" w:ascii="黑体" w:hAnsi="黑体" w:eastAsia="黑体"/>
          <w:szCs w:val="21"/>
        </w:rPr>
        <w:t>（一）以科学为依据</w:t>
      </w:r>
    </w:p>
    <w:p>
      <w:pPr>
        <w:widowControl/>
        <w:spacing w:line="360" w:lineRule="auto"/>
        <w:ind w:firstLine="420" w:firstLineChars="200"/>
        <w:rPr>
          <w:rFonts w:ascii="宋体" w:hAnsi="宋体"/>
          <w:szCs w:val="21"/>
        </w:rPr>
      </w:pPr>
      <w:r>
        <w:rPr>
          <w:rFonts w:hint="eastAsia" w:ascii="宋体" w:hAnsi="宋体"/>
          <w:szCs w:val="21"/>
        </w:rPr>
        <w:t>以科学技术和实验数据为依据，结合产品实际生产情况，经过科学研究而修订。</w:t>
      </w:r>
    </w:p>
    <w:p>
      <w:pPr>
        <w:spacing w:line="360" w:lineRule="auto"/>
        <w:rPr>
          <w:rFonts w:ascii="黑体" w:hAnsi="黑体" w:eastAsia="黑体"/>
          <w:szCs w:val="21"/>
        </w:rPr>
      </w:pPr>
      <w:r>
        <w:rPr>
          <w:rFonts w:hint="eastAsia" w:ascii="黑体" w:hAnsi="黑体" w:eastAsia="黑体"/>
          <w:szCs w:val="21"/>
        </w:rPr>
        <w:t>（二）以保证食品安全、保护人民健康为原则</w:t>
      </w:r>
    </w:p>
    <w:p>
      <w:pPr>
        <w:widowControl/>
        <w:spacing w:line="360" w:lineRule="auto"/>
        <w:ind w:firstLine="420" w:firstLineChars="200"/>
        <w:rPr>
          <w:szCs w:val="21"/>
        </w:rPr>
      </w:pPr>
      <w:r>
        <w:rPr>
          <w:rFonts w:hint="eastAsia"/>
          <w:szCs w:val="21"/>
        </w:rPr>
        <w:t>标准的修订以保证食品安全、保护人民健康为基本原则。修订产品标准可进一步规范产品质量，引导行业健康发展，对项目设置和指标进行认真研究，最大限度地保证产品的安全和质量水平。</w:t>
      </w:r>
    </w:p>
    <w:p>
      <w:pPr>
        <w:spacing w:line="360" w:lineRule="auto"/>
        <w:rPr>
          <w:rFonts w:ascii="黑体" w:hAnsi="黑体" w:eastAsia="黑体"/>
          <w:szCs w:val="21"/>
        </w:rPr>
      </w:pPr>
      <w:r>
        <w:rPr>
          <w:rFonts w:hint="eastAsia" w:ascii="黑体" w:hAnsi="黑体" w:eastAsia="黑体"/>
          <w:szCs w:val="21"/>
        </w:rPr>
        <w:t>（三）与国际标准接轨</w:t>
      </w:r>
    </w:p>
    <w:p>
      <w:pPr>
        <w:widowControl/>
        <w:spacing w:line="360" w:lineRule="auto"/>
        <w:ind w:firstLine="420" w:firstLineChars="200"/>
        <w:rPr>
          <w:rFonts w:ascii="宋体" w:hAnsi="宋体"/>
          <w:szCs w:val="21"/>
        </w:rPr>
      </w:pPr>
      <w:r>
        <w:rPr>
          <w:rFonts w:hint="eastAsia"/>
          <w:szCs w:val="21"/>
        </w:rPr>
        <w:t>本标准是对</w:t>
      </w:r>
      <w:bookmarkStart w:id="12" w:name="_Hlk117621821"/>
      <w:r>
        <w:rPr>
          <w:rFonts w:hint="eastAsia"/>
          <w:szCs w:val="21"/>
        </w:rPr>
        <w:t>《食品安全国家标准 食品添加剂 乳酸》（</w:t>
      </w:r>
      <w:r>
        <w:rPr>
          <w:szCs w:val="21"/>
        </w:rPr>
        <w:t xml:space="preserve">GB </w:t>
      </w:r>
      <w:r>
        <w:rPr>
          <w:rFonts w:hint="eastAsia"/>
          <w:szCs w:val="21"/>
        </w:rPr>
        <w:t>1886.173</w:t>
      </w:r>
      <w:r>
        <w:rPr>
          <w:szCs w:val="21"/>
        </w:rPr>
        <w:t>-20</w:t>
      </w:r>
      <w:r>
        <w:rPr>
          <w:rFonts w:hint="eastAsia"/>
          <w:szCs w:val="21"/>
        </w:rPr>
        <w:t>16）</w:t>
      </w:r>
      <w:bookmarkEnd w:id="12"/>
      <w:r>
        <w:rPr>
          <w:rFonts w:hint="eastAsia"/>
          <w:szCs w:val="21"/>
        </w:rPr>
        <w:t>的修订，参考了</w:t>
      </w:r>
      <w:r>
        <w:rPr>
          <w:rFonts w:hint="eastAsia"/>
        </w:rPr>
        <w:t xml:space="preserve">联合国粮农组织/世界卫生组织联合食品添加剂专家委员会（JECFA 2006）、美国食品化学品法典（FCC </w:t>
      </w:r>
      <w:r>
        <w:t>12</w:t>
      </w:r>
      <w:r>
        <w:rPr>
          <w:rFonts w:hint="eastAsia"/>
        </w:rPr>
        <w:t>）、欧盟委员会法规（EU）No.231/2012（E</w:t>
      </w:r>
      <w:r>
        <w:t xml:space="preserve"> 270</w:t>
      </w:r>
      <w:r>
        <w:rPr>
          <w:rFonts w:hint="eastAsia"/>
        </w:rPr>
        <w:t>）、</w:t>
      </w:r>
      <w:r>
        <w:rPr>
          <w:rFonts w:hint="eastAsia"/>
          <w:szCs w:val="21"/>
        </w:rPr>
        <w:t>日本食品添加物公定书（J</w:t>
      </w:r>
      <w:r>
        <w:rPr>
          <w:szCs w:val="21"/>
        </w:rPr>
        <w:t>SFA 9</w:t>
      </w:r>
      <w:r>
        <w:rPr>
          <w:rFonts w:hint="eastAsia"/>
          <w:szCs w:val="21"/>
        </w:rPr>
        <w:t>）</w:t>
      </w:r>
      <w:r>
        <w:rPr>
          <w:rFonts w:hint="eastAsia"/>
        </w:rPr>
        <w:t>、韩国食品添加剂法典（2021）</w:t>
      </w:r>
      <w:r>
        <w:rPr>
          <w:rFonts w:hint="eastAsia"/>
          <w:szCs w:val="21"/>
        </w:rPr>
        <w:t>等标准，力求使本标准更加科学合理，以适应产品国内外贸易的需求，优化指标的设置，确定配套的试验方法，为产品检测提供可行手段。</w:t>
      </w:r>
    </w:p>
    <w:p>
      <w:pPr>
        <w:numPr>
          <w:ilvl w:val="255"/>
          <w:numId w:val="0"/>
        </w:numPr>
        <w:tabs>
          <w:tab w:val="left" w:pos="426"/>
        </w:tabs>
        <w:spacing w:before="193" w:after="193" w:line="360" w:lineRule="auto"/>
        <w:rPr>
          <w:rFonts w:ascii="黑体" w:hAnsi="黑体" w:eastAsia="黑体"/>
          <w:szCs w:val="21"/>
        </w:rPr>
      </w:pPr>
      <w:r>
        <w:rPr>
          <w:rFonts w:hint="eastAsia" w:ascii="黑体" w:hAnsi="黑体" w:eastAsia="黑体"/>
          <w:szCs w:val="21"/>
        </w:rPr>
        <w:t>五、确定各项技术内容的依据</w:t>
      </w:r>
    </w:p>
    <w:p>
      <w:pPr>
        <w:spacing w:line="360" w:lineRule="auto"/>
        <w:rPr>
          <w:rFonts w:ascii="黑体" w:hAnsi="黑体" w:eastAsia="黑体"/>
          <w:szCs w:val="21"/>
        </w:rPr>
      </w:pPr>
      <w:r>
        <w:rPr>
          <w:rFonts w:hint="eastAsia" w:ascii="黑体" w:hAnsi="黑体" w:eastAsia="黑体"/>
          <w:szCs w:val="21"/>
        </w:rPr>
        <w:t>（一）产品简况</w:t>
      </w:r>
    </w:p>
    <w:p>
      <w:pPr>
        <w:pStyle w:val="4"/>
        <w:spacing w:line="360" w:lineRule="auto"/>
        <w:ind w:firstLine="420" w:firstLineChars="200"/>
        <w:rPr>
          <w:sz w:val="21"/>
          <w:szCs w:val="21"/>
        </w:rPr>
      </w:pPr>
      <w:r>
        <w:rPr>
          <w:rFonts w:hint="eastAsia"/>
          <w:sz w:val="21"/>
          <w:szCs w:val="21"/>
        </w:rPr>
        <w:t>乳酸是一种羧酸，化学式是C</w:t>
      </w:r>
      <w:r>
        <w:rPr>
          <w:rFonts w:hint="eastAsia"/>
          <w:sz w:val="21"/>
          <w:szCs w:val="21"/>
          <w:vertAlign w:val="subscript"/>
        </w:rPr>
        <w:t>3</w:t>
      </w:r>
      <w:r>
        <w:rPr>
          <w:rFonts w:hint="eastAsia"/>
          <w:sz w:val="21"/>
          <w:szCs w:val="21"/>
        </w:rPr>
        <w:t>H</w:t>
      </w:r>
      <w:r>
        <w:rPr>
          <w:rFonts w:hint="eastAsia"/>
          <w:sz w:val="21"/>
          <w:szCs w:val="21"/>
          <w:vertAlign w:val="subscript"/>
        </w:rPr>
        <w:t>6</w:t>
      </w:r>
      <w:r>
        <w:rPr>
          <w:rFonts w:hint="eastAsia"/>
          <w:sz w:val="21"/>
          <w:szCs w:val="21"/>
        </w:rPr>
        <w:t>O</w:t>
      </w:r>
      <w:r>
        <w:rPr>
          <w:rFonts w:hint="eastAsia"/>
          <w:sz w:val="21"/>
          <w:szCs w:val="21"/>
          <w:vertAlign w:val="subscript"/>
        </w:rPr>
        <w:t>3</w:t>
      </w:r>
      <w:r>
        <w:rPr>
          <w:rFonts w:hint="eastAsia"/>
          <w:sz w:val="21"/>
          <w:szCs w:val="21"/>
        </w:rPr>
        <w:t>，含有羟基，属于α-羟酸（AHA），乳酸分子内含有一个不对称的碳原子，因此按其旋光性可分为 D-乳酸和L-乳酸。乳酸是世界三大有机酸之一，广泛应用于食品、医药和化妆品等领域。乳酸制备方法中，与化学合成法相比，微生物发酵法生产得到的乳酸因纯度更高而备受青睐，微生物发酵法是在以葡萄糖、蔗糖、淀粉等糖类作为发酵碳源的培养基中接入微生物，如乳酸菌等发酵生产乳酸的方式进行生产。乳酸作为</w:t>
      </w:r>
      <w:r>
        <w:rPr>
          <w:sz w:val="21"/>
          <w:szCs w:val="21"/>
        </w:rPr>
        <w:t>食品添加剂</w:t>
      </w:r>
      <w:r>
        <w:rPr>
          <w:rFonts w:hint="eastAsia"/>
          <w:sz w:val="21"/>
          <w:szCs w:val="21"/>
        </w:rPr>
        <w:t>，</w:t>
      </w:r>
      <w:r>
        <w:rPr>
          <w:sz w:val="21"/>
          <w:szCs w:val="21"/>
        </w:rPr>
        <w:t>在</w:t>
      </w:r>
      <w:r>
        <w:rPr>
          <w:rFonts w:hint="eastAsia"/>
          <w:sz w:val="21"/>
          <w:szCs w:val="21"/>
        </w:rPr>
        <w:t>许多</w:t>
      </w:r>
      <w:r>
        <w:rPr>
          <w:sz w:val="21"/>
          <w:szCs w:val="21"/>
        </w:rPr>
        <w:t>食品中都起到</w:t>
      </w:r>
      <w:r>
        <w:rPr>
          <w:rFonts w:hint="eastAsia"/>
          <w:sz w:val="21"/>
          <w:szCs w:val="21"/>
        </w:rPr>
        <w:t>酸度调节剂</w:t>
      </w:r>
      <w:r>
        <w:rPr>
          <w:sz w:val="21"/>
          <w:szCs w:val="21"/>
        </w:rPr>
        <w:t>作用</w:t>
      </w:r>
      <w:r>
        <w:rPr>
          <w:rFonts w:hint="eastAsia"/>
          <w:sz w:val="21"/>
          <w:szCs w:val="21"/>
        </w:rPr>
        <w:t>。</w:t>
      </w:r>
    </w:p>
    <w:p>
      <w:pPr>
        <w:spacing w:line="360" w:lineRule="auto"/>
        <w:rPr>
          <w:rFonts w:ascii="黑体" w:hAnsi="黑体" w:eastAsia="黑体"/>
          <w:szCs w:val="21"/>
        </w:rPr>
      </w:pPr>
      <w:r>
        <w:rPr>
          <w:rFonts w:hint="eastAsia" w:ascii="黑体" w:hAnsi="黑体" w:eastAsia="黑体"/>
          <w:szCs w:val="21"/>
        </w:rPr>
        <w:t>（二）本标准的主要技术内容（包括技术要求和试验方法）的说明</w:t>
      </w:r>
    </w:p>
    <w:p>
      <w:pPr>
        <w:spacing w:line="360" w:lineRule="auto"/>
        <w:ind w:firstLine="420" w:firstLineChars="200"/>
        <w:rPr>
          <w:szCs w:val="21"/>
        </w:rPr>
      </w:pPr>
      <w:r>
        <w:rPr>
          <w:rFonts w:hint="eastAsia"/>
          <w:szCs w:val="21"/>
        </w:rPr>
        <w:t>本标准与《食品安全国家标准 食品添加剂 乳酸》（GB 1886.173-2016）相比，</w:t>
      </w:r>
      <w:r>
        <w:rPr>
          <w:szCs w:val="21"/>
        </w:rPr>
        <w:t>修改了</w:t>
      </w:r>
      <w:r>
        <w:rPr>
          <w:rFonts w:hint="eastAsia"/>
          <w:szCs w:val="21"/>
        </w:rPr>
        <w:t>L-乳酸占总乳酸含量、氰化物的指标要求，以及鉴别实验、L-乳酸占总乳酸含量、氰化物、易碳化物的检验方法。上述修改主要参考了</w:t>
      </w:r>
      <w:r>
        <w:rPr>
          <w:rFonts w:hint="eastAsia"/>
        </w:rPr>
        <w:t>联合国粮农组织/世界卫生组织联合食品添加剂专家委员会（JECFA 2006）</w:t>
      </w:r>
      <w:r>
        <w:rPr>
          <w:rFonts w:hint="eastAsia" w:hAnsi="宋体"/>
          <w:szCs w:val="21"/>
        </w:rPr>
        <w:t>，同时结合我国产品的实际质量状况。</w:t>
      </w:r>
      <w:r>
        <w:rPr>
          <w:rFonts w:hint="eastAsia"/>
          <w:szCs w:val="21"/>
        </w:rPr>
        <w:t>乳酸的国内外质量标准技术指标和试验方法对比见表</w:t>
      </w:r>
      <w:r>
        <w:rPr>
          <w:szCs w:val="21"/>
        </w:rPr>
        <w:t>1</w:t>
      </w:r>
      <w:r>
        <w:rPr>
          <w:rFonts w:hint="eastAsia"/>
          <w:szCs w:val="21"/>
        </w:rPr>
        <w:t>和表</w:t>
      </w:r>
      <w:r>
        <w:rPr>
          <w:szCs w:val="21"/>
        </w:rPr>
        <w:t>2</w:t>
      </w:r>
      <w:r>
        <w:rPr>
          <w:rFonts w:hint="eastAsia"/>
          <w:szCs w:val="21"/>
        </w:rPr>
        <w:t>，本标准的主要技术内容说明如下：</w:t>
      </w:r>
    </w:p>
    <w:p>
      <w:pPr>
        <w:numPr>
          <w:ilvl w:val="0"/>
          <w:numId w:val="7"/>
        </w:numPr>
        <w:spacing w:line="360" w:lineRule="auto"/>
        <w:outlineLvl w:val="0"/>
        <w:rPr>
          <w:rFonts w:hAnsi="宋体"/>
          <w:b/>
          <w:szCs w:val="21"/>
        </w:rPr>
      </w:pPr>
      <w:r>
        <w:rPr>
          <w:rFonts w:hint="eastAsia" w:hAnsi="宋体"/>
          <w:b/>
          <w:szCs w:val="21"/>
        </w:rPr>
        <w:t>范围</w:t>
      </w:r>
    </w:p>
    <w:p>
      <w:pPr>
        <w:pStyle w:val="37"/>
        <w:spacing w:line="360" w:lineRule="auto"/>
        <w:ind w:firstLine="420"/>
        <w:rPr>
          <w:rFonts w:ascii="Times New Roman"/>
          <w:szCs w:val="21"/>
        </w:rPr>
      </w:pPr>
      <w:r>
        <w:rPr>
          <w:rFonts w:hint="eastAsia" w:ascii="Times New Roman"/>
          <w:szCs w:val="21"/>
        </w:rPr>
        <w:t>本标准根据乳酸产品的实际生产情况，沿用GB 1886.173-2016的适用范围，对其生产原料和基本工艺进行了规定</w:t>
      </w:r>
      <w:r>
        <w:rPr>
          <w:rFonts w:ascii="Times New Roman"/>
          <w:szCs w:val="21"/>
        </w:rPr>
        <w:t>。</w:t>
      </w:r>
    </w:p>
    <w:p>
      <w:pPr>
        <w:numPr>
          <w:ilvl w:val="0"/>
          <w:numId w:val="7"/>
        </w:numPr>
        <w:spacing w:line="360" w:lineRule="auto"/>
        <w:outlineLvl w:val="0"/>
        <w:rPr>
          <w:rFonts w:hAnsi="宋体"/>
          <w:b/>
          <w:szCs w:val="21"/>
        </w:rPr>
      </w:pPr>
      <w:r>
        <w:rPr>
          <w:rFonts w:hint="eastAsia" w:hAnsi="宋体"/>
          <w:b/>
          <w:szCs w:val="21"/>
        </w:rPr>
        <w:t xml:space="preserve">分子式和相对分子质量 </w:t>
      </w:r>
    </w:p>
    <w:p>
      <w:pPr>
        <w:pStyle w:val="37"/>
        <w:spacing w:line="360" w:lineRule="auto"/>
        <w:ind w:firstLine="420"/>
        <w:rPr>
          <w:rFonts w:hAnsi="宋体"/>
          <w:b/>
          <w:szCs w:val="21"/>
        </w:rPr>
      </w:pPr>
      <w:r>
        <w:rPr>
          <w:rFonts w:hint="eastAsia" w:ascii="Times New Roman"/>
          <w:szCs w:val="21"/>
        </w:rPr>
        <w:t>本标准沿用GB 1886.173-2016的</w:t>
      </w:r>
      <w:r>
        <w:rPr>
          <w:rFonts w:hint="eastAsia" w:ascii="Times New Roman"/>
          <w:kern w:val="2"/>
          <w:szCs w:val="21"/>
        </w:rPr>
        <w:t>分子式、相对分子质量。</w:t>
      </w:r>
      <w:r>
        <w:rPr>
          <w:rFonts w:hint="eastAsia" w:ascii="Times New Roman"/>
          <w:szCs w:val="21"/>
        </w:rPr>
        <w:t>相对分子质量按</w:t>
      </w:r>
      <w:r>
        <w:rPr>
          <w:rFonts w:ascii="Times New Roman"/>
          <w:szCs w:val="21"/>
        </w:rPr>
        <w:t>202</w:t>
      </w:r>
      <w:r>
        <w:rPr>
          <w:rFonts w:hint="eastAsia" w:ascii="Times New Roman"/>
          <w:szCs w:val="21"/>
          <w:lang w:val="en-US" w:eastAsia="zh-CN"/>
        </w:rPr>
        <w:t>2</w:t>
      </w:r>
      <w:bookmarkStart w:id="15" w:name="_GoBack"/>
      <w:bookmarkEnd w:id="15"/>
      <w:r>
        <w:rPr>
          <w:rFonts w:ascii="Times New Roman"/>
          <w:szCs w:val="21"/>
        </w:rPr>
        <w:t>年国际相对原子质量</w:t>
      </w:r>
      <w:r>
        <w:rPr>
          <w:rFonts w:hint="eastAsia" w:ascii="Times New Roman"/>
          <w:szCs w:val="21"/>
        </w:rPr>
        <w:t>进行</w:t>
      </w:r>
      <w:r>
        <w:rPr>
          <w:rFonts w:ascii="Times New Roman"/>
          <w:szCs w:val="21"/>
        </w:rPr>
        <w:t>计算</w:t>
      </w:r>
      <w:r>
        <w:rPr>
          <w:rFonts w:hint="eastAsia" w:ascii="Times New Roman"/>
          <w:kern w:val="2"/>
          <w:szCs w:val="21"/>
        </w:rPr>
        <w:t>。</w:t>
      </w:r>
    </w:p>
    <w:p>
      <w:pPr>
        <w:numPr>
          <w:ilvl w:val="0"/>
          <w:numId w:val="7"/>
        </w:numPr>
        <w:spacing w:line="360" w:lineRule="auto"/>
        <w:outlineLvl w:val="0"/>
        <w:rPr>
          <w:rFonts w:hAnsi="宋体"/>
          <w:b/>
          <w:szCs w:val="21"/>
        </w:rPr>
      </w:pPr>
      <w:r>
        <w:rPr>
          <w:rFonts w:hint="eastAsia" w:hAnsi="宋体"/>
          <w:b/>
          <w:szCs w:val="21"/>
        </w:rPr>
        <w:t>感官要求</w:t>
      </w:r>
    </w:p>
    <w:p>
      <w:pPr>
        <w:pStyle w:val="37"/>
        <w:spacing w:line="360" w:lineRule="auto"/>
        <w:ind w:firstLine="420"/>
        <w:rPr>
          <w:rFonts w:ascii="Times New Roman"/>
          <w:szCs w:val="21"/>
        </w:rPr>
      </w:pPr>
      <w:bookmarkStart w:id="13" w:name="_Hlk117626790"/>
      <w:r>
        <w:rPr>
          <w:rFonts w:hint="eastAsia" w:ascii="Times New Roman"/>
          <w:szCs w:val="21"/>
        </w:rPr>
        <w:t>本标准沿用了GB 1886.173-2016中对乳酸的感官要求，规定为无色至淡黄色透明液体或白色至淡黄色结晶性颗粒</w:t>
      </w:r>
      <w:bookmarkEnd w:id="13"/>
      <w:r>
        <w:rPr>
          <w:rFonts w:hint="eastAsia" w:ascii="Times New Roman"/>
          <w:szCs w:val="21"/>
        </w:rPr>
        <w:t>，产品无异味，或略带特征性气味。</w:t>
      </w:r>
    </w:p>
    <w:p>
      <w:pPr>
        <w:numPr>
          <w:ilvl w:val="0"/>
          <w:numId w:val="7"/>
        </w:numPr>
        <w:spacing w:line="360" w:lineRule="auto"/>
        <w:outlineLvl w:val="0"/>
        <w:rPr>
          <w:rFonts w:hAnsi="宋体"/>
          <w:b/>
          <w:szCs w:val="21"/>
        </w:rPr>
      </w:pPr>
      <w:r>
        <w:rPr>
          <w:rFonts w:hint="eastAsia" w:hAnsi="宋体"/>
          <w:b/>
          <w:szCs w:val="21"/>
        </w:rPr>
        <w:t>鉴别实验</w:t>
      </w:r>
    </w:p>
    <w:p>
      <w:pPr>
        <w:spacing w:line="360" w:lineRule="auto"/>
        <w:ind w:firstLine="420" w:firstLineChars="200"/>
        <w:outlineLvl w:val="0"/>
        <w:rPr>
          <w:szCs w:val="21"/>
        </w:rPr>
      </w:pPr>
      <w:r>
        <w:rPr>
          <w:rFonts w:hint="eastAsia"/>
          <w:szCs w:val="21"/>
        </w:rPr>
        <w:t>本标准沿用了GB 1886.173-2016中鉴别实验的检验方法，明确加热条件应为70-80℃。</w:t>
      </w:r>
    </w:p>
    <w:p>
      <w:pPr>
        <w:numPr>
          <w:ilvl w:val="0"/>
          <w:numId w:val="7"/>
        </w:numPr>
        <w:spacing w:line="360" w:lineRule="auto"/>
        <w:outlineLvl w:val="0"/>
        <w:rPr>
          <w:rFonts w:hAnsi="宋体"/>
          <w:b/>
          <w:szCs w:val="21"/>
        </w:rPr>
      </w:pPr>
      <w:r>
        <w:rPr>
          <w:rFonts w:hint="eastAsia" w:hAnsi="宋体"/>
          <w:b/>
          <w:szCs w:val="21"/>
        </w:rPr>
        <w:t>理化指标</w:t>
      </w:r>
    </w:p>
    <w:p>
      <w:pPr>
        <w:numPr>
          <w:ilvl w:val="0"/>
          <w:numId w:val="8"/>
        </w:numPr>
        <w:spacing w:line="360" w:lineRule="auto"/>
        <w:ind w:firstLine="422" w:firstLineChars="200"/>
        <w:outlineLvl w:val="0"/>
        <w:rPr>
          <w:rFonts w:hAnsi="宋体"/>
          <w:b/>
          <w:szCs w:val="21"/>
        </w:rPr>
      </w:pPr>
      <w:r>
        <w:rPr>
          <w:rFonts w:hAnsi="宋体"/>
          <w:b/>
          <w:szCs w:val="21"/>
        </w:rPr>
        <w:t>乳酸含量</w:t>
      </w:r>
    </w:p>
    <w:p>
      <w:pPr>
        <w:spacing w:line="360" w:lineRule="auto"/>
        <w:ind w:firstLine="420" w:firstLineChars="200"/>
        <w:outlineLvl w:val="0"/>
        <w:rPr>
          <w:bCs/>
          <w:szCs w:val="21"/>
        </w:rPr>
      </w:pPr>
      <w:r>
        <w:rPr>
          <w:rFonts w:hint="eastAsia"/>
          <w:bCs/>
          <w:szCs w:val="21"/>
        </w:rPr>
        <w:t>本标准沿用了GB 1886.173-2016中对于乳酸含量的限量要求。</w:t>
      </w:r>
    </w:p>
    <w:p>
      <w:pPr>
        <w:numPr>
          <w:ilvl w:val="0"/>
          <w:numId w:val="8"/>
        </w:numPr>
        <w:spacing w:line="360" w:lineRule="auto"/>
        <w:ind w:firstLine="422" w:firstLineChars="200"/>
        <w:outlineLvl w:val="0"/>
        <w:rPr>
          <w:rFonts w:hAnsi="宋体"/>
          <w:b/>
          <w:szCs w:val="21"/>
        </w:rPr>
      </w:pPr>
      <w:r>
        <w:rPr>
          <w:rFonts w:hint="eastAsia" w:hAnsi="宋体"/>
          <w:b/>
          <w:szCs w:val="21"/>
        </w:rPr>
        <w:t>L-乳酸占总乳酸含量</w:t>
      </w:r>
    </w:p>
    <w:p>
      <w:pPr>
        <w:numPr>
          <w:ilvl w:val="255"/>
          <w:numId w:val="0"/>
        </w:numPr>
        <w:spacing w:line="360" w:lineRule="auto"/>
        <w:ind w:firstLine="420" w:firstLineChars="200"/>
        <w:outlineLvl w:val="0"/>
        <w:rPr>
          <w:rFonts w:hAnsi="宋体"/>
          <w:b/>
          <w:szCs w:val="21"/>
        </w:rPr>
      </w:pPr>
      <w:r>
        <w:rPr>
          <w:rFonts w:hint="eastAsia"/>
          <w:szCs w:val="21"/>
        </w:rPr>
        <w:t>L-乳酸占总乳酸含量是产品的关键性指标之一，反映其质量安全水平。通过对31批次征集样品开展L-乳酸占总乳酸含量测定，96.8%以上产品含量在98%以上，另外只有1批次产品含量为97.88%，检验数据见附表1。根据行业需求及样品普查结果，标准在本次</w:t>
      </w:r>
      <w:r>
        <w:rPr>
          <w:rFonts w:hint="eastAsia"/>
          <w:bCs/>
          <w:szCs w:val="21"/>
        </w:rPr>
        <w:t>修订过程中</w:t>
      </w:r>
      <w:r>
        <w:rPr>
          <w:rFonts w:hint="eastAsia"/>
          <w:szCs w:val="21"/>
        </w:rPr>
        <w:t>提高L-乳酸占总乳酸含量含量的指标要求应≥</w:t>
      </w:r>
      <w:r>
        <w:rPr>
          <w:szCs w:val="21"/>
        </w:rPr>
        <w:t>9</w:t>
      </w:r>
      <w:r>
        <w:rPr>
          <w:rFonts w:hint="eastAsia"/>
          <w:szCs w:val="21"/>
        </w:rPr>
        <w:t>8</w:t>
      </w:r>
      <w:r>
        <w:rPr>
          <w:szCs w:val="21"/>
        </w:rPr>
        <w:t>.0</w:t>
      </w:r>
      <w:r>
        <w:rPr>
          <w:rFonts w:hint="eastAsia"/>
          <w:szCs w:val="21"/>
        </w:rPr>
        <w:t>%，检测方法采用高效液相色谱法（254</w:t>
      </w:r>
      <w:r>
        <w:rPr>
          <w:szCs w:val="21"/>
        </w:rPr>
        <w:t xml:space="preserve"> nm</w:t>
      </w:r>
      <w:r>
        <w:rPr>
          <w:rFonts w:hint="eastAsia"/>
          <w:szCs w:val="21"/>
        </w:rPr>
        <w:t>，0.5g/L硫酸铜流动相），修改检验方法中流动相流速为1.0 mL/min，并删除</w:t>
      </w:r>
      <w:r>
        <w:t>D-乳酸</w:t>
      </w:r>
      <w:r>
        <w:rPr>
          <w:rFonts w:hint="eastAsia"/>
        </w:rPr>
        <w:t>和</w:t>
      </w:r>
      <w:r>
        <w:t>L</w:t>
      </w:r>
      <w:r>
        <w:rPr>
          <w:rFonts w:hint="eastAsia"/>
        </w:rPr>
        <w:t>-</w:t>
      </w:r>
      <w:r>
        <w:t>乳酸</w:t>
      </w:r>
      <w:r>
        <w:rPr>
          <w:rFonts w:hint="eastAsia"/>
        </w:rPr>
        <w:t>的出峰时间</w:t>
      </w:r>
      <w:r>
        <w:rPr>
          <w:rFonts w:hint="eastAsia"/>
          <w:szCs w:val="21"/>
        </w:rPr>
        <w:t>。</w:t>
      </w:r>
    </w:p>
    <w:p>
      <w:pPr>
        <w:numPr>
          <w:ilvl w:val="0"/>
          <w:numId w:val="8"/>
        </w:numPr>
        <w:spacing w:line="360" w:lineRule="auto"/>
        <w:ind w:firstLine="422" w:firstLineChars="200"/>
        <w:outlineLvl w:val="0"/>
        <w:rPr>
          <w:rFonts w:hAnsi="宋体"/>
          <w:b/>
          <w:szCs w:val="21"/>
        </w:rPr>
      </w:pPr>
      <w:bookmarkStart w:id="14" w:name="_Hlk117626609"/>
      <w:r>
        <w:rPr>
          <w:rFonts w:hAnsi="宋体"/>
          <w:b/>
          <w:szCs w:val="21"/>
        </w:rPr>
        <w:t>灼烧残渣</w:t>
      </w:r>
    </w:p>
    <w:p>
      <w:pPr>
        <w:spacing w:line="360" w:lineRule="auto"/>
        <w:ind w:firstLine="420" w:firstLineChars="200"/>
        <w:outlineLvl w:val="0"/>
        <w:rPr>
          <w:bCs/>
          <w:szCs w:val="21"/>
        </w:rPr>
      </w:pPr>
      <w:r>
        <w:rPr>
          <w:rFonts w:hint="eastAsia"/>
          <w:bCs/>
          <w:szCs w:val="21"/>
        </w:rPr>
        <w:t>灼烧残渣反映了产品中混入的无机杂质含量。本标准沿用GB 1886.173-2016的指标要求（≤0.1%）和检测方法。</w:t>
      </w:r>
    </w:p>
    <w:p>
      <w:pPr>
        <w:numPr>
          <w:ilvl w:val="0"/>
          <w:numId w:val="8"/>
        </w:numPr>
        <w:spacing w:line="360" w:lineRule="auto"/>
        <w:ind w:firstLine="422" w:firstLineChars="200"/>
        <w:outlineLvl w:val="0"/>
        <w:rPr>
          <w:rFonts w:hAnsi="宋体"/>
          <w:b/>
          <w:szCs w:val="21"/>
        </w:rPr>
      </w:pPr>
      <w:r>
        <w:rPr>
          <w:rFonts w:hAnsi="宋体"/>
          <w:b/>
          <w:szCs w:val="21"/>
        </w:rPr>
        <w:t>氯化物（以Cl计）</w:t>
      </w:r>
    </w:p>
    <w:p>
      <w:pPr>
        <w:spacing w:line="360" w:lineRule="auto"/>
        <w:ind w:firstLine="420" w:firstLineChars="200"/>
        <w:outlineLvl w:val="0"/>
        <w:rPr>
          <w:bCs/>
          <w:szCs w:val="21"/>
        </w:rPr>
      </w:pPr>
      <w:r>
        <w:rPr>
          <w:rFonts w:hint="eastAsia"/>
          <w:bCs/>
          <w:szCs w:val="21"/>
        </w:rPr>
        <w:t>氯化物反映了产品中的杂质成分，应进行严格控制。本标准沿用GB 1886.173-2016的指标要求（≤0.002 %）和检测方法。</w:t>
      </w:r>
    </w:p>
    <w:p>
      <w:pPr>
        <w:numPr>
          <w:ilvl w:val="0"/>
          <w:numId w:val="8"/>
        </w:numPr>
        <w:spacing w:line="360" w:lineRule="auto"/>
        <w:ind w:firstLine="422" w:firstLineChars="200"/>
        <w:outlineLvl w:val="0"/>
        <w:rPr>
          <w:rFonts w:hAnsi="宋体"/>
          <w:b/>
          <w:szCs w:val="21"/>
        </w:rPr>
      </w:pPr>
      <w:r>
        <w:rPr>
          <w:rFonts w:hAnsi="宋体"/>
          <w:b/>
          <w:szCs w:val="21"/>
        </w:rPr>
        <w:t>硫酸盐（以SO4计）</w:t>
      </w:r>
    </w:p>
    <w:p>
      <w:pPr>
        <w:spacing w:line="360" w:lineRule="auto"/>
        <w:ind w:firstLine="420" w:firstLineChars="200"/>
        <w:outlineLvl w:val="0"/>
        <w:rPr>
          <w:bCs/>
          <w:szCs w:val="21"/>
        </w:rPr>
      </w:pPr>
      <w:r>
        <w:rPr>
          <w:rFonts w:hint="eastAsia"/>
          <w:bCs/>
          <w:szCs w:val="21"/>
        </w:rPr>
        <w:t>硫酸盐反映了产品中的杂质成分，应进行严格控制。本标准沿用GB 1886.173-2016的指标要求（≤0.005 %）和检测方法。</w:t>
      </w:r>
    </w:p>
    <w:p>
      <w:pPr>
        <w:numPr>
          <w:ilvl w:val="0"/>
          <w:numId w:val="8"/>
        </w:numPr>
        <w:spacing w:line="360" w:lineRule="auto"/>
        <w:ind w:firstLine="422" w:firstLineChars="200"/>
        <w:outlineLvl w:val="0"/>
        <w:rPr>
          <w:rFonts w:hAnsi="宋体"/>
          <w:b/>
          <w:szCs w:val="21"/>
        </w:rPr>
      </w:pPr>
      <w:r>
        <w:rPr>
          <w:rFonts w:hAnsi="宋体"/>
          <w:b/>
          <w:szCs w:val="21"/>
        </w:rPr>
        <w:t>铁盐（以Fe计）</w:t>
      </w:r>
    </w:p>
    <w:p>
      <w:pPr>
        <w:spacing w:line="360" w:lineRule="auto"/>
        <w:ind w:firstLine="420" w:firstLineChars="200"/>
        <w:outlineLvl w:val="0"/>
        <w:rPr>
          <w:bCs/>
          <w:szCs w:val="21"/>
        </w:rPr>
      </w:pPr>
      <w:r>
        <w:rPr>
          <w:rFonts w:hint="eastAsia"/>
          <w:bCs/>
          <w:szCs w:val="21"/>
        </w:rPr>
        <w:t>铁盐反映了产品中的杂质成分，应进行严格控制。本标准沿用GB 1886.173-2016的指标要求（≤0.001 %）和检测方法。</w:t>
      </w:r>
    </w:p>
    <w:bookmarkEnd w:id="14"/>
    <w:p>
      <w:pPr>
        <w:numPr>
          <w:ilvl w:val="0"/>
          <w:numId w:val="8"/>
        </w:numPr>
        <w:spacing w:line="360" w:lineRule="auto"/>
        <w:ind w:firstLine="422" w:firstLineChars="200"/>
        <w:outlineLvl w:val="0"/>
        <w:rPr>
          <w:rFonts w:hAnsi="宋体"/>
          <w:b/>
          <w:szCs w:val="21"/>
        </w:rPr>
      </w:pPr>
      <w:r>
        <w:rPr>
          <w:rFonts w:hint="eastAsia" w:hAnsi="宋体"/>
          <w:b/>
          <w:szCs w:val="21"/>
        </w:rPr>
        <w:t>氰化物</w:t>
      </w:r>
    </w:p>
    <w:p>
      <w:pPr>
        <w:spacing w:line="360" w:lineRule="auto"/>
        <w:ind w:firstLine="420" w:firstLineChars="200"/>
        <w:outlineLvl w:val="0"/>
        <w:rPr>
          <w:bCs/>
          <w:szCs w:val="21"/>
        </w:rPr>
      </w:pPr>
      <w:r>
        <w:rPr>
          <w:rFonts w:hint="eastAsia"/>
          <w:bCs/>
          <w:szCs w:val="21"/>
        </w:rPr>
        <w:t>乳酸是以淀粉或糖质为原料，采用乳酸杆菌或米根霉菌发酵而制得的食品添加剂，氰化物作为一种有毒物质，在食品中主要以氢氰酸形式存在，根据不同的原料来源可能会有带入风险，通过行业调研，乳酸生产企业常用淀粉类原料作为发酵原料生产乳酸。淀粉质原料包括玉米淀粉、马铃薯淀粉和木薯淀粉等，其中由于木薯淀粉的植物根茎中含有氢氰酸，所以在GB/T 29343《木薯淀粉》和NY/T 875《食用木薯淀粉》对木薯淀粉规定了氢氰酸的限量要求；而玉米淀粉和马铃薯淀粉等非木薯来源的淀粉相关标准均未规定氢氰酸指标，以及葡萄糖、白砂糖等糖质原料也未规定氰化物指标，在实际生产乳酸过程中不会引入氰化物，</w:t>
      </w:r>
      <w:r>
        <w:rPr>
          <w:rFonts w:hint="eastAsia"/>
          <w:szCs w:val="21"/>
        </w:rPr>
        <w:t>检验数据见附表1</w:t>
      </w:r>
      <w:r>
        <w:rPr>
          <w:rFonts w:hint="eastAsia"/>
          <w:bCs/>
          <w:szCs w:val="21"/>
        </w:rPr>
        <w:t>。因此本标准修改氰化物指标技术指标，明确只有以木薯淀粉为原料生产的乳酸需要检验氰化物含量，限量指标要求沿用</w:t>
      </w:r>
      <w:r>
        <w:rPr>
          <w:rFonts w:hint="eastAsia"/>
          <w:szCs w:val="21"/>
        </w:rPr>
        <w:t>GB 1886.173-2016</w:t>
      </w:r>
      <w:r>
        <w:rPr>
          <w:rFonts w:hint="eastAsia"/>
          <w:bCs/>
          <w:szCs w:val="21"/>
        </w:rPr>
        <w:t>（≤1 mg/kg），检测方法修改为按照GB 5009.36-2023第一法分光光度法适用于木薯粉中氰化物的检验方法进行测定。</w:t>
      </w:r>
    </w:p>
    <w:p>
      <w:pPr>
        <w:numPr>
          <w:ilvl w:val="0"/>
          <w:numId w:val="8"/>
        </w:numPr>
        <w:spacing w:line="360" w:lineRule="auto"/>
        <w:ind w:firstLine="422" w:firstLineChars="200"/>
        <w:outlineLvl w:val="0"/>
        <w:rPr>
          <w:rFonts w:hAnsi="宋体"/>
          <w:b/>
          <w:szCs w:val="21"/>
        </w:rPr>
      </w:pPr>
      <w:r>
        <w:rPr>
          <w:rFonts w:hAnsi="宋体"/>
          <w:b/>
          <w:szCs w:val="21"/>
        </w:rPr>
        <w:t>柠檬酸、草酸、磷酸、酒石酸、还原糖</w:t>
      </w:r>
    </w:p>
    <w:p>
      <w:pPr>
        <w:spacing w:line="360" w:lineRule="auto"/>
        <w:ind w:firstLine="420" w:firstLineChars="200"/>
        <w:outlineLvl w:val="0"/>
        <w:rPr>
          <w:bCs/>
          <w:szCs w:val="21"/>
        </w:rPr>
      </w:pPr>
      <w:r>
        <w:rPr>
          <w:rFonts w:hint="eastAsia"/>
          <w:bCs/>
          <w:szCs w:val="21"/>
        </w:rPr>
        <w:t>本标准沿用GB 1886.173-2016的指标要求（通过试验）和检测方法。</w:t>
      </w:r>
    </w:p>
    <w:p>
      <w:pPr>
        <w:numPr>
          <w:ilvl w:val="0"/>
          <w:numId w:val="8"/>
        </w:numPr>
        <w:spacing w:line="360" w:lineRule="auto"/>
        <w:ind w:firstLine="422" w:firstLineChars="200"/>
        <w:outlineLvl w:val="0"/>
        <w:rPr>
          <w:rFonts w:hAnsi="宋体"/>
          <w:b/>
          <w:szCs w:val="21"/>
        </w:rPr>
      </w:pPr>
      <w:r>
        <w:rPr>
          <w:rFonts w:hAnsi="宋体"/>
          <w:b/>
          <w:szCs w:val="21"/>
        </w:rPr>
        <w:t>易碳化合物</w:t>
      </w:r>
    </w:p>
    <w:p>
      <w:pPr>
        <w:spacing w:line="360" w:lineRule="auto"/>
        <w:ind w:firstLine="420" w:firstLineChars="200"/>
        <w:outlineLvl w:val="0"/>
        <w:rPr>
          <w:bCs/>
          <w:szCs w:val="21"/>
        </w:rPr>
      </w:pPr>
      <w:r>
        <w:rPr>
          <w:rFonts w:hint="eastAsia"/>
          <w:bCs/>
          <w:szCs w:val="21"/>
        </w:rPr>
        <w:t>本标准沿用GB 1886.173-2016的指标要求（通过试验），修改检验方法中对于溶液通过试验的判别依据，由“接界面的颜色不得比淡黄色更深”修改为“</w:t>
      </w:r>
      <w:r>
        <w:rPr>
          <w:rFonts w:hint="eastAsia"/>
        </w:rPr>
        <w:t>接触面无深灰色产生</w:t>
      </w:r>
      <w:r>
        <w:rPr>
          <w:rFonts w:hint="eastAsia"/>
          <w:bCs/>
          <w:szCs w:val="21"/>
        </w:rPr>
        <w:t>”。</w:t>
      </w:r>
    </w:p>
    <w:p>
      <w:pPr>
        <w:numPr>
          <w:ilvl w:val="0"/>
          <w:numId w:val="8"/>
        </w:numPr>
        <w:spacing w:line="360" w:lineRule="auto"/>
        <w:ind w:firstLine="422" w:firstLineChars="200"/>
        <w:outlineLvl w:val="0"/>
        <w:rPr>
          <w:rFonts w:hAnsi="宋体"/>
          <w:b/>
          <w:szCs w:val="21"/>
        </w:rPr>
      </w:pPr>
      <w:r>
        <w:rPr>
          <w:rFonts w:hAnsi="宋体"/>
          <w:b/>
          <w:szCs w:val="21"/>
        </w:rPr>
        <w:t>砷（As）、铅（Pb）</w:t>
      </w:r>
    </w:p>
    <w:p>
      <w:pPr>
        <w:spacing w:line="360" w:lineRule="auto"/>
        <w:ind w:firstLine="420" w:firstLineChars="200"/>
        <w:outlineLvl w:val="0"/>
        <w:rPr>
          <w:rFonts w:hint="eastAsia"/>
          <w:bCs/>
          <w:szCs w:val="21"/>
        </w:rPr>
      </w:pPr>
      <w:r>
        <w:rPr>
          <w:rFonts w:hint="eastAsia"/>
          <w:bCs/>
          <w:szCs w:val="21"/>
        </w:rPr>
        <w:t>砷、铅等重金属会对环境、食品等造成污染，并进而对人体产生危害。本标准沿用GB 1886.173-2016的指标要求，检测方法分别采用GB 5009.76《食品安全国家标准 食品添加剂中砷的测定》、GB 5009.75《食品安全国家标准 食品添加剂中铅的测定》或GB 5009.12《食品安全国家标准 食品中铅的测定》。</w:t>
      </w:r>
    </w:p>
    <w:sectPr>
      <w:pgSz w:w="11906" w:h="16838"/>
      <w:pgMar w:top="1440" w:right="1797" w:bottom="1440" w:left="1797" w:header="851" w:footer="992" w:gutter="0"/>
      <w:cols w:space="425" w:num="1"/>
      <w:docGrid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1E6C1"/>
    <w:multiLevelType w:val="singleLevel"/>
    <w:tmpl w:val="C651E6C1"/>
    <w:lvl w:ilvl="0" w:tentative="0">
      <w:start w:val="1"/>
      <w:numFmt w:val="decimal"/>
      <w:suff w:val="nothing"/>
      <w:lvlText w:val="（%1）"/>
      <w:lvlJc w:val="left"/>
      <w:pPr>
        <w:ind w:left="0" w:firstLine="0"/>
      </w:pPr>
      <w:rPr>
        <w:rFonts w:hint="eastAsia"/>
      </w:rPr>
    </w:lvl>
  </w:abstractNum>
  <w:abstractNum w:abstractNumId="1">
    <w:nsid w:val="005BDE4E"/>
    <w:multiLevelType w:val="singleLevel"/>
    <w:tmpl w:val="005BDE4E"/>
    <w:lvl w:ilvl="0" w:tentative="0">
      <w:start w:val="1"/>
      <w:numFmt w:val="decimal"/>
      <w:suff w:val="space"/>
      <w:lvlText w:val="%1."/>
      <w:lvlJc w:val="left"/>
    </w:lvl>
  </w:abstractNum>
  <w:abstractNum w:abstractNumId="2">
    <w:nsid w:val="4C330EB5"/>
    <w:multiLevelType w:val="singleLevel"/>
    <w:tmpl w:val="4C330EB5"/>
    <w:lvl w:ilvl="0" w:tentative="0">
      <w:start w:val="1"/>
      <w:numFmt w:val="decimal"/>
      <w:suff w:val="space"/>
      <w:lvlText w:val="%1."/>
      <w:lvlJc w:val="left"/>
      <w:pPr>
        <w:ind w:left="0" w:firstLine="0"/>
      </w:pPr>
    </w:lvl>
  </w:abstractNum>
  <w:abstractNum w:abstractNumId="3">
    <w:nsid w:val="524900CE"/>
    <w:multiLevelType w:val="singleLevel"/>
    <w:tmpl w:val="524900CE"/>
    <w:lvl w:ilvl="0" w:tentative="0">
      <w:start w:val="1"/>
      <w:numFmt w:val="decimal"/>
      <w:suff w:val="space"/>
      <w:lvlText w:val="%1."/>
      <w:lvlJc w:val="left"/>
      <w:pPr>
        <w:ind w:left="0" w:firstLine="0"/>
      </w:pPr>
    </w:lvl>
  </w:abstractNum>
  <w:abstractNum w:abstractNumId="4">
    <w:nsid w:val="60F97F1B"/>
    <w:multiLevelType w:val="singleLevel"/>
    <w:tmpl w:val="60F97F1B"/>
    <w:lvl w:ilvl="0" w:tentative="0">
      <w:start w:val="1"/>
      <w:numFmt w:val="decimal"/>
      <w:suff w:val="space"/>
      <w:lvlText w:val="%1."/>
      <w:lvlJc w:val="left"/>
      <w:pPr>
        <w:ind w:left="0" w:firstLine="0"/>
      </w:pPr>
    </w:lvl>
  </w:abstractNum>
  <w:abstractNum w:abstractNumId="5">
    <w:nsid w:val="657D3FBC"/>
    <w:multiLevelType w:val="multilevel"/>
    <w:tmpl w:val="657D3FBC"/>
    <w:lvl w:ilvl="0" w:tentative="0">
      <w:start w:val="1"/>
      <w:numFmt w:val="upperLetter"/>
      <w:pStyle w:val="27"/>
      <w:suff w:val="nothing"/>
      <w:lvlText w:val="附　录　%1"/>
      <w:lvlJc w:val="left"/>
      <w:pPr>
        <w:ind w:left="0" w:firstLine="0"/>
      </w:pPr>
      <w:rPr>
        <w:rFonts w:hint="eastAsia" w:ascii="黑体" w:hAnsi="Times New Roman" w:eastAsia="黑体"/>
        <w:b w:val="0"/>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29"/>
      <w:suff w:val="nothing"/>
      <w:lvlText w:val="%1.%2.%3　"/>
      <w:lvlJc w:val="left"/>
      <w:pPr>
        <w:ind w:left="42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pStyle w:val="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A447CB3"/>
    <w:multiLevelType w:val="singleLevel"/>
    <w:tmpl w:val="6A447CB3"/>
    <w:lvl w:ilvl="0" w:tentative="0">
      <w:start w:val="1"/>
      <w:numFmt w:val="decimal"/>
      <w:suff w:val="space"/>
      <w:lvlText w:val="%1."/>
      <w:lvlJc w:val="left"/>
      <w:pPr>
        <w:ind w:left="0" w:firstLine="0"/>
      </w:pPr>
    </w:lvl>
  </w:abstractNum>
  <w:abstractNum w:abstractNumId="7">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105" w:firstLine="0"/>
      </w:pPr>
      <w:rPr>
        <w:rFonts w:hint="eastAsia" w:ascii="黑体" w:hAnsi="Times New Roman" w:eastAsia="黑体"/>
        <w:b w:val="0"/>
        <w:i w:val="0"/>
        <w:sz w:val="21"/>
      </w:rPr>
    </w:lvl>
    <w:lvl w:ilvl="3" w:tentative="0">
      <w:start w:val="1"/>
      <w:numFmt w:val="decimal"/>
      <w:pStyle w:val="23"/>
      <w:suff w:val="nothing"/>
      <w:lvlText w:val="%1%2.%3.%4　"/>
      <w:lvlJc w:val="left"/>
      <w:pPr>
        <w:ind w:left="1050" w:firstLine="0"/>
      </w:pPr>
      <w:rPr>
        <w:rFonts w:hint="eastAsia" w:ascii="黑体" w:hAnsi="Times New Roman" w:eastAsia="黑体"/>
        <w:b w:val="0"/>
        <w:i w:val="0"/>
        <w:sz w:val="21"/>
      </w:rPr>
    </w:lvl>
    <w:lvl w:ilvl="4" w:tentative="0">
      <w:start w:val="1"/>
      <w:numFmt w:val="decimal"/>
      <w:pStyle w:val="24"/>
      <w:suff w:val="nothing"/>
      <w:lvlText w:val="%1%2.%3.%4.%5　"/>
      <w:lvlJc w:val="left"/>
      <w:pPr>
        <w:ind w:left="0" w:firstLine="0"/>
      </w:pPr>
      <w:rPr>
        <w:rFonts w:hint="eastAsia" w:ascii="黑体" w:hAnsi="Times New Roman" w:eastAsia="黑体"/>
        <w:b w:val="0"/>
        <w:i w:val="0"/>
        <w:sz w:val="21"/>
      </w:rPr>
    </w:lvl>
    <w:lvl w:ilvl="5" w:tentative="0">
      <w:start w:val="1"/>
      <w:numFmt w:val="decimal"/>
      <w:pStyle w:val="25"/>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3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MzNmZDM3MzU4MGFhZTY3ODk3NWQ1NjgxMGRhNTQifQ=="/>
  </w:docVars>
  <w:rsids>
    <w:rsidRoot w:val="00AC5FF8"/>
    <w:rsid w:val="000026C3"/>
    <w:rsid w:val="00002C4A"/>
    <w:rsid w:val="00002E06"/>
    <w:rsid w:val="0000397A"/>
    <w:rsid w:val="00017733"/>
    <w:rsid w:val="00023789"/>
    <w:rsid w:val="00024974"/>
    <w:rsid w:val="00056D38"/>
    <w:rsid w:val="00057B47"/>
    <w:rsid w:val="00067949"/>
    <w:rsid w:val="0007296D"/>
    <w:rsid w:val="00075B7A"/>
    <w:rsid w:val="0009110E"/>
    <w:rsid w:val="000A5FF4"/>
    <w:rsid w:val="000A7F40"/>
    <w:rsid w:val="000B5711"/>
    <w:rsid w:val="000B76B8"/>
    <w:rsid w:val="000C42C9"/>
    <w:rsid w:val="000C4E58"/>
    <w:rsid w:val="000C666A"/>
    <w:rsid w:val="000C68CB"/>
    <w:rsid w:val="000D135E"/>
    <w:rsid w:val="000D1B03"/>
    <w:rsid w:val="000D5C51"/>
    <w:rsid w:val="000D6C42"/>
    <w:rsid w:val="000E4FDD"/>
    <w:rsid w:val="00103764"/>
    <w:rsid w:val="00104088"/>
    <w:rsid w:val="001046B0"/>
    <w:rsid w:val="00111409"/>
    <w:rsid w:val="00113FF8"/>
    <w:rsid w:val="00126595"/>
    <w:rsid w:val="00127A5D"/>
    <w:rsid w:val="00130966"/>
    <w:rsid w:val="001459CE"/>
    <w:rsid w:val="001470DE"/>
    <w:rsid w:val="00151C88"/>
    <w:rsid w:val="00163887"/>
    <w:rsid w:val="00164676"/>
    <w:rsid w:val="001710CC"/>
    <w:rsid w:val="0017170D"/>
    <w:rsid w:val="00182A7B"/>
    <w:rsid w:val="0018466D"/>
    <w:rsid w:val="001B7691"/>
    <w:rsid w:val="001C259C"/>
    <w:rsid w:val="001C7935"/>
    <w:rsid w:val="001C7C96"/>
    <w:rsid w:val="001E46EB"/>
    <w:rsid w:val="001E65AB"/>
    <w:rsid w:val="001F0665"/>
    <w:rsid w:val="0021002E"/>
    <w:rsid w:val="00212089"/>
    <w:rsid w:val="00216EA5"/>
    <w:rsid w:val="00221A29"/>
    <w:rsid w:val="002244F1"/>
    <w:rsid w:val="002260BB"/>
    <w:rsid w:val="002363D1"/>
    <w:rsid w:val="0023650F"/>
    <w:rsid w:val="00236A2B"/>
    <w:rsid w:val="00241480"/>
    <w:rsid w:val="00246005"/>
    <w:rsid w:val="0024676C"/>
    <w:rsid w:val="00250F89"/>
    <w:rsid w:val="00254038"/>
    <w:rsid w:val="00260647"/>
    <w:rsid w:val="002617F8"/>
    <w:rsid w:val="00266E1A"/>
    <w:rsid w:val="00276848"/>
    <w:rsid w:val="00282455"/>
    <w:rsid w:val="0028649C"/>
    <w:rsid w:val="002937CD"/>
    <w:rsid w:val="00294B6D"/>
    <w:rsid w:val="002978BB"/>
    <w:rsid w:val="002A164A"/>
    <w:rsid w:val="002A2A1F"/>
    <w:rsid w:val="002A2C03"/>
    <w:rsid w:val="002A4E73"/>
    <w:rsid w:val="002A61F5"/>
    <w:rsid w:val="002C5E59"/>
    <w:rsid w:val="002D46DA"/>
    <w:rsid w:val="002E0013"/>
    <w:rsid w:val="002E5B84"/>
    <w:rsid w:val="002F14CD"/>
    <w:rsid w:val="003007F9"/>
    <w:rsid w:val="00320B7B"/>
    <w:rsid w:val="00324242"/>
    <w:rsid w:val="00330E31"/>
    <w:rsid w:val="00341DC8"/>
    <w:rsid w:val="00341E8D"/>
    <w:rsid w:val="00353FAF"/>
    <w:rsid w:val="00365118"/>
    <w:rsid w:val="0038141A"/>
    <w:rsid w:val="0038268F"/>
    <w:rsid w:val="003905C0"/>
    <w:rsid w:val="00397D99"/>
    <w:rsid w:val="003B071B"/>
    <w:rsid w:val="003B3F7F"/>
    <w:rsid w:val="003B71AA"/>
    <w:rsid w:val="003D089E"/>
    <w:rsid w:val="003D56D2"/>
    <w:rsid w:val="003E28BC"/>
    <w:rsid w:val="003F45E9"/>
    <w:rsid w:val="003F5526"/>
    <w:rsid w:val="00424BD3"/>
    <w:rsid w:val="00426F7C"/>
    <w:rsid w:val="00440775"/>
    <w:rsid w:val="00441D20"/>
    <w:rsid w:val="00445910"/>
    <w:rsid w:val="004527B3"/>
    <w:rsid w:val="0045393F"/>
    <w:rsid w:val="004579C3"/>
    <w:rsid w:val="00457C1C"/>
    <w:rsid w:val="00463105"/>
    <w:rsid w:val="004769C9"/>
    <w:rsid w:val="00482B99"/>
    <w:rsid w:val="00484CA6"/>
    <w:rsid w:val="00495439"/>
    <w:rsid w:val="004A6514"/>
    <w:rsid w:val="004E5E11"/>
    <w:rsid w:val="004E7256"/>
    <w:rsid w:val="004E7307"/>
    <w:rsid w:val="00501A88"/>
    <w:rsid w:val="00506A43"/>
    <w:rsid w:val="00510988"/>
    <w:rsid w:val="00511DB0"/>
    <w:rsid w:val="00516473"/>
    <w:rsid w:val="005252A9"/>
    <w:rsid w:val="005461F4"/>
    <w:rsid w:val="0055302F"/>
    <w:rsid w:val="0056333D"/>
    <w:rsid w:val="00564D9D"/>
    <w:rsid w:val="005708AA"/>
    <w:rsid w:val="00581AB6"/>
    <w:rsid w:val="00586AED"/>
    <w:rsid w:val="00596C89"/>
    <w:rsid w:val="005A3879"/>
    <w:rsid w:val="005B364E"/>
    <w:rsid w:val="005C1650"/>
    <w:rsid w:val="005D40EC"/>
    <w:rsid w:val="005E57C9"/>
    <w:rsid w:val="005E7F1A"/>
    <w:rsid w:val="005F0A2E"/>
    <w:rsid w:val="00622688"/>
    <w:rsid w:val="0062667D"/>
    <w:rsid w:val="006329D7"/>
    <w:rsid w:val="00636FA3"/>
    <w:rsid w:val="00642D3E"/>
    <w:rsid w:val="006748E9"/>
    <w:rsid w:val="00686FDE"/>
    <w:rsid w:val="006924D5"/>
    <w:rsid w:val="00692537"/>
    <w:rsid w:val="006A3D7A"/>
    <w:rsid w:val="006B270B"/>
    <w:rsid w:val="006B67CC"/>
    <w:rsid w:val="00704C3D"/>
    <w:rsid w:val="00707D79"/>
    <w:rsid w:val="00723C54"/>
    <w:rsid w:val="00726A9A"/>
    <w:rsid w:val="00732696"/>
    <w:rsid w:val="00734346"/>
    <w:rsid w:val="00734539"/>
    <w:rsid w:val="00754081"/>
    <w:rsid w:val="00761BEA"/>
    <w:rsid w:val="00766D00"/>
    <w:rsid w:val="0077072D"/>
    <w:rsid w:val="007830A1"/>
    <w:rsid w:val="007856A8"/>
    <w:rsid w:val="00796BA5"/>
    <w:rsid w:val="007C51CA"/>
    <w:rsid w:val="007D71E3"/>
    <w:rsid w:val="007E397C"/>
    <w:rsid w:val="007E4D95"/>
    <w:rsid w:val="007F161C"/>
    <w:rsid w:val="0080005A"/>
    <w:rsid w:val="008138F4"/>
    <w:rsid w:val="00832D7C"/>
    <w:rsid w:val="008331D8"/>
    <w:rsid w:val="00841CCF"/>
    <w:rsid w:val="0084621B"/>
    <w:rsid w:val="00850B4C"/>
    <w:rsid w:val="00851932"/>
    <w:rsid w:val="00860391"/>
    <w:rsid w:val="008666F2"/>
    <w:rsid w:val="00873BBA"/>
    <w:rsid w:val="008760C8"/>
    <w:rsid w:val="0087748E"/>
    <w:rsid w:val="00877AB9"/>
    <w:rsid w:val="008847A6"/>
    <w:rsid w:val="00894344"/>
    <w:rsid w:val="008A54B6"/>
    <w:rsid w:val="008A5B80"/>
    <w:rsid w:val="008C6358"/>
    <w:rsid w:val="008E423C"/>
    <w:rsid w:val="008F1BC9"/>
    <w:rsid w:val="008F3767"/>
    <w:rsid w:val="00935619"/>
    <w:rsid w:val="00950368"/>
    <w:rsid w:val="00953F05"/>
    <w:rsid w:val="00956CDD"/>
    <w:rsid w:val="00986145"/>
    <w:rsid w:val="00995638"/>
    <w:rsid w:val="009A2760"/>
    <w:rsid w:val="009B0B6A"/>
    <w:rsid w:val="009B2F44"/>
    <w:rsid w:val="009B3016"/>
    <w:rsid w:val="009C0E33"/>
    <w:rsid w:val="009C1A04"/>
    <w:rsid w:val="009C1D5A"/>
    <w:rsid w:val="009D47AE"/>
    <w:rsid w:val="009F131D"/>
    <w:rsid w:val="00A12A16"/>
    <w:rsid w:val="00A24D74"/>
    <w:rsid w:val="00A3031E"/>
    <w:rsid w:val="00A62A91"/>
    <w:rsid w:val="00A63CC6"/>
    <w:rsid w:val="00A719FC"/>
    <w:rsid w:val="00A76BB2"/>
    <w:rsid w:val="00A80929"/>
    <w:rsid w:val="00A81682"/>
    <w:rsid w:val="00AA6F82"/>
    <w:rsid w:val="00AA761F"/>
    <w:rsid w:val="00AB5FDA"/>
    <w:rsid w:val="00AB6CD0"/>
    <w:rsid w:val="00AB7CB2"/>
    <w:rsid w:val="00AC5125"/>
    <w:rsid w:val="00AC5FF8"/>
    <w:rsid w:val="00AE1957"/>
    <w:rsid w:val="00AE5449"/>
    <w:rsid w:val="00AF0A63"/>
    <w:rsid w:val="00AF71A5"/>
    <w:rsid w:val="00B00D63"/>
    <w:rsid w:val="00B2311F"/>
    <w:rsid w:val="00B3586B"/>
    <w:rsid w:val="00B545FA"/>
    <w:rsid w:val="00B56A56"/>
    <w:rsid w:val="00B6662C"/>
    <w:rsid w:val="00B74F5A"/>
    <w:rsid w:val="00B92C23"/>
    <w:rsid w:val="00B97FAD"/>
    <w:rsid w:val="00BA3D3F"/>
    <w:rsid w:val="00BA5FB2"/>
    <w:rsid w:val="00BA732D"/>
    <w:rsid w:val="00BB1C3A"/>
    <w:rsid w:val="00BB575B"/>
    <w:rsid w:val="00BB5B63"/>
    <w:rsid w:val="00BC5416"/>
    <w:rsid w:val="00BC7ADB"/>
    <w:rsid w:val="00BE4BC7"/>
    <w:rsid w:val="00C05F82"/>
    <w:rsid w:val="00C11694"/>
    <w:rsid w:val="00C16D9A"/>
    <w:rsid w:val="00C26C57"/>
    <w:rsid w:val="00C37F89"/>
    <w:rsid w:val="00C47867"/>
    <w:rsid w:val="00C51491"/>
    <w:rsid w:val="00C52C1B"/>
    <w:rsid w:val="00C5595D"/>
    <w:rsid w:val="00C55EEC"/>
    <w:rsid w:val="00C61190"/>
    <w:rsid w:val="00C66298"/>
    <w:rsid w:val="00C87E9B"/>
    <w:rsid w:val="00C9006A"/>
    <w:rsid w:val="00C9233E"/>
    <w:rsid w:val="00C93974"/>
    <w:rsid w:val="00CA251B"/>
    <w:rsid w:val="00CB689E"/>
    <w:rsid w:val="00CB7070"/>
    <w:rsid w:val="00CC5017"/>
    <w:rsid w:val="00CD0504"/>
    <w:rsid w:val="00CE417F"/>
    <w:rsid w:val="00CF0EB2"/>
    <w:rsid w:val="00D017A5"/>
    <w:rsid w:val="00D06D7A"/>
    <w:rsid w:val="00D07931"/>
    <w:rsid w:val="00D10094"/>
    <w:rsid w:val="00D101B3"/>
    <w:rsid w:val="00D27D40"/>
    <w:rsid w:val="00D37199"/>
    <w:rsid w:val="00D463F6"/>
    <w:rsid w:val="00D47833"/>
    <w:rsid w:val="00D51365"/>
    <w:rsid w:val="00D539BD"/>
    <w:rsid w:val="00D55A93"/>
    <w:rsid w:val="00D644B9"/>
    <w:rsid w:val="00D77953"/>
    <w:rsid w:val="00D81AA7"/>
    <w:rsid w:val="00D82561"/>
    <w:rsid w:val="00D955EB"/>
    <w:rsid w:val="00DA4544"/>
    <w:rsid w:val="00DB665F"/>
    <w:rsid w:val="00DC29AC"/>
    <w:rsid w:val="00DD1359"/>
    <w:rsid w:val="00DD1F40"/>
    <w:rsid w:val="00DD3439"/>
    <w:rsid w:val="00DE1160"/>
    <w:rsid w:val="00DE150F"/>
    <w:rsid w:val="00DE36FB"/>
    <w:rsid w:val="00DF5B1D"/>
    <w:rsid w:val="00DF7820"/>
    <w:rsid w:val="00E0263B"/>
    <w:rsid w:val="00E0748D"/>
    <w:rsid w:val="00E1344E"/>
    <w:rsid w:val="00E25890"/>
    <w:rsid w:val="00E42C46"/>
    <w:rsid w:val="00E519D5"/>
    <w:rsid w:val="00E56789"/>
    <w:rsid w:val="00E612E8"/>
    <w:rsid w:val="00E84DF6"/>
    <w:rsid w:val="00E9102A"/>
    <w:rsid w:val="00E97EB6"/>
    <w:rsid w:val="00EB4176"/>
    <w:rsid w:val="00EB67F8"/>
    <w:rsid w:val="00EC13D1"/>
    <w:rsid w:val="00EC532D"/>
    <w:rsid w:val="00EE3CB2"/>
    <w:rsid w:val="00EE753F"/>
    <w:rsid w:val="00EF4D31"/>
    <w:rsid w:val="00F03767"/>
    <w:rsid w:val="00F071BE"/>
    <w:rsid w:val="00F41941"/>
    <w:rsid w:val="00F42470"/>
    <w:rsid w:val="00F560BB"/>
    <w:rsid w:val="00F71A5F"/>
    <w:rsid w:val="00F720BF"/>
    <w:rsid w:val="00F73084"/>
    <w:rsid w:val="00F75648"/>
    <w:rsid w:val="00F75657"/>
    <w:rsid w:val="00F90229"/>
    <w:rsid w:val="00F9188D"/>
    <w:rsid w:val="00F93961"/>
    <w:rsid w:val="00FA1DF5"/>
    <w:rsid w:val="00FB6705"/>
    <w:rsid w:val="00FC0C70"/>
    <w:rsid w:val="00FD2DDE"/>
    <w:rsid w:val="00FD7E25"/>
    <w:rsid w:val="00FF1F75"/>
    <w:rsid w:val="04A57852"/>
    <w:rsid w:val="0546664A"/>
    <w:rsid w:val="08317B1E"/>
    <w:rsid w:val="086649FA"/>
    <w:rsid w:val="089E7D16"/>
    <w:rsid w:val="09512915"/>
    <w:rsid w:val="09B9121C"/>
    <w:rsid w:val="0A1A2105"/>
    <w:rsid w:val="0C1D23DC"/>
    <w:rsid w:val="0CEA4493"/>
    <w:rsid w:val="0E485025"/>
    <w:rsid w:val="0EE2785D"/>
    <w:rsid w:val="0F0E7DA0"/>
    <w:rsid w:val="0F3B34E7"/>
    <w:rsid w:val="10006967"/>
    <w:rsid w:val="117859C6"/>
    <w:rsid w:val="13372750"/>
    <w:rsid w:val="13A21CF0"/>
    <w:rsid w:val="17072C55"/>
    <w:rsid w:val="194E6EB6"/>
    <w:rsid w:val="19AB6A0C"/>
    <w:rsid w:val="1A0F5A20"/>
    <w:rsid w:val="1BEA4599"/>
    <w:rsid w:val="1CE05B8A"/>
    <w:rsid w:val="1EA37451"/>
    <w:rsid w:val="1F4856AA"/>
    <w:rsid w:val="237354DB"/>
    <w:rsid w:val="25691FBE"/>
    <w:rsid w:val="265B30D1"/>
    <w:rsid w:val="29007025"/>
    <w:rsid w:val="2ADD5B63"/>
    <w:rsid w:val="2B7C288D"/>
    <w:rsid w:val="2F5C6E60"/>
    <w:rsid w:val="2FEA73B1"/>
    <w:rsid w:val="2FF35F0D"/>
    <w:rsid w:val="302C0887"/>
    <w:rsid w:val="30B54983"/>
    <w:rsid w:val="311465A8"/>
    <w:rsid w:val="31834962"/>
    <w:rsid w:val="332728DC"/>
    <w:rsid w:val="33E83C08"/>
    <w:rsid w:val="3419217C"/>
    <w:rsid w:val="367F2E07"/>
    <w:rsid w:val="369A65DC"/>
    <w:rsid w:val="38EC17A3"/>
    <w:rsid w:val="3B4E14F1"/>
    <w:rsid w:val="3BBB00C8"/>
    <w:rsid w:val="3CAB6AA2"/>
    <w:rsid w:val="3ED6000C"/>
    <w:rsid w:val="42625C84"/>
    <w:rsid w:val="42A65627"/>
    <w:rsid w:val="46001B40"/>
    <w:rsid w:val="47140AB0"/>
    <w:rsid w:val="490B5F42"/>
    <w:rsid w:val="4B991885"/>
    <w:rsid w:val="4D955ADD"/>
    <w:rsid w:val="4F1955B2"/>
    <w:rsid w:val="4F7E5752"/>
    <w:rsid w:val="52E60EDA"/>
    <w:rsid w:val="54825173"/>
    <w:rsid w:val="56341695"/>
    <w:rsid w:val="56B46E10"/>
    <w:rsid w:val="57A30D2A"/>
    <w:rsid w:val="5B4C0AF6"/>
    <w:rsid w:val="5B603A1F"/>
    <w:rsid w:val="5C60781C"/>
    <w:rsid w:val="5CFE5704"/>
    <w:rsid w:val="5D3F4508"/>
    <w:rsid w:val="5E0002BB"/>
    <w:rsid w:val="5ED04EAA"/>
    <w:rsid w:val="5EE938F6"/>
    <w:rsid w:val="608023B7"/>
    <w:rsid w:val="616C050E"/>
    <w:rsid w:val="62840008"/>
    <w:rsid w:val="637D228F"/>
    <w:rsid w:val="637F7D08"/>
    <w:rsid w:val="63D336FC"/>
    <w:rsid w:val="66924D0D"/>
    <w:rsid w:val="66A37A67"/>
    <w:rsid w:val="68656966"/>
    <w:rsid w:val="6AE0434C"/>
    <w:rsid w:val="6CDB78E5"/>
    <w:rsid w:val="70825BAA"/>
    <w:rsid w:val="72BB7FA2"/>
    <w:rsid w:val="745729E8"/>
    <w:rsid w:val="7568017A"/>
    <w:rsid w:val="75844684"/>
    <w:rsid w:val="771F2DA7"/>
    <w:rsid w:val="7824635D"/>
    <w:rsid w:val="79E7608C"/>
    <w:rsid w:val="7BDF23DE"/>
    <w:rsid w:val="7CC1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38"/>
    <w:semiHidden/>
    <w:qFormat/>
    <w:uiPriority w:val="0"/>
    <w:pPr>
      <w:jc w:val="left"/>
    </w:pPr>
    <w:rPr>
      <w:sz w:val="44"/>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36"/>
      <w:szCs w:val="18"/>
    </w:rPr>
  </w:style>
  <w:style w:type="paragraph" w:styleId="7">
    <w:name w:val="footer"/>
    <w:basedOn w:val="1"/>
    <w:link w:val="36"/>
    <w:qFormat/>
    <w:uiPriority w:val="99"/>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semiHidden/>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qFormat/>
    <w:uiPriority w:val="20"/>
    <w:rPr>
      <w:i/>
      <w:iCs/>
    </w:rPr>
  </w:style>
  <w:style w:type="character" w:styleId="16">
    <w:name w:val="Hyperlink"/>
    <w:qFormat/>
    <w:uiPriority w:val="0"/>
    <w:rPr>
      <w:color w:val="0000FF"/>
      <w:u w:val="none"/>
    </w:rPr>
  </w:style>
  <w:style w:type="character" w:styleId="17">
    <w:name w:val="annotation reference"/>
    <w:semiHidden/>
    <w:qFormat/>
    <w:uiPriority w:val="0"/>
    <w:rPr>
      <w:sz w:val="21"/>
      <w:szCs w:val="21"/>
    </w:rPr>
  </w:style>
  <w:style w:type="paragraph" w:customStyle="1" w:styleId="18">
    <w:name w:val="段 Char"/>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段 Char Char"/>
    <w:link w:val="18"/>
    <w:qFormat/>
    <w:uiPriority w:val="0"/>
    <w:rPr>
      <w:rFonts w:ascii="宋体"/>
      <w:sz w:val="21"/>
      <w:lang w:val="en-US" w:eastAsia="zh-CN" w:bidi="ar-SA"/>
    </w:r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章标题"/>
    <w:next w:val="1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一级条标题"/>
    <w:basedOn w:val="21"/>
    <w:next w:val="18"/>
    <w:qFormat/>
    <w:uiPriority w:val="0"/>
    <w:pPr>
      <w:numPr>
        <w:ilvl w:val="2"/>
      </w:numPr>
      <w:spacing w:beforeLines="0" w:afterLines="0"/>
      <w:outlineLvl w:val="2"/>
    </w:pPr>
  </w:style>
  <w:style w:type="paragraph" w:customStyle="1" w:styleId="23">
    <w:name w:val="二级条标题"/>
    <w:basedOn w:val="22"/>
    <w:next w:val="18"/>
    <w:qFormat/>
    <w:uiPriority w:val="0"/>
    <w:pPr>
      <w:numPr>
        <w:ilvl w:val="3"/>
      </w:numPr>
      <w:outlineLvl w:val="3"/>
    </w:pPr>
  </w:style>
  <w:style w:type="paragraph" w:customStyle="1" w:styleId="24">
    <w:name w:val="三级条标题"/>
    <w:basedOn w:val="23"/>
    <w:next w:val="18"/>
    <w:qFormat/>
    <w:uiPriority w:val="0"/>
    <w:pPr>
      <w:numPr>
        <w:ilvl w:val="4"/>
      </w:numPr>
      <w:outlineLvl w:val="4"/>
    </w:pPr>
  </w:style>
  <w:style w:type="paragraph" w:customStyle="1" w:styleId="25">
    <w:name w:val="四级条标题"/>
    <w:basedOn w:val="24"/>
    <w:next w:val="18"/>
    <w:qFormat/>
    <w:uiPriority w:val="0"/>
    <w:pPr>
      <w:numPr>
        <w:ilvl w:val="5"/>
      </w:numPr>
      <w:outlineLvl w:val="5"/>
    </w:pPr>
  </w:style>
  <w:style w:type="paragraph" w:customStyle="1" w:styleId="26">
    <w:name w:val="五级条标题"/>
    <w:basedOn w:val="25"/>
    <w:next w:val="18"/>
    <w:qFormat/>
    <w:uiPriority w:val="0"/>
    <w:pPr>
      <w:numPr>
        <w:ilvl w:val="6"/>
      </w:numPr>
      <w:outlineLvl w:val="6"/>
    </w:pPr>
  </w:style>
  <w:style w:type="paragraph" w:customStyle="1" w:styleId="27">
    <w:name w:val="附录标识"/>
    <w:basedOn w:val="20"/>
    <w:qFormat/>
    <w:uiPriority w:val="0"/>
    <w:pPr>
      <w:numPr>
        <w:ilvl w:val="0"/>
        <w:numId w:val="2"/>
      </w:numPr>
      <w:tabs>
        <w:tab w:val="left" w:pos="6405"/>
      </w:tabs>
      <w:spacing w:after="200"/>
    </w:pPr>
    <w:rPr>
      <w:sz w:val="21"/>
    </w:rPr>
  </w:style>
  <w:style w:type="paragraph" w:customStyle="1" w:styleId="28">
    <w:name w:val="附录章标题"/>
    <w:next w:val="1"/>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9">
    <w:name w:val="附录一级条标题"/>
    <w:basedOn w:val="28"/>
    <w:next w:val="1"/>
    <w:qFormat/>
    <w:uiPriority w:val="0"/>
    <w:pPr>
      <w:numPr>
        <w:ilvl w:val="2"/>
      </w:numPr>
      <w:autoSpaceDN w:val="0"/>
      <w:spacing w:beforeLines="0" w:afterLines="0"/>
      <w:outlineLvl w:val="2"/>
    </w:pPr>
  </w:style>
  <w:style w:type="paragraph" w:customStyle="1" w:styleId="30">
    <w:name w:val="附录二级条标题"/>
    <w:basedOn w:val="29"/>
    <w:next w:val="1"/>
    <w:qFormat/>
    <w:uiPriority w:val="0"/>
    <w:pPr>
      <w:numPr>
        <w:ilvl w:val="3"/>
      </w:numPr>
      <w:outlineLvl w:val="3"/>
    </w:pPr>
  </w:style>
  <w:style w:type="paragraph" w:customStyle="1" w:styleId="31">
    <w:name w:val="附录三级条标题"/>
    <w:basedOn w:val="30"/>
    <w:next w:val="1"/>
    <w:qFormat/>
    <w:uiPriority w:val="0"/>
    <w:pPr>
      <w:numPr>
        <w:ilvl w:val="4"/>
      </w:numPr>
      <w:outlineLvl w:val="4"/>
    </w:pPr>
  </w:style>
  <w:style w:type="paragraph" w:customStyle="1" w:styleId="32">
    <w:name w:val="附录四级条标题"/>
    <w:basedOn w:val="31"/>
    <w:next w:val="1"/>
    <w:qFormat/>
    <w:uiPriority w:val="0"/>
    <w:pPr>
      <w:numPr>
        <w:ilvl w:val="5"/>
      </w:numPr>
      <w:outlineLvl w:val="5"/>
    </w:pPr>
  </w:style>
  <w:style w:type="paragraph" w:customStyle="1" w:styleId="33">
    <w:name w:val="附录五级条标题"/>
    <w:basedOn w:val="32"/>
    <w:next w:val="1"/>
    <w:qFormat/>
    <w:uiPriority w:val="0"/>
    <w:pPr>
      <w:numPr>
        <w:ilvl w:val="6"/>
      </w:numPr>
      <w:outlineLvl w:val="6"/>
    </w:pPr>
  </w:style>
  <w:style w:type="character" w:customStyle="1" w:styleId="34">
    <w:name w:val="页眉 字符"/>
    <w:link w:val="8"/>
    <w:qFormat/>
    <w:uiPriority w:val="0"/>
    <w:rPr>
      <w:kern w:val="2"/>
      <w:sz w:val="18"/>
      <w:szCs w:val="18"/>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页脚 字符"/>
    <w:link w:val="7"/>
    <w:qFormat/>
    <w:uiPriority w:val="99"/>
    <w:rPr>
      <w:kern w:val="2"/>
      <w:sz w:val="18"/>
      <w:szCs w:val="18"/>
    </w:r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
    <w:name w:val="批注文字 字符"/>
    <w:link w:val="4"/>
    <w:semiHidden/>
    <w:qFormat/>
    <w:uiPriority w:val="0"/>
    <w:rPr>
      <w:kern w:val="2"/>
      <w:sz w:val="44"/>
      <w:szCs w:val="24"/>
    </w:rPr>
  </w:style>
  <w:style w:type="character" w:customStyle="1" w:styleId="39">
    <w:name w:val="s1"/>
    <w:qFormat/>
    <w:uiPriority w:val="0"/>
    <w:rPr>
      <w:rFonts w:ascii="Helvetica" w:hAnsi="Helvetica" w:eastAsia="Helvetica" w:cs="Helvetica"/>
      <w:sz w:val="24"/>
      <w:szCs w:val="24"/>
    </w:rPr>
  </w:style>
  <w:style w:type="paragraph" w:customStyle="1" w:styleId="40">
    <w:name w:val="p1"/>
    <w:basedOn w:val="1"/>
    <w:qFormat/>
    <w:uiPriority w:val="0"/>
    <w:pPr>
      <w:jc w:val="left"/>
    </w:pPr>
    <w:rPr>
      <w:kern w:val="0"/>
    </w:rPr>
  </w:style>
  <w:style w:type="paragraph" w:customStyle="1" w:styleId="41">
    <w:name w:val="p2"/>
    <w:basedOn w:val="1"/>
    <w:qFormat/>
    <w:uiPriority w:val="0"/>
    <w:pPr>
      <w:jc w:val="left"/>
    </w:pPr>
    <w:rPr>
      <w:kern w:val="0"/>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3">
    <w:name w:val="font01"/>
    <w:basedOn w:val="13"/>
    <w:qFormat/>
    <w:uiPriority w:val="0"/>
    <w:rPr>
      <w:rFonts w:hint="eastAsia" w:ascii="宋体" w:hAnsi="宋体" w:eastAsia="宋体" w:cs="宋体"/>
      <w:color w:val="000000"/>
      <w:sz w:val="24"/>
      <w:szCs w:val="24"/>
      <w:u w:val="none"/>
    </w:rPr>
  </w:style>
  <w:style w:type="character" w:customStyle="1" w:styleId="44">
    <w:name w:val="font21"/>
    <w:basedOn w:val="13"/>
    <w:qFormat/>
    <w:uiPriority w:val="0"/>
    <w:rPr>
      <w:rFonts w:hint="default" w:ascii="Times New Roman" w:hAnsi="Times New Roman" w:cs="Times New Roman"/>
      <w:color w:val="000000"/>
      <w:sz w:val="24"/>
      <w:szCs w:val="24"/>
      <w:u w:val="none"/>
    </w:rPr>
  </w:style>
  <w:style w:type="character" w:customStyle="1" w:styleId="45">
    <w:name w:val="font31"/>
    <w:basedOn w:val="13"/>
    <w:qFormat/>
    <w:uiPriority w:val="0"/>
    <w:rPr>
      <w:rFonts w:hint="default" w:ascii="Times New Roman" w:hAnsi="Times New Roman" w:cs="Times New Roman"/>
      <w:i/>
      <w:iCs/>
      <w:color w:val="000000"/>
      <w:sz w:val="24"/>
      <w:szCs w:val="24"/>
      <w:u w:val="none"/>
    </w:rPr>
  </w:style>
  <w:style w:type="character" w:customStyle="1" w:styleId="46">
    <w:name w:val="font41"/>
    <w:basedOn w:val="13"/>
    <w:qFormat/>
    <w:uiPriority w:val="0"/>
    <w:rPr>
      <w:rFonts w:hint="default" w:ascii="Times New Roman" w:hAnsi="Times New Roman" w:cs="Times New Roman"/>
      <w:color w:val="000000"/>
      <w:sz w:val="24"/>
      <w:szCs w:val="24"/>
      <w:u w:val="none"/>
    </w:rPr>
  </w:style>
  <w:style w:type="paragraph" w:styleId="47">
    <w:name w:val="List Paragraph"/>
    <w:basedOn w:val="1"/>
    <w:qFormat/>
    <w:uiPriority w:val="34"/>
    <w:pPr>
      <w:ind w:firstLine="420" w:firstLineChars="200"/>
    </w:pPr>
  </w:style>
  <w:style w:type="character" w:customStyle="1" w:styleId="48">
    <w:name w:val="font11"/>
    <w:basedOn w:val="13"/>
    <w:qFormat/>
    <w:uiPriority w:val="0"/>
    <w:rPr>
      <w:rFonts w:hint="default" w:ascii="Times New Roman" w:hAnsi="Times New Roman" w:cs="Times New Roman"/>
      <w:color w:val="000000"/>
      <w:sz w:val="24"/>
      <w:szCs w:val="24"/>
      <w:u w:val="none"/>
    </w:rPr>
  </w:style>
  <w:style w:type="paragraph" w:customStyle="1" w:styleId="4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53">
    <w:name w:val="标题 2 字符"/>
    <w:basedOn w:val="13"/>
    <w:link w:val="2"/>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B97D-A6C7-4803-BE8F-57637652085B}">
  <ds:schemaRefs/>
</ds:datastoreItem>
</file>

<file path=docProps/app.xml><?xml version="1.0" encoding="utf-8"?>
<Properties xmlns="http://schemas.openxmlformats.org/officeDocument/2006/extended-properties" xmlns:vt="http://schemas.openxmlformats.org/officeDocument/2006/docPropsVTypes">
  <Template>Normal</Template>
  <Company>CQSD</Company>
  <Pages>9</Pages>
  <Words>939</Words>
  <Characters>5356</Characters>
  <Lines>44</Lines>
  <Paragraphs>12</Paragraphs>
  <TotalTime>4</TotalTime>
  <ScaleCrop>false</ScaleCrop>
  <LinksUpToDate>false</LinksUpToDate>
  <CharactersWithSpaces>6283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2023-11-09T03:04:00Z</dcterms:created>
  <dc:creator>LCMZX</dc:creator>
  <cp:lastModifiedBy>D.R.25</cp:lastModifiedBy>
  <cp:lastPrinted>2012-10-10T09:01:00Z</cp:lastPrinted>
  <dcterms:modified xsi:type="dcterms:W3CDTF">2023-11-09T04:58:12Z</dcterms:modified>
  <dc:title>《食品添加剂 天然β-胡箩卜素（发酵法）》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688465322B5046D4B99417C01F00C405_13</vt:lpwstr>
  </property>
</Properties>
</file>