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535A" w14:textId="77777777" w:rsidR="009B781E" w:rsidRDefault="00000000">
      <w:pPr>
        <w:ind w:firstLineChars="0" w:firstLine="0"/>
        <w:jc w:val="center"/>
        <w:rPr>
          <w:rFonts w:ascii="宋体" w:eastAsia="宋体" w:hAnsi="宋体" w:cs="宋体"/>
          <w:b/>
          <w:bCs/>
          <w:sz w:val="36"/>
          <w:szCs w:val="36"/>
        </w:rPr>
      </w:pPr>
      <w:r>
        <w:rPr>
          <w:rFonts w:ascii="宋体" w:eastAsia="宋体" w:hAnsi="宋体" w:cs="宋体" w:hint="eastAsia"/>
          <w:b/>
          <w:bCs/>
          <w:sz w:val="36"/>
          <w:szCs w:val="36"/>
        </w:rPr>
        <w:t>《绵柔酱香白酒》团体标准编制说明</w:t>
      </w:r>
    </w:p>
    <w:p w14:paraId="26F88195" w14:textId="77777777" w:rsidR="009B781E" w:rsidRDefault="00000000">
      <w:pPr>
        <w:spacing w:afterLines="100" w:after="312"/>
        <w:ind w:firstLineChars="0"/>
        <w:jc w:val="center"/>
        <w:rPr>
          <w:rFonts w:ascii="宋体" w:eastAsia="宋体" w:hAnsi="宋体" w:cs="宋体"/>
          <w:sz w:val="32"/>
          <w:szCs w:val="36"/>
        </w:rPr>
      </w:pPr>
      <w:r>
        <w:rPr>
          <w:rFonts w:ascii="宋体" w:eastAsia="宋体" w:hAnsi="宋体" w:cs="宋体" w:hint="eastAsia"/>
          <w:sz w:val="32"/>
          <w:szCs w:val="36"/>
        </w:rPr>
        <w:t>（征求意见稿）</w:t>
      </w:r>
    </w:p>
    <w:p w14:paraId="268FFB76"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一、工作简况</w:t>
      </w:r>
    </w:p>
    <w:p w14:paraId="7CAE9888"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1.任务来源</w:t>
      </w:r>
    </w:p>
    <w:p w14:paraId="511EA239" w14:textId="77777777" w:rsidR="009B781E" w:rsidRDefault="00000000">
      <w:pPr>
        <w:ind w:firstLineChars="0"/>
        <w:rPr>
          <w:rFonts w:ascii="宋体" w:eastAsia="宋体" w:hAnsi="宋体" w:cs="宋体"/>
          <w:i/>
          <w:iCs/>
          <w:color w:val="0000FF"/>
          <w:sz w:val="24"/>
          <w:szCs w:val="24"/>
        </w:rPr>
      </w:pPr>
      <w:bookmarkStart w:id="0" w:name="_Hlk86420409"/>
      <w:r>
        <w:rPr>
          <w:rFonts w:ascii="宋体" w:eastAsia="宋体" w:hAnsi="宋体" w:cs="宋体" w:hint="eastAsia"/>
          <w:sz w:val="24"/>
          <w:szCs w:val="24"/>
        </w:rPr>
        <w:t>为充分适应绵柔酱香白酒发展趋势，贵州贵酒集团有限公司提出团体标准提案，由中国酒业协会团体标准审查委员会批准立项，</w:t>
      </w:r>
      <w:bookmarkEnd w:id="0"/>
      <w:r>
        <w:rPr>
          <w:rFonts w:ascii="宋体" w:eastAsia="宋体" w:hAnsi="宋体" w:cs="宋体" w:hint="eastAsia"/>
          <w:sz w:val="24"/>
          <w:szCs w:val="24"/>
        </w:rPr>
        <w:t>贵州贵酒集团有限公司等单位为主要起草单位，起草编制《绵柔酱香白酒》团体标准。《绵柔酱香白酒》团体标准中国标准分类号为</w:t>
      </w:r>
      <w:r>
        <w:rPr>
          <w:rFonts w:ascii="宋体" w:eastAsia="宋体" w:hAnsi="宋体" w:cs="宋体" w:hint="eastAsia"/>
          <w:color w:val="FF0000"/>
          <w:sz w:val="24"/>
          <w:szCs w:val="24"/>
        </w:rPr>
        <w:t xml:space="preserve"> </w:t>
      </w:r>
      <w:r>
        <w:rPr>
          <w:rFonts w:ascii="宋体" w:eastAsia="宋体" w:hAnsi="宋体" w:cs="宋体" w:hint="eastAsia"/>
          <w:sz w:val="24"/>
          <w:szCs w:val="24"/>
        </w:rPr>
        <w:t>X 61（ICS分类号 67.160.10）。</w:t>
      </w:r>
    </w:p>
    <w:p w14:paraId="1F4258A0"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2.起草单位</w:t>
      </w:r>
    </w:p>
    <w:p w14:paraId="4F4EA586" w14:textId="552B2C54" w:rsidR="009B781E" w:rsidRDefault="00000000">
      <w:pPr>
        <w:ind w:firstLine="480"/>
        <w:rPr>
          <w:rFonts w:ascii="宋体" w:eastAsia="宋体" w:hAnsi="宋体" w:cs="宋体"/>
          <w:sz w:val="24"/>
          <w:szCs w:val="24"/>
        </w:rPr>
      </w:pPr>
      <w:r>
        <w:rPr>
          <w:rFonts w:ascii="宋体" w:eastAsia="宋体" w:hAnsi="宋体" w:cs="宋体" w:hint="eastAsia"/>
          <w:sz w:val="24"/>
          <w:szCs w:val="24"/>
        </w:rPr>
        <w:t>中国酒业协会、贵州贵酒集团有限公司</w:t>
      </w:r>
      <w:r w:rsidR="00057593">
        <w:rPr>
          <w:rFonts w:ascii="宋体" w:eastAsia="宋体" w:hAnsi="宋体" w:cs="宋体" w:hint="eastAsia"/>
          <w:sz w:val="24"/>
          <w:szCs w:val="24"/>
        </w:rPr>
        <w:t>、</w:t>
      </w:r>
      <w:r w:rsidR="00057593" w:rsidRPr="00057593">
        <w:rPr>
          <w:rFonts w:ascii="宋体" w:eastAsia="宋体" w:hAnsi="宋体" w:cs="宋体" w:hint="eastAsia"/>
          <w:sz w:val="24"/>
          <w:szCs w:val="24"/>
        </w:rPr>
        <w:t>贵州安酒股份有限公司</w:t>
      </w:r>
      <w:r w:rsidR="00057593">
        <w:rPr>
          <w:rFonts w:ascii="宋体" w:eastAsia="宋体" w:hAnsi="宋体" w:cs="宋体" w:hint="eastAsia"/>
          <w:sz w:val="24"/>
          <w:szCs w:val="24"/>
        </w:rPr>
        <w:t>、</w:t>
      </w:r>
      <w:r w:rsidR="00057593" w:rsidRPr="00057593">
        <w:rPr>
          <w:rFonts w:ascii="宋体" w:eastAsia="宋体" w:hAnsi="宋体" w:cs="宋体" w:hint="eastAsia"/>
          <w:sz w:val="24"/>
          <w:szCs w:val="24"/>
        </w:rPr>
        <w:t>金徽酒股份有限公司</w:t>
      </w:r>
      <w:r w:rsidR="00057593">
        <w:rPr>
          <w:rFonts w:ascii="宋体" w:eastAsia="宋体" w:hAnsi="宋体" w:cs="宋体" w:hint="eastAsia"/>
          <w:sz w:val="24"/>
          <w:szCs w:val="24"/>
        </w:rPr>
        <w:t>、</w:t>
      </w:r>
      <w:r w:rsidR="00057593" w:rsidRPr="00057593">
        <w:rPr>
          <w:rFonts w:ascii="宋体" w:eastAsia="宋体" w:hAnsi="宋体" w:cs="宋体" w:hint="eastAsia"/>
          <w:sz w:val="24"/>
          <w:szCs w:val="24"/>
        </w:rPr>
        <w:t>伊犁酒业有限责任公司</w:t>
      </w:r>
      <w:r w:rsidR="00057593">
        <w:rPr>
          <w:rFonts w:ascii="宋体" w:eastAsia="宋体" w:hAnsi="宋体" w:cs="宋体" w:hint="eastAsia"/>
          <w:sz w:val="24"/>
          <w:szCs w:val="24"/>
        </w:rPr>
        <w:t>、</w:t>
      </w:r>
      <w:r w:rsidR="006C7B66">
        <w:rPr>
          <w:rFonts w:ascii="宋体" w:eastAsia="宋体" w:hAnsi="宋体" w:cs="宋体" w:hint="eastAsia"/>
          <w:sz w:val="24"/>
          <w:szCs w:val="24"/>
        </w:rPr>
        <w:t>宜宾学院</w:t>
      </w:r>
      <w:r>
        <w:rPr>
          <w:rFonts w:ascii="宋体" w:eastAsia="宋体" w:hAnsi="宋体" w:cs="宋体" w:hint="eastAsia"/>
          <w:sz w:val="24"/>
          <w:szCs w:val="24"/>
        </w:rPr>
        <w:t>。</w:t>
      </w:r>
    </w:p>
    <w:p w14:paraId="1730F6C0"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3.目的意义</w:t>
      </w:r>
    </w:p>
    <w:p w14:paraId="4C76DAE6" w14:textId="77777777" w:rsidR="009B781E" w:rsidRDefault="00000000">
      <w:pPr>
        <w:ind w:firstLine="480"/>
        <w:rPr>
          <w:rFonts w:ascii="宋体" w:eastAsia="宋体" w:hAnsi="宋体" w:cs="宋体"/>
          <w:sz w:val="24"/>
          <w:szCs w:val="24"/>
        </w:rPr>
      </w:pPr>
      <w:r w:rsidRPr="0064765B">
        <w:rPr>
          <w:rFonts w:ascii="宋体" w:eastAsia="宋体" w:hAnsi="宋体" w:cs="宋体" w:hint="eastAsia"/>
          <w:sz w:val="24"/>
          <w:szCs w:val="24"/>
        </w:rPr>
        <w:t>2021年国标体系框架修改，同时</w:t>
      </w:r>
      <w:proofErr w:type="gramStart"/>
      <w:r w:rsidRPr="0064765B">
        <w:rPr>
          <w:rFonts w:ascii="宋体" w:eastAsia="宋体" w:hAnsi="宋体" w:cs="宋体" w:hint="eastAsia"/>
          <w:sz w:val="24"/>
          <w:szCs w:val="24"/>
        </w:rPr>
        <w:t>酱</w:t>
      </w:r>
      <w:proofErr w:type="gramEnd"/>
      <w:r w:rsidRPr="0064765B">
        <w:rPr>
          <w:rFonts w:ascii="宋体" w:eastAsia="宋体" w:hAnsi="宋体" w:cs="宋体" w:hint="eastAsia"/>
          <w:sz w:val="24"/>
          <w:szCs w:val="24"/>
        </w:rPr>
        <w:t>香型白酒国标也发生了相应的修订。</w:t>
      </w:r>
      <w:proofErr w:type="gramStart"/>
      <w:r w:rsidRPr="0064765B">
        <w:rPr>
          <w:rFonts w:ascii="宋体" w:eastAsia="宋体" w:hAnsi="宋体" w:cs="宋体" w:hint="eastAsia"/>
          <w:sz w:val="24"/>
          <w:szCs w:val="24"/>
        </w:rPr>
        <w:t>酱</w:t>
      </w:r>
      <w:proofErr w:type="gramEnd"/>
      <w:r w:rsidRPr="0064765B">
        <w:rPr>
          <w:rFonts w:ascii="宋体" w:eastAsia="宋体" w:hAnsi="宋体" w:cs="宋体" w:hint="eastAsia"/>
          <w:sz w:val="24"/>
          <w:szCs w:val="24"/>
        </w:rPr>
        <w:t>香型白酒国标的发布保证了全国酱酒产品的基本质量，同时近年来市场上以绵柔为导向的酱香型白酒产品日益增多，生产该类型白酒的企业遍布全国。为了保证这类产品的质量，促进</w:t>
      </w:r>
      <w:proofErr w:type="gramStart"/>
      <w:r w:rsidRPr="0064765B">
        <w:rPr>
          <w:rFonts w:ascii="宋体" w:eastAsia="宋体" w:hAnsi="宋体" w:cs="宋体" w:hint="eastAsia"/>
          <w:sz w:val="24"/>
          <w:szCs w:val="24"/>
        </w:rPr>
        <w:t>酱</w:t>
      </w:r>
      <w:proofErr w:type="gramEnd"/>
      <w:r w:rsidRPr="0064765B">
        <w:rPr>
          <w:rFonts w:ascii="宋体" w:eastAsia="宋体" w:hAnsi="宋体" w:cs="宋体" w:hint="eastAsia"/>
          <w:sz w:val="24"/>
          <w:szCs w:val="24"/>
        </w:rPr>
        <w:t>香型白酒发展，所以必须制定绵柔酱香白酒质量标准，满足绵柔酱香白酒市场及消费者需求。</w:t>
      </w:r>
    </w:p>
    <w:p w14:paraId="06B87769"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二、编制过程</w:t>
      </w:r>
    </w:p>
    <w:p w14:paraId="6DC9A00E" w14:textId="77777777" w:rsidR="009B781E" w:rsidRPr="00057593" w:rsidRDefault="00000000">
      <w:pPr>
        <w:ind w:firstLineChars="0"/>
        <w:rPr>
          <w:rFonts w:ascii="宋体" w:eastAsia="宋体" w:hAnsi="宋体" w:cs="宋体"/>
          <w:sz w:val="24"/>
          <w:szCs w:val="24"/>
        </w:rPr>
      </w:pPr>
      <w:r w:rsidRPr="00057593">
        <w:rPr>
          <w:rFonts w:ascii="宋体" w:eastAsia="宋体" w:hAnsi="宋体" w:cs="宋体" w:hint="eastAsia"/>
          <w:sz w:val="24"/>
          <w:szCs w:val="24"/>
        </w:rPr>
        <w:t>2023年10月，因绵柔酱香白酒发展需要，贵州贵酒集团有限公司提出《绵柔酱香白酒》团体标准立项申请，同时确定标准的主要框架。</w:t>
      </w:r>
    </w:p>
    <w:p w14:paraId="6B0E19AB" w14:textId="77777777" w:rsidR="009B781E" w:rsidRPr="00057593" w:rsidRDefault="00000000">
      <w:pPr>
        <w:ind w:firstLineChars="0"/>
        <w:rPr>
          <w:rFonts w:ascii="宋体" w:eastAsia="宋体" w:hAnsi="宋体" w:cs="宋体"/>
          <w:sz w:val="24"/>
          <w:szCs w:val="24"/>
        </w:rPr>
      </w:pPr>
      <w:r w:rsidRPr="00057593">
        <w:rPr>
          <w:rFonts w:ascii="宋体" w:eastAsia="宋体" w:hAnsi="宋体" w:cs="宋体" w:hint="eastAsia"/>
          <w:sz w:val="24"/>
          <w:szCs w:val="24"/>
        </w:rPr>
        <w:t>2023年10月27日中国酒业协会白酒技术创新战略发展工作委员会收到材料提交团体标准审查委员会发文（中</w:t>
      </w:r>
      <w:proofErr w:type="gramStart"/>
      <w:r w:rsidRPr="00057593">
        <w:rPr>
          <w:rFonts w:ascii="宋体" w:eastAsia="宋体" w:hAnsi="宋体" w:cs="宋体" w:hint="eastAsia"/>
          <w:sz w:val="24"/>
          <w:szCs w:val="24"/>
        </w:rPr>
        <w:t>酒协标</w:t>
      </w:r>
      <w:proofErr w:type="gramEnd"/>
      <w:r w:rsidRPr="00057593">
        <w:rPr>
          <w:rFonts w:ascii="宋体" w:eastAsia="宋体" w:hAnsi="宋体" w:cs="宋体" w:hint="eastAsia"/>
          <w:sz w:val="24"/>
          <w:szCs w:val="24"/>
        </w:rPr>
        <w:t>[2023] 32号）邀请团体标准审查委员</w:t>
      </w:r>
      <w:r w:rsidRPr="00057593">
        <w:rPr>
          <w:rFonts w:ascii="宋体" w:eastAsia="宋体" w:hAnsi="宋体" w:cs="宋体" w:hint="eastAsia"/>
          <w:sz w:val="24"/>
          <w:szCs w:val="24"/>
        </w:rPr>
        <w:lastRenderedPageBreak/>
        <w:t>会专家组成员进行立项函审。</w:t>
      </w:r>
    </w:p>
    <w:p w14:paraId="16FB9435" w14:textId="77777777" w:rsidR="009B781E" w:rsidRPr="00057593" w:rsidRDefault="00000000">
      <w:pPr>
        <w:ind w:firstLineChars="0"/>
        <w:rPr>
          <w:rFonts w:ascii="宋体" w:eastAsia="宋体" w:hAnsi="宋体" w:cs="宋体"/>
          <w:sz w:val="24"/>
          <w:szCs w:val="24"/>
        </w:rPr>
      </w:pPr>
      <w:r w:rsidRPr="00057593">
        <w:rPr>
          <w:rFonts w:ascii="宋体" w:eastAsia="宋体" w:hAnsi="宋体" w:cs="宋体" w:hint="eastAsia"/>
          <w:sz w:val="24"/>
          <w:szCs w:val="24"/>
        </w:rPr>
        <w:t>2023年11月17日中国酒业协会团体标准审查委员会根据函审结果发文（中</w:t>
      </w:r>
      <w:proofErr w:type="gramStart"/>
      <w:r w:rsidRPr="00057593">
        <w:rPr>
          <w:rFonts w:ascii="宋体" w:eastAsia="宋体" w:hAnsi="宋体" w:cs="宋体" w:hint="eastAsia"/>
          <w:sz w:val="24"/>
          <w:szCs w:val="24"/>
        </w:rPr>
        <w:t>酒协标</w:t>
      </w:r>
      <w:proofErr w:type="gramEnd"/>
      <w:r w:rsidRPr="00057593">
        <w:rPr>
          <w:rFonts w:ascii="宋体" w:eastAsia="宋体" w:hAnsi="宋体" w:cs="宋体" w:hint="eastAsia"/>
          <w:sz w:val="24"/>
          <w:szCs w:val="24"/>
        </w:rPr>
        <w:t>[2023]36号），审查意见基本表示赞同，批准立项。</w:t>
      </w:r>
    </w:p>
    <w:p w14:paraId="4C717C10" w14:textId="77777777" w:rsidR="009B781E" w:rsidRPr="00057593" w:rsidRDefault="00000000">
      <w:pPr>
        <w:ind w:firstLineChars="0"/>
        <w:rPr>
          <w:rFonts w:ascii="宋体" w:eastAsia="宋体" w:hAnsi="宋体" w:cs="宋体"/>
          <w:sz w:val="24"/>
          <w:szCs w:val="24"/>
        </w:rPr>
      </w:pPr>
      <w:r w:rsidRPr="00057593">
        <w:rPr>
          <w:rFonts w:ascii="宋体" w:eastAsia="宋体" w:hAnsi="宋体" w:cs="宋体" w:hint="eastAsia"/>
          <w:sz w:val="24"/>
          <w:szCs w:val="24"/>
        </w:rPr>
        <w:t>2023年11月20日，经中国酒业协会白酒技术创新战略发展工作委员会发文（中</w:t>
      </w:r>
      <w:proofErr w:type="gramStart"/>
      <w:r w:rsidRPr="00057593">
        <w:rPr>
          <w:rFonts w:ascii="宋体" w:eastAsia="宋体" w:hAnsi="宋体" w:cs="宋体" w:hint="eastAsia"/>
          <w:sz w:val="24"/>
          <w:szCs w:val="24"/>
        </w:rPr>
        <w:t>酒协标</w:t>
      </w:r>
      <w:proofErr w:type="gramEnd"/>
      <w:r w:rsidRPr="00057593">
        <w:rPr>
          <w:rFonts w:ascii="宋体" w:eastAsia="宋体" w:hAnsi="宋体" w:cs="宋体" w:hint="eastAsia"/>
          <w:sz w:val="24"/>
          <w:szCs w:val="24"/>
        </w:rPr>
        <w:t>[2023]19号）批准立项，并征集起草单位。</w:t>
      </w:r>
    </w:p>
    <w:p w14:paraId="38B13E3D" w14:textId="77777777" w:rsidR="009B781E" w:rsidRPr="00057593" w:rsidRDefault="00000000">
      <w:pPr>
        <w:ind w:firstLineChars="0"/>
        <w:rPr>
          <w:rFonts w:ascii="宋体" w:eastAsia="宋体" w:hAnsi="宋体" w:cs="宋体"/>
          <w:sz w:val="24"/>
          <w:szCs w:val="24"/>
        </w:rPr>
      </w:pPr>
      <w:r w:rsidRPr="00057593">
        <w:rPr>
          <w:rFonts w:ascii="宋体" w:eastAsia="宋体" w:hAnsi="宋体" w:cs="宋体" w:hint="eastAsia"/>
          <w:sz w:val="24"/>
          <w:szCs w:val="24"/>
        </w:rPr>
        <w:t>2023年11月-2024年2月，贵州贵酒集团有限公司与中国酒业协会根据标准制定框架和主要工作内容，对标准初稿中的术语定义、产品分类、感官要求、理化指标以及分析方法等内容进行多次讨论协调，形成标准初稿。</w:t>
      </w:r>
    </w:p>
    <w:p w14:paraId="02AD8E7E" w14:textId="26C36EE0" w:rsidR="009B781E" w:rsidRPr="00057593" w:rsidRDefault="00000000">
      <w:pPr>
        <w:ind w:firstLineChars="0"/>
        <w:rPr>
          <w:rFonts w:ascii="宋体" w:eastAsia="宋体" w:hAnsi="宋体" w:cs="宋体"/>
          <w:sz w:val="24"/>
          <w:szCs w:val="24"/>
        </w:rPr>
      </w:pPr>
      <w:r w:rsidRPr="00057593">
        <w:rPr>
          <w:rFonts w:ascii="宋体" w:eastAsia="宋体" w:hAnsi="宋体" w:cs="宋体" w:hint="eastAsia"/>
          <w:sz w:val="24"/>
          <w:szCs w:val="24"/>
        </w:rPr>
        <w:t>2024年2月，为更加明确绵柔酱香白酒典型样感官特征，中国酒业协会组织了5家</w:t>
      </w:r>
      <w:r w:rsidR="00057593">
        <w:rPr>
          <w:rFonts w:ascii="宋体" w:eastAsia="宋体" w:hAnsi="宋体" w:cs="宋体" w:hint="eastAsia"/>
          <w:sz w:val="24"/>
          <w:szCs w:val="24"/>
        </w:rPr>
        <w:t>申报起草单位，征集</w:t>
      </w:r>
      <w:r w:rsidRPr="00057593">
        <w:rPr>
          <w:rFonts w:ascii="宋体" w:eastAsia="宋体" w:hAnsi="宋体" w:cs="宋体" w:hint="eastAsia"/>
          <w:sz w:val="24"/>
          <w:szCs w:val="24"/>
        </w:rPr>
        <w:t>其</w:t>
      </w:r>
      <w:r w:rsidR="00057593">
        <w:rPr>
          <w:rFonts w:ascii="宋体" w:eastAsia="宋体" w:hAnsi="宋体" w:cs="宋体" w:hint="eastAsia"/>
          <w:sz w:val="24"/>
          <w:szCs w:val="24"/>
        </w:rPr>
        <w:t>代表性</w:t>
      </w:r>
      <w:r w:rsidRPr="00057593">
        <w:rPr>
          <w:rFonts w:ascii="宋体" w:eastAsia="宋体" w:hAnsi="宋体" w:cs="宋体" w:hint="eastAsia"/>
          <w:sz w:val="24"/>
          <w:szCs w:val="24"/>
        </w:rPr>
        <w:t>绵柔酱香产品</w:t>
      </w:r>
      <w:r w:rsidR="00057593">
        <w:rPr>
          <w:rFonts w:ascii="宋体" w:eastAsia="宋体" w:hAnsi="宋体" w:cs="宋体" w:hint="eastAsia"/>
          <w:sz w:val="24"/>
          <w:szCs w:val="24"/>
        </w:rPr>
        <w:t>，</w:t>
      </w:r>
      <w:r w:rsidRPr="00057593">
        <w:rPr>
          <w:rFonts w:ascii="宋体" w:eastAsia="宋体" w:hAnsi="宋体" w:cs="宋体" w:hint="eastAsia"/>
          <w:sz w:val="24"/>
          <w:szCs w:val="24"/>
        </w:rPr>
        <w:t>邀请国评、省评等专家进行感官分析。贵州贵酒集团有限公司、中国酒业协会与征集的起草单位共同召开标准讨论工作会议，说明标准制定情况，就标准内容逐条进行讨论，根据专家提出相关意见进行答疑和建议的汇总、修订，综合起草组专家的意见进一步修改完善，会后形成标准讨论稿。</w:t>
      </w:r>
    </w:p>
    <w:p w14:paraId="57403391" w14:textId="2498B967" w:rsidR="009B781E" w:rsidRDefault="00000000">
      <w:pPr>
        <w:ind w:firstLineChars="0"/>
        <w:rPr>
          <w:rFonts w:ascii="宋体" w:eastAsia="宋体" w:hAnsi="宋体" w:cs="宋体"/>
          <w:sz w:val="24"/>
          <w:szCs w:val="24"/>
        </w:rPr>
      </w:pPr>
      <w:r w:rsidRPr="00057593">
        <w:rPr>
          <w:rFonts w:ascii="宋体" w:eastAsia="宋体" w:hAnsi="宋体" w:cs="宋体" w:hint="eastAsia"/>
          <w:sz w:val="24"/>
          <w:szCs w:val="24"/>
        </w:rPr>
        <w:t>2024年3月</w:t>
      </w:r>
      <w:r w:rsidR="00057593">
        <w:rPr>
          <w:rFonts w:ascii="宋体" w:eastAsia="宋体" w:hAnsi="宋体" w:cs="宋体" w:hint="eastAsia"/>
          <w:sz w:val="24"/>
          <w:szCs w:val="24"/>
        </w:rPr>
        <w:t>6日</w:t>
      </w:r>
      <w:r w:rsidRPr="00057593">
        <w:rPr>
          <w:rFonts w:ascii="宋体" w:eastAsia="宋体" w:hAnsi="宋体" w:cs="宋体" w:hint="eastAsia"/>
          <w:sz w:val="24"/>
          <w:szCs w:val="24"/>
        </w:rPr>
        <w:t>，起草工作组整合意见，编写相关材料，形成标准征求意见稿。</w:t>
      </w:r>
    </w:p>
    <w:p w14:paraId="55071991"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三、编制原则和标准主要内容的论据</w:t>
      </w:r>
    </w:p>
    <w:p w14:paraId="0C6CC2FE"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1.编制原则</w:t>
      </w:r>
    </w:p>
    <w:p w14:paraId="438152A7" w14:textId="77777777" w:rsidR="009B781E" w:rsidRDefault="00000000">
      <w:pPr>
        <w:ind w:firstLine="482"/>
        <w:rPr>
          <w:rFonts w:ascii="宋体" w:eastAsia="宋体" w:hAnsi="宋体" w:cs="宋体"/>
          <w:sz w:val="24"/>
          <w:szCs w:val="24"/>
        </w:rPr>
      </w:pPr>
      <w:r>
        <w:rPr>
          <w:rFonts w:ascii="宋体" w:eastAsia="宋体" w:hAnsi="宋体" w:cs="宋体" w:hint="eastAsia"/>
          <w:b/>
          <w:bCs/>
          <w:sz w:val="24"/>
          <w:szCs w:val="24"/>
        </w:rPr>
        <w:t>a)规范性原则</w:t>
      </w:r>
      <w:r>
        <w:rPr>
          <w:rFonts w:ascii="宋体" w:eastAsia="宋体" w:hAnsi="宋体" w:cs="宋体" w:hint="eastAsia"/>
          <w:sz w:val="24"/>
          <w:szCs w:val="24"/>
        </w:rPr>
        <w:t>。本标准以国家、行业现有的标准为制定基础，本着先进性、科学性、合理性、可行性和可操作性的原则来进行本标准的制定工作，主要依据</w:t>
      </w:r>
      <w:bookmarkStart w:id="1" w:name="_Hlk86420438"/>
      <w:r>
        <w:rPr>
          <w:rFonts w:ascii="宋体" w:eastAsia="宋体" w:hAnsi="宋体" w:cs="宋体" w:hint="eastAsia"/>
          <w:sz w:val="24"/>
          <w:szCs w:val="24"/>
        </w:rPr>
        <w:t>GB/T 1.1-2020《标准化工作导则 第1部分：标准化文件的结构和起草规则》、GB/T 20004.1-2016 团体标准化 第1部分：良好行为指南、GB/T 20004.2-2018 团体标准化 第2部分：良好行为评价指南和《团体标准管理规定》的规定编写</w:t>
      </w:r>
      <w:r>
        <w:rPr>
          <w:rFonts w:ascii="宋体" w:eastAsia="宋体" w:hAnsi="宋体" w:cs="宋体" w:hint="eastAsia"/>
          <w:sz w:val="24"/>
          <w:szCs w:val="24"/>
        </w:rPr>
        <w:lastRenderedPageBreak/>
        <w:t>内容。</w:t>
      </w:r>
      <w:bookmarkEnd w:id="1"/>
    </w:p>
    <w:p w14:paraId="534CBC57" w14:textId="77777777" w:rsidR="009B781E" w:rsidRDefault="00000000">
      <w:pPr>
        <w:ind w:firstLine="482"/>
        <w:rPr>
          <w:rFonts w:ascii="宋体" w:eastAsia="宋体" w:hAnsi="宋体" w:cs="宋体"/>
          <w:sz w:val="24"/>
          <w:szCs w:val="24"/>
        </w:rPr>
      </w:pPr>
      <w:r>
        <w:rPr>
          <w:rFonts w:ascii="宋体" w:eastAsia="宋体" w:hAnsi="宋体" w:cs="宋体" w:hint="eastAsia"/>
          <w:b/>
          <w:bCs/>
          <w:sz w:val="24"/>
          <w:szCs w:val="24"/>
        </w:rPr>
        <w:t>b)系统性原则</w:t>
      </w:r>
      <w:r>
        <w:rPr>
          <w:rFonts w:ascii="宋体" w:eastAsia="宋体" w:hAnsi="宋体" w:cs="宋体" w:hint="eastAsia"/>
          <w:sz w:val="24"/>
          <w:szCs w:val="24"/>
        </w:rPr>
        <w:t>。本标准与GB 2757、GB 5009.225、GB 7718 、GB/T 10345、GB/T 10346、GB/T 15109、GB/T 26760等引用的法规标准协调一致。按照术语和定义，产品分类，要求，检验方法，检验规则、标志、包装、运输和贮存的5个部分展开。</w:t>
      </w:r>
    </w:p>
    <w:p w14:paraId="41E2301E" w14:textId="77777777" w:rsidR="009B781E" w:rsidRDefault="00000000">
      <w:pPr>
        <w:ind w:firstLine="482"/>
        <w:rPr>
          <w:rFonts w:ascii="宋体" w:eastAsia="宋体" w:hAnsi="宋体" w:cs="宋体"/>
          <w:sz w:val="24"/>
          <w:szCs w:val="24"/>
        </w:rPr>
      </w:pPr>
      <w:r>
        <w:rPr>
          <w:rFonts w:ascii="宋体" w:eastAsia="宋体" w:hAnsi="宋体" w:cs="宋体" w:hint="eastAsia"/>
          <w:b/>
          <w:bCs/>
          <w:sz w:val="24"/>
          <w:szCs w:val="24"/>
        </w:rPr>
        <w:t>c)行业性原则</w:t>
      </w:r>
      <w:r>
        <w:rPr>
          <w:rFonts w:ascii="宋体" w:eastAsia="宋体" w:hAnsi="宋体" w:cs="宋体" w:hint="eastAsia"/>
          <w:sz w:val="24"/>
          <w:szCs w:val="24"/>
        </w:rPr>
        <w:t>。在GB/T 15109-2021《白酒工业术语》和GB/T 17204《饮料酒术语和分类》中对酱香型白酒进行了界定，但均未提及绵柔酱香白酒，T/CNFIA 169-2023《绵柔酱香型白酒》团体标准对绵柔酱香白酒的要求不能完全适用于其他产区</w:t>
      </w:r>
      <w:r>
        <w:rPr>
          <w:rFonts w:ascii="宋体" w:eastAsia="宋体" w:hAnsi="宋体" w:cs="宋体" w:hint="eastAsia"/>
          <w:color w:val="000000"/>
          <w:sz w:val="24"/>
          <w:szCs w:val="24"/>
        </w:rPr>
        <w:t>所生产</w:t>
      </w:r>
      <w:r>
        <w:rPr>
          <w:rFonts w:ascii="宋体" w:eastAsia="宋体" w:hAnsi="宋体" w:cs="宋体" w:hint="eastAsia"/>
          <w:sz w:val="24"/>
          <w:szCs w:val="24"/>
        </w:rPr>
        <w:t>的绵柔酱香白酒，为对该类绵柔酱香白酒的产品感官和理化性质进一步规范，结合现有技术水平和生产的实际情况，特提出符合绵柔酱香白酒行业发展的行业性要求。</w:t>
      </w:r>
    </w:p>
    <w:p w14:paraId="1D5CD8ED" w14:textId="77777777" w:rsidR="009B781E" w:rsidRDefault="00000000">
      <w:pPr>
        <w:ind w:firstLine="482"/>
        <w:rPr>
          <w:rFonts w:ascii="宋体" w:eastAsia="宋体" w:hAnsi="宋体" w:cs="宋体"/>
          <w:sz w:val="24"/>
          <w:szCs w:val="24"/>
        </w:rPr>
      </w:pPr>
      <w:r>
        <w:rPr>
          <w:rFonts w:ascii="宋体" w:eastAsia="宋体" w:hAnsi="宋体" w:cs="宋体" w:hint="eastAsia"/>
          <w:b/>
          <w:bCs/>
          <w:sz w:val="24"/>
          <w:szCs w:val="24"/>
        </w:rPr>
        <w:t>d)定量与定性结合原则</w:t>
      </w:r>
      <w:r>
        <w:rPr>
          <w:rFonts w:ascii="宋体" w:eastAsia="宋体" w:hAnsi="宋体" w:cs="宋体" w:hint="eastAsia"/>
          <w:sz w:val="24"/>
          <w:szCs w:val="24"/>
        </w:rPr>
        <w:t>。感官要求的定性指标结合理化要求的定量指标，实现对绵柔酱香白酒产品的质量管控。</w:t>
      </w:r>
    </w:p>
    <w:p w14:paraId="0DFAB067" w14:textId="77777777" w:rsidR="009B781E" w:rsidRDefault="00000000">
      <w:pPr>
        <w:ind w:firstLine="482"/>
        <w:rPr>
          <w:rFonts w:ascii="宋体" w:eastAsia="宋体" w:hAnsi="宋体" w:cs="宋体"/>
          <w:sz w:val="24"/>
          <w:szCs w:val="24"/>
        </w:rPr>
      </w:pPr>
      <w:r>
        <w:rPr>
          <w:rFonts w:ascii="宋体" w:eastAsia="宋体" w:hAnsi="宋体" w:cs="宋体" w:hint="eastAsia"/>
          <w:b/>
          <w:bCs/>
          <w:sz w:val="24"/>
          <w:szCs w:val="24"/>
        </w:rPr>
        <w:t>e)可行性和可操作性原则</w:t>
      </w:r>
      <w:r>
        <w:rPr>
          <w:rFonts w:ascii="宋体" w:eastAsia="宋体" w:hAnsi="宋体" w:cs="宋体" w:hint="eastAsia"/>
          <w:sz w:val="24"/>
          <w:szCs w:val="24"/>
        </w:rPr>
        <w:t>。本标准中的评价指标体系简易可行，对于绵柔酱香白酒产品具有可行性和可操作性。</w:t>
      </w:r>
    </w:p>
    <w:p w14:paraId="654E0AA6"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2.标准主要内容的论据</w:t>
      </w:r>
    </w:p>
    <w:p w14:paraId="7DFB7B16"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a)标准名称</w:t>
      </w:r>
    </w:p>
    <w:p w14:paraId="33ADF3B4"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绵柔酱香白酒是近年来从酱香型白酒中诞生出来的一个分支，“绵柔”一词能简单、准确地概括该类酱香白酒的特点，绵柔酱香白酒名称简单明了，便于记忆，</w:t>
      </w:r>
      <w:proofErr w:type="gramStart"/>
      <w:r>
        <w:rPr>
          <w:rFonts w:ascii="宋体" w:eastAsia="宋体" w:hAnsi="宋体" w:cs="宋体" w:hint="eastAsia"/>
          <w:sz w:val="24"/>
          <w:szCs w:val="24"/>
        </w:rPr>
        <w:t>故标准</w:t>
      </w:r>
      <w:proofErr w:type="gramEnd"/>
      <w:r>
        <w:rPr>
          <w:rFonts w:ascii="宋体" w:eastAsia="宋体" w:hAnsi="宋体" w:cs="宋体" w:hint="eastAsia"/>
          <w:sz w:val="24"/>
          <w:szCs w:val="24"/>
        </w:rPr>
        <w:t>名称为《绵柔酱香白酒》团体标准。</w:t>
      </w:r>
    </w:p>
    <w:p w14:paraId="336B0BD8" w14:textId="77777777" w:rsidR="009B781E" w:rsidRDefault="00000000">
      <w:pPr>
        <w:ind w:firstLine="482"/>
        <w:rPr>
          <w:rFonts w:ascii="宋体" w:eastAsia="宋体" w:hAnsi="宋体" w:cs="宋体"/>
          <w:b/>
          <w:bCs/>
          <w:sz w:val="24"/>
          <w:szCs w:val="24"/>
        </w:rPr>
      </w:pPr>
      <w:r>
        <w:rPr>
          <w:rFonts w:ascii="宋体" w:eastAsia="宋体" w:hAnsi="宋体" w:cs="宋体" w:hint="eastAsia"/>
          <w:b/>
          <w:bCs/>
          <w:sz w:val="24"/>
          <w:szCs w:val="24"/>
        </w:rPr>
        <w:t>b)规范性引用文件</w:t>
      </w:r>
    </w:p>
    <w:p w14:paraId="2CB233F0"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 xml:space="preserve">本文件是产品标准，包含术语、质量、包装、储运等要求，本标准编制主要依据包括： </w:t>
      </w:r>
    </w:p>
    <w:p w14:paraId="4B7F4931"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lastRenderedPageBreak/>
        <w:t>GB/T 8231   高粱</w:t>
      </w:r>
    </w:p>
    <w:p w14:paraId="6D27AFD2"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GB 1351     小麦</w:t>
      </w:r>
    </w:p>
    <w:p w14:paraId="2690EF05"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GB 2757     食品安全国家标准  蒸馏</w:t>
      </w:r>
      <w:proofErr w:type="gramStart"/>
      <w:r>
        <w:rPr>
          <w:rFonts w:ascii="宋体" w:eastAsia="宋体" w:hAnsi="宋体" w:cs="宋体" w:hint="eastAsia"/>
          <w:sz w:val="24"/>
          <w:szCs w:val="24"/>
        </w:rPr>
        <w:t>酒及其</w:t>
      </w:r>
      <w:proofErr w:type="gramEnd"/>
      <w:r>
        <w:rPr>
          <w:rFonts w:ascii="宋体" w:eastAsia="宋体" w:hAnsi="宋体" w:cs="宋体" w:hint="eastAsia"/>
          <w:sz w:val="24"/>
          <w:szCs w:val="24"/>
        </w:rPr>
        <w:t>配制酒</w:t>
      </w:r>
    </w:p>
    <w:p w14:paraId="212E63AB"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GB 5009.225  食品安全国家标准  酒中乙醇浓度的测定</w:t>
      </w:r>
    </w:p>
    <w:p w14:paraId="0BB24A3A"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GB 7718      食品安全国家标准  预包装食品标签通则</w:t>
      </w:r>
    </w:p>
    <w:p w14:paraId="51D641E6"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GB/T 10345   白酒分析方法</w:t>
      </w:r>
    </w:p>
    <w:p w14:paraId="23AB028D"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GB/T 10346   白酒检验规则和标志、包装、运输、贮存</w:t>
      </w:r>
    </w:p>
    <w:p w14:paraId="728DA792"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GB/T 15109   白酒工业术语</w:t>
      </w:r>
    </w:p>
    <w:p w14:paraId="3F628FC3"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 xml:space="preserve">GB/T 26760   </w:t>
      </w:r>
      <w:proofErr w:type="gramStart"/>
      <w:r>
        <w:rPr>
          <w:rFonts w:ascii="宋体" w:eastAsia="宋体" w:hAnsi="宋体" w:cs="宋体" w:hint="eastAsia"/>
          <w:sz w:val="24"/>
          <w:szCs w:val="24"/>
        </w:rPr>
        <w:t>酱</w:t>
      </w:r>
      <w:proofErr w:type="gramEnd"/>
      <w:r>
        <w:rPr>
          <w:rFonts w:ascii="宋体" w:eastAsia="宋体" w:hAnsi="宋体" w:cs="宋体" w:hint="eastAsia"/>
          <w:sz w:val="24"/>
          <w:szCs w:val="24"/>
        </w:rPr>
        <w:t>香型白酒</w:t>
      </w:r>
    </w:p>
    <w:p w14:paraId="43321244"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JJF 1070      定量包装商品净含量计量检验规则</w:t>
      </w:r>
    </w:p>
    <w:p w14:paraId="72F3A027"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定量包装商品计量监督管理办法 (国家质量监督检验检疫总局[2005]第75号令)</w:t>
      </w:r>
    </w:p>
    <w:p w14:paraId="0753F620"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c)术语定义</w:t>
      </w:r>
    </w:p>
    <w:p w14:paraId="3B15EA24"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以GB/T 15109-2021《白酒工业术语》和GB/T 17204-2021《饮料酒术语和分类》中对酱香型白酒的描述作为参考，并结合所生产绵柔酱香白酒的工艺、储存条件及感官特点等，确定绵柔酱香白酒的定义为“以本地红缨子糯高粱、小麦、水为原料，用高温大曲为糖化发酵剂进行传统固态发酵，经小坛储存、大小盘勾、陈年调味酒调味而成，不直接或间接添加食用酒精及非自身发酵产生的呈色、呈香、呈味物质，具有本品固有风格特征的白酒”。</w:t>
      </w:r>
    </w:p>
    <w:p w14:paraId="52C4299D"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d）要求</w:t>
      </w:r>
    </w:p>
    <w:p w14:paraId="4A7D5143"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① 感官要求</w:t>
      </w:r>
    </w:p>
    <w:p w14:paraId="44A36064" w14:textId="120D5DE4" w:rsidR="009B781E" w:rsidRDefault="00000000">
      <w:pPr>
        <w:pStyle w:val="a5"/>
        <w:numPr>
          <w:ilvl w:val="0"/>
          <w:numId w:val="7"/>
        </w:numPr>
        <w:ind w:firstLineChars="0"/>
        <w:rPr>
          <w:rFonts w:ascii="宋体" w:eastAsia="宋体" w:hAnsi="宋体" w:cs="宋体"/>
          <w:sz w:val="24"/>
          <w:szCs w:val="24"/>
        </w:rPr>
      </w:pPr>
      <w:r>
        <w:rPr>
          <w:rFonts w:ascii="宋体" w:eastAsia="宋体" w:hAnsi="宋体" w:cs="宋体" w:hint="eastAsia"/>
          <w:sz w:val="24"/>
          <w:szCs w:val="24"/>
        </w:rPr>
        <w:t>感官特征参考GB/T</w:t>
      </w:r>
      <w:r w:rsidR="00057593">
        <w:rPr>
          <w:rFonts w:ascii="宋体" w:eastAsia="宋体" w:hAnsi="宋体" w:cs="宋体"/>
          <w:sz w:val="24"/>
          <w:szCs w:val="24"/>
        </w:rPr>
        <w:t xml:space="preserve"> </w:t>
      </w:r>
      <w:r>
        <w:rPr>
          <w:rFonts w:ascii="宋体" w:eastAsia="宋体" w:hAnsi="宋体" w:cs="宋体" w:hint="eastAsia"/>
          <w:sz w:val="24"/>
          <w:szCs w:val="24"/>
        </w:rPr>
        <w:t>33404《白酒感官品评导则》中界定的颜色、香气、口感、及风格的描述进行界定，以酱香型白酒国家标准为导向，在香气口</w:t>
      </w:r>
      <w:r>
        <w:rPr>
          <w:rFonts w:ascii="宋体" w:eastAsia="宋体" w:hAnsi="宋体" w:cs="宋体" w:hint="eastAsia"/>
          <w:sz w:val="24"/>
          <w:szCs w:val="24"/>
        </w:rPr>
        <w:lastRenderedPageBreak/>
        <w:t>感部分出绵柔酱香的特质，感官要求是依据征集到的5家企业生产出的最具有代表的15个绵柔酱</w:t>
      </w:r>
      <w:proofErr w:type="gramStart"/>
      <w:r>
        <w:rPr>
          <w:rFonts w:ascii="宋体" w:eastAsia="宋体" w:hAnsi="宋体" w:cs="宋体" w:hint="eastAsia"/>
          <w:sz w:val="24"/>
          <w:szCs w:val="24"/>
        </w:rPr>
        <w:t>香产品</w:t>
      </w:r>
      <w:proofErr w:type="gramEnd"/>
      <w:r>
        <w:rPr>
          <w:rFonts w:ascii="宋体" w:eastAsia="宋体" w:hAnsi="宋体" w:cs="宋体" w:hint="eastAsia"/>
          <w:sz w:val="24"/>
          <w:szCs w:val="24"/>
        </w:rPr>
        <w:t>的感官评价总结出来的特点，其特点是“酱香突出，陈香明显，曲香、酸香等多种香气协调、平衡、舒适，空杯留香持久，入口酒体绵柔细腻，醇厚丰满，回味悠长”，具体感官要求如表1、表2所示。</w:t>
      </w:r>
    </w:p>
    <w:p w14:paraId="4AB5A921" w14:textId="77777777" w:rsidR="009B781E" w:rsidRDefault="00000000">
      <w:pPr>
        <w:spacing w:line="240" w:lineRule="auto"/>
        <w:ind w:firstLineChars="0" w:firstLine="0"/>
        <w:jc w:val="center"/>
        <w:rPr>
          <w:rFonts w:ascii="宋体" w:eastAsia="宋体" w:hAnsi="宋体" w:cs="宋体"/>
          <w:sz w:val="24"/>
          <w:szCs w:val="24"/>
        </w:rPr>
      </w:pPr>
      <w:r>
        <w:rPr>
          <w:rFonts w:ascii="宋体" w:eastAsia="宋体" w:hAnsi="宋体" w:cs="宋体" w:hint="eastAsia"/>
          <w:sz w:val="24"/>
          <w:szCs w:val="24"/>
        </w:rPr>
        <w:t>表 1  高度酒感官要求（45%vol≤酒精度≤58%vol）</w:t>
      </w:r>
    </w:p>
    <w:tbl>
      <w:tblPr>
        <w:tblStyle w:val="ad"/>
        <w:tblW w:w="8399" w:type="dxa"/>
        <w:jc w:val="center"/>
        <w:tblLook w:val="04A0" w:firstRow="1" w:lastRow="0" w:firstColumn="1" w:lastColumn="0" w:noHBand="0" w:noVBand="1"/>
      </w:tblPr>
      <w:tblGrid>
        <w:gridCol w:w="1138"/>
        <w:gridCol w:w="3372"/>
        <w:gridCol w:w="3889"/>
      </w:tblGrid>
      <w:tr w:rsidR="009B781E" w14:paraId="1C86F2C0" w14:textId="77777777" w:rsidTr="00057593">
        <w:trPr>
          <w:trHeight w:val="97"/>
          <w:jc w:val="center"/>
        </w:trPr>
        <w:tc>
          <w:tcPr>
            <w:tcW w:w="1138" w:type="dxa"/>
          </w:tcPr>
          <w:p w14:paraId="362637CC"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项目</w:t>
            </w:r>
          </w:p>
        </w:tc>
        <w:tc>
          <w:tcPr>
            <w:tcW w:w="3372" w:type="dxa"/>
            <w:vAlign w:val="center"/>
          </w:tcPr>
          <w:p w14:paraId="73375AA8"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优级</w:t>
            </w:r>
          </w:p>
        </w:tc>
        <w:tc>
          <w:tcPr>
            <w:tcW w:w="3888" w:type="dxa"/>
            <w:vAlign w:val="center"/>
          </w:tcPr>
          <w:p w14:paraId="2D9DDF29"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一级</w:t>
            </w:r>
          </w:p>
        </w:tc>
      </w:tr>
      <w:tr w:rsidR="009B781E" w14:paraId="08807BB9" w14:textId="77777777" w:rsidTr="00057593">
        <w:trPr>
          <w:trHeight w:val="281"/>
          <w:jc w:val="center"/>
        </w:trPr>
        <w:tc>
          <w:tcPr>
            <w:tcW w:w="1138" w:type="dxa"/>
            <w:vAlign w:val="center"/>
          </w:tcPr>
          <w:p w14:paraId="001B74D7"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色泽和外观</w:t>
            </w:r>
          </w:p>
        </w:tc>
        <w:tc>
          <w:tcPr>
            <w:tcW w:w="7261" w:type="dxa"/>
            <w:gridSpan w:val="2"/>
          </w:tcPr>
          <w:p w14:paraId="385DFB5A" w14:textId="77777777" w:rsidR="009B781E" w:rsidRDefault="00000000">
            <w:pPr>
              <w:spacing w:line="240" w:lineRule="auto"/>
              <w:ind w:firstLineChars="0" w:firstLine="0"/>
              <w:rPr>
                <w:rFonts w:ascii="宋体" w:eastAsia="宋体" w:hAnsi="宋体" w:cs="宋体"/>
                <w:szCs w:val="21"/>
              </w:rPr>
            </w:pPr>
            <w:r>
              <w:rPr>
                <w:rFonts w:ascii="宋体" w:eastAsia="宋体" w:hAnsi="宋体" w:cs="宋体" w:hint="eastAsia"/>
                <w:szCs w:val="21"/>
              </w:rPr>
              <w:t>色泽微黄，清澈透明，无悬浮物，无沉淀</w:t>
            </w:r>
            <w:r>
              <w:rPr>
                <w:rFonts w:ascii="宋体" w:eastAsia="宋体" w:hAnsi="宋体" w:cs="宋体" w:hint="eastAsia"/>
                <w:szCs w:val="21"/>
                <w:vertAlign w:val="superscript"/>
              </w:rPr>
              <w:t>a</w:t>
            </w:r>
          </w:p>
        </w:tc>
      </w:tr>
      <w:tr w:rsidR="009B781E" w14:paraId="29896424" w14:textId="77777777" w:rsidTr="00057593">
        <w:trPr>
          <w:trHeight w:val="97"/>
          <w:jc w:val="center"/>
        </w:trPr>
        <w:tc>
          <w:tcPr>
            <w:tcW w:w="1138" w:type="dxa"/>
            <w:vAlign w:val="center"/>
          </w:tcPr>
          <w:p w14:paraId="441729C5" w14:textId="684683C6"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香气</w:t>
            </w:r>
            <w:r w:rsidR="00057593" w:rsidRPr="00057593">
              <w:rPr>
                <w:rFonts w:ascii="宋体" w:eastAsia="宋体" w:hAnsi="宋体" w:cs="宋体" w:hint="eastAsia"/>
                <w:szCs w:val="21"/>
                <w:vertAlign w:val="superscript"/>
              </w:rPr>
              <w:t>b</w:t>
            </w:r>
          </w:p>
        </w:tc>
        <w:tc>
          <w:tcPr>
            <w:tcW w:w="3372" w:type="dxa"/>
          </w:tcPr>
          <w:p w14:paraId="47AA41EF"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自然发酵产生的酱香突出，陈香明显，曲香、酸香等多种香气协调、平衡、舒适，空杯留香持久</w:t>
            </w:r>
          </w:p>
        </w:tc>
        <w:tc>
          <w:tcPr>
            <w:tcW w:w="3888" w:type="dxa"/>
          </w:tcPr>
          <w:p w14:paraId="69B03FB8"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自然发酵产生的酱香明显，陈香较明显，曲香、酸香等多种香气协调，空杯留香久</w:t>
            </w:r>
          </w:p>
        </w:tc>
      </w:tr>
      <w:tr w:rsidR="009B781E" w14:paraId="0F63714F" w14:textId="77777777" w:rsidTr="00057593">
        <w:trPr>
          <w:trHeight w:val="681"/>
          <w:jc w:val="center"/>
        </w:trPr>
        <w:tc>
          <w:tcPr>
            <w:tcW w:w="1138" w:type="dxa"/>
            <w:vAlign w:val="center"/>
          </w:tcPr>
          <w:p w14:paraId="16D37AF1"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口味口感</w:t>
            </w:r>
          </w:p>
        </w:tc>
        <w:tc>
          <w:tcPr>
            <w:tcW w:w="3372" w:type="dxa"/>
          </w:tcPr>
          <w:p w14:paraId="4A203C6D"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入口酒体绵柔细腻，醇厚丰满，回味悠长</w:t>
            </w:r>
          </w:p>
        </w:tc>
        <w:tc>
          <w:tcPr>
            <w:tcW w:w="3888" w:type="dxa"/>
          </w:tcPr>
          <w:p w14:paraId="51BB095F"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入口酒体柔顺，协调平衡，后味干净，回味长</w:t>
            </w:r>
          </w:p>
        </w:tc>
      </w:tr>
      <w:tr w:rsidR="009B781E" w14:paraId="488F5808" w14:textId="77777777" w:rsidTr="00057593">
        <w:trPr>
          <w:trHeight w:val="341"/>
          <w:jc w:val="center"/>
        </w:trPr>
        <w:tc>
          <w:tcPr>
            <w:tcW w:w="1138" w:type="dxa"/>
            <w:vAlign w:val="center"/>
          </w:tcPr>
          <w:p w14:paraId="74FE9779" w14:textId="77777777" w:rsidR="009B781E" w:rsidRDefault="00000000">
            <w:pPr>
              <w:spacing w:line="240" w:lineRule="auto"/>
              <w:jc w:val="center"/>
              <w:rPr>
                <w:rFonts w:ascii="宋体" w:eastAsia="宋体" w:hAnsi="宋体" w:cs="宋体"/>
                <w:szCs w:val="21"/>
              </w:rPr>
            </w:pPr>
            <w:r>
              <w:rPr>
                <w:rFonts w:ascii="宋体" w:eastAsia="宋体" w:hAnsi="宋体" w:cs="宋体" w:hint="eastAsia"/>
                <w:szCs w:val="21"/>
              </w:rPr>
              <w:t>风格</w:t>
            </w:r>
          </w:p>
        </w:tc>
        <w:tc>
          <w:tcPr>
            <w:tcW w:w="3372" w:type="dxa"/>
          </w:tcPr>
          <w:p w14:paraId="6605EA80"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具有本品的典型风格</w:t>
            </w:r>
          </w:p>
        </w:tc>
        <w:tc>
          <w:tcPr>
            <w:tcW w:w="3888" w:type="dxa"/>
          </w:tcPr>
          <w:p w14:paraId="0C021FEC"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具有本品的明显风格</w:t>
            </w:r>
          </w:p>
        </w:tc>
      </w:tr>
      <w:tr w:rsidR="009B781E" w14:paraId="537A0AFF" w14:textId="77777777" w:rsidTr="00057593">
        <w:trPr>
          <w:trHeight w:val="97"/>
          <w:jc w:val="center"/>
        </w:trPr>
        <w:tc>
          <w:tcPr>
            <w:tcW w:w="8399" w:type="dxa"/>
            <w:gridSpan w:val="3"/>
            <w:vAlign w:val="center"/>
          </w:tcPr>
          <w:p w14:paraId="3E3106B2" w14:textId="77777777" w:rsidR="009B781E" w:rsidRDefault="00000000">
            <w:pPr>
              <w:spacing w:line="240" w:lineRule="auto"/>
              <w:rPr>
                <w:rFonts w:ascii="宋体" w:eastAsia="宋体" w:hAnsi="宋体" w:cs="宋体"/>
                <w:szCs w:val="21"/>
              </w:rPr>
            </w:pPr>
            <w:r>
              <w:rPr>
                <w:rFonts w:ascii="宋体" w:eastAsia="宋体" w:hAnsi="宋体" w:cs="宋体" w:hint="eastAsia"/>
                <w:szCs w:val="21"/>
                <w:vertAlign w:val="superscript"/>
              </w:rPr>
              <w:t>a</w:t>
            </w:r>
            <w:r>
              <w:rPr>
                <w:rFonts w:ascii="宋体" w:eastAsia="宋体" w:hAnsi="宋体" w:cs="宋体" w:hint="eastAsia"/>
                <w:szCs w:val="21"/>
              </w:rPr>
              <w:t xml:space="preserve">  当酒的温度低于10℃时，允许出现白色絮状沉淀物质或失光；10℃以上时应逐渐恢复正常。</w:t>
            </w:r>
          </w:p>
          <w:p w14:paraId="79DAA1B1" w14:textId="7E430452" w:rsidR="009B781E" w:rsidRDefault="00057593">
            <w:pPr>
              <w:spacing w:line="240" w:lineRule="auto"/>
              <w:rPr>
                <w:rFonts w:ascii="宋体" w:eastAsia="宋体" w:hAnsi="宋体" w:cs="宋体"/>
                <w:spacing w:val="5"/>
                <w:szCs w:val="21"/>
              </w:rPr>
            </w:pPr>
            <w:r>
              <w:rPr>
                <w:rFonts w:ascii="宋体" w:eastAsia="宋体" w:hAnsi="宋体" w:cs="宋体" w:hint="eastAsia"/>
                <w:szCs w:val="21"/>
                <w:vertAlign w:val="superscript"/>
              </w:rPr>
              <w:t>a</w:t>
            </w:r>
            <w:r>
              <w:rPr>
                <w:rFonts w:ascii="宋体" w:eastAsia="宋体" w:hAnsi="宋体" w:cs="宋体"/>
                <w:szCs w:val="21"/>
                <w:vertAlign w:val="superscript"/>
              </w:rPr>
              <w:t xml:space="preserve">    </w:t>
            </w:r>
            <w:r>
              <w:rPr>
                <w:rFonts w:ascii="宋体" w:eastAsia="宋体" w:hAnsi="宋体" w:cs="宋体" w:hint="eastAsia"/>
                <w:szCs w:val="21"/>
              </w:rPr>
              <w:t>不同级别绵柔酱香白酒的香气特征剖面图见附录A</w:t>
            </w:r>
          </w:p>
        </w:tc>
      </w:tr>
    </w:tbl>
    <w:p w14:paraId="0C04B0AE" w14:textId="77777777" w:rsidR="009B781E" w:rsidRDefault="00000000">
      <w:pPr>
        <w:ind w:firstLineChars="0" w:firstLine="0"/>
        <w:jc w:val="center"/>
        <w:rPr>
          <w:rFonts w:ascii="宋体" w:eastAsia="宋体" w:hAnsi="宋体" w:cs="宋体"/>
          <w:sz w:val="24"/>
          <w:szCs w:val="24"/>
        </w:rPr>
      </w:pPr>
      <w:r>
        <w:rPr>
          <w:rFonts w:ascii="宋体" w:eastAsia="宋体" w:hAnsi="宋体" w:cs="宋体" w:hint="eastAsia"/>
          <w:sz w:val="24"/>
          <w:szCs w:val="24"/>
        </w:rPr>
        <w:t>表 2  低度酒感官要求（35%vol≤酒精度＜45%vol）</w:t>
      </w:r>
    </w:p>
    <w:tbl>
      <w:tblPr>
        <w:tblStyle w:val="ad"/>
        <w:tblW w:w="8392" w:type="dxa"/>
        <w:jc w:val="center"/>
        <w:tblLook w:val="04A0" w:firstRow="1" w:lastRow="0" w:firstColumn="1" w:lastColumn="0" w:noHBand="0" w:noVBand="1"/>
      </w:tblPr>
      <w:tblGrid>
        <w:gridCol w:w="1244"/>
        <w:gridCol w:w="3284"/>
        <w:gridCol w:w="3864"/>
      </w:tblGrid>
      <w:tr w:rsidR="009B781E" w14:paraId="3124E972" w14:textId="77777777" w:rsidTr="00057593">
        <w:trPr>
          <w:trHeight w:val="361"/>
          <w:jc w:val="center"/>
        </w:trPr>
        <w:tc>
          <w:tcPr>
            <w:tcW w:w="1244" w:type="dxa"/>
          </w:tcPr>
          <w:p w14:paraId="2AFAC719" w14:textId="77777777" w:rsidR="009B781E" w:rsidRDefault="00000000">
            <w:pPr>
              <w:spacing w:line="240" w:lineRule="auto"/>
              <w:ind w:firstLine="480"/>
              <w:jc w:val="center"/>
              <w:rPr>
                <w:rFonts w:ascii="宋体" w:eastAsia="宋体" w:hAnsi="宋体" w:cs="宋体"/>
                <w:sz w:val="24"/>
                <w:szCs w:val="24"/>
              </w:rPr>
            </w:pPr>
            <w:r>
              <w:rPr>
                <w:rFonts w:ascii="宋体" w:eastAsia="宋体" w:hAnsi="宋体" w:cs="宋体" w:hint="eastAsia"/>
                <w:sz w:val="24"/>
                <w:szCs w:val="24"/>
              </w:rPr>
              <w:t>项目</w:t>
            </w:r>
          </w:p>
        </w:tc>
        <w:tc>
          <w:tcPr>
            <w:tcW w:w="3284" w:type="dxa"/>
          </w:tcPr>
          <w:p w14:paraId="71B4D349" w14:textId="77777777" w:rsidR="009B781E" w:rsidRDefault="00000000">
            <w:pPr>
              <w:spacing w:line="240" w:lineRule="auto"/>
              <w:ind w:firstLine="480"/>
              <w:jc w:val="center"/>
              <w:rPr>
                <w:rFonts w:ascii="宋体" w:eastAsia="宋体" w:hAnsi="宋体" w:cs="宋体"/>
                <w:sz w:val="24"/>
                <w:szCs w:val="24"/>
              </w:rPr>
            </w:pPr>
            <w:r>
              <w:rPr>
                <w:rFonts w:ascii="宋体" w:eastAsia="宋体" w:hAnsi="宋体" w:cs="宋体" w:hint="eastAsia"/>
                <w:sz w:val="24"/>
                <w:szCs w:val="24"/>
              </w:rPr>
              <w:t>优级</w:t>
            </w:r>
          </w:p>
        </w:tc>
        <w:tc>
          <w:tcPr>
            <w:tcW w:w="3864" w:type="dxa"/>
          </w:tcPr>
          <w:p w14:paraId="411A831E" w14:textId="77777777" w:rsidR="009B781E" w:rsidRDefault="00000000">
            <w:pPr>
              <w:spacing w:line="240" w:lineRule="auto"/>
              <w:ind w:firstLine="480"/>
              <w:jc w:val="center"/>
              <w:rPr>
                <w:rFonts w:ascii="宋体" w:eastAsia="宋体" w:hAnsi="宋体" w:cs="宋体"/>
                <w:sz w:val="24"/>
                <w:szCs w:val="24"/>
              </w:rPr>
            </w:pPr>
            <w:r>
              <w:rPr>
                <w:rFonts w:ascii="宋体" w:eastAsia="宋体" w:hAnsi="宋体" w:cs="宋体" w:hint="eastAsia"/>
                <w:sz w:val="24"/>
                <w:szCs w:val="24"/>
              </w:rPr>
              <w:t>一级</w:t>
            </w:r>
          </w:p>
        </w:tc>
      </w:tr>
      <w:tr w:rsidR="009B781E" w14:paraId="06EE4157" w14:textId="77777777" w:rsidTr="00057593">
        <w:trPr>
          <w:trHeight w:val="361"/>
          <w:jc w:val="center"/>
        </w:trPr>
        <w:tc>
          <w:tcPr>
            <w:tcW w:w="1244" w:type="dxa"/>
            <w:vAlign w:val="center"/>
          </w:tcPr>
          <w:p w14:paraId="701C8231"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色泽和外观</w:t>
            </w:r>
          </w:p>
        </w:tc>
        <w:tc>
          <w:tcPr>
            <w:tcW w:w="7148" w:type="dxa"/>
            <w:gridSpan w:val="2"/>
            <w:vAlign w:val="center"/>
          </w:tcPr>
          <w:p w14:paraId="10BB9275" w14:textId="77777777" w:rsidR="009B781E" w:rsidRDefault="00000000">
            <w:pPr>
              <w:spacing w:line="240" w:lineRule="auto"/>
              <w:jc w:val="center"/>
              <w:rPr>
                <w:rFonts w:ascii="宋体" w:eastAsia="宋体" w:hAnsi="宋体" w:cs="宋体"/>
                <w:szCs w:val="21"/>
              </w:rPr>
            </w:pPr>
            <w:r>
              <w:rPr>
                <w:rFonts w:ascii="宋体" w:eastAsia="宋体" w:hAnsi="宋体" w:cs="宋体" w:hint="eastAsia"/>
                <w:szCs w:val="21"/>
              </w:rPr>
              <w:t>色泽微黄，清澈透明，无悬浮物，无沉淀</w:t>
            </w:r>
            <w:r>
              <w:rPr>
                <w:rFonts w:ascii="宋体" w:eastAsia="宋体" w:hAnsi="宋体" w:cs="宋体" w:hint="eastAsia"/>
                <w:szCs w:val="21"/>
                <w:vertAlign w:val="superscript"/>
              </w:rPr>
              <w:t>a</w:t>
            </w:r>
          </w:p>
        </w:tc>
      </w:tr>
      <w:tr w:rsidR="009B781E" w14:paraId="50F2249C" w14:textId="77777777" w:rsidTr="00057593">
        <w:trPr>
          <w:trHeight w:val="1165"/>
          <w:jc w:val="center"/>
        </w:trPr>
        <w:tc>
          <w:tcPr>
            <w:tcW w:w="1244" w:type="dxa"/>
            <w:vAlign w:val="center"/>
          </w:tcPr>
          <w:p w14:paraId="7D4D47DF"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香气</w:t>
            </w:r>
          </w:p>
        </w:tc>
        <w:tc>
          <w:tcPr>
            <w:tcW w:w="3284" w:type="dxa"/>
          </w:tcPr>
          <w:p w14:paraId="18CB28BB"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自然发酵产生的酱香明显，陈香明显，曲香、酸香等多种香气协调、舒适，空杯留香久</w:t>
            </w:r>
          </w:p>
        </w:tc>
        <w:tc>
          <w:tcPr>
            <w:tcW w:w="3864" w:type="dxa"/>
          </w:tcPr>
          <w:p w14:paraId="44E64502"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自然发酵产生的</w:t>
            </w:r>
            <w:proofErr w:type="gramStart"/>
            <w:r>
              <w:rPr>
                <w:rFonts w:ascii="宋体" w:eastAsia="宋体" w:hAnsi="宋体" w:cs="宋体" w:hint="eastAsia"/>
                <w:szCs w:val="21"/>
              </w:rPr>
              <w:t>酱香较明显</w:t>
            </w:r>
            <w:proofErr w:type="gramEnd"/>
            <w:r>
              <w:rPr>
                <w:rFonts w:ascii="宋体" w:eastAsia="宋体" w:hAnsi="宋体" w:cs="宋体" w:hint="eastAsia"/>
                <w:szCs w:val="21"/>
              </w:rPr>
              <w:t>，曲香、酸香等多种香气协调，空杯留香久</w:t>
            </w:r>
          </w:p>
        </w:tc>
      </w:tr>
      <w:tr w:rsidR="009B781E" w14:paraId="701A2AB8" w14:textId="77777777" w:rsidTr="00057593">
        <w:trPr>
          <w:trHeight w:val="101"/>
          <w:jc w:val="center"/>
        </w:trPr>
        <w:tc>
          <w:tcPr>
            <w:tcW w:w="1244" w:type="dxa"/>
            <w:vAlign w:val="center"/>
          </w:tcPr>
          <w:p w14:paraId="74734810"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口味口感</w:t>
            </w:r>
          </w:p>
        </w:tc>
        <w:tc>
          <w:tcPr>
            <w:tcW w:w="3284" w:type="dxa"/>
          </w:tcPr>
          <w:p w14:paraId="05A09463"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入口酒体绵柔细腻，丰满协调，回味悠长</w:t>
            </w:r>
          </w:p>
        </w:tc>
        <w:tc>
          <w:tcPr>
            <w:tcW w:w="3864" w:type="dxa"/>
          </w:tcPr>
          <w:p w14:paraId="7C695621" w14:textId="77777777" w:rsidR="009B781E" w:rsidRDefault="00000000" w:rsidP="00057593">
            <w:pPr>
              <w:spacing w:line="240" w:lineRule="auto"/>
              <w:ind w:firstLineChars="0" w:firstLine="0"/>
              <w:rPr>
                <w:rFonts w:ascii="宋体" w:eastAsia="宋体" w:hAnsi="宋体" w:cs="宋体"/>
                <w:szCs w:val="21"/>
              </w:rPr>
            </w:pPr>
            <w:r>
              <w:rPr>
                <w:rFonts w:ascii="宋体" w:eastAsia="宋体" w:hAnsi="宋体" w:cs="宋体" w:hint="eastAsia"/>
                <w:szCs w:val="21"/>
              </w:rPr>
              <w:t>入口酒体醇和，协调平衡，后味干净，回味较长</w:t>
            </w:r>
          </w:p>
        </w:tc>
      </w:tr>
      <w:tr w:rsidR="009B781E" w14:paraId="76BAFE0F" w14:textId="77777777" w:rsidTr="00057593">
        <w:trPr>
          <w:trHeight w:val="251"/>
          <w:jc w:val="center"/>
        </w:trPr>
        <w:tc>
          <w:tcPr>
            <w:tcW w:w="1244" w:type="dxa"/>
            <w:vAlign w:val="center"/>
          </w:tcPr>
          <w:p w14:paraId="36E5C310"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风格</w:t>
            </w:r>
          </w:p>
        </w:tc>
        <w:tc>
          <w:tcPr>
            <w:tcW w:w="3284" w:type="dxa"/>
          </w:tcPr>
          <w:p w14:paraId="27791E25"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具有本品的典型风格</w:t>
            </w:r>
          </w:p>
        </w:tc>
        <w:tc>
          <w:tcPr>
            <w:tcW w:w="3864" w:type="dxa"/>
          </w:tcPr>
          <w:p w14:paraId="6C864968" w14:textId="77777777" w:rsidR="009B781E" w:rsidRDefault="00000000">
            <w:pPr>
              <w:spacing w:line="240" w:lineRule="auto"/>
              <w:ind w:firstLineChars="0" w:firstLine="0"/>
              <w:jc w:val="center"/>
              <w:rPr>
                <w:rFonts w:ascii="宋体" w:eastAsia="宋体" w:hAnsi="宋体" w:cs="宋体"/>
                <w:szCs w:val="21"/>
              </w:rPr>
            </w:pPr>
            <w:r>
              <w:rPr>
                <w:rFonts w:ascii="宋体" w:eastAsia="宋体" w:hAnsi="宋体" w:cs="宋体" w:hint="eastAsia"/>
                <w:szCs w:val="21"/>
              </w:rPr>
              <w:t>具有本品的明显风格</w:t>
            </w:r>
          </w:p>
        </w:tc>
      </w:tr>
      <w:tr w:rsidR="009B781E" w14:paraId="57D5FE17" w14:textId="77777777" w:rsidTr="00057593">
        <w:trPr>
          <w:trHeight w:val="361"/>
          <w:jc w:val="center"/>
        </w:trPr>
        <w:tc>
          <w:tcPr>
            <w:tcW w:w="8392" w:type="dxa"/>
            <w:gridSpan w:val="3"/>
          </w:tcPr>
          <w:p w14:paraId="7983FEE1" w14:textId="4A8BA4E3" w:rsidR="009B781E" w:rsidRPr="00057593" w:rsidRDefault="00000000" w:rsidP="00057593">
            <w:pPr>
              <w:spacing w:line="240" w:lineRule="auto"/>
              <w:rPr>
                <w:rFonts w:ascii="宋体" w:eastAsia="宋体" w:hAnsi="宋体" w:cs="宋体"/>
                <w:szCs w:val="21"/>
              </w:rPr>
            </w:pPr>
            <w:r>
              <w:rPr>
                <w:rFonts w:ascii="宋体" w:eastAsia="宋体" w:hAnsi="宋体" w:cs="宋体" w:hint="eastAsia"/>
                <w:szCs w:val="21"/>
                <w:vertAlign w:val="superscript"/>
              </w:rPr>
              <w:t xml:space="preserve">a </w:t>
            </w:r>
            <w:r>
              <w:rPr>
                <w:rFonts w:ascii="宋体" w:eastAsia="宋体" w:hAnsi="宋体" w:cs="宋体" w:hint="eastAsia"/>
                <w:szCs w:val="21"/>
              </w:rPr>
              <w:t xml:space="preserve">  当酒的温度低于10℃时，允许出现白色絮状沉淀物质或失光；10℃以上时应逐渐恢复正常。</w:t>
            </w:r>
          </w:p>
        </w:tc>
      </w:tr>
    </w:tbl>
    <w:p w14:paraId="4781980A"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② 理化要求</w:t>
      </w:r>
    </w:p>
    <w:p w14:paraId="51B28FBF"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理化要求规定如表3所示，</w:t>
      </w:r>
    </w:p>
    <w:p w14:paraId="4A41839A" w14:textId="77777777" w:rsidR="009B781E" w:rsidRDefault="00000000">
      <w:pPr>
        <w:pStyle w:val="a0"/>
        <w:numPr>
          <w:ilvl w:val="0"/>
          <w:numId w:val="0"/>
        </w:numPr>
        <w:tabs>
          <w:tab w:val="left" w:pos="360"/>
        </w:tabs>
        <w:spacing w:before="156" w:after="156"/>
        <w:rPr>
          <w:rFonts w:ascii="宋体" w:eastAsia="宋体" w:hAnsi="宋体" w:cs="宋体"/>
          <w:sz w:val="24"/>
          <w:szCs w:val="24"/>
        </w:rPr>
      </w:pPr>
      <w:r>
        <w:rPr>
          <w:rFonts w:ascii="宋体" w:eastAsia="宋体" w:hAnsi="宋体" w:cs="宋体" w:hint="eastAsia"/>
          <w:sz w:val="24"/>
          <w:szCs w:val="24"/>
        </w:rPr>
        <w:t>表3   理化要求</w:t>
      </w:r>
    </w:p>
    <w:tbl>
      <w:tblPr>
        <w:tblStyle w:val="ad"/>
        <w:tblW w:w="0" w:type="auto"/>
        <w:tblLook w:val="04A0" w:firstRow="1" w:lastRow="0" w:firstColumn="1" w:lastColumn="0" w:noHBand="0" w:noVBand="1"/>
      </w:tblPr>
      <w:tblGrid>
        <w:gridCol w:w="3652"/>
        <w:gridCol w:w="2805"/>
        <w:gridCol w:w="961"/>
        <w:gridCol w:w="937"/>
      </w:tblGrid>
      <w:tr w:rsidR="009B781E" w14:paraId="3A8F7B2D" w14:textId="77777777" w:rsidTr="0064765B">
        <w:trPr>
          <w:trHeight w:val="303"/>
        </w:trPr>
        <w:tc>
          <w:tcPr>
            <w:tcW w:w="6457" w:type="dxa"/>
            <w:gridSpan w:val="2"/>
            <w:vAlign w:val="center"/>
          </w:tcPr>
          <w:p w14:paraId="4E629664" w14:textId="77777777" w:rsidR="009B781E" w:rsidRDefault="00000000" w:rsidP="00057593">
            <w:pPr>
              <w:spacing w:line="240" w:lineRule="exact"/>
              <w:ind w:firstLineChars="0" w:firstLine="0"/>
              <w:jc w:val="center"/>
              <w:rPr>
                <w:rFonts w:ascii="宋体" w:eastAsia="宋体" w:hAnsi="宋体" w:cs="宋体"/>
                <w:szCs w:val="21"/>
              </w:rPr>
            </w:pPr>
            <w:r>
              <w:rPr>
                <w:rFonts w:ascii="宋体" w:eastAsia="宋体" w:hAnsi="宋体" w:cs="宋体" w:hint="eastAsia"/>
                <w:spacing w:val="5"/>
                <w:szCs w:val="21"/>
              </w:rPr>
              <w:t>项目</w:t>
            </w:r>
          </w:p>
        </w:tc>
        <w:tc>
          <w:tcPr>
            <w:tcW w:w="961" w:type="dxa"/>
            <w:vAlign w:val="center"/>
          </w:tcPr>
          <w:p w14:paraId="3730664D"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优级</w:t>
            </w:r>
          </w:p>
        </w:tc>
        <w:tc>
          <w:tcPr>
            <w:tcW w:w="937" w:type="dxa"/>
            <w:vAlign w:val="center"/>
          </w:tcPr>
          <w:p w14:paraId="56D167FF"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一级</w:t>
            </w:r>
          </w:p>
        </w:tc>
      </w:tr>
      <w:tr w:rsidR="009B781E" w14:paraId="03CEB42D" w14:textId="77777777" w:rsidTr="0064765B">
        <w:trPr>
          <w:trHeight w:val="280"/>
        </w:trPr>
        <w:tc>
          <w:tcPr>
            <w:tcW w:w="6457" w:type="dxa"/>
            <w:gridSpan w:val="2"/>
            <w:vAlign w:val="center"/>
          </w:tcPr>
          <w:p w14:paraId="2D754983" w14:textId="77777777" w:rsidR="009B781E" w:rsidRDefault="00000000">
            <w:pPr>
              <w:spacing w:line="240" w:lineRule="exact"/>
              <w:ind w:firstLineChars="0" w:firstLine="0"/>
              <w:rPr>
                <w:rFonts w:ascii="宋体" w:eastAsia="宋体" w:hAnsi="宋体" w:cs="宋体"/>
                <w:szCs w:val="21"/>
              </w:rPr>
            </w:pPr>
            <w:r>
              <w:rPr>
                <w:rFonts w:ascii="宋体" w:eastAsia="宋体" w:hAnsi="宋体" w:cs="宋体" w:hint="eastAsia"/>
                <w:spacing w:val="5"/>
                <w:szCs w:val="21"/>
              </w:rPr>
              <w:t>酒精度（20℃） /%vol</w:t>
            </w:r>
          </w:p>
        </w:tc>
        <w:tc>
          <w:tcPr>
            <w:tcW w:w="1898" w:type="dxa"/>
            <w:gridSpan w:val="2"/>
            <w:vAlign w:val="center"/>
          </w:tcPr>
          <w:p w14:paraId="0791EA1B"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35.0～58.0</w:t>
            </w:r>
          </w:p>
        </w:tc>
      </w:tr>
      <w:tr w:rsidR="009B781E" w14:paraId="6A38368A" w14:textId="77777777" w:rsidTr="0064765B">
        <w:trPr>
          <w:trHeight w:val="280"/>
        </w:trPr>
        <w:tc>
          <w:tcPr>
            <w:tcW w:w="6457" w:type="dxa"/>
            <w:gridSpan w:val="2"/>
            <w:vAlign w:val="center"/>
          </w:tcPr>
          <w:p w14:paraId="2BE2D5D3" w14:textId="77777777" w:rsidR="009B781E" w:rsidRDefault="00000000">
            <w:pPr>
              <w:pStyle w:val="2"/>
              <w:numPr>
                <w:ilvl w:val="1"/>
                <w:numId w:val="0"/>
              </w:numPr>
              <w:spacing w:line="240" w:lineRule="exact"/>
              <w:rPr>
                <w:rFonts w:ascii="宋体" w:eastAsia="宋体" w:hAnsi="宋体" w:cs="宋体"/>
                <w:b w:val="0"/>
                <w:sz w:val="21"/>
                <w:szCs w:val="21"/>
              </w:rPr>
            </w:pPr>
            <w:r>
              <w:rPr>
                <w:rFonts w:ascii="宋体" w:eastAsia="宋体" w:hAnsi="宋体" w:cs="宋体" w:hint="eastAsia"/>
                <w:b w:val="0"/>
                <w:spacing w:val="5"/>
                <w:sz w:val="21"/>
                <w:szCs w:val="21"/>
              </w:rPr>
              <w:lastRenderedPageBreak/>
              <w:t>固形物/ (g/L)≤</w:t>
            </w:r>
          </w:p>
        </w:tc>
        <w:tc>
          <w:tcPr>
            <w:tcW w:w="1898" w:type="dxa"/>
            <w:gridSpan w:val="2"/>
            <w:vAlign w:val="center"/>
          </w:tcPr>
          <w:p w14:paraId="3831D153"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≤0.70</w:t>
            </w:r>
          </w:p>
        </w:tc>
      </w:tr>
      <w:tr w:rsidR="009B781E" w14:paraId="2807D4CB" w14:textId="77777777" w:rsidTr="0064765B">
        <w:trPr>
          <w:trHeight w:val="254"/>
        </w:trPr>
        <w:tc>
          <w:tcPr>
            <w:tcW w:w="3652" w:type="dxa"/>
            <w:vAlign w:val="center"/>
          </w:tcPr>
          <w:p w14:paraId="099140BA"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总酸</w:t>
            </w:r>
            <w:r>
              <w:rPr>
                <w:rFonts w:ascii="宋体" w:eastAsia="宋体" w:hAnsi="宋体" w:cs="宋体" w:hint="eastAsia"/>
                <w:b w:val="0"/>
                <w:spacing w:val="5"/>
                <w:sz w:val="21"/>
                <w:szCs w:val="21"/>
                <w:vertAlign w:val="superscript"/>
              </w:rPr>
              <w:t xml:space="preserve">a </w:t>
            </w:r>
            <w:r>
              <w:rPr>
                <w:rFonts w:ascii="宋体" w:eastAsia="宋体" w:hAnsi="宋体" w:cs="宋体" w:hint="eastAsia"/>
                <w:b w:val="0"/>
                <w:spacing w:val="5"/>
                <w:sz w:val="21"/>
                <w:szCs w:val="21"/>
              </w:rPr>
              <w:t>(以乙酸计) / (g/L)  ≥</w:t>
            </w:r>
          </w:p>
        </w:tc>
        <w:tc>
          <w:tcPr>
            <w:tcW w:w="2805" w:type="dxa"/>
            <w:vMerge w:val="restart"/>
            <w:vAlign w:val="center"/>
          </w:tcPr>
          <w:p w14:paraId="246CC4F6"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产品自生产日期≤一年执行的指标</w:t>
            </w:r>
          </w:p>
        </w:tc>
        <w:tc>
          <w:tcPr>
            <w:tcW w:w="961" w:type="dxa"/>
            <w:vAlign w:val="center"/>
          </w:tcPr>
          <w:p w14:paraId="7BCCDD57"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≥1.60</w:t>
            </w:r>
          </w:p>
        </w:tc>
        <w:tc>
          <w:tcPr>
            <w:tcW w:w="937" w:type="dxa"/>
            <w:vAlign w:val="center"/>
          </w:tcPr>
          <w:p w14:paraId="7D5459D9"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≥1.50</w:t>
            </w:r>
          </w:p>
        </w:tc>
      </w:tr>
      <w:tr w:rsidR="009B781E" w14:paraId="6687F741" w14:textId="77777777" w:rsidTr="0064765B">
        <w:trPr>
          <w:trHeight w:val="255"/>
        </w:trPr>
        <w:tc>
          <w:tcPr>
            <w:tcW w:w="3652" w:type="dxa"/>
            <w:vAlign w:val="center"/>
          </w:tcPr>
          <w:p w14:paraId="4F7B2612" w14:textId="77777777" w:rsidR="009B781E" w:rsidRDefault="00000000">
            <w:pPr>
              <w:pStyle w:val="2"/>
              <w:numPr>
                <w:ilvl w:val="1"/>
                <w:numId w:val="0"/>
              </w:numPr>
              <w:spacing w:line="240" w:lineRule="exact"/>
              <w:jc w:val="left"/>
              <w:rPr>
                <w:rFonts w:ascii="宋体" w:eastAsia="宋体" w:hAnsi="宋体" w:cs="宋体"/>
                <w:b w:val="0"/>
                <w:sz w:val="21"/>
                <w:szCs w:val="21"/>
              </w:rPr>
            </w:pPr>
            <w:proofErr w:type="gramStart"/>
            <w:r>
              <w:rPr>
                <w:rFonts w:ascii="宋体" w:eastAsia="宋体" w:hAnsi="宋体" w:cs="宋体" w:hint="eastAsia"/>
                <w:b w:val="0"/>
                <w:spacing w:val="5"/>
                <w:sz w:val="21"/>
                <w:szCs w:val="21"/>
              </w:rPr>
              <w:t>总酯</w:t>
            </w:r>
            <w:proofErr w:type="gramEnd"/>
            <w:r>
              <w:rPr>
                <w:rFonts w:ascii="宋体" w:eastAsia="宋体" w:hAnsi="宋体" w:cs="宋体" w:hint="eastAsia"/>
                <w:b w:val="0"/>
                <w:spacing w:val="5"/>
                <w:sz w:val="21"/>
                <w:szCs w:val="21"/>
                <w:vertAlign w:val="superscript"/>
              </w:rPr>
              <w:t xml:space="preserve">a </w:t>
            </w:r>
            <w:r>
              <w:rPr>
                <w:rFonts w:ascii="宋体" w:eastAsia="宋体" w:hAnsi="宋体" w:cs="宋体" w:hint="eastAsia"/>
                <w:b w:val="0"/>
                <w:spacing w:val="5"/>
                <w:sz w:val="21"/>
                <w:szCs w:val="21"/>
              </w:rPr>
              <w:t xml:space="preserve"> (以乙酸乙酯计) /(g/L)≥</w:t>
            </w:r>
          </w:p>
        </w:tc>
        <w:tc>
          <w:tcPr>
            <w:tcW w:w="2805" w:type="dxa"/>
            <w:vMerge/>
            <w:vAlign w:val="center"/>
          </w:tcPr>
          <w:p w14:paraId="42704E77" w14:textId="77777777" w:rsidR="009B781E" w:rsidRDefault="009B781E">
            <w:pPr>
              <w:pStyle w:val="2"/>
              <w:spacing w:line="240" w:lineRule="exact"/>
              <w:jc w:val="center"/>
              <w:rPr>
                <w:rFonts w:ascii="宋体" w:eastAsia="宋体" w:hAnsi="宋体" w:cs="宋体"/>
                <w:b w:val="0"/>
                <w:sz w:val="21"/>
                <w:szCs w:val="21"/>
              </w:rPr>
            </w:pPr>
          </w:p>
        </w:tc>
        <w:tc>
          <w:tcPr>
            <w:tcW w:w="961" w:type="dxa"/>
            <w:vAlign w:val="center"/>
          </w:tcPr>
          <w:p w14:paraId="697F0179"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≥2.50</w:t>
            </w:r>
          </w:p>
        </w:tc>
        <w:tc>
          <w:tcPr>
            <w:tcW w:w="937" w:type="dxa"/>
            <w:vAlign w:val="center"/>
          </w:tcPr>
          <w:p w14:paraId="48685B6B"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≥2.00</w:t>
            </w:r>
          </w:p>
        </w:tc>
      </w:tr>
      <w:tr w:rsidR="009B781E" w14:paraId="13CF1FBE" w14:textId="77777777" w:rsidTr="0064765B">
        <w:trPr>
          <w:trHeight w:val="280"/>
        </w:trPr>
        <w:tc>
          <w:tcPr>
            <w:tcW w:w="3652" w:type="dxa"/>
            <w:vAlign w:val="center"/>
          </w:tcPr>
          <w:p w14:paraId="09255B39"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己酸乙酯/ (g/L)≤</w:t>
            </w:r>
          </w:p>
        </w:tc>
        <w:tc>
          <w:tcPr>
            <w:tcW w:w="2805" w:type="dxa"/>
            <w:vMerge/>
            <w:vAlign w:val="center"/>
          </w:tcPr>
          <w:p w14:paraId="79294EAE" w14:textId="77777777" w:rsidR="009B781E" w:rsidRDefault="009B781E">
            <w:pPr>
              <w:pStyle w:val="2"/>
              <w:spacing w:line="240" w:lineRule="exact"/>
              <w:jc w:val="center"/>
              <w:rPr>
                <w:rFonts w:ascii="宋体" w:eastAsia="宋体" w:hAnsi="宋体" w:cs="宋体"/>
                <w:b w:val="0"/>
                <w:sz w:val="21"/>
                <w:szCs w:val="21"/>
              </w:rPr>
            </w:pPr>
          </w:p>
        </w:tc>
        <w:tc>
          <w:tcPr>
            <w:tcW w:w="1898" w:type="dxa"/>
            <w:gridSpan w:val="2"/>
            <w:vAlign w:val="center"/>
          </w:tcPr>
          <w:p w14:paraId="40BC5329"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≤0.30</w:t>
            </w:r>
          </w:p>
        </w:tc>
      </w:tr>
      <w:tr w:rsidR="009B781E" w14:paraId="15AB0B9D" w14:textId="77777777" w:rsidTr="0064765B">
        <w:trPr>
          <w:trHeight w:val="89"/>
        </w:trPr>
        <w:tc>
          <w:tcPr>
            <w:tcW w:w="3652" w:type="dxa"/>
            <w:vAlign w:val="center"/>
          </w:tcPr>
          <w:p w14:paraId="0C017951" w14:textId="77777777" w:rsidR="009B781E" w:rsidRDefault="00000000">
            <w:pPr>
              <w:pStyle w:val="2"/>
              <w:numPr>
                <w:ilvl w:val="1"/>
                <w:numId w:val="0"/>
              </w:numPr>
              <w:spacing w:line="240" w:lineRule="exact"/>
              <w:jc w:val="center"/>
              <w:rPr>
                <w:rFonts w:ascii="宋体" w:eastAsia="宋体" w:hAnsi="宋体" w:cs="宋体"/>
                <w:b w:val="0"/>
                <w:spacing w:val="5"/>
                <w:sz w:val="21"/>
                <w:szCs w:val="21"/>
              </w:rPr>
            </w:pPr>
            <w:r>
              <w:rPr>
                <w:rFonts w:ascii="宋体" w:eastAsia="宋体" w:hAnsi="宋体" w:cs="宋体" w:hint="eastAsia"/>
                <w:b w:val="0"/>
                <w:bCs/>
                <w:spacing w:val="5"/>
                <w:sz w:val="21"/>
                <w:szCs w:val="21"/>
              </w:rPr>
              <w:t>酸酯总量</w:t>
            </w:r>
            <w:r>
              <w:rPr>
                <w:rFonts w:ascii="宋体" w:eastAsia="宋体" w:hAnsi="宋体" w:cs="宋体" w:hint="eastAsia"/>
                <w:b w:val="0"/>
                <w:spacing w:val="5"/>
                <w:sz w:val="21"/>
                <w:szCs w:val="21"/>
                <w:vertAlign w:val="superscript"/>
              </w:rPr>
              <w:t xml:space="preserve">a </w:t>
            </w:r>
            <w:r>
              <w:rPr>
                <w:rFonts w:ascii="宋体" w:eastAsia="宋体" w:hAnsi="宋体" w:cs="宋体" w:hint="eastAsia"/>
                <w:b w:val="0"/>
                <w:bCs/>
                <w:spacing w:val="5"/>
                <w:sz w:val="21"/>
                <w:szCs w:val="21"/>
              </w:rPr>
              <w:t xml:space="preserve">/ </w:t>
            </w:r>
            <w:r>
              <w:rPr>
                <w:rFonts w:ascii="宋体" w:eastAsia="宋体" w:hAnsi="宋体" w:cs="宋体" w:hint="eastAsia"/>
                <w:b w:val="0"/>
                <w:bCs/>
                <w:spacing w:val="6"/>
                <w:sz w:val="21"/>
                <w:szCs w:val="21"/>
              </w:rPr>
              <w:t>(mmol/L)</w:t>
            </w:r>
          </w:p>
        </w:tc>
        <w:tc>
          <w:tcPr>
            <w:tcW w:w="2805" w:type="dxa"/>
            <w:vAlign w:val="center"/>
          </w:tcPr>
          <w:p w14:paraId="2F97E23B" w14:textId="57D21040"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产品自生产日期</w:t>
            </w:r>
            <w:r w:rsidR="00057593">
              <w:rPr>
                <w:rFonts w:ascii="宋体" w:eastAsia="宋体" w:hAnsi="宋体" w:cs="宋体" w:hint="eastAsia"/>
                <w:b w:val="0"/>
                <w:spacing w:val="5"/>
                <w:sz w:val="21"/>
                <w:szCs w:val="21"/>
              </w:rPr>
              <w:t>＞</w:t>
            </w:r>
            <w:r>
              <w:rPr>
                <w:rFonts w:ascii="宋体" w:eastAsia="宋体" w:hAnsi="宋体" w:cs="宋体" w:hint="eastAsia"/>
                <w:b w:val="0"/>
                <w:spacing w:val="5"/>
                <w:sz w:val="21"/>
                <w:szCs w:val="21"/>
              </w:rPr>
              <w:t>一年执行的指标</w:t>
            </w:r>
          </w:p>
        </w:tc>
        <w:tc>
          <w:tcPr>
            <w:tcW w:w="961" w:type="dxa"/>
            <w:vAlign w:val="center"/>
          </w:tcPr>
          <w:p w14:paraId="70CEC80C"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≥60.0</w:t>
            </w:r>
          </w:p>
        </w:tc>
        <w:tc>
          <w:tcPr>
            <w:tcW w:w="937" w:type="dxa"/>
            <w:vAlign w:val="center"/>
          </w:tcPr>
          <w:p w14:paraId="47DD73AA" w14:textId="77777777" w:rsidR="009B781E" w:rsidRDefault="00000000">
            <w:pPr>
              <w:pStyle w:val="2"/>
              <w:numPr>
                <w:ilvl w:val="1"/>
                <w:numId w:val="0"/>
              </w:numPr>
              <w:spacing w:line="240" w:lineRule="exact"/>
              <w:jc w:val="center"/>
              <w:rPr>
                <w:rFonts w:ascii="宋体" w:eastAsia="宋体" w:hAnsi="宋体" w:cs="宋体"/>
                <w:b w:val="0"/>
                <w:sz w:val="21"/>
                <w:szCs w:val="21"/>
              </w:rPr>
            </w:pPr>
            <w:r>
              <w:rPr>
                <w:rFonts w:ascii="宋体" w:eastAsia="宋体" w:hAnsi="宋体" w:cs="宋体" w:hint="eastAsia"/>
                <w:b w:val="0"/>
                <w:spacing w:val="5"/>
                <w:sz w:val="21"/>
                <w:szCs w:val="21"/>
              </w:rPr>
              <w:t>≥50.0</w:t>
            </w:r>
          </w:p>
        </w:tc>
      </w:tr>
      <w:tr w:rsidR="009B781E" w14:paraId="59F3A9DE" w14:textId="77777777" w:rsidTr="00057593">
        <w:trPr>
          <w:trHeight w:val="280"/>
        </w:trPr>
        <w:tc>
          <w:tcPr>
            <w:tcW w:w="8355" w:type="dxa"/>
            <w:gridSpan w:val="4"/>
            <w:vAlign w:val="center"/>
          </w:tcPr>
          <w:p w14:paraId="5DE94B1E" w14:textId="77777777" w:rsidR="009B781E" w:rsidRDefault="00000000">
            <w:pPr>
              <w:pStyle w:val="2"/>
              <w:numPr>
                <w:ilvl w:val="1"/>
                <w:numId w:val="0"/>
              </w:numPr>
              <w:spacing w:line="240" w:lineRule="exact"/>
              <w:jc w:val="left"/>
              <w:rPr>
                <w:rFonts w:ascii="宋体" w:eastAsia="宋体" w:hAnsi="宋体" w:cs="宋体"/>
                <w:b w:val="0"/>
                <w:sz w:val="21"/>
                <w:szCs w:val="21"/>
              </w:rPr>
            </w:pPr>
            <w:r>
              <w:rPr>
                <w:rFonts w:ascii="宋体" w:eastAsia="宋体" w:hAnsi="宋体" w:cs="宋体" w:hint="eastAsia"/>
                <w:b w:val="0"/>
                <w:spacing w:val="5"/>
                <w:sz w:val="21"/>
                <w:szCs w:val="21"/>
                <w:vertAlign w:val="superscript"/>
              </w:rPr>
              <w:t xml:space="preserve">a </w:t>
            </w:r>
            <w:r>
              <w:rPr>
                <w:rFonts w:ascii="宋体" w:eastAsia="宋体" w:hAnsi="宋体" w:cs="宋体" w:hint="eastAsia"/>
                <w:b w:val="0"/>
                <w:spacing w:val="5"/>
                <w:sz w:val="21"/>
                <w:szCs w:val="21"/>
              </w:rPr>
              <w:t>按53%vol酒精度折算。</w:t>
            </w:r>
          </w:p>
        </w:tc>
      </w:tr>
    </w:tbl>
    <w:p w14:paraId="73C8A008"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酒精度</w:t>
      </w:r>
    </w:p>
    <w:p w14:paraId="72B052CE"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酒精度是基于酱酒国标基础上维持该指标，酒精度范围为35.0～58.0%vol。</w:t>
      </w:r>
    </w:p>
    <w:p w14:paraId="7165AB6F"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总酸</w:t>
      </w:r>
    </w:p>
    <w:p w14:paraId="646EB23D"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根据所生产的绵柔酱香白酒总酸检测、统计，总酸的范围</w:t>
      </w:r>
      <w:r w:rsidRPr="00057593">
        <w:rPr>
          <w:rFonts w:ascii="宋体" w:eastAsia="宋体" w:hAnsi="宋体" w:cs="宋体" w:hint="eastAsia"/>
          <w:sz w:val="24"/>
          <w:szCs w:val="24"/>
        </w:rPr>
        <w:t>为1.50～2.50</w:t>
      </w:r>
      <w:r>
        <w:rPr>
          <w:rFonts w:ascii="宋体" w:eastAsia="宋体" w:hAnsi="宋体" w:cs="宋体" w:hint="eastAsia"/>
          <w:sz w:val="24"/>
          <w:szCs w:val="24"/>
        </w:rPr>
        <w:t>g/L，故总酸的设置为：优级酒总酸≥1.60 g/L，一级酒总酸≥1.50g/L，按53%vol进行折算。</w:t>
      </w:r>
    </w:p>
    <w:p w14:paraId="05B8C42D"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总酯</w:t>
      </w:r>
    </w:p>
    <w:p w14:paraId="1C4AA90C" w14:textId="77777777" w:rsidR="009B781E" w:rsidRDefault="00000000">
      <w:pPr>
        <w:ind w:firstLine="480"/>
        <w:rPr>
          <w:rFonts w:ascii="宋体" w:eastAsia="宋体" w:hAnsi="宋体" w:cs="宋体"/>
          <w:sz w:val="24"/>
          <w:szCs w:val="24"/>
        </w:rPr>
      </w:pPr>
      <w:proofErr w:type="gramStart"/>
      <w:r>
        <w:rPr>
          <w:rFonts w:ascii="宋体" w:eastAsia="宋体" w:hAnsi="宋体" w:cs="宋体" w:hint="eastAsia"/>
          <w:sz w:val="24"/>
          <w:szCs w:val="24"/>
        </w:rPr>
        <w:t>总酯是</w:t>
      </w:r>
      <w:proofErr w:type="gramEnd"/>
      <w:r>
        <w:rPr>
          <w:rFonts w:ascii="宋体" w:eastAsia="宋体" w:hAnsi="宋体" w:cs="宋体" w:hint="eastAsia"/>
          <w:sz w:val="24"/>
          <w:szCs w:val="24"/>
        </w:rPr>
        <w:t>基于酱酒国标基础上维持该指标，优级</w:t>
      </w:r>
      <w:proofErr w:type="gramStart"/>
      <w:r>
        <w:rPr>
          <w:rFonts w:ascii="宋体" w:eastAsia="宋体" w:hAnsi="宋体" w:cs="宋体" w:hint="eastAsia"/>
          <w:sz w:val="24"/>
          <w:szCs w:val="24"/>
        </w:rPr>
        <w:t>酒总酯</w:t>
      </w:r>
      <w:proofErr w:type="gramEnd"/>
      <w:r>
        <w:rPr>
          <w:rFonts w:ascii="宋体" w:eastAsia="宋体" w:hAnsi="宋体" w:cs="宋体" w:hint="eastAsia"/>
          <w:sz w:val="24"/>
          <w:szCs w:val="24"/>
        </w:rPr>
        <w:t>≥2.50 g/L，一级</w:t>
      </w:r>
      <w:proofErr w:type="gramStart"/>
      <w:r>
        <w:rPr>
          <w:rFonts w:ascii="宋体" w:eastAsia="宋体" w:hAnsi="宋体" w:cs="宋体" w:hint="eastAsia"/>
          <w:sz w:val="24"/>
          <w:szCs w:val="24"/>
        </w:rPr>
        <w:t>酒总酯</w:t>
      </w:r>
      <w:proofErr w:type="gramEnd"/>
      <w:r>
        <w:rPr>
          <w:rFonts w:ascii="宋体" w:eastAsia="宋体" w:hAnsi="宋体" w:cs="宋体" w:hint="eastAsia"/>
          <w:sz w:val="24"/>
          <w:szCs w:val="24"/>
        </w:rPr>
        <w:t>≥2.00g/L，按53%vol进行折算。</w:t>
      </w:r>
    </w:p>
    <w:p w14:paraId="7743FBC3"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酸酯总量</w:t>
      </w:r>
    </w:p>
    <w:p w14:paraId="061E4FD8"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白酒中的</w:t>
      </w:r>
      <w:proofErr w:type="gramStart"/>
      <w:r>
        <w:rPr>
          <w:rFonts w:ascii="宋体" w:eastAsia="宋体" w:hAnsi="宋体" w:cs="宋体" w:hint="eastAsia"/>
          <w:sz w:val="24"/>
          <w:szCs w:val="24"/>
        </w:rPr>
        <w:t>呈香呈味</w:t>
      </w:r>
      <w:proofErr w:type="gramEnd"/>
      <w:r>
        <w:rPr>
          <w:rFonts w:ascii="宋体" w:eastAsia="宋体" w:hAnsi="宋体" w:cs="宋体" w:hint="eastAsia"/>
          <w:sz w:val="24"/>
          <w:szCs w:val="24"/>
        </w:rPr>
        <w:t>物质主要是大量的酯和</w:t>
      </w:r>
      <w:proofErr w:type="gramStart"/>
      <w:r>
        <w:rPr>
          <w:rFonts w:ascii="宋体" w:eastAsia="宋体" w:hAnsi="宋体" w:cs="宋体" w:hint="eastAsia"/>
          <w:sz w:val="24"/>
          <w:szCs w:val="24"/>
        </w:rPr>
        <w:t>酸。</w:t>
      </w:r>
      <w:proofErr w:type="gramEnd"/>
      <w:r>
        <w:rPr>
          <w:rFonts w:ascii="宋体" w:eastAsia="宋体" w:hAnsi="宋体" w:cs="宋体" w:hint="eastAsia"/>
          <w:sz w:val="24"/>
          <w:szCs w:val="24"/>
        </w:rPr>
        <w:t>总酸、</w:t>
      </w:r>
      <w:proofErr w:type="gramStart"/>
      <w:r>
        <w:rPr>
          <w:rFonts w:ascii="宋体" w:eastAsia="宋体" w:hAnsi="宋体" w:cs="宋体" w:hint="eastAsia"/>
          <w:sz w:val="24"/>
          <w:szCs w:val="24"/>
        </w:rPr>
        <w:t>总酯是</w:t>
      </w:r>
      <w:proofErr w:type="gramEnd"/>
      <w:r>
        <w:rPr>
          <w:rFonts w:ascii="宋体" w:eastAsia="宋体" w:hAnsi="宋体" w:cs="宋体" w:hint="eastAsia"/>
          <w:sz w:val="24"/>
          <w:szCs w:val="24"/>
        </w:rPr>
        <w:t>白酒检测中重要理化指标。酸酯在储存过程中呈动态变化，总酸、</w:t>
      </w:r>
      <w:proofErr w:type="gramStart"/>
      <w:r>
        <w:rPr>
          <w:rFonts w:ascii="宋体" w:eastAsia="宋体" w:hAnsi="宋体" w:cs="宋体" w:hint="eastAsia"/>
          <w:sz w:val="24"/>
          <w:szCs w:val="24"/>
        </w:rPr>
        <w:t>总酯随着</w:t>
      </w:r>
      <w:proofErr w:type="gramEnd"/>
      <w:r>
        <w:rPr>
          <w:rFonts w:ascii="宋体" w:eastAsia="宋体" w:hAnsi="宋体" w:cs="宋体" w:hint="eastAsia"/>
          <w:sz w:val="24"/>
          <w:szCs w:val="24"/>
        </w:rPr>
        <w:t>储存时间延长呈现酸</w:t>
      </w:r>
      <w:proofErr w:type="gramStart"/>
      <w:r>
        <w:rPr>
          <w:rFonts w:ascii="宋体" w:eastAsia="宋体" w:hAnsi="宋体" w:cs="宋体" w:hint="eastAsia"/>
          <w:sz w:val="24"/>
          <w:szCs w:val="24"/>
        </w:rPr>
        <w:t>增酯减</w:t>
      </w:r>
      <w:proofErr w:type="gramEnd"/>
      <w:r>
        <w:rPr>
          <w:rFonts w:ascii="宋体" w:eastAsia="宋体" w:hAnsi="宋体" w:cs="宋体" w:hint="eastAsia"/>
          <w:sz w:val="24"/>
          <w:szCs w:val="24"/>
        </w:rPr>
        <w:t>的趋势。总酸、</w:t>
      </w:r>
      <w:proofErr w:type="gramStart"/>
      <w:r>
        <w:rPr>
          <w:rFonts w:ascii="宋体" w:eastAsia="宋体" w:hAnsi="宋体" w:cs="宋体" w:hint="eastAsia"/>
          <w:sz w:val="24"/>
          <w:szCs w:val="24"/>
        </w:rPr>
        <w:t>总酯的</w:t>
      </w:r>
      <w:proofErr w:type="gramEnd"/>
      <w:r>
        <w:rPr>
          <w:rFonts w:ascii="宋体" w:eastAsia="宋体" w:hAnsi="宋体" w:cs="宋体" w:hint="eastAsia"/>
          <w:sz w:val="24"/>
          <w:szCs w:val="24"/>
        </w:rPr>
        <w:t>变化不会降低白酒的质量，也不会增加食品安全风险，而是会提高白酒的感官质量水平，使得白酒的陈香味更加突出，酒体更加醇和。总酸、</w:t>
      </w:r>
      <w:proofErr w:type="gramStart"/>
      <w:r>
        <w:rPr>
          <w:rFonts w:ascii="宋体" w:eastAsia="宋体" w:hAnsi="宋体" w:cs="宋体" w:hint="eastAsia"/>
          <w:sz w:val="24"/>
          <w:szCs w:val="24"/>
        </w:rPr>
        <w:t>总酯指标</w:t>
      </w:r>
      <w:proofErr w:type="gramEnd"/>
      <w:r>
        <w:rPr>
          <w:rFonts w:ascii="宋体" w:eastAsia="宋体" w:hAnsi="宋体" w:cs="宋体" w:hint="eastAsia"/>
          <w:sz w:val="24"/>
          <w:szCs w:val="24"/>
        </w:rPr>
        <w:t>的单独设置，不能真实反映出白酒的实际质量水平，酸酯总量指标的设置，是经过白酒行业不断研究和讨论，形成统一意见后，也在相关修订的国家白酒标准中使用。酸酯总量是指单位体积绵柔酱香白酒中的酸类物质和酯类物质的总和，以消耗氢氧化钠标准溶液的毫摩尔数量表示，单位为mmol/L，根据绵柔酱香白酒样品的普查数据。设置如下：酸酯总量：优级≥60.0（mmol/L），一级≥50.0（mmol/L）；按53%vol进行折算。</w:t>
      </w:r>
    </w:p>
    <w:p w14:paraId="53E9C970"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lastRenderedPageBreak/>
        <w:t>己酸乙酯</w:t>
      </w:r>
    </w:p>
    <w:p w14:paraId="4AE1C1D3"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己酸乙酯是基于酱酒国标基础上维持该指标，己酸乙酯≤0.30，按实测值。</w:t>
      </w:r>
    </w:p>
    <w:p w14:paraId="51D5AA52"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固形物</w:t>
      </w:r>
    </w:p>
    <w:p w14:paraId="0CF3F07F"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固形物是基于酱酒国标基础上维持该指标，固形物≤0.7 g/L，按实测值。</w:t>
      </w:r>
    </w:p>
    <w:p w14:paraId="055DF069"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产品自生产日期小于或等于一年，要求检测的理化指标包括酒精度、总酸、总酯、己酸乙酯和</w:t>
      </w:r>
      <w:proofErr w:type="gramStart"/>
      <w:r>
        <w:rPr>
          <w:rFonts w:ascii="宋体" w:eastAsia="宋体" w:hAnsi="宋体" w:cs="宋体" w:hint="eastAsia"/>
          <w:sz w:val="24"/>
          <w:szCs w:val="24"/>
        </w:rPr>
        <w:t>固形</w:t>
      </w:r>
      <w:proofErr w:type="gramEnd"/>
      <w:r>
        <w:rPr>
          <w:rFonts w:ascii="宋体" w:eastAsia="宋体" w:hAnsi="宋体" w:cs="宋体" w:hint="eastAsia"/>
          <w:sz w:val="24"/>
          <w:szCs w:val="24"/>
        </w:rPr>
        <w:t>物；产品自生产日期大于一年，要求检测的理化指标包括酒精度、己酸乙酯、固形物和</w:t>
      </w:r>
      <w:proofErr w:type="gramStart"/>
      <w:r>
        <w:rPr>
          <w:rFonts w:ascii="宋体" w:eastAsia="宋体" w:hAnsi="宋体" w:cs="宋体" w:hint="eastAsia"/>
          <w:sz w:val="24"/>
          <w:szCs w:val="24"/>
        </w:rPr>
        <w:t>酸酯</w:t>
      </w:r>
      <w:proofErr w:type="gramEnd"/>
      <w:r>
        <w:rPr>
          <w:rFonts w:ascii="宋体" w:eastAsia="宋体" w:hAnsi="宋体" w:cs="宋体" w:hint="eastAsia"/>
          <w:sz w:val="24"/>
          <w:szCs w:val="24"/>
        </w:rPr>
        <w:t>总量。</w:t>
      </w:r>
    </w:p>
    <w:p w14:paraId="7FDCAF6D"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四、标准中涉及的专利</w:t>
      </w:r>
    </w:p>
    <w:p w14:paraId="5042ED25"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无。</w:t>
      </w:r>
    </w:p>
    <w:p w14:paraId="32908AB8"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五、采用国际标准和国外先进标准的程度，以及与国际、国外同类标准水平的对比情况，或与测试的国外样品、样机的有关数据对比情况。</w:t>
      </w:r>
    </w:p>
    <w:p w14:paraId="6E268C5C"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无。</w:t>
      </w:r>
    </w:p>
    <w:p w14:paraId="57E38541"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六、与有关的现行法律、法规和强制性国家标准的关系</w:t>
      </w:r>
    </w:p>
    <w:p w14:paraId="4E7BF4BD"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本标准从我国酱香白酒行业的实际情况出发，参考了国内相关资料，体现了科学性、先进性和可操作性原则，在制定过程中充分考虑国内相关的法规要求，并结合绵柔酱香白酒产品的特点；与现行法律、法规和强制性国家标准协调一致。</w:t>
      </w:r>
    </w:p>
    <w:p w14:paraId="0468E69B"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七、重大分歧意见的处理经过和依据</w:t>
      </w:r>
    </w:p>
    <w:p w14:paraId="47638A05"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无重大分歧意见。</w:t>
      </w:r>
    </w:p>
    <w:p w14:paraId="50B2C71E"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八、贯彻团体标准的要求和措施建议（包括组织措施、技术措施、过渡办法等内容）</w:t>
      </w:r>
    </w:p>
    <w:p w14:paraId="758DB9EA" w14:textId="77777777" w:rsidR="009B781E" w:rsidRDefault="00000000">
      <w:pPr>
        <w:ind w:firstLine="480"/>
        <w:rPr>
          <w:rFonts w:ascii="宋体" w:eastAsia="宋体" w:hAnsi="宋体" w:cs="宋体"/>
          <w:sz w:val="24"/>
          <w:szCs w:val="24"/>
        </w:rPr>
      </w:pPr>
      <w:bookmarkStart w:id="2" w:name="_Hlk86399637"/>
      <w:r>
        <w:rPr>
          <w:rFonts w:ascii="宋体" w:eastAsia="宋体" w:hAnsi="宋体" w:cs="宋体" w:hint="eastAsia"/>
          <w:sz w:val="24"/>
          <w:szCs w:val="24"/>
        </w:rPr>
        <w:t>建议本标准审核、批准发布后实施，由归口单位组织行业相关单位积极开展宣贯工作，在行业内进行推广。</w:t>
      </w:r>
    </w:p>
    <w:bookmarkEnd w:id="2"/>
    <w:p w14:paraId="5922350D"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t>九、废止现行相关标准的建议</w:t>
      </w:r>
    </w:p>
    <w:p w14:paraId="105A150F" w14:textId="77777777" w:rsidR="009B781E" w:rsidRDefault="00000000">
      <w:pPr>
        <w:ind w:firstLine="480"/>
        <w:rPr>
          <w:rFonts w:ascii="宋体" w:eastAsia="宋体" w:hAnsi="宋体" w:cs="宋体"/>
          <w:sz w:val="24"/>
          <w:szCs w:val="24"/>
        </w:rPr>
      </w:pPr>
      <w:r>
        <w:rPr>
          <w:rFonts w:ascii="宋体" w:eastAsia="宋体" w:hAnsi="宋体" w:cs="宋体" w:hint="eastAsia"/>
          <w:sz w:val="24"/>
          <w:szCs w:val="24"/>
        </w:rPr>
        <w:lastRenderedPageBreak/>
        <w:t>无。</w:t>
      </w:r>
    </w:p>
    <w:p w14:paraId="6AE6920D" w14:textId="77777777" w:rsidR="009B781E" w:rsidRDefault="009B781E">
      <w:pPr>
        <w:ind w:firstLine="480"/>
        <w:rPr>
          <w:rFonts w:ascii="宋体" w:eastAsia="宋体" w:hAnsi="宋体" w:cs="宋体"/>
          <w:sz w:val="24"/>
          <w:szCs w:val="24"/>
        </w:rPr>
      </w:pPr>
    </w:p>
    <w:p w14:paraId="2A7DE001" w14:textId="77777777" w:rsidR="009B781E" w:rsidRDefault="009B781E">
      <w:pPr>
        <w:ind w:firstLine="480"/>
        <w:rPr>
          <w:rFonts w:ascii="宋体" w:eastAsia="宋体" w:hAnsi="宋体" w:cs="宋体"/>
          <w:sz w:val="24"/>
          <w:szCs w:val="24"/>
        </w:rPr>
      </w:pPr>
    </w:p>
    <w:sectPr w:rsidR="009B781E">
      <w:headerReference w:type="even" r:id="rId7"/>
      <w:headerReference w:type="default" r:id="rId8"/>
      <w:footerReference w:type="even" r:id="rId9"/>
      <w:footerReference w:type="default" r:id="rId10"/>
      <w:headerReference w:type="first" r:id="rId11"/>
      <w:pgSz w:w="11906" w:h="16838"/>
      <w:pgMar w:top="1134" w:right="1800" w:bottom="1134" w:left="1800" w:header="851" w:footer="85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D2D8" w14:textId="77777777" w:rsidR="009202C2" w:rsidRDefault="009202C2">
      <w:pPr>
        <w:spacing w:line="240" w:lineRule="auto"/>
      </w:pPr>
      <w:r>
        <w:separator/>
      </w:r>
    </w:p>
  </w:endnote>
  <w:endnote w:type="continuationSeparator" w:id="0">
    <w:p w14:paraId="43263FA8" w14:textId="77777777" w:rsidR="009202C2" w:rsidRDefault="009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165F" w14:textId="77777777" w:rsidR="009B781E" w:rsidRDefault="009B781E">
    <w:pPr>
      <w:pStyle w:val="a8"/>
    </w:pPr>
  </w:p>
  <w:p w14:paraId="65750836" w14:textId="77777777" w:rsidR="009B781E" w:rsidRDefault="009B781E"/>
  <w:p w14:paraId="55C8E751" w14:textId="77777777" w:rsidR="009B781E" w:rsidRDefault="009B78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7060"/>
    </w:sdtPr>
    <w:sdtContent>
      <w:p w14:paraId="31403083" w14:textId="77777777" w:rsidR="009B781E" w:rsidRDefault="00000000">
        <w:pPr>
          <w:pStyle w:val="a8"/>
          <w:ind w:firstLineChars="0" w:firstLine="0"/>
          <w:jc w:val="right"/>
        </w:pPr>
        <w:r>
          <w:fldChar w:fldCharType="begin"/>
        </w:r>
        <w:r>
          <w:instrText>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763A" w14:textId="77777777" w:rsidR="009202C2" w:rsidRDefault="009202C2">
      <w:r>
        <w:separator/>
      </w:r>
    </w:p>
  </w:footnote>
  <w:footnote w:type="continuationSeparator" w:id="0">
    <w:p w14:paraId="3763F382" w14:textId="77777777" w:rsidR="009202C2" w:rsidRDefault="0092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56E5" w14:textId="77777777" w:rsidR="009B781E" w:rsidRDefault="009B781E">
    <w:pPr>
      <w:pStyle w:val="a9"/>
      <w:ind w:firstLine="360"/>
    </w:pPr>
  </w:p>
  <w:p w14:paraId="661C38ED" w14:textId="77777777" w:rsidR="009B781E" w:rsidRDefault="009B781E"/>
  <w:p w14:paraId="63C0BC9B" w14:textId="77777777" w:rsidR="009B781E" w:rsidRDefault="009B78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32CB" w14:textId="77777777" w:rsidR="00057593" w:rsidRDefault="0005759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8D7C" w14:textId="77777777" w:rsidR="009B781E" w:rsidRDefault="009B781E">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8739C"/>
    <w:multiLevelType w:val="multilevel"/>
    <w:tmpl w:val="8D88739C"/>
    <w:lvl w:ilvl="0">
      <w:start w:val="4"/>
      <w:numFmt w:val="decimal"/>
      <w:lvlText w:val="%1."/>
      <w:lvlJc w:val="left"/>
      <w:pPr>
        <w:ind w:left="425" w:hanging="425"/>
      </w:pPr>
      <w:rPr>
        <w:rFonts w:ascii="宋体" w:eastAsia="宋体" w:hAnsi="宋体" w:cs="宋体" w:hint="default"/>
      </w:rPr>
    </w:lvl>
    <w:lvl w:ilvl="1">
      <w:start w:val="1"/>
      <w:numFmt w:val="decimal"/>
      <w:pStyle w:val="2"/>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15:restartNumberingAfterBreak="0">
    <w:nsid w:val="AAE8EC67"/>
    <w:multiLevelType w:val="multilevel"/>
    <w:tmpl w:val="AAE8EC67"/>
    <w:lvl w:ilvl="0">
      <w:start w:val="1"/>
      <w:numFmt w:val="chineseCounting"/>
      <w:pStyle w:val="123"/>
      <w:lvlText w:val="%1、"/>
      <w:lvlJc w:val="left"/>
      <w:pPr>
        <w:ind w:left="432" w:hanging="432"/>
      </w:pPr>
      <w:rPr>
        <w:rFonts w:ascii="宋体" w:eastAsia="宋体" w:hAnsi="宋体" w:cs="宋体" w:hint="eastAsia"/>
      </w:rPr>
    </w:lvl>
    <w:lvl w:ilvl="1">
      <w:start w:val="1"/>
      <w:numFmt w:val="decimal"/>
      <w:lvlText w:val="%2."/>
      <w:lvlJc w:val="left"/>
      <w:pPr>
        <w:ind w:left="575" w:hanging="292"/>
      </w:pPr>
      <w:rPr>
        <w:rFonts w:ascii="宋体" w:eastAsia="宋体" w:hAnsi="宋体" w:cs="宋体" w:hint="eastAsia"/>
      </w:rPr>
    </w:lvl>
    <w:lvl w:ilvl="2">
      <w:start w:val="1"/>
      <w:numFmt w:val="decimal"/>
      <w:lvlText w:val="%2.%3 "/>
      <w:lvlJc w:val="left"/>
      <w:pPr>
        <w:tabs>
          <w:tab w:val="left" w:pos="0"/>
        </w:tabs>
        <w:ind w:left="0" w:firstLine="283"/>
      </w:pPr>
      <w:rPr>
        <w:rFonts w:ascii="宋体" w:eastAsia="宋体" w:hAnsi="宋体" w:cs="宋体" w:hint="eastAsia"/>
      </w:rPr>
    </w:lvl>
    <w:lvl w:ilvl="3">
      <w:start w:val="1"/>
      <w:numFmt w:val="decimal"/>
      <w:lvlText w:val="%2.%3.%4 "/>
      <w:lvlJc w:val="left"/>
      <w:pPr>
        <w:tabs>
          <w:tab w:val="left" w:pos="0"/>
        </w:tabs>
        <w:ind w:left="0" w:firstLine="283"/>
      </w:pPr>
      <w:rPr>
        <w:rFonts w:ascii="宋体" w:eastAsia="宋体" w:hAnsi="宋体" w:cs="宋体" w:hint="eastAsia"/>
      </w:rPr>
    </w:lvl>
    <w:lvl w:ilvl="4">
      <w:start w:val="1"/>
      <w:numFmt w:val="decimal"/>
      <w:lvlText w:val="%1.%2.%3.%4.%5."/>
      <w:lvlJc w:val="left"/>
      <w:pPr>
        <w:ind w:left="1008" w:hanging="1008"/>
      </w:pPr>
      <w:rPr>
        <w:rFonts w:hint="eastAsia"/>
      </w:rPr>
    </w:lvl>
    <w:lvl w:ilvl="5">
      <w:start w:val="1"/>
      <w:numFmt w:val="decimal"/>
      <w:lvlText w:val="%1.%2.%3.%4.%5.%6."/>
      <w:lvlJc w:val="left"/>
      <w:pPr>
        <w:ind w:left="1151" w:hanging="1151"/>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3" w:hanging="1583"/>
      </w:pPr>
      <w:rPr>
        <w:rFonts w:hint="eastAsia"/>
      </w:rPr>
    </w:lvl>
  </w:abstractNum>
  <w:abstractNum w:abstractNumId="2" w15:restartNumberingAfterBreak="0">
    <w:nsid w:val="B6C3FCD5"/>
    <w:multiLevelType w:val="multilevel"/>
    <w:tmpl w:val="B6C3FCD5"/>
    <w:lvl w:ilvl="0">
      <w:start w:val="1"/>
      <w:numFmt w:val="chineseCounting"/>
      <w:pStyle w:val="a"/>
      <w:suff w:val="nothing"/>
      <w:lvlText w:val="%1、"/>
      <w:lvlJc w:val="left"/>
      <w:pPr>
        <w:tabs>
          <w:tab w:val="left" w:pos="0"/>
        </w:tabs>
        <w:ind w:left="0" w:firstLine="0"/>
      </w:pPr>
      <w:rPr>
        <w:rFonts w:ascii="宋体" w:eastAsia="宋体" w:hAnsi="宋体" w:cs="宋体" w:hint="eastAsia"/>
      </w:rPr>
    </w:lvl>
    <w:lvl w:ilvl="1">
      <w:start w:val="1"/>
      <w:numFmt w:val="decimal"/>
      <w:suff w:val="nothing"/>
      <w:lvlText w:val="%2"/>
      <w:lvlJc w:val="left"/>
      <w:pPr>
        <w:ind w:left="0" w:firstLine="0"/>
      </w:pPr>
      <w:rPr>
        <w:rFonts w:ascii="宋体" w:eastAsia="宋体" w:hAnsi="宋体" w:cs="宋体" w:hint="eastAsia"/>
      </w:rPr>
    </w:lvl>
    <w:lvl w:ilvl="2">
      <w:start w:val="1"/>
      <w:numFmt w:val="decimal"/>
      <w:pStyle w:val="3"/>
      <w:suff w:val="nothing"/>
      <w:lvlText w:val="%2.%3"/>
      <w:lvlJc w:val="left"/>
      <w:pPr>
        <w:ind w:left="0" w:firstLine="0"/>
      </w:pPr>
      <w:rPr>
        <w:rFonts w:ascii="宋体" w:eastAsia="宋体" w:hAnsi="宋体" w:cs="宋体"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3" w15:restartNumberingAfterBreak="0">
    <w:nsid w:val="1B1B69F2"/>
    <w:multiLevelType w:val="multilevel"/>
    <w:tmpl w:val="1B1B69F2"/>
    <w:lvl w:ilvl="0">
      <w:start w:val="7"/>
      <w:numFmt w:val="decimal"/>
      <w:lvlText w:val="%1."/>
      <w:lvlJc w:val="left"/>
      <w:pPr>
        <w:ind w:left="425" w:hanging="425"/>
      </w:pPr>
      <w:rPr>
        <w:rFonts w:hint="default"/>
      </w:rPr>
    </w:lvl>
    <w:lvl w:ilvl="1">
      <w:start w:val="1"/>
      <w:numFmt w:val="decimal"/>
      <w:lvlText w:val="%1.%2."/>
      <w:lvlJc w:val="left"/>
      <w:pPr>
        <w:ind w:left="567" w:hanging="567"/>
      </w:pPr>
      <w:rPr>
        <w:rFonts w:ascii="宋体" w:eastAsia="宋体" w:hAnsi="宋体" w:cs="宋体" w:hint="default"/>
      </w:rPr>
    </w:lvl>
    <w:lvl w:ilvl="2">
      <w:start w:val="1"/>
      <w:numFmt w:val="decimal"/>
      <w:lvlRestart w:val="1"/>
      <w:pStyle w:val="1"/>
      <w:suff w:val="nothing"/>
      <w:lvlText w:val="%1.%2.%3."/>
      <w:lvlJc w:val="left"/>
      <w:pPr>
        <w:tabs>
          <w:tab w:val="left" w:pos="420"/>
        </w:tabs>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1B816BA8"/>
    <w:multiLevelType w:val="multilevel"/>
    <w:tmpl w:val="1B816BA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5" w15:restartNumberingAfterBreak="0">
    <w:nsid w:val="35C5FE42"/>
    <w:multiLevelType w:val="multilevel"/>
    <w:tmpl w:val="35C5FE4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5"/>
      <w:numFmt w:val="decimal"/>
      <w:pStyle w:val="10"/>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646260FA"/>
    <w:multiLevelType w:val="multilevel"/>
    <w:tmpl w:val="646260FA"/>
    <w:lvl w:ilvl="0">
      <w:start w:val="1"/>
      <w:numFmt w:val="decimal"/>
      <w:pStyle w:val="a0"/>
      <w:suff w:val="nothing"/>
      <w:lvlText w:val="表%1　"/>
      <w:lvlJc w:val="left"/>
      <w:pPr>
        <w:ind w:left="4537" w:firstLine="0"/>
      </w:pPr>
      <w:rPr>
        <w:rFonts w:ascii="黑体" w:eastAsia="黑体" w:hAnsi="Times New Roman" w:hint="eastAsia"/>
        <w:b w:val="0"/>
        <w:i w:val="0"/>
        <w:sz w:val="21"/>
      </w:rPr>
    </w:lvl>
    <w:lvl w:ilvl="1">
      <w:start w:val="1"/>
      <w:numFmt w:val="decimal"/>
      <w:lvlText w:val="%1.%2"/>
      <w:lvlJc w:val="left"/>
      <w:pPr>
        <w:tabs>
          <w:tab w:val="left" w:pos="1984"/>
        </w:tabs>
        <w:ind w:left="1984" w:hanging="567"/>
      </w:pPr>
      <w:rPr>
        <w:rFonts w:hint="eastAsia"/>
      </w:rPr>
    </w:lvl>
    <w:lvl w:ilvl="2">
      <w:start w:val="1"/>
      <w:numFmt w:val="decimal"/>
      <w:lvlText w:val="%1.%2.%3"/>
      <w:lvlJc w:val="left"/>
      <w:pPr>
        <w:tabs>
          <w:tab w:val="left" w:pos="2410"/>
        </w:tabs>
        <w:ind w:left="2410" w:hanging="567"/>
      </w:pPr>
      <w:rPr>
        <w:rFonts w:hint="eastAsia"/>
      </w:rPr>
    </w:lvl>
    <w:lvl w:ilvl="3">
      <w:start w:val="1"/>
      <w:numFmt w:val="decimal"/>
      <w:lvlText w:val="%1.%2.%3.%4"/>
      <w:lvlJc w:val="left"/>
      <w:pPr>
        <w:tabs>
          <w:tab w:val="left" w:pos="2976"/>
        </w:tabs>
        <w:ind w:left="2976" w:hanging="708"/>
      </w:pPr>
      <w:rPr>
        <w:rFonts w:hint="eastAsia"/>
      </w:rPr>
    </w:lvl>
    <w:lvl w:ilvl="4">
      <w:start w:val="1"/>
      <w:numFmt w:val="decimal"/>
      <w:lvlText w:val="%1.%2.%3.%4.%5"/>
      <w:lvlJc w:val="left"/>
      <w:pPr>
        <w:tabs>
          <w:tab w:val="left" w:pos="3543"/>
        </w:tabs>
        <w:ind w:left="3543" w:hanging="850"/>
      </w:pPr>
      <w:rPr>
        <w:rFonts w:hint="eastAsia"/>
      </w:rPr>
    </w:lvl>
    <w:lvl w:ilvl="5">
      <w:start w:val="1"/>
      <w:numFmt w:val="decimal"/>
      <w:lvlText w:val="%1.%2.%3.%4.%5.%6"/>
      <w:lvlJc w:val="left"/>
      <w:pPr>
        <w:tabs>
          <w:tab w:val="left" w:pos="4252"/>
        </w:tabs>
        <w:ind w:left="4252" w:hanging="1134"/>
      </w:pPr>
      <w:rPr>
        <w:rFonts w:hint="eastAsia"/>
      </w:rPr>
    </w:lvl>
    <w:lvl w:ilvl="6">
      <w:start w:val="1"/>
      <w:numFmt w:val="decimal"/>
      <w:lvlText w:val="%1.%2.%3.%4.%5.%6.%7"/>
      <w:lvlJc w:val="left"/>
      <w:pPr>
        <w:tabs>
          <w:tab w:val="left" w:pos="4819"/>
        </w:tabs>
        <w:ind w:left="4819" w:hanging="1276"/>
      </w:pPr>
      <w:rPr>
        <w:rFonts w:hint="eastAsia"/>
      </w:rPr>
    </w:lvl>
    <w:lvl w:ilvl="7">
      <w:start w:val="1"/>
      <w:numFmt w:val="decimal"/>
      <w:lvlText w:val="%1.%2.%3.%4.%5.%6.%7.%8"/>
      <w:lvlJc w:val="left"/>
      <w:pPr>
        <w:tabs>
          <w:tab w:val="left" w:pos="5386"/>
        </w:tabs>
        <w:ind w:left="5386" w:hanging="1418"/>
      </w:pPr>
      <w:rPr>
        <w:rFonts w:hint="eastAsia"/>
      </w:rPr>
    </w:lvl>
    <w:lvl w:ilvl="8">
      <w:start w:val="1"/>
      <w:numFmt w:val="decimal"/>
      <w:lvlText w:val="%1.%2.%3.%4.%5.%6.%7.%8.%9"/>
      <w:lvlJc w:val="left"/>
      <w:pPr>
        <w:tabs>
          <w:tab w:val="left" w:pos="6094"/>
        </w:tabs>
        <w:ind w:left="6094" w:hanging="1700"/>
      </w:pPr>
      <w:rPr>
        <w:rFonts w:hint="eastAsia"/>
      </w:rPr>
    </w:lvl>
  </w:abstractNum>
  <w:num w:numId="1" w16cid:durableId="181817878">
    <w:abstractNumId w:val="3"/>
  </w:num>
  <w:num w:numId="2" w16cid:durableId="2072270047">
    <w:abstractNumId w:val="0"/>
  </w:num>
  <w:num w:numId="3" w16cid:durableId="2029258096">
    <w:abstractNumId w:val="2"/>
  </w:num>
  <w:num w:numId="4" w16cid:durableId="159657809">
    <w:abstractNumId w:val="5"/>
  </w:num>
  <w:num w:numId="5" w16cid:durableId="238176551">
    <w:abstractNumId w:val="1"/>
  </w:num>
  <w:num w:numId="6" w16cid:durableId="493689176">
    <w:abstractNumId w:val="6"/>
  </w:num>
  <w:num w:numId="7" w16cid:durableId="1995178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I4ODI5MmJiYjUwMmI5NGQ0NjNiMmI5NmNmYTBiNjUifQ=="/>
  </w:docVars>
  <w:rsids>
    <w:rsidRoot w:val="00C62BEA"/>
    <w:rsid w:val="00021C9C"/>
    <w:rsid w:val="00057593"/>
    <w:rsid w:val="00224F67"/>
    <w:rsid w:val="00457E90"/>
    <w:rsid w:val="005B7B77"/>
    <w:rsid w:val="0064765B"/>
    <w:rsid w:val="006C7B66"/>
    <w:rsid w:val="009202C2"/>
    <w:rsid w:val="009B781E"/>
    <w:rsid w:val="00C62BEA"/>
    <w:rsid w:val="00D26CA0"/>
    <w:rsid w:val="044557EF"/>
    <w:rsid w:val="046E3282"/>
    <w:rsid w:val="04D23811"/>
    <w:rsid w:val="04F25C61"/>
    <w:rsid w:val="05B9052D"/>
    <w:rsid w:val="062D67B7"/>
    <w:rsid w:val="07302A71"/>
    <w:rsid w:val="080B2B96"/>
    <w:rsid w:val="09C120A6"/>
    <w:rsid w:val="0AF73FD1"/>
    <w:rsid w:val="0DFB7761"/>
    <w:rsid w:val="0EE65182"/>
    <w:rsid w:val="0F274759"/>
    <w:rsid w:val="0FA25AF2"/>
    <w:rsid w:val="10134637"/>
    <w:rsid w:val="11180FD0"/>
    <w:rsid w:val="135D67A4"/>
    <w:rsid w:val="15555919"/>
    <w:rsid w:val="1662251B"/>
    <w:rsid w:val="190012B6"/>
    <w:rsid w:val="19921369"/>
    <w:rsid w:val="19DB061A"/>
    <w:rsid w:val="1BD47A17"/>
    <w:rsid w:val="1C2A5889"/>
    <w:rsid w:val="2063014C"/>
    <w:rsid w:val="21CD2F3E"/>
    <w:rsid w:val="239601AB"/>
    <w:rsid w:val="255C2ABC"/>
    <w:rsid w:val="260D24A3"/>
    <w:rsid w:val="270A0791"/>
    <w:rsid w:val="2A6C5611"/>
    <w:rsid w:val="2AA40B9D"/>
    <w:rsid w:val="2B8C4306"/>
    <w:rsid w:val="2D485B6F"/>
    <w:rsid w:val="2D4B38B1"/>
    <w:rsid w:val="2DD72013"/>
    <w:rsid w:val="2FA37B41"/>
    <w:rsid w:val="303518C7"/>
    <w:rsid w:val="3131518A"/>
    <w:rsid w:val="314D5E4A"/>
    <w:rsid w:val="326E4B97"/>
    <w:rsid w:val="32D60379"/>
    <w:rsid w:val="35F600B2"/>
    <w:rsid w:val="372C4753"/>
    <w:rsid w:val="39CA335D"/>
    <w:rsid w:val="3B0F23C2"/>
    <w:rsid w:val="3BDA7DFF"/>
    <w:rsid w:val="3C6E4B61"/>
    <w:rsid w:val="3D3D7998"/>
    <w:rsid w:val="3FA51844"/>
    <w:rsid w:val="42022339"/>
    <w:rsid w:val="429F331E"/>
    <w:rsid w:val="43963680"/>
    <w:rsid w:val="48A73C3A"/>
    <w:rsid w:val="492545A8"/>
    <w:rsid w:val="492A4BB1"/>
    <w:rsid w:val="4A9A1CA8"/>
    <w:rsid w:val="4CD83101"/>
    <w:rsid w:val="4D5A74CD"/>
    <w:rsid w:val="4E8D5680"/>
    <w:rsid w:val="553C5E9D"/>
    <w:rsid w:val="55824685"/>
    <w:rsid w:val="55EF4D39"/>
    <w:rsid w:val="55F55D1A"/>
    <w:rsid w:val="562963A0"/>
    <w:rsid w:val="57A203EE"/>
    <w:rsid w:val="58352352"/>
    <w:rsid w:val="588D5515"/>
    <w:rsid w:val="5A356CE8"/>
    <w:rsid w:val="5B6355AB"/>
    <w:rsid w:val="5C6E6AF1"/>
    <w:rsid w:val="607710B3"/>
    <w:rsid w:val="61774699"/>
    <w:rsid w:val="623954AB"/>
    <w:rsid w:val="62D51B0F"/>
    <w:rsid w:val="64C46D40"/>
    <w:rsid w:val="66D659BE"/>
    <w:rsid w:val="6A5776A1"/>
    <w:rsid w:val="6BDF3567"/>
    <w:rsid w:val="6C081CBD"/>
    <w:rsid w:val="6C2827B2"/>
    <w:rsid w:val="6C3B104D"/>
    <w:rsid w:val="6D01750D"/>
    <w:rsid w:val="703D2696"/>
    <w:rsid w:val="70EB54B9"/>
    <w:rsid w:val="717E112C"/>
    <w:rsid w:val="722515A8"/>
    <w:rsid w:val="75D457BF"/>
    <w:rsid w:val="778B6351"/>
    <w:rsid w:val="7A177942"/>
    <w:rsid w:val="7A314D83"/>
    <w:rsid w:val="7A7632E8"/>
    <w:rsid w:val="7B976454"/>
    <w:rsid w:val="7BBB10FB"/>
    <w:rsid w:val="7BCC6F38"/>
    <w:rsid w:val="7D2B6DF5"/>
    <w:rsid w:val="7D6C2781"/>
    <w:rsid w:val="7F2442D3"/>
    <w:rsid w:val="7FD0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54F9B"/>
  <w15:docId w15:val="{FA46AE81-20C9-4B58-AEC2-4E92DC6B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spacing w:line="480" w:lineRule="auto"/>
      <w:ind w:firstLineChars="200" w:firstLine="420"/>
      <w:jc w:val="both"/>
    </w:pPr>
    <w:rPr>
      <w:kern w:val="2"/>
      <w:sz w:val="21"/>
      <w:szCs w:val="22"/>
    </w:rPr>
  </w:style>
  <w:style w:type="paragraph" w:styleId="1">
    <w:name w:val="heading 1"/>
    <w:basedOn w:val="a1"/>
    <w:next w:val="a1"/>
    <w:link w:val="11"/>
    <w:qFormat/>
    <w:pPr>
      <w:keepNext/>
      <w:keepLines/>
      <w:numPr>
        <w:ilvl w:val="2"/>
        <w:numId w:val="1"/>
      </w:numPr>
      <w:spacing w:before="200" w:after="200" w:line="240" w:lineRule="auto"/>
      <w:ind w:left="432" w:firstLineChars="0" w:hanging="432"/>
      <w:outlineLvl w:val="0"/>
    </w:pPr>
    <w:rPr>
      <w:rFonts w:ascii="Times New Roman" w:hAnsi="Times New Roman"/>
      <w:b/>
      <w:kern w:val="44"/>
      <w:sz w:val="32"/>
    </w:rPr>
  </w:style>
  <w:style w:type="paragraph" w:styleId="2">
    <w:name w:val="heading 2"/>
    <w:basedOn w:val="a1"/>
    <w:next w:val="a1"/>
    <w:unhideWhenUsed/>
    <w:qFormat/>
    <w:pPr>
      <w:keepNext/>
      <w:keepLines/>
      <w:numPr>
        <w:ilvl w:val="1"/>
        <w:numId w:val="2"/>
      </w:numPr>
      <w:spacing w:line="240" w:lineRule="auto"/>
      <w:ind w:left="0" w:firstLineChars="0" w:firstLine="0"/>
      <w:outlineLvl w:val="1"/>
    </w:pPr>
    <w:rPr>
      <w:rFonts w:ascii="Times New Roman" w:hAnsi="Times New Roman"/>
      <w:b/>
      <w:sz w:val="30"/>
      <w:szCs w:val="28"/>
    </w:rPr>
  </w:style>
  <w:style w:type="paragraph" w:styleId="3">
    <w:name w:val="heading 3"/>
    <w:basedOn w:val="a1"/>
    <w:next w:val="a1"/>
    <w:link w:val="30"/>
    <w:semiHidden/>
    <w:unhideWhenUsed/>
    <w:qFormat/>
    <w:pPr>
      <w:keepNext/>
      <w:keepLines/>
      <w:numPr>
        <w:ilvl w:val="2"/>
        <w:numId w:val="3"/>
      </w:numPr>
      <w:tabs>
        <w:tab w:val="left" w:pos="0"/>
      </w:tabs>
      <w:spacing w:before="260" w:after="260" w:line="416" w:lineRule="auto"/>
      <w:outlineLvl w:val="2"/>
    </w:pPr>
    <w:rPr>
      <w:rFonts w:ascii="Times New Roman" w:hAnsi="Times New Roman"/>
      <w:b/>
      <w:bCs/>
      <w:sz w:val="32"/>
      <w:szCs w:val="28"/>
    </w:rPr>
  </w:style>
  <w:style w:type="paragraph" w:styleId="4">
    <w:name w:val="heading 4"/>
    <w:basedOn w:val="a1"/>
    <w:next w:val="a1"/>
    <w:semiHidden/>
    <w:unhideWhenUsed/>
    <w:qFormat/>
    <w:pPr>
      <w:keepNext/>
      <w:keepLines/>
      <w:numPr>
        <w:ilvl w:val="3"/>
        <w:numId w:val="3"/>
      </w:numPr>
      <w:tabs>
        <w:tab w:val="left" w:pos="0"/>
      </w:tabs>
      <w:spacing w:before="280" w:after="290" w:line="372" w:lineRule="auto"/>
      <w:ind w:firstLineChars="0" w:firstLine="0"/>
      <w:outlineLvl w:val="3"/>
    </w:pPr>
    <w:rPr>
      <w:rFonts w:ascii="Arial" w:eastAsia="黑体" w:hAnsi="Arial"/>
      <w:b/>
      <w:sz w:val="28"/>
    </w:rPr>
  </w:style>
  <w:style w:type="paragraph" w:styleId="5">
    <w:name w:val="heading 5"/>
    <w:basedOn w:val="a1"/>
    <w:next w:val="a1"/>
    <w:semiHidden/>
    <w:unhideWhenUsed/>
    <w:qFormat/>
    <w:pPr>
      <w:keepNext/>
      <w:keepLines/>
      <w:numPr>
        <w:ilvl w:val="4"/>
        <w:numId w:val="3"/>
      </w:numPr>
      <w:spacing w:before="280" w:after="290" w:line="372" w:lineRule="auto"/>
      <w:ind w:firstLineChars="0" w:firstLine="0"/>
      <w:outlineLvl w:val="4"/>
    </w:pPr>
    <w:rPr>
      <w:b/>
      <w:sz w:val="28"/>
    </w:rPr>
  </w:style>
  <w:style w:type="paragraph" w:styleId="6">
    <w:name w:val="heading 6"/>
    <w:basedOn w:val="a1"/>
    <w:next w:val="a1"/>
    <w:semiHidden/>
    <w:unhideWhenUsed/>
    <w:qFormat/>
    <w:pPr>
      <w:keepNext/>
      <w:keepLines/>
      <w:numPr>
        <w:ilvl w:val="5"/>
        <w:numId w:val="3"/>
      </w:numPr>
      <w:spacing w:before="240" w:after="64" w:line="317" w:lineRule="auto"/>
      <w:ind w:firstLineChars="0" w:firstLine="0"/>
      <w:outlineLvl w:val="5"/>
    </w:pPr>
    <w:rPr>
      <w:rFonts w:ascii="Arial" w:eastAsia="黑体" w:hAnsi="Arial"/>
      <w:b/>
      <w:sz w:val="24"/>
    </w:rPr>
  </w:style>
  <w:style w:type="paragraph" w:styleId="7">
    <w:name w:val="heading 7"/>
    <w:basedOn w:val="a1"/>
    <w:next w:val="a1"/>
    <w:semiHidden/>
    <w:unhideWhenUsed/>
    <w:qFormat/>
    <w:pPr>
      <w:keepNext/>
      <w:keepLines/>
      <w:numPr>
        <w:ilvl w:val="6"/>
        <w:numId w:val="3"/>
      </w:numPr>
      <w:spacing w:before="240" w:after="64" w:line="317" w:lineRule="auto"/>
      <w:ind w:firstLineChars="0" w:firstLine="0"/>
      <w:outlineLvl w:val="6"/>
    </w:pPr>
    <w:rPr>
      <w:b/>
      <w:sz w:val="24"/>
    </w:rPr>
  </w:style>
  <w:style w:type="paragraph" w:styleId="8">
    <w:name w:val="heading 8"/>
    <w:basedOn w:val="a1"/>
    <w:next w:val="a1"/>
    <w:semiHidden/>
    <w:unhideWhenUsed/>
    <w:qFormat/>
    <w:pPr>
      <w:keepNext/>
      <w:keepLines/>
      <w:numPr>
        <w:ilvl w:val="7"/>
        <w:numId w:val="3"/>
      </w:numPr>
      <w:spacing w:before="240" w:after="64" w:line="317" w:lineRule="auto"/>
      <w:ind w:firstLineChars="0" w:firstLine="0"/>
      <w:outlineLvl w:val="7"/>
    </w:pPr>
    <w:rPr>
      <w:rFonts w:ascii="Arial" w:eastAsia="黑体" w:hAnsi="Arial"/>
      <w:sz w:val="24"/>
    </w:rPr>
  </w:style>
  <w:style w:type="paragraph" w:styleId="9">
    <w:name w:val="heading 9"/>
    <w:basedOn w:val="a1"/>
    <w:next w:val="a1"/>
    <w:semiHidden/>
    <w:unhideWhenUsed/>
    <w:qFormat/>
    <w:pPr>
      <w:keepNext/>
      <w:keepLines/>
      <w:numPr>
        <w:ilvl w:val="8"/>
        <w:numId w:val="3"/>
      </w:numPr>
      <w:spacing w:before="240" w:after="64" w:line="317" w:lineRule="auto"/>
      <w:ind w:firstLineChars="0" w:firstLine="0"/>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qFormat/>
    <w:pPr>
      <w:jc w:val="left"/>
    </w:pPr>
  </w:style>
  <w:style w:type="paragraph" w:styleId="a7">
    <w:name w:val="Body Text"/>
    <w:basedOn w:val="a1"/>
    <w:uiPriority w:val="1"/>
    <w:qFormat/>
    <w:pPr>
      <w:ind w:left="538" w:firstLineChars="0" w:firstLine="0"/>
      <w:jc w:val="left"/>
    </w:pPr>
    <w:rPr>
      <w:rFonts w:ascii="宋体" w:hAnsi="宋体"/>
      <w:kern w:val="0"/>
      <w:szCs w:val="21"/>
      <w:lang w:eastAsia="en-US"/>
    </w:rPr>
  </w:style>
  <w:style w:type="paragraph" w:styleId="a8">
    <w:name w:val="footer"/>
    <w:basedOn w:val="a1"/>
    <w:uiPriority w:val="99"/>
    <w:unhideWhenUsed/>
    <w:qFormat/>
    <w:pPr>
      <w:tabs>
        <w:tab w:val="center" w:pos="4153"/>
        <w:tab w:val="right" w:pos="8306"/>
      </w:tabs>
      <w:snapToGrid w:val="0"/>
      <w:ind w:firstLine="360"/>
      <w:jc w:val="left"/>
    </w:pPr>
    <w:rPr>
      <w:sz w:val="18"/>
      <w:szCs w:val="18"/>
    </w:rPr>
  </w:style>
  <w:style w:type="paragraph" w:styleId="a9">
    <w:name w:val="header"/>
    <w:basedOn w:val="a1"/>
    <w:link w:val="aa"/>
    <w:qFormat/>
    <w:pPr>
      <w:tabs>
        <w:tab w:val="center" w:pos="4153"/>
        <w:tab w:val="right" w:pos="8306"/>
      </w:tabs>
      <w:snapToGrid w:val="0"/>
      <w:jc w:val="center"/>
    </w:pPr>
    <w:rPr>
      <w:sz w:val="18"/>
      <w:szCs w:val="18"/>
    </w:rPr>
  </w:style>
  <w:style w:type="paragraph" w:styleId="ab">
    <w:name w:val="annotation subject"/>
    <w:basedOn w:val="a5"/>
    <w:next w:val="a5"/>
    <w:link w:val="ac"/>
    <w:qFormat/>
    <w:rPr>
      <w:b/>
      <w:bCs/>
    </w:rPr>
  </w:style>
  <w:style w:type="table" w:styleId="ad">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2"/>
    <w:qFormat/>
    <w:rPr>
      <w:sz w:val="21"/>
      <w:szCs w:val="21"/>
    </w:rPr>
  </w:style>
  <w:style w:type="character" w:customStyle="1" w:styleId="30">
    <w:name w:val="标题 3 字符"/>
    <w:basedOn w:val="a2"/>
    <w:link w:val="3"/>
    <w:uiPriority w:val="99"/>
    <w:qFormat/>
    <w:rPr>
      <w:rFonts w:ascii="Times New Roman" w:eastAsia="宋体" w:hAnsi="Times New Roman" w:cs="Times New Roman"/>
      <w:b/>
      <w:bCs/>
      <w:sz w:val="32"/>
      <w:szCs w:val="28"/>
    </w:rPr>
  </w:style>
  <w:style w:type="paragraph" w:customStyle="1" w:styleId="10">
    <w:name w:val="样式1"/>
    <w:basedOn w:val="a1"/>
    <w:next w:val="a1"/>
    <w:qFormat/>
    <w:pPr>
      <w:keepNext/>
      <w:keepLines/>
      <w:numPr>
        <w:ilvl w:val="2"/>
        <w:numId w:val="4"/>
      </w:numPr>
      <w:spacing w:line="240" w:lineRule="auto"/>
      <w:ind w:left="567" w:hanging="567"/>
      <w:outlineLvl w:val="2"/>
    </w:pPr>
    <w:rPr>
      <w:rFonts w:ascii="Times New Roman" w:hAnsi="Times New Roman" w:hint="eastAsia"/>
      <w:bCs/>
      <w:szCs w:val="28"/>
    </w:rPr>
  </w:style>
  <w:style w:type="character" w:customStyle="1" w:styleId="11">
    <w:name w:val="标题 1 字符"/>
    <w:link w:val="1"/>
    <w:qFormat/>
    <w:rPr>
      <w:rFonts w:ascii="Times New Roman" w:eastAsia="宋体" w:hAnsi="Times New Roman"/>
      <w:b/>
      <w:kern w:val="44"/>
      <w:sz w:val="32"/>
    </w:rPr>
  </w:style>
  <w:style w:type="paragraph" w:customStyle="1" w:styleId="123">
    <w:name w:val="123"/>
    <w:basedOn w:val="a1"/>
    <w:qFormat/>
    <w:pPr>
      <w:numPr>
        <w:numId w:val="5"/>
      </w:numPr>
    </w:pPr>
    <w:rPr>
      <w:rFonts w:hint="eastAsia"/>
    </w:rPr>
  </w:style>
  <w:style w:type="paragraph" w:customStyle="1" w:styleId="a">
    <w:name w:val="新建标题一"/>
    <w:basedOn w:val="a1"/>
    <w:next w:val="a1"/>
    <w:qFormat/>
    <w:pPr>
      <w:keepNext/>
      <w:keepLines/>
      <w:numPr>
        <w:numId w:val="3"/>
      </w:numPr>
      <w:spacing w:before="200" w:after="200"/>
      <w:ind w:left="432" w:hanging="432"/>
      <w:outlineLvl w:val="0"/>
    </w:pPr>
    <w:rPr>
      <w:rFonts w:ascii="Times New Roman" w:hAnsi="Times New Roman" w:hint="eastAsia"/>
      <w:b/>
      <w:kern w:val="44"/>
      <w:sz w:val="32"/>
    </w:rPr>
  </w:style>
  <w:style w:type="paragraph" w:customStyle="1" w:styleId="a0">
    <w:name w:val="正文表标题"/>
    <w:next w:val="af"/>
    <w:qFormat/>
    <w:pPr>
      <w:numPr>
        <w:numId w:val="6"/>
      </w:numPr>
      <w:spacing w:beforeLines="50" w:afterLines="50"/>
      <w:jc w:val="center"/>
    </w:pPr>
    <w:rPr>
      <w:rFonts w:ascii="黑体" w:eastAsia="黑体" w:hAnsi="Times New Roman" w:cs="Times New Roman"/>
      <w:sz w:val="21"/>
    </w:rPr>
  </w:style>
  <w:style w:type="paragraph" w:customStyle="1" w:styleId="af">
    <w:name w:val="段"/>
    <w:qFormat/>
    <w:pPr>
      <w:tabs>
        <w:tab w:val="center" w:pos="4201"/>
        <w:tab w:val="right" w:leader="dot" w:pos="9298"/>
      </w:tabs>
      <w:autoSpaceDE w:val="0"/>
      <w:autoSpaceDN w:val="0"/>
      <w:ind w:firstLineChars="200" w:firstLine="420"/>
      <w:jc w:val="both"/>
    </w:pPr>
    <w:rPr>
      <w:rFonts w:ascii="宋体" w:eastAsia="宋体" w:hAnsi="Calibri" w:cs="Times New Roman"/>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12">
    <w:name w:val="修订1"/>
    <w:hidden/>
    <w:uiPriority w:val="99"/>
    <w:unhideWhenUsed/>
    <w:qFormat/>
    <w:rPr>
      <w:kern w:val="2"/>
      <w:sz w:val="21"/>
      <w:szCs w:val="22"/>
    </w:rPr>
  </w:style>
  <w:style w:type="character" w:customStyle="1" w:styleId="aa">
    <w:name w:val="页眉 字符"/>
    <w:basedOn w:val="a2"/>
    <w:link w:val="a9"/>
    <w:rPr>
      <w:kern w:val="2"/>
      <w:sz w:val="18"/>
      <w:szCs w:val="18"/>
    </w:rPr>
  </w:style>
  <w:style w:type="character" w:customStyle="1" w:styleId="a6">
    <w:name w:val="批注文字 字符"/>
    <w:basedOn w:val="a2"/>
    <w:link w:val="a5"/>
    <w:rPr>
      <w:kern w:val="2"/>
      <w:sz w:val="21"/>
      <w:szCs w:val="22"/>
    </w:rPr>
  </w:style>
  <w:style w:type="character" w:customStyle="1" w:styleId="ac">
    <w:name w:val="批注主题 字符"/>
    <w:basedOn w:val="a6"/>
    <w:link w:val="a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静怡 杜</cp:lastModifiedBy>
  <cp:revision>5</cp:revision>
  <dcterms:created xsi:type="dcterms:W3CDTF">2022-01-19T07:18:00Z</dcterms:created>
  <dcterms:modified xsi:type="dcterms:W3CDTF">2024-03-07T07:57:00Z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94C5A7B3BF7448EABA720BFE0EF7290C_13</vt:lpwstr>
  </property>
</Properties>
</file>