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5" o:spid="_x0000_s1026" o:spt="20" style="position:absolute;left:0pt;margin-left:70.9pt;margin-top:212.55pt;height:0pt;width:481.9pt;mso-position-horizontal-relative:page;mso-position-vertical-relative:page;z-index:251660288;mso-width-relative:page;mso-height-relative:page;" coordsize="21600,21600" o:allowoverlap="f"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N4nSLX&#10;AAAADAEAAA8AAAAAAAAAAQAgAAAAIgAAAGRycy9kb3ducmV2LnhtbFBLAQIUABQAAAAIAIdO4kDe&#10;LOvf6AEAALgDAAAOAAAAAAAAAAEAIAAAACYBAABkcnMvZTJvRG9jLnhtbFBLBQYAAAAABgAGAFkB&#10;AACA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bookmarkStart w:id="9" w:name="CSTD_NAME"/>
      <w:r>
        <w:rPr>
          <w:rFonts w:ascii="黑体" w:hAnsi="黑体" w:eastAsia="黑体" w:cs="Times New Roman"/>
          <w:bCs/>
          <w:sz w:val="52"/>
          <w:lang w:val="en-US" w:eastAsia="zh-CN" w:bidi="ar-SA"/>
        </w:rPr>
        <w:fldChar w:fldCharType="begin">
          <w:ffData>
            <w:name w:val="CSTD_NAME"/>
            <w:enabled/>
            <w:calcOnExit w:val="0"/>
            <w:textInput>
              <w:default w:val="广西美丽幸福河湖评价规范"/>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广西美丽幸福河湖评价规范</w:t>
      </w:r>
      <w:r>
        <w:rPr>
          <w:rFonts w:ascii="黑体" w:hAnsi="黑体" w:eastAsia="黑体" w:cs="Times New Roman"/>
          <w:bCs/>
          <w:sz w:val="52"/>
          <w:lang w:val="en-US" w:eastAsia="zh-CN" w:bidi="ar-SA"/>
        </w:rP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bookmarkStart w:id="10" w:name="ESTD_NAME"/>
      <w:r>
        <w:rPr>
          <w:rFonts w:hint="eastAsia" w:ascii="Times New Roman" w:hAnsi="Times New Roman" w:eastAsia="黑体" w:cs="Times New Roman"/>
          <w:sz w:val="28"/>
          <w:szCs w:val="28"/>
          <w:lang w:val="en-US" w:eastAsia="zh-CN" w:bidi="ar-SA"/>
        </w:rPr>
        <w:fldChar w:fldCharType="begin">
          <w:ffData>
            <w:name w:val="ESTD_NAME"/>
            <w:enabled/>
            <w:calcOnExit w:val="0"/>
            <w:textInput>
              <w:default w:val="Evaluation Criteria of Happy River And Lake Of Guang Xi"/>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Evaluation Criteria of Happy River And Lake Of Guang Xi</w:t>
      </w:r>
      <w:r>
        <w:rPr>
          <w:rFonts w:hint="eastAsia" w:ascii="Times New Roman" w:hAnsi="Times New Roman" w:eastAsia="黑体" w:cs="Times New Roman"/>
          <w:sz w:val="28"/>
          <w:szCs w:val="28"/>
          <w:lang w:val="en-US" w:eastAsia="zh-CN" w:bidi="ar-SA"/>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bookmarkStart w:id="11" w:name="下拉1"/>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listEntry w:val="（审核稿）"/>
            </w:ddList>
          </w:ffData>
        </w:fldChar>
      </w:r>
      <w:r>
        <w:rPr>
          <w:sz w:val="24"/>
          <w:szCs w:val="28"/>
        </w:rPr>
        <w:instrText xml:space="preserve">FORMDROPDOWN</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bookmarkStart w:id="20" w:name="fm"/>
      <w:r>
        <w:rPr>
          <w:rFonts w:hint="eastAsia" w:ascii="黑体" w:hAnsi="黑体" w:eastAsia="黑体" w:cs="Times New Roman"/>
          <w:b w:val="0"/>
          <w:w w:val="100"/>
          <w:sz w:val="28"/>
          <w:lang w:val="en-US" w:eastAsia="zh-CN" w:bidi="ar-SA"/>
        </w:rPr>
        <w:fldChar w:fldCharType="begin">
          <w:ffData>
            <w:name w:val="fm"/>
            <w:enabled/>
            <w:calcOnExit w:val="0"/>
            <w:textInput>
              <w:default w:val="广西壮族自治区市场监督管理局"/>
            </w:textInput>
          </w:ffData>
        </w:fldChar>
      </w:r>
      <w:r>
        <w:rPr>
          <w:rFonts w:hint="eastAsia" w:ascii="黑体" w:hAnsi="黑体" w:eastAsia="黑体" w:cs="Times New Roman"/>
          <w:b w:val="0"/>
          <w:w w:val="100"/>
          <w:sz w:val="28"/>
          <w:lang w:val="en-US" w:eastAsia="zh-CN" w:bidi="ar-SA"/>
        </w:rPr>
        <w:instrText xml:space="preserve">FORMTEXT</w:instrText>
      </w:r>
      <w:r>
        <w:rPr>
          <w:rFonts w:hint="eastAsia" w:ascii="黑体" w:hAnsi="黑体" w:eastAsia="黑体" w:cs="Times New Roman"/>
          <w:b w:val="0"/>
          <w:w w:val="100"/>
          <w:sz w:val="28"/>
          <w:lang w:val="en-US" w:eastAsia="zh-CN" w:bidi="ar-SA"/>
        </w:rPr>
        <w:fldChar w:fldCharType="separate"/>
      </w:r>
      <w:r>
        <w:rPr>
          <w:rFonts w:hint="eastAsia" w:ascii="黑体" w:hAnsi="黑体" w:eastAsia="黑体" w:cs="Times New Roman"/>
          <w:b w:val="0"/>
          <w:w w:val="100"/>
          <w:sz w:val="28"/>
          <w:lang w:val="en-US" w:eastAsia="zh-CN" w:bidi="ar-SA"/>
        </w:rPr>
        <w:t>广西壮族自治区市场监督管理局</w:t>
      </w:r>
      <w:r>
        <w:rPr>
          <w:rFonts w:hint="eastAsia" w:ascii="黑体" w:hAnsi="黑体" w:eastAsia="黑体" w:cs="Times New Roman"/>
          <w:b w:val="0"/>
          <w:w w:val="100"/>
          <w:sz w:val="28"/>
          <w:lang w:val="en-US" w:eastAsia="zh-CN" w:bidi="ar-SA"/>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4" o:spid="_x0000_s2050" o:spt="20" style="position:absolute;left:0pt;margin-left:70.85pt;margin-top:728.5pt;height:0pt;width:481.9pt;mso-position-horizontal-relative:page;mso-position-vertical-relative:page;z-index:251662336;mso-width-relative:page;mso-height-relative:page;" coordsize="21600,21600"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giuhLX&#10;AAAADgEAAA8AAAAAAAAAAQAgAAAAIgAAAGRycy9kb3ducmV2LnhtbFBLAQIUABQAAAAIAIdO4kB4&#10;NdCb6AEAALgDAAAOAAAAAAAAAAEAIAAAACYBAABkcnMvZTJvRG9jLnhtbFBLBQYAAAAABgAGAFkB&#10;AACABQAAAAA=&#10;">
            <v:path arrowok="t"/>
            <v:fill focussize="0,0"/>
            <v:stroke/>
            <v:imagedata o:title=""/>
            <o:lock v:ext="edit"/>
            <w10:anchorlock/>
          </v:line>
        </w:pict>
      </w:r>
    </w:p>
    <w:p>
      <w:pPr>
        <w:pStyle w:val="92"/>
        <w:spacing w:after="468"/>
      </w:pPr>
      <w:bookmarkStart w:id="21" w:name="BookMark1"/>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w:instrText>
      </w:r>
      <w:r>
        <w:fldChar w:fldCharType="separate"/>
      </w:r>
      <w:r>
        <w:fldChar w:fldCharType="begin"/>
      </w:r>
      <w:r>
        <w:instrText xml:space="preserve"> HYPERLINK \l "_Toc146035372" </w:instrText>
      </w:r>
      <w:r>
        <w:fldChar w:fldCharType="separate"/>
      </w:r>
      <w:r>
        <w:rPr>
          <w:rStyle w:val="33"/>
          <w:rFonts w:hint="eastAsia"/>
          <w:spacing w:val="320"/>
        </w:rPr>
        <w:t>前</w:t>
      </w:r>
      <w:r>
        <w:rPr>
          <w:rStyle w:val="33"/>
          <w:rFonts w:hint="eastAsia"/>
        </w:rPr>
        <w:t>言</w:t>
      </w:r>
      <w:r>
        <w:tab/>
      </w:r>
      <w:r>
        <w:fldChar w:fldCharType="begin"/>
      </w:r>
      <w:r>
        <w:instrText xml:space="preserve"> PAGEREF _Toc146035372 \h </w:instrText>
      </w:r>
      <w:r>
        <w:fldChar w:fldCharType="separate"/>
      </w:r>
      <w:r>
        <w:t>III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"_Toc146035373" </w:instrText>
      </w:r>
      <w:r>
        <w:fldChar w:fldCharType="separate"/>
      </w:r>
      <w:r>
        <w:rPr>
          <w:rStyle w:val="33"/>
        </w:rPr>
        <w:t>1</w:t>
      </w:r>
      <w:r>
        <w:rPr>
          <w:rStyle w:val="33"/>
          <w:rFonts w:hint="eastAsia"/>
        </w:rPr>
        <w:t xml:space="preserve"> 范围</w:t>
      </w:r>
      <w:r>
        <w:tab/>
      </w:r>
      <w:r>
        <w:fldChar w:fldCharType="begin"/>
      </w:r>
      <w:r>
        <w:instrText xml:space="preserve"> PAGEREF _Toc146035373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"_Toc146035374" </w:instrText>
      </w:r>
      <w:r>
        <w:fldChar w:fldCharType="separate"/>
      </w:r>
      <w:r>
        <w:rPr>
          <w:rStyle w:val="33"/>
        </w:rPr>
        <w:t>2</w:t>
      </w:r>
      <w:r>
        <w:rPr>
          <w:rStyle w:val="33"/>
          <w:rFonts w:hint="eastAsia"/>
        </w:rPr>
        <w:t xml:space="preserve"> 规范性引用文件</w:t>
      </w:r>
      <w:r>
        <w:tab/>
      </w:r>
      <w:r>
        <w:fldChar w:fldCharType="begin"/>
      </w:r>
      <w:r>
        <w:instrText xml:space="preserve"> PAGEREF _Toc146035374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"_Toc146035375" </w:instrText>
      </w:r>
      <w:r>
        <w:fldChar w:fldCharType="separate"/>
      </w:r>
      <w:r>
        <w:rPr>
          <w:rStyle w:val="33"/>
        </w:rPr>
        <w:t>3</w:t>
      </w:r>
      <w:r>
        <w:rPr>
          <w:rStyle w:val="33"/>
          <w:rFonts w:hint="eastAsia"/>
        </w:rPr>
        <w:t xml:space="preserve"> 术语和定义</w:t>
      </w:r>
      <w:r>
        <w:tab/>
      </w:r>
      <w:r>
        <w:fldChar w:fldCharType="begin"/>
      </w:r>
      <w:r>
        <w:instrText xml:space="preserve"> PAGEREF _Toc146035375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"_Toc146035376" </w:instrText>
      </w:r>
      <w:r>
        <w:fldChar w:fldCharType="separate"/>
      </w:r>
      <w:r>
        <w:rPr>
          <w:rStyle w:val="33"/>
        </w:rPr>
        <w:t>4</w:t>
      </w:r>
      <w:r>
        <w:rPr>
          <w:rStyle w:val="33"/>
          <w:rFonts w:hint="eastAsia"/>
        </w:rPr>
        <w:t xml:space="preserve"> 评价分类</w:t>
      </w:r>
      <w:r>
        <w:tab/>
      </w:r>
      <w:r>
        <w:fldChar w:fldCharType="begin"/>
      </w:r>
      <w:r>
        <w:instrText xml:space="preserve"> PAGEREF _Toc146035376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"_Toc146035377" </w:instrText>
      </w:r>
      <w:r>
        <w:fldChar w:fldCharType="separate"/>
      </w:r>
      <w:r>
        <w:rPr>
          <w:rStyle w:val="33"/>
        </w:rPr>
        <w:t>5</w:t>
      </w:r>
      <w:r>
        <w:rPr>
          <w:rStyle w:val="33"/>
          <w:rFonts w:hint="eastAsia"/>
        </w:rPr>
        <w:t xml:space="preserve"> 基本要求</w:t>
      </w:r>
      <w:r>
        <w:tab/>
      </w:r>
      <w:r>
        <w:fldChar w:fldCharType="begin"/>
      </w:r>
      <w:r>
        <w:instrText xml:space="preserve"> PAGEREF _Toc146035377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"_Toc146035378" </w:instrText>
      </w:r>
      <w:r>
        <w:fldChar w:fldCharType="separate"/>
      </w:r>
      <w:r>
        <w:rPr>
          <w:rStyle w:val="33"/>
        </w:rPr>
        <w:t>5.1</w:t>
      </w:r>
      <w:r>
        <w:rPr>
          <w:rStyle w:val="33"/>
          <w:rFonts w:hint="eastAsia"/>
        </w:rPr>
        <w:t xml:space="preserve"> 一般要求</w:t>
      </w:r>
      <w:r>
        <w:tab/>
      </w:r>
      <w:r>
        <w:fldChar w:fldCharType="begin"/>
      </w:r>
      <w:r>
        <w:instrText xml:space="preserve"> PAGEREF _Toc146035378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"_Toc146035379" </w:instrText>
      </w:r>
      <w:r>
        <w:fldChar w:fldCharType="separate"/>
      </w:r>
      <w:r>
        <w:rPr>
          <w:rStyle w:val="33"/>
        </w:rPr>
        <w:t>5.2</w:t>
      </w:r>
      <w:r>
        <w:rPr>
          <w:rStyle w:val="33"/>
          <w:rFonts w:hint="eastAsia"/>
        </w:rPr>
        <w:t xml:space="preserve"> 评价原则</w:t>
      </w:r>
      <w:r>
        <w:tab/>
      </w:r>
      <w:r>
        <w:fldChar w:fldCharType="begin"/>
      </w:r>
      <w:r>
        <w:instrText xml:space="preserve"> PAGEREF _Toc146035379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"_Toc146035380" </w:instrText>
      </w:r>
      <w:r>
        <w:fldChar w:fldCharType="separate"/>
      </w:r>
      <w:r>
        <w:rPr>
          <w:rStyle w:val="33"/>
        </w:rPr>
        <w:t>5.3</w:t>
      </w:r>
      <w:r>
        <w:rPr>
          <w:rStyle w:val="33"/>
          <w:rFonts w:hint="eastAsia"/>
        </w:rPr>
        <w:t xml:space="preserve"> 评价方式</w:t>
      </w:r>
      <w:r>
        <w:tab/>
      </w:r>
      <w:r>
        <w:fldChar w:fldCharType="begin"/>
      </w:r>
      <w:r>
        <w:instrText xml:space="preserve"> PAGEREF _Toc146035380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"_Toc146035381" </w:instrText>
      </w:r>
      <w:r>
        <w:fldChar w:fldCharType="separate"/>
      </w:r>
      <w:r>
        <w:rPr>
          <w:rStyle w:val="33"/>
        </w:rPr>
        <w:t>5.4</w:t>
      </w:r>
      <w:r>
        <w:rPr>
          <w:rStyle w:val="33"/>
          <w:rFonts w:hint="eastAsia"/>
        </w:rPr>
        <w:t xml:space="preserve"> 评价流程</w:t>
      </w:r>
      <w:r>
        <w:tab/>
      </w:r>
      <w:r>
        <w:fldChar w:fldCharType="begin"/>
      </w:r>
      <w:r>
        <w:instrText xml:space="preserve"> PAGEREF _Toc146035381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"_Toc146035382" </w:instrText>
      </w:r>
      <w:r>
        <w:fldChar w:fldCharType="separate"/>
      </w:r>
      <w:r>
        <w:rPr>
          <w:rStyle w:val="33"/>
        </w:rPr>
        <w:t>5.5</w:t>
      </w:r>
      <w:r>
        <w:rPr>
          <w:rStyle w:val="33"/>
          <w:rFonts w:hint="eastAsia"/>
        </w:rPr>
        <w:t xml:space="preserve"> 评价指标和方法</w:t>
      </w:r>
      <w:r>
        <w:tab/>
      </w:r>
      <w:r>
        <w:fldChar w:fldCharType="begin"/>
      </w:r>
      <w:r>
        <w:instrText xml:space="preserve"> PAGEREF _Toc146035382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"_Toc146035383" </w:instrText>
      </w:r>
      <w:r>
        <w:fldChar w:fldCharType="separate"/>
      </w:r>
      <w:r>
        <w:rPr>
          <w:rStyle w:val="33"/>
        </w:rPr>
        <w:t>5.6</w:t>
      </w:r>
      <w:r>
        <w:rPr>
          <w:rStyle w:val="33"/>
          <w:rFonts w:hint="eastAsia"/>
        </w:rPr>
        <w:t xml:space="preserve"> 评价结果</w:t>
      </w:r>
      <w:r>
        <w:tab/>
      </w:r>
      <w:r>
        <w:fldChar w:fldCharType="begin"/>
      </w:r>
      <w:r>
        <w:instrText xml:space="preserve"> PAGEREF _Toc146035383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"_Toc146035384" </w:instrText>
      </w:r>
      <w:r>
        <w:fldChar w:fldCharType="separate"/>
      </w:r>
      <w:r>
        <w:rPr>
          <w:rStyle w:val="33"/>
        </w:rPr>
        <w:t>6</w:t>
      </w:r>
      <w:r>
        <w:rPr>
          <w:rStyle w:val="33"/>
          <w:rFonts w:hint="eastAsia"/>
        </w:rPr>
        <w:t xml:space="preserve"> 城区段河流</w:t>
      </w:r>
      <w:r>
        <w:tab/>
      </w:r>
      <w:r>
        <w:fldChar w:fldCharType="begin"/>
      </w:r>
      <w:r>
        <w:instrText xml:space="preserve"> PAGEREF _Toc146035384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"_Toc146035385" </w:instrText>
      </w:r>
      <w:r>
        <w:fldChar w:fldCharType="separate"/>
      </w:r>
      <w:r>
        <w:rPr>
          <w:rStyle w:val="33"/>
        </w:rPr>
        <w:t>6.1</w:t>
      </w:r>
      <w:r>
        <w:rPr>
          <w:rStyle w:val="33"/>
          <w:rFonts w:hint="eastAsia"/>
        </w:rPr>
        <w:t xml:space="preserve"> 水安全评价指标</w:t>
      </w:r>
      <w:r>
        <w:tab/>
      </w:r>
      <w:r>
        <w:fldChar w:fldCharType="begin"/>
      </w:r>
      <w:r>
        <w:instrText xml:space="preserve"> PAGEREF _Toc146035385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"_Toc146035386" </w:instrText>
      </w:r>
      <w:r>
        <w:fldChar w:fldCharType="separate"/>
      </w:r>
      <w:r>
        <w:rPr>
          <w:rStyle w:val="33"/>
        </w:rPr>
        <w:t>6.2</w:t>
      </w:r>
      <w:r>
        <w:rPr>
          <w:rStyle w:val="33"/>
          <w:rFonts w:hint="eastAsia"/>
        </w:rPr>
        <w:t xml:space="preserve"> 水资源评价指标</w:t>
      </w:r>
      <w:r>
        <w:tab/>
      </w:r>
      <w:r>
        <w:fldChar w:fldCharType="begin"/>
      </w:r>
      <w:r>
        <w:instrText xml:space="preserve"> PAGEREF _Toc146035386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"_Toc146035387" </w:instrText>
      </w:r>
      <w:r>
        <w:fldChar w:fldCharType="separate"/>
      </w:r>
      <w:r>
        <w:rPr>
          <w:rStyle w:val="33"/>
        </w:rPr>
        <w:t>6.3</w:t>
      </w:r>
      <w:r>
        <w:rPr>
          <w:rStyle w:val="33"/>
          <w:rFonts w:hint="eastAsia"/>
        </w:rPr>
        <w:t xml:space="preserve"> 水生态评价指标</w:t>
      </w:r>
      <w:r>
        <w:tab/>
      </w:r>
      <w:r>
        <w:fldChar w:fldCharType="begin"/>
      </w:r>
      <w:r>
        <w:instrText xml:space="preserve"> PAGEREF _Toc146035387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"_Toc146035388" </w:instrText>
      </w:r>
      <w:r>
        <w:fldChar w:fldCharType="separate"/>
      </w:r>
      <w:r>
        <w:rPr>
          <w:rStyle w:val="33"/>
        </w:rPr>
        <w:t>6.4</w:t>
      </w:r>
      <w:r>
        <w:rPr>
          <w:rStyle w:val="33"/>
          <w:rFonts w:hint="eastAsia"/>
        </w:rPr>
        <w:t xml:space="preserve"> 水环境评价指标</w:t>
      </w:r>
      <w:r>
        <w:tab/>
      </w:r>
      <w:r>
        <w:fldChar w:fldCharType="begin"/>
      </w:r>
      <w:r>
        <w:instrText xml:space="preserve"> PAGEREF _Toc146035388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"_Toc146035389" </w:instrText>
      </w:r>
      <w:r>
        <w:fldChar w:fldCharType="separate"/>
      </w:r>
      <w:r>
        <w:rPr>
          <w:rStyle w:val="33"/>
        </w:rPr>
        <w:t>6.5</w:t>
      </w:r>
      <w:r>
        <w:rPr>
          <w:rStyle w:val="33"/>
          <w:rFonts w:hint="eastAsia"/>
        </w:rPr>
        <w:t xml:space="preserve"> 水文化评价指标</w:t>
      </w:r>
      <w:r>
        <w:tab/>
      </w:r>
      <w:r>
        <w:fldChar w:fldCharType="begin"/>
      </w:r>
      <w:r>
        <w:instrText xml:space="preserve"> PAGEREF _Toc146035389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"_Toc146035390" </w:instrText>
      </w:r>
      <w:r>
        <w:fldChar w:fldCharType="separate"/>
      </w:r>
      <w:r>
        <w:rPr>
          <w:rStyle w:val="33"/>
        </w:rPr>
        <w:t>6.6</w:t>
      </w:r>
      <w:r>
        <w:rPr>
          <w:rStyle w:val="33"/>
          <w:rFonts w:hint="eastAsia"/>
        </w:rPr>
        <w:t xml:space="preserve"> 水管理评价指标</w:t>
      </w:r>
      <w:r>
        <w:tab/>
      </w:r>
      <w:r>
        <w:fldChar w:fldCharType="begin"/>
      </w:r>
      <w:r>
        <w:instrText xml:space="preserve"> PAGEREF _Toc146035390 \h </w:instrText>
      </w:r>
      <w:r>
        <w:fldChar w:fldCharType="separate"/>
      </w:r>
      <w:r>
        <w:t>5</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"_Toc146035391" </w:instrText>
      </w:r>
      <w:r>
        <w:fldChar w:fldCharType="separate"/>
      </w:r>
      <w:r>
        <w:rPr>
          <w:rStyle w:val="33"/>
        </w:rPr>
        <w:t>7</w:t>
      </w:r>
      <w:r>
        <w:rPr>
          <w:rStyle w:val="33"/>
          <w:rFonts w:hint="eastAsia"/>
        </w:rPr>
        <w:t xml:space="preserve"> 乡村段河流</w:t>
      </w:r>
      <w:r>
        <w:tab/>
      </w:r>
      <w:r>
        <w:fldChar w:fldCharType="begin"/>
      </w:r>
      <w:r>
        <w:instrText xml:space="preserve"> PAGEREF _Toc146035391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"_Toc146035392" </w:instrText>
      </w:r>
      <w:r>
        <w:fldChar w:fldCharType="separate"/>
      </w:r>
      <w:r>
        <w:rPr>
          <w:rStyle w:val="33"/>
        </w:rPr>
        <w:t>7.1</w:t>
      </w:r>
      <w:r>
        <w:rPr>
          <w:rStyle w:val="33"/>
          <w:rFonts w:hint="eastAsia"/>
        </w:rPr>
        <w:t xml:space="preserve"> 水安全评价指标</w:t>
      </w:r>
      <w:r>
        <w:tab/>
      </w:r>
      <w:r>
        <w:fldChar w:fldCharType="begin"/>
      </w:r>
      <w:r>
        <w:instrText xml:space="preserve"> PAGEREF _Toc146035392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"_Toc146035393" </w:instrText>
      </w:r>
      <w:r>
        <w:fldChar w:fldCharType="separate"/>
      </w:r>
      <w:r>
        <w:rPr>
          <w:rStyle w:val="33"/>
        </w:rPr>
        <w:t>7.2</w:t>
      </w:r>
      <w:r>
        <w:rPr>
          <w:rStyle w:val="33"/>
          <w:rFonts w:hint="eastAsia"/>
        </w:rPr>
        <w:t xml:space="preserve"> 水资源评价指标</w:t>
      </w:r>
      <w:r>
        <w:tab/>
      </w:r>
      <w:r>
        <w:fldChar w:fldCharType="begin"/>
      </w:r>
      <w:r>
        <w:instrText xml:space="preserve"> PAGEREF _Toc146035393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"_Toc146035394" </w:instrText>
      </w:r>
      <w:r>
        <w:fldChar w:fldCharType="separate"/>
      </w:r>
      <w:r>
        <w:rPr>
          <w:rStyle w:val="33"/>
        </w:rPr>
        <w:t>7.3</w:t>
      </w:r>
      <w:r>
        <w:rPr>
          <w:rStyle w:val="33"/>
          <w:rFonts w:hint="eastAsia"/>
        </w:rPr>
        <w:t xml:space="preserve"> 水生态评价指标</w:t>
      </w:r>
      <w:r>
        <w:tab/>
      </w:r>
      <w:r>
        <w:fldChar w:fldCharType="begin"/>
      </w:r>
      <w:r>
        <w:instrText xml:space="preserve"> PAGEREF _Toc146035394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"_Toc146035395" </w:instrText>
      </w:r>
      <w:r>
        <w:fldChar w:fldCharType="separate"/>
      </w:r>
      <w:r>
        <w:rPr>
          <w:rStyle w:val="33"/>
        </w:rPr>
        <w:t>7.4</w:t>
      </w:r>
      <w:r>
        <w:rPr>
          <w:rStyle w:val="33"/>
          <w:rFonts w:hint="eastAsia"/>
        </w:rPr>
        <w:t xml:space="preserve"> 水环境评价指标</w:t>
      </w:r>
      <w:r>
        <w:tab/>
      </w:r>
      <w:r>
        <w:fldChar w:fldCharType="begin"/>
      </w:r>
      <w:r>
        <w:instrText xml:space="preserve"> PAGEREF _Toc146035395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"_Toc146035396" </w:instrText>
      </w:r>
      <w:r>
        <w:fldChar w:fldCharType="separate"/>
      </w:r>
      <w:r>
        <w:rPr>
          <w:rStyle w:val="33"/>
        </w:rPr>
        <w:t>7.5</w:t>
      </w:r>
      <w:r>
        <w:rPr>
          <w:rStyle w:val="33"/>
          <w:rFonts w:hint="eastAsia"/>
        </w:rPr>
        <w:t xml:space="preserve"> 水文化评价指标</w:t>
      </w:r>
      <w:r>
        <w:tab/>
      </w:r>
      <w:r>
        <w:fldChar w:fldCharType="begin"/>
      </w:r>
      <w:r>
        <w:instrText xml:space="preserve"> PAGEREF _Toc146035396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"_Toc146035397" </w:instrText>
      </w:r>
      <w:r>
        <w:fldChar w:fldCharType="separate"/>
      </w:r>
      <w:r>
        <w:rPr>
          <w:rStyle w:val="33"/>
        </w:rPr>
        <w:t>7.6</w:t>
      </w:r>
      <w:r>
        <w:rPr>
          <w:rStyle w:val="33"/>
          <w:rFonts w:hint="eastAsia"/>
        </w:rPr>
        <w:t xml:space="preserve"> 水管理评价指标</w:t>
      </w:r>
      <w:r>
        <w:tab/>
      </w:r>
      <w:r>
        <w:fldChar w:fldCharType="begin"/>
      </w:r>
      <w:r>
        <w:instrText xml:space="preserve"> PAGEREF _Toc146035397 \h </w:instrText>
      </w:r>
      <w:r>
        <w:fldChar w:fldCharType="separate"/>
      </w:r>
      <w:r>
        <w:t>7</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"_Toc146035398" </w:instrText>
      </w:r>
      <w:r>
        <w:fldChar w:fldCharType="separate"/>
      </w:r>
      <w:r>
        <w:rPr>
          <w:rStyle w:val="33"/>
        </w:rPr>
        <w:t>8</w:t>
      </w:r>
      <w:r>
        <w:rPr>
          <w:rStyle w:val="33"/>
          <w:rFonts w:hint="eastAsia"/>
        </w:rPr>
        <w:t xml:space="preserve"> 湖泊水库</w:t>
      </w:r>
      <w:r>
        <w:tab/>
      </w:r>
      <w:r>
        <w:fldChar w:fldCharType="begin"/>
      </w:r>
      <w:r>
        <w:instrText xml:space="preserve"> PAGEREF _Toc146035398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"_Toc146035399" </w:instrText>
      </w:r>
      <w:r>
        <w:fldChar w:fldCharType="separate"/>
      </w:r>
      <w:r>
        <w:rPr>
          <w:rStyle w:val="33"/>
        </w:rPr>
        <w:t>8.1</w:t>
      </w:r>
      <w:r>
        <w:rPr>
          <w:rStyle w:val="33"/>
          <w:rFonts w:hint="eastAsia"/>
        </w:rPr>
        <w:t xml:space="preserve"> 水安全评价指标</w:t>
      </w:r>
      <w:r>
        <w:tab/>
      </w:r>
      <w:r>
        <w:fldChar w:fldCharType="begin"/>
      </w:r>
      <w:r>
        <w:instrText xml:space="preserve"> PAGEREF _Toc146035399 \h </w:instrText>
      </w:r>
      <w:r>
        <w:fldChar w:fldCharType="separate"/>
      </w:r>
      <w:r>
        <w:t>8</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"_Toc146035400" </w:instrText>
      </w:r>
      <w:r>
        <w:fldChar w:fldCharType="separate"/>
      </w:r>
      <w:r>
        <w:rPr>
          <w:rStyle w:val="33"/>
        </w:rPr>
        <w:t>8.2</w:t>
      </w:r>
      <w:r>
        <w:rPr>
          <w:rStyle w:val="33"/>
          <w:rFonts w:hint="eastAsia"/>
        </w:rPr>
        <w:t xml:space="preserve"> 水资源评价指标</w:t>
      </w:r>
      <w:r>
        <w:tab/>
      </w:r>
      <w:r>
        <w:fldChar w:fldCharType="begin"/>
      </w:r>
      <w:r>
        <w:instrText xml:space="preserve"> PAGEREF _Toc146035400 \h </w:instrText>
      </w:r>
      <w:r>
        <w:fldChar w:fldCharType="separate"/>
      </w:r>
      <w:r>
        <w:t>8</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"_Toc146035401" </w:instrText>
      </w:r>
      <w:r>
        <w:fldChar w:fldCharType="separate"/>
      </w:r>
      <w:r>
        <w:rPr>
          <w:rStyle w:val="33"/>
        </w:rPr>
        <w:t>8.3</w:t>
      </w:r>
      <w:r>
        <w:rPr>
          <w:rStyle w:val="33"/>
          <w:rFonts w:hint="eastAsia"/>
        </w:rPr>
        <w:t xml:space="preserve"> 水生态评价指标</w:t>
      </w:r>
      <w:r>
        <w:tab/>
      </w:r>
      <w:r>
        <w:fldChar w:fldCharType="begin"/>
      </w:r>
      <w:r>
        <w:instrText xml:space="preserve"> PAGEREF _Toc146035401 \h </w:instrText>
      </w:r>
      <w:r>
        <w:fldChar w:fldCharType="separate"/>
      </w:r>
      <w:r>
        <w:t>8</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"_Toc146035402" </w:instrText>
      </w:r>
      <w:r>
        <w:fldChar w:fldCharType="separate"/>
      </w:r>
      <w:r>
        <w:rPr>
          <w:rStyle w:val="33"/>
        </w:rPr>
        <w:t>8.4</w:t>
      </w:r>
      <w:r>
        <w:rPr>
          <w:rStyle w:val="33"/>
          <w:rFonts w:hint="eastAsia"/>
        </w:rPr>
        <w:t xml:space="preserve"> 水环境评价指标</w:t>
      </w:r>
      <w:r>
        <w:tab/>
      </w:r>
      <w:r>
        <w:fldChar w:fldCharType="begin"/>
      </w:r>
      <w:r>
        <w:instrText xml:space="preserve"> PAGEREF _Toc146035402 \h </w:instrText>
      </w:r>
      <w:r>
        <w:fldChar w:fldCharType="separate"/>
      </w:r>
      <w:r>
        <w:t>8</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"_Toc146035403" </w:instrText>
      </w:r>
      <w:r>
        <w:fldChar w:fldCharType="separate"/>
      </w:r>
      <w:r>
        <w:rPr>
          <w:rStyle w:val="33"/>
        </w:rPr>
        <w:t>8.5</w:t>
      </w:r>
      <w:r>
        <w:rPr>
          <w:rStyle w:val="33"/>
          <w:rFonts w:hint="eastAsia"/>
        </w:rPr>
        <w:t xml:space="preserve"> 水文化评价指标</w:t>
      </w:r>
      <w:r>
        <w:tab/>
      </w:r>
      <w:r>
        <w:fldChar w:fldCharType="begin"/>
      </w:r>
      <w:r>
        <w:instrText xml:space="preserve"> PAGEREF _Toc146035403 \h </w:instrText>
      </w:r>
      <w:r>
        <w:fldChar w:fldCharType="separate"/>
      </w:r>
      <w:r>
        <w:t>9</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"_Toc146035404" </w:instrText>
      </w:r>
      <w:r>
        <w:fldChar w:fldCharType="separate"/>
      </w:r>
      <w:r>
        <w:rPr>
          <w:rStyle w:val="33"/>
        </w:rPr>
        <w:t>8.6</w:t>
      </w:r>
      <w:r>
        <w:rPr>
          <w:rStyle w:val="33"/>
          <w:rFonts w:hint="eastAsia"/>
        </w:rPr>
        <w:t xml:space="preserve"> 水管理评价指标</w:t>
      </w:r>
      <w:r>
        <w:tab/>
      </w:r>
      <w:r>
        <w:fldChar w:fldCharType="begin"/>
      </w:r>
      <w:r>
        <w:instrText xml:space="preserve"> PAGEREF _Toc146035404 \h </w:instrText>
      </w:r>
      <w:r>
        <w:fldChar w:fldCharType="separate"/>
      </w:r>
      <w:r>
        <w:t>9</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"_Toc146035405" </w:instrText>
      </w:r>
      <w:r>
        <w:fldChar w:fldCharType="separate"/>
      </w:r>
      <w:r>
        <w:rPr>
          <w:rStyle w:val="33"/>
        </w:rPr>
        <w:t>9</w:t>
      </w:r>
      <w:r>
        <w:rPr>
          <w:rStyle w:val="33"/>
          <w:rFonts w:hint="eastAsia"/>
        </w:rPr>
        <w:t xml:space="preserve"> 评价报告</w:t>
      </w:r>
      <w:r>
        <w:tab/>
      </w:r>
      <w:r>
        <w:fldChar w:fldCharType="begin"/>
      </w:r>
      <w:r>
        <w:instrText xml:space="preserve"> PAGEREF _Toc146035405 \h </w:instrText>
      </w:r>
      <w:r>
        <w:fldChar w:fldCharType="separate"/>
      </w:r>
      <w:r>
        <w:t>9</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"_Toc146035406" </w:instrText>
      </w:r>
      <w:r>
        <w:fldChar w:fldCharType="separate"/>
      </w:r>
      <w:r>
        <w:rPr>
          <w:rStyle w:val="33"/>
          <w:rFonts w:hint="eastAsia"/>
          <w:spacing w:val="100"/>
        </w:rPr>
        <w:t>附录A</w:t>
      </w:r>
      <w:r>
        <w:rPr>
          <w:rStyle w:val="33"/>
          <w:rFonts w:hint="eastAsia"/>
        </w:rPr>
        <w:t xml:space="preserve"> （规范性）</w:t>
      </w:r>
      <w:r>
        <w:rPr>
          <w:rStyle w:val="33"/>
        </w:rPr>
        <w:t xml:space="preserve"> </w:t>
      </w:r>
      <w:r>
        <w:rPr>
          <w:rStyle w:val="33"/>
          <w:rFonts w:hint="eastAsia"/>
        </w:rPr>
        <w:t>美丽幸福河湖评价标准表</w:t>
      </w:r>
      <w:r>
        <w:tab/>
      </w:r>
      <w:r>
        <w:fldChar w:fldCharType="begin"/>
      </w:r>
      <w:r>
        <w:instrText xml:space="preserve"> PAGEREF _Toc146035406 \h </w:instrText>
      </w:r>
      <w:r>
        <w:fldChar w:fldCharType="separate"/>
      </w:r>
      <w:r>
        <w:t>11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"_Toc146035407" </w:instrText>
      </w:r>
      <w:r>
        <w:fldChar w:fldCharType="separate"/>
      </w:r>
      <w:r>
        <w:rPr>
          <w:rStyle w:val="33"/>
          <w:rFonts w:hint="eastAsia"/>
          <w:spacing w:val="100"/>
        </w:rPr>
        <w:t>附录B</w:t>
      </w:r>
      <w:r>
        <w:rPr>
          <w:rStyle w:val="33"/>
          <w:rFonts w:hint="eastAsia"/>
        </w:rPr>
        <w:t xml:space="preserve"> （规范性）</w:t>
      </w:r>
      <w:r>
        <w:rPr>
          <w:rStyle w:val="33"/>
        </w:rPr>
        <w:t xml:space="preserve"> </w:t>
      </w:r>
      <w:r>
        <w:rPr>
          <w:rStyle w:val="33"/>
          <w:rFonts w:hint="eastAsia"/>
        </w:rPr>
        <w:t>广西美丽幸福河湖准入评估表</w:t>
      </w:r>
      <w:r>
        <w:tab/>
      </w:r>
      <w:r>
        <w:fldChar w:fldCharType="begin"/>
      </w:r>
      <w:r>
        <w:instrText xml:space="preserve"> PAGEREF _Toc146035407 \h </w:instrText>
      </w:r>
      <w:r>
        <w:fldChar w:fldCharType="separate"/>
      </w:r>
      <w:r>
        <w:t>22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"_Toc146035408" </w:instrText>
      </w:r>
      <w:r>
        <w:fldChar w:fldCharType="separate"/>
      </w:r>
      <w:r>
        <w:rPr>
          <w:rStyle w:val="33"/>
          <w:rFonts w:hint="eastAsia"/>
          <w:spacing w:val="100"/>
        </w:rPr>
        <w:t>附录C</w:t>
      </w:r>
      <w:r>
        <w:rPr>
          <w:rStyle w:val="33"/>
          <w:rFonts w:hint="eastAsia"/>
        </w:rPr>
        <w:t xml:space="preserve"> （规范性）</w:t>
      </w:r>
      <w:r>
        <w:rPr>
          <w:rStyle w:val="33"/>
        </w:rPr>
        <w:t xml:space="preserve"> </w:t>
      </w:r>
      <w:r>
        <w:rPr>
          <w:rStyle w:val="33"/>
          <w:rFonts w:hint="eastAsia"/>
        </w:rPr>
        <w:t>美丽幸福河湖推荐申请评定表</w:t>
      </w:r>
      <w:r>
        <w:tab/>
      </w:r>
      <w:r>
        <w:fldChar w:fldCharType="begin"/>
      </w:r>
      <w:r>
        <w:instrText xml:space="preserve"> PAGEREF _Toc146035408 \h </w:instrText>
      </w:r>
      <w:r>
        <w:fldChar w:fldCharType="separate"/>
      </w:r>
      <w:r>
        <w:t>23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"_Toc146035409" </w:instrText>
      </w:r>
      <w:r>
        <w:fldChar w:fldCharType="separate"/>
      </w:r>
      <w:r>
        <w:rPr>
          <w:rStyle w:val="33"/>
          <w:rFonts w:hint="eastAsia"/>
          <w:spacing w:val="100"/>
        </w:rPr>
        <w:t>附录D</w:t>
      </w:r>
      <w:r>
        <w:rPr>
          <w:rStyle w:val="33"/>
          <w:rFonts w:hint="eastAsia"/>
          <w:spacing w:val="100"/>
        </w:rPr>
        <w:fldChar w:fldCharType="end"/>
      </w:r>
      <w:r>
        <w:rPr>
          <w:rStyle w:val="33"/>
          <w:rFonts w:hint="eastAsia"/>
        </w:rPr>
        <w:t xml:space="preserve"> </w:t>
      </w:r>
      <w:r>
        <w:fldChar w:fldCharType="begin"/>
      </w:r>
      <w:r>
        <w:instrText xml:space="preserve"> HYPERLINK \l "_Toc146035410" </w:instrText>
      </w:r>
      <w:r>
        <w:fldChar w:fldCharType="separate"/>
      </w:r>
      <w:r>
        <w:rPr>
          <w:rStyle w:val="33"/>
          <w:rFonts w:hint="eastAsia"/>
        </w:rPr>
        <w:t>（规范性）</w:t>
      </w:r>
      <w:r>
        <w:rPr>
          <w:rStyle w:val="33"/>
          <w:rFonts w:hint="eastAsia"/>
        </w:rPr>
        <w:fldChar w:fldCharType="end"/>
      </w:r>
      <w:r>
        <w:rPr>
          <w:rStyle w:val="33"/>
          <w:rFonts w:hint="eastAsia"/>
        </w:rPr>
        <w:t xml:space="preserve"> </w:t>
      </w:r>
      <w:r>
        <w:fldChar w:fldCharType="begin"/>
      </w:r>
      <w:r>
        <w:instrText xml:space="preserve"> HYPERLINK \l "_Toc146035411" </w:instrText>
      </w:r>
      <w:r>
        <w:fldChar w:fldCharType="separate"/>
      </w:r>
      <w:r>
        <w:rPr>
          <w:rStyle w:val="33"/>
          <w:rFonts w:hint="eastAsia"/>
        </w:rPr>
        <w:t>广西美丽幸福河湖评价满意度问卷</w:t>
      </w:r>
      <w:r>
        <w:tab/>
      </w:r>
      <w:r>
        <w:fldChar w:fldCharType="begin"/>
      </w:r>
      <w:r>
        <w:instrText xml:space="preserve"> PAGEREF _Toc146035411 \h </w:instrText>
      </w:r>
      <w:r>
        <w:fldChar w:fldCharType="separate"/>
      </w:r>
      <w:r>
        <w:t>24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"_Toc146035412" </w:instrText>
      </w:r>
      <w:r>
        <w:fldChar w:fldCharType="separate"/>
      </w:r>
      <w:r>
        <w:rPr>
          <w:rStyle w:val="33"/>
          <w:rFonts w:hint="eastAsia"/>
          <w:spacing w:val="100"/>
        </w:rPr>
        <w:t>附录E</w:t>
      </w:r>
      <w:r>
        <w:rPr>
          <w:rStyle w:val="33"/>
          <w:rFonts w:hint="eastAsia"/>
        </w:rPr>
        <w:t xml:space="preserve"> （规范性）</w:t>
      </w:r>
      <w:r>
        <w:rPr>
          <w:rStyle w:val="33"/>
        </w:rPr>
        <w:t xml:space="preserve"> </w:t>
      </w:r>
      <w:r>
        <w:rPr>
          <w:rStyle w:val="33"/>
          <w:rFonts w:hint="eastAsia"/>
        </w:rPr>
        <w:t>美丽幸福河湖评价报告表</w:t>
      </w:r>
      <w:r>
        <w:tab/>
      </w:r>
      <w:r>
        <w:fldChar w:fldCharType="begin"/>
      </w:r>
      <w:r>
        <w:instrText xml:space="preserve"> PAGEREF _Toc146035412 \h </w:instrText>
      </w:r>
      <w:r>
        <w:fldChar w:fldCharType="separate"/>
      </w:r>
      <w:r>
        <w:t>25</w:t>
      </w:r>
      <w:r>
        <w:fldChar w:fldCharType="end"/>
      </w:r>
      <w:r>
        <w:fldChar w:fldCharType="end"/>
      </w:r>
    </w:p>
    <w:p>
      <w:pPr>
        <w:pStyle w:val="92"/>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after="468"/>
      </w:pPr>
      <w:bookmarkStart w:id="22" w:name="_Toc146035372"/>
      <w:bookmarkStart w:id="23" w:name="BookMark2"/>
      <w:r>
        <w:rPr>
          <w:spacing w:val="320"/>
        </w:rPr>
        <w:t>前</w:t>
      </w:r>
      <w:r>
        <w:t>言</w:t>
      </w:r>
      <w:bookmarkEnd w:id="22"/>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本文件由广西壮族自治区水利厅提出并归口。</w:t>
      </w:r>
    </w:p>
    <w:p>
      <w:pPr>
        <w:pStyle w:val="57"/>
        <w:ind w:firstLine="420"/>
      </w:pPr>
      <w:r>
        <w:rPr>
          <w:rFonts w:hint="eastAsia"/>
        </w:rPr>
        <w:t>本文件起草单位：广西壮族自治区水利科学研究院、广西大学。</w:t>
      </w:r>
    </w:p>
    <w:p>
      <w:pPr>
        <w:pStyle w:val="57"/>
        <w:ind w:firstLine="420"/>
      </w:pPr>
      <w:r>
        <w:rPr>
          <w:rFonts w:hint="eastAsia"/>
        </w:rPr>
        <w:t>本文件主要起草人：黄旭升、李存武、吴卫熊、夏自能、饶广春、李荣辉、丁锦佳、黄凯、陈春、梁学文、涂旭、梁振斌、黄雪绒姿、吴沛霖、黄梦青、朱新荣、潘越、班华珍、黄雪玲、吴攀高、金向丹、黄奕、薛文敏、梁力、王硕、刘桂明、王露、廖可阳。</w:t>
      </w:r>
    </w:p>
    <w:p>
      <w:pPr>
        <w:pStyle w:val="57"/>
        <w:ind w:firstLine="420"/>
      </w:pPr>
    </w:p>
    <w:p>
      <w:pPr>
        <w:pStyle w:val="57"/>
        <w:ind w:firstLine="420"/>
        <w:sectPr>
          <w:pgSz w:w="11906" w:h="16838"/>
          <w:pgMar w:top="2410"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11F982D66E3C4293A62B0BC7FFC16736"/>
        </w:placeholder>
      </w:sdtPr>
      <w:sdtContent>
        <w:p>
          <w:pPr>
            <w:pStyle w:val="178"/>
            <w:spacing w:beforeLines="1" w:afterLines="220"/>
          </w:pPr>
          <w:bookmarkStart w:id="25" w:name="NEW_STAND_NAME"/>
          <w:r>
            <w:rPr>
              <w:rFonts w:hint="eastAsia"/>
            </w:rPr>
            <w:t>广西美丽幸福河湖评价规范</w:t>
          </w:r>
        </w:p>
      </w:sdtContent>
    </w:sdt>
    <w:bookmarkEnd w:id="25"/>
    <w:p>
      <w:pPr>
        <w:pStyle w:val="105"/>
        <w:spacing w:before="312" w:after="312"/>
        <w:ind w:left="0"/>
      </w:pPr>
      <w:bookmarkStart w:id="26" w:name="_Toc17233325"/>
      <w:bookmarkStart w:id="27" w:name="_Toc26986530"/>
      <w:bookmarkStart w:id="28" w:name="_Toc26986771"/>
      <w:bookmarkStart w:id="29" w:name="_Toc146035373"/>
      <w:bookmarkStart w:id="30" w:name="_Toc17233333"/>
      <w:bookmarkStart w:id="31" w:name="_Toc26718930"/>
      <w:bookmarkStart w:id="32" w:name="_Toc24884211"/>
      <w:bookmarkStart w:id="33" w:name="_Toc26648465"/>
      <w:bookmarkStart w:id="34" w:name="_Toc24884218"/>
      <w:r>
        <w:rPr>
          <w:rFonts w:hint="eastAsia"/>
        </w:rPr>
        <w:t>范围</w:t>
      </w:r>
      <w:bookmarkEnd w:id="26"/>
      <w:bookmarkEnd w:id="27"/>
      <w:bookmarkEnd w:id="28"/>
      <w:bookmarkEnd w:id="29"/>
      <w:bookmarkEnd w:id="30"/>
      <w:bookmarkEnd w:id="31"/>
      <w:bookmarkEnd w:id="32"/>
      <w:bookmarkEnd w:id="33"/>
      <w:bookmarkEnd w:id="34"/>
    </w:p>
    <w:p>
      <w:pPr>
        <w:pStyle w:val="57"/>
        <w:ind w:firstLine="420"/>
        <w:rPr>
          <w:rFonts w:hint="default" w:eastAsia="宋体"/>
          <w:lang w:val="en-US" w:eastAsia="zh-CN"/>
        </w:rPr>
      </w:pPr>
      <w:bookmarkStart w:id="35" w:name="_Toc17233334"/>
      <w:bookmarkStart w:id="36" w:name="_Toc17233326"/>
      <w:bookmarkStart w:id="37" w:name="_Toc24884212"/>
      <w:bookmarkStart w:id="38" w:name="_Toc26648466"/>
      <w:bookmarkStart w:id="39" w:name="_Toc24884219"/>
      <w:r>
        <w:rPr>
          <w:rFonts w:hint="eastAsia"/>
          <w:lang w:val="en-US" w:eastAsia="zh-CN"/>
        </w:rPr>
        <w:t>本文件界定了广西美丽幸福河湖的分类及评价涉及的术语和定义，确立了评价的原则、方式、流程，规定了评价的指标及其方法。</w:t>
      </w:r>
    </w:p>
    <w:p>
      <w:pPr>
        <w:pStyle w:val="57"/>
        <w:ind w:firstLine="420"/>
      </w:pPr>
      <w:r>
        <w:rPr>
          <w:rFonts w:hint="eastAsia"/>
        </w:rPr>
        <w:t>本</w:t>
      </w:r>
      <w:r>
        <w:rPr>
          <w:rFonts w:hint="eastAsia"/>
          <w:lang w:val="en-US" w:eastAsia="zh-CN"/>
        </w:rPr>
        <w:t>文件</w:t>
      </w:r>
      <w:r>
        <w:rPr>
          <w:rFonts w:hint="eastAsia"/>
        </w:rPr>
        <w:t>适用于</w:t>
      </w:r>
      <w:r>
        <w:rPr>
          <w:rFonts w:hint="eastAsia"/>
          <w:lang w:val="en-US" w:eastAsia="zh-CN"/>
        </w:rPr>
        <w:t>广西壮族自治区行政区域内</w:t>
      </w:r>
      <w:r>
        <w:rPr>
          <w:rFonts w:hint="eastAsia"/>
        </w:rPr>
        <w:t>各类河流、湖泊、水库美丽幸福河湖的评价。</w:t>
      </w:r>
    </w:p>
    <w:p>
      <w:pPr>
        <w:pStyle w:val="105"/>
        <w:spacing w:before="312" w:after="312"/>
        <w:ind w:left="0"/>
      </w:pPr>
      <w:bookmarkStart w:id="40" w:name="_Toc146035374"/>
      <w:bookmarkStart w:id="41" w:name="_Toc26986772"/>
      <w:bookmarkStart w:id="42" w:name="_Toc26718931"/>
      <w:bookmarkStart w:id="43" w:name="_Toc269865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C67DF5A4C5CA49228F6CA9C93CCC947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t xml:space="preserve">GB 3838  </w:t>
      </w:r>
      <w:r>
        <w:rPr>
          <w:rFonts w:hint="eastAsia"/>
        </w:rPr>
        <w:t>地表水环境质量标准</w:t>
      </w:r>
    </w:p>
    <w:p>
      <w:pPr>
        <w:pStyle w:val="57"/>
        <w:ind w:firstLine="420"/>
      </w:pPr>
      <w:r>
        <w:t xml:space="preserve">GB 50201  </w:t>
      </w:r>
      <w:r>
        <w:rPr>
          <w:rFonts w:hint="eastAsia"/>
        </w:rPr>
        <w:t>防洪标准</w:t>
      </w:r>
    </w:p>
    <w:p>
      <w:pPr>
        <w:pStyle w:val="57"/>
        <w:ind w:firstLine="420"/>
      </w:pPr>
      <w:r>
        <w:t xml:space="preserve">GB 50286  </w:t>
      </w:r>
      <w:r>
        <w:rPr>
          <w:rFonts w:hint="eastAsia"/>
        </w:rPr>
        <w:t>堤防工程设计规范</w:t>
      </w:r>
    </w:p>
    <w:p>
      <w:pPr>
        <w:pStyle w:val="57"/>
        <w:ind w:firstLine="420"/>
      </w:pPr>
      <w:r>
        <w:t xml:space="preserve">GB 50707  </w:t>
      </w:r>
      <w:r>
        <w:rPr>
          <w:rFonts w:hint="eastAsia"/>
        </w:rPr>
        <w:t>河道整治设计规范</w:t>
      </w:r>
    </w:p>
    <w:p>
      <w:pPr>
        <w:pStyle w:val="57"/>
        <w:ind w:firstLine="420"/>
      </w:pPr>
      <w:r>
        <w:t xml:space="preserve">SL/T 723  </w:t>
      </w:r>
      <w:r>
        <w:rPr>
          <w:rFonts w:hint="eastAsia"/>
        </w:rPr>
        <w:t>治涝标准</w:t>
      </w:r>
    </w:p>
    <w:p>
      <w:pPr>
        <w:pStyle w:val="57"/>
        <w:ind w:firstLine="420"/>
      </w:pPr>
      <w:r>
        <w:t xml:space="preserve">SL 258  </w:t>
      </w:r>
      <w:r>
        <w:rPr>
          <w:rFonts w:hint="eastAsia"/>
        </w:rPr>
        <w:t>水库大坝安全评价导则</w:t>
      </w:r>
    </w:p>
    <w:p>
      <w:pPr>
        <w:pStyle w:val="57"/>
        <w:ind w:firstLine="420"/>
      </w:pPr>
      <w:r>
        <w:t xml:space="preserve">SL/Z 679  </w:t>
      </w:r>
      <w:r>
        <w:rPr>
          <w:rFonts w:hint="eastAsia"/>
        </w:rPr>
        <w:t>堤防工程安全评价导则</w:t>
      </w:r>
    </w:p>
    <w:p>
      <w:pPr>
        <w:pStyle w:val="57"/>
        <w:ind w:firstLine="420"/>
      </w:pPr>
      <w:r>
        <w:t xml:space="preserve">SL 316  </w:t>
      </w:r>
      <w:r>
        <w:rPr>
          <w:rFonts w:hint="eastAsia"/>
        </w:rPr>
        <w:t>泵站安全鉴定规程</w:t>
      </w:r>
    </w:p>
    <w:p>
      <w:pPr>
        <w:pStyle w:val="57"/>
        <w:ind w:firstLine="420"/>
      </w:pPr>
      <w:r>
        <w:t xml:space="preserve">SL 214  </w:t>
      </w:r>
      <w:r>
        <w:rPr>
          <w:rFonts w:hint="eastAsia"/>
        </w:rPr>
        <w:t>水闸安全评价导则</w:t>
      </w:r>
    </w:p>
    <w:p>
      <w:pPr>
        <w:pStyle w:val="57"/>
        <w:ind w:firstLine="420"/>
      </w:pPr>
      <w:r>
        <w:t xml:space="preserve">SL/Z 712  </w:t>
      </w:r>
      <w:r>
        <w:rPr>
          <w:rFonts w:hint="eastAsia"/>
        </w:rPr>
        <w:t>河湖生态环境需水计算规范</w:t>
      </w:r>
    </w:p>
    <w:p>
      <w:pPr>
        <w:pStyle w:val="57"/>
        <w:ind w:firstLine="420"/>
      </w:pPr>
      <w:r>
        <w:t xml:space="preserve">SL 395  </w:t>
      </w:r>
      <w:r>
        <w:rPr>
          <w:rFonts w:hint="eastAsia"/>
        </w:rPr>
        <w:t>地表水资源质量评价技术规程</w:t>
      </w:r>
    </w:p>
    <w:p>
      <w:pPr>
        <w:pStyle w:val="57"/>
        <w:ind w:firstLine="420"/>
      </w:pPr>
      <w:r>
        <w:t xml:space="preserve">SL/T 238 </w:t>
      </w:r>
      <w:bookmarkStart w:id="44" w:name="_Hlk498463322"/>
      <w:r>
        <w:rPr>
          <w:rFonts w:hint="eastAsia"/>
        </w:rPr>
        <w:t xml:space="preserve"> 水资源评价导则</w:t>
      </w:r>
      <w:bookmarkEnd w:id="44"/>
    </w:p>
    <w:p>
      <w:pPr>
        <w:pStyle w:val="57"/>
        <w:ind w:firstLine="420"/>
      </w:pPr>
      <w:r>
        <w:t xml:space="preserve">SL 300  </w:t>
      </w:r>
      <w:r>
        <w:rPr>
          <w:rFonts w:hint="eastAsia"/>
        </w:rPr>
        <w:t>水利风景区评价标准</w:t>
      </w:r>
    </w:p>
    <w:p>
      <w:pPr>
        <w:pStyle w:val="57"/>
        <w:ind w:firstLine="420"/>
      </w:pPr>
      <w:r>
        <w:t xml:space="preserve">SL/T 793  </w:t>
      </w:r>
      <w:r>
        <w:rPr>
          <w:rFonts w:hint="eastAsia"/>
        </w:rPr>
        <w:t>河湖健康评估技术导则</w:t>
      </w:r>
    </w:p>
    <w:p>
      <w:pPr>
        <w:pStyle w:val="57"/>
        <w:ind w:firstLine="420"/>
      </w:pPr>
      <w:r>
        <w:rPr>
          <w:rFonts w:hint="eastAsia"/>
        </w:rPr>
        <w:t>SL/T 819  水库生态流量泄放规程</w:t>
      </w:r>
    </w:p>
    <w:p>
      <w:pPr>
        <w:pStyle w:val="57"/>
        <w:ind w:firstLine="420"/>
      </w:pPr>
      <w:r>
        <w:t>SL/T 820</w:t>
      </w:r>
      <w:r>
        <w:rPr>
          <w:rFonts w:hint="eastAsia"/>
        </w:rPr>
        <w:t xml:space="preserve">  水利水电工程生态流量计算与泄放设计规范</w:t>
      </w:r>
    </w:p>
    <w:p>
      <w:pPr>
        <w:pStyle w:val="105"/>
        <w:spacing w:before="312" w:after="312"/>
        <w:ind w:left="0"/>
      </w:pPr>
      <w:bookmarkStart w:id="45" w:name="_Toc143091894"/>
      <w:bookmarkEnd w:id="45"/>
      <w:bookmarkStart w:id="46" w:name="_Toc146035375"/>
      <w:r>
        <w:rPr>
          <w:rFonts w:hint="eastAsia"/>
        </w:rPr>
        <w:t>术语和定义</w:t>
      </w:r>
      <w:bookmarkEnd w:id="46"/>
    </w:p>
    <w:sdt>
      <w:sdtPr>
        <w:id w:val="-1909835108"/>
        <w:placeholder>
          <w:docPart w:val="5E4D9D2BC9704DB48E5F869F208EF6F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7" w:name="_Toc26986532"/>
          <w:bookmarkEnd w:id="47"/>
          <w:r>
            <w:t>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美丽幸福河湖 </w:t>
      </w:r>
      <w:r>
        <w:rPr>
          <w:rFonts w:ascii="黑体" w:hAnsi="黑体" w:eastAsia="黑体"/>
        </w:rPr>
        <w:t>beauty and happy rivers and lake</w:t>
      </w:r>
      <w:r>
        <w:rPr>
          <w:rFonts w:hint="eastAsia" w:ascii="黑体" w:hAnsi="黑体" w:eastAsia="黑体"/>
        </w:rPr>
        <w:t>s</w:t>
      </w:r>
    </w:p>
    <w:p>
      <w:pPr>
        <w:pStyle w:val="57"/>
        <w:ind w:firstLine="420"/>
      </w:pPr>
      <w:r>
        <w:rPr>
          <w:rFonts w:hint="eastAsia"/>
        </w:rPr>
        <w:t>美丽幸福河湖是指能够维持河流湖泊自身健康，支撑流域和区域经济社会高质量发展，体现人水和谐，让区域内人民具有高度安全感、获得感与满意度的河流、湖泊。</w:t>
      </w:r>
    </w:p>
    <w:p>
      <w:pPr>
        <w:pStyle w:val="224"/>
        <w:rPr>
          <w:rFonts w:ascii="黑体" w:hAnsi="黑体" w:eastAsia="黑体"/>
        </w:rPr>
      </w:pPr>
      <w:r>
        <w:rPr>
          <w:rFonts w:ascii="黑体" w:hAnsi="黑体" w:eastAsia="黑体"/>
        </w:rPr>
        <w:br w:type="textWrapping"/>
      </w:r>
      <w:r>
        <w:rPr>
          <w:rFonts w:hint="eastAsia" w:ascii="黑体" w:hAnsi="黑体" w:eastAsia="黑体"/>
        </w:rPr>
        <w:t xml:space="preserve">    城区段河流 river in urban area</w:t>
      </w:r>
    </w:p>
    <w:p>
      <w:pPr>
        <w:pStyle w:val="57"/>
        <w:ind w:firstLine="420"/>
      </w:pPr>
      <w:r>
        <w:rPr>
          <w:rFonts w:hint="eastAsia"/>
        </w:rPr>
        <w:t>指流经已经开发建设、市政公用设施和公共服务设施基本具备的建成区范围的河段。</w:t>
      </w:r>
    </w:p>
    <w:p>
      <w:pPr>
        <w:pStyle w:val="224"/>
        <w:rPr>
          <w:rFonts w:ascii="黑体" w:hAnsi="黑体" w:eastAsia="黑体"/>
        </w:rPr>
      </w:pPr>
      <w:r>
        <w:rPr>
          <w:rFonts w:ascii="黑体" w:hAnsi="黑体" w:eastAsia="黑体"/>
        </w:rPr>
        <w:br w:type="textWrapping"/>
      </w:r>
      <w:r>
        <w:rPr>
          <w:rFonts w:hint="eastAsia" w:ascii="黑体" w:hAnsi="黑体" w:eastAsia="黑体"/>
        </w:rPr>
        <w:t xml:space="preserve">    乡村段河流 river in </w:t>
      </w:r>
      <w:r>
        <w:rPr>
          <w:rFonts w:ascii="黑体" w:hAnsi="黑体" w:eastAsia="黑体"/>
        </w:rPr>
        <w:t>rural</w:t>
      </w:r>
      <w:r>
        <w:rPr>
          <w:rFonts w:hint="eastAsia" w:ascii="黑体" w:hAnsi="黑体" w:eastAsia="黑体"/>
        </w:rPr>
        <w:t xml:space="preserve"> area</w:t>
      </w:r>
    </w:p>
    <w:p>
      <w:pPr>
        <w:pStyle w:val="57"/>
        <w:ind w:firstLine="420"/>
      </w:pPr>
      <w:r>
        <w:rPr>
          <w:rFonts w:hint="eastAsia"/>
        </w:rPr>
        <w:t>指流经城市建成区以外具有自然、社会、经济特征和生产、生活、生态、文化等多重功能地域的河流，包括流经乡镇和村庄的河段。</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严重减水河段 water severely reduced river reach</w:t>
      </w:r>
    </w:p>
    <w:p>
      <w:pPr>
        <w:pStyle w:val="57"/>
        <w:ind w:firstLine="420"/>
      </w:pPr>
      <w:r>
        <w:rPr>
          <w:rFonts w:hint="eastAsia"/>
        </w:rPr>
        <w:t>因水利水电工程建设等人为因素，造成下游河段水量明显减少，水位明显下降，河槽出现明显长期裸露的河段。</w:t>
      </w:r>
    </w:p>
    <w:p>
      <w:pPr>
        <w:pStyle w:val="105"/>
        <w:spacing w:before="312" w:after="312"/>
        <w:ind w:left="0"/>
      </w:pPr>
      <w:bookmarkStart w:id="48" w:name="_Toc143091898"/>
      <w:bookmarkEnd w:id="48"/>
      <w:bookmarkStart w:id="49" w:name="_Toc143091897"/>
      <w:bookmarkEnd w:id="49"/>
      <w:bookmarkStart w:id="50" w:name="_Toc143091896"/>
      <w:bookmarkEnd w:id="50"/>
      <w:bookmarkStart w:id="51" w:name="_Toc146035376"/>
      <w:r>
        <w:rPr>
          <w:rFonts w:hint="eastAsia"/>
        </w:rPr>
        <w:t>评价分类</w:t>
      </w:r>
      <w:bookmarkEnd w:id="51"/>
    </w:p>
    <w:p>
      <w:pPr>
        <w:pStyle w:val="57"/>
        <w:ind w:firstLine="420"/>
      </w:pPr>
      <w:r>
        <w:rPr>
          <w:rFonts w:hint="eastAsia"/>
        </w:rPr>
        <w:t>本规范包括适用于城区段河流、乡村段河流和湖库的三种类型美丽幸福河湖评价指标体系。</w:t>
      </w:r>
    </w:p>
    <w:p>
      <w:pPr>
        <w:pStyle w:val="105"/>
        <w:spacing w:before="312" w:after="312"/>
        <w:ind w:left="0"/>
      </w:pPr>
      <w:bookmarkStart w:id="52" w:name="_Toc146035377"/>
      <w:r>
        <w:rPr>
          <w:rFonts w:hint="eastAsia"/>
        </w:rPr>
        <w:t>基本要求</w:t>
      </w:r>
      <w:bookmarkEnd w:id="52"/>
    </w:p>
    <w:p>
      <w:pPr>
        <w:pStyle w:val="106"/>
        <w:spacing w:before="156" w:after="156"/>
      </w:pPr>
      <w:bookmarkStart w:id="53" w:name="_Toc146035378"/>
      <w:r>
        <w:rPr>
          <w:rFonts w:hint="eastAsia"/>
        </w:rPr>
        <w:t>一般要求</w:t>
      </w:r>
      <w:bookmarkEnd w:id="53"/>
    </w:p>
    <w:p>
      <w:pPr>
        <w:pStyle w:val="166"/>
        <w:ind w:left="0"/>
      </w:pPr>
      <w:r>
        <w:rPr>
          <w:rFonts w:hint="eastAsia"/>
        </w:rPr>
        <w:t>美丽幸福河湖申报类型为水库的，以水库整个管理范围区域为评价单元。</w:t>
      </w:r>
    </w:p>
    <w:p>
      <w:pPr>
        <w:pStyle w:val="166"/>
        <w:ind w:left="0"/>
      </w:pPr>
      <w:r>
        <w:rPr>
          <w:rFonts w:hint="eastAsia"/>
        </w:rPr>
        <w:t>美丽幸福河湖评价必须满足准入条件（见附录B），评价年度内有下列情况之一不能满足的</w:t>
      </w:r>
      <w:r>
        <w:rPr>
          <w:rFonts w:hint="eastAsia"/>
          <w:lang w:eastAsia="zh-CN"/>
        </w:rPr>
        <w:t>，</w:t>
      </w:r>
      <w:r>
        <w:rPr>
          <w:rFonts w:hint="eastAsia"/>
        </w:rPr>
        <w:t>作为一票否决项</w:t>
      </w:r>
      <w:r>
        <w:rPr>
          <w:rFonts w:hint="eastAsia"/>
          <w:lang w:eastAsia="zh-CN"/>
        </w:rPr>
        <w:t>：</w:t>
      </w:r>
    </w:p>
    <w:p>
      <w:pPr>
        <w:pStyle w:val="57"/>
        <w:ind w:firstLine="420"/>
      </w:pPr>
      <w:r>
        <w:rPr>
          <w:rFonts w:hint="eastAsia"/>
        </w:rPr>
        <w:t>a)</w:t>
      </w:r>
      <w:r>
        <w:rPr>
          <w:rFonts w:hint="eastAsia"/>
        </w:rPr>
        <w:tab/>
      </w:r>
      <w:r>
        <w:rPr>
          <w:rFonts w:hint="eastAsia"/>
        </w:rPr>
        <w:t>管理体系：河湖长制体系健全，各级河湖长、成员单位职责明确；</w:t>
      </w:r>
    </w:p>
    <w:p>
      <w:pPr>
        <w:pStyle w:val="57"/>
        <w:ind w:firstLine="420"/>
      </w:pPr>
      <w:r>
        <w:rPr>
          <w:rFonts w:hint="eastAsia"/>
        </w:rPr>
        <w:t>b)  安全保障：沿岸设施无严重损坏，不存在危及人身安全的隐患；</w:t>
      </w:r>
    </w:p>
    <w:p>
      <w:pPr>
        <w:pStyle w:val="57"/>
        <w:ind w:firstLine="420"/>
      </w:pPr>
      <w:r>
        <w:rPr>
          <w:rFonts w:hint="eastAsia"/>
        </w:rPr>
        <w:t>c)</w:t>
      </w:r>
      <w:r>
        <w:rPr>
          <w:rFonts w:hint="eastAsia"/>
        </w:rPr>
        <w:tab/>
      </w:r>
      <w:r>
        <w:rPr>
          <w:rFonts w:hint="eastAsia"/>
        </w:rPr>
        <w:t>水质达标：河湖饮用水水源地水质全面达标；河湖水质达到水功能区标准或水环境质量改善目标；未划定水功能</w:t>
      </w:r>
      <w:r>
        <w:rPr>
          <w:rFonts w:hint="eastAsia"/>
          <w:lang w:eastAsia="zh-CN"/>
        </w:rPr>
        <w:t>区</w:t>
      </w:r>
      <w:r>
        <w:rPr>
          <w:rFonts w:hint="eastAsia"/>
          <w:lang w:val="en-US" w:eastAsia="zh-CN"/>
        </w:rPr>
        <w:t>划</w:t>
      </w:r>
      <w:r>
        <w:rPr>
          <w:rFonts w:hint="eastAsia"/>
        </w:rPr>
        <w:t>的河湖水质不低于III类；</w:t>
      </w:r>
    </w:p>
    <w:p>
      <w:pPr>
        <w:pStyle w:val="57"/>
        <w:ind w:firstLine="420"/>
      </w:pPr>
      <w:r>
        <w:rPr>
          <w:rFonts w:hint="eastAsia"/>
        </w:rPr>
        <w:t>d)</w:t>
      </w:r>
      <w:r>
        <w:rPr>
          <w:rFonts w:hint="eastAsia"/>
        </w:rPr>
        <w:tab/>
      </w:r>
      <w:r>
        <w:rPr>
          <w:rFonts w:hint="eastAsia"/>
        </w:rPr>
        <w:t>生态流量：有效保障生态流量，未人为造成断流河段；</w:t>
      </w:r>
    </w:p>
    <w:p>
      <w:pPr>
        <w:pStyle w:val="57"/>
        <w:ind w:firstLine="420"/>
      </w:pPr>
      <w:r>
        <w:rPr>
          <w:rFonts w:hint="eastAsia"/>
        </w:rPr>
        <w:t>e)</w:t>
      </w:r>
      <w:r>
        <w:rPr>
          <w:rFonts w:hint="eastAsia"/>
        </w:rPr>
        <w:tab/>
      </w:r>
      <w:r>
        <w:rPr>
          <w:rFonts w:hint="eastAsia"/>
        </w:rPr>
        <w:t>水体环境：不存在黑臭水体，未出现大面积水华、藻类暴发等现象；</w:t>
      </w:r>
    </w:p>
    <w:p>
      <w:pPr>
        <w:pStyle w:val="57"/>
        <w:ind w:firstLine="420"/>
      </w:pPr>
      <w:r>
        <w:rPr>
          <w:rFonts w:hint="eastAsia"/>
        </w:rPr>
        <w:t>f)</w:t>
      </w:r>
      <w:r>
        <w:rPr>
          <w:rFonts w:hint="eastAsia"/>
        </w:rPr>
        <w:tab/>
      </w:r>
      <w:r>
        <w:rPr>
          <w:rFonts w:hint="eastAsia"/>
        </w:rPr>
        <w:t>水事活动：未发生典型、重大涉水违法事件、水事纠纷、群体涉水投诉等。</w:t>
      </w:r>
    </w:p>
    <w:p>
      <w:pPr>
        <w:pStyle w:val="166"/>
        <w:ind w:left="0"/>
      </w:pPr>
      <w:r>
        <w:rPr>
          <w:rFonts w:hint="eastAsia"/>
        </w:rPr>
        <w:t>评价年度应为一个自然年度。</w:t>
      </w:r>
    </w:p>
    <w:p>
      <w:pPr>
        <w:pStyle w:val="106"/>
        <w:spacing w:before="156" w:after="156"/>
      </w:pPr>
      <w:bookmarkStart w:id="54" w:name="_Toc146035379"/>
      <w:r>
        <w:rPr>
          <w:rFonts w:hint="eastAsia"/>
        </w:rPr>
        <w:t>评价原则</w:t>
      </w:r>
      <w:bookmarkEnd w:id="54"/>
    </w:p>
    <w:p>
      <w:pPr>
        <w:pStyle w:val="57"/>
        <w:ind w:firstLine="420"/>
      </w:pPr>
      <w:r>
        <w:rPr>
          <w:rFonts w:hint="eastAsia"/>
        </w:rPr>
        <w:t>美丽幸福河湖评价应遵循下列原则：</w:t>
      </w:r>
    </w:p>
    <w:p>
      <w:pPr>
        <w:pStyle w:val="57"/>
        <w:ind w:firstLine="420"/>
      </w:pPr>
      <w:r>
        <w:rPr>
          <w:rFonts w:hint="eastAsia"/>
        </w:rPr>
        <w:t>a)</w:t>
      </w:r>
      <w:r>
        <w:rPr>
          <w:rFonts w:hint="eastAsia"/>
        </w:rPr>
        <w:tab/>
      </w:r>
      <w:r>
        <w:rPr>
          <w:rFonts w:hint="eastAsia"/>
        </w:rPr>
        <w:t>以人为本、群众满意——坚持以人民为中心，遵循美丽幸福河湖在人民群众精神层面的需求，获得人民群众对美丽幸福河湖建设的认同感；</w:t>
      </w:r>
    </w:p>
    <w:p>
      <w:pPr>
        <w:pStyle w:val="57"/>
        <w:ind w:firstLine="420"/>
      </w:pPr>
      <w:r>
        <w:rPr>
          <w:rFonts w:hint="eastAsia"/>
        </w:rPr>
        <w:t>b</w:t>
      </w:r>
      <w:r>
        <w:rPr>
          <w:rFonts w:hint="eastAsia"/>
          <w:lang w:eastAsia="zh-CN"/>
        </w:rPr>
        <w:t>）</w:t>
      </w:r>
      <w:r>
        <w:rPr>
          <w:rFonts w:hint="eastAsia"/>
        </w:rPr>
        <w:t>系统评估、客观全面——围绕“水安全—防洪治涝、保人民生命财产安全，水资源—供水可靠、提供优质水资源，水生态—维护生态健康、实现人水和谐共生，水环境—改善水环境质量、打造宜居滨水空间，水文化—挖掘历史与现代涉水文化、促进保护与传承，水管理—完善体制机制、推进河湖管理健全”开展系统评估，全面掌握河湖整体状况；</w:t>
      </w:r>
    </w:p>
    <w:p>
      <w:pPr>
        <w:pStyle w:val="57"/>
        <w:ind w:firstLine="420"/>
      </w:pPr>
      <w:r>
        <w:rPr>
          <w:rFonts w:hint="eastAsia"/>
        </w:rPr>
        <w:t>c)</w:t>
      </w:r>
      <w:r>
        <w:rPr>
          <w:rFonts w:hint="eastAsia"/>
        </w:rPr>
        <w:tab/>
      </w:r>
      <w:r>
        <w:rPr>
          <w:rFonts w:hint="eastAsia"/>
        </w:rPr>
        <w:t>因地制宜、分类评价——针对城区段河流、乡村段河流和湖库三种不同类型进行分类评价，因地制宜，兼顾类型差异，兼顾基础条件差异。</w:t>
      </w:r>
    </w:p>
    <w:p>
      <w:pPr>
        <w:pStyle w:val="106"/>
        <w:spacing w:before="156" w:after="156"/>
      </w:pPr>
      <w:bookmarkStart w:id="55" w:name="_Toc146035380"/>
      <w:r>
        <w:rPr>
          <w:rFonts w:hint="eastAsia"/>
        </w:rPr>
        <w:t>评价方式</w:t>
      </w:r>
      <w:bookmarkEnd w:id="55"/>
    </w:p>
    <w:p>
      <w:pPr>
        <w:pStyle w:val="57"/>
        <w:ind w:firstLine="420"/>
      </w:pPr>
      <w:r>
        <w:rPr>
          <w:rFonts w:hint="eastAsia"/>
        </w:rPr>
        <w:t>最高层级河湖长为市级及以上领导的河湖评定工作由自治区级河湖行政管理部门负责，最高层级河湖长为县乡级领导的河湖评定工作由市级河湖行政管理部门负责。</w:t>
      </w:r>
      <w:r>
        <w:rPr>
          <w:rFonts w:hint="eastAsia"/>
          <w:lang w:eastAsia="zh-CN"/>
        </w:rPr>
        <w:t>水行政主管部门</w:t>
      </w:r>
      <w:r>
        <w:rPr>
          <w:rFonts w:hint="eastAsia"/>
        </w:rPr>
        <w:t>可委托具有相应技术力量和工作基础的第三方单位进行评价工作，申报单位应在规定时间内提交申请评定表（见附录C）。</w:t>
      </w:r>
    </w:p>
    <w:p>
      <w:pPr>
        <w:pStyle w:val="106"/>
        <w:spacing w:before="156" w:after="156"/>
      </w:pPr>
      <w:bookmarkStart w:id="56" w:name="_Toc146035381"/>
      <w:r>
        <w:rPr>
          <w:rFonts w:hint="eastAsia"/>
        </w:rPr>
        <w:t>评价流程</w:t>
      </w:r>
      <w:bookmarkEnd w:id="56"/>
    </w:p>
    <w:p>
      <w:pPr>
        <w:pStyle w:val="166"/>
        <w:ind w:left="0"/>
      </w:pPr>
      <w:r>
        <w:rPr>
          <w:rFonts w:hint="eastAsia"/>
        </w:rPr>
        <w:t>各设区市、县（市、区）制定美丽幸福河湖建设方案，依据美丽幸福河湖建设标准开展美丽幸福河湖建设。</w:t>
      </w:r>
    </w:p>
    <w:p>
      <w:pPr>
        <w:pStyle w:val="166"/>
        <w:ind w:left="0"/>
      </w:pPr>
      <w:r>
        <w:rPr>
          <w:rFonts w:hint="eastAsia"/>
        </w:rPr>
        <w:t>各设区市、县（市、区）各级河长制办公室根据年度建设任务，择优推荐，逐级申报美丽幸福河湖评定。</w:t>
      </w:r>
    </w:p>
    <w:p>
      <w:pPr>
        <w:pStyle w:val="166"/>
        <w:ind w:left="0"/>
      </w:pPr>
      <w:r>
        <w:rPr>
          <w:rFonts w:hint="eastAsia"/>
        </w:rPr>
        <w:t>自评：设区市、县（市、区）河长制办公室组织完成对应层级河湖的自评工作，形成自评报告，同时填写《美丽幸福河湖推荐申请评定表》报上一级河长制办公室。</w:t>
      </w:r>
    </w:p>
    <w:p>
      <w:pPr>
        <w:pStyle w:val="166"/>
        <w:ind w:left="0"/>
      </w:pPr>
      <w:r>
        <w:rPr>
          <w:rFonts w:hint="eastAsia"/>
        </w:rPr>
        <w:t>初评：设区市河长制办公室组织完成县级申报最高层级河湖长为市级以上领导的河湖的初评工作，并将推荐申请评定表申报自治区河长制办公室。</w:t>
      </w:r>
    </w:p>
    <w:p>
      <w:pPr>
        <w:pStyle w:val="166"/>
        <w:ind w:left="0"/>
      </w:pPr>
      <w:r>
        <w:rPr>
          <w:rFonts w:hint="eastAsia"/>
        </w:rPr>
        <w:t>评定：设区市河长制办公室组织对辖区各县（市、区）申请评定的美丽幸福河湖进行评定，评定结果及申报材料向自治区河长制办公室报备；自治区河长制办公室组织对各设区市申请评定的美丽幸福河湖进行评定，同时对设区市评定结果进行抽检。评定结果在门户网站公示无异议后，印发评定结果。</w:t>
      </w:r>
    </w:p>
    <w:p>
      <w:pPr>
        <w:pStyle w:val="166"/>
        <w:ind w:left="0"/>
      </w:pPr>
      <w:r>
        <w:rPr>
          <w:rFonts w:hint="eastAsia"/>
        </w:rPr>
        <w:t>复评：设区市河长制办公室配合自治区河长制办公室对历年已经进入美丽幸福河湖名录的河湖进行复评，对复评不达标的河湖剔除幸福河湖名录，并追究相关责任。</w:t>
      </w:r>
      <w:r>
        <w:cr/>
      </w:r>
    </w:p>
    <w:p>
      <w:pPr>
        <w:pStyle w:val="106"/>
        <w:spacing w:before="156" w:after="156"/>
      </w:pPr>
      <w:bookmarkStart w:id="57" w:name="_Toc146035382"/>
      <w:r>
        <w:rPr>
          <w:rFonts w:hint="eastAsia"/>
        </w:rPr>
        <w:t>评价指标和方法</w:t>
      </w:r>
      <w:bookmarkEnd w:id="57"/>
    </w:p>
    <w:p>
      <w:pPr>
        <w:pStyle w:val="166"/>
        <w:ind w:left="0"/>
      </w:pPr>
      <w:r>
        <w:rPr>
          <w:rFonts w:hint="eastAsia"/>
        </w:rPr>
        <w:t>美丽幸福河湖评价指标应包括水安全评价指标、水资源评价指标、水生态评价指标、水环境评价指标、水文化评价指标、水管理评价指标等6项。总分为1</w:t>
      </w:r>
      <w:r>
        <w:t>00</w:t>
      </w:r>
      <w:r>
        <w:rPr>
          <w:rFonts w:hint="eastAsia"/>
        </w:rPr>
        <w:t>分。</w:t>
      </w:r>
    </w:p>
    <w:p>
      <w:pPr>
        <w:pStyle w:val="166"/>
        <w:ind w:left="0"/>
      </w:pPr>
      <w:r>
        <w:rPr>
          <w:rFonts w:hint="eastAsia"/>
        </w:rPr>
        <w:t>美丽幸福河湖评价当评分项中某项内容因客观原因合理缺项时，评价得分应按相应比例折算，按下式计算：</w:t>
      </w:r>
    </w:p>
    <w:p>
      <w:pPr>
        <w:pStyle w:val="57"/>
        <w:ind w:firstLine="420"/>
      </w:pPr>
      <m:oMathPara>
        <m:oMath>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r</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f</m:t>
              </m:r>
              <m:ctrlPr>
                <w:rPr>
                  <w:rFonts w:ascii="Cambria Math" w:hAnsi="Cambria Math"/>
                </w:rPr>
              </m:ctrlPr>
            </m:sub>
          </m:sSub>
          <m:r>
            <m:rPr>
              <m:sty m:val="p"/>
            </m:rPr>
            <w:rPr>
              <w:rFonts w:ascii="Cambria Math" w:hAnsi="Cambria Math"/>
            </w:rPr>
            <m:t xml:space="preserve"> / (</m:t>
          </m:r>
          <m:f>
            <m:fPr>
              <m:ctrlPr>
                <w:rPr>
                  <w:rFonts w:ascii="Cambria Math" w:hAnsi="Cambria Math"/>
                </w:rPr>
              </m:ctrlPr>
            </m:fPr>
            <m:num>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num>
            <m:den>
              <m:r>
                <m:rPr>
                  <m:sty m:val="p"/>
                </m:rPr>
                <w:rPr>
                  <w:rFonts w:ascii="Cambria Math" w:hAnsi="Cambria Math"/>
                </w:rPr>
                <m:t>100</m:t>
              </m:r>
              <m:ctrlPr>
                <w:rPr>
                  <w:rFonts w:ascii="Cambria Math" w:hAnsi="Cambria Math"/>
                </w:rPr>
              </m:ctrlPr>
            </m:den>
          </m:f>
          <m:r>
            <m:rPr>
              <m:sty m:val="p"/>
            </m:rPr>
            <w:rPr>
              <w:rFonts w:ascii="Cambria Math" w:hAnsi="Cambria Math"/>
            </w:rPr>
            <m:t>)</m:t>
          </m:r>
        </m:oMath>
      </m:oMathPara>
    </w:p>
    <w:p>
      <w:pPr>
        <w:pStyle w:val="57"/>
        <w:ind w:firstLine="420"/>
      </w:pPr>
      <w:r>
        <w:rPr>
          <w:rFonts w:hint="eastAsia"/>
        </w:rPr>
        <w:t>式中：</w:t>
      </w:r>
      <m:oMath>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r</m:t>
            </m:r>
            <m:ctrlPr>
              <w:rPr>
                <w:rFonts w:ascii="Cambria Math" w:hAnsi="Cambria Math"/>
              </w:rPr>
            </m:ctrlPr>
          </m:sub>
        </m:sSub>
      </m:oMath>
      <w:r>
        <w:rPr>
          <w:rFonts w:hint="eastAsia"/>
        </w:rPr>
        <w:t xml:space="preserve"> —— 评价指标的实际得分；</w:t>
      </w:r>
    </w:p>
    <w:p>
      <w:pPr>
        <w:pStyle w:val="57"/>
        <w:ind w:firstLine="420"/>
      </w:pPr>
      <w:r>
        <w:rPr>
          <w:rFonts w:hint="eastAsia"/>
        </w:rPr>
        <w:t xml:space="preserve">      </w:t>
      </w:r>
      <m:oMath>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f</m:t>
            </m:r>
            <m:ctrlPr>
              <w:rPr>
                <w:rFonts w:ascii="Cambria Math" w:hAnsi="Cambria Math"/>
              </w:rPr>
            </m:ctrlPr>
          </m:sub>
        </m:sSub>
      </m:oMath>
      <w:r>
        <w:rPr>
          <w:rFonts w:hint="eastAsia"/>
        </w:rPr>
        <w:t xml:space="preserve"> —— 扣除缺项指标的实际得分；</w:t>
      </w:r>
    </w:p>
    <w:p>
      <w:pPr>
        <w:pStyle w:val="57"/>
        <w:ind w:firstLine="420"/>
      </w:pPr>
      <w:r>
        <w:rPr>
          <w:rFonts w:hint="eastAsia"/>
        </w:rPr>
        <w:t xml:space="preserve">      </w:t>
      </w:r>
      <m:oMath>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i</m:t>
            </m:r>
            <m:ctrlPr>
              <w:rPr>
                <w:rFonts w:ascii="Cambria Math" w:hAnsi="Cambria Math"/>
              </w:rPr>
            </m:ctrlPr>
          </m:sub>
        </m:sSub>
      </m:oMath>
      <w:r>
        <w:rPr>
          <w:rFonts w:hint="eastAsia"/>
        </w:rPr>
        <w:t xml:space="preserve"> —— 非缺项指标的分值总和。</w:t>
      </w:r>
    </w:p>
    <w:p>
      <w:pPr>
        <w:pStyle w:val="57"/>
        <w:ind w:firstLine="420"/>
      </w:pPr>
    </w:p>
    <w:p>
      <w:pPr>
        <w:pStyle w:val="166"/>
        <w:ind w:left="0"/>
      </w:pPr>
      <w:r>
        <w:rPr>
          <w:rFonts w:hint="eastAsia"/>
        </w:rPr>
        <w:t>美丽幸福河湖评价采取现场查勘、查阅资料、取样对比、人员征询等方法。</w:t>
      </w:r>
    </w:p>
    <w:p>
      <w:pPr>
        <w:pStyle w:val="166"/>
        <w:ind w:left="0"/>
      </w:pPr>
      <w:r>
        <w:rPr>
          <w:rFonts w:hint="eastAsia"/>
        </w:rPr>
        <w:t>河湖行政管理部门（或委托具有相应技术力量和工作基础的第三方单位）进行美丽幸福河湖评价时，应成立不少于5人的评价组。评价组成员宜包括行业专家和群众代表等。</w:t>
      </w:r>
    </w:p>
    <w:p>
      <w:pPr>
        <w:pStyle w:val="106"/>
        <w:spacing w:before="156" w:after="156"/>
      </w:pPr>
      <w:bookmarkStart w:id="58" w:name="_Toc146035383"/>
      <w:r>
        <w:rPr>
          <w:rFonts w:hint="eastAsia"/>
        </w:rPr>
        <w:t>评价结果</w:t>
      </w:r>
      <w:bookmarkEnd w:id="58"/>
    </w:p>
    <w:p>
      <w:pPr>
        <w:pStyle w:val="57"/>
        <w:ind w:firstLine="420"/>
      </w:pPr>
      <w:r>
        <w:rPr>
          <w:rFonts w:hint="eastAsia"/>
        </w:rPr>
        <w:t>美丽幸福河湖评价内容、评价指标及赋分值应按本规范附录A执行，评价的分数达到90分及以上时，应认定为美丽幸福河湖。</w:t>
      </w:r>
    </w:p>
    <w:p>
      <w:pPr>
        <w:pStyle w:val="105"/>
        <w:spacing w:before="312" w:after="312"/>
        <w:ind w:left="0"/>
      </w:pPr>
      <w:bookmarkStart w:id="59" w:name="_Toc146035384"/>
      <w:r>
        <w:rPr>
          <w:rFonts w:hint="eastAsia"/>
        </w:rPr>
        <w:t>城区段河流</w:t>
      </w:r>
      <w:bookmarkEnd w:id="59"/>
    </w:p>
    <w:p>
      <w:pPr>
        <w:pStyle w:val="106"/>
        <w:spacing w:before="156" w:after="156"/>
      </w:pPr>
      <w:bookmarkStart w:id="60" w:name="_Toc146035385"/>
      <w:r>
        <w:rPr>
          <w:rFonts w:hint="eastAsia"/>
        </w:rPr>
        <w:t>水安全评价指标</w:t>
      </w:r>
      <w:bookmarkEnd w:id="60"/>
    </w:p>
    <w:p>
      <w:pPr>
        <w:pStyle w:val="166"/>
        <w:ind w:left="0"/>
      </w:pPr>
      <w:r>
        <w:rPr>
          <w:rFonts w:hint="eastAsia"/>
        </w:rPr>
        <w:t>防洪排涝：河流防洪、排涝标准符合流域或区域防洪规划要求，不达标的，扣6分； 河道管理范围内建设桥梁、码头和其他拦河、跨河、临河建筑物、构筑物，铺设跨河管道、电缆等未经许可的涉水工程，发现一处扣2分，扣完为止。本项</w:t>
      </w:r>
      <w:r>
        <w:t>6</w:t>
      </w:r>
      <w:r>
        <w:rPr>
          <w:rFonts w:hint="eastAsia"/>
        </w:rPr>
        <w:t>分。</w:t>
      </w:r>
    </w:p>
    <w:p>
      <w:pPr>
        <w:pStyle w:val="166"/>
        <w:ind w:left="0"/>
      </w:pPr>
      <w:r>
        <w:rPr>
          <w:rFonts w:hint="eastAsia"/>
        </w:rPr>
        <w:t>工程运行：水利工程安全运行，堤防、水闸、泵站、拦河坝以及水电站等工程设施管护良好、 运行正常。工程存在风险隐患问题的，发现一处一般问题扣1分；发现一处较重及以上问题扣2分； 扣完为止。本项6分。</w:t>
      </w:r>
    </w:p>
    <w:p>
      <w:pPr>
        <w:pStyle w:val="166"/>
        <w:ind w:left="0"/>
      </w:pPr>
      <w:r>
        <w:rPr>
          <w:rFonts w:hint="eastAsia"/>
        </w:rPr>
        <w:t>岸线稳定：河流岸坡和河势稳定，行洪通畅。发现一处塌岸、废弃涉水建筑物、明显淤塞等问题的，扣1分，扣完为止。本项4分。</w:t>
      </w:r>
    </w:p>
    <w:p>
      <w:pPr>
        <w:pStyle w:val="166"/>
        <w:ind w:left="0"/>
      </w:pPr>
      <w:r>
        <w:rPr>
          <w:rFonts w:hint="eastAsia"/>
        </w:rPr>
        <w:t>安全管理：本项</w:t>
      </w:r>
      <w:r>
        <w:t>6</w:t>
      </w:r>
      <w:r>
        <w:rPr>
          <w:rFonts w:hint="eastAsia"/>
        </w:rPr>
        <w:t>分。</w:t>
      </w:r>
    </w:p>
    <w:p>
      <w:pPr>
        <w:pStyle w:val="57"/>
        <w:ind w:firstLine="420"/>
      </w:pPr>
      <w:r>
        <w:rPr>
          <w:rFonts w:hint="eastAsia"/>
        </w:rPr>
        <w:t>a）在河流险工险段设置安全警示标识。发现一处未按要求设置的，扣</w:t>
      </w:r>
      <w:r>
        <w:t>1</w:t>
      </w:r>
      <w:r>
        <w:rPr>
          <w:rFonts w:hint="eastAsia"/>
        </w:rPr>
        <w:t>分，扣完为止；本项</w:t>
      </w:r>
      <w:r>
        <w:t>3</w:t>
      </w:r>
      <w:r>
        <w:rPr>
          <w:rFonts w:hint="eastAsia"/>
        </w:rPr>
        <w:t>分。</w:t>
      </w:r>
    </w:p>
    <w:p>
      <w:pPr>
        <w:pStyle w:val="57"/>
        <w:ind w:firstLine="420"/>
      </w:pPr>
      <w:r>
        <w:rPr>
          <w:rFonts w:hint="eastAsia"/>
        </w:rPr>
        <w:t>b）在旅游开发、水上活动、人类活动密集、学校附近等河湖区域设置安全警示标识，配备必要的安全救生设施设备。发现一处未按要求设置的，扣</w:t>
      </w:r>
      <w:r>
        <w:t>1</w:t>
      </w:r>
      <w:r>
        <w:rPr>
          <w:rFonts w:hint="eastAsia"/>
        </w:rPr>
        <w:t>分，扣完为止。本项</w:t>
      </w:r>
      <w:r>
        <w:t>3</w:t>
      </w:r>
      <w:r>
        <w:rPr>
          <w:rFonts w:hint="eastAsia"/>
        </w:rPr>
        <w:t>分。</w:t>
      </w:r>
    </w:p>
    <w:p>
      <w:pPr>
        <w:pStyle w:val="106"/>
        <w:spacing w:before="156" w:after="156"/>
      </w:pPr>
      <w:bookmarkStart w:id="61" w:name="_Toc146035386"/>
      <w:r>
        <w:rPr>
          <w:rFonts w:hint="eastAsia"/>
        </w:rPr>
        <w:t>水资源评价指标</w:t>
      </w:r>
      <w:bookmarkEnd w:id="61"/>
    </w:p>
    <w:p>
      <w:pPr>
        <w:pStyle w:val="166"/>
        <w:ind w:left="0"/>
      </w:pPr>
      <w:r>
        <w:rPr>
          <w:rFonts w:hint="eastAsia"/>
        </w:rPr>
        <w:t>生态流量（水位）：本项8分。</w:t>
      </w:r>
    </w:p>
    <w:p>
      <w:pPr>
        <w:pStyle w:val="57"/>
        <w:ind w:firstLine="420"/>
      </w:pPr>
      <w:r>
        <w:rPr>
          <w:rFonts w:hint="eastAsia"/>
        </w:rPr>
        <w:t>a）评价河段存在水电站或上游水电站对评价河段造成生态影响的，应保障生态流量泄放。无生态流量目标或无生态流量泄放措施的，扣4分；有生态流量目标，不按目标泄放的，扣3分。本项</w:t>
      </w:r>
      <w:r>
        <w:t>4</w:t>
      </w:r>
      <w:r>
        <w:rPr>
          <w:rFonts w:hint="eastAsia"/>
        </w:rPr>
        <w:t>分。</w:t>
      </w:r>
    </w:p>
    <w:p>
      <w:pPr>
        <w:pStyle w:val="57"/>
        <w:ind w:firstLine="420"/>
      </w:pPr>
      <w:r>
        <w:rPr>
          <w:rFonts w:hint="eastAsia"/>
        </w:rPr>
        <w:t>b</w:t>
      </w:r>
      <w:r>
        <w:t xml:space="preserve">) </w:t>
      </w:r>
      <w:r>
        <w:rPr>
          <w:rFonts w:hint="eastAsia"/>
        </w:rPr>
        <w:t>评价河段存在生态流量考核断面的，评价年度内断面生态水量满足程度达到考核目标要求。未达到考核目标要求的，扣1分。本项1分。</w:t>
      </w:r>
    </w:p>
    <w:p>
      <w:pPr>
        <w:pStyle w:val="57"/>
        <w:ind w:firstLine="420"/>
      </w:pPr>
      <w:r>
        <w:rPr>
          <w:rFonts w:hint="eastAsia"/>
        </w:rPr>
        <w:t>c）保障河流生态需水量，防止人为造成河段减水严重。L=平均裸露河槽宽度/平均河槽宽度≥0.8的，扣3分；0.8＞L≥0.5的，扣2分；0.5＞L≥0.3的，扣1分；0.3＞L的，不扣分。本项3分。</w:t>
      </w:r>
    </w:p>
    <w:p>
      <w:pPr>
        <w:pStyle w:val="166"/>
        <w:ind w:left="0"/>
      </w:pPr>
      <w:r>
        <w:rPr>
          <w:rFonts w:hint="eastAsia"/>
        </w:rPr>
        <w:t>取水规范：河流取水口依法设置，管理规范，符合相关技术标准。存在非法设置取水口、超标取水等非法取水的，发现一处扣</w:t>
      </w:r>
      <w:r>
        <w:t>4</w:t>
      </w:r>
      <w:r>
        <w:rPr>
          <w:rFonts w:hint="eastAsia"/>
        </w:rPr>
        <w:t>分。本项4分。</w:t>
      </w:r>
    </w:p>
    <w:p>
      <w:pPr>
        <w:pStyle w:val="106"/>
        <w:spacing w:before="156" w:after="156"/>
      </w:pPr>
      <w:bookmarkStart w:id="62" w:name="_Toc146035387"/>
      <w:r>
        <w:rPr>
          <w:rFonts w:hint="eastAsia"/>
        </w:rPr>
        <w:t>水生态评价指标</w:t>
      </w:r>
      <w:bookmarkEnd w:id="62"/>
    </w:p>
    <w:p>
      <w:pPr>
        <w:pStyle w:val="166"/>
        <w:ind w:left="0"/>
      </w:pPr>
      <w:r>
        <w:rPr>
          <w:rFonts w:hint="eastAsia"/>
        </w:rPr>
        <w:t xml:space="preserve">河流连通：河流水系连通性和流动性好。连通指数n＞1的，扣4分；1≥n＞0.5的，扣2分；0.5≥n＞0的，扣1分；n=0的，不扣分。本项4分。 </w:t>
      </w:r>
    </w:p>
    <w:p>
      <w:pPr>
        <w:pStyle w:val="166"/>
        <w:ind w:left="0"/>
      </w:pPr>
      <w:r>
        <w:rPr>
          <w:rFonts w:hint="eastAsia"/>
        </w:rPr>
        <w:t>自然生态：本项8分。</w:t>
      </w:r>
    </w:p>
    <w:p>
      <w:pPr>
        <w:pStyle w:val="57"/>
        <w:ind w:firstLine="420"/>
      </w:pPr>
      <w:r>
        <w:rPr>
          <w:rFonts w:hint="eastAsia"/>
        </w:rPr>
        <w:t>a）河流整治措施以生态治理措施为主，有效恢复河流自然生态环境，整治河段生态岸坡比例达80%及以上。每低10个百分点扣0.5分，扣完为止。本项4分。</w:t>
      </w:r>
    </w:p>
    <w:p>
      <w:pPr>
        <w:pStyle w:val="57"/>
        <w:ind w:firstLine="420"/>
      </w:pPr>
      <w:r>
        <w:rPr>
          <w:rFonts w:hint="eastAsia"/>
        </w:rPr>
        <w:t>b）河岸带生态保护良好。河岸带存在植被破坏、非法开垦种植等破坏生态的，发现一处扣1分，扣完为止。本项4分。</w:t>
      </w:r>
    </w:p>
    <w:p>
      <w:pPr>
        <w:pStyle w:val="166"/>
        <w:ind w:left="0"/>
      </w:pPr>
      <w:r>
        <w:rPr>
          <w:rFonts w:hint="eastAsia"/>
        </w:rPr>
        <w:t>水生物保护：水生生物保护良好。存在非法捕捞、电、毒、炸鱼等现象的，发现一起扣</w:t>
      </w:r>
      <w:r>
        <w:t>2</w:t>
      </w:r>
      <w:r>
        <w:rPr>
          <w:rFonts w:hint="eastAsia"/>
        </w:rPr>
        <w:t>分；存在有害外来入侵物种的，发现一种扣1分；扣完为止。本项4分。</w:t>
      </w:r>
    </w:p>
    <w:p>
      <w:pPr>
        <w:pStyle w:val="106"/>
        <w:spacing w:before="156" w:after="156"/>
      </w:pPr>
      <w:bookmarkStart w:id="63" w:name="_Toc146035388"/>
      <w:r>
        <w:rPr>
          <w:rFonts w:hint="eastAsia"/>
        </w:rPr>
        <w:t>水环境评价指标</w:t>
      </w:r>
      <w:bookmarkEnd w:id="63"/>
    </w:p>
    <w:p>
      <w:pPr>
        <w:pStyle w:val="166"/>
        <w:ind w:left="0"/>
      </w:pPr>
      <w:r>
        <w:rPr>
          <w:rFonts w:hint="eastAsia"/>
        </w:rPr>
        <w:t>河流整洁：本项8分。</w:t>
      </w:r>
    </w:p>
    <w:p>
      <w:pPr>
        <w:pStyle w:val="57"/>
        <w:ind w:firstLine="420"/>
      </w:pPr>
      <w:r>
        <w:rPr>
          <w:rFonts w:hint="eastAsia"/>
        </w:rPr>
        <w:t>a）河流清洁卫生，河流水面漂浮物（垃圾、油污、规模性水葫芦、蓝藻等）及时清理。发现一处扣1分，扣完为止。本项4分。</w:t>
      </w:r>
    </w:p>
    <w:p>
      <w:pPr>
        <w:pStyle w:val="57"/>
        <w:ind w:firstLine="420"/>
      </w:pPr>
      <w:r>
        <w:rPr>
          <w:rFonts w:hint="eastAsia"/>
        </w:rPr>
        <w:t>b）河流管理范围线内或管理范围线外对河流环境构成明显隐患的区域不得设置集中垃圾堆放点，发现一处问题扣4分；不得堆放废弃物，发现一处问题扣1分，扣完为止。本项4分。</w:t>
      </w:r>
    </w:p>
    <w:p>
      <w:pPr>
        <w:pStyle w:val="166"/>
        <w:ind w:left="0"/>
      </w:pPr>
      <w:r>
        <w:rPr>
          <w:rFonts w:hint="eastAsia"/>
        </w:rPr>
        <w:t>排水规范：河流排污口依法设置，管理规范，符合相关技术标准。存在非法设置排污口和偷排、超排等非法排污的，发现一处扣4分。评价河段及起点上游1km内存在排污口，排污口形成的污水带长度大于50m，或宽度大于1/20河宽的，发现一处扣4分；排污口形成的污水带长度小于50m，或宽度小于1/20河宽的，发现一处扣2分；无污水带的不扣分；扣完为止。本项4分。</w:t>
      </w:r>
    </w:p>
    <w:p>
      <w:pPr>
        <w:pStyle w:val="166"/>
        <w:ind w:left="0"/>
      </w:pPr>
      <w:r>
        <w:rPr>
          <w:rFonts w:hint="eastAsia"/>
        </w:rPr>
        <w:t>人水和谐：在城区人类活动密集区域合理设置滨水休闲区，在不影响安全的前提下，合理依法布置亲水便民配套设施，满足居民亲水需求。发现一处妨碍行洪安全的亲水设施，扣1分，扣完为止。本项4分。</w:t>
      </w:r>
    </w:p>
    <w:p>
      <w:pPr>
        <w:pStyle w:val="106"/>
        <w:spacing w:before="156" w:after="156"/>
      </w:pPr>
      <w:bookmarkStart w:id="64" w:name="_Toc146035389"/>
      <w:r>
        <w:rPr>
          <w:rFonts w:hint="eastAsia"/>
        </w:rPr>
        <w:t>水文化评价指标</w:t>
      </w:r>
      <w:bookmarkEnd w:id="64"/>
    </w:p>
    <w:p>
      <w:pPr>
        <w:pStyle w:val="166"/>
        <w:ind w:left="0"/>
      </w:pPr>
      <w:r>
        <w:rPr>
          <w:rFonts w:hint="eastAsia"/>
        </w:rPr>
        <w:t>文化保护：本项</w:t>
      </w:r>
      <w:r>
        <w:t>6</w:t>
      </w:r>
      <w:r>
        <w:rPr>
          <w:rFonts w:hint="eastAsia"/>
        </w:rPr>
        <w:t>分。</w:t>
      </w:r>
    </w:p>
    <w:p>
      <w:pPr>
        <w:pStyle w:val="57"/>
        <w:ind w:firstLine="420"/>
      </w:pPr>
      <w:r>
        <w:rPr>
          <w:rFonts w:hint="eastAsia"/>
        </w:rPr>
        <w:t>a）河流及其沿岸历史文化古迹（古桥、古堰、古码头、古闸、古堤、古河道、古塘、古井、古建筑等）留存保护良好，得到有效保护和利用。有文化古迹，未有效保护的，扣</w:t>
      </w:r>
      <w:r>
        <w:t>3</w:t>
      </w:r>
      <w:r>
        <w:rPr>
          <w:rFonts w:hint="eastAsia"/>
        </w:rPr>
        <w:t>分。本项</w:t>
      </w:r>
      <w:r>
        <w:t>3</w:t>
      </w:r>
      <w:r>
        <w:rPr>
          <w:rFonts w:hint="eastAsia"/>
        </w:rPr>
        <w:t>分。</w:t>
      </w:r>
    </w:p>
    <w:p>
      <w:pPr>
        <w:pStyle w:val="57"/>
        <w:ind w:firstLine="420"/>
      </w:pPr>
      <w:r>
        <w:rPr>
          <w:rFonts w:hint="eastAsia"/>
        </w:rPr>
        <w:t>b）通过水文化相关活动或利用已有堤、堰、闸、桥等载体展示河流水工程文化、治水文化等。无水文化建设的，扣</w:t>
      </w:r>
      <w:r>
        <w:t>3</w:t>
      </w:r>
      <w:r>
        <w:rPr>
          <w:rFonts w:hint="eastAsia"/>
        </w:rPr>
        <w:t>分。本项</w:t>
      </w:r>
      <w:r>
        <w:t>3</w:t>
      </w:r>
      <w:r>
        <w:rPr>
          <w:rFonts w:hint="eastAsia"/>
        </w:rPr>
        <w:t>分。</w:t>
      </w:r>
    </w:p>
    <w:p>
      <w:pPr>
        <w:pStyle w:val="106"/>
        <w:spacing w:before="156" w:after="156"/>
      </w:pPr>
      <w:bookmarkStart w:id="65" w:name="_Toc146035390"/>
      <w:r>
        <w:rPr>
          <w:rFonts w:hint="eastAsia"/>
        </w:rPr>
        <w:t>水管理评价指标</w:t>
      </w:r>
      <w:bookmarkEnd w:id="65"/>
    </w:p>
    <w:p>
      <w:pPr>
        <w:pStyle w:val="166"/>
        <w:ind w:left="0"/>
      </w:pPr>
      <w:r>
        <w:rPr>
          <w:rFonts w:hint="eastAsia"/>
        </w:rPr>
        <w:t>河流管控：本项 1</w:t>
      </w:r>
      <w:r>
        <w:t>8</w:t>
      </w:r>
      <w:r>
        <w:rPr>
          <w:rFonts w:hint="eastAsia"/>
        </w:rPr>
        <w:t>分。</w:t>
      </w:r>
    </w:p>
    <w:p>
      <w:pPr>
        <w:pStyle w:val="57"/>
        <w:ind w:firstLine="420" w:firstLineChars="0"/>
      </w:pPr>
      <w:r>
        <w:rPr>
          <w:rFonts w:hint="eastAsia"/>
        </w:rPr>
        <w:t>a）河流按标准合理布设界桩、公示牌。未按照规定合理设置界桩的，扣2分；未按照规定合理布设河长公示牌的，扣2分；界桩、公示牌明显损坏的、信息未更新的，发现一处扣1分，扣完为止。本项</w:t>
      </w:r>
      <w:r>
        <w:t>4</w:t>
      </w:r>
      <w:r>
        <w:rPr>
          <w:rFonts w:hint="eastAsia"/>
        </w:rPr>
        <w:t>分。</w:t>
      </w:r>
    </w:p>
    <w:p>
      <w:pPr>
        <w:pStyle w:val="57"/>
        <w:ind w:firstLine="420" w:firstLineChars="0"/>
      </w:pPr>
      <w:r>
        <w:rPr>
          <w:rFonts w:hint="eastAsia"/>
        </w:rPr>
        <w:t>b）河湖长设立及责任有效落实。河湖长未按照规定开展巡河的，扣2分；发现明显管护问题的，扣2分；扣完为止。本项4分。</w:t>
      </w:r>
    </w:p>
    <w:p>
      <w:pPr>
        <w:pStyle w:val="57"/>
        <w:ind w:firstLine="420"/>
      </w:pPr>
      <w:r>
        <w:t>c</w:t>
      </w:r>
      <w:r>
        <w:rPr>
          <w:rFonts w:hint="eastAsia"/>
        </w:rPr>
        <w:t>）持续推进河湖“清四乱”常态化规范化。每发现1个严重问题扣</w:t>
      </w:r>
      <w:r>
        <w:t>6</w:t>
      </w:r>
      <w:r>
        <w:rPr>
          <w:rFonts w:hint="eastAsia"/>
        </w:rPr>
        <w:t>分、较重问题扣</w:t>
      </w:r>
      <w:r>
        <w:t>5</w:t>
      </w:r>
      <w:r>
        <w:rPr>
          <w:rFonts w:hint="eastAsia"/>
        </w:rPr>
        <w:t>分、一般问题扣</w:t>
      </w:r>
      <w:r>
        <w:t>4</w:t>
      </w:r>
      <w:r>
        <w:rPr>
          <w:rFonts w:hint="eastAsia"/>
        </w:rPr>
        <w:t>分，扣完为止。本项6分。</w:t>
      </w:r>
    </w:p>
    <w:p>
      <w:pPr>
        <w:pStyle w:val="57"/>
        <w:ind w:firstLine="420"/>
      </w:pPr>
      <w:r>
        <w:t>d</w:t>
      </w:r>
      <w:r>
        <w:rPr>
          <w:rFonts w:hint="eastAsia"/>
        </w:rPr>
        <w:t>）河流管护有保障。未落实管护单位和人员的，扣2分；未落实巡河员、护河员、保洁员的，扣2分；未落实管护经费的，扣2分，扣完为止。本项4分。</w:t>
      </w:r>
    </w:p>
    <w:p>
      <w:pPr>
        <w:pStyle w:val="166"/>
        <w:ind w:left="0"/>
      </w:pPr>
      <w:r>
        <w:rPr>
          <w:rFonts w:hint="eastAsia"/>
        </w:rPr>
        <w:t>公众参与：本项 1</w:t>
      </w:r>
      <w:r>
        <w:t>0</w:t>
      </w:r>
      <w:r>
        <w:rPr>
          <w:rFonts w:hint="eastAsia"/>
        </w:rPr>
        <w:t>分。</w:t>
      </w:r>
    </w:p>
    <w:p>
      <w:pPr>
        <w:pStyle w:val="57"/>
        <w:ind w:firstLine="420"/>
      </w:pPr>
      <w:r>
        <w:rPr>
          <w:rFonts w:hint="eastAsia"/>
        </w:rPr>
        <w:t>a）积极推进河流管护公众参与，河流有民间河长、社会监督员等。缺少一项扣1分，扣完为止。本项2分。</w:t>
      </w:r>
    </w:p>
    <w:p>
      <w:pPr>
        <w:pStyle w:val="57"/>
        <w:ind w:firstLine="420"/>
      </w:pPr>
      <w:r>
        <w:t>b</w:t>
      </w:r>
      <w:r>
        <w:rPr>
          <w:rFonts w:hint="eastAsia"/>
        </w:rPr>
        <w:t>）加强美丽幸福河湖宣传，开展河流沿线入校园、进社区（村、屯）宣传，采用宣传语、宣传画、短视频、多媒体、公众平台等多种手段开展公众宣传。无任何宣传的，扣4分；无进社区（村、屯）宣传的，扣2分。本项4分。</w:t>
      </w:r>
    </w:p>
    <w:p>
      <w:pPr>
        <w:pStyle w:val="57"/>
        <w:ind w:firstLine="420"/>
      </w:pPr>
      <w:r>
        <w:rPr>
          <w:rFonts w:hint="eastAsia"/>
        </w:rPr>
        <w:t>d）河流沿岸居民满意度较高。满意度≥90%的，不扣分；80%≤满意度＜90%的，扣2分；70%≤满意度＜80%的，扣3分；满意度＜70%的，扣4分。本项</w:t>
      </w:r>
      <w:r>
        <w:t>4</w:t>
      </w:r>
      <w:r>
        <w:rPr>
          <w:rFonts w:hint="eastAsia"/>
        </w:rPr>
        <w:t>分。</w:t>
      </w:r>
    </w:p>
    <w:p>
      <w:pPr>
        <w:pStyle w:val="180"/>
        <w:ind w:left="374"/>
      </w:pPr>
      <w:r>
        <w:rPr>
          <w:rFonts w:hint="eastAsia"/>
        </w:rPr>
        <w:t>问卷样本数不少于30份。发放对象主要是沿河社区居民、民间河长、义务监督员等。问卷满意度计算方法为：（“答案A”个数+“答案B”个数）/问题总数，满意度取问卷份数平均值。调查表见附录D。</w:t>
      </w:r>
    </w:p>
    <w:p>
      <w:pPr>
        <w:pStyle w:val="105"/>
        <w:spacing w:before="312" w:after="312"/>
        <w:ind w:left="0"/>
      </w:pPr>
      <w:bookmarkStart w:id="66" w:name="_Toc146035391"/>
      <w:r>
        <w:rPr>
          <w:rFonts w:hint="eastAsia"/>
        </w:rPr>
        <w:t>乡村段河流</w:t>
      </w:r>
      <w:bookmarkEnd w:id="66"/>
    </w:p>
    <w:p>
      <w:pPr>
        <w:pStyle w:val="106"/>
        <w:spacing w:before="156" w:after="156"/>
      </w:pPr>
      <w:bookmarkStart w:id="67" w:name="_Toc146035392"/>
      <w:r>
        <w:rPr>
          <w:rFonts w:hint="eastAsia"/>
        </w:rPr>
        <w:t>水安全评价指标</w:t>
      </w:r>
      <w:bookmarkEnd w:id="67"/>
    </w:p>
    <w:p>
      <w:pPr>
        <w:pStyle w:val="166"/>
        <w:ind w:left="0"/>
      </w:pPr>
      <w:r>
        <w:rPr>
          <w:rFonts w:hint="eastAsia"/>
        </w:rPr>
        <w:t>防洪排涝：河流管理范围内的涉水建筑物满足防洪、排涝等要求。河道管理范围内建设桥梁、码头和其他拦河、跨河、临河建筑物、构筑物，铺设跨河管道、电缆等未经许可的涉水工程，发现一处扣2分，扣完为止。本项</w:t>
      </w:r>
      <w:r>
        <w:t>5</w:t>
      </w:r>
      <w:r>
        <w:rPr>
          <w:rFonts w:hint="eastAsia"/>
        </w:rPr>
        <w:t>分。</w:t>
      </w:r>
    </w:p>
    <w:p>
      <w:pPr>
        <w:pStyle w:val="166"/>
        <w:ind w:left="0"/>
      </w:pPr>
      <w:r>
        <w:rPr>
          <w:rFonts w:hint="eastAsia"/>
        </w:rPr>
        <w:t>工程运行：水利工程安全运行，堤防、水闸、泵站、拦河坝以及水电站等工程设施能正常运行。工程存在安全风险隐患问题的，发现一处一般问题扣1分；发现一处较重及以上问题扣2分，扣完为止。本项5分。</w:t>
      </w:r>
    </w:p>
    <w:p>
      <w:pPr>
        <w:pStyle w:val="166"/>
        <w:ind w:left="0"/>
      </w:pPr>
      <w:r>
        <w:rPr>
          <w:rFonts w:hint="eastAsia"/>
        </w:rPr>
        <w:t>岸线稳定：河流岸坡和河势稳定，行洪通畅。发现一处塌岸、废弃涉水建筑物、明显淤塞等问题的，扣</w:t>
      </w:r>
      <w:r>
        <w:t>1</w:t>
      </w:r>
      <w:r>
        <w:rPr>
          <w:rFonts w:hint="eastAsia"/>
        </w:rPr>
        <w:t>分，扣完为止。本项</w:t>
      </w:r>
      <w:r>
        <w:t>4</w:t>
      </w:r>
      <w:r>
        <w:rPr>
          <w:rFonts w:hint="eastAsia"/>
        </w:rPr>
        <w:t>分。</w:t>
      </w:r>
    </w:p>
    <w:p>
      <w:pPr>
        <w:pStyle w:val="166"/>
        <w:ind w:left="0"/>
      </w:pPr>
      <w:r>
        <w:rPr>
          <w:rFonts w:hint="eastAsia"/>
        </w:rPr>
        <w:t>安全管理：本项 6分。</w:t>
      </w:r>
    </w:p>
    <w:p>
      <w:pPr>
        <w:pStyle w:val="57"/>
        <w:ind w:firstLine="420"/>
      </w:pPr>
      <w:r>
        <w:rPr>
          <w:rFonts w:hint="eastAsia"/>
        </w:rPr>
        <w:t>a）在河流险工险段设置安全警示标识。发现一处未按要求设置的，扣</w:t>
      </w:r>
      <w:r>
        <w:t>1</w:t>
      </w:r>
      <w:r>
        <w:rPr>
          <w:rFonts w:hint="eastAsia"/>
        </w:rPr>
        <w:t>分，扣完为止。本项3分。</w:t>
      </w:r>
    </w:p>
    <w:p>
      <w:pPr>
        <w:pStyle w:val="57"/>
        <w:ind w:firstLine="420"/>
      </w:pPr>
      <w:r>
        <w:rPr>
          <w:rFonts w:hint="eastAsia"/>
        </w:rPr>
        <w:t>b）在旅游开发、水上活动、人类活动密集、学校附近等河湖区域设置安全警示标识，配备必要的安全救生设施设备。发现一处未按要求设置的，扣</w:t>
      </w:r>
      <w:r>
        <w:t>1</w:t>
      </w:r>
      <w:r>
        <w:rPr>
          <w:rFonts w:hint="eastAsia"/>
        </w:rPr>
        <w:t>分，扣完为止。本项3分。</w:t>
      </w:r>
    </w:p>
    <w:p>
      <w:pPr>
        <w:pStyle w:val="106"/>
        <w:spacing w:before="156" w:after="156"/>
      </w:pPr>
      <w:bookmarkStart w:id="68" w:name="_Toc146035393"/>
      <w:r>
        <w:rPr>
          <w:rFonts w:hint="eastAsia"/>
        </w:rPr>
        <w:t>水资源评价指标</w:t>
      </w:r>
      <w:bookmarkEnd w:id="68"/>
    </w:p>
    <w:p>
      <w:pPr>
        <w:pStyle w:val="166"/>
        <w:ind w:left="0"/>
      </w:pPr>
      <w:r>
        <w:rPr>
          <w:rFonts w:hint="eastAsia"/>
        </w:rPr>
        <w:t>生态流量（水位）：本项</w:t>
      </w:r>
      <w:r>
        <w:t>8</w:t>
      </w:r>
      <w:r>
        <w:rPr>
          <w:rFonts w:hint="eastAsia"/>
        </w:rPr>
        <w:t>分。</w:t>
      </w:r>
    </w:p>
    <w:p>
      <w:pPr>
        <w:pStyle w:val="57"/>
        <w:ind w:firstLine="420"/>
      </w:pPr>
      <w:r>
        <w:rPr>
          <w:rFonts w:hint="eastAsia"/>
        </w:rPr>
        <w:t>a）评价河段存在水电站或上游水电站对评价河段造成生态影响的，应保障生态流量泄放。无生态流量目标或无生态流量泄放措施的，扣4分；有生态流量目标，不按目标泄放的，扣3分。本项</w:t>
      </w:r>
      <w:r>
        <w:t>4</w:t>
      </w:r>
      <w:r>
        <w:rPr>
          <w:rFonts w:hint="eastAsia"/>
        </w:rPr>
        <w:t>分。</w:t>
      </w:r>
    </w:p>
    <w:p>
      <w:pPr>
        <w:pStyle w:val="57"/>
        <w:ind w:firstLine="420"/>
      </w:pPr>
      <w:r>
        <w:rPr>
          <w:rFonts w:hint="eastAsia"/>
        </w:rPr>
        <w:t>b</w:t>
      </w:r>
      <w:r>
        <w:t xml:space="preserve">) </w:t>
      </w:r>
      <w:r>
        <w:rPr>
          <w:rFonts w:hint="eastAsia"/>
        </w:rPr>
        <w:t>评价河段存在生态流量考核断面的，评价年度内断面生态水量满足程度达到考核目标要求。未达到考核目标要求的，扣1分。本项1分。</w:t>
      </w:r>
    </w:p>
    <w:p>
      <w:pPr>
        <w:pStyle w:val="57"/>
        <w:ind w:firstLine="420"/>
      </w:pPr>
      <w:r>
        <w:rPr>
          <w:rFonts w:hint="eastAsia"/>
        </w:rPr>
        <w:t>c）保障河流生态需水量，防止人为造成河段减水严重。L=平均裸露河槽宽度/平均河槽宽度≥0.8的，扣3分；0.8＞L≥0.5的，扣2分；0.5＞L≥0.3的，扣1分；0.3＞L的，不扣分。本项3分。</w:t>
      </w:r>
    </w:p>
    <w:p>
      <w:pPr>
        <w:pStyle w:val="166"/>
        <w:ind w:left="0"/>
      </w:pPr>
      <w:r>
        <w:rPr>
          <w:rFonts w:hint="eastAsia"/>
        </w:rPr>
        <w:t>取水规范：河流取水口依法设置，管理规范，符合相关技术标准。存在非法设置取水口、超标取水等非法取水的，发现一处扣</w:t>
      </w:r>
      <w:r>
        <w:t>4</w:t>
      </w:r>
      <w:r>
        <w:rPr>
          <w:rFonts w:hint="eastAsia"/>
        </w:rPr>
        <w:t>分。本项4分。</w:t>
      </w:r>
    </w:p>
    <w:p>
      <w:pPr>
        <w:pStyle w:val="106"/>
        <w:spacing w:before="156" w:after="156"/>
      </w:pPr>
      <w:bookmarkStart w:id="69" w:name="_Toc146035394"/>
      <w:r>
        <w:rPr>
          <w:rFonts w:hint="eastAsia"/>
        </w:rPr>
        <w:t>水生态评价指标</w:t>
      </w:r>
      <w:bookmarkEnd w:id="69"/>
    </w:p>
    <w:p>
      <w:pPr>
        <w:pStyle w:val="166"/>
        <w:ind w:left="0"/>
      </w:pPr>
      <w:r>
        <w:rPr>
          <w:rFonts w:hint="eastAsia"/>
        </w:rPr>
        <w:t>河流连通：河流水系连通性和流动性好。连通指数n＞1的，扣4分；1≥n＞0.5的，扣2分；0.5≥n＞0的，扣1分；n=0的，不扣分。本项4分。</w:t>
      </w:r>
    </w:p>
    <w:p>
      <w:pPr>
        <w:pStyle w:val="166"/>
        <w:ind w:left="0"/>
      </w:pPr>
      <w:r>
        <w:rPr>
          <w:rFonts w:hint="eastAsia"/>
        </w:rPr>
        <w:t>自然生态：本项 8分。</w:t>
      </w:r>
    </w:p>
    <w:p>
      <w:pPr>
        <w:pStyle w:val="57"/>
        <w:ind w:firstLine="420"/>
      </w:pPr>
      <w:r>
        <w:rPr>
          <w:rFonts w:hint="eastAsia"/>
        </w:rPr>
        <w:t>a）河流景观自然优美、宜弯则弯，保持原真性和完整性，弯道、深潭、浅滩、江心洲、滩地、滩林等自然风貌得到有效保护与修复，河流治理过程中维持河流自然形态，保障基本生态功能。破坏、刻意改变河流生态环境的，发现一处扣2分，扣完为止。本项4分。</w:t>
      </w:r>
    </w:p>
    <w:p>
      <w:pPr>
        <w:pStyle w:val="57"/>
        <w:ind w:firstLine="420"/>
      </w:pPr>
      <w:r>
        <w:rPr>
          <w:rFonts w:hint="eastAsia"/>
        </w:rPr>
        <w:t>b）河流两岸植被覆盖完好，原生植被得以保留。河岸存在植被破坏、开垦种植等破坏生态的，发现一处扣1分，扣完为止。本项4分。</w:t>
      </w:r>
    </w:p>
    <w:p>
      <w:pPr>
        <w:pStyle w:val="166"/>
        <w:ind w:left="0"/>
      </w:pPr>
      <w:r>
        <w:rPr>
          <w:rFonts w:hint="eastAsia"/>
        </w:rPr>
        <w:t>水生物保护：水生生物保护良好。存在非法捕捞、电、毒、炸鱼等现象的，发现一处扣</w:t>
      </w:r>
      <w:r>
        <w:t>2</w:t>
      </w:r>
      <w:r>
        <w:rPr>
          <w:rFonts w:hint="eastAsia"/>
        </w:rPr>
        <w:t>分；存在有害外来入侵物种的，发现一种扣1分；扣完为止。本项4分。</w:t>
      </w:r>
    </w:p>
    <w:p>
      <w:pPr>
        <w:pStyle w:val="106"/>
        <w:spacing w:before="156" w:after="156"/>
      </w:pPr>
      <w:bookmarkStart w:id="70" w:name="_Toc146035395"/>
      <w:r>
        <w:rPr>
          <w:rFonts w:hint="eastAsia"/>
        </w:rPr>
        <w:t>水环境评价指标</w:t>
      </w:r>
      <w:bookmarkEnd w:id="70"/>
    </w:p>
    <w:p>
      <w:pPr>
        <w:pStyle w:val="166"/>
        <w:ind w:left="0"/>
      </w:pPr>
      <w:r>
        <w:rPr>
          <w:rFonts w:hint="eastAsia"/>
        </w:rPr>
        <w:t>河流整洁：本项 10分。</w:t>
      </w:r>
    </w:p>
    <w:p>
      <w:pPr>
        <w:pStyle w:val="57"/>
        <w:ind w:firstLine="420"/>
      </w:pPr>
      <w:r>
        <w:rPr>
          <w:rFonts w:hint="eastAsia"/>
        </w:rPr>
        <w:t>a）河流清洁卫生，河流水面漂浮物（垃圾、油污、规模性水葫芦、蓝藻等）及时清理。发现一处问题扣1分，扣完为止。本项6分。</w:t>
      </w:r>
    </w:p>
    <w:p>
      <w:pPr>
        <w:pStyle w:val="57"/>
        <w:ind w:firstLine="420"/>
      </w:pPr>
      <w:r>
        <w:rPr>
          <w:rFonts w:hint="eastAsia"/>
        </w:rPr>
        <w:t>b）河流管理范围线内或管理范围线外对河流环境构成明显隐患的区域不得设置集中垃圾堆放点，发现一处问题扣4分；不得堆放废弃物，发现一处问题扣1分，扣完为止。本项4分。</w:t>
      </w:r>
    </w:p>
    <w:p>
      <w:pPr>
        <w:pStyle w:val="166"/>
        <w:ind w:left="0"/>
      </w:pPr>
      <w:r>
        <w:rPr>
          <w:rFonts w:hint="eastAsia"/>
        </w:rPr>
        <w:t>排水规范：河流排污口依法设置，管理规范，符合相关技术标准。存在非法设置排污口和偷排、超排等非法排污的，发现一处扣6分。评价河段及起点上游1km内存在排污口，排污口形成的污水带长度大于100m，或宽度大于1/10河宽的，发现一处扣6分；排污口形成的污水带长度在50m-100m之间，或宽度在1/20-1/10河宽之间的，发现一处扣4分；排污口形成的污水带长度小于50m，或宽度小于1/20河宽的，发现一处扣2分；无污水带的不扣分。农村生活污水未经处理直排的，发现一处扣0.5分。扣完为止。本项6分。</w:t>
      </w:r>
    </w:p>
    <w:p>
      <w:pPr>
        <w:pStyle w:val="166"/>
        <w:ind w:left="0"/>
      </w:pPr>
      <w:r>
        <w:rPr>
          <w:rFonts w:hint="eastAsia"/>
        </w:rPr>
        <w:t>人水和谐：河流沿线的人水活动和谐。发现一处污染水环境或破坏水环境保护设施的，扣2分，扣完为止。本项4分。</w:t>
      </w:r>
    </w:p>
    <w:p>
      <w:pPr>
        <w:pStyle w:val="106"/>
        <w:spacing w:before="156" w:after="156"/>
      </w:pPr>
      <w:bookmarkStart w:id="71" w:name="_Toc146035396"/>
      <w:r>
        <w:rPr>
          <w:rFonts w:hint="eastAsia"/>
        </w:rPr>
        <w:t>水文化评价指标</w:t>
      </w:r>
      <w:bookmarkEnd w:id="71"/>
    </w:p>
    <w:p>
      <w:pPr>
        <w:pStyle w:val="166"/>
        <w:ind w:left="0"/>
      </w:pPr>
      <w:r>
        <w:rPr>
          <w:rFonts w:hint="eastAsia"/>
        </w:rPr>
        <w:t>文化保护：本项</w:t>
      </w:r>
      <w:r>
        <w:t>6</w:t>
      </w:r>
      <w:r>
        <w:rPr>
          <w:rFonts w:hint="eastAsia"/>
        </w:rPr>
        <w:t>分。</w:t>
      </w:r>
    </w:p>
    <w:p>
      <w:pPr>
        <w:pStyle w:val="57"/>
        <w:ind w:firstLine="420"/>
      </w:pPr>
      <w:r>
        <w:rPr>
          <w:rFonts w:hint="eastAsia"/>
        </w:rPr>
        <w:t>a）河流及其沿岸历史文化古迹（古桥、古堰、古码头、古闸、古堤、古河道、古塘、古井、古建筑等）留存保护良好，得到有效保护和利用。有文化古迹，未有效保护的，扣4分。本项4分。</w:t>
      </w:r>
    </w:p>
    <w:p>
      <w:pPr>
        <w:pStyle w:val="57"/>
        <w:ind w:firstLine="420"/>
      </w:pPr>
      <w:r>
        <w:rPr>
          <w:rFonts w:hint="eastAsia"/>
        </w:rPr>
        <w:t>b）通过水文化相关活动或利用已有堤、堰、闸、桥等载体展示河流水工程文化、治水文化等。无水文化建设的，扣2分。本项</w:t>
      </w:r>
      <w:r>
        <w:t>2</w:t>
      </w:r>
      <w:r>
        <w:rPr>
          <w:rFonts w:hint="eastAsia"/>
        </w:rPr>
        <w:t>分。</w:t>
      </w:r>
    </w:p>
    <w:p>
      <w:pPr>
        <w:pStyle w:val="106"/>
        <w:spacing w:before="156" w:after="156"/>
      </w:pPr>
      <w:bookmarkStart w:id="72" w:name="_Toc146035397"/>
      <w:r>
        <w:rPr>
          <w:rFonts w:hint="eastAsia"/>
        </w:rPr>
        <w:t>水管理评价指标</w:t>
      </w:r>
      <w:bookmarkEnd w:id="72"/>
    </w:p>
    <w:p>
      <w:pPr>
        <w:pStyle w:val="166"/>
        <w:ind w:left="0"/>
      </w:pPr>
      <w:r>
        <w:rPr>
          <w:rFonts w:hint="eastAsia"/>
        </w:rPr>
        <w:t>河流管控：本项</w:t>
      </w:r>
      <w:r>
        <w:t>14</w:t>
      </w:r>
      <w:r>
        <w:rPr>
          <w:rFonts w:hint="eastAsia"/>
        </w:rPr>
        <w:t>分。</w:t>
      </w:r>
    </w:p>
    <w:p>
      <w:pPr>
        <w:pStyle w:val="57"/>
        <w:ind w:firstLine="420"/>
      </w:pPr>
      <w:r>
        <w:rPr>
          <w:rFonts w:hint="eastAsia"/>
        </w:rPr>
        <w:t>b）河流按标准合理布设界桩、公示牌。未按照规定合理设置界桩的，扣2分；未按照规定合理布设河长公示牌的，扣2分；界桩、公示牌明显损坏的、信息未更新的，发现一处扣1分，扣完为止。本项</w:t>
      </w:r>
      <w:r>
        <w:t>4</w:t>
      </w:r>
      <w:r>
        <w:rPr>
          <w:rFonts w:hint="eastAsia"/>
        </w:rPr>
        <w:t>分。</w:t>
      </w:r>
    </w:p>
    <w:p>
      <w:pPr>
        <w:pStyle w:val="57"/>
        <w:ind w:firstLine="420"/>
      </w:pPr>
      <w:r>
        <w:rPr>
          <w:rFonts w:hint="eastAsia"/>
        </w:rPr>
        <w:t>b）河湖长设立及责任有效落实。河湖长未按照规定开展巡河的，扣2分；发现明显管护问题的，扣2分；扣完为止。本项2分。</w:t>
      </w:r>
    </w:p>
    <w:p>
      <w:pPr>
        <w:pStyle w:val="57"/>
        <w:ind w:firstLine="420"/>
      </w:pPr>
      <w:r>
        <w:rPr>
          <w:rFonts w:hint="eastAsia"/>
        </w:rPr>
        <w:t>c）持续推进河湖“清四乱”常态化规范化。每发现1个严重问题扣</w:t>
      </w:r>
      <w:r>
        <w:t>6</w:t>
      </w:r>
      <w:r>
        <w:rPr>
          <w:rFonts w:hint="eastAsia"/>
        </w:rPr>
        <w:t>分、较重问题扣</w:t>
      </w:r>
      <w:r>
        <w:t>5</w:t>
      </w:r>
      <w:r>
        <w:rPr>
          <w:rFonts w:hint="eastAsia"/>
        </w:rPr>
        <w:t>分、一般问题扣</w:t>
      </w:r>
      <w:r>
        <w:t>4</w:t>
      </w:r>
      <w:r>
        <w:rPr>
          <w:rFonts w:hint="eastAsia"/>
        </w:rPr>
        <w:t>分，扣完为止。本项6分。</w:t>
      </w:r>
    </w:p>
    <w:p>
      <w:pPr>
        <w:pStyle w:val="57"/>
        <w:ind w:firstLine="420"/>
      </w:pPr>
      <w:r>
        <w:rPr>
          <w:rFonts w:hint="eastAsia"/>
        </w:rPr>
        <w:t>d）河流保洁有保障。未落实保洁员的，扣1分；未落实管护经费的，扣1分。本项2分。</w:t>
      </w:r>
    </w:p>
    <w:p>
      <w:pPr>
        <w:pStyle w:val="166"/>
        <w:ind w:left="0"/>
      </w:pPr>
      <w:r>
        <w:rPr>
          <w:rFonts w:hint="eastAsia"/>
        </w:rPr>
        <w:t>公众参与：本项 1</w:t>
      </w:r>
      <w:r>
        <w:t>2</w:t>
      </w:r>
      <w:r>
        <w:rPr>
          <w:rFonts w:hint="eastAsia"/>
        </w:rPr>
        <w:t>分。</w:t>
      </w:r>
    </w:p>
    <w:p>
      <w:pPr>
        <w:pStyle w:val="57"/>
        <w:ind w:firstLine="420"/>
      </w:pPr>
      <w:r>
        <w:rPr>
          <w:rFonts w:hint="eastAsia"/>
        </w:rPr>
        <w:t>a）积极推进河流管护公众参与，河流有民间河长、社会监督员等。缺少一项扣1分，扣完为止。本项2分。</w:t>
      </w:r>
    </w:p>
    <w:p>
      <w:pPr>
        <w:pStyle w:val="57"/>
        <w:ind w:firstLine="420"/>
      </w:pPr>
      <w:r>
        <w:rPr>
          <w:rFonts w:hint="eastAsia"/>
        </w:rPr>
        <w:t>b）河流管护纳入村规民约，提高村（居）民参与度。河流管护未纳入村规民约的，扣2分。本项2分。</w:t>
      </w:r>
    </w:p>
    <w:p>
      <w:pPr>
        <w:pStyle w:val="57"/>
        <w:ind w:firstLine="420"/>
      </w:pPr>
      <w:r>
        <w:rPr>
          <w:rFonts w:hint="eastAsia"/>
        </w:rPr>
        <w:t>c)</w:t>
      </w:r>
      <w:r>
        <w:rPr>
          <w:rFonts w:hint="eastAsia"/>
        </w:rPr>
        <w:tab/>
      </w:r>
      <w:r>
        <w:rPr>
          <w:rFonts w:hint="eastAsia"/>
        </w:rPr>
        <w:t>加强美丽幸福河湖宣传，对河流沿线村（居）民开展宣传。无任何宣传的，扣4分。本项4分。</w:t>
      </w:r>
    </w:p>
    <w:p>
      <w:pPr>
        <w:pStyle w:val="57"/>
        <w:ind w:firstLine="420"/>
      </w:pPr>
      <w:r>
        <w:rPr>
          <w:rFonts w:hint="eastAsia"/>
        </w:rPr>
        <w:t>d）河流沿岸居民满意度较高。满意度≥90%的，不扣分；80%≤满意度＜90%的，扣2分；70%≤满意度＜80%的，扣3分；满意度＜70%的，扣4分。本项</w:t>
      </w:r>
      <w:r>
        <w:t>4</w:t>
      </w:r>
      <w:r>
        <w:rPr>
          <w:rFonts w:hint="eastAsia"/>
        </w:rPr>
        <w:t>分。</w:t>
      </w:r>
    </w:p>
    <w:p>
      <w:pPr>
        <w:pStyle w:val="180"/>
        <w:ind w:left="374"/>
      </w:pPr>
      <w:r>
        <w:rPr>
          <w:rFonts w:hint="eastAsia"/>
        </w:rPr>
        <w:t>问卷样本数不少于20份。发放对象主要是沿河社区居民、民间河长、义务监督员等。问卷满意度计算方法为：（“答案A”个数+“答案B”个数）/问题总数，满意度取问卷份数平均值。调查表见附录D。</w:t>
      </w:r>
    </w:p>
    <w:p>
      <w:pPr>
        <w:pStyle w:val="105"/>
        <w:spacing w:before="312" w:after="312"/>
        <w:ind w:left="0"/>
      </w:pPr>
      <w:bookmarkStart w:id="73" w:name="_Toc146035398"/>
      <w:r>
        <w:rPr>
          <w:rFonts w:hint="eastAsia"/>
        </w:rPr>
        <w:t>湖泊水库</w:t>
      </w:r>
      <w:bookmarkEnd w:id="73"/>
    </w:p>
    <w:p>
      <w:pPr>
        <w:pStyle w:val="106"/>
        <w:spacing w:before="156" w:after="156"/>
      </w:pPr>
      <w:bookmarkStart w:id="74" w:name="_Toc146035399"/>
      <w:r>
        <w:rPr>
          <w:rFonts w:hint="eastAsia"/>
        </w:rPr>
        <w:t>水安全评价指标</w:t>
      </w:r>
      <w:bookmarkEnd w:id="74"/>
    </w:p>
    <w:p>
      <w:pPr>
        <w:pStyle w:val="166"/>
        <w:ind w:left="0"/>
      </w:pPr>
      <w:r>
        <w:rPr>
          <w:rFonts w:hint="eastAsia"/>
        </w:rPr>
        <w:t>落实责任制，明确责任人。湖泊未落实管护主体的，扣6分；无管理制度的，扣3分。水库未落实大坝安全运行“三级责任人”的，扣6分；未落实防汛“三个责任人”的，扣6分；无“三级责任人”公示牌的，扣3分；无“三个责任人”公示牌的，扣3分；无防汛制度的，扣3分；无巡查记录的，扣3分；巡查记录不规范、不完善的，扣2分；扣完为止。本项</w:t>
      </w:r>
      <w:r>
        <w:t>6</w:t>
      </w:r>
      <w:r>
        <w:rPr>
          <w:rFonts w:hint="eastAsia"/>
        </w:rPr>
        <w:t>分。</w:t>
      </w:r>
    </w:p>
    <w:p>
      <w:pPr>
        <w:pStyle w:val="166"/>
        <w:ind w:left="0"/>
      </w:pPr>
      <w:r>
        <w:rPr>
          <w:rFonts w:hint="eastAsia"/>
        </w:rPr>
        <w:t>工程运行：水利工程安全运行，挡水、输（引）水、泄水等工程设施管护良好、运行正常。工程存在风险隐患的，发现一处一般问题扣1分；发现一处较重及以上问题扣2分；扣完为止。本项</w:t>
      </w:r>
      <w:r>
        <w:t>6</w:t>
      </w:r>
      <w:r>
        <w:rPr>
          <w:rFonts w:hint="eastAsia"/>
        </w:rPr>
        <w:t>分。</w:t>
      </w:r>
    </w:p>
    <w:p>
      <w:pPr>
        <w:pStyle w:val="166"/>
        <w:ind w:left="0"/>
      </w:pPr>
      <w:r>
        <w:rPr>
          <w:rFonts w:hint="eastAsia"/>
        </w:rPr>
        <w:t>预警预案：“三个重点环节”落实，有水雨情测报、水库调度运行方案、水库大坝安全管理（防汛）应急预案。每少一项，扣1分；方案不完善、操作性不强的，扣0.5分；无应急预案演练、推演的，扣2分；扣完为止。有防汛任务的湖泊参照执行。本项5分。</w:t>
      </w:r>
    </w:p>
    <w:p>
      <w:pPr>
        <w:pStyle w:val="166"/>
        <w:ind w:left="0"/>
      </w:pPr>
      <w:r>
        <w:rPr>
          <w:rFonts w:hint="eastAsia"/>
        </w:rPr>
        <w:t>安全管理：本项6分。</w:t>
      </w:r>
    </w:p>
    <w:p>
      <w:pPr>
        <w:pStyle w:val="57"/>
        <w:ind w:firstLine="420"/>
      </w:pPr>
      <w:r>
        <w:rPr>
          <w:rFonts w:hint="eastAsia"/>
        </w:rPr>
        <w:t>a）在湖库危险位置设置安全警示标识。发现一处未按要求设置的，扣0.5分，扣完为止。本项3分。</w:t>
      </w:r>
    </w:p>
    <w:p>
      <w:pPr>
        <w:pStyle w:val="57"/>
        <w:ind w:firstLine="420"/>
      </w:pPr>
      <w:r>
        <w:rPr>
          <w:rFonts w:hint="eastAsia"/>
        </w:rPr>
        <w:t>b）在旅游开发、水上活动、人类活动密集、学校附近等湖库区域设置安全警示标识，配备必要的安全救生设施设备。发现一处未按要求设置的，扣0.5分，扣完为止。本项3分。</w:t>
      </w:r>
    </w:p>
    <w:p>
      <w:pPr>
        <w:pStyle w:val="106"/>
        <w:spacing w:before="156" w:after="156"/>
      </w:pPr>
      <w:bookmarkStart w:id="75" w:name="_Toc146035400"/>
      <w:r>
        <w:rPr>
          <w:rFonts w:hint="eastAsia"/>
        </w:rPr>
        <w:t>水资源评价指标</w:t>
      </w:r>
      <w:bookmarkEnd w:id="75"/>
    </w:p>
    <w:p>
      <w:pPr>
        <w:pStyle w:val="166"/>
        <w:ind w:left="0"/>
      </w:pPr>
      <w:r>
        <w:rPr>
          <w:rFonts w:hint="eastAsia"/>
        </w:rPr>
        <w:t>生态流量（水位）：本项</w:t>
      </w:r>
      <w:r>
        <w:t>8</w:t>
      </w:r>
      <w:r>
        <w:rPr>
          <w:rFonts w:hint="eastAsia"/>
        </w:rPr>
        <w:t>分。</w:t>
      </w:r>
    </w:p>
    <w:p>
      <w:pPr>
        <w:pStyle w:val="57"/>
        <w:ind w:firstLine="420"/>
      </w:pPr>
      <w:r>
        <w:rPr>
          <w:rFonts w:hint="eastAsia"/>
        </w:rPr>
        <w:t>a）评价湖库为电站型的，应保障生态流量泄放。无生态流量目标或无生态流量泄放措施的，扣</w:t>
      </w:r>
      <w:r>
        <w:t>4</w:t>
      </w:r>
      <w:r>
        <w:rPr>
          <w:rFonts w:hint="eastAsia"/>
        </w:rPr>
        <w:t>分；有生态流量目标，不按目标泄放的，扣3分。本项</w:t>
      </w:r>
      <w:r>
        <w:t>4</w:t>
      </w:r>
      <w:r>
        <w:rPr>
          <w:rFonts w:hint="eastAsia"/>
        </w:rPr>
        <w:t>分。</w:t>
      </w:r>
    </w:p>
    <w:p>
      <w:pPr>
        <w:pStyle w:val="57"/>
        <w:ind w:firstLine="420"/>
      </w:pPr>
      <w:r>
        <w:rPr>
          <w:rFonts w:hint="eastAsia"/>
        </w:rPr>
        <w:t>b）保障湖库最低生态水位（水深），防止湖库生态系统进一步退化。正常运行水库，水库水位不低于死水位。全年超6个月库水位低于死水位的，扣</w:t>
      </w:r>
      <w:r>
        <w:t>4</w:t>
      </w:r>
      <w:r>
        <w:rPr>
          <w:rFonts w:hint="eastAsia"/>
        </w:rPr>
        <w:t>分；全年少于等于6个月库水位低于死水位的，扣2分；全年库水位高于死水位的，不扣分。湖泊最低生态水位（水深）按规划或管理文件确定的最低水位（水深）限值确定，评价月份水位（水深）低于限值的，扣3分。本项</w:t>
      </w:r>
      <w:r>
        <w:t>4</w:t>
      </w:r>
      <w:r>
        <w:rPr>
          <w:rFonts w:hint="eastAsia"/>
        </w:rPr>
        <w:t>分。</w:t>
      </w:r>
    </w:p>
    <w:p>
      <w:pPr>
        <w:pStyle w:val="166"/>
        <w:ind w:left="0"/>
      </w:pPr>
      <w:r>
        <w:rPr>
          <w:rFonts w:hint="eastAsia"/>
        </w:rPr>
        <w:t>取水规范：湖库取水口依法设置，管理规范，符合相关技术标准。存在非法设置取水口、超标取水等非法取水的，发现一处扣4分。本项4分。</w:t>
      </w:r>
    </w:p>
    <w:p>
      <w:pPr>
        <w:pStyle w:val="106"/>
        <w:spacing w:before="156" w:after="156"/>
      </w:pPr>
      <w:bookmarkStart w:id="76" w:name="_Toc146035401"/>
      <w:r>
        <w:rPr>
          <w:rFonts w:hint="eastAsia"/>
        </w:rPr>
        <w:t>水生态评价指标</w:t>
      </w:r>
      <w:bookmarkEnd w:id="76"/>
    </w:p>
    <w:p>
      <w:pPr>
        <w:pStyle w:val="166"/>
        <w:ind w:left="0"/>
      </w:pPr>
      <w:r>
        <w:rPr>
          <w:rFonts w:hint="eastAsia"/>
        </w:rPr>
        <w:t>自然生态：湖库景观自然优美、岸线宜弯则弯，保持原真性和完整性，弯道、深潭、浅滩、江心洲、滩地、滩林等自然风貌得到有效保护与修复。破坏、刻意改变湖库形态的，发现一处扣2分，扣完为止。本项4分。</w:t>
      </w:r>
    </w:p>
    <w:p>
      <w:pPr>
        <w:pStyle w:val="166"/>
        <w:ind w:left="0"/>
      </w:pPr>
      <w:r>
        <w:rPr>
          <w:rFonts w:hint="eastAsia"/>
        </w:rPr>
        <w:t>水生物保护：本项 8分。</w:t>
      </w:r>
    </w:p>
    <w:p>
      <w:pPr>
        <w:pStyle w:val="57"/>
        <w:ind w:firstLine="420"/>
      </w:pPr>
      <w:r>
        <w:rPr>
          <w:rFonts w:hint="eastAsia"/>
        </w:rPr>
        <w:t>a）湖库周边岸带植被覆盖完好，原生乔木得以保留，乔灌草、水陆植物搭配合理，鱼鸟等生物栖息繁衍环境良好。树种单一且不宜种植的，扣2分；湖库周边岸带植被破坏的，发现一处扣1分，扣完为止。本项4分。</w:t>
      </w:r>
    </w:p>
    <w:p>
      <w:pPr>
        <w:pStyle w:val="57"/>
        <w:ind w:firstLine="420"/>
      </w:pPr>
      <w:r>
        <w:rPr>
          <w:rFonts w:hint="eastAsia"/>
        </w:rPr>
        <w:t>b）水生生物保护良好。存在非法捕捞、电、毒、炸鱼等现象的，发现一起扣</w:t>
      </w:r>
      <w:r>
        <w:t>2</w:t>
      </w:r>
      <w:r>
        <w:rPr>
          <w:rFonts w:hint="eastAsia"/>
        </w:rPr>
        <w:t>分；存在有害外来入侵物种的，发现一种扣1分；扣完为止。本项</w:t>
      </w:r>
      <w:r>
        <w:t>4</w:t>
      </w:r>
      <w:r>
        <w:rPr>
          <w:rFonts w:hint="eastAsia"/>
        </w:rPr>
        <w:t>分。</w:t>
      </w:r>
    </w:p>
    <w:p>
      <w:pPr>
        <w:pStyle w:val="106"/>
        <w:spacing w:before="156" w:after="156"/>
      </w:pPr>
      <w:bookmarkStart w:id="77" w:name="_Toc146035402"/>
      <w:r>
        <w:rPr>
          <w:rFonts w:hint="eastAsia"/>
        </w:rPr>
        <w:t>水环境评价指标</w:t>
      </w:r>
      <w:bookmarkEnd w:id="77"/>
    </w:p>
    <w:p>
      <w:pPr>
        <w:pStyle w:val="166"/>
        <w:ind w:left="0"/>
      </w:pPr>
      <w:r>
        <w:rPr>
          <w:rFonts w:hint="eastAsia"/>
        </w:rPr>
        <w:t>湖库整洁：本项 8分。</w:t>
      </w:r>
    </w:p>
    <w:p>
      <w:pPr>
        <w:pStyle w:val="57"/>
        <w:ind w:firstLine="420"/>
      </w:pPr>
      <w:r>
        <w:rPr>
          <w:rFonts w:hint="eastAsia"/>
        </w:rPr>
        <w:t>a）湖库清洁卫生，湖库水面漂浮物（垃圾、油污、规模性水葫芦、蓝藻等）及时清理。发现一处问题扣1分，扣完为止。本项4分。</w:t>
      </w:r>
    </w:p>
    <w:p>
      <w:pPr>
        <w:pStyle w:val="57"/>
        <w:ind w:firstLine="420"/>
      </w:pPr>
      <w:r>
        <w:rPr>
          <w:rFonts w:hint="eastAsia"/>
        </w:rPr>
        <w:t>b）湖库沿岸不得设置垃圾堆放点，发现一处问题扣</w:t>
      </w:r>
      <w:r>
        <w:t>4</w:t>
      </w:r>
      <w:r>
        <w:rPr>
          <w:rFonts w:hint="eastAsia"/>
        </w:rPr>
        <w:t>分；不得堆放废弃物，发现一处问题扣1分，扣完为止。本项4分。</w:t>
      </w:r>
    </w:p>
    <w:p>
      <w:pPr>
        <w:pStyle w:val="166"/>
        <w:ind w:left="0"/>
      </w:pPr>
      <w:r>
        <w:rPr>
          <w:rFonts w:hint="eastAsia"/>
        </w:rPr>
        <w:t>营养状态：维护湖库水体环境质量。湖库营养状态为轻度富营养的，扣4分；营养状态为中度富营养的，扣6分；营养状态为重度富营养的，扣8分。本项8分。</w:t>
      </w:r>
    </w:p>
    <w:p>
      <w:pPr>
        <w:pStyle w:val="166"/>
        <w:ind w:left="0"/>
      </w:pPr>
      <w:r>
        <w:rPr>
          <w:rFonts w:hint="eastAsia"/>
        </w:rPr>
        <w:t>人水和谐：在人类活动密集区域合理设置滨水休闲区，在不影响安全的前提下，合理布置亲水便民配套设施，满足居民亲水需求。发现一处未经许可侵占湖库水域的，一处扣0.5分，扣完为止。本项</w:t>
      </w:r>
      <w:r>
        <w:t>2</w:t>
      </w:r>
      <w:r>
        <w:rPr>
          <w:rFonts w:hint="eastAsia"/>
        </w:rPr>
        <w:t>分。</w:t>
      </w:r>
    </w:p>
    <w:p>
      <w:pPr>
        <w:pStyle w:val="106"/>
        <w:spacing w:before="156" w:after="156"/>
      </w:pPr>
      <w:bookmarkStart w:id="78" w:name="_Toc146035403"/>
      <w:r>
        <w:rPr>
          <w:rFonts w:hint="eastAsia"/>
        </w:rPr>
        <w:t>水文化评价指标</w:t>
      </w:r>
      <w:bookmarkEnd w:id="78"/>
    </w:p>
    <w:p>
      <w:pPr>
        <w:pStyle w:val="166"/>
        <w:ind w:left="0"/>
      </w:pPr>
      <w:r>
        <w:rPr>
          <w:rFonts w:hint="eastAsia"/>
        </w:rPr>
        <w:t>文化保护：本项</w:t>
      </w:r>
      <w:r>
        <w:t>6</w:t>
      </w:r>
      <w:r>
        <w:rPr>
          <w:rFonts w:hint="eastAsia"/>
        </w:rPr>
        <w:t>分。</w:t>
      </w:r>
    </w:p>
    <w:p>
      <w:pPr>
        <w:pStyle w:val="57"/>
        <w:ind w:firstLine="420"/>
      </w:pPr>
      <w:r>
        <w:rPr>
          <w:rFonts w:hint="eastAsia"/>
        </w:rPr>
        <w:t>a）湖库及其沿岸历史文化古迹（古桥、古堰、古码头、古闸、古堤、古河道、古塘、古井、古建筑等）留存保护良好，得到有效保护和利用。有文化古迹，未有效保护的，扣4分。本项4分。</w:t>
      </w:r>
    </w:p>
    <w:p>
      <w:pPr>
        <w:pStyle w:val="57"/>
        <w:ind w:firstLine="420"/>
      </w:pPr>
      <w:r>
        <w:rPr>
          <w:rFonts w:hint="eastAsia"/>
        </w:rPr>
        <w:t>b）通过水文化相关活动或利用已有堤、堰、闸、桥等载体展示湖库水工程文化、治水文化等。无水文化建设的，扣</w:t>
      </w:r>
      <w:r>
        <w:t>2</w:t>
      </w:r>
      <w:r>
        <w:rPr>
          <w:rFonts w:hint="eastAsia"/>
        </w:rPr>
        <w:t>分。本项</w:t>
      </w:r>
      <w:r>
        <w:t>2</w:t>
      </w:r>
      <w:r>
        <w:rPr>
          <w:rFonts w:hint="eastAsia"/>
        </w:rPr>
        <w:t>分。</w:t>
      </w:r>
    </w:p>
    <w:p>
      <w:pPr>
        <w:pStyle w:val="106"/>
        <w:spacing w:before="156" w:after="156"/>
      </w:pPr>
      <w:bookmarkStart w:id="79" w:name="_Toc146035404"/>
      <w:r>
        <w:rPr>
          <w:rFonts w:hint="eastAsia"/>
        </w:rPr>
        <w:t>水管理评价指标</w:t>
      </w:r>
      <w:bookmarkEnd w:id="79"/>
    </w:p>
    <w:p>
      <w:pPr>
        <w:pStyle w:val="166"/>
        <w:ind w:left="0"/>
      </w:pPr>
      <w:r>
        <w:rPr>
          <w:rFonts w:hint="eastAsia"/>
        </w:rPr>
        <w:t>湖库管控：本项1</w:t>
      </w:r>
      <w:r>
        <w:t>9</w:t>
      </w:r>
      <w:r>
        <w:rPr>
          <w:rFonts w:hint="eastAsia"/>
        </w:rPr>
        <w:t>分。</w:t>
      </w:r>
    </w:p>
    <w:p>
      <w:pPr>
        <w:pStyle w:val="57"/>
        <w:ind w:firstLine="420"/>
      </w:pPr>
      <w:r>
        <w:rPr>
          <w:rFonts w:hint="eastAsia"/>
        </w:rPr>
        <w:t>a）湖库按标准合理布设界桩、公示牌。未按照规定合理设置界桩的，扣2分；未按照规定合理布设河长公示牌的，扣2分；界桩、公示牌明显损坏的、信息未更新的，发现一处扣1分，扣完为止。本项4分。</w:t>
      </w:r>
    </w:p>
    <w:p>
      <w:pPr>
        <w:pStyle w:val="57"/>
        <w:ind w:firstLine="420"/>
      </w:pPr>
      <w:r>
        <w:t>b</w:t>
      </w:r>
      <w:r>
        <w:rPr>
          <w:rFonts w:hint="eastAsia"/>
        </w:rPr>
        <w:t>)</w:t>
      </w:r>
      <w:r>
        <w:rPr>
          <w:rFonts w:hint="eastAsia"/>
        </w:rPr>
        <w:tab/>
      </w:r>
      <w:r>
        <w:rPr>
          <w:rFonts w:hint="eastAsia"/>
        </w:rPr>
        <w:t>湖库水域范围不存在影响工程安全运行、水生态环境的建筑物、构筑物等。发现一处问题扣2分，扣完为止。本项</w:t>
      </w:r>
      <w:r>
        <w:t>4</w:t>
      </w:r>
      <w:r>
        <w:rPr>
          <w:rFonts w:hint="eastAsia"/>
        </w:rPr>
        <w:t>分。</w:t>
      </w:r>
    </w:p>
    <w:p>
      <w:pPr>
        <w:pStyle w:val="57"/>
        <w:ind w:firstLine="420"/>
      </w:pPr>
      <w:r>
        <w:t>c</w:t>
      </w:r>
      <w:r>
        <w:rPr>
          <w:rFonts w:hint="eastAsia"/>
        </w:rPr>
        <w:t>）持续推进河湖“清四乱”常态化规范化。每发现1个严重问题扣</w:t>
      </w:r>
      <w:r>
        <w:t>7</w:t>
      </w:r>
      <w:r>
        <w:rPr>
          <w:rFonts w:hint="eastAsia"/>
        </w:rPr>
        <w:t>分、较重问题扣</w:t>
      </w:r>
      <w:r>
        <w:t>6</w:t>
      </w:r>
      <w:r>
        <w:rPr>
          <w:rFonts w:hint="eastAsia"/>
        </w:rPr>
        <w:t>分、一般问题扣</w:t>
      </w:r>
      <w:r>
        <w:t>5</w:t>
      </w:r>
      <w:r>
        <w:rPr>
          <w:rFonts w:hint="eastAsia"/>
        </w:rPr>
        <w:t>分，扣完为止。本项</w:t>
      </w:r>
      <w:r>
        <w:t>7</w:t>
      </w:r>
      <w:r>
        <w:rPr>
          <w:rFonts w:hint="eastAsia"/>
        </w:rPr>
        <w:t>分。</w:t>
      </w:r>
    </w:p>
    <w:p>
      <w:pPr>
        <w:pStyle w:val="57"/>
        <w:ind w:firstLine="420"/>
      </w:pPr>
      <w:r>
        <w:t>d</w:t>
      </w:r>
      <w:r>
        <w:rPr>
          <w:rFonts w:hint="eastAsia"/>
        </w:rPr>
        <w:t>)</w:t>
      </w:r>
      <w:r>
        <w:rPr>
          <w:rFonts w:hint="eastAsia"/>
        </w:rPr>
        <w:tab/>
      </w:r>
      <w:r>
        <w:rPr>
          <w:rFonts w:hint="eastAsia"/>
        </w:rPr>
        <w:t>湖库保洁管护有保障。未落实管护人员的，扣2分；未落实管护经费的，扣2分。本项4分。</w:t>
      </w:r>
    </w:p>
    <w:p>
      <w:pPr>
        <w:pStyle w:val="166"/>
        <w:ind w:left="0"/>
      </w:pPr>
      <w:r>
        <w:rPr>
          <w:rFonts w:hint="eastAsia"/>
        </w:rPr>
        <w:t>公众参与：本项 10分。</w:t>
      </w:r>
    </w:p>
    <w:p>
      <w:pPr>
        <w:pStyle w:val="57"/>
        <w:ind w:firstLine="420"/>
      </w:pPr>
      <w:r>
        <w:rPr>
          <w:rFonts w:hint="eastAsia"/>
        </w:rPr>
        <w:t>a）湖库管护纳入村规民约，提高村民参与度。湖库管护未纳入村规民约的，扣2分。本项2分。</w:t>
      </w:r>
    </w:p>
    <w:p>
      <w:pPr>
        <w:pStyle w:val="57"/>
        <w:ind w:firstLine="420"/>
      </w:pPr>
      <w:r>
        <w:rPr>
          <w:rFonts w:hint="eastAsia"/>
        </w:rPr>
        <w:t>b）加强美丽幸福河湖宣传，对湖库周边村（居）民开展宣传。无任何宣传的，扣4分。本项4分。</w:t>
      </w:r>
    </w:p>
    <w:p>
      <w:pPr>
        <w:pStyle w:val="57"/>
        <w:ind w:firstLine="420"/>
      </w:pPr>
      <w:r>
        <w:rPr>
          <w:rFonts w:hint="eastAsia"/>
        </w:rPr>
        <w:t>c）湖库周边居民满意度较高。满意度≥</w:t>
      </w:r>
      <w:r>
        <w:t>90</w:t>
      </w:r>
      <w:r>
        <w:rPr>
          <w:rFonts w:hint="eastAsia"/>
        </w:rPr>
        <w:t>%的，不扣分；</w:t>
      </w:r>
      <w:r>
        <w:t>80</w:t>
      </w:r>
      <w:r>
        <w:rPr>
          <w:rFonts w:hint="eastAsia"/>
        </w:rPr>
        <w:t>%≤满意度＜</w:t>
      </w:r>
      <w:r>
        <w:t>90</w:t>
      </w:r>
      <w:r>
        <w:rPr>
          <w:rFonts w:hint="eastAsia"/>
        </w:rPr>
        <w:t>%的，扣2分；</w:t>
      </w:r>
      <w:r>
        <w:t>70</w:t>
      </w:r>
      <w:r>
        <w:rPr>
          <w:rFonts w:hint="eastAsia"/>
        </w:rPr>
        <w:t>%≤满意度＜</w:t>
      </w:r>
      <w:r>
        <w:t>80</w:t>
      </w:r>
      <w:r>
        <w:rPr>
          <w:rFonts w:hint="eastAsia"/>
        </w:rPr>
        <w:t>%的，扣</w:t>
      </w:r>
      <w:r>
        <w:t>3</w:t>
      </w:r>
      <w:r>
        <w:rPr>
          <w:rFonts w:hint="eastAsia"/>
        </w:rPr>
        <w:t>分；满意度＜</w:t>
      </w:r>
      <w:r>
        <w:t>70</w:t>
      </w:r>
      <w:r>
        <w:rPr>
          <w:rFonts w:hint="eastAsia"/>
        </w:rPr>
        <w:t>%的，扣</w:t>
      </w:r>
      <w:r>
        <w:t>4</w:t>
      </w:r>
      <w:r>
        <w:rPr>
          <w:rFonts w:hint="eastAsia"/>
        </w:rPr>
        <w:t>分。本项</w:t>
      </w:r>
      <w:r>
        <w:t>4</w:t>
      </w:r>
      <w:r>
        <w:rPr>
          <w:rFonts w:hint="eastAsia"/>
        </w:rPr>
        <w:t>分。</w:t>
      </w:r>
    </w:p>
    <w:p>
      <w:pPr>
        <w:pStyle w:val="180"/>
        <w:ind w:left="374"/>
      </w:pPr>
      <w:r>
        <w:rPr>
          <w:rFonts w:hint="eastAsia"/>
        </w:rPr>
        <w:t>问卷样本数不少于20份。发放对象主要是沿河社区居民、民间河长、义务监督员等。问卷满意度计算方法为：（“答案A”个数+“答案B”个数）/问题总数，满意度取问卷份数平均值。调查表见附录D。</w:t>
      </w:r>
    </w:p>
    <w:p>
      <w:pPr>
        <w:pStyle w:val="105"/>
        <w:spacing w:before="312" w:after="312"/>
        <w:ind w:left="0"/>
      </w:pPr>
      <w:bookmarkStart w:id="80" w:name="_Toc143091927"/>
      <w:bookmarkEnd w:id="80"/>
      <w:bookmarkStart w:id="81" w:name="_Toc146035405"/>
      <w:r>
        <w:rPr>
          <w:rFonts w:hint="eastAsia"/>
        </w:rPr>
        <w:t>评价报告</w:t>
      </w:r>
      <w:bookmarkEnd w:id="81"/>
    </w:p>
    <w:p>
      <w:pPr>
        <w:pStyle w:val="163"/>
      </w:pPr>
      <w:r>
        <w:rPr>
          <w:rFonts w:hint="eastAsia"/>
        </w:rPr>
        <w:t>美丽幸福河湖评价后应出具书面评价报告表，详见附录E。</w:t>
      </w:r>
    </w:p>
    <w:p>
      <w:pPr>
        <w:pStyle w:val="163"/>
      </w:pPr>
      <w:r>
        <w:rPr>
          <w:rFonts w:hint="eastAsia"/>
        </w:rPr>
        <w:t>美丽幸福河湖评价报告的数据资料应真实、准确和完整；用词应正确、规范。</w:t>
      </w:r>
    </w:p>
    <w:p>
      <w:pPr>
        <w:pStyle w:val="163"/>
      </w:pPr>
      <w:r>
        <w:rPr>
          <w:rFonts w:hint="eastAsia"/>
        </w:rPr>
        <w:t>美丽幸福河湖评价报告应包括：</w:t>
      </w:r>
    </w:p>
    <w:p>
      <w:pPr>
        <w:pStyle w:val="57"/>
        <w:ind w:firstLine="420"/>
      </w:pPr>
      <w:r>
        <w:rPr>
          <w:rFonts w:hint="eastAsia"/>
        </w:rPr>
        <w:t>a）河湖概况；</w:t>
      </w:r>
    </w:p>
    <w:p>
      <w:pPr>
        <w:pStyle w:val="57"/>
        <w:ind w:firstLine="420"/>
      </w:pPr>
      <w:r>
        <w:rPr>
          <w:rFonts w:hint="eastAsia"/>
        </w:rPr>
        <w:t>b）评价依据；</w:t>
      </w:r>
    </w:p>
    <w:p>
      <w:pPr>
        <w:pStyle w:val="57"/>
        <w:ind w:firstLine="420"/>
      </w:pPr>
      <w:r>
        <w:rPr>
          <w:rFonts w:hint="eastAsia"/>
        </w:rPr>
        <w:t>c）评价结论；</w:t>
      </w:r>
    </w:p>
    <w:p>
      <w:pPr>
        <w:pStyle w:val="57"/>
        <w:ind w:firstLine="420"/>
      </w:pPr>
      <w:r>
        <w:rPr>
          <w:rFonts w:hint="eastAsia"/>
        </w:rPr>
        <w:t>d）存在问题；</w:t>
      </w:r>
    </w:p>
    <w:p>
      <w:pPr>
        <w:pStyle w:val="57"/>
        <w:ind w:firstLine="420"/>
      </w:pPr>
      <w:r>
        <w:rPr>
          <w:rFonts w:hint="eastAsia"/>
        </w:rPr>
        <w:t>e）相关建议；</w:t>
      </w:r>
    </w:p>
    <w:p>
      <w:pPr>
        <w:pStyle w:val="57"/>
        <w:ind w:firstLine="420"/>
      </w:pPr>
      <w:r>
        <w:rPr>
          <w:rFonts w:hint="eastAsia"/>
        </w:rPr>
        <w:t>f) 有关附录。</w:t>
      </w:r>
    </w:p>
    <w:p>
      <w:pPr>
        <w:pStyle w:val="57"/>
        <w:ind w:firstLine="420"/>
      </w:pPr>
    </w:p>
    <w:p>
      <w:pPr>
        <w:pStyle w:val="57"/>
        <w:ind w:firstLine="420"/>
        <w:sectPr>
          <w:pgSz w:w="11906" w:h="16838"/>
          <w:pgMar w:top="2410" w:right="1134" w:bottom="1134" w:left="1134" w:header="1418" w:footer="1134" w:gutter="284"/>
          <w:pgNumType w:start="1"/>
          <w:cols w:space="425" w:num="1"/>
          <w:formProt w:val="0"/>
          <w:docGrid w:type="lines" w:linePitch="312" w:charSpace="0"/>
        </w:sectPr>
      </w:pPr>
    </w:p>
    <w:p>
      <w:pPr>
        <w:pStyle w:val="199"/>
      </w:pPr>
      <w:r>
        <w:br w:type="page"/>
      </w:r>
      <w:bookmarkEnd w:id="24"/>
      <w:bookmarkStart w:id="82" w:name="BookMark5"/>
    </w:p>
    <w:p>
      <w:pPr>
        <w:pStyle w:val="200"/>
        <w:rPr>
          <w:vanish w:val="0"/>
        </w:rPr>
      </w:pPr>
    </w:p>
    <w:p>
      <w:pPr>
        <w:pStyle w:val="77"/>
        <w:spacing w:before="78" w:after="156"/>
        <w:ind w:left="0"/>
      </w:pPr>
      <w:r>
        <w:br w:type="textWrapping"/>
      </w:r>
      <w:bookmarkStart w:id="83" w:name="_Toc146035406"/>
      <w:r>
        <w:rPr>
          <w:rFonts w:hint="eastAsia"/>
        </w:rPr>
        <w:t>（规范性）</w:t>
      </w:r>
      <w:r>
        <w:br w:type="textWrapping"/>
      </w:r>
      <w:r>
        <w:rPr>
          <w:rFonts w:hint="eastAsia"/>
          <w:lang w:val="en-US" w:eastAsia="zh-CN"/>
        </w:rPr>
        <w:t>广西</w:t>
      </w:r>
      <w:r>
        <w:rPr>
          <w:rFonts w:hint="eastAsia"/>
        </w:rPr>
        <w:t>美丽幸福河湖评价标准表</w:t>
      </w:r>
      <w:bookmarkEnd w:id="83"/>
    </w:p>
    <w:p>
      <w:pPr>
        <w:pStyle w:val="78"/>
        <w:spacing w:before="156" w:after="156"/>
      </w:pPr>
      <w:r>
        <w:rPr>
          <w:rFonts w:hint="eastAsia"/>
        </w:rPr>
        <w:t>适用城区段河流</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1"/>
        <w:gridCol w:w="1318"/>
        <w:gridCol w:w="878"/>
        <w:gridCol w:w="4395"/>
        <w:gridCol w:w="878"/>
        <w:gridCol w:w="878"/>
        <w:gridCol w:w="4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398"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评价内容</w:t>
            </w:r>
          </w:p>
        </w:tc>
        <w:tc>
          <w:tcPr>
            <w:tcW w:w="476"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评价指标</w:t>
            </w:r>
          </w:p>
        </w:tc>
        <w:tc>
          <w:tcPr>
            <w:tcW w:w="317"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1587"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w:t>
            </w:r>
          </w:p>
        </w:tc>
        <w:tc>
          <w:tcPr>
            <w:tcW w:w="317"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分值</w:t>
            </w:r>
          </w:p>
        </w:tc>
        <w:tc>
          <w:tcPr>
            <w:tcW w:w="317"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w:t>
            </w:r>
          </w:p>
        </w:tc>
        <w:tc>
          <w:tcPr>
            <w:tcW w:w="1587"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98"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水安全</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(22分）</w:t>
            </w:r>
          </w:p>
        </w:tc>
        <w:tc>
          <w:tcPr>
            <w:tcW w:w="476"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防洪排涝</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w:t>
            </w:r>
          </w:p>
        </w:tc>
        <w:tc>
          <w:tcPr>
            <w:tcW w:w="1587"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防洪、排涝标准符合流域或区域防洪规划要求，不达标的，扣6分；河道管理范围内建设桥梁、码头和其他拦河、跨河、临河建筑物、构筑物，铺设跨河管道、电缆等未经许可的涉水工程，发现一处扣2分，扣完为止。</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317" w:type="pct"/>
            <w:vAlign w:val="center"/>
          </w:tcPr>
          <w:p>
            <w:pPr>
              <w:widowControl/>
              <w:adjustRightInd/>
              <w:spacing w:line="240" w:lineRule="auto"/>
              <w:jc w:val="center"/>
              <w:rPr>
                <w:rFonts w:ascii="宋体" w:hAnsi="宋体" w:cs="宋体"/>
                <w:kern w:val="0"/>
                <w:sz w:val="18"/>
                <w:szCs w:val="18"/>
              </w:rPr>
            </w:pPr>
          </w:p>
        </w:tc>
        <w:tc>
          <w:tcPr>
            <w:tcW w:w="1587"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2" w:hRule="atLeast"/>
          <w:jc w:val="center"/>
        </w:trPr>
        <w:tc>
          <w:tcPr>
            <w:tcW w:w="398" w:type="pct"/>
            <w:vMerge w:val="continue"/>
            <w:shd w:val="clear" w:color="auto" w:fill="auto"/>
            <w:vAlign w:val="center"/>
          </w:tcPr>
          <w:p>
            <w:pPr>
              <w:spacing w:line="240" w:lineRule="auto"/>
              <w:jc w:val="left"/>
              <w:rPr>
                <w:rFonts w:ascii="宋体" w:hAnsi="宋体" w:cs="宋体"/>
                <w:b/>
                <w:bCs/>
                <w:kern w:val="0"/>
                <w:sz w:val="18"/>
                <w:szCs w:val="18"/>
              </w:rPr>
            </w:pPr>
          </w:p>
        </w:tc>
        <w:tc>
          <w:tcPr>
            <w:tcW w:w="476"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工程运行</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587"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水利工程安全运行，堤防、水闸、泵站、拦河坝以及水电站等工程设施管护良好、运行正常。工程存在风险隐患问题的，发现一处一般问题扣1分；发现一处较重及以上问题扣2分；扣完为止。</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317" w:type="pct"/>
            <w:vAlign w:val="center"/>
          </w:tcPr>
          <w:p>
            <w:pPr>
              <w:widowControl/>
              <w:adjustRightInd/>
              <w:spacing w:line="240" w:lineRule="auto"/>
              <w:jc w:val="center"/>
              <w:rPr>
                <w:rFonts w:ascii="宋体" w:hAnsi="宋体" w:cs="宋体"/>
                <w:kern w:val="0"/>
                <w:sz w:val="18"/>
                <w:szCs w:val="18"/>
              </w:rPr>
            </w:pPr>
          </w:p>
        </w:tc>
        <w:tc>
          <w:tcPr>
            <w:tcW w:w="1587" w:type="pct"/>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参考《水利部办公厅关于印发水利工程运行管理监督检查办法（试行）等5个监督检查办法问题清单（2020年版）的通知》（办监督〔2020〕124号）。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98" w:type="pct"/>
            <w:vMerge w:val="continue"/>
            <w:shd w:val="clear" w:color="auto" w:fill="auto"/>
            <w:vAlign w:val="center"/>
          </w:tcPr>
          <w:p>
            <w:pPr>
              <w:spacing w:line="240" w:lineRule="auto"/>
              <w:jc w:val="left"/>
              <w:rPr>
                <w:rFonts w:ascii="宋体" w:hAnsi="宋体" w:cs="宋体"/>
                <w:b/>
                <w:bCs/>
                <w:kern w:val="0"/>
                <w:sz w:val="18"/>
                <w:szCs w:val="18"/>
              </w:rPr>
            </w:pPr>
          </w:p>
        </w:tc>
        <w:tc>
          <w:tcPr>
            <w:tcW w:w="476"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岸线稳定</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1587"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河流岸坡和河势稳定，行洪通畅。发现一处塌岸、废弃涉水建筑物、明显淤塞等问题的，扣1分，扣完为止。</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317" w:type="pct"/>
            <w:vAlign w:val="center"/>
          </w:tcPr>
          <w:p>
            <w:pPr>
              <w:widowControl/>
              <w:adjustRightInd/>
              <w:spacing w:line="240" w:lineRule="auto"/>
              <w:jc w:val="center"/>
              <w:rPr>
                <w:rFonts w:ascii="宋体" w:hAnsi="宋体" w:cs="宋体"/>
                <w:kern w:val="0"/>
                <w:sz w:val="18"/>
                <w:szCs w:val="18"/>
              </w:rPr>
            </w:pPr>
          </w:p>
        </w:tc>
        <w:tc>
          <w:tcPr>
            <w:tcW w:w="1587"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98" w:type="pct"/>
            <w:vMerge w:val="continue"/>
            <w:shd w:val="clear" w:color="auto" w:fill="auto"/>
            <w:vAlign w:val="center"/>
          </w:tcPr>
          <w:p>
            <w:pPr>
              <w:spacing w:line="240" w:lineRule="auto"/>
              <w:jc w:val="left"/>
              <w:rPr>
                <w:rFonts w:ascii="宋体" w:hAnsi="宋体" w:cs="宋体"/>
                <w:b/>
                <w:bCs/>
                <w:kern w:val="0"/>
                <w:sz w:val="18"/>
                <w:szCs w:val="18"/>
              </w:rPr>
            </w:pPr>
          </w:p>
        </w:tc>
        <w:tc>
          <w:tcPr>
            <w:tcW w:w="476"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安全管理</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587"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在河流险工险段设置安全警示标识。发现一处未按要求设置的，扣1分，扣完为止。</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317" w:type="pct"/>
            <w:vAlign w:val="center"/>
          </w:tcPr>
          <w:p>
            <w:pPr>
              <w:widowControl/>
              <w:adjustRightInd/>
              <w:spacing w:line="240" w:lineRule="auto"/>
              <w:jc w:val="center"/>
              <w:rPr>
                <w:rFonts w:ascii="宋体" w:hAnsi="宋体" w:cs="宋体"/>
                <w:kern w:val="0"/>
                <w:sz w:val="18"/>
                <w:szCs w:val="18"/>
              </w:rPr>
            </w:pPr>
          </w:p>
        </w:tc>
        <w:tc>
          <w:tcPr>
            <w:tcW w:w="1587"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98"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476" w:type="pct"/>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5</w:t>
            </w:r>
          </w:p>
        </w:tc>
        <w:tc>
          <w:tcPr>
            <w:tcW w:w="1587"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在旅游开发、水上活动、人类活动密集、学校附近等河湖区域设置安全警示标识，配备必要的安全救生设施设备。发现一处未按要求设置的，扣1分，扣完为止。</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317" w:type="pct"/>
            <w:vAlign w:val="center"/>
          </w:tcPr>
          <w:p>
            <w:pPr>
              <w:widowControl/>
              <w:adjustRightInd/>
              <w:spacing w:line="240" w:lineRule="auto"/>
              <w:jc w:val="center"/>
              <w:rPr>
                <w:rFonts w:ascii="宋体" w:hAnsi="宋体" w:cs="宋体"/>
                <w:kern w:val="0"/>
                <w:sz w:val="18"/>
                <w:szCs w:val="18"/>
              </w:rPr>
            </w:pPr>
          </w:p>
        </w:tc>
        <w:tc>
          <w:tcPr>
            <w:tcW w:w="1587"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98"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水资源</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(12分）</w:t>
            </w:r>
          </w:p>
        </w:tc>
        <w:tc>
          <w:tcPr>
            <w:tcW w:w="476"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生态流量</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（水位）</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1587"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评价河段存在水电站或上游水电站对评价河段造成生态影响的，应保障生态流量泄放。无生态流量目标或无生态流量泄放措施的，扣4分；有生态流量目标，不按目标泄放的，扣3分。</w:t>
            </w:r>
          </w:p>
        </w:tc>
        <w:tc>
          <w:tcPr>
            <w:tcW w:w="317"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317" w:type="pct"/>
            <w:vAlign w:val="center"/>
          </w:tcPr>
          <w:p>
            <w:pPr>
              <w:widowControl/>
              <w:adjustRightInd/>
              <w:spacing w:line="240" w:lineRule="auto"/>
              <w:jc w:val="center"/>
              <w:rPr>
                <w:rFonts w:ascii="宋体" w:hAnsi="宋体" w:cs="宋体"/>
                <w:kern w:val="0"/>
                <w:sz w:val="18"/>
                <w:szCs w:val="18"/>
              </w:rPr>
            </w:pPr>
          </w:p>
        </w:tc>
        <w:tc>
          <w:tcPr>
            <w:tcW w:w="1587" w:type="pct"/>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生态流量目标一般可从设计文件、环评文件、主管部门生态流量批复文件等文件获取。</w:t>
            </w:r>
          </w:p>
        </w:tc>
      </w:tr>
    </w:tbl>
    <w:p>
      <w:pPr>
        <w:pStyle w:val="57"/>
        <w:spacing w:beforeLines="50" w:afterLines="50"/>
        <w:ind w:firstLine="0" w:firstLineChars="0"/>
        <w:jc w:val="center"/>
        <w:rPr>
          <w:rFonts w:ascii="黑体" w:hAnsi="黑体" w:eastAsia="黑体"/>
        </w:rPr>
      </w:pPr>
    </w:p>
    <w:p>
      <w:pPr>
        <w:pStyle w:val="57"/>
        <w:spacing w:beforeLines="50" w:afterLines="50"/>
        <w:ind w:firstLine="0" w:firstLineChars="0"/>
        <w:jc w:val="center"/>
        <w:rPr>
          <w:rFonts w:ascii="黑体" w:hAnsi="黑体" w:eastAsia="黑体"/>
        </w:rPr>
      </w:pPr>
      <w:r>
        <w:rPr>
          <w:rFonts w:hint="eastAsia" w:ascii="黑体" w:hAnsi="黑体" w:eastAsia="黑体"/>
        </w:rPr>
        <w:t>表A.1  适用城区段河流</w:t>
      </w:r>
      <w:r>
        <w:rPr>
          <w:rFonts w:hint="eastAsia" w:hAnsi="宋体"/>
        </w:rPr>
        <w:t>（续）</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9"/>
        <w:gridCol w:w="1362"/>
        <w:gridCol w:w="880"/>
        <w:gridCol w:w="4266"/>
        <w:gridCol w:w="1138"/>
        <w:gridCol w:w="1279"/>
        <w:gridCol w:w="4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314"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评价内容</w:t>
            </w: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评价指标</w:t>
            </w:r>
          </w:p>
        </w:tc>
        <w:tc>
          <w:tcPr>
            <w:tcW w:w="318"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1541"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w:t>
            </w:r>
          </w:p>
        </w:tc>
        <w:tc>
          <w:tcPr>
            <w:tcW w:w="411"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分值</w:t>
            </w:r>
          </w:p>
        </w:tc>
        <w:tc>
          <w:tcPr>
            <w:tcW w:w="46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w:t>
            </w:r>
          </w:p>
        </w:tc>
        <w:tc>
          <w:tcPr>
            <w:tcW w:w="146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水资源</w:t>
            </w:r>
          </w:p>
          <w:p>
            <w:pPr>
              <w:jc w:val="center"/>
              <w:rPr>
                <w:rFonts w:ascii="宋体" w:hAnsi="宋体" w:cs="宋体"/>
                <w:b/>
                <w:bCs/>
                <w:kern w:val="0"/>
                <w:sz w:val="18"/>
                <w:szCs w:val="18"/>
              </w:rPr>
            </w:pPr>
            <w:r>
              <w:rPr>
                <w:rFonts w:hint="eastAsia" w:ascii="宋体" w:hAnsi="宋体" w:cs="宋体"/>
                <w:b/>
                <w:bCs/>
                <w:kern w:val="0"/>
                <w:sz w:val="18"/>
                <w:szCs w:val="18"/>
              </w:rPr>
              <w:t>(12分）</w:t>
            </w: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生态流量</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（水位）</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7</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评价河段存在生态流量考核断面的，评价年度内断面生态水量满足程度达到考核目标要求。未达到考核目标要求的，扣1分。</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w:t>
            </w:r>
          </w:p>
        </w:tc>
        <w:tc>
          <w:tcPr>
            <w:tcW w:w="462" w:type="pct"/>
            <w:vAlign w:val="center"/>
          </w:tcPr>
          <w:p>
            <w:pPr>
              <w:widowControl/>
              <w:adjustRightInd/>
              <w:spacing w:line="240" w:lineRule="auto"/>
              <w:jc w:val="center"/>
              <w:rPr>
                <w:rFonts w:ascii="宋体" w:hAnsi="宋体" w:cs="宋体"/>
                <w:kern w:val="0"/>
                <w:sz w:val="18"/>
                <w:szCs w:val="18"/>
              </w:rPr>
            </w:pPr>
          </w:p>
        </w:tc>
        <w:tc>
          <w:tcPr>
            <w:tcW w:w="1462" w:type="pct"/>
            <w:vAlign w:val="center"/>
          </w:tcPr>
          <w:p>
            <w:pPr>
              <w:widowControl/>
              <w:adjustRightInd/>
              <w:spacing w:line="240" w:lineRule="auto"/>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生态流量</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（水位）</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8</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保障河流生态需水量，防止人为造成河段减水严重。L=平均裸露河槽宽度/平均河槽宽度≥0.8的，扣3分；0.8＞L≥0.5的，扣2分；0.5＞L≥0.3的，扣1分；0.3＞L的，不扣分。</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462" w:type="pct"/>
            <w:vAlign w:val="center"/>
          </w:tcPr>
          <w:p>
            <w:pPr>
              <w:widowControl/>
              <w:adjustRightInd/>
              <w:spacing w:line="240" w:lineRule="auto"/>
              <w:jc w:val="center"/>
              <w:rPr>
                <w:rFonts w:ascii="宋体" w:hAnsi="宋体" w:cs="宋体"/>
                <w:kern w:val="0"/>
                <w:sz w:val="18"/>
                <w:szCs w:val="18"/>
              </w:rPr>
            </w:pPr>
          </w:p>
        </w:tc>
        <w:tc>
          <w:tcPr>
            <w:tcW w:w="1462" w:type="pct"/>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1.严重减水河段：因水利</w:t>
            </w:r>
            <w:r>
              <w:rPr>
                <w:rFonts w:hint="eastAsia"/>
              </w:rPr>
              <w:t>水电</w:t>
            </w:r>
            <w:r>
              <w:rPr>
                <w:rFonts w:ascii="宋体" w:hAnsi="宋体"/>
                <w:kern w:val="0"/>
                <w:sz w:val="18"/>
                <w:szCs w:val="18"/>
              </w:rPr>
              <w:t>工程建设等人为因素，造成下游河段水量明显减少，水位明显下降，河槽出现明显长期裸露</w:t>
            </w:r>
            <w:r>
              <w:rPr>
                <w:rFonts w:hint="eastAsia" w:ascii="宋体" w:hAnsi="宋体"/>
                <w:kern w:val="0"/>
                <w:sz w:val="18"/>
                <w:szCs w:val="18"/>
              </w:rPr>
              <w:t>的河段</w:t>
            </w:r>
            <w:r>
              <w:rPr>
                <w:rFonts w:ascii="宋体" w:hAnsi="宋体"/>
                <w:kern w:val="0"/>
                <w:sz w:val="18"/>
                <w:szCs w:val="18"/>
              </w:rPr>
              <w:t>；</w:t>
            </w:r>
            <w:r>
              <w:rPr>
                <w:rFonts w:ascii="宋体" w:hAnsi="宋体"/>
                <w:kern w:val="0"/>
                <w:sz w:val="18"/>
                <w:szCs w:val="18"/>
              </w:rPr>
              <w:br w:type="textWrapping"/>
            </w:r>
            <w:r>
              <w:rPr>
                <w:rFonts w:ascii="宋体" w:hAnsi="宋体"/>
                <w:kern w:val="0"/>
                <w:sz w:val="18"/>
                <w:szCs w:val="18"/>
              </w:rPr>
              <w:t>2.河槽宽度：左右岸临水边界线之间的宽度（临水边界线</w:t>
            </w:r>
            <w:r>
              <w:rPr>
                <w:rFonts w:hint="eastAsia" w:ascii="宋体" w:hAnsi="宋体"/>
                <w:kern w:val="0"/>
                <w:sz w:val="18"/>
                <w:szCs w:val="18"/>
              </w:rPr>
              <w:t>的</w:t>
            </w:r>
            <w:r>
              <w:rPr>
                <w:rFonts w:ascii="宋体" w:hAnsi="宋体"/>
                <w:kern w:val="0"/>
                <w:sz w:val="18"/>
                <w:szCs w:val="18"/>
              </w:rPr>
              <w:t>确定参照水利部2019年印发的《河湖岸线保护与利用规划编制指南（试行</w:t>
            </w:r>
            <w:r>
              <w:rPr>
                <w:rFonts w:hint="eastAsia" w:ascii="宋体" w:hAnsi="宋体"/>
                <w:kern w:val="0"/>
                <w:sz w:val="18"/>
                <w:szCs w:val="18"/>
              </w:rPr>
              <w:t>）</w:t>
            </w:r>
            <w:r>
              <w:rPr>
                <w:rFonts w:ascii="宋体" w:hAnsi="宋体"/>
                <w:kern w:val="0"/>
                <w:sz w:val="18"/>
                <w:szCs w:val="18"/>
              </w:rPr>
              <w:t>》）；</w:t>
            </w:r>
            <w:r>
              <w:rPr>
                <w:rFonts w:ascii="宋体" w:hAnsi="宋体"/>
                <w:kern w:val="0"/>
                <w:sz w:val="18"/>
                <w:szCs w:val="18"/>
              </w:rPr>
              <w:br w:type="textWrapping"/>
            </w:r>
            <w:r>
              <w:rPr>
                <w:rFonts w:ascii="宋体" w:hAnsi="宋体"/>
                <w:kern w:val="0"/>
                <w:sz w:val="18"/>
                <w:szCs w:val="18"/>
              </w:rPr>
              <w:t>3.可借助卫星图、现场调研、已有资料等手段，利用代表性减水河段估算。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取水规范</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9</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河流取水口依法设置，管理规范，符合相关技术标准。存在非法设置取水口、超标取水等非法取水的，发现一处扣4分。</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2"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水生态</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(16分）</w:t>
            </w:r>
          </w:p>
          <w:p>
            <w:pPr>
              <w:spacing w:line="240" w:lineRule="auto"/>
              <w:jc w:val="left"/>
              <w:rPr>
                <w:rFonts w:ascii="宋体" w:hAnsi="宋体" w:cs="宋体"/>
                <w:b/>
                <w:bCs/>
                <w:kern w:val="0"/>
                <w:sz w:val="18"/>
                <w:szCs w:val="18"/>
              </w:rPr>
            </w:pP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河流连通</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10</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河流水系连通性和流动性好。连通指数n＞1的，扣4分；1≥n＞0.5的，扣2分；0.5≥n＞0的，扣1分；n=0的，不扣分。</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2" w:type="pct"/>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1.河流连通指数n=评价河段内影响河流连通性的建筑物或设施的数量</w:t>
            </w:r>
            <w:r>
              <w:rPr>
                <w:rFonts w:hint="eastAsia" w:ascii="宋体" w:hAnsi="宋体"/>
                <w:kern w:val="0"/>
                <w:sz w:val="18"/>
                <w:szCs w:val="18"/>
              </w:rPr>
              <w:t>（</w:t>
            </w:r>
            <w:r>
              <w:rPr>
                <w:rFonts w:ascii="宋体" w:hAnsi="宋体"/>
                <w:kern w:val="0"/>
                <w:sz w:val="18"/>
                <w:szCs w:val="18"/>
              </w:rPr>
              <w:t>单位：个）/评价河段长度(单位：km)；</w:t>
            </w:r>
            <w:r>
              <w:rPr>
                <w:rFonts w:ascii="宋体" w:hAnsi="宋体"/>
                <w:kern w:val="0"/>
                <w:sz w:val="18"/>
                <w:szCs w:val="18"/>
              </w:rPr>
              <w:br w:type="textWrapping"/>
            </w:r>
            <w:r>
              <w:rPr>
                <w:rFonts w:ascii="宋体" w:hAnsi="宋体"/>
                <w:kern w:val="0"/>
                <w:sz w:val="18"/>
                <w:szCs w:val="18"/>
              </w:rPr>
              <w:t>2.影响河流连通性的建筑物或设施主要指影响鱼类洄游的电站、大坝、水闸等，有过鱼设施且能正常运行的不在统计范围内。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8" w:hRule="atLeast"/>
          <w:jc w:val="center"/>
        </w:trPr>
        <w:tc>
          <w:tcPr>
            <w:tcW w:w="314" w:type="pct"/>
            <w:vMerge w:val="continue"/>
            <w:shd w:val="clear" w:color="auto" w:fill="auto"/>
            <w:vAlign w:val="center"/>
          </w:tcPr>
          <w:p>
            <w:pPr>
              <w:spacing w:line="240" w:lineRule="auto"/>
              <w:jc w:val="left"/>
              <w:rPr>
                <w:rFonts w:ascii="宋体" w:hAnsi="宋体" w:cs="宋体"/>
                <w:b/>
                <w:bCs/>
                <w:kern w:val="0"/>
                <w:sz w:val="18"/>
                <w:szCs w:val="18"/>
              </w:rPr>
            </w:pPr>
          </w:p>
        </w:tc>
        <w:tc>
          <w:tcPr>
            <w:tcW w:w="492"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自然生态</w:t>
            </w:r>
          </w:p>
          <w:p>
            <w:pPr>
              <w:spacing w:line="240" w:lineRule="auto"/>
              <w:jc w:val="center"/>
              <w:rPr>
                <w:rFonts w:ascii="宋体" w:hAnsi="宋体" w:cs="宋体"/>
                <w:b/>
                <w:bCs/>
                <w:kern w:val="0"/>
                <w:sz w:val="18"/>
                <w:szCs w:val="18"/>
              </w:rPr>
            </w:pP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11</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河流整治措施以生态治理措施为主，有效恢复河流自然生态环境，整治河段生态岸坡长度比例达80%及以上。每低10个百分点扣0.5分，扣完为止。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2" w:type="pct"/>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生态型护岸：在传统护岸技术基础上，利用活体植物和天然材料作为护岸材料，既满足岸坡防护要求，又能为生物提供良好栖息地条件、改善自然景观的护岸结构。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spacing w:line="240" w:lineRule="auto"/>
              <w:jc w:val="left"/>
              <w:rPr>
                <w:rFonts w:ascii="宋体" w:hAnsi="宋体" w:cs="宋体"/>
                <w:b/>
                <w:bCs/>
                <w:kern w:val="0"/>
                <w:sz w:val="18"/>
                <w:szCs w:val="18"/>
              </w:rPr>
            </w:pPr>
          </w:p>
        </w:tc>
        <w:tc>
          <w:tcPr>
            <w:tcW w:w="492"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12</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河岸带生态保护良好。河岸带存在植被破坏、非法开垦种植等破坏生态的，发现一处扣1分，扣完为止。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2" w:type="pct"/>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河岸带：河流临水边界线与外沿控制线之间范围。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水生物保护</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13</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水生生物保护良好。存在非法捕捞、电、毒、炸鱼等现象的，发现一起扣2分；存在有害外来入侵物种的，发现一种扣1分；扣完为止。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2" w:type="pct"/>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有害外来入侵物种</w:t>
            </w:r>
            <w:r>
              <w:rPr>
                <w:rFonts w:hint="eastAsia" w:ascii="宋体" w:hAnsi="宋体"/>
                <w:kern w:val="0"/>
                <w:sz w:val="18"/>
                <w:szCs w:val="18"/>
              </w:rPr>
              <w:t>参见</w:t>
            </w:r>
            <w:r>
              <w:rPr>
                <w:rFonts w:ascii="宋体" w:hAnsi="宋体"/>
                <w:kern w:val="0"/>
                <w:sz w:val="18"/>
                <w:szCs w:val="18"/>
              </w:rPr>
              <w:t>生态环境部</w:t>
            </w:r>
            <w:r>
              <w:rPr>
                <w:rFonts w:hint="eastAsia" w:ascii="宋体" w:hAnsi="宋体"/>
                <w:kern w:val="0"/>
                <w:sz w:val="18"/>
                <w:szCs w:val="18"/>
              </w:rPr>
              <w:t>发布的有害外来入侵物种名单。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水环境</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(16分）</w:t>
            </w: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河流整洁</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14</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河流清洁卫生，河流水面漂浮物（垃圾、油污、规模性水葫芦、蓝藻等）及时清理。发现一处问题扣1分，扣完为止。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2" w:type="pct"/>
            <w:vAlign w:val="center"/>
          </w:tcPr>
          <w:p>
            <w:pPr>
              <w:widowControl/>
              <w:adjustRightInd/>
              <w:spacing w:line="240" w:lineRule="auto"/>
              <w:jc w:val="left"/>
              <w:rPr>
                <w:rFonts w:ascii="宋体" w:hAnsi="宋体" w:cs="宋体"/>
                <w:kern w:val="0"/>
                <w:sz w:val="18"/>
                <w:szCs w:val="18"/>
              </w:rPr>
            </w:pPr>
          </w:p>
        </w:tc>
      </w:tr>
    </w:tbl>
    <w:p>
      <w:pPr>
        <w:pStyle w:val="57"/>
        <w:ind w:firstLine="420"/>
      </w:pPr>
    </w:p>
    <w:p>
      <w:pPr>
        <w:pStyle w:val="57"/>
        <w:spacing w:beforeLines="50" w:afterLines="50"/>
        <w:ind w:firstLine="0" w:firstLineChars="0"/>
        <w:jc w:val="center"/>
        <w:rPr>
          <w:rFonts w:ascii="黑体" w:hAnsi="黑体" w:eastAsia="黑体"/>
        </w:rPr>
      </w:pPr>
      <w:r>
        <w:rPr>
          <w:rFonts w:hint="eastAsia" w:ascii="黑体" w:hAnsi="黑体" w:eastAsia="黑体"/>
        </w:rPr>
        <w:t>表A.1  适用城区段河流</w:t>
      </w:r>
      <w:r>
        <w:rPr>
          <w:rFonts w:hint="eastAsia" w:hAnsi="宋体"/>
        </w:rPr>
        <w:t>（续）</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9"/>
        <w:gridCol w:w="1362"/>
        <w:gridCol w:w="880"/>
        <w:gridCol w:w="4266"/>
        <w:gridCol w:w="1138"/>
        <w:gridCol w:w="1279"/>
        <w:gridCol w:w="4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314"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评价内容</w:t>
            </w: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评价指标</w:t>
            </w:r>
          </w:p>
        </w:tc>
        <w:tc>
          <w:tcPr>
            <w:tcW w:w="318"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1541"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w:t>
            </w:r>
          </w:p>
        </w:tc>
        <w:tc>
          <w:tcPr>
            <w:tcW w:w="411"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分值</w:t>
            </w:r>
          </w:p>
        </w:tc>
        <w:tc>
          <w:tcPr>
            <w:tcW w:w="46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w:t>
            </w:r>
          </w:p>
        </w:tc>
        <w:tc>
          <w:tcPr>
            <w:tcW w:w="1463"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水环境</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(16分）</w:t>
            </w: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河流整洁</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15</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河流管理范围线内或管理范围线外对河流环境构成明显隐患的区域不得设置集中垃圾堆放点，发现一处问题扣4分；不得堆放废弃物，发现一处问题扣1分，扣完为止。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spacing w:line="240" w:lineRule="auto"/>
              <w:jc w:val="left"/>
              <w:rPr>
                <w:rFonts w:ascii="宋体" w:hAnsi="宋体" w:cs="宋体"/>
                <w:b/>
                <w:bCs/>
                <w:kern w:val="0"/>
                <w:sz w:val="18"/>
                <w:szCs w:val="18"/>
              </w:rPr>
            </w:pP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排水规范</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16</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排污口依法设置，管理规范，符合相关技术标准。存在非法设置排污口和偷排、超排等非法排污的，发现一处扣4分。评价河段及起点上游1km内存在排污口，排污口形成的污水带长度大于50m，或宽度大于1/20河宽的，发现一处扣4分；排污口形成的污水带长度小于50m，或宽度小于1/20河宽的，发现一处扣2分；无污水带的不扣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492" w:type="pc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人水和谐</w:t>
            </w: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17</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在城区人类活动密集区域合理设置滨水休闲区，在不影响安全的前提下，合理依法布置亲水便民配套设施，满足居民亲水需求。发现一处妨碍行洪安全的亲水设施，扣1分，扣完为止。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水文化</w:t>
            </w:r>
          </w:p>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（6分）</w:t>
            </w:r>
          </w:p>
        </w:tc>
        <w:tc>
          <w:tcPr>
            <w:tcW w:w="492"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文化保护</w:t>
            </w:r>
          </w:p>
          <w:p>
            <w:pPr>
              <w:spacing w:line="240" w:lineRule="auto"/>
              <w:jc w:val="center"/>
              <w:rPr>
                <w:rFonts w:ascii="宋体" w:hAnsi="宋体" w:cs="宋体"/>
                <w:b/>
                <w:bCs/>
                <w:kern w:val="0"/>
                <w:sz w:val="18"/>
                <w:szCs w:val="18"/>
              </w:rPr>
            </w:pP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18</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河流及其沿岸历史文化古迹（古桥、古堰、古码头、古闸、古堤、古河道、古塘、古井、古建筑等）留存保护良好，得到有效保护和利用。有文化古迹，未有效保护的，扣3分。</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492"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19</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通过水文化相关活动或利用已有堤、堰、闸、桥等载体展示河流水工程文化、治水文化等。无水文化建设的，扣3分。</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水文化：指以水和水事活动为载体人们创造的一切与水有关文化现象的总称，包含了水利文化的全部内容。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水管理（28分）</w:t>
            </w:r>
          </w:p>
          <w:p>
            <w:pPr>
              <w:spacing w:line="240" w:lineRule="auto"/>
              <w:jc w:val="center"/>
              <w:rPr>
                <w:rFonts w:ascii="宋体" w:hAnsi="宋体" w:cs="宋体"/>
                <w:b/>
                <w:bCs/>
                <w:kern w:val="0"/>
                <w:sz w:val="18"/>
                <w:szCs w:val="18"/>
              </w:rPr>
            </w:pPr>
          </w:p>
        </w:tc>
        <w:tc>
          <w:tcPr>
            <w:tcW w:w="492" w:type="pct"/>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河流管控</w:t>
            </w:r>
          </w:p>
          <w:p>
            <w:pPr>
              <w:spacing w:line="240" w:lineRule="auto"/>
              <w:jc w:val="center"/>
              <w:rPr>
                <w:rFonts w:ascii="宋体" w:hAnsi="宋体" w:cs="宋体"/>
                <w:b/>
                <w:bCs/>
                <w:kern w:val="0"/>
                <w:sz w:val="18"/>
                <w:szCs w:val="18"/>
              </w:rPr>
            </w:pP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20</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河流按标准合理布设界桩、公示牌。未按照规定合理设置界桩的，扣2分；未按照规定合理布设河长公示牌的，扣2分；界桩、公示牌明显损坏的、信息未更新的，发现一处扣1分，扣完为止。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spacing w:line="240" w:lineRule="auto"/>
              <w:jc w:val="left"/>
              <w:rPr>
                <w:rFonts w:ascii="宋体" w:hAnsi="宋体" w:cs="宋体"/>
                <w:b/>
                <w:bCs/>
                <w:kern w:val="0"/>
                <w:sz w:val="18"/>
                <w:szCs w:val="18"/>
              </w:rPr>
            </w:pPr>
          </w:p>
        </w:tc>
        <w:tc>
          <w:tcPr>
            <w:tcW w:w="492" w:type="pct"/>
            <w:vMerge w:val="continue"/>
            <w:shd w:val="clear" w:color="auto" w:fill="auto"/>
            <w:vAlign w:val="center"/>
          </w:tcPr>
          <w:p>
            <w:pPr>
              <w:spacing w:line="240" w:lineRule="auto"/>
              <w:jc w:val="left"/>
              <w:rPr>
                <w:rFonts w:ascii="宋体" w:hAnsi="宋体" w:cs="宋体"/>
                <w:b/>
                <w:bCs/>
                <w:kern w:val="0"/>
                <w:sz w:val="18"/>
                <w:szCs w:val="18"/>
              </w:rPr>
            </w:pP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21</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河湖长设立及责任有效落实。河湖长未按照规定开展巡河的，扣2分；发现明显管护问题的，扣2分；扣完为止。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8" w:hRule="atLeast"/>
          <w:jc w:val="center"/>
        </w:trPr>
        <w:tc>
          <w:tcPr>
            <w:tcW w:w="314" w:type="pct"/>
            <w:vMerge w:val="continue"/>
            <w:shd w:val="clear" w:color="auto" w:fill="auto"/>
            <w:vAlign w:val="center"/>
          </w:tcPr>
          <w:p>
            <w:pPr>
              <w:spacing w:line="240" w:lineRule="auto"/>
              <w:jc w:val="left"/>
              <w:rPr>
                <w:rFonts w:ascii="宋体" w:hAnsi="宋体" w:cs="宋体"/>
                <w:b/>
                <w:bCs/>
                <w:kern w:val="0"/>
                <w:sz w:val="18"/>
                <w:szCs w:val="18"/>
              </w:rPr>
            </w:pPr>
          </w:p>
        </w:tc>
        <w:tc>
          <w:tcPr>
            <w:tcW w:w="492" w:type="pct"/>
            <w:vMerge w:val="continue"/>
            <w:shd w:val="clear" w:color="auto" w:fill="auto"/>
            <w:vAlign w:val="center"/>
          </w:tcPr>
          <w:p>
            <w:pPr>
              <w:spacing w:line="240" w:lineRule="auto"/>
              <w:jc w:val="left"/>
              <w:rPr>
                <w:rFonts w:ascii="宋体" w:hAnsi="宋体" w:cs="宋体"/>
                <w:b/>
                <w:bCs/>
                <w:kern w:val="0"/>
                <w:sz w:val="18"/>
                <w:szCs w:val="18"/>
              </w:rPr>
            </w:pPr>
          </w:p>
        </w:tc>
        <w:tc>
          <w:tcPr>
            <w:tcW w:w="318"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22</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持续推进河湖“清四乱”常态化规范化。每发现1个严重问题扣6分、较重问题扣5分、一般问题扣4分，扣完为止。</w:t>
            </w:r>
          </w:p>
        </w:tc>
        <w:tc>
          <w:tcPr>
            <w:tcW w:w="411" w:type="pct"/>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问题严重程度参考水利部关于印发河湖管理监督检查办法（试行）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314"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492" w:type="pct"/>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318" w:type="pct"/>
            <w:shd w:val="clear" w:color="auto" w:fill="auto"/>
            <w:noWrap/>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23</w:t>
            </w:r>
          </w:p>
        </w:tc>
        <w:tc>
          <w:tcPr>
            <w:tcW w:w="1541" w:type="pct"/>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河流管护有保障。未落实管护单位和人员的，扣2分；未落实巡河员、护河员、保洁员的，扣2分；未落实管护经费的，扣2分，扣完为止。</w:t>
            </w:r>
          </w:p>
        </w:tc>
        <w:tc>
          <w:tcPr>
            <w:tcW w:w="411" w:type="pct"/>
            <w:shd w:val="clear" w:color="auto" w:fill="auto"/>
            <w:noWrap/>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62" w:type="pct"/>
            <w:vAlign w:val="center"/>
          </w:tcPr>
          <w:p>
            <w:pPr>
              <w:widowControl/>
              <w:adjustRightInd/>
              <w:spacing w:line="240" w:lineRule="auto"/>
              <w:jc w:val="center"/>
              <w:rPr>
                <w:rFonts w:ascii="宋体" w:hAnsi="宋体" w:cs="宋体"/>
                <w:kern w:val="0"/>
                <w:sz w:val="18"/>
                <w:szCs w:val="18"/>
              </w:rPr>
            </w:pPr>
          </w:p>
        </w:tc>
        <w:tc>
          <w:tcPr>
            <w:tcW w:w="1463" w:type="pct"/>
            <w:vAlign w:val="center"/>
          </w:tcPr>
          <w:p>
            <w:pPr>
              <w:widowControl/>
              <w:adjustRightInd/>
              <w:spacing w:line="240" w:lineRule="auto"/>
              <w:jc w:val="left"/>
              <w:rPr>
                <w:rFonts w:ascii="宋体" w:hAnsi="宋体" w:cs="宋体"/>
                <w:kern w:val="0"/>
                <w:sz w:val="18"/>
                <w:szCs w:val="18"/>
              </w:rPr>
            </w:pPr>
          </w:p>
        </w:tc>
      </w:tr>
    </w:tbl>
    <w:p>
      <w:pPr>
        <w:pStyle w:val="57"/>
        <w:spacing w:beforeLines="50" w:afterLines="50"/>
        <w:ind w:firstLine="0" w:firstLineChars="0"/>
        <w:jc w:val="center"/>
        <w:rPr>
          <w:rFonts w:ascii="黑体" w:hAnsi="黑体" w:eastAsia="黑体"/>
        </w:rPr>
      </w:pPr>
      <w:r>
        <w:rPr>
          <w:rFonts w:hint="eastAsia" w:ascii="黑体" w:hAnsi="黑体" w:eastAsia="黑体"/>
        </w:rPr>
        <w:t>表A.1  适用城区段河流</w:t>
      </w:r>
      <w:r>
        <w:rPr>
          <w:rFonts w:hint="eastAsia" w:hAnsi="宋体"/>
        </w:rPr>
        <w:t>（续）</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7"/>
        <w:gridCol w:w="1362"/>
        <w:gridCol w:w="880"/>
        <w:gridCol w:w="4266"/>
        <w:gridCol w:w="1138"/>
        <w:gridCol w:w="1279"/>
        <w:gridCol w:w="4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867"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评价内容</w:t>
            </w:r>
          </w:p>
        </w:tc>
        <w:tc>
          <w:tcPr>
            <w:tcW w:w="136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评价指标</w:t>
            </w:r>
          </w:p>
        </w:tc>
        <w:tc>
          <w:tcPr>
            <w:tcW w:w="880"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4266"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w:t>
            </w:r>
          </w:p>
        </w:tc>
        <w:tc>
          <w:tcPr>
            <w:tcW w:w="1138"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分值</w:t>
            </w:r>
          </w:p>
        </w:tc>
        <w:tc>
          <w:tcPr>
            <w:tcW w:w="1279"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w:t>
            </w:r>
          </w:p>
        </w:tc>
        <w:tc>
          <w:tcPr>
            <w:tcW w:w="4051"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867"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水管理（28分）</w:t>
            </w:r>
          </w:p>
        </w:tc>
        <w:tc>
          <w:tcPr>
            <w:tcW w:w="1362"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公众参与</w:t>
            </w:r>
          </w:p>
        </w:tc>
        <w:tc>
          <w:tcPr>
            <w:tcW w:w="880" w:type="dxa"/>
            <w:shd w:val="clear" w:color="auto" w:fill="auto"/>
            <w:noWrap/>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24</w:t>
            </w:r>
          </w:p>
        </w:tc>
        <w:tc>
          <w:tcPr>
            <w:tcW w:w="4266"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积极推进河流管护公众参与，河流有民间河长、社会监督员等。缺少一项扣1分，扣完为止。</w:t>
            </w:r>
          </w:p>
        </w:tc>
        <w:tc>
          <w:tcPr>
            <w:tcW w:w="1138" w:type="dxa"/>
            <w:shd w:val="clear" w:color="auto" w:fill="auto"/>
            <w:noWrap/>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279" w:type="dxa"/>
            <w:vAlign w:val="center"/>
          </w:tcPr>
          <w:p>
            <w:pPr>
              <w:widowControl/>
              <w:adjustRightInd/>
              <w:spacing w:line="240" w:lineRule="auto"/>
              <w:jc w:val="center"/>
              <w:rPr>
                <w:rFonts w:ascii="宋体" w:hAnsi="宋体" w:cs="宋体"/>
                <w:kern w:val="0"/>
                <w:sz w:val="18"/>
                <w:szCs w:val="18"/>
              </w:rPr>
            </w:pPr>
          </w:p>
        </w:tc>
        <w:tc>
          <w:tcPr>
            <w:tcW w:w="4051"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867" w:type="dxa"/>
            <w:vMerge w:val="continue"/>
            <w:shd w:val="clear" w:color="auto" w:fill="auto"/>
            <w:vAlign w:val="center"/>
          </w:tcPr>
          <w:p>
            <w:pPr>
              <w:spacing w:line="240" w:lineRule="auto"/>
              <w:jc w:val="left"/>
              <w:rPr>
                <w:rFonts w:ascii="宋体" w:hAnsi="宋体" w:cs="宋体"/>
                <w:b/>
                <w:bCs/>
                <w:kern w:val="0"/>
                <w:sz w:val="18"/>
                <w:szCs w:val="18"/>
              </w:rPr>
            </w:pPr>
          </w:p>
        </w:tc>
        <w:tc>
          <w:tcPr>
            <w:tcW w:w="1362" w:type="dxa"/>
            <w:vMerge w:val="continue"/>
            <w:shd w:val="clear" w:color="auto" w:fill="auto"/>
            <w:vAlign w:val="center"/>
          </w:tcPr>
          <w:p>
            <w:pPr>
              <w:spacing w:line="240" w:lineRule="auto"/>
              <w:jc w:val="left"/>
              <w:rPr>
                <w:rFonts w:ascii="宋体" w:hAnsi="宋体" w:cs="宋体"/>
                <w:b/>
                <w:bCs/>
                <w:kern w:val="0"/>
                <w:sz w:val="18"/>
                <w:szCs w:val="18"/>
              </w:rPr>
            </w:pPr>
          </w:p>
        </w:tc>
        <w:tc>
          <w:tcPr>
            <w:tcW w:w="880" w:type="dxa"/>
            <w:shd w:val="clear" w:color="auto" w:fill="auto"/>
            <w:noWrap/>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25</w:t>
            </w:r>
          </w:p>
        </w:tc>
        <w:tc>
          <w:tcPr>
            <w:tcW w:w="4266"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加强美丽幸福河湖宣传，开展河流沿线入校园、进社区（村、屯）宣传，采用宣传语、宣传画、短视频、多媒体、公众平台等多种手段开展公众宣传。无任何宣传的，扣4分；无进社区（村、屯）宣传的，扣2分。</w:t>
            </w:r>
          </w:p>
        </w:tc>
        <w:tc>
          <w:tcPr>
            <w:tcW w:w="1138" w:type="dxa"/>
            <w:shd w:val="clear" w:color="auto" w:fill="auto"/>
            <w:noWrap/>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79" w:type="dxa"/>
            <w:vAlign w:val="center"/>
          </w:tcPr>
          <w:p>
            <w:pPr>
              <w:widowControl/>
              <w:adjustRightInd/>
              <w:spacing w:line="240" w:lineRule="auto"/>
              <w:jc w:val="center"/>
              <w:rPr>
                <w:rFonts w:ascii="宋体" w:hAnsi="宋体" w:cs="宋体"/>
                <w:kern w:val="0"/>
                <w:sz w:val="18"/>
                <w:szCs w:val="18"/>
              </w:rPr>
            </w:pPr>
          </w:p>
        </w:tc>
        <w:tc>
          <w:tcPr>
            <w:tcW w:w="4051" w:type="dxa"/>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1.评价河流问卷调查数量不少于30份；</w:t>
            </w:r>
            <w:r>
              <w:rPr>
                <w:rFonts w:ascii="宋体" w:hAnsi="宋体"/>
                <w:kern w:val="0"/>
                <w:sz w:val="18"/>
                <w:szCs w:val="18"/>
              </w:rPr>
              <w:br w:type="textWrapping"/>
            </w:r>
            <w:r>
              <w:rPr>
                <w:rFonts w:ascii="宋体" w:hAnsi="宋体"/>
                <w:kern w:val="0"/>
                <w:sz w:val="18"/>
                <w:szCs w:val="18"/>
              </w:rPr>
              <w:t>2.满意度=答案为A和B的问题个数/问题总数。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8" w:hRule="atLeast"/>
          <w:jc w:val="center"/>
        </w:trPr>
        <w:tc>
          <w:tcPr>
            <w:tcW w:w="867" w:type="dxa"/>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1362" w:type="dxa"/>
            <w:vMerge w:val="continue"/>
            <w:shd w:val="clear" w:color="auto" w:fill="auto"/>
            <w:vAlign w:val="center"/>
          </w:tcPr>
          <w:p>
            <w:pPr>
              <w:widowControl/>
              <w:adjustRightInd/>
              <w:spacing w:line="240" w:lineRule="auto"/>
              <w:jc w:val="left"/>
              <w:rPr>
                <w:rFonts w:ascii="宋体" w:hAnsi="宋体" w:cs="宋体"/>
                <w:b/>
                <w:bCs/>
                <w:kern w:val="0"/>
                <w:sz w:val="18"/>
                <w:szCs w:val="18"/>
              </w:rPr>
            </w:pPr>
          </w:p>
        </w:tc>
        <w:tc>
          <w:tcPr>
            <w:tcW w:w="880" w:type="dxa"/>
            <w:shd w:val="clear" w:color="auto" w:fill="auto"/>
            <w:noWrap/>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26</w:t>
            </w:r>
          </w:p>
        </w:tc>
        <w:tc>
          <w:tcPr>
            <w:tcW w:w="4266"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河流沿岸居民满意度较高。满意度≥90%的，不扣分；80%≤满意度＜90%的，扣2分；70%≤满意度＜80%的，扣3分；满意度＜70%的，扣4分。</w:t>
            </w:r>
          </w:p>
        </w:tc>
        <w:tc>
          <w:tcPr>
            <w:tcW w:w="1138" w:type="dxa"/>
            <w:shd w:val="clear" w:color="auto" w:fill="auto"/>
            <w:noWrap/>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79" w:type="dxa"/>
            <w:vAlign w:val="center"/>
          </w:tcPr>
          <w:p>
            <w:pPr>
              <w:widowControl/>
              <w:adjustRightInd/>
              <w:spacing w:line="240" w:lineRule="auto"/>
              <w:jc w:val="center"/>
              <w:rPr>
                <w:rFonts w:ascii="宋体" w:hAnsi="宋体" w:cs="宋体"/>
                <w:kern w:val="0"/>
                <w:sz w:val="18"/>
                <w:szCs w:val="18"/>
              </w:rPr>
            </w:pPr>
          </w:p>
        </w:tc>
        <w:tc>
          <w:tcPr>
            <w:tcW w:w="4051" w:type="dxa"/>
            <w:vAlign w:val="center"/>
          </w:tcPr>
          <w:p>
            <w:pPr>
              <w:widowControl/>
              <w:adjustRightInd/>
              <w:spacing w:line="240" w:lineRule="auto"/>
              <w:jc w:val="left"/>
              <w:rPr>
                <w:rFonts w:ascii="宋体" w:hAnsi="宋体" w:cs="宋体"/>
                <w:kern w:val="0"/>
                <w:sz w:val="18"/>
                <w:szCs w:val="18"/>
              </w:rPr>
            </w:pPr>
          </w:p>
        </w:tc>
      </w:tr>
    </w:tbl>
    <w:p>
      <w:pPr>
        <w:pStyle w:val="57"/>
        <w:ind w:firstLine="420"/>
      </w:pPr>
    </w:p>
    <w:p>
      <w:pPr>
        <w:pStyle w:val="78"/>
        <w:spacing w:before="156" w:after="156"/>
      </w:pPr>
      <w:r>
        <w:rPr>
          <w:rFonts w:hint="eastAsia"/>
        </w:rPr>
        <w:t>适用乡村段河流</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252"/>
        <w:gridCol w:w="894"/>
        <w:gridCol w:w="4333"/>
        <w:gridCol w:w="1154"/>
        <w:gridCol w:w="1298"/>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8"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评价内容</w:t>
            </w:r>
          </w:p>
        </w:tc>
        <w:tc>
          <w:tcPr>
            <w:tcW w:w="123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评价指标</w:t>
            </w:r>
          </w:p>
        </w:tc>
        <w:tc>
          <w:tcPr>
            <w:tcW w:w="880"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4263"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w:t>
            </w:r>
          </w:p>
        </w:tc>
        <w:tc>
          <w:tcPr>
            <w:tcW w:w="1135"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分值</w:t>
            </w:r>
          </w:p>
        </w:tc>
        <w:tc>
          <w:tcPr>
            <w:tcW w:w="1277" w:type="dxa"/>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w:t>
            </w:r>
          </w:p>
        </w:tc>
        <w:tc>
          <w:tcPr>
            <w:tcW w:w="4048" w:type="dxa"/>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水安全(20分）</w:t>
            </w:r>
          </w:p>
        </w:tc>
        <w:tc>
          <w:tcPr>
            <w:tcW w:w="123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防洪排涝</w:t>
            </w: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河流管理范围内的涉水建筑物满足防洪、排涝等要求。河道管理范围内建设桥梁、码头和其他拦河、跨河、临河建筑物、构筑物，铺设跨河管道、电缆等未经许可的涉水工程，发现一处扣2分，扣完为止。</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5</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988"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3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工程运行</w:t>
            </w: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水利工程安全运行，堤防、水闸、泵站、拦河坝以及水电站等工程设施能正常运行。工程存在安全风险隐患问题的，发现一处一般问题扣1分；发现一处较重及以上问题扣2分，扣完为止。</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5</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参考《水利部办公厅关于印发水利工程运行管理监督检查办法（试行）等5个监督检查办法问题清单（2020年版）的通知》（办监督〔2020〕124号）。</w:t>
            </w:r>
          </w:p>
        </w:tc>
      </w:tr>
    </w:tbl>
    <w:p>
      <w:pPr>
        <w:pStyle w:val="57"/>
        <w:spacing w:beforeLines="50" w:afterLines="50"/>
        <w:ind w:firstLine="0" w:firstLineChars="0"/>
        <w:jc w:val="center"/>
        <w:rPr>
          <w:rFonts w:ascii="黑体" w:hAnsi="黑体" w:eastAsia="黑体"/>
        </w:rPr>
      </w:pPr>
      <w:r>
        <w:rPr>
          <w:rFonts w:hint="eastAsia" w:ascii="黑体" w:hAnsi="黑体" w:eastAsia="黑体"/>
        </w:rPr>
        <w:t>表A.2  适用乡村段河流</w:t>
      </w:r>
      <w:r>
        <w:rPr>
          <w:rFonts w:hint="eastAsia" w:hAnsi="宋体"/>
        </w:rPr>
        <w:t>（续）</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252"/>
        <w:gridCol w:w="894"/>
        <w:gridCol w:w="4333"/>
        <w:gridCol w:w="1154"/>
        <w:gridCol w:w="1298"/>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8"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评价内容</w:t>
            </w:r>
          </w:p>
        </w:tc>
        <w:tc>
          <w:tcPr>
            <w:tcW w:w="123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评价指标</w:t>
            </w:r>
          </w:p>
        </w:tc>
        <w:tc>
          <w:tcPr>
            <w:tcW w:w="880"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4263"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w:t>
            </w:r>
          </w:p>
        </w:tc>
        <w:tc>
          <w:tcPr>
            <w:tcW w:w="1135"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分值</w:t>
            </w:r>
          </w:p>
        </w:tc>
        <w:tc>
          <w:tcPr>
            <w:tcW w:w="1277" w:type="dxa"/>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w:t>
            </w:r>
          </w:p>
        </w:tc>
        <w:tc>
          <w:tcPr>
            <w:tcW w:w="4048" w:type="dxa"/>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水安全(20分）</w:t>
            </w:r>
          </w:p>
        </w:tc>
        <w:tc>
          <w:tcPr>
            <w:tcW w:w="123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岸线稳定</w:t>
            </w: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河流岸坡和河势稳定，行洪通畅。发现一处塌岸、废弃涉水建筑物、明显淤塞等问题的，扣1分，扣完为止。</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32"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安全管理</w:t>
            </w: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在河流险工险段设置安全警示标识。发现一处未按要求设置的，扣1分，扣完为止。</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3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5</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在旅游开发、水上活动、人类活动密集、学校附近等河湖区域设置安全警示标识，配备必要的安全救生设施设备。发现一处未按要求设置的，扣1分，扣完为止。</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水资源(12分）</w:t>
            </w:r>
          </w:p>
        </w:tc>
        <w:tc>
          <w:tcPr>
            <w:tcW w:w="1232"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生态流量（水位）</w:t>
            </w: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评价河段存在水电站或上游水电站对评价河段造成生态影响的，应保障生态流量泄放。无生态流量目标或无生态流量泄放措施的，扣4分；有生态流量目标，不按目标泄放的，扣3分。</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生态流量目标一般可从设计文件、环评文件、主管部门生态流量批复文件等文件获取。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3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7</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评价河段存在生态流量考核断面的，评价年度内断面生态水量满足程度达到考核目标要求。未达到考核目标要求的，扣1分。</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3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8</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保障河流生态需水量，防止人为造成河段减水严重。L=平均裸露河槽宽度/平均河槽宽度≥0.8的，扣3分；0.8＞L≥0.5的，扣2分；0.5＞L≥0.3的，扣1分；0.3＞L的，不扣分。</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1.严重减水河段：因水利</w:t>
            </w:r>
            <w:r>
              <w:rPr>
                <w:rFonts w:hint="eastAsia"/>
              </w:rPr>
              <w:t>水电</w:t>
            </w:r>
            <w:r>
              <w:rPr>
                <w:rFonts w:ascii="宋体" w:hAnsi="宋体"/>
                <w:kern w:val="0"/>
                <w:sz w:val="18"/>
                <w:szCs w:val="18"/>
              </w:rPr>
              <w:t>工程建设等人为因素，造成下游河段水量明显减少，水位明显下降，河槽出现明显长期裸露</w:t>
            </w:r>
            <w:r>
              <w:rPr>
                <w:rFonts w:hint="eastAsia" w:ascii="宋体" w:hAnsi="宋体"/>
                <w:kern w:val="0"/>
                <w:sz w:val="18"/>
                <w:szCs w:val="18"/>
              </w:rPr>
              <w:t>的河段</w:t>
            </w:r>
            <w:r>
              <w:rPr>
                <w:rFonts w:ascii="宋体" w:hAnsi="宋体"/>
                <w:kern w:val="0"/>
                <w:sz w:val="18"/>
                <w:szCs w:val="18"/>
              </w:rPr>
              <w:t>；</w:t>
            </w:r>
            <w:r>
              <w:rPr>
                <w:rFonts w:ascii="宋体" w:hAnsi="宋体"/>
                <w:kern w:val="0"/>
                <w:sz w:val="18"/>
                <w:szCs w:val="18"/>
              </w:rPr>
              <w:br w:type="textWrapping"/>
            </w:r>
            <w:r>
              <w:rPr>
                <w:rFonts w:ascii="宋体" w:hAnsi="宋体"/>
                <w:kern w:val="0"/>
                <w:sz w:val="18"/>
                <w:szCs w:val="18"/>
              </w:rPr>
              <w:t>2.河槽宽度：左右岸临水边界线之间的宽度（临水边界线</w:t>
            </w:r>
            <w:r>
              <w:rPr>
                <w:rFonts w:hint="eastAsia" w:ascii="宋体" w:hAnsi="宋体"/>
                <w:kern w:val="0"/>
                <w:sz w:val="18"/>
                <w:szCs w:val="18"/>
              </w:rPr>
              <w:t>的</w:t>
            </w:r>
            <w:r>
              <w:rPr>
                <w:rFonts w:ascii="宋体" w:hAnsi="宋体"/>
                <w:kern w:val="0"/>
                <w:sz w:val="18"/>
                <w:szCs w:val="18"/>
              </w:rPr>
              <w:t>确定参照水利部2019年印发的《河湖岸线保护与利用规划编制指南（试行</w:t>
            </w:r>
            <w:r>
              <w:rPr>
                <w:rFonts w:hint="eastAsia" w:ascii="宋体" w:hAnsi="宋体"/>
                <w:kern w:val="0"/>
                <w:sz w:val="18"/>
                <w:szCs w:val="18"/>
              </w:rPr>
              <w:t>）</w:t>
            </w:r>
            <w:r>
              <w:rPr>
                <w:rFonts w:ascii="宋体" w:hAnsi="宋体"/>
                <w:kern w:val="0"/>
                <w:sz w:val="18"/>
                <w:szCs w:val="18"/>
              </w:rPr>
              <w:t>》）；</w:t>
            </w:r>
            <w:r>
              <w:rPr>
                <w:rFonts w:ascii="宋体" w:hAnsi="宋体"/>
                <w:kern w:val="0"/>
                <w:sz w:val="18"/>
                <w:szCs w:val="18"/>
              </w:rPr>
              <w:br w:type="textWrapping"/>
            </w:r>
            <w:r>
              <w:rPr>
                <w:rFonts w:ascii="宋体" w:hAnsi="宋体"/>
                <w:kern w:val="0"/>
                <w:sz w:val="18"/>
                <w:szCs w:val="18"/>
              </w:rPr>
              <w:t>3.可借助卫星图、现场调研、已有资料等手段，利用代表性减水河段估算。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3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取水规范</w:t>
            </w: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9</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河流取水口依法设置，管理规范，符合相关技术标准。存在非法设置取水口、超标取水等非法取水的，发现一处扣4分。</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88"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水生态(16分）</w:t>
            </w:r>
          </w:p>
        </w:tc>
        <w:tc>
          <w:tcPr>
            <w:tcW w:w="123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河流连通</w:t>
            </w:r>
          </w:p>
        </w:tc>
        <w:tc>
          <w:tcPr>
            <w:tcW w:w="880"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10</w:t>
            </w:r>
          </w:p>
        </w:tc>
        <w:tc>
          <w:tcPr>
            <w:tcW w:w="426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河流水系连通性和流动性好。连通指数n＞1的，扣4分；1≥n＞0.5的，扣2分；0.5≥n＞0的，扣1分；n=0的，不扣分。</w:t>
            </w:r>
          </w:p>
        </w:tc>
        <w:tc>
          <w:tcPr>
            <w:tcW w:w="1135"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77" w:type="dxa"/>
          </w:tcPr>
          <w:p>
            <w:pPr>
              <w:widowControl/>
              <w:adjustRightInd/>
              <w:spacing w:line="240" w:lineRule="auto"/>
              <w:jc w:val="center"/>
              <w:rPr>
                <w:rFonts w:ascii="宋体" w:hAnsi="宋体" w:cs="宋体"/>
                <w:kern w:val="0"/>
                <w:sz w:val="18"/>
                <w:szCs w:val="18"/>
              </w:rPr>
            </w:pPr>
          </w:p>
        </w:tc>
        <w:tc>
          <w:tcPr>
            <w:tcW w:w="4048" w:type="dxa"/>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1.河流连通指数n=评价河段内影响河流连通性的建筑物或设施的数量</w:t>
            </w:r>
            <w:r>
              <w:rPr>
                <w:rFonts w:hint="eastAsia" w:ascii="宋体" w:hAnsi="宋体"/>
                <w:kern w:val="0"/>
                <w:sz w:val="18"/>
                <w:szCs w:val="18"/>
              </w:rPr>
              <w:t>（</w:t>
            </w:r>
            <w:r>
              <w:rPr>
                <w:rFonts w:ascii="宋体" w:hAnsi="宋体"/>
                <w:kern w:val="0"/>
                <w:sz w:val="18"/>
                <w:szCs w:val="18"/>
              </w:rPr>
              <w:t>单位：个）/评价河段长度(单位：km)；</w:t>
            </w:r>
            <w:r>
              <w:rPr>
                <w:rFonts w:ascii="宋体" w:hAnsi="宋体"/>
                <w:kern w:val="0"/>
                <w:sz w:val="18"/>
                <w:szCs w:val="18"/>
              </w:rPr>
              <w:br w:type="textWrapping"/>
            </w:r>
            <w:r>
              <w:rPr>
                <w:rFonts w:ascii="宋体" w:hAnsi="宋体"/>
                <w:kern w:val="0"/>
                <w:sz w:val="18"/>
                <w:szCs w:val="18"/>
              </w:rPr>
              <w:t>2.影响河流连通性的建筑物或设施主要指影响鱼类洄游的电站、大坝、水闸等，有过鱼设施且能正常运行的不在统计范围内。</w:t>
            </w:r>
          </w:p>
        </w:tc>
      </w:tr>
    </w:tbl>
    <w:p>
      <w:pPr>
        <w:pStyle w:val="57"/>
        <w:spacing w:beforeLines="50" w:afterLines="50"/>
        <w:ind w:firstLine="0" w:firstLineChars="0"/>
        <w:jc w:val="center"/>
        <w:rPr>
          <w:rFonts w:ascii="黑体" w:hAnsi="黑体" w:eastAsia="黑体"/>
        </w:rPr>
      </w:pPr>
      <w:r>
        <w:rPr>
          <w:rFonts w:hint="eastAsia" w:ascii="黑体" w:hAnsi="黑体" w:eastAsia="黑体"/>
        </w:rPr>
        <w:t>表A.2  适用乡村段河流</w:t>
      </w:r>
      <w:r>
        <w:rPr>
          <w:rFonts w:hint="eastAsia" w:hAnsi="宋体"/>
        </w:rPr>
        <w:t>（续）</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252"/>
        <w:gridCol w:w="894"/>
        <w:gridCol w:w="4333"/>
        <w:gridCol w:w="1154"/>
        <w:gridCol w:w="1298"/>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04"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评价内容</w:t>
            </w:r>
          </w:p>
        </w:tc>
        <w:tc>
          <w:tcPr>
            <w:tcW w:w="125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评价指标</w:t>
            </w:r>
          </w:p>
        </w:tc>
        <w:tc>
          <w:tcPr>
            <w:tcW w:w="894"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4333"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w:t>
            </w:r>
          </w:p>
        </w:tc>
        <w:tc>
          <w:tcPr>
            <w:tcW w:w="1154"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分值</w:t>
            </w:r>
          </w:p>
        </w:tc>
        <w:tc>
          <w:tcPr>
            <w:tcW w:w="1298" w:type="dxa"/>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w:t>
            </w:r>
          </w:p>
        </w:tc>
        <w:tc>
          <w:tcPr>
            <w:tcW w:w="4114" w:type="dxa"/>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004"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水生态(16分）</w:t>
            </w:r>
          </w:p>
        </w:tc>
        <w:tc>
          <w:tcPr>
            <w:tcW w:w="1252"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自然生态</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11</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景观自然优美、宜弯则弯，保持原真性和完整性，弯道、深潭、浅滩、江心洲、滩地、滩林等自然风貌得到有效保护与修复，河流治理过程中维持河流自然形态，保障基本生态功能。破坏、刻意改变河流生态环境的，发现一处扣2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12</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河流两岸植被覆盖完好，原生植被得以保留。河岸存在植被破坏、开垦种植等破坏生态的，发现一处扣1分，扣完为止。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水生物保护</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13</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水生生物保护良好。存在非法捕捞、电、毒、炸鱼等现象的，发现一起扣2分；存在有害外来入侵物种的，发现一种扣1分；扣完为止。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有害外来入侵物种</w:t>
            </w:r>
            <w:r>
              <w:rPr>
                <w:rFonts w:hint="eastAsia" w:ascii="宋体" w:hAnsi="宋体"/>
                <w:kern w:val="0"/>
                <w:sz w:val="18"/>
                <w:szCs w:val="18"/>
              </w:rPr>
              <w:t>参见</w:t>
            </w:r>
            <w:r>
              <w:rPr>
                <w:rFonts w:ascii="宋体" w:hAnsi="宋体"/>
                <w:kern w:val="0"/>
                <w:sz w:val="18"/>
                <w:szCs w:val="18"/>
              </w:rPr>
              <w:t>生态环境部</w:t>
            </w:r>
            <w:r>
              <w:rPr>
                <w:rFonts w:hint="eastAsia" w:ascii="宋体" w:hAnsi="宋体"/>
                <w:kern w:val="0"/>
                <w:sz w:val="18"/>
                <w:szCs w:val="18"/>
              </w:rPr>
              <w:t>发布的有害外来入侵物种名单。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水环境(20分）</w:t>
            </w:r>
          </w:p>
        </w:tc>
        <w:tc>
          <w:tcPr>
            <w:tcW w:w="1252"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河流整洁</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14</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河流清洁卫生，河流水面漂浮物（垃圾、油污、规模性水葫芦、蓝藻等）及时清理。发现一处问题扣1分，扣完为止。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15</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河流管理范围线内或管理范围线外对河流环境构成明显隐患的区域不得设置集中垃圾堆放点，发现一处问题扣4分；不得堆放废弃物，发现一处问题扣1分，扣完为止。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排水规范</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16</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排污口依法设置，管理规范，符合相关技术标准。存在非法设置排污口和偷排、超排等非法排污的，发现一处扣6分。评价河段及起点上游1km内存在排污口，排污口形成的污水带长度大于100m，或宽度大于1/10河宽的，发现一处扣6分；排污口形成的污水带长度在50m-100m之间，或宽度在1/20-1/10河宽之间的，发现一处扣4分；排污口形成的污水带长度小于50m，或宽度小于1/20河宽的，发现一处扣2分；无污水带的不扣分。农村生活污水未经处理直排的，发现一处扣0.5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人水和谐</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17</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河流沿线的人水活动和谐。发现一处污染水环境或破坏水环境保护设施的，扣2分，扣完为止。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水文化（6分）</w:t>
            </w:r>
          </w:p>
        </w:tc>
        <w:tc>
          <w:tcPr>
            <w:tcW w:w="125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文化保护</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18</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河流及其沿岸历史文化古迹（古桥、古堰、古码头、古闸、古堤、古河道、古塘、古井、古建筑等）留存保护良好，得到有效保护和利用。有文化古迹，未有效保护的，扣4分。</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center"/>
              <w:rPr>
                <w:rFonts w:ascii="宋体" w:hAnsi="宋体" w:cs="宋体"/>
                <w:kern w:val="0"/>
                <w:sz w:val="18"/>
                <w:szCs w:val="18"/>
              </w:rPr>
            </w:pPr>
          </w:p>
        </w:tc>
      </w:tr>
    </w:tbl>
    <w:p>
      <w:pPr>
        <w:pStyle w:val="57"/>
        <w:ind w:firstLine="420"/>
      </w:pPr>
    </w:p>
    <w:p>
      <w:pPr>
        <w:pStyle w:val="57"/>
        <w:spacing w:beforeLines="50" w:afterLines="50"/>
        <w:ind w:firstLine="0" w:firstLineChars="0"/>
        <w:jc w:val="center"/>
        <w:rPr>
          <w:rFonts w:ascii="黑体" w:hAnsi="黑体" w:eastAsia="黑体"/>
        </w:rPr>
      </w:pPr>
      <w:r>
        <w:rPr>
          <w:rFonts w:hint="eastAsia" w:ascii="黑体" w:hAnsi="黑体" w:eastAsia="黑体"/>
        </w:rPr>
        <w:t>表A.2  适用乡村段河流</w:t>
      </w:r>
      <w:r>
        <w:rPr>
          <w:rFonts w:hint="eastAsia" w:hAnsi="宋体"/>
        </w:rPr>
        <w:t>（续）</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252"/>
        <w:gridCol w:w="894"/>
        <w:gridCol w:w="4333"/>
        <w:gridCol w:w="1154"/>
        <w:gridCol w:w="1298"/>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04"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评价内容</w:t>
            </w:r>
          </w:p>
        </w:tc>
        <w:tc>
          <w:tcPr>
            <w:tcW w:w="125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评价指标</w:t>
            </w:r>
          </w:p>
        </w:tc>
        <w:tc>
          <w:tcPr>
            <w:tcW w:w="894"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4333"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w:t>
            </w:r>
          </w:p>
        </w:tc>
        <w:tc>
          <w:tcPr>
            <w:tcW w:w="1154"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分值</w:t>
            </w:r>
          </w:p>
        </w:tc>
        <w:tc>
          <w:tcPr>
            <w:tcW w:w="1298" w:type="dxa"/>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w:t>
            </w:r>
          </w:p>
        </w:tc>
        <w:tc>
          <w:tcPr>
            <w:tcW w:w="4114" w:type="dxa"/>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水文化（6分）</w:t>
            </w:r>
          </w:p>
        </w:tc>
        <w:tc>
          <w:tcPr>
            <w:tcW w:w="1252" w:type="dxa"/>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文化保护</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19</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通过水文化相关活动或利用已有堤、堰、闸、桥等载体展示河流水工程文化、治水文化等。无水文化建设的，扣2分。</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水文化：指以水和水事活动为载体人们创造的一切与水有关文化现象的总称，包含了水利文化的全部内容。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水管理（26分）</w:t>
            </w:r>
          </w:p>
        </w:tc>
        <w:tc>
          <w:tcPr>
            <w:tcW w:w="1252"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河流管控</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20</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河流按标准合理布设界桩、公示牌。未按照规定合理设置界桩的，扣2分；未按照规定合理布设河长公示牌的，扣2分；界桩、公示牌明显损坏的、信息未更新的，发现一处扣1分，扣完为止。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21</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河湖长设立及责任有效落实。河湖长未按照规定开展巡河的，扣2分；发现明显管护问题的，扣2分；扣完为止。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22</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持续推进河湖“清四乱”常态化规范化。每发现1个严重问题扣6分、较重问题扣5分、一般问题扣4分，扣完为止。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问题严重程度参考水利部关于印发河湖管理监督检查办法（试行）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23</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河流保洁有保障。未落实保洁员的，扣1分；未落实管护经费的，扣1分。</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restart"/>
            <w:shd w:val="clear" w:color="auto" w:fill="auto"/>
            <w:vAlign w:val="center"/>
          </w:tcPr>
          <w:p>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公众参与</w:t>
            </w: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24</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积极推进河流管护公众参与，河流有民间河长、社会监督员等。缺少一项扣1分，扣完为止。</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25</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河流管护纳入村规民约，提高村（居）民参与度。河流管护未纳入村规民约的，扣2分。</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26</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加强美丽幸福河湖宣传，对河流沿线村（居）民开展宣传。无任何宣传的，扣4分。</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004"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1252" w:type="dxa"/>
            <w:vMerge w:val="continue"/>
            <w:shd w:val="clear" w:color="auto" w:fill="auto"/>
            <w:vAlign w:val="center"/>
          </w:tcPr>
          <w:p>
            <w:pPr>
              <w:widowControl/>
              <w:adjustRightInd/>
              <w:spacing w:line="240" w:lineRule="auto"/>
              <w:jc w:val="center"/>
              <w:rPr>
                <w:rFonts w:ascii="宋体" w:hAnsi="宋体" w:cs="宋体"/>
                <w:b/>
                <w:bCs/>
                <w:kern w:val="0"/>
                <w:sz w:val="18"/>
                <w:szCs w:val="18"/>
              </w:rPr>
            </w:pPr>
          </w:p>
        </w:tc>
        <w:tc>
          <w:tcPr>
            <w:tcW w:w="89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27</w:t>
            </w:r>
          </w:p>
        </w:tc>
        <w:tc>
          <w:tcPr>
            <w:tcW w:w="4333" w:type="dxa"/>
            <w:shd w:val="clear" w:color="auto" w:fill="auto"/>
            <w:vAlign w:val="center"/>
          </w:tcPr>
          <w:p>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河流沿岸居民满意度较高。满意度≥90%的，不扣分；80%≤满意度＜90%的，扣2分；70%≤满意度＜80%的，扣3分；满意度＜70%的，扣4分。</w:t>
            </w:r>
          </w:p>
        </w:tc>
        <w:tc>
          <w:tcPr>
            <w:tcW w:w="1154" w:type="dxa"/>
            <w:shd w:val="clear" w:color="auto" w:fill="auto"/>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298" w:type="dxa"/>
          </w:tcPr>
          <w:p>
            <w:pPr>
              <w:widowControl/>
              <w:adjustRightInd/>
              <w:spacing w:line="240" w:lineRule="auto"/>
              <w:jc w:val="center"/>
              <w:rPr>
                <w:rFonts w:ascii="宋体" w:hAnsi="宋体" w:cs="宋体"/>
                <w:kern w:val="0"/>
                <w:sz w:val="18"/>
                <w:szCs w:val="18"/>
              </w:rPr>
            </w:pPr>
          </w:p>
        </w:tc>
        <w:tc>
          <w:tcPr>
            <w:tcW w:w="4114" w:type="dxa"/>
            <w:vAlign w:val="center"/>
          </w:tcPr>
          <w:p>
            <w:pPr>
              <w:widowControl/>
              <w:adjustRightInd/>
              <w:spacing w:line="240" w:lineRule="auto"/>
              <w:jc w:val="left"/>
              <w:rPr>
                <w:rFonts w:ascii="宋体" w:hAnsi="宋体" w:cs="宋体"/>
                <w:kern w:val="0"/>
                <w:sz w:val="18"/>
                <w:szCs w:val="18"/>
              </w:rPr>
            </w:pPr>
            <w:r>
              <w:rPr>
                <w:rFonts w:ascii="宋体" w:hAnsi="宋体"/>
                <w:kern w:val="0"/>
                <w:sz w:val="18"/>
                <w:szCs w:val="18"/>
              </w:rPr>
              <w:t>1.评价河流问卷调查数量不少于20份；</w:t>
            </w:r>
            <w:r>
              <w:rPr>
                <w:rFonts w:ascii="宋体" w:hAnsi="宋体"/>
                <w:kern w:val="0"/>
                <w:sz w:val="18"/>
                <w:szCs w:val="18"/>
              </w:rPr>
              <w:br w:type="textWrapping"/>
            </w:r>
            <w:r>
              <w:rPr>
                <w:rFonts w:ascii="宋体" w:hAnsi="宋体"/>
                <w:kern w:val="0"/>
                <w:sz w:val="18"/>
                <w:szCs w:val="18"/>
              </w:rPr>
              <w:t>2.满意度=答案为A和B的问题个数/问题总数。</w:t>
            </w:r>
          </w:p>
        </w:tc>
      </w:tr>
    </w:tbl>
    <w:p>
      <w:pPr>
        <w:pStyle w:val="57"/>
        <w:ind w:firstLine="420"/>
      </w:pPr>
    </w:p>
    <w:p>
      <w:pPr>
        <w:pStyle w:val="78"/>
        <w:spacing w:before="156" w:after="156"/>
      </w:pPr>
      <w:r>
        <w:rPr>
          <w:rFonts w:hint="eastAsia"/>
        </w:rPr>
        <w:t>适用湖泊水库</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243"/>
        <w:gridCol w:w="883"/>
        <w:gridCol w:w="4252"/>
        <w:gridCol w:w="1134"/>
        <w:gridCol w:w="1134"/>
        <w:gridCol w:w="4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88" w:type="dxa"/>
            <w:vAlign w:val="center"/>
          </w:tcPr>
          <w:p>
            <w:pPr>
              <w:pStyle w:val="57"/>
              <w:ind w:firstLine="0" w:firstLineChars="0"/>
              <w:jc w:val="center"/>
              <w:rPr>
                <w:rFonts w:hAnsi="宋体"/>
                <w:b/>
                <w:bCs/>
                <w:sz w:val="18"/>
                <w:szCs w:val="18"/>
              </w:rPr>
            </w:pPr>
            <w:r>
              <w:rPr>
                <w:rFonts w:hint="eastAsia" w:hAnsi="宋体"/>
                <w:b/>
                <w:bCs/>
                <w:sz w:val="18"/>
                <w:szCs w:val="18"/>
              </w:rPr>
              <w:t>评价内容</w:t>
            </w: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评价指标</w:t>
            </w:r>
          </w:p>
        </w:tc>
        <w:tc>
          <w:tcPr>
            <w:tcW w:w="883" w:type="dxa"/>
            <w:vAlign w:val="center"/>
          </w:tcPr>
          <w:p>
            <w:pPr>
              <w:pStyle w:val="57"/>
              <w:ind w:firstLine="0" w:firstLineChars="0"/>
              <w:jc w:val="center"/>
              <w:rPr>
                <w:rFonts w:hAnsi="宋体"/>
                <w:b/>
                <w:bCs/>
                <w:sz w:val="18"/>
                <w:szCs w:val="18"/>
              </w:rPr>
            </w:pPr>
            <w:r>
              <w:rPr>
                <w:rFonts w:hint="eastAsia" w:hAnsi="宋体"/>
                <w:b/>
                <w:bCs/>
                <w:sz w:val="18"/>
                <w:szCs w:val="18"/>
              </w:rPr>
              <w:t>序号</w:t>
            </w:r>
          </w:p>
        </w:tc>
        <w:tc>
          <w:tcPr>
            <w:tcW w:w="4252" w:type="dxa"/>
            <w:vAlign w:val="center"/>
          </w:tcPr>
          <w:p>
            <w:pPr>
              <w:pStyle w:val="57"/>
              <w:ind w:firstLine="0" w:firstLineChars="0"/>
              <w:jc w:val="center"/>
              <w:rPr>
                <w:rFonts w:hAnsi="宋体"/>
                <w:b/>
                <w:bCs/>
                <w:sz w:val="18"/>
                <w:szCs w:val="18"/>
              </w:rPr>
            </w:pPr>
            <w:r>
              <w:rPr>
                <w:rFonts w:hint="eastAsia" w:hAnsi="宋体"/>
                <w:b/>
                <w:bCs/>
                <w:sz w:val="18"/>
                <w:szCs w:val="18"/>
              </w:rPr>
              <w:t>评分标准</w:t>
            </w:r>
          </w:p>
        </w:tc>
        <w:tc>
          <w:tcPr>
            <w:tcW w:w="1134" w:type="dxa"/>
            <w:vAlign w:val="center"/>
          </w:tcPr>
          <w:p>
            <w:pPr>
              <w:pStyle w:val="57"/>
              <w:ind w:firstLine="0" w:firstLineChars="0"/>
              <w:jc w:val="center"/>
              <w:rPr>
                <w:rFonts w:hAnsi="宋体"/>
                <w:b/>
                <w:bCs/>
                <w:sz w:val="18"/>
                <w:szCs w:val="18"/>
              </w:rPr>
            </w:pPr>
            <w:r>
              <w:rPr>
                <w:rFonts w:hint="eastAsia" w:hAnsi="宋体"/>
                <w:b/>
                <w:bCs/>
                <w:sz w:val="18"/>
                <w:szCs w:val="18"/>
              </w:rPr>
              <w:t>分值</w:t>
            </w:r>
          </w:p>
        </w:tc>
        <w:tc>
          <w:tcPr>
            <w:tcW w:w="1134" w:type="dxa"/>
            <w:vAlign w:val="center"/>
          </w:tcPr>
          <w:p>
            <w:pPr>
              <w:pStyle w:val="57"/>
              <w:ind w:firstLine="0" w:firstLineChars="0"/>
              <w:jc w:val="center"/>
              <w:rPr>
                <w:rFonts w:hAnsi="宋体"/>
                <w:b/>
                <w:bCs/>
                <w:sz w:val="18"/>
                <w:szCs w:val="18"/>
              </w:rPr>
            </w:pPr>
            <w:r>
              <w:rPr>
                <w:rFonts w:hint="eastAsia" w:hAnsi="宋体"/>
                <w:b/>
                <w:bCs/>
                <w:sz w:val="18"/>
                <w:szCs w:val="18"/>
              </w:rPr>
              <w:t>评分</w:t>
            </w:r>
          </w:p>
        </w:tc>
        <w:tc>
          <w:tcPr>
            <w:tcW w:w="4189" w:type="dxa"/>
            <w:vAlign w:val="center"/>
          </w:tcPr>
          <w:p>
            <w:pPr>
              <w:pStyle w:val="57"/>
              <w:ind w:firstLine="0" w:firstLineChars="0"/>
              <w:jc w:val="center"/>
              <w:rPr>
                <w:rFonts w:hAnsi="宋体"/>
                <w:b/>
                <w:bCs/>
                <w:sz w:val="18"/>
                <w:szCs w:val="18"/>
              </w:rPr>
            </w:pPr>
            <w:r>
              <w:rPr>
                <w:rFonts w:hint="eastAsia" w:hAnsi="宋体"/>
                <w:b/>
                <w:bCs/>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restart"/>
            <w:vAlign w:val="center"/>
          </w:tcPr>
          <w:p>
            <w:pPr>
              <w:pStyle w:val="57"/>
              <w:ind w:firstLine="0" w:firstLineChars="0"/>
              <w:jc w:val="center"/>
              <w:rPr>
                <w:rFonts w:hAnsi="宋体"/>
                <w:b/>
                <w:bCs/>
                <w:sz w:val="18"/>
                <w:szCs w:val="18"/>
              </w:rPr>
            </w:pPr>
            <w:r>
              <w:rPr>
                <w:rFonts w:hint="eastAsia" w:hAnsi="宋体"/>
                <w:b/>
                <w:bCs/>
                <w:sz w:val="18"/>
                <w:szCs w:val="18"/>
              </w:rPr>
              <w:t>水安全(23分）</w:t>
            </w: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落实管护</w:t>
            </w:r>
          </w:p>
        </w:tc>
        <w:tc>
          <w:tcPr>
            <w:tcW w:w="883" w:type="dxa"/>
            <w:vAlign w:val="center"/>
          </w:tcPr>
          <w:p>
            <w:pPr>
              <w:pStyle w:val="57"/>
              <w:ind w:firstLine="0" w:firstLineChars="0"/>
              <w:jc w:val="center"/>
              <w:rPr>
                <w:rFonts w:hAnsi="宋体"/>
                <w:sz w:val="18"/>
                <w:szCs w:val="18"/>
              </w:rPr>
            </w:pPr>
            <w:r>
              <w:rPr>
                <w:rFonts w:hint="eastAsia" w:hAnsi="宋体"/>
                <w:sz w:val="18"/>
                <w:szCs w:val="18"/>
              </w:rPr>
              <w:t>1</w:t>
            </w:r>
          </w:p>
        </w:tc>
        <w:tc>
          <w:tcPr>
            <w:tcW w:w="4252" w:type="dxa"/>
            <w:vAlign w:val="center"/>
          </w:tcPr>
          <w:p>
            <w:pPr>
              <w:pStyle w:val="57"/>
              <w:ind w:firstLine="0" w:firstLineChars="0"/>
              <w:jc w:val="left"/>
              <w:rPr>
                <w:rFonts w:hAnsi="宋体"/>
                <w:sz w:val="18"/>
                <w:szCs w:val="18"/>
              </w:rPr>
            </w:pPr>
            <w:r>
              <w:rPr>
                <w:rFonts w:hint="eastAsia" w:hAnsi="宋体"/>
                <w:sz w:val="18"/>
                <w:szCs w:val="18"/>
              </w:rPr>
              <w:t>落实责任制，明确责任人。湖泊未落实管护主体的，扣6分；无管理制度的，扣3分。水库未落实大坝安全运行“三级责任人”的，扣6分；未落实防汛“三个责任人”的，扣6分；无“三级责任人”公示牌的，扣3分；无“三个责任人”公示牌的，扣3分；无防汛制度的，扣3分；无巡查记录的，扣3分；巡查记录不规范、不完善的，扣2分；扣完为止。</w:t>
            </w:r>
          </w:p>
        </w:tc>
        <w:tc>
          <w:tcPr>
            <w:tcW w:w="1134" w:type="dxa"/>
            <w:vAlign w:val="center"/>
          </w:tcPr>
          <w:p>
            <w:pPr>
              <w:pStyle w:val="57"/>
              <w:ind w:firstLine="0" w:firstLineChars="0"/>
              <w:jc w:val="center"/>
              <w:rPr>
                <w:rFonts w:hAnsi="宋体"/>
                <w:sz w:val="18"/>
                <w:szCs w:val="18"/>
              </w:rPr>
            </w:pPr>
            <w:r>
              <w:rPr>
                <w:rFonts w:hint="eastAsia" w:hAnsi="宋体"/>
                <w:sz w:val="18"/>
                <w:szCs w:val="18"/>
              </w:rPr>
              <w:t>6</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工程运行</w:t>
            </w:r>
          </w:p>
        </w:tc>
        <w:tc>
          <w:tcPr>
            <w:tcW w:w="883" w:type="dxa"/>
            <w:vAlign w:val="center"/>
          </w:tcPr>
          <w:p>
            <w:pPr>
              <w:pStyle w:val="57"/>
              <w:ind w:firstLine="0" w:firstLineChars="0"/>
              <w:jc w:val="center"/>
              <w:rPr>
                <w:rFonts w:hAnsi="宋体"/>
                <w:sz w:val="18"/>
                <w:szCs w:val="18"/>
              </w:rPr>
            </w:pPr>
            <w:r>
              <w:rPr>
                <w:rFonts w:hint="eastAsia" w:hAnsi="宋体"/>
                <w:sz w:val="18"/>
                <w:szCs w:val="18"/>
              </w:rPr>
              <w:t>2</w:t>
            </w:r>
          </w:p>
        </w:tc>
        <w:tc>
          <w:tcPr>
            <w:tcW w:w="4252" w:type="dxa"/>
            <w:vAlign w:val="center"/>
          </w:tcPr>
          <w:p>
            <w:pPr>
              <w:pStyle w:val="57"/>
              <w:ind w:firstLine="0" w:firstLineChars="0"/>
              <w:jc w:val="left"/>
              <w:rPr>
                <w:rFonts w:hAnsi="宋体"/>
                <w:sz w:val="18"/>
                <w:szCs w:val="18"/>
              </w:rPr>
            </w:pPr>
            <w:r>
              <w:rPr>
                <w:rFonts w:hint="eastAsia" w:hAnsi="宋体"/>
                <w:sz w:val="18"/>
                <w:szCs w:val="18"/>
              </w:rPr>
              <w:t>水利工程安全运行，挡水、输（引）水、泄水等工程设施管护良好、运行正常。工程存在风险隐患的，发现一处一般问题扣1分；发现一处较重及以上问题扣2分；扣完为止。</w:t>
            </w:r>
          </w:p>
        </w:tc>
        <w:tc>
          <w:tcPr>
            <w:tcW w:w="1134" w:type="dxa"/>
            <w:vAlign w:val="center"/>
          </w:tcPr>
          <w:p>
            <w:pPr>
              <w:pStyle w:val="57"/>
              <w:ind w:firstLine="0" w:firstLineChars="0"/>
              <w:jc w:val="center"/>
              <w:rPr>
                <w:rFonts w:hAnsi="宋体"/>
                <w:sz w:val="18"/>
                <w:szCs w:val="18"/>
              </w:rPr>
            </w:pPr>
            <w:r>
              <w:rPr>
                <w:rFonts w:hint="eastAsia" w:hAnsi="宋体"/>
                <w:sz w:val="18"/>
                <w:szCs w:val="18"/>
              </w:rPr>
              <w:t>6</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r>
              <w:rPr>
                <w:rFonts w:hint="eastAsia" w:hAnsi="宋体"/>
                <w:sz w:val="18"/>
                <w:szCs w:val="18"/>
              </w:rPr>
              <w:t>参考《水利部办公厅关于印发水利工程运行管理监督检查办法（试行）等5个监督检查办法问题清单（2020年版）的通知》（办监督〔2020〕124号），见（桂河长办〔2020〕16号）附件1。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预警预案</w:t>
            </w:r>
          </w:p>
        </w:tc>
        <w:tc>
          <w:tcPr>
            <w:tcW w:w="883" w:type="dxa"/>
            <w:vAlign w:val="center"/>
          </w:tcPr>
          <w:p>
            <w:pPr>
              <w:pStyle w:val="57"/>
              <w:ind w:firstLine="0" w:firstLineChars="0"/>
              <w:jc w:val="center"/>
              <w:rPr>
                <w:rFonts w:hAnsi="宋体"/>
                <w:sz w:val="18"/>
                <w:szCs w:val="18"/>
              </w:rPr>
            </w:pPr>
            <w:r>
              <w:rPr>
                <w:rFonts w:hint="eastAsia" w:hAnsi="宋体"/>
                <w:sz w:val="18"/>
                <w:szCs w:val="18"/>
              </w:rPr>
              <w:t>3</w:t>
            </w:r>
          </w:p>
        </w:tc>
        <w:tc>
          <w:tcPr>
            <w:tcW w:w="4252" w:type="dxa"/>
            <w:vAlign w:val="center"/>
          </w:tcPr>
          <w:p>
            <w:pPr>
              <w:pStyle w:val="57"/>
              <w:ind w:firstLine="0" w:firstLineChars="0"/>
              <w:jc w:val="left"/>
              <w:rPr>
                <w:rFonts w:hAnsi="宋体"/>
                <w:sz w:val="18"/>
                <w:szCs w:val="18"/>
              </w:rPr>
            </w:pPr>
            <w:r>
              <w:rPr>
                <w:rFonts w:hint="eastAsia" w:hAnsi="宋体"/>
                <w:sz w:val="18"/>
                <w:szCs w:val="18"/>
              </w:rPr>
              <w:t>“三个重点环节”落实，有水雨情测报、水库调度运行方案、水库大坝安全管理（防汛）应急预案。每少一项，扣1分；方案不完善、操作性不强的，扣0.5分；无应急预案演练、推演的，扣2分；扣完为止。有防汛任务的湖泊参照执行。</w:t>
            </w:r>
          </w:p>
        </w:tc>
        <w:tc>
          <w:tcPr>
            <w:tcW w:w="1134" w:type="dxa"/>
            <w:vAlign w:val="center"/>
          </w:tcPr>
          <w:p>
            <w:pPr>
              <w:pStyle w:val="57"/>
              <w:ind w:firstLine="0" w:firstLineChars="0"/>
              <w:jc w:val="center"/>
              <w:rPr>
                <w:rFonts w:hAnsi="宋体"/>
                <w:sz w:val="18"/>
                <w:szCs w:val="18"/>
              </w:rPr>
            </w:pPr>
            <w:r>
              <w:rPr>
                <w:rFonts w:hint="eastAsia" w:hAnsi="宋体"/>
                <w:sz w:val="18"/>
                <w:szCs w:val="18"/>
              </w:rPr>
              <w:t>5</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restart"/>
            <w:vAlign w:val="center"/>
          </w:tcPr>
          <w:p>
            <w:pPr>
              <w:pStyle w:val="57"/>
              <w:ind w:firstLine="0" w:firstLineChars="0"/>
              <w:jc w:val="center"/>
              <w:rPr>
                <w:rFonts w:hAnsi="宋体"/>
                <w:b/>
                <w:bCs/>
                <w:sz w:val="18"/>
                <w:szCs w:val="18"/>
              </w:rPr>
            </w:pPr>
            <w:r>
              <w:rPr>
                <w:rFonts w:hint="eastAsia" w:hAnsi="宋体"/>
                <w:b/>
                <w:bCs/>
                <w:sz w:val="18"/>
                <w:szCs w:val="18"/>
              </w:rPr>
              <w:t>安全管理</w:t>
            </w:r>
          </w:p>
        </w:tc>
        <w:tc>
          <w:tcPr>
            <w:tcW w:w="883" w:type="dxa"/>
            <w:vAlign w:val="center"/>
          </w:tcPr>
          <w:p>
            <w:pPr>
              <w:pStyle w:val="57"/>
              <w:ind w:firstLine="0" w:firstLineChars="0"/>
              <w:jc w:val="center"/>
              <w:rPr>
                <w:rFonts w:hAnsi="宋体"/>
                <w:sz w:val="18"/>
                <w:szCs w:val="18"/>
              </w:rPr>
            </w:pPr>
            <w:r>
              <w:rPr>
                <w:rFonts w:hint="eastAsia" w:hAnsi="宋体"/>
                <w:sz w:val="18"/>
                <w:szCs w:val="18"/>
              </w:rPr>
              <w:t>4</w:t>
            </w:r>
          </w:p>
        </w:tc>
        <w:tc>
          <w:tcPr>
            <w:tcW w:w="4252" w:type="dxa"/>
            <w:vAlign w:val="center"/>
          </w:tcPr>
          <w:p>
            <w:pPr>
              <w:pStyle w:val="57"/>
              <w:ind w:firstLine="0" w:firstLineChars="0"/>
              <w:jc w:val="left"/>
              <w:rPr>
                <w:rFonts w:hAnsi="宋体"/>
                <w:sz w:val="18"/>
                <w:szCs w:val="18"/>
              </w:rPr>
            </w:pPr>
            <w:r>
              <w:rPr>
                <w:rFonts w:hint="eastAsia" w:hAnsi="宋体"/>
                <w:sz w:val="18"/>
                <w:szCs w:val="18"/>
              </w:rPr>
              <w:t>在湖库危险位置设置安全警示标识。发现一处未按要求设置的，扣0.5分，扣完为止。</w:t>
            </w:r>
          </w:p>
        </w:tc>
        <w:tc>
          <w:tcPr>
            <w:tcW w:w="1134" w:type="dxa"/>
            <w:vAlign w:val="center"/>
          </w:tcPr>
          <w:p>
            <w:pPr>
              <w:pStyle w:val="57"/>
              <w:ind w:firstLine="0" w:firstLineChars="0"/>
              <w:jc w:val="center"/>
              <w:rPr>
                <w:rFonts w:hAnsi="宋体"/>
                <w:sz w:val="18"/>
                <w:szCs w:val="18"/>
              </w:rPr>
            </w:pPr>
            <w:r>
              <w:rPr>
                <w:rFonts w:hint="eastAsia" w:hAnsi="宋体"/>
                <w:sz w:val="18"/>
                <w:szCs w:val="18"/>
              </w:rPr>
              <w:t>3</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5</w:t>
            </w:r>
          </w:p>
        </w:tc>
        <w:tc>
          <w:tcPr>
            <w:tcW w:w="4252" w:type="dxa"/>
            <w:vAlign w:val="center"/>
          </w:tcPr>
          <w:p>
            <w:pPr>
              <w:pStyle w:val="57"/>
              <w:ind w:firstLine="0" w:firstLineChars="0"/>
              <w:jc w:val="left"/>
              <w:rPr>
                <w:rFonts w:hAnsi="宋体"/>
                <w:sz w:val="18"/>
                <w:szCs w:val="18"/>
              </w:rPr>
            </w:pPr>
            <w:r>
              <w:rPr>
                <w:rFonts w:hint="eastAsia" w:hAnsi="宋体"/>
                <w:sz w:val="18"/>
                <w:szCs w:val="18"/>
              </w:rPr>
              <w:t>在旅游开发、水上活动、人类活动密集、学校附近等湖库区域设置安全警示标识，配备必要的安全救生设施设备。发现一处未按要求设置的，扣0.5分，扣完为止。</w:t>
            </w:r>
          </w:p>
        </w:tc>
        <w:tc>
          <w:tcPr>
            <w:tcW w:w="1134" w:type="dxa"/>
            <w:vAlign w:val="center"/>
          </w:tcPr>
          <w:p>
            <w:pPr>
              <w:pStyle w:val="57"/>
              <w:ind w:firstLine="0" w:firstLineChars="0"/>
              <w:jc w:val="center"/>
              <w:rPr>
                <w:rFonts w:hAnsi="宋体"/>
                <w:sz w:val="18"/>
                <w:szCs w:val="18"/>
              </w:rPr>
            </w:pPr>
            <w:r>
              <w:rPr>
                <w:rFonts w:hint="eastAsia" w:hAnsi="宋体"/>
                <w:sz w:val="18"/>
                <w:szCs w:val="18"/>
              </w:rPr>
              <w:t>3</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Align w:val="center"/>
          </w:tcPr>
          <w:p>
            <w:pPr>
              <w:pStyle w:val="57"/>
              <w:ind w:firstLine="0" w:firstLineChars="0"/>
              <w:jc w:val="center"/>
              <w:rPr>
                <w:rFonts w:hAnsi="宋体"/>
                <w:b/>
                <w:bCs/>
                <w:sz w:val="18"/>
                <w:szCs w:val="18"/>
              </w:rPr>
            </w:pPr>
            <w:r>
              <w:rPr>
                <w:rFonts w:hint="eastAsia" w:hAnsi="宋体"/>
                <w:b/>
                <w:bCs/>
                <w:sz w:val="18"/>
                <w:szCs w:val="18"/>
              </w:rPr>
              <w:t>水资源(12分）</w:t>
            </w: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生态流量（水位）</w:t>
            </w:r>
          </w:p>
        </w:tc>
        <w:tc>
          <w:tcPr>
            <w:tcW w:w="883" w:type="dxa"/>
            <w:vAlign w:val="center"/>
          </w:tcPr>
          <w:p>
            <w:pPr>
              <w:pStyle w:val="57"/>
              <w:ind w:firstLine="0" w:firstLineChars="0"/>
              <w:jc w:val="center"/>
              <w:rPr>
                <w:rFonts w:hAnsi="宋体"/>
                <w:sz w:val="18"/>
                <w:szCs w:val="18"/>
              </w:rPr>
            </w:pPr>
            <w:r>
              <w:rPr>
                <w:rFonts w:hint="eastAsia" w:hAnsi="宋体"/>
                <w:sz w:val="18"/>
                <w:szCs w:val="18"/>
              </w:rPr>
              <w:t>6</w:t>
            </w:r>
          </w:p>
        </w:tc>
        <w:tc>
          <w:tcPr>
            <w:tcW w:w="4252" w:type="dxa"/>
            <w:vAlign w:val="center"/>
          </w:tcPr>
          <w:p>
            <w:pPr>
              <w:pStyle w:val="57"/>
              <w:ind w:firstLine="0" w:firstLineChars="0"/>
              <w:jc w:val="left"/>
              <w:rPr>
                <w:rFonts w:hAnsi="宋体"/>
                <w:sz w:val="18"/>
                <w:szCs w:val="18"/>
              </w:rPr>
            </w:pPr>
            <w:r>
              <w:rPr>
                <w:rFonts w:hint="eastAsia" w:hAnsi="宋体"/>
                <w:sz w:val="18"/>
                <w:szCs w:val="18"/>
              </w:rPr>
              <w:t>评价湖库为电站型的，应保障生态流量泄放。无生态流量目标或无生态流量泄放措施的，扣4分；有生态流量目标，不按目标泄放的，扣3分。</w:t>
            </w:r>
          </w:p>
        </w:tc>
        <w:tc>
          <w:tcPr>
            <w:tcW w:w="1134"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r>
              <w:rPr>
                <w:rFonts w:hint="eastAsia" w:hAnsi="宋体"/>
                <w:sz w:val="18"/>
                <w:szCs w:val="18"/>
              </w:rPr>
              <w:t>生态流量目标一般可从设计文件、环评文件、主管部门生态流量批复文件等文件获取。</w:t>
            </w:r>
          </w:p>
        </w:tc>
      </w:tr>
    </w:tbl>
    <w:p>
      <w:pPr>
        <w:pStyle w:val="57"/>
        <w:ind w:firstLine="420"/>
      </w:pPr>
    </w:p>
    <w:p>
      <w:pPr>
        <w:pStyle w:val="57"/>
        <w:spacing w:beforeLines="50" w:afterLines="50"/>
        <w:ind w:firstLine="0" w:firstLineChars="0"/>
        <w:jc w:val="center"/>
        <w:rPr>
          <w:rFonts w:ascii="黑体" w:hAnsi="黑体" w:eastAsia="黑体"/>
        </w:rPr>
      </w:pPr>
      <w:r>
        <w:rPr>
          <w:rFonts w:hint="eastAsia" w:ascii="黑体" w:hAnsi="黑体" w:eastAsia="黑体"/>
        </w:rPr>
        <w:t>表A.3  适用湖泊水库</w:t>
      </w:r>
      <w:r>
        <w:rPr>
          <w:rFonts w:hint="eastAsia" w:hAnsi="宋体"/>
        </w:rPr>
        <w:t>（续）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243"/>
        <w:gridCol w:w="883"/>
        <w:gridCol w:w="4365"/>
        <w:gridCol w:w="1021"/>
        <w:gridCol w:w="1134"/>
        <w:gridCol w:w="4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88" w:type="dxa"/>
            <w:vAlign w:val="center"/>
          </w:tcPr>
          <w:p>
            <w:pPr>
              <w:pStyle w:val="57"/>
              <w:ind w:firstLine="0" w:firstLineChars="0"/>
              <w:jc w:val="center"/>
              <w:rPr>
                <w:rFonts w:hAnsi="宋体"/>
                <w:b/>
                <w:bCs/>
                <w:sz w:val="18"/>
                <w:szCs w:val="18"/>
              </w:rPr>
            </w:pPr>
            <w:r>
              <w:rPr>
                <w:rFonts w:hint="eastAsia" w:hAnsi="宋体"/>
                <w:b/>
                <w:bCs/>
                <w:sz w:val="18"/>
                <w:szCs w:val="18"/>
              </w:rPr>
              <w:t>评价内容</w:t>
            </w: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评价指标</w:t>
            </w:r>
          </w:p>
        </w:tc>
        <w:tc>
          <w:tcPr>
            <w:tcW w:w="883" w:type="dxa"/>
            <w:vAlign w:val="center"/>
          </w:tcPr>
          <w:p>
            <w:pPr>
              <w:pStyle w:val="57"/>
              <w:ind w:firstLine="0" w:firstLineChars="0"/>
              <w:jc w:val="center"/>
              <w:rPr>
                <w:rFonts w:hAnsi="宋体"/>
                <w:b/>
                <w:bCs/>
                <w:sz w:val="18"/>
                <w:szCs w:val="18"/>
              </w:rPr>
            </w:pPr>
            <w:r>
              <w:rPr>
                <w:rFonts w:hint="eastAsia" w:hAnsi="宋体"/>
                <w:b/>
                <w:bCs/>
                <w:sz w:val="18"/>
                <w:szCs w:val="18"/>
              </w:rPr>
              <w:t>序号</w:t>
            </w:r>
          </w:p>
        </w:tc>
        <w:tc>
          <w:tcPr>
            <w:tcW w:w="4365" w:type="dxa"/>
            <w:vAlign w:val="center"/>
          </w:tcPr>
          <w:p>
            <w:pPr>
              <w:pStyle w:val="57"/>
              <w:ind w:firstLine="0" w:firstLineChars="0"/>
              <w:jc w:val="center"/>
              <w:rPr>
                <w:rFonts w:hAnsi="宋体"/>
                <w:b/>
                <w:bCs/>
                <w:sz w:val="18"/>
                <w:szCs w:val="18"/>
              </w:rPr>
            </w:pPr>
            <w:r>
              <w:rPr>
                <w:rFonts w:hint="eastAsia" w:hAnsi="宋体"/>
                <w:b/>
                <w:bCs/>
                <w:sz w:val="18"/>
                <w:szCs w:val="18"/>
              </w:rPr>
              <w:t>评分标准</w:t>
            </w:r>
          </w:p>
        </w:tc>
        <w:tc>
          <w:tcPr>
            <w:tcW w:w="1021" w:type="dxa"/>
            <w:vAlign w:val="center"/>
          </w:tcPr>
          <w:p>
            <w:pPr>
              <w:pStyle w:val="57"/>
              <w:ind w:firstLine="0" w:firstLineChars="0"/>
              <w:jc w:val="center"/>
              <w:rPr>
                <w:rFonts w:hAnsi="宋体"/>
                <w:b/>
                <w:bCs/>
                <w:sz w:val="18"/>
                <w:szCs w:val="18"/>
              </w:rPr>
            </w:pPr>
            <w:r>
              <w:rPr>
                <w:rFonts w:hint="eastAsia" w:hAnsi="宋体"/>
                <w:b/>
                <w:bCs/>
                <w:sz w:val="18"/>
                <w:szCs w:val="18"/>
              </w:rPr>
              <w:t>分值</w:t>
            </w:r>
          </w:p>
        </w:tc>
        <w:tc>
          <w:tcPr>
            <w:tcW w:w="1134" w:type="dxa"/>
            <w:vAlign w:val="center"/>
          </w:tcPr>
          <w:p>
            <w:pPr>
              <w:pStyle w:val="57"/>
              <w:ind w:firstLine="0" w:firstLineChars="0"/>
              <w:jc w:val="center"/>
              <w:rPr>
                <w:rFonts w:hAnsi="宋体"/>
                <w:b/>
                <w:bCs/>
                <w:sz w:val="18"/>
                <w:szCs w:val="18"/>
              </w:rPr>
            </w:pPr>
            <w:r>
              <w:rPr>
                <w:rFonts w:hint="eastAsia" w:hAnsi="宋体"/>
                <w:b/>
                <w:bCs/>
                <w:sz w:val="18"/>
                <w:szCs w:val="18"/>
              </w:rPr>
              <w:t>评分</w:t>
            </w:r>
          </w:p>
        </w:tc>
        <w:tc>
          <w:tcPr>
            <w:tcW w:w="4189" w:type="dxa"/>
            <w:vAlign w:val="center"/>
          </w:tcPr>
          <w:p>
            <w:pPr>
              <w:pStyle w:val="57"/>
              <w:ind w:firstLine="0" w:firstLineChars="0"/>
              <w:jc w:val="center"/>
              <w:rPr>
                <w:rFonts w:hAnsi="宋体"/>
                <w:b/>
                <w:bCs/>
                <w:sz w:val="18"/>
                <w:szCs w:val="18"/>
              </w:rPr>
            </w:pPr>
            <w:r>
              <w:rPr>
                <w:rFonts w:hint="eastAsia" w:hAnsi="宋体"/>
                <w:b/>
                <w:bCs/>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88" w:type="dxa"/>
            <w:vMerge w:val="restart"/>
            <w:vAlign w:val="center"/>
          </w:tcPr>
          <w:p>
            <w:pPr>
              <w:pStyle w:val="57"/>
              <w:ind w:firstLine="0" w:firstLineChars="0"/>
              <w:jc w:val="center"/>
              <w:rPr>
                <w:rFonts w:hAnsi="宋体"/>
                <w:b/>
                <w:bCs/>
                <w:sz w:val="18"/>
                <w:szCs w:val="18"/>
              </w:rPr>
            </w:pPr>
            <w:r>
              <w:rPr>
                <w:rFonts w:hint="eastAsia" w:hAnsi="宋体"/>
                <w:b/>
                <w:bCs/>
                <w:sz w:val="18"/>
                <w:szCs w:val="18"/>
              </w:rPr>
              <w:t>水资源(12分）</w:t>
            </w: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生态流量（水位）</w:t>
            </w:r>
          </w:p>
        </w:tc>
        <w:tc>
          <w:tcPr>
            <w:tcW w:w="883" w:type="dxa"/>
            <w:vAlign w:val="center"/>
          </w:tcPr>
          <w:p>
            <w:pPr>
              <w:pStyle w:val="57"/>
              <w:ind w:firstLine="0" w:firstLineChars="0"/>
              <w:jc w:val="center"/>
              <w:rPr>
                <w:rFonts w:hAnsi="宋体"/>
                <w:sz w:val="18"/>
                <w:szCs w:val="18"/>
              </w:rPr>
            </w:pPr>
            <w:r>
              <w:rPr>
                <w:rFonts w:hint="eastAsia" w:hAnsi="宋体"/>
                <w:sz w:val="18"/>
                <w:szCs w:val="18"/>
              </w:rPr>
              <w:t>7</w:t>
            </w:r>
          </w:p>
        </w:tc>
        <w:tc>
          <w:tcPr>
            <w:tcW w:w="4365" w:type="dxa"/>
            <w:vAlign w:val="center"/>
          </w:tcPr>
          <w:p>
            <w:pPr>
              <w:pStyle w:val="57"/>
              <w:ind w:firstLine="0" w:firstLineChars="0"/>
              <w:jc w:val="left"/>
              <w:rPr>
                <w:rFonts w:hAnsi="宋体"/>
                <w:sz w:val="18"/>
                <w:szCs w:val="18"/>
              </w:rPr>
            </w:pPr>
            <w:r>
              <w:rPr>
                <w:rFonts w:hint="eastAsia" w:hAnsi="宋体"/>
                <w:sz w:val="18"/>
                <w:szCs w:val="18"/>
              </w:rPr>
              <w:t>保障湖库最低生态水位（水深），防止湖库生态系统进一步退化。正常运行水库，水库水位不低于死水位。全年超6个月库水位低于死水位的，扣4分；全年少于等于6个月库水位低于死水位的，扣2分；全年库水位高于死水位的，不扣分。湖泊最低生态水位（水深）按规划或管理文件确定的最低水位（水深）限值确定，评价月份水位（水深）低于限值的，扣3分。</w:t>
            </w:r>
          </w:p>
        </w:tc>
        <w:tc>
          <w:tcPr>
            <w:tcW w:w="1021"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r>
              <w:rPr>
                <w:rFonts w:hint="eastAsia" w:hAnsi="宋体"/>
                <w:sz w:val="18"/>
                <w:szCs w:val="18"/>
              </w:rPr>
              <w:t>因工程安全、度汛、饮用水需求、灌溉需求等湖库水位低于死水位的时段除外，需提供佐证材料。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取水规范</w:t>
            </w:r>
          </w:p>
        </w:tc>
        <w:tc>
          <w:tcPr>
            <w:tcW w:w="883" w:type="dxa"/>
            <w:vAlign w:val="center"/>
          </w:tcPr>
          <w:p>
            <w:pPr>
              <w:pStyle w:val="57"/>
              <w:ind w:firstLine="0" w:firstLineChars="0"/>
              <w:jc w:val="center"/>
              <w:rPr>
                <w:rFonts w:hAnsi="宋体"/>
                <w:sz w:val="18"/>
                <w:szCs w:val="18"/>
              </w:rPr>
            </w:pPr>
            <w:r>
              <w:rPr>
                <w:rFonts w:hint="eastAsia" w:hAnsi="宋体"/>
                <w:sz w:val="18"/>
                <w:szCs w:val="18"/>
              </w:rPr>
              <w:t>8</w:t>
            </w:r>
          </w:p>
        </w:tc>
        <w:tc>
          <w:tcPr>
            <w:tcW w:w="4365" w:type="dxa"/>
            <w:vAlign w:val="center"/>
          </w:tcPr>
          <w:p>
            <w:pPr>
              <w:pStyle w:val="57"/>
              <w:ind w:firstLine="0" w:firstLineChars="0"/>
              <w:jc w:val="left"/>
              <w:rPr>
                <w:rFonts w:hAnsi="宋体"/>
                <w:sz w:val="18"/>
                <w:szCs w:val="18"/>
              </w:rPr>
            </w:pPr>
            <w:r>
              <w:rPr>
                <w:rFonts w:hint="eastAsia" w:hAnsi="宋体"/>
                <w:sz w:val="18"/>
                <w:szCs w:val="18"/>
              </w:rPr>
              <w:t>湖库取水口依法设置，管理规范，符合相关技术标准。存在非法设置取水口、超标取水等非法取水的，发现一处扣4分。</w:t>
            </w:r>
          </w:p>
        </w:tc>
        <w:tc>
          <w:tcPr>
            <w:tcW w:w="1021"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restart"/>
            <w:vAlign w:val="center"/>
          </w:tcPr>
          <w:p>
            <w:pPr>
              <w:pStyle w:val="57"/>
              <w:ind w:firstLine="0" w:firstLineChars="0"/>
              <w:jc w:val="center"/>
              <w:rPr>
                <w:rFonts w:hAnsi="宋体"/>
                <w:b/>
                <w:bCs/>
                <w:sz w:val="18"/>
                <w:szCs w:val="18"/>
              </w:rPr>
            </w:pPr>
            <w:r>
              <w:rPr>
                <w:rFonts w:hint="eastAsia" w:hAnsi="宋体"/>
                <w:b/>
                <w:bCs/>
                <w:sz w:val="18"/>
                <w:szCs w:val="18"/>
              </w:rPr>
              <w:t>水生态(12分）</w:t>
            </w:r>
          </w:p>
        </w:tc>
        <w:tc>
          <w:tcPr>
            <w:tcW w:w="1243" w:type="dxa"/>
            <w:vMerge w:val="restart"/>
            <w:vAlign w:val="center"/>
          </w:tcPr>
          <w:p>
            <w:pPr>
              <w:pStyle w:val="57"/>
              <w:ind w:firstLine="0" w:firstLineChars="0"/>
              <w:jc w:val="center"/>
              <w:rPr>
                <w:rFonts w:hAnsi="宋体"/>
                <w:b/>
                <w:bCs/>
                <w:sz w:val="18"/>
                <w:szCs w:val="18"/>
              </w:rPr>
            </w:pPr>
            <w:r>
              <w:rPr>
                <w:rFonts w:hint="eastAsia" w:hAnsi="宋体"/>
                <w:b/>
                <w:bCs/>
                <w:sz w:val="18"/>
                <w:szCs w:val="18"/>
              </w:rPr>
              <w:t>自然生态</w:t>
            </w:r>
          </w:p>
        </w:tc>
        <w:tc>
          <w:tcPr>
            <w:tcW w:w="883" w:type="dxa"/>
            <w:vAlign w:val="center"/>
          </w:tcPr>
          <w:p>
            <w:pPr>
              <w:pStyle w:val="57"/>
              <w:ind w:firstLine="0" w:firstLineChars="0"/>
              <w:jc w:val="center"/>
              <w:rPr>
                <w:rFonts w:hAnsi="宋体"/>
                <w:sz w:val="18"/>
                <w:szCs w:val="18"/>
              </w:rPr>
            </w:pPr>
            <w:r>
              <w:rPr>
                <w:rFonts w:hint="eastAsia" w:hAnsi="宋体"/>
                <w:sz w:val="18"/>
                <w:szCs w:val="18"/>
              </w:rPr>
              <w:t>9</w:t>
            </w:r>
          </w:p>
        </w:tc>
        <w:tc>
          <w:tcPr>
            <w:tcW w:w="4365" w:type="dxa"/>
            <w:vAlign w:val="center"/>
          </w:tcPr>
          <w:p>
            <w:pPr>
              <w:pStyle w:val="57"/>
              <w:ind w:firstLine="0" w:firstLineChars="0"/>
              <w:jc w:val="left"/>
              <w:rPr>
                <w:rFonts w:hAnsi="宋体"/>
                <w:sz w:val="18"/>
                <w:szCs w:val="18"/>
              </w:rPr>
            </w:pPr>
            <w:r>
              <w:rPr>
                <w:rFonts w:hint="eastAsia" w:hAnsi="宋体"/>
                <w:sz w:val="18"/>
                <w:szCs w:val="18"/>
              </w:rPr>
              <w:t>湖库景观自然优美、岸线宜弯则弯，保持原真性和完整性，弯道、深潭、浅滩、江心洲、滩地、滩林等自然风貌得到有效保护与修复。破坏、刻意改变湖库形态的，发现一处扣2分，扣完为止。</w:t>
            </w:r>
          </w:p>
        </w:tc>
        <w:tc>
          <w:tcPr>
            <w:tcW w:w="1021"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10</w:t>
            </w:r>
          </w:p>
        </w:tc>
        <w:tc>
          <w:tcPr>
            <w:tcW w:w="4365" w:type="dxa"/>
            <w:vAlign w:val="center"/>
          </w:tcPr>
          <w:p>
            <w:pPr>
              <w:pStyle w:val="57"/>
              <w:ind w:firstLine="0" w:firstLineChars="0"/>
              <w:jc w:val="left"/>
              <w:rPr>
                <w:rFonts w:hAnsi="宋体"/>
                <w:sz w:val="18"/>
                <w:szCs w:val="18"/>
              </w:rPr>
            </w:pPr>
            <w:r>
              <w:rPr>
                <w:rFonts w:hint="eastAsia" w:hAnsi="宋体"/>
                <w:sz w:val="18"/>
                <w:szCs w:val="18"/>
              </w:rPr>
              <w:t>湖库周边岸带植被覆盖完好，原生乔木得以保留，乔灌草、水陆植物搭配合理，鱼鸟等生物栖息繁衍环境良好。树种单一且不宜种植的，扣2分；湖库周边岸带植被破坏的，发现一处扣1分，扣完为止。</w:t>
            </w:r>
          </w:p>
        </w:tc>
        <w:tc>
          <w:tcPr>
            <w:tcW w:w="1021"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r>
              <w:rPr>
                <w:rFonts w:hint="eastAsia" w:hAnsi="宋体"/>
                <w:sz w:val="18"/>
                <w:szCs w:val="18"/>
              </w:rPr>
              <w:t>1.湖库岸坡：湖库临水边界线与岸顶之间范围；</w:t>
            </w:r>
            <w:r>
              <w:rPr>
                <w:rFonts w:hint="eastAsia" w:hAnsi="宋体"/>
                <w:sz w:val="18"/>
                <w:szCs w:val="18"/>
              </w:rPr>
              <w:br w:type="textWrapping"/>
            </w:r>
            <w:r>
              <w:rPr>
                <w:rFonts w:hint="eastAsia" w:hAnsi="宋体"/>
                <w:sz w:val="18"/>
                <w:szCs w:val="18"/>
              </w:rPr>
              <w:t>2.湖库岸带：湖库临水边界线与外沿控制线之间的范围；</w:t>
            </w:r>
            <w:r>
              <w:rPr>
                <w:rFonts w:hint="eastAsia" w:hAnsi="宋体"/>
                <w:sz w:val="18"/>
                <w:szCs w:val="18"/>
              </w:rPr>
              <w:br w:type="textWrapping"/>
            </w:r>
            <w:r>
              <w:rPr>
                <w:rFonts w:hint="eastAsia" w:hAnsi="宋体"/>
                <w:sz w:val="18"/>
                <w:szCs w:val="18"/>
              </w:rPr>
              <w:t>3.湖库消落带除外。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水生物保护</w:t>
            </w:r>
          </w:p>
        </w:tc>
        <w:tc>
          <w:tcPr>
            <w:tcW w:w="883" w:type="dxa"/>
            <w:vAlign w:val="center"/>
          </w:tcPr>
          <w:p>
            <w:pPr>
              <w:pStyle w:val="57"/>
              <w:ind w:firstLine="0" w:firstLineChars="0"/>
              <w:jc w:val="center"/>
              <w:rPr>
                <w:rFonts w:hAnsi="宋体"/>
                <w:sz w:val="18"/>
                <w:szCs w:val="18"/>
              </w:rPr>
            </w:pPr>
            <w:r>
              <w:rPr>
                <w:rFonts w:hint="eastAsia" w:hAnsi="宋体"/>
                <w:sz w:val="18"/>
                <w:szCs w:val="18"/>
              </w:rPr>
              <w:t>11</w:t>
            </w:r>
          </w:p>
        </w:tc>
        <w:tc>
          <w:tcPr>
            <w:tcW w:w="4365" w:type="dxa"/>
            <w:vAlign w:val="center"/>
          </w:tcPr>
          <w:p>
            <w:pPr>
              <w:pStyle w:val="57"/>
              <w:ind w:firstLine="0" w:firstLineChars="0"/>
              <w:jc w:val="left"/>
              <w:rPr>
                <w:rFonts w:hAnsi="宋体"/>
                <w:sz w:val="18"/>
                <w:szCs w:val="18"/>
              </w:rPr>
            </w:pPr>
            <w:r>
              <w:rPr>
                <w:rFonts w:hint="eastAsia" w:hAnsi="宋体"/>
                <w:sz w:val="18"/>
                <w:szCs w:val="18"/>
              </w:rPr>
              <w:t>水生生物保护良好。存在非法捕捞、电、毒、炸鱼等现象的，发现一起扣2分；存在有害外来入侵物种的，发现一种扣1分；扣完为止。</w:t>
            </w:r>
          </w:p>
        </w:tc>
        <w:tc>
          <w:tcPr>
            <w:tcW w:w="1021"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r>
              <w:rPr>
                <w:rFonts w:hAnsi="宋体"/>
                <w:sz w:val="18"/>
                <w:szCs w:val="18"/>
              </w:rPr>
              <w:t>有害外来入侵物种</w:t>
            </w:r>
            <w:r>
              <w:rPr>
                <w:rFonts w:hint="eastAsia" w:hAnsi="宋体"/>
                <w:sz w:val="18"/>
                <w:szCs w:val="18"/>
              </w:rPr>
              <w:t>参见</w:t>
            </w:r>
            <w:r>
              <w:rPr>
                <w:rFonts w:hAnsi="宋体"/>
                <w:sz w:val="18"/>
                <w:szCs w:val="18"/>
              </w:rPr>
              <w:t>生态环境部</w:t>
            </w:r>
            <w:r>
              <w:rPr>
                <w:rFonts w:hint="eastAsia" w:hAnsi="宋体"/>
                <w:sz w:val="18"/>
                <w:szCs w:val="18"/>
              </w:rPr>
              <w:t>发布的有害外来入侵物种名单。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restart"/>
            <w:vAlign w:val="center"/>
          </w:tcPr>
          <w:p>
            <w:pPr>
              <w:pStyle w:val="57"/>
              <w:ind w:firstLine="0" w:firstLineChars="0"/>
              <w:jc w:val="center"/>
              <w:rPr>
                <w:rFonts w:hAnsi="宋体"/>
                <w:b/>
                <w:bCs/>
                <w:sz w:val="18"/>
                <w:szCs w:val="18"/>
              </w:rPr>
            </w:pPr>
            <w:r>
              <w:rPr>
                <w:rFonts w:hint="eastAsia" w:hAnsi="宋体"/>
                <w:b/>
                <w:bCs/>
                <w:sz w:val="18"/>
                <w:szCs w:val="18"/>
              </w:rPr>
              <w:t>水环境(18分）</w:t>
            </w:r>
          </w:p>
        </w:tc>
        <w:tc>
          <w:tcPr>
            <w:tcW w:w="1243" w:type="dxa"/>
            <w:vMerge w:val="restart"/>
            <w:vAlign w:val="center"/>
          </w:tcPr>
          <w:p>
            <w:pPr>
              <w:pStyle w:val="57"/>
              <w:ind w:firstLine="0" w:firstLineChars="0"/>
              <w:jc w:val="center"/>
              <w:rPr>
                <w:rFonts w:hAnsi="宋体"/>
                <w:b/>
                <w:bCs/>
                <w:sz w:val="18"/>
                <w:szCs w:val="18"/>
              </w:rPr>
            </w:pPr>
            <w:r>
              <w:rPr>
                <w:rFonts w:hint="eastAsia" w:hAnsi="宋体"/>
                <w:b/>
                <w:bCs/>
                <w:sz w:val="18"/>
                <w:szCs w:val="18"/>
              </w:rPr>
              <w:t>湖库整洁</w:t>
            </w:r>
          </w:p>
        </w:tc>
        <w:tc>
          <w:tcPr>
            <w:tcW w:w="883" w:type="dxa"/>
            <w:vAlign w:val="center"/>
          </w:tcPr>
          <w:p>
            <w:pPr>
              <w:pStyle w:val="57"/>
              <w:ind w:firstLine="0" w:firstLineChars="0"/>
              <w:jc w:val="center"/>
              <w:rPr>
                <w:rFonts w:hAnsi="宋体"/>
                <w:sz w:val="18"/>
                <w:szCs w:val="18"/>
              </w:rPr>
            </w:pPr>
            <w:r>
              <w:rPr>
                <w:rFonts w:hint="eastAsia" w:hAnsi="宋体"/>
                <w:sz w:val="18"/>
                <w:szCs w:val="18"/>
              </w:rPr>
              <w:t>12</w:t>
            </w:r>
          </w:p>
        </w:tc>
        <w:tc>
          <w:tcPr>
            <w:tcW w:w="4365" w:type="dxa"/>
            <w:vAlign w:val="center"/>
          </w:tcPr>
          <w:p>
            <w:pPr>
              <w:pStyle w:val="57"/>
              <w:ind w:firstLine="0" w:firstLineChars="0"/>
              <w:jc w:val="left"/>
              <w:rPr>
                <w:rFonts w:hAnsi="宋体"/>
                <w:sz w:val="18"/>
                <w:szCs w:val="18"/>
              </w:rPr>
            </w:pPr>
            <w:r>
              <w:rPr>
                <w:rFonts w:hint="eastAsia" w:hAnsi="宋体"/>
                <w:sz w:val="18"/>
                <w:szCs w:val="18"/>
              </w:rPr>
              <w:t>湖库清洁卫生，湖库水面漂浮物（垃圾、油污、规模性水葫芦、蓝藻等）及时清理。发现一处问题扣1分，扣完为止。</w:t>
            </w:r>
          </w:p>
        </w:tc>
        <w:tc>
          <w:tcPr>
            <w:tcW w:w="1021"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13</w:t>
            </w:r>
          </w:p>
        </w:tc>
        <w:tc>
          <w:tcPr>
            <w:tcW w:w="4365" w:type="dxa"/>
            <w:vAlign w:val="center"/>
          </w:tcPr>
          <w:p>
            <w:pPr>
              <w:pStyle w:val="57"/>
              <w:ind w:firstLine="0" w:firstLineChars="0"/>
              <w:jc w:val="left"/>
              <w:rPr>
                <w:rFonts w:hAnsi="宋体"/>
                <w:sz w:val="18"/>
                <w:szCs w:val="18"/>
              </w:rPr>
            </w:pPr>
            <w:r>
              <w:rPr>
                <w:rFonts w:hint="eastAsia" w:hAnsi="宋体"/>
                <w:sz w:val="18"/>
                <w:szCs w:val="18"/>
              </w:rPr>
              <w:t>湖库沿岸不得设置垃圾堆放点，发现一处问题扣4分；不得堆放废弃物，发现一处问题扣1分，扣完为止。</w:t>
            </w:r>
          </w:p>
        </w:tc>
        <w:tc>
          <w:tcPr>
            <w:tcW w:w="1021"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center"/>
              <w:rPr>
                <w:rFonts w:hAnsi="宋体"/>
                <w:sz w:val="18"/>
                <w:szCs w:val="18"/>
              </w:rPr>
            </w:pPr>
          </w:p>
        </w:tc>
      </w:tr>
    </w:tbl>
    <w:p>
      <w:pPr>
        <w:pStyle w:val="57"/>
        <w:ind w:firstLine="420"/>
      </w:pPr>
    </w:p>
    <w:p>
      <w:pPr>
        <w:pStyle w:val="57"/>
        <w:spacing w:beforeLines="50" w:afterLines="50"/>
        <w:ind w:firstLine="0" w:firstLineChars="0"/>
        <w:jc w:val="center"/>
        <w:rPr>
          <w:rFonts w:ascii="黑体" w:hAnsi="黑体" w:eastAsia="黑体"/>
        </w:rPr>
      </w:pPr>
      <w:r>
        <w:rPr>
          <w:rFonts w:hint="eastAsia" w:ascii="黑体" w:hAnsi="黑体" w:eastAsia="黑体"/>
        </w:rPr>
        <w:t>表A.3  适用湖泊水库</w:t>
      </w:r>
      <w:r>
        <w:rPr>
          <w:rFonts w:hint="eastAsia" w:hAnsi="宋体"/>
        </w:rPr>
        <w:t>（续）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243"/>
        <w:gridCol w:w="883"/>
        <w:gridCol w:w="4252"/>
        <w:gridCol w:w="1134"/>
        <w:gridCol w:w="1134"/>
        <w:gridCol w:w="4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88" w:type="dxa"/>
            <w:vAlign w:val="center"/>
          </w:tcPr>
          <w:p>
            <w:pPr>
              <w:pStyle w:val="57"/>
              <w:ind w:firstLine="0" w:firstLineChars="0"/>
              <w:jc w:val="center"/>
              <w:rPr>
                <w:rFonts w:hAnsi="宋体"/>
                <w:b/>
                <w:bCs/>
                <w:sz w:val="18"/>
                <w:szCs w:val="18"/>
              </w:rPr>
            </w:pPr>
            <w:r>
              <w:rPr>
                <w:rFonts w:hint="eastAsia" w:hAnsi="宋体"/>
                <w:b/>
                <w:bCs/>
                <w:sz w:val="18"/>
                <w:szCs w:val="18"/>
              </w:rPr>
              <w:t>评价内容</w:t>
            </w: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评价指标</w:t>
            </w:r>
          </w:p>
        </w:tc>
        <w:tc>
          <w:tcPr>
            <w:tcW w:w="883" w:type="dxa"/>
            <w:vAlign w:val="center"/>
          </w:tcPr>
          <w:p>
            <w:pPr>
              <w:pStyle w:val="57"/>
              <w:ind w:firstLine="0" w:firstLineChars="0"/>
              <w:jc w:val="center"/>
              <w:rPr>
                <w:rFonts w:hAnsi="宋体"/>
                <w:b/>
                <w:bCs/>
                <w:sz w:val="18"/>
                <w:szCs w:val="18"/>
              </w:rPr>
            </w:pPr>
            <w:r>
              <w:rPr>
                <w:rFonts w:hint="eastAsia" w:hAnsi="宋体"/>
                <w:b/>
                <w:bCs/>
                <w:sz w:val="18"/>
                <w:szCs w:val="18"/>
              </w:rPr>
              <w:t>序号</w:t>
            </w:r>
          </w:p>
        </w:tc>
        <w:tc>
          <w:tcPr>
            <w:tcW w:w="4252" w:type="dxa"/>
            <w:vAlign w:val="center"/>
          </w:tcPr>
          <w:p>
            <w:pPr>
              <w:pStyle w:val="57"/>
              <w:ind w:firstLine="0" w:firstLineChars="0"/>
              <w:jc w:val="center"/>
              <w:rPr>
                <w:rFonts w:hAnsi="宋体"/>
                <w:b/>
                <w:bCs/>
                <w:sz w:val="18"/>
                <w:szCs w:val="18"/>
              </w:rPr>
            </w:pPr>
            <w:r>
              <w:rPr>
                <w:rFonts w:hint="eastAsia" w:hAnsi="宋体"/>
                <w:b/>
                <w:bCs/>
                <w:sz w:val="18"/>
                <w:szCs w:val="18"/>
              </w:rPr>
              <w:t>评分标准</w:t>
            </w:r>
          </w:p>
        </w:tc>
        <w:tc>
          <w:tcPr>
            <w:tcW w:w="1134" w:type="dxa"/>
            <w:vAlign w:val="center"/>
          </w:tcPr>
          <w:p>
            <w:pPr>
              <w:pStyle w:val="57"/>
              <w:ind w:firstLine="0" w:firstLineChars="0"/>
              <w:jc w:val="center"/>
              <w:rPr>
                <w:rFonts w:hAnsi="宋体"/>
                <w:b/>
                <w:bCs/>
                <w:sz w:val="18"/>
                <w:szCs w:val="18"/>
              </w:rPr>
            </w:pPr>
            <w:r>
              <w:rPr>
                <w:rFonts w:hint="eastAsia" w:hAnsi="宋体"/>
                <w:b/>
                <w:bCs/>
                <w:sz w:val="18"/>
                <w:szCs w:val="18"/>
              </w:rPr>
              <w:t>分值</w:t>
            </w:r>
          </w:p>
        </w:tc>
        <w:tc>
          <w:tcPr>
            <w:tcW w:w="1134" w:type="dxa"/>
            <w:vAlign w:val="center"/>
          </w:tcPr>
          <w:p>
            <w:pPr>
              <w:pStyle w:val="57"/>
              <w:ind w:firstLine="0" w:firstLineChars="0"/>
              <w:jc w:val="center"/>
              <w:rPr>
                <w:rFonts w:hAnsi="宋体"/>
                <w:b/>
                <w:bCs/>
                <w:sz w:val="18"/>
                <w:szCs w:val="18"/>
              </w:rPr>
            </w:pPr>
            <w:r>
              <w:rPr>
                <w:rFonts w:hint="eastAsia" w:hAnsi="宋体"/>
                <w:b/>
                <w:bCs/>
                <w:sz w:val="18"/>
                <w:szCs w:val="18"/>
              </w:rPr>
              <w:t>评分</w:t>
            </w:r>
          </w:p>
        </w:tc>
        <w:tc>
          <w:tcPr>
            <w:tcW w:w="4189" w:type="dxa"/>
            <w:vAlign w:val="center"/>
          </w:tcPr>
          <w:p>
            <w:pPr>
              <w:pStyle w:val="57"/>
              <w:ind w:firstLine="0" w:firstLineChars="0"/>
              <w:jc w:val="center"/>
              <w:rPr>
                <w:rFonts w:hAnsi="宋体"/>
                <w:b/>
                <w:bCs/>
                <w:sz w:val="18"/>
                <w:szCs w:val="18"/>
              </w:rPr>
            </w:pPr>
            <w:r>
              <w:rPr>
                <w:rFonts w:hint="eastAsia" w:hAnsi="宋体"/>
                <w:b/>
                <w:bCs/>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988" w:type="dxa"/>
            <w:vMerge w:val="restart"/>
            <w:vAlign w:val="center"/>
          </w:tcPr>
          <w:p>
            <w:pPr>
              <w:pStyle w:val="57"/>
              <w:ind w:firstLine="0" w:firstLineChars="0"/>
              <w:jc w:val="center"/>
              <w:rPr>
                <w:rFonts w:hAnsi="宋体"/>
                <w:b/>
                <w:bCs/>
                <w:sz w:val="18"/>
                <w:szCs w:val="18"/>
              </w:rPr>
            </w:pPr>
            <w:r>
              <w:rPr>
                <w:rFonts w:hint="eastAsia" w:hAnsi="宋体"/>
                <w:b/>
                <w:bCs/>
                <w:sz w:val="18"/>
                <w:szCs w:val="18"/>
              </w:rPr>
              <w:t>水环境(18分）</w:t>
            </w: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营养状态</w:t>
            </w:r>
          </w:p>
        </w:tc>
        <w:tc>
          <w:tcPr>
            <w:tcW w:w="883" w:type="dxa"/>
            <w:vAlign w:val="center"/>
          </w:tcPr>
          <w:p>
            <w:pPr>
              <w:pStyle w:val="57"/>
              <w:ind w:firstLine="0" w:firstLineChars="0"/>
              <w:jc w:val="center"/>
              <w:rPr>
                <w:rFonts w:hAnsi="宋体"/>
                <w:sz w:val="18"/>
                <w:szCs w:val="18"/>
              </w:rPr>
            </w:pPr>
            <w:r>
              <w:rPr>
                <w:rFonts w:hint="eastAsia" w:hAnsi="宋体"/>
                <w:sz w:val="18"/>
                <w:szCs w:val="18"/>
              </w:rPr>
              <w:t>14</w:t>
            </w:r>
          </w:p>
        </w:tc>
        <w:tc>
          <w:tcPr>
            <w:tcW w:w="4252" w:type="dxa"/>
            <w:vAlign w:val="center"/>
          </w:tcPr>
          <w:p>
            <w:pPr>
              <w:pStyle w:val="57"/>
              <w:ind w:firstLine="0" w:firstLineChars="0"/>
              <w:jc w:val="left"/>
              <w:rPr>
                <w:rFonts w:hAnsi="宋体"/>
                <w:sz w:val="18"/>
                <w:szCs w:val="18"/>
              </w:rPr>
            </w:pPr>
            <w:r>
              <w:rPr>
                <w:rFonts w:hint="eastAsia" w:hAnsi="宋体"/>
                <w:sz w:val="18"/>
                <w:szCs w:val="18"/>
              </w:rPr>
              <w:t>维护湖库水体环境质量。湖库营养状态为轻度富营养的，扣4分；营养状态为中度富营养的，扣6分；营养状态为重度富营养的，扣8分。</w:t>
            </w:r>
          </w:p>
        </w:tc>
        <w:tc>
          <w:tcPr>
            <w:tcW w:w="1134" w:type="dxa"/>
            <w:vAlign w:val="center"/>
          </w:tcPr>
          <w:p>
            <w:pPr>
              <w:pStyle w:val="57"/>
              <w:ind w:firstLine="0" w:firstLineChars="0"/>
              <w:jc w:val="center"/>
              <w:rPr>
                <w:rFonts w:hAnsi="宋体"/>
                <w:sz w:val="18"/>
                <w:szCs w:val="18"/>
              </w:rPr>
            </w:pPr>
            <w:r>
              <w:rPr>
                <w:rFonts w:hint="eastAsia" w:hAnsi="宋体"/>
                <w:sz w:val="18"/>
                <w:szCs w:val="18"/>
              </w:rPr>
              <w:t>8</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r>
              <w:rPr>
                <w:rFonts w:hint="eastAsia" w:hAnsi="宋体"/>
                <w:sz w:val="18"/>
                <w:szCs w:val="18"/>
              </w:rPr>
              <w:t>1.湖库依据《地表水资源质量评价技术规程》（SL395-2007）评价湖库富营养状态；</w:t>
            </w:r>
            <w:r>
              <w:rPr>
                <w:rFonts w:hint="eastAsia" w:hAnsi="宋体"/>
                <w:sz w:val="18"/>
                <w:szCs w:val="18"/>
              </w:rPr>
              <w:br w:type="textWrapping"/>
            </w:r>
            <w:r>
              <w:rPr>
                <w:rFonts w:hint="eastAsia" w:hAnsi="宋体"/>
                <w:sz w:val="18"/>
                <w:szCs w:val="18"/>
              </w:rPr>
              <w:t>2.有常规监测数据的，按全年平均值评价湖库营养状态；</w:t>
            </w:r>
            <w:r>
              <w:rPr>
                <w:rFonts w:hint="eastAsia" w:hAnsi="宋体"/>
                <w:sz w:val="18"/>
                <w:szCs w:val="18"/>
              </w:rPr>
              <w:br w:type="textWrapping"/>
            </w:r>
            <w:r>
              <w:rPr>
                <w:rFonts w:hint="eastAsia" w:hAnsi="宋体"/>
                <w:sz w:val="18"/>
                <w:szCs w:val="18"/>
              </w:rPr>
              <w:t>3.无常规监测的，按评价月份取样数据评价湖库营养状态。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人水和谐</w:t>
            </w:r>
          </w:p>
        </w:tc>
        <w:tc>
          <w:tcPr>
            <w:tcW w:w="883" w:type="dxa"/>
            <w:vAlign w:val="center"/>
          </w:tcPr>
          <w:p>
            <w:pPr>
              <w:pStyle w:val="57"/>
              <w:ind w:firstLine="0" w:firstLineChars="0"/>
              <w:jc w:val="center"/>
              <w:rPr>
                <w:rFonts w:hAnsi="宋体"/>
                <w:sz w:val="18"/>
                <w:szCs w:val="18"/>
              </w:rPr>
            </w:pPr>
            <w:r>
              <w:rPr>
                <w:rFonts w:hint="eastAsia" w:hAnsi="宋体"/>
                <w:sz w:val="18"/>
                <w:szCs w:val="18"/>
              </w:rPr>
              <w:t>15</w:t>
            </w:r>
          </w:p>
        </w:tc>
        <w:tc>
          <w:tcPr>
            <w:tcW w:w="4252" w:type="dxa"/>
            <w:vAlign w:val="center"/>
          </w:tcPr>
          <w:p>
            <w:pPr>
              <w:pStyle w:val="57"/>
              <w:ind w:firstLine="0" w:firstLineChars="0"/>
              <w:jc w:val="left"/>
              <w:rPr>
                <w:rFonts w:hAnsi="宋体"/>
                <w:sz w:val="18"/>
                <w:szCs w:val="18"/>
              </w:rPr>
            </w:pPr>
            <w:r>
              <w:rPr>
                <w:rFonts w:hint="eastAsia" w:hAnsi="宋体"/>
                <w:sz w:val="18"/>
                <w:szCs w:val="18"/>
              </w:rPr>
              <w:t>在人类活动密集区域合理设置滨水休闲区，在不影响安全的前提下，合理布置亲水便民配套设施，满足居民亲水需求。发现未经许可侵占湖库水域的，一处扣0.5分，扣完为止。</w:t>
            </w:r>
          </w:p>
        </w:tc>
        <w:tc>
          <w:tcPr>
            <w:tcW w:w="1134" w:type="dxa"/>
            <w:vAlign w:val="center"/>
          </w:tcPr>
          <w:p>
            <w:pPr>
              <w:pStyle w:val="57"/>
              <w:ind w:firstLine="0" w:firstLineChars="0"/>
              <w:jc w:val="center"/>
              <w:rPr>
                <w:rFonts w:hAnsi="宋体"/>
                <w:sz w:val="18"/>
                <w:szCs w:val="18"/>
              </w:rPr>
            </w:pPr>
            <w:r>
              <w:rPr>
                <w:rFonts w:hint="eastAsia" w:hAnsi="宋体"/>
                <w:sz w:val="18"/>
                <w:szCs w:val="18"/>
              </w:rPr>
              <w:t>2</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restart"/>
            <w:vAlign w:val="center"/>
          </w:tcPr>
          <w:p>
            <w:pPr>
              <w:pStyle w:val="57"/>
              <w:ind w:firstLine="0" w:firstLineChars="0"/>
              <w:jc w:val="center"/>
              <w:rPr>
                <w:rFonts w:hAnsi="宋体"/>
                <w:b/>
                <w:bCs/>
                <w:sz w:val="18"/>
                <w:szCs w:val="18"/>
              </w:rPr>
            </w:pPr>
            <w:r>
              <w:rPr>
                <w:rFonts w:hint="eastAsia" w:hAnsi="宋体"/>
                <w:b/>
                <w:bCs/>
                <w:sz w:val="18"/>
                <w:szCs w:val="18"/>
              </w:rPr>
              <w:t>水文化（6分）</w:t>
            </w:r>
          </w:p>
        </w:tc>
        <w:tc>
          <w:tcPr>
            <w:tcW w:w="1243" w:type="dxa"/>
            <w:vMerge w:val="restart"/>
            <w:vAlign w:val="center"/>
          </w:tcPr>
          <w:p>
            <w:pPr>
              <w:pStyle w:val="57"/>
              <w:ind w:firstLine="0" w:firstLineChars="0"/>
              <w:jc w:val="center"/>
              <w:rPr>
                <w:rFonts w:hAnsi="宋体"/>
                <w:b/>
                <w:bCs/>
                <w:sz w:val="18"/>
                <w:szCs w:val="18"/>
              </w:rPr>
            </w:pPr>
            <w:r>
              <w:rPr>
                <w:rFonts w:hint="eastAsia" w:hAnsi="宋体"/>
                <w:b/>
                <w:bCs/>
                <w:sz w:val="18"/>
                <w:szCs w:val="18"/>
              </w:rPr>
              <w:t>文化保护</w:t>
            </w:r>
          </w:p>
        </w:tc>
        <w:tc>
          <w:tcPr>
            <w:tcW w:w="883" w:type="dxa"/>
            <w:vAlign w:val="center"/>
          </w:tcPr>
          <w:p>
            <w:pPr>
              <w:pStyle w:val="57"/>
              <w:ind w:firstLine="0" w:firstLineChars="0"/>
              <w:jc w:val="center"/>
              <w:rPr>
                <w:rFonts w:hAnsi="宋体"/>
                <w:sz w:val="18"/>
                <w:szCs w:val="18"/>
              </w:rPr>
            </w:pPr>
            <w:r>
              <w:rPr>
                <w:rFonts w:hint="eastAsia" w:hAnsi="宋体"/>
                <w:sz w:val="18"/>
                <w:szCs w:val="18"/>
              </w:rPr>
              <w:t>16</w:t>
            </w:r>
          </w:p>
        </w:tc>
        <w:tc>
          <w:tcPr>
            <w:tcW w:w="4252" w:type="dxa"/>
            <w:vAlign w:val="center"/>
          </w:tcPr>
          <w:p>
            <w:pPr>
              <w:pStyle w:val="57"/>
              <w:ind w:firstLine="0" w:firstLineChars="0"/>
              <w:jc w:val="left"/>
              <w:rPr>
                <w:rFonts w:hAnsi="宋体"/>
                <w:sz w:val="18"/>
                <w:szCs w:val="18"/>
              </w:rPr>
            </w:pPr>
            <w:r>
              <w:rPr>
                <w:rFonts w:hint="eastAsia" w:hAnsi="宋体"/>
                <w:sz w:val="18"/>
                <w:szCs w:val="18"/>
              </w:rPr>
              <w:t>湖库及其沿岸历史文化古迹（古桥、古堰、古码头、古闸、古堤、古河道、古塘、古井、古建筑等）留存保护良好，得到有效保护和利用。有文化古迹，未有效保护的，扣4分。</w:t>
            </w:r>
          </w:p>
        </w:tc>
        <w:tc>
          <w:tcPr>
            <w:tcW w:w="1134"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17</w:t>
            </w:r>
          </w:p>
        </w:tc>
        <w:tc>
          <w:tcPr>
            <w:tcW w:w="4252" w:type="dxa"/>
            <w:vAlign w:val="center"/>
          </w:tcPr>
          <w:p>
            <w:pPr>
              <w:pStyle w:val="57"/>
              <w:ind w:firstLine="0" w:firstLineChars="0"/>
              <w:jc w:val="left"/>
              <w:rPr>
                <w:rFonts w:hAnsi="宋体"/>
                <w:sz w:val="18"/>
                <w:szCs w:val="18"/>
              </w:rPr>
            </w:pPr>
            <w:r>
              <w:rPr>
                <w:rFonts w:hint="eastAsia" w:hAnsi="宋体"/>
                <w:sz w:val="18"/>
                <w:szCs w:val="18"/>
              </w:rPr>
              <w:t>通过水文化相关活动或利用已有堤、堰、闸、桥等载体展示湖库水工程文化、治水文化等。无水文化建设的，扣2分。</w:t>
            </w:r>
          </w:p>
        </w:tc>
        <w:tc>
          <w:tcPr>
            <w:tcW w:w="1134" w:type="dxa"/>
            <w:vAlign w:val="center"/>
          </w:tcPr>
          <w:p>
            <w:pPr>
              <w:pStyle w:val="57"/>
              <w:ind w:firstLine="0" w:firstLineChars="0"/>
              <w:jc w:val="center"/>
              <w:rPr>
                <w:rFonts w:hAnsi="宋体"/>
                <w:sz w:val="18"/>
                <w:szCs w:val="18"/>
              </w:rPr>
            </w:pPr>
            <w:r>
              <w:rPr>
                <w:rFonts w:hint="eastAsia" w:hAnsi="宋体"/>
                <w:sz w:val="18"/>
                <w:szCs w:val="18"/>
              </w:rPr>
              <w:t>2</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r>
              <w:rPr>
                <w:rFonts w:hint="eastAsia" w:hAnsi="宋体"/>
                <w:sz w:val="18"/>
                <w:szCs w:val="18"/>
              </w:rPr>
              <w:t>水文化：指以水和水事活动为载体人们创造的一切与水有关文化现象的总称，包含了水利文化的全部内容。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restart"/>
            <w:vAlign w:val="center"/>
          </w:tcPr>
          <w:p>
            <w:pPr>
              <w:pStyle w:val="57"/>
              <w:ind w:firstLine="0" w:firstLineChars="0"/>
              <w:jc w:val="center"/>
              <w:rPr>
                <w:rFonts w:hAnsi="宋体"/>
                <w:b/>
                <w:bCs/>
                <w:sz w:val="18"/>
                <w:szCs w:val="18"/>
              </w:rPr>
            </w:pPr>
            <w:r>
              <w:rPr>
                <w:rFonts w:hint="eastAsia" w:hAnsi="宋体"/>
                <w:b/>
                <w:bCs/>
                <w:sz w:val="18"/>
                <w:szCs w:val="18"/>
              </w:rPr>
              <w:t>水管理（29分）</w:t>
            </w:r>
          </w:p>
        </w:tc>
        <w:tc>
          <w:tcPr>
            <w:tcW w:w="1243" w:type="dxa"/>
            <w:vMerge w:val="restart"/>
            <w:vAlign w:val="center"/>
          </w:tcPr>
          <w:p>
            <w:pPr>
              <w:pStyle w:val="57"/>
              <w:ind w:firstLine="0" w:firstLineChars="0"/>
              <w:jc w:val="center"/>
              <w:rPr>
                <w:rFonts w:hAnsi="宋体"/>
                <w:b/>
                <w:bCs/>
                <w:sz w:val="18"/>
                <w:szCs w:val="18"/>
              </w:rPr>
            </w:pPr>
            <w:r>
              <w:rPr>
                <w:rFonts w:hint="eastAsia" w:hAnsi="宋体"/>
                <w:b/>
                <w:bCs/>
                <w:sz w:val="18"/>
                <w:szCs w:val="18"/>
              </w:rPr>
              <w:t>湖库管控</w:t>
            </w:r>
          </w:p>
        </w:tc>
        <w:tc>
          <w:tcPr>
            <w:tcW w:w="883" w:type="dxa"/>
            <w:vAlign w:val="center"/>
          </w:tcPr>
          <w:p>
            <w:pPr>
              <w:pStyle w:val="57"/>
              <w:ind w:firstLine="0" w:firstLineChars="0"/>
              <w:jc w:val="center"/>
              <w:rPr>
                <w:rFonts w:hAnsi="宋体"/>
                <w:sz w:val="18"/>
                <w:szCs w:val="18"/>
              </w:rPr>
            </w:pPr>
            <w:r>
              <w:rPr>
                <w:rFonts w:hint="eastAsia" w:hAnsi="宋体"/>
                <w:sz w:val="18"/>
                <w:szCs w:val="18"/>
              </w:rPr>
              <w:t>18</w:t>
            </w:r>
          </w:p>
        </w:tc>
        <w:tc>
          <w:tcPr>
            <w:tcW w:w="4252" w:type="dxa"/>
            <w:vAlign w:val="center"/>
          </w:tcPr>
          <w:p>
            <w:pPr>
              <w:pStyle w:val="57"/>
              <w:ind w:firstLine="0" w:firstLineChars="0"/>
              <w:jc w:val="left"/>
              <w:rPr>
                <w:rFonts w:hAnsi="宋体"/>
                <w:sz w:val="18"/>
                <w:szCs w:val="18"/>
              </w:rPr>
            </w:pPr>
            <w:r>
              <w:rPr>
                <w:rFonts w:hint="eastAsia" w:hAnsi="宋体"/>
                <w:sz w:val="18"/>
                <w:szCs w:val="18"/>
              </w:rPr>
              <w:t>湖库按标准合理布设界桩、公示牌。未按照规定合理设置界桩的，扣2分；未按照规定合理布设河长公示牌的，扣2分；界桩、公示牌明显损坏的、信息未更新的，发现一处扣1分，扣完为止。</w:t>
            </w:r>
          </w:p>
        </w:tc>
        <w:tc>
          <w:tcPr>
            <w:tcW w:w="1134"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19</w:t>
            </w:r>
          </w:p>
        </w:tc>
        <w:tc>
          <w:tcPr>
            <w:tcW w:w="4252" w:type="dxa"/>
            <w:vAlign w:val="center"/>
          </w:tcPr>
          <w:p>
            <w:pPr>
              <w:pStyle w:val="57"/>
              <w:ind w:firstLine="0" w:firstLineChars="0"/>
              <w:jc w:val="left"/>
              <w:rPr>
                <w:rFonts w:hAnsi="宋体"/>
                <w:sz w:val="18"/>
                <w:szCs w:val="18"/>
              </w:rPr>
            </w:pPr>
            <w:r>
              <w:rPr>
                <w:rFonts w:hint="eastAsia" w:hAnsi="宋体"/>
                <w:sz w:val="18"/>
                <w:szCs w:val="18"/>
              </w:rPr>
              <w:t>湖库水域范围不存在影响工程安全运行、水生态环境的建筑物、构筑物等。发现一处问题扣2分，扣完为止。</w:t>
            </w:r>
          </w:p>
        </w:tc>
        <w:tc>
          <w:tcPr>
            <w:tcW w:w="1134"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20</w:t>
            </w:r>
          </w:p>
        </w:tc>
        <w:tc>
          <w:tcPr>
            <w:tcW w:w="4252" w:type="dxa"/>
            <w:vAlign w:val="center"/>
          </w:tcPr>
          <w:p>
            <w:pPr>
              <w:pStyle w:val="57"/>
              <w:ind w:firstLine="0" w:firstLineChars="0"/>
              <w:jc w:val="left"/>
              <w:rPr>
                <w:rFonts w:hAnsi="宋体"/>
                <w:sz w:val="18"/>
                <w:szCs w:val="18"/>
              </w:rPr>
            </w:pPr>
            <w:r>
              <w:rPr>
                <w:rFonts w:hint="eastAsia" w:hAnsi="宋体"/>
                <w:sz w:val="18"/>
                <w:szCs w:val="18"/>
              </w:rPr>
              <w:t>持续推进河湖“清四乱”常态化规范化。每发现1个严重问题扣7分、较重问题扣6分、一般问题扣5分，扣完为止。</w:t>
            </w:r>
          </w:p>
        </w:tc>
        <w:tc>
          <w:tcPr>
            <w:tcW w:w="1134" w:type="dxa"/>
            <w:vAlign w:val="center"/>
          </w:tcPr>
          <w:p>
            <w:pPr>
              <w:pStyle w:val="57"/>
              <w:ind w:firstLine="0" w:firstLineChars="0"/>
              <w:jc w:val="center"/>
              <w:rPr>
                <w:rFonts w:hAnsi="宋体"/>
                <w:sz w:val="18"/>
                <w:szCs w:val="18"/>
              </w:rPr>
            </w:pPr>
            <w:r>
              <w:rPr>
                <w:rFonts w:hint="eastAsia" w:hAnsi="宋体"/>
                <w:sz w:val="18"/>
                <w:szCs w:val="18"/>
              </w:rPr>
              <w:t>7</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center"/>
              <w:rPr>
                <w:rFonts w:hAnsi="宋体"/>
                <w:sz w:val="18"/>
                <w:szCs w:val="18"/>
              </w:rPr>
            </w:pPr>
            <w:r>
              <w:rPr>
                <w:rFonts w:hint="eastAsia" w:hAnsi="宋体"/>
                <w:sz w:val="18"/>
                <w:szCs w:val="18"/>
              </w:rPr>
              <w:t>问题严重程度参考水利部关于印发河湖管理监督检查办法（试行）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21</w:t>
            </w:r>
          </w:p>
        </w:tc>
        <w:tc>
          <w:tcPr>
            <w:tcW w:w="4252" w:type="dxa"/>
            <w:vAlign w:val="center"/>
          </w:tcPr>
          <w:p>
            <w:pPr>
              <w:pStyle w:val="57"/>
              <w:ind w:firstLine="0" w:firstLineChars="0"/>
              <w:jc w:val="left"/>
              <w:rPr>
                <w:rFonts w:hAnsi="宋体"/>
                <w:sz w:val="18"/>
                <w:szCs w:val="18"/>
              </w:rPr>
            </w:pPr>
            <w:r>
              <w:rPr>
                <w:rFonts w:hint="eastAsia" w:hAnsi="宋体"/>
                <w:sz w:val="18"/>
                <w:szCs w:val="18"/>
              </w:rPr>
              <w:t>湖库管护有保障。未落实管护人员的，扣2分；未落实管护经费的，扣2分。</w:t>
            </w:r>
          </w:p>
        </w:tc>
        <w:tc>
          <w:tcPr>
            <w:tcW w:w="1134"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center"/>
              <w:rPr>
                <w:rFonts w:hAnsi="宋体"/>
                <w:sz w:val="18"/>
                <w:szCs w:val="18"/>
              </w:rPr>
            </w:pPr>
          </w:p>
        </w:tc>
      </w:tr>
    </w:tbl>
    <w:p>
      <w:pPr>
        <w:pStyle w:val="57"/>
        <w:ind w:firstLine="420"/>
      </w:pPr>
    </w:p>
    <w:p>
      <w:pPr>
        <w:pStyle w:val="57"/>
        <w:spacing w:beforeLines="50" w:afterLines="50"/>
        <w:ind w:firstLine="0" w:firstLineChars="0"/>
        <w:jc w:val="center"/>
        <w:rPr>
          <w:rFonts w:ascii="黑体" w:hAnsi="黑体" w:eastAsia="黑体"/>
        </w:rPr>
      </w:pPr>
      <w:r>
        <w:rPr>
          <w:rFonts w:hint="eastAsia" w:ascii="黑体" w:hAnsi="黑体" w:eastAsia="黑体"/>
        </w:rPr>
        <w:t>表A.3  适用湖泊水库</w:t>
      </w:r>
      <w:r>
        <w:rPr>
          <w:rFonts w:hint="eastAsia" w:hAnsi="宋体"/>
        </w:rPr>
        <w:t>（续）</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243"/>
        <w:gridCol w:w="883"/>
        <w:gridCol w:w="4252"/>
        <w:gridCol w:w="1134"/>
        <w:gridCol w:w="1134"/>
        <w:gridCol w:w="4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88" w:type="dxa"/>
            <w:vAlign w:val="center"/>
          </w:tcPr>
          <w:p>
            <w:pPr>
              <w:pStyle w:val="57"/>
              <w:ind w:firstLine="0" w:firstLineChars="0"/>
              <w:jc w:val="center"/>
              <w:rPr>
                <w:rFonts w:hAnsi="宋体"/>
                <w:b/>
                <w:bCs/>
                <w:sz w:val="18"/>
                <w:szCs w:val="18"/>
              </w:rPr>
            </w:pPr>
            <w:r>
              <w:rPr>
                <w:rFonts w:hint="eastAsia" w:hAnsi="宋体"/>
                <w:b/>
                <w:bCs/>
                <w:sz w:val="18"/>
                <w:szCs w:val="18"/>
              </w:rPr>
              <w:t>评价内容</w:t>
            </w:r>
          </w:p>
        </w:tc>
        <w:tc>
          <w:tcPr>
            <w:tcW w:w="1243" w:type="dxa"/>
            <w:vAlign w:val="center"/>
          </w:tcPr>
          <w:p>
            <w:pPr>
              <w:pStyle w:val="57"/>
              <w:ind w:firstLine="0" w:firstLineChars="0"/>
              <w:jc w:val="center"/>
              <w:rPr>
                <w:rFonts w:hAnsi="宋体"/>
                <w:b/>
                <w:bCs/>
                <w:sz w:val="18"/>
                <w:szCs w:val="18"/>
              </w:rPr>
            </w:pPr>
            <w:r>
              <w:rPr>
                <w:rFonts w:hint="eastAsia" w:hAnsi="宋体"/>
                <w:b/>
                <w:bCs/>
                <w:sz w:val="18"/>
                <w:szCs w:val="18"/>
              </w:rPr>
              <w:t>评价指标</w:t>
            </w:r>
          </w:p>
        </w:tc>
        <w:tc>
          <w:tcPr>
            <w:tcW w:w="883" w:type="dxa"/>
            <w:vAlign w:val="center"/>
          </w:tcPr>
          <w:p>
            <w:pPr>
              <w:pStyle w:val="57"/>
              <w:ind w:firstLine="0" w:firstLineChars="0"/>
              <w:jc w:val="center"/>
              <w:rPr>
                <w:rFonts w:hAnsi="宋体"/>
                <w:b/>
                <w:bCs/>
                <w:sz w:val="18"/>
                <w:szCs w:val="18"/>
              </w:rPr>
            </w:pPr>
            <w:r>
              <w:rPr>
                <w:rFonts w:hint="eastAsia" w:hAnsi="宋体"/>
                <w:b/>
                <w:bCs/>
                <w:sz w:val="18"/>
                <w:szCs w:val="18"/>
              </w:rPr>
              <w:t>序号</w:t>
            </w:r>
          </w:p>
        </w:tc>
        <w:tc>
          <w:tcPr>
            <w:tcW w:w="4252" w:type="dxa"/>
            <w:vAlign w:val="center"/>
          </w:tcPr>
          <w:p>
            <w:pPr>
              <w:pStyle w:val="57"/>
              <w:ind w:firstLine="0" w:firstLineChars="0"/>
              <w:jc w:val="center"/>
              <w:rPr>
                <w:rFonts w:hAnsi="宋体"/>
                <w:b/>
                <w:bCs/>
                <w:sz w:val="18"/>
                <w:szCs w:val="18"/>
              </w:rPr>
            </w:pPr>
            <w:r>
              <w:rPr>
                <w:rFonts w:hint="eastAsia" w:hAnsi="宋体"/>
                <w:b/>
                <w:bCs/>
                <w:sz w:val="18"/>
                <w:szCs w:val="18"/>
              </w:rPr>
              <w:t>评分标准</w:t>
            </w:r>
          </w:p>
        </w:tc>
        <w:tc>
          <w:tcPr>
            <w:tcW w:w="1134" w:type="dxa"/>
            <w:vAlign w:val="center"/>
          </w:tcPr>
          <w:p>
            <w:pPr>
              <w:pStyle w:val="57"/>
              <w:ind w:firstLine="0" w:firstLineChars="0"/>
              <w:jc w:val="center"/>
              <w:rPr>
                <w:rFonts w:hAnsi="宋体"/>
                <w:b/>
                <w:bCs/>
                <w:sz w:val="18"/>
                <w:szCs w:val="18"/>
              </w:rPr>
            </w:pPr>
            <w:r>
              <w:rPr>
                <w:rFonts w:hint="eastAsia" w:hAnsi="宋体"/>
                <w:b/>
                <w:bCs/>
                <w:sz w:val="18"/>
                <w:szCs w:val="18"/>
              </w:rPr>
              <w:t>分值</w:t>
            </w:r>
          </w:p>
        </w:tc>
        <w:tc>
          <w:tcPr>
            <w:tcW w:w="1134" w:type="dxa"/>
            <w:vAlign w:val="center"/>
          </w:tcPr>
          <w:p>
            <w:pPr>
              <w:pStyle w:val="57"/>
              <w:ind w:firstLine="0" w:firstLineChars="0"/>
              <w:jc w:val="center"/>
              <w:rPr>
                <w:rFonts w:hAnsi="宋体"/>
                <w:b/>
                <w:bCs/>
                <w:sz w:val="18"/>
                <w:szCs w:val="18"/>
              </w:rPr>
            </w:pPr>
            <w:r>
              <w:rPr>
                <w:rFonts w:hint="eastAsia" w:hAnsi="宋体"/>
                <w:b/>
                <w:bCs/>
                <w:sz w:val="18"/>
                <w:szCs w:val="18"/>
              </w:rPr>
              <w:t>评分</w:t>
            </w:r>
          </w:p>
        </w:tc>
        <w:tc>
          <w:tcPr>
            <w:tcW w:w="4189" w:type="dxa"/>
            <w:vAlign w:val="center"/>
          </w:tcPr>
          <w:p>
            <w:pPr>
              <w:pStyle w:val="57"/>
              <w:ind w:firstLine="0" w:firstLineChars="0"/>
              <w:jc w:val="center"/>
              <w:rPr>
                <w:rFonts w:hAnsi="宋体"/>
                <w:b/>
                <w:bCs/>
                <w:sz w:val="18"/>
                <w:szCs w:val="18"/>
              </w:rPr>
            </w:pPr>
            <w:r>
              <w:rPr>
                <w:rFonts w:hint="eastAsia" w:hAnsi="宋体"/>
                <w:b/>
                <w:bCs/>
                <w:sz w:val="18"/>
                <w:szCs w:val="18"/>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restart"/>
            <w:vAlign w:val="center"/>
          </w:tcPr>
          <w:p>
            <w:pPr>
              <w:pStyle w:val="57"/>
              <w:ind w:firstLine="0" w:firstLineChars="0"/>
              <w:jc w:val="center"/>
              <w:rPr>
                <w:rFonts w:hAnsi="宋体"/>
                <w:b/>
                <w:bCs/>
                <w:sz w:val="18"/>
                <w:szCs w:val="18"/>
              </w:rPr>
            </w:pPr>
            <w:r>
              <w:rPr>
                <w:rFonts w:hint="eastAsia" w:hAnsi="宋体"/>
                <w:b/>
                <w:bCs/>
                <w:sz w:val="18"/>
                <w:szCs w:val="18"/>
              </w:rPr>
              <w:t>水管理（29分）</w:t>
            </w:r>
          </w:p>
        </w:tc>
        <w:tc>
          <w:tcPr>
            <w:tcW w:w="1243" w:type="dxa"/>
            <w:vMerge w:val="restart"/>
            <w:vAlign w:val="center"/>
          </w:tcPr>
          <w:p>
            <w:pPr>
              <w:pStyle w:val="57"/>
              <w:ind w:firstLine="0" w:firstLineChars="0"/>
              <w:jc w:val="center"/>
              <w:rPr>
                <w:rFonts w:hAnsi="宋体"/>
                <w:b/>
                <w:bCs/>
                <w:sz w:val="18"/>
                <w:szCs w:val="18"/>
              </w:rPr>
            </w:pPr>
            <w:r>
              <w:rPr>
                <w:rFonts w:hint="eastAsia" w:hAnsi="宋体"/>
                <w:b/>
                <w:bCs/>
                <w:sz w:val="18"/>
                <w:szCs w:val="18"/>
              </w:rPr>
              <w:t>公众参与</w:t>
            </w:r>
          </w:p>
        </w:tc>
        <w:tc>
          <w:tcPr>
            <w:tcW w:w="883" w:type="dxa"/>
            <w:vAlign w:val="center"/>
          </w:tcPr>
          <w:p>
            <w:pPr>
              <w:pStyle w:val="57"/>
              <w:ind w:firstLine="0" w:firstLineChars="0"/>
              <w:jc w:val="center"/>
              <w:rPr>
                <w:rFonts w:hAnsi="宋体"/>
                <w:sz w:val="18"/>
                <w:szCs w:val="18"/>
              </w:rPr>
            </w:pPr>
            <w:r>
              <w:rPr>
                <w:rFonts w:hint="eastAsia" w:hAnsi="宋体"/>
                <w:sz w:val="18"/>
                <w:szCs w:val="18"/>
              </w:rPr>
              <w:t>22</w:t>
            </w:r>
          </w:p>
        </w:tc>
        <w:tc>
          <w:tcPr>
            <w:tcW w:w="4252" w:type="dxa"/>
            <w:vAlign w:val="center"/>
          </w:tcPr>
          <w:p>
            <w:pPr>
              <w:pStyle w:val="57"/>
              <w:ind w:firstLine="0" w:firstLineChars="0"/>
              <w:jc w:val="left"/>
              <w:rPr>
                <w:rFonts w:hAnsi="宋体"/>
                <w:sz w:val="18"/>
                <w:szCs w:val="18"/>
              </w:rPr>
            </w:pPr>
            <w:r>
              <w:rPr>
                <w:rFonts w:hint="eastAsia" w:hAnsi="宋体"/>
                <w:sz w:val="18"/>
                <w:szCs w:val="18"/>
              </w:rPr>
              <w:t>湖库管护纳入村规民约，提高村民参与度。湖库管护未纳入村规民约的，扣2分。</w:t>
            </w:r>
          </w:p>
        </w:tc>
        <w:tc>
          <w:tcPr>
            <w:tcW w:w="1134" w:type="dxa"/>
            <w:vAlign w:val="center"/>
          </w:tcPr>
          <w:p>
            <w:pPr>
              <w:pStyle w:val="57"/>
              <w:ind w:firstLine="0" w:firstLineChars="0"/>
              <w:jc w:val="center"/>
              <w:rPr>
                <w:rFonts w:hAnsi="宋体"/>
                <w:sz w:val="18"/>
                <w:szCs w:val="18"/>
              </w:rPr>
            </w:pPr>
            <w:r>
              <w:rPr>
                <w:rFonts w:hint="eastAsia" w:hAnsi="宋体"/>
                <w:sz w:val="18"/>
                <w:szCs w:val="18"/>
              </w:rPr>
              <w:t>2</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23</w:t>
            </w:r>
          </w:p>
        </w:tc>
        <w:tc>
          <w:tcPr>
            <w:tcW w:w="4252" w:type="dxa"/>
            <w:vAlign w:val="center"/>
          </w:tcPr>
          <w:p>
            <w:pPr>
              <w:pStyle w:val="57"/>
              <w:ind w:firstLine="0" w:firstLineChars="0"/>
              <w:jc w:val="left"/>
              <w:rPr>
                <w:rFonts w:hAnsi="宋体"/>
                <w:sz w:val="18"/>
                <w:szCs w:val="18"/>
              </w:rPr>
            </w:pPr>
            <w:r>
              <w:rPr>
                <w:rFonts w:hint="eastAsia" w:hAnsi="宋体"/>
                <w:sz w:val="18"/>
                <w:szCs w:val="18"/>
              </w:rPr>
              <w:t>加强美丽幸福河湖宣传，对湖库周边村（居）民开展宣传。无任何宣传的，扣4分。</w:t>
            </w:r>
          </w:p>
        </w:tc>
        <w:tc>
          <w:tcPr>
            <w:tcW w:w="1134"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88" w:type="dxa"/>
            <w:vMerge w:val="continue"/>
            <w:vAlign w:val="center"/>
          </w:tcPr>
          <w:p>
            <w:pPr>
              <w:pStyle w:val="57"/>
              <w:ind w:firstLine="0" w:firstLineChars="0"/>
              <w:jc w:val="center"/>
              <w:rPr>
                <w:rFonts w:hAnsi="宋体"/>
                <w:b/>
                <w:bCs/>
                <w:sz w:val="18"/>
                <w:szCs w:val="18"/>
              </w:rPr>
            </w:pPr>
          </w:p>
        </w:tc>
        <w:tc>
          <w:tcPr>
            <w:tcW w:w="1243" w:type="dxa"/>
            <w:vMerge w:val="continue"/>
            <w:vAlign w:val="center"/>
          </w:tcPr>
          <w:p>
            <w:pPr>
              <w:pStyle w:val="57"/>
              <w:ind w:firstLine="0" w:firstLineChars="0"/>
              <w:jc w:val="center"/>
              <w:rPr>
                <w:rFonts w:hAnsi="宋体"/>
                <w:b/>
                <w:bCs/>
                <w:sz w:val="18"/>
                <w:szCs w:val="18"/>
              </w:rPr>
            </w:pPr>
          </w:p>
        </w:tc>
        <w:tc>
          <w:tcPr>
            <w:tcW w:w="883" w:type="dxa"/>
            <w:vAlign w:val="center"/>
          </w:tcPr>
          <w:p>
            <w:pPr>
              <w:pStyle w:val="57"/>
              <w:ind w:firstLine="0" w:firstLineChars="0"/>
              <w:jc w:val="center"/>
              <w:rPr>
                <w:rFonts w:hAnsi="宋体"/>
                <w:sz w:val="18"/>
                <w:szCs w:val="18"/>
              </w:rPr>
            </w:pPr>
            <w:r>
              <w:rPr>
                <w:rFonts w:hint="eastAsia" w:hAnsi="宋体"/>
                <w:sz w:val="18"/>
                <w:szCs w:val="18"/>
              </w:rPr>
              <w:t>24</w:t>
            </w:r>
          </w:p>
        </w:tc>
        <w:tc>
          <w:tcPr>
            <w:tcW w:w="4252" w:type="dxa"/>
            <w:vAlign w:val="center"/>
          </w:tcPr>
          <w:p>
            <w:pPr>
              <w:pStyle w:val="57"/>
              <w:ind w:firstLine="0" w:firstLineChars="0"/>
              <w:jc w:val="left"/>
              <w:rPr>
                <w:rFonts w:hAnsi="宋体"/>
                <w:sz w:val="18"/>
                <w:szCs w:val="18"/>
              </w:rPr>
            </w:pPr>
            <w:r>
              <w:rPr>
                <w:rFonts w:hint="eastAsia" w:hAnsi="宋体"/>
                <w:sz w:val="18"/>
                <w:szCs w:val="18"/>
              </w:rPr>
              <w:t>湖库周边居民满意度较高。满意度≥90%的，不扣分；80%≤满意度＜90%的，扣2分；70%≤满意度＜80%的，扣3分；满意度＜70%的，扣4分。</w:t>
            </w:r>
          </w:p>
        </w:tc>
        <w:tc>
          <w:tcPr>
            <w:tcW w:w="1134" w:type="dxa"/>
            <w:vAlign w:val="center"/>
          </w:tcPr>
          <w:p>
            <w:pPr>
              <w:pStyle w:val="57"/>
              <w:ind w:firstLine="0" w:firstLineChars="0"/>
              <w:jc w:val="center"/>
              <w:rPr>
                <w:rFonts w:hAnsi="宋体"/>
                <w:sz w:val="18"/>
                <w:szCs w:val="18"/>
              </w:rPr>
            </w:pPr>
            <w:r>
              <w:rPr>
                <w:rFonts w:hint="eastAsia" w:hAnsi="宋体"/>
                <w:sz w:val="18"/>
                <w:szCs w:val="18"/>
              </w:rPr>
              <w:t>4</w:t>
            </w:r>
          </w:p>
        </w:tc>
        <w:tc>
          <w:tcPr>
            <w:tcW w:w="1134" w:type="dxa"/>
            <w:vAlign w:val="center"/>
          </w:tcPr>
          <w:p>
            <w:pPr>
              <w:pStyle w:val="57"/>
              <w:ind w:firstLine="0" w:firstLineChars="0"/>
              <w:jc w:val="center"/>
              <w:rPr>
                <w:rFonts w:hAnsi="宋体"/>
                <w:sz w:val="18"/>
                <w:szCs w:val="18"/>
              </w:rPr>
            </w:pPr>
          </w:p>
        </w:tc>
        <w:tc>
          <w:tcPr>
            <w:tcW w:w="4189" w:type="dxa"/>
            <w:vAlign w:val="center"/>
          </w:tcPr>
          <w:p>
            <w:pPr>
              <w:pStyle w:val="57"/>
              <w:ind w:firstLine="0" w:firstLineChars="0"/>
              <w:jc w:val="left"/>
              <w:rPr>
                <w:rFonts w:hAnsi="宋体"/>
                <w:sz w:val="18"/>
                <w:szCs w:val="18"/>
              </w:rPr>
            </w:pPr>
            <w:r>
              <w:rPr>
                <w:rFonts w:hint="eastAsia" w:hAnsi="宋体"/>
                <w:sz w:val="18"/>
                <w:szCs w:val="18"/>
              </w:rPr>
              <w:t>1.评价湖库问卷调查数量不少于20份；</w:t>
            </w:r>
            <w:r>
              <w:rPr>
                <w:rFonts w:hint="eastAsia" w:hAnsi="宋体"/>
                <w:sz w:val="18"/>
                <w:szCs w:val="18"/>
              </w:rPr>
              <w:br w:type="textWrapping"/>
            </w:r>
            <w:r>
              <w:rPr>
                <w:rFonts w:hint="eastAsia" w:hAnsi="宋体"/>
                <w:sz w:val="18"/>
                <w:szCs w:val="18"/>
              </w:rPr>
              <w:t>2.满意度=答案为A和B的问题个数/问题总数。</w:t>
            </w:r>
          </w:p>
        </w:tc>
      </w:tr>
    </w:tbl>
    <w:p>
      <w:pPr>
        <w:pStyle w:val="57"/>
        <w:ind w:firstLine="420"/>
        <w:sectPr>
          <w:headerReference r:id="rId14" w:type="default"/>
          <w:footerReference r:id="rId16" w:type="default"/>
          <w:headerReference r:id="rId15" w:type="even"/>
          <w:footerReference r:id="rId17" w:type="even"/>
          <w:pgSz w:w="16838" w:h="11906" w:orient="landscape"/>
          <w:pgMar w:top="1134" w:right="1871" w:bottom="1134" w:left="1134" w:header="1418" w:footer="1247" w:gutter="284"/>
          <w:cols w:space="425" w:num="1"/>
          <w:formProt w:val="0"/>
          <w:docGrid w:type="lines" w:linePitch="312" w:charSpace="0"/>
        </w:sectPr>
      </w:pPr>
    </w:p>
    <w:p>
      <w:pPr>
        <w:pStyle w:val="199"/>
        <w:rPr>
          <w:vanish w:val="0"/>
        </w:rPr>
      </w:pPr>
    </w:p>
    <w:p>
      <w:pPr>
        <w:pStyle w:val="200"/>
        <w:rPr>
          <w:vanish w:val="0"/>
        </w:rPr>
      </w:pPr>
    </w:p>
    <w:p>
      <w:pPr>
        <w:pStyle w:val="77"/>
        <w:spacing w:before="78" w:after="156"/>
        <w:ind w:left="0"/>
      </w:pPr>
      <w:r>
        <w:br w:type="textWrapping"/>
      </w:r>
      <w:bookmarkStart w:id="84" w:name="_Toc146035407"/>
      <w:r>
        <w:rPr>
          <w:rFonts w:hint="eastAsia"/>
        </w:rPr>
        <w:t>（规范性）</w:t>
      </w:r>
      <w:r>
        <w:br w:type="textWrapping"/>
      </w:r>
      <w:r>
        <w:rPr>
          <w:rFonts w:hint="eastAsia"/>
        </w:rPr>
        <w:t>广西美丽幸福河湖准入评估表</w:t>
      </w:r>
      <w:bookmarkEnd w:id="84"/>
    </w:p>
    <w:tbl>
      <w:tblPr>
        <w:tblStyle w:val="27"/>
        <w:tblW w:w="14174" w:type="dxa"/>
        <w:tblInd w:w="0" w:type="dxa"/>
        <w:tblLayout w:type="fixed"/>
        <w:tblCellMar>
          <w:top w:w="0" w:type="dxa"/>
          <w:left w:w="108" w:type="dxa"/>
          <w:bottom w:w="0" w:type="dxa"/>
          <w:right w:w="108" w:type="dxa"/>
        </w:tblCellMar>
      </w:tblPr>
      <w:tblGrid>
        <w:gridCol w:w="1242"/>
        <w:gridCol w:w="1701"/>
        <w:gridCol w:w="4815"/>
        <w:gridCol w:w="1302"/>
        <w:gridCol w:w="5114"/>
      </w:tblGrid>
      <w:tr>
        <w:tblPrEx>
          <w:tblCellMar>
            <w:top w:w="0" w:type="dxa"/>
            <w:left w:w="108" w:type="dxa"/>
            <w:bottom w:w="0" w:type="dxa"/>
            <w:right w:w="108" w:type="dxa"/>
          </w:tblCellMar>
        </w:tblPrEx>
        <w:trPr>
          <w:trHeight w:val="600" w:hRule="atLeast"/>
        </w:trPr>
        <w:tc>
          <w:tcPr>
            <w:tcW w:w="124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评估内容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序号</w:t>
            </w:r>
          </w:p>
        </w:tc>
        <w:tc>
          <w:tcPr>
            <w:tcW w:w="48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评价指标</w:t>
            </w:r>
          </w:p>
        </w:tc>
        <w:tc>
          <w:tcPr>
            <w:tcW w:w="130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是否满足</w:t>
            </w:r>
          </w:p>
          <w:p>
            <w:pPr>
              <w:widowControl/>
              <w:spacing w:line="240" w:lineRule="auto"/>
              <w:jc w:val="center"/>
              <w:textAlignment w:val="center"/>
              <w:rPr>
                <w:rFonts w:cs="Calibri"/>
                <w:b/>
                <w:bCs/>
                <w:sz w:val="18"/>
                <w:szCs w:val="18"/>
              </w:rPr>
            </w:pPr>
            <w:r>
              <w:rPr>
                <w:rFonts w:cs="Calibri"/>
                <w:b/>
                <w:bCs/>
                <w:sz w:val="18"/>
                <w:szCs w:val="18"/>
              </w:rPr>
              <w:t>（是/否）</w:t>
            </w:r>
          </w:p>
        </w:tc>
        <w:tc>
          <w:tcPr>
            <w:tcW w:w="511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准入条件说明</w:t>
            </w:r>
          </w:p>
        </w:tc>
      </w:tr>
      <w:tr>
        <w:tblPrEx>
          <w:tblCellMar>
            <w:top w:w="0" w:type="dxa"/>
            <w:left w:w="108" w:type="dxa"/>
            <w:bottom w:w="0" w:type="dxa"/>
            <w:right w:w="108" w:type="dxa"/>
          </w:tblCellMar>
        </w:tblPrEx>
        <w:trPr>
          <w:trHeight w:val="806" w:hRule="atLeast"/>
        </w:trPr>
        <w:tc>
          <w:tcPr>
            <w:tcW w:w="124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管理体系</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sz w:val="18"/>
                <w:szCs w:val="18"/>
              </w:rPr>
            </w:pPr>
            <w:r>
              <w:rPr>
                <w:rFonts w:cs="Calibri"/>
                <w:sz w:val="18"/>
                <w:szCs w:val="18"/>
              </w:rPr>
              <w:t>1</w:t>
            </w:r>
          </w:p>
        </w:tc>
        <w:tc>
          <w:tcPr>
            <w:tcW w:w="48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r>
              <w:rPr>
                <w:rFonts w:hint="eastAsia" w:cs="Calibri"/>
                <w:sz w:val="18"/>
                <w:szCs w:val="18"/>
              </w:rPr>
              <w:t>河湖长制体系健全，各级河湖长、成员单位职责明确</w:t>
            </w:r>
            <w:r>
              <w:rPr>
                <w:rFonts w:cs="Calibri"/>
                <w:sz w:val="18"/>
                <w:szCs w:val="18"/>
              </w:rPr>
              <w:t>。</w:t>
            </w:r>
          </w:p>
        </w:tc>
        <w:tc>
          <w:tcPr>
            <w:tcW w:w="1302"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rPr>
                <w:rFonts w:cs="Calibri"/>
                <w:sz w:val="18"/>
                <w:szCs w:val="18"/>
              </w:rPr>
            </w:pPr>
          </w:p>
        </w:tc>
        <w:tc>
          <w:tcPr>
            <w:tcW w:w="5114" w:type="dxa"/>
            <w:tcBorders>
              <w:top w:val="single" w:color="000000" w:sz="4" w:space="0"/>
              <w:left w:val="single" w:color="000000" w:sz="4" w:space="0"/>
              <w:bottom w:val="single" w:color="000000" w:sz="4" w:space="0"/>
              <w:right w:val="single" w:color="000000" w:sz="4" w:space="0"/>
            </w:tcBorders>
            <w:vAlign w:val="center"/>
          </w:tcPr>
          <w:p>
            <w:pPr>
              <w:spacing w:line="240" w:lineRule="auto"/>
              <w:rPr>
                <w:rFonts w:cs="Calibri"/>
                <w:sz w:val="18"/>
                <w:szCs w:val="18"/>
              </w:rPr>
            </w:pPr>
          </w:p>
        </w:tc>
      </w:tr>
      <w:tr>
        <w:tblPrEx>
          <w:tblCellMar>
            <w:top w:w="0" w:type="dxa"/>
            <w:left w:w="108" w:type="dxa"/>
            <w:bottom w:w="0" w:type="dxa"/>
            <w:right w:w="108" w:type="dxa"/>
          </w:tblCellMar>
        </w:tblPrEx>
        <w:trPr>
          <w:trHeight w:val="989" w:hRule="atLeast"/>
        </w:trPr>
        <w:tc>
          <w:tcPr>
            <w:tcW w:w="124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hint="eastAsia" w:cs="Calibri"/>
                <w:b/>
                <w:bCs/>
                <w:sz w:val="18"/>
                <w:szCs w:val="18"/>
              </w:rPr>
              <w:t>安全保障</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sz w:val="18"/>
                <w:szCs w:val="18"/>
              </w:rPr>
            </w:pPr>
            <w:r>
              <w:rPr>
                <w:rFonts w:cs="Calibri"/>
                <w:sz w:val="18"/>
                <w:szCs w:val="18"/>
              </w:rPr>
              <w:t>2</w:t>
            </w:r>
          </w:p>
        </w:tc>
        <w:tc>
          <w:tcPr>
            <w:tcW w:w="48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r>
              <w:rPr>
                <w:rFonts w:hint="eastAsia" w:cs="Calibri"/>
                <w:sz w:val="18"/>
                <w:szCs w:val="18"/>
              </w:rPr>
              <w:t>沿岸设施无严重损坏，不存在危及人身安全的隐患。</w:t>
            </w:r>
          </w:p>
        </w:tc>
        <w:tc>
          <w:tcPr>
            <w:tcW w:w="1302"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rPr>
                <w:rFonts w:cs="Calibri"/>
                <w:sz w:val="18"/>
                <w:szCs w:val="18"/>
              </w:rPr>
            </w:pPr>
          </w:p>
        </w:tc>
        <w:tc>
          <w:tcPr>
            <w:tcW w:w="511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p>
        </w:tc>
      </w:tr>
      <w:tr>
        <w:tblPrEx>
          <w:tblCellMar>
            <w:top w:w="0" w:type="dxa"/>
            <w:left w:w="108" w:type="dxa"/>
            <w:bottom w:w="0" w:type="dxa"/>
            <w:right w:w="108" w:type="dxa"/>
          </w:tblCellMar>
        </w:tblPrEx>
        <w:trPr>
          <w:trHeight w:val="989" w:hRule="atLeast"/>
        </w:trPr>
        <w:tc>
          <w:tcPr>
            <w:tcW w:w="124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水质达标</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sz w:val="18"/>
                <w:szCs w:val="18"/>
              </w:rPr>
            </w:pPr>
            <w:r>
              <w:rPr>
                <w:rFonts w:cs="Calibri"/>
                <w:sz w:val="18"/>
                <w:szCs w:val="18"/>
              </w:rPr>
              <w:t>3</w:t>
            </w:r>
          </w:p>
        </w:tc>
        <w:tc>
          <w:tcPr>
            <w:tcW w:w="48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r>
              <w:rPr>
                <w:rFonts w:cs="Calibri"/>
                <w:sz w:val="18"/>
                <w:szCs w:val="18"/>
              </w:rPr>
              <w:t>河湖饮用水水源地水质全面达标；河湖水质达到水功能区标准或水环境质量改善目标；未划定水功能</w:t>
            </w:r>
            <w:r>
              <w:rPr>
                <w:rFonts w:hint="eastAsia" w:cs="Calibri"/>
                <w:sz w:val="18"/>
                <w:szCs w:val="18"/>
                <w:lang w:eastAsia="zh-CN"/>
              </w:rPr>
              <w:t>区</w:t>
            </w:r>
            <w:r>
              <w:rPr>
                <w:rFonts w:hint="eastAsia" w:cs="Calibri"/>
                <w:sz w:val="18"/>
                <w:szCs w:val="18"/>
                <w:lang w:val="en-US" w:eastAsia="zh-CN"/>
              </w:rPr>
              <w:t>划</w:t>
            </w:r>
            <w:r>
              <w:rPr>
                <w:rFonts w:cs="Calibri"/>
                <w:sz w:val="18"/>
                <w:szCs w:val="18"/>
              </w:rPr>
              <w:t>的河湖水质不低于III类。</w:t>
            </w:r>
          </w:p>
        </w:tc>
        <w:tc>
          <w:tcPr>
            <w:tcW w:w="1302"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rPr>
                <w:rFonts w:cs="Calibri"/>
                <w:sz w:val="18"/>
                <w:szCs w:val="18"/>
              </w:rPr>
            </w:pPr>
          </w:p>
        </w:tc>
        <w:tc>
          <w:tcPr>
            <w:tcW w:w="511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r>
              <w:rPr>
                <w:rFonts w:cs="Calibri"/>
                <w:sz w:val="18"/>
                <w:szCs w:val="18"/>
              </w:rPr>
              <w:t>1.数据来源可通过环保部门监测数据或现场取样化验获取；</w:t>
            </w:r>
          </w:p>
          <w:p>
            <w:pPr>
              <w:widowControl/>
              <w:spacing w:line="240" w:lineRule="auto"/>
              <w:jc w:val="left"/>
              <w:textAlignment w:val="center"/>
              <w:rPr>
                <w:rFonts w:cs="Calibri"/>
                <w:sz w:val="18"/>
                <w:szCs w:val="18"/>
              </w:rPr>
            </w:pPr>
            <w:r>
              <w:rPr>
                <w:rFonts w:cs="Calibri"/>
                <w:sz w:val="18"/>
                <w:szCs w:val="18"/>
              </w:rPr>
              <w:t>2.水质评价依据《地表水环境质量标准》（GB3838-2002)、《地表水环境质量评价办法(试行</w:t>
            </w:r>
            <w:r>
              <w:rPr>
                <w:rFonts w:hint="eastAsia" w:cs="Calibri"/>
                <w:sz w:val="18"/>
                <w:szCs w:val="18"/>
              </w:rPr>
              <w:t>）</w:t>
            </w:r>
            <w:r>
              <w:rPr>
                <w:rFonts w:cs="Calibri"/>
                <w:sz w:val="18"/>
                <w:szCs w:val="18"/>
              </w:rPr>
              <w:t>》。</w:t>
            </w:r>
          </w:p>
        </w:tc>
      </w:tr>
      <w:tr>
        <w:tblPrEx>
          <w:tblCellMar>
            <w:top w:w="0" w:type="dxa"/>
            <w:left w:w="108" w:type="dxa"/>
            <w:bottom w:w="0" w:type="dxa"/>
            <w:right w:w="108" w:type="dxa"/>
          </w:tblCellMar>
        </w:tblPrEx>
        <w:trPr>
          <w:trHeight w:val="832" w:hRule="atLeast"/>
        </w:trPr>
        <w:tc>
          <w:tcPr>
            <w:tcW w:w="124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生态流量</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sz w:val="18"/>
                <w:szCs w:val="18"/>
              </w:rPr>
            </w:pPr>
            <w:r>
              <w:rPr>
                <w:rFonts w:cs="Calibri"/>
                <w:sz w:val="18"/>
                <w:szCs w:val="18"/>
              </w:rPr>
              <w:t>4</w:t>
            </w:r>
          </w:p>
        </w:tc>
        <w:tc>
          <w:tcPr>
            <w:tcW w:w="48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r>
              <w:rPr>
                <w:rFonts w:cs="Calibri"/>
                <w:sz w:val="18"/>
                <w:szCs w:val="18"/>
              </w:rPr>
              <w:t>有效保障生态流量，未人为造成断流河段。</w:t>
            </w:r>
          </w:p>
        </w:tc>
        <w:tc>
          <w:tcPr>
            <w:tcW w:w="1302" w:type="dxa"/>
            <w:tcBorders>
              <w:top w:val="single" w:color="000000" w:sz="4" w:space="0"/>
              <w:left w:val="single" w:color="000000" w:sz="4" w:space="0"/>
              <w:bottom w:val="single" w:color="000000" w:sz="4" w:space="0"/>
              <w:right w:val="single" w:color="000000" w:sz="4" w:space="0"/>
            </w:tcBorders>
            <w:vAlign w:val="center"/>
          </w:tcPr>
          <w:p>
            <w:pPr>
              <w:spacing w:line="240" w:lineRule="auto"/>
              <w:rPr>
                <w:rFonts w:cs="Calibri"/>
                <w:sz w:val="18"/>
                <w:szCs w:val="18"/>
              </w:rPr>
            </w:pPr>
          </w:p>
        </w:tc>
        <w:tc>
          <w:tcPr>
            <w:tcW w:w="511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r>
              <w:rPr>
                <w:rFonts w:cs="Calibri"/>
                <w:sz w:val="18"/>
                <w:szCs w:val="18"/>
              </w:rPr>
              <w:t>主要指因人为活动修建拦水设施、过度引水等，造成河段长期断流或间隔断流。</w:t>
            </w:r>
          </w:p>
        </w:tc>
      </w:tr>
      <w:tr>
        <w:tblPrEx>
          <w:tblCellMar>
            <w:top w:w="0" w:type="dxa"/>
            <w:left w:w="108" w:type="dxa"/>
            <w:bottom w:w="0" w:type="dxa"/>
            <w:right w:w="108" w:type="dxa"/>
          </w:tblCellMar>
        </w:tblPrEx>
        <w:trPr>
          <w:trHeight w:val="839" w:hRule="atLeast"/>
        </w:trPr>
        <w:tc>
          <w:tcPr>
            <w:tcW w:w="124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水体环境</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sz w:val="18"/>
                <w:szCs w:val="18"/>
              </w:rPr>
            </w:pPr>
            <w:r>
              <w:rPr>
                <w:rFonts w:cs="Calibri"/>
                <w:sz w:val="18"/>
                <w:szCs w:val="18"/>
              </w:rPr>
              <w:t>5</w:t>
            </w:r>
          </w:p>
        </w:tc>
        <w:tc>
          <w:tcPr>
            <w:tcW w:w="48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r>
              <w:rPr>
                <w:rFonts w:cs="Calibri"/>
                <w:sz w:val="18"/>
                <w:szCs w:val="18"/>
              </w:rPr>
              <w:t>不存在黑臭水体，未出现大面积水华、藻类</w:t>
            </w:r>
            <w:r>
              <w:rPr>
                <w:rFonts w:hint="eastAsia" w:cs="Calibri"/>
                <w:sz w:val="18"/>
                <w:szCs w:val="18"/>
              </w:rPr>
              <w:t>暴发</w:t>
            </w:r>
            <w:r>
              <w:rPr>
                <w:rFonts w:cs="Calibri"/>
                <w:sz w:val="18"/>
                <w:szCs w:val="18"/>
              </w:rPr>
              <w:t>等现象。</w:t>
            </w:r>
          </w:p>
        </w:tc>
        <w:tc>
          <w:tcPr>
            <w:tcW w:w="1302" w:type="dxa"/>
            <w:tcBorders>
              <w:top w:val="single" w:color="000000" w:sz="4" w:space="0"/>
              <w:left w:val="single" w:color="000000" w:sz="4" w:space="0"/>
              <w:bottom w:val="single" w:color="000000" w:sz="4" w:space="0"/>
              <w:right w:val="single" w:color="000000" w:sz="4" w:space="0"/>
            </w:tcBorders>
            <w:vAlign w:val="center"/>
          </w:tcPr>
          <w:p>
            <w:pPr>
              <w:spacing w:line="240" w:lineRule="auto"/>
              <w:rPr>
                <w:rFonts w:cs="Calibri"/>
                <w:sz w:val="18"/>
                <w:szCs w:val="18"/>
              </w:rPr>
            </w:pPr>
          </w:p>
        </w:tc>
        <w:tc>
          <w:tcPr>
            <w:tcW w:w="5114" w:type="dxa"/>
            <w:tcBorders>
              <w:top w:val="single" w:color="000000" w:sz="4" w:space="0"/>
              <w:left w:val="single" w:color="000000" w:sz="4" w:space="0"/>
              <w:bottom w:val="single" w:color="000000" w:sz="4" w:space="0"/>
              <w:right w:val="single" w:color="000000" w:sz="4" w:space="0"/>
            </w:tcBorders>
            <w:vAlign w:val="center"/>
          </w:tcPr>
          <w:p>
            <w:pPr>
              <w:spacing w:line="240" w:lineRule="auto"/>
              <w:rPr>
                <w:rFonts w:cs="Calibri"/>
                <w:sz w:val="18"/>
                <w:szCs w:val="18"/>
              </w:rPr>
            </w:pPr>
          </w:p>
        </w:tc>
      </w:tr>
      <w:tr>
        <w:tblPrEx>
          <w:tblCellMar>
            <w:top w:w="0" w:type="dxa"/>
            <w:left w:w="108" w:type="dxa"/>
            <w:bottom w:w="0" w:type="dxa"/>
            <w:right w:w="108" w:type="dxa"/>
          </w:tblCellMar>
        </w:tblPrEx>
        <w:trPr>
          <w:trHeight w:val="1215" w:hRule="atLeast"/>
        </w:trPr>
        <w:tc>
          <w:tcPr>
            <w:tcW w:w="124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b/>
                <w:bCs/>
                <w:sz w:val="18"/>
                <w:szCs w:val="18"/>
              </w:rPr>
            </w:pPr>
            <w:r>
              <w:rPr>
                <w:rFonts w:cs="Calibri"/>
                <w:b/>
                <w:bCs/>
                <w:sz w:val="18"/>
                <w:szCs w:val="18"/>
              </w:rPr>
              <w:t>水事活动</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cs="Calibri"/>
                <w:sz w:val="18"/>
                <w:szCs w:val="18"/>
              </w:rPr>
            </w:pPr>
            <w:r>
              <w:rPr>
                <w:rFonts w:hint="eastAsia" w:cs="Calibri"/>
                <w:sz w:val="18"/>
                <w:szCs w:val="18"/>
              </w:rPr>
              <w:t>6</w:t>
            </w:r>
          </w:p>
        </w:tc>
        <w:tc>
          <w:tcPr>
            <w:tcW w:w="48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cs="Calibri"/>
                <w:sz w:val="18"/>
                <w:szCs w:val="18"/>
              </w:rPr>
            </w:pPr>
            <w:r>
              <w:rPr>
                <w:rFonts w:cs="Calibri"/>
                <w:sz w:val="18"/>
                <w:szCs w:val="18"/>
              </w:rPr>
              <w:t>未发生典型、重大涉水违法事件、水事纠纷、群体涉水投诉等。</w:t>
            </w:r>
          </w:p>
        </w:tc>
        <w:tc>
          <w:tcPr>
            <w:tcW w:w="1302" w:type="dxa"/>
            <w:tcBorders>
              <w:top w:val="single" w:color="000000" w:sz="4" w:space="0"/>
              <w:left w:val="single" w:color="000000" w:sz="4" w:space="0"/>
              <w:bottom w:val="single" w:color="000000" w:sz="4" w:space="0"/>
              <w:right w:val="single" w:color="000000" w:sz="4" w:space="0"/>
            </w:tcBorders>
            <w:vAlign w:val="center"/>
          </w:tcPr>
          <w:p>
            <w:pPr>
              <w:spacing w:line="240" w:lineRule="auto"/>
              <w:rPr>
                <w:rFonts w:cs="Calibri"/>
                <w:sz w:val="18"/>
                <w:szCs w:val="18"/>
              </w:rPr>
            </w:pPr>
          </w:p>
        </w:tc>
        <w:tc>
          <w:tcPr>
            <w:tcW w:w="5114" w:type="dxa"/>
            <w:tcBorders>
              <w:top w:val="single" w:color="000000" w:sz="4" w:space="0"/>
              <w:left w:val="single" w:color="000000" w:sz="4" w:space="0"/>
              <w:bottom w:val="single" w:color="000000" w:sz="4" w:space="0"/>
              <w:right w:val="single" w:color="000000" w:sz="4" w:space="0"/>
            </w:tcBorders>
            <w:vAlign w:val="center"/>
          </w:tcPr>
          <w:p>
            <w:pPr>
              <w:spacing w:line="240" w:lineRule="auto"/>
              <w:rPr>
                <w:rFonts w:cs="Calibri"/>
                <w:sz w:val="18"/>
                <w:szCs w:val="18"/>
              </w:rPr>
            </w:pPr>
          </w:p>
        </w:tc>
      </w:tr>
    </w:tbl>
    <w:p>
      <w:pPr>
        <w:pStyle w:val="57"/>
        <w:ind w:firstLine="420"/>
      </w:pPr>
    </w:p>
    <w:p>
      <w:pPr>
        <w:pStyle w:val="57"/>
        <w:ind w:firstLine="420"/>
      </w:pPr>
    </w:p>
    <w:p>
      <w:pPr>
        <w:pStyle w:val="57"/>
        <w:ind w:firstLine="420"/>
      </w:pPr>
    </w:p>
    <w:p>
      <w:pPr>
        <w:pStyle w:val="57"/>
        <w:ind w:firstLine="420"/>
        <w:sectPr>
          <w:pgSz w:w="16838" w:h="11906" w:orient="landscape"/>
          <w:pgMar w:top="1134" w:right="1871" w:bottom="1134" w:left="1134" w:header="1418" w:footer="1247" w:gutter="284"/>
          <w:cols w:space="425" w:num="1"/>
          <w:formProt w:val="0"/>
          <w:docGrid w:type="lines" w:linePitch="312" w:charSpace="0"/>
        </w:sectPr>
      </w:pPr>
    </w:p>
    <w:p>
      <w:pPr>
        <w:pStyle w:val="199"/>
        <w:rPr>
          <w:vanish w:val="0"/>
        </w:rPr>
      </w:pPr>
    </w:p>
    <w:p>
      <w:pPr>
        <w:pStyle w:val="199"/>
        <w:rPr>
          <w:vanish w:val="0"/>
        </w:rPr>
      </w:pPr>
    </w:p>
    <w:p>
      <w:pPr>
        <w:pStyle w:val="200"/>
        <w:rPr>
          <w:vanish w:val="0"/>
        </w:rPr>
      </w:pPr>
    </w:p>
    <w:p>
      <w:pPr>
        <w:pStyle w:val="77"/>
        <w:spacing w:before="78" w:after="156"/>
        <w:ind w:left="0"/>
      </w:pPr>
      <w:r>
        <w:br w:type="textWrapping"/>
      </w:r>
      <w:bookmarkStart w:id="85" w:name="_Toc146035408"/>
      <w:r>
        <w:rPr>
          <w:rFonts w:hint="eastAsia"/>
        </w:rPr>
        <w:t>（规范性）</w:t>
      </w:r>
      <w:r>
        <w:br w:type="textWrapping"/>
      </w:r>
      <w:r>
        <w:rPr>
          <w:rFonts w:hint="eastAsia"/>
          <w:lang w:val="en-US" w:eastAsia="zh-CN"/>
        </w:rPr>
        <w:t>广西</w:t>
      </w:r>
      <w:r>
        <w:rPr>
          <w:rFonts w:hint="eastAsia"/>
        </w:rPr>
        <w:t>美丽幸福河湖推荐申请评定表</w:t>
      </w:r>
      <w:bookmarkEnd w:id="85"/>
    </w:p>
    <w:tbl>
      <w:tblPr>
        <w:tblStyle w:val="27"/>
        <w:tblW w:w="0" w:type="auto"/>
        <w:jc w:val="center"/>
        <w:tblLayout w:type="fixed"/>
        <w:tblCellMar>
          <w:top w:w="0" w:type="dxa"/>
          <w:left w:w="108" w:type="dxa"/>
          <w:bottom w:w="0" w:type="dxa"/>
          <w:right w:w="108" w:type="dxa"/>
        </w:tblCellMar>
      </w:tblPr>
      <w:tblGrid>
        <w:gridCol w:w="1419"/>
        <w:gridCol w:w="1420"/>
        <w:gridCol w:w="1420"/>
        <w:gridCol w:w="1420"/>
        <w:gridCol w:w="1420"/>
        <w:gridCol w:w="1423"/>
      </w:tblGrid>
      <w:tr>
        <w:tblPrEx>
          <w:tblCellMar>
            <w:top w:w="0" w:type="dxa"/>
            <w:left w:w="108" w:type="dxa"/>
            <w:bottom w:w="0" w:type="dxa"/>
            <w:right w:w="108" w:type="dxa"/>
          </w:tblCellMar>
        </w:tblPrEx>
        <w:trPr>
          <w:trHeight w:val="415" w:hRule="atLeast"/>
          <w:jc w:val="center"/>
        </w:trPr>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河湖名称</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起点位置</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bookmarkStart w:id="90" w:name="_GoBack"/>
            <w:bookmarkEnd w:id="90"/>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起点坐标</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r>
      <w:tr>
        <w:trPr>
          <w:trHeight w:val="415" w:hRule="atLeast"/>
          <w:jc w:val="center"/>
        </w:trPr>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所属水系</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终点位置</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终点坐标</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r>
      <w:tr>
        <w:tblPrEx>
          <w:tblCellMar>
            <w:top w:w="0" w:type="dxa"/>
            <w:left w:w="108" w:type="dxa"/>
            <w:bottom w:w="0" w:type="dxa"/>
            <w:right w:w="108" w:type="dxa"/>
          </w:tblCellMar>
        </w:tblPrEx>
        <w:trPr>
          <w:trHeight w:val="769" w:hRule="atLeast"/>
          <w:jc w:val="center"/>
        </w:trPr>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涉及县（市、区）</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申报类型</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担任河长最高级别</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r>
      <w:tr>
        <w:tblPrEx>
          <w:tblCellMar>
            <w:top w:w="0" w:type="dxa"/>
            <w:left w:w="108" w:type="dxa"/>
            <w:bottom w:w="0" w:type="dxa"/>
            <w:right w:w="108" w:type="dxa"/>
          </w:tblCellMar>
        </w:tblPrEx>
        <w:trPr>
          <w:trHeight w:val="415" w:hRule="atLeast"/>
          <w:jc w:val="center"/>
        </w:trPr>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河段长度（km）</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湖泊面积（km</w:t>
            </w:r>
            <w:r>
              <w:rPr>
                <w:rFonts w:cs="Calibri"/>
                <w:vertAlign w:val="superscript"/>
              </w:rPr>
              <w:t>2</w:t>
            </w:r>
            <w:r>
              <w:rPr>
                <w:rFonts w:cs="Calibri"/>
              </w:rPr>
              <w:t>）</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水库总库容（万m</w:t>
            </w:r>
            <w:r>
              <w:rPr>
                <w:rFonts w:cs="Calibri"/>
                <w:vertAlign w:val="superscript"/>
              </w:rPr>
              <w:t>3</w:t>
            </w:r>
            <w:r>
              <w:rPr>
                <w:rFonts w:cs="Calibri"/>
              </w:rPr>
              <w:t>）</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r>
      <w:tr>
        <w:tblPrEx>
          <w:tblCellMar>
            <w:top w:w="0" w:type="dxa"/>
            <w:left w:w="108" w:type="dxa"/>
            <w:bottom w:w="0" w:type="dxa"/>
            <w:right w:w="108" w:type="dxa"/>
          </w:tblCellMar>
        </w:tblPrEx>
        <w:trPr>
          <w:trHeight w:val="2786" w:hRule="atLeast"/>
          <w:jc w:val="center"/>
        </w:trPr>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河（湖）简介</w:t>
            </w:r>
          </w:p>
        </w:tc>
        <w:tc>
          <w:tcPr>
            <w:tcW w:w="710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240" w:lineRule="auto"/>
              <w:rPr>
                <w:rFonts w:cs="Calibri"/>
              </w:rPr>
            </w:pPr>
            <w:r>
              <w:rPr>
                <w:rFonts w:cs="Calibri"/>
              </w:rPr>
              <w:t>简要介绍河湖基本情况：包括河湖名称、位置、河湖主要指标（河道长度、河道岸线长度和范围、湖泊面积、湖岸线长度、水库库容、水库岸线长度、流域面积等）、流经县（市、区）、乡（镇）名称、河长信息（各级河长）、主要功能（行洪排涝、灌溉蓄水、航运交通、生态景观等）等内容。</w:t>
            </w:r>
          </w:p>
        </w:tc>
      </w:tr>
      <w:tr>
        <w:tblPrEx>
          <w:tblCellMar>
            <w:top w:w="0" w:type="dxa"/>
            <w:left w:w="108" w:type="dxa"/>
            <w:bottom w:w="0" w:type="dxa"/>
            <w:right w:w="108" w:type="dxa"/>
          </w:tblCellMar>
        </w:tblPrEx>
        <w:trPr>
          <w:trHeight w:val="2629" w:hRule="atLeast"/>
          <w:jc w:val="center"/>
        </w:trPr>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申报理由</w:t>
            </w:r>
          </w:p>
        </w:tc>
        <w:tc>
          <w:tcPr>
            <w:tcW w:w="7103"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rPr>
                <w:rFonts w:cs="Calibri"/>
              </w:rPr>
            </w:pPr>
            <w:r>
              <w:rPr>
                <w:rFonts w:cs="Calibri"/>
              </w:rPr>
              <w:t>（简要介绍）</w:t>
            </w:r>
            <w:r>
              <w:rPr>
                <w:rFonts w:cs="Calibri"/>
              </w:rPr>
              <w:br w:type="textWrapping"/>
            </w:r>
            <w:r>
              <w:rPr>
                <w:rFonts w:cs="Calibri"/>
              </w:rPr>
              <w:t>1.美丽幸福河湖建设基本情况：</w:t>
            </w:r>
            <w:r>
              <w:rPr>
                <w:rFonts w:cs="Calibri"/>
              </w:rPr>
              <w:br w:type="textWrapping"/>
            </w:r>
            <w:r>
              <w:rPr>
                <w:rFonts w:cs="Calibri"/>
              </w:rPr>
              <w:t>2.河湖主要特色：</w:t>
            </w:r>
            <w:r>
              <w:rPr>
                <w:rFonts w:cs="Calibri"/>
              </w:rPr>
              <w:br w:type="textWrapping"/>
            </w:r>
            <w:r>
              <w:rPr>
                <w:rFonts w:cs="Calibri"/>
              </w:rPr>
              <w:t>3.对照评价标准的自评（初评）结果：</w:t>
            </w:r>
          </w:p>
        </w:tc>
      </w:tr>
      <w:tr>
        <w:tblPrEx>
          <w:tblCellMar>
            <w:top w:w="0" w:type="dxa"/>
            <w:left w:w="108" w:type="dxa"/>
            <w:bottom w:w="0" w:type="dxa"/>
            <w:right w:w="108" w:type="dxa"/>
          </w:tblCellMar>
        </w:tblPrEx>
        <w:trPr>
          <w:trHeight w:val="2360" w:hRule="atLeast"/>
          <w:jc w:val="center"/>
        </w:trPr>
        <w:tc>
          <w:tcPr>
            <w:tcW w:w="8522" w:type="dxa"/>
            <w:gridSpan w:val="6"/>
            <w:tcBorders>
              <w:top w:val="single" w:color="000000" w:sz="4" w:space="0"/>
              <w:left w:val="single" w:color="000000" w:sz="4" w:space="0"/>
              <w:bottom w:val="single" w:color="000000" w:sz="4" w:space="0"/>
              <w:right w:val="single" w:color="000000" w:sz="4" w:space="0"/>
            </w:tcBorders>
          </w:tcPr>
          <w:p>
            <w:pPr>
              <w:widowControl/>
              <w:spacing w:line="240" w:lineRule="auto"/>
              <w:rPr>
                <w:rFonts w:cs="Calibri"/>
              </w:rPr>
            </w:pPr>
            <w:r>
              <w:rPr>
                <w:rFonts w:cs="Calibri"/>
              </w:rPr>
              <w:t>申报单位意见：</w:t>
            </w:r>
          </w:p>
          <w:p>
            <w:pPr>
              <w:widowControl/>
              <w:spacing w:line="240" w:lineRule="auto"/>
              <w:rPr>
                <w:rFonts w:cs="Calibri"/>
              </w:rPr>
            </w:pPr>
          </w:p>
          <w:p>
            <w:pPr>
              <w:widowControl/>
              <w:spacing w:line="240" w:lineRule="auto"/>
              <w:rPr>
                <w:rFonts w:cs="Calibri"/>
              </w:rPr>
            </w:pPr>
          </w:p>
          <w:p>
            <w:pPr>
              <w:widowControl/>
              <w:spacing w:line="240" w:lineRule="auto"/>
              <w:rPr>
                <w:rFonts w:cs="Calibri"/>
              </w:rPr>
            </w:pPr>
          </w:p>
          <w:p>
            <w:pPr>
              <w:widowControl/>
              <w:spacing w:line="240" w:lineRule="auto"/>
              <w:ind w:firstLine="4095" w:firstLineChars="1950"/>
              <w:rPr>
                <w:rFonts w:cs="Calibri"/>
              </w:rPr>
            </w:pPr>
            <w:r>
              <w:rPr>
                <w:rFonts w:cs="Calibri"/>
              </w:rPr>
              <w:t>申报单位（盖章）：</w:t>
            </w:r>
          </w:p>
          <w:p>
            <w:pPr>
              <w:widowControl/>
              <w:spacing w:line="240" w:lineRule="auto"/>
              <w:ind w:firstLine="4725" w:firstLineChars="2250"/>
              <w:rPr>
                <w:rFonts w:cs="Calibri"/>
              </w:rPr>
            </w:pPr>
            <w:r>
              <w:rPr>
                <w:rFonts w:cs="Calibri"/>
              </w:rPr>
              <w:t>负责人签字：</w:t>
            </w:r>
          </w:p>
          <w:p>
            <w:pPr>
              <w:widowControl/>
              <w:spacing w:line="240" w:lineRule="auto"/>
              <w:ind w:firstLine="4935" w:firstLineChars="2350"/>
              <w:rPr>
                <w:rFonts w:cs="Calibri"/>
              </w:rPr>
            </w:pPr>
            <w:r>
              <w:rPr>
                <w:rFonts w:cs="Calibri"/>
              </w:rPr>
              <w:t>申报日期：</w:t>
            </w:r>
          </w:p>
          <w:p>
            <w:pPr>
              <w:widowControl/>
              <w:spacing w:line="240" w:lineRule="auto"/>
              <w:rPr>
                <w:rFonts w:cs="Calibri"/>
              </w:rPr>
            </w:pPr>
          </w:p>
        </w:tc>
      </w:tr>
      <w:tr>
        <w:tblPrEx>
          <w:tblCellMar>
            <w:top w:w="0" w:type="dxa"/>
            <w:left w:w="108" w:type="dxa"/>
            <w:bottom w:w="0" w:type="dxa"/>
            <w:right w:w="108" w:type="dxa"/>
          </w:tblCellMar>
        </w:tblPrEx>
        <w:trPr>
          <w:trHeight w:val="400" w:hRule="atLeast"/>
          <w:jc w:val="center"/>
        </w:trPr>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联系人</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邮箱</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r>
              <w:rPr>
                <w:rFonts w:cs="Calibri"/>
              </w:rPr>
              <w:t>电话</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cs="Calibri"/>
              </w:rPr>
            </w:pPr>
          </w:p>
        </w:tc>
      </w:tr>
    </w:tbl>
    <w:p>
      <w:pPr>
        <w:pStyle w:val="180"/>
        <w:ind w:left="374"/>
        <w:rPr>
          <w:rFonts w:cs="黑体"/>
          <w:i/>
        </w:rPr>
      </w:pPr>
      <w:r>
        <w:rPr>
          <w:rFonts w:hint="eastAsia"/>
        </w:rPr>
        <w:t>1.申报类型填：</w:t>
      </w:r>
      <w:r>
        <w:t>城区段河流、乡村段河流、水库、湖泊</w:t>
      </w:r>
      <w:r>
        <w:rPr>
          <w:rFonts w:hint="eastAsia"/>
        </w:rPr>
        <w:t>；</w:t>
      </w:r>
    </w:p>
    <w:p>
      <w:pPr>
        <w:pStyle w:val="180"/>
        <w:numPr>
          <w:ilvl w:val="0"/>
          <w:numId w:val="0"/>
        </w:numPr>
        <w:ind w:left="374"/>
      </w:pPr>
      <w:r>
        <w:rPr>
          <w:rFonts w:hint="eastAsia"/>
        </w:rPr>
        <w:t xml:space="preserve"> 2.河段长度、湖泊面积、水库总库容，按照申报类型对应填写；</w:t>
      </w:r>
    </w:p>
    <w:p>
      <w:pPr>
        <w:pStyle w:val="180"/>
        <w:numPr>
          <w:ilvl w:val="0"/>
          <w:numId w:val="0"/>
        </w:numPr>
        <w:ind w:left="374" w:leftChars="178" w:firstLine="90" w:firstLineChars="50"/>
        <w:rPr>
          <w:rFonts w:cs="黑体"/>
          <w:i/>
        </w:rPr>
      </w:pPr>
      <w:r>
        <w:rPr>
          <w:rFonts w:hint="eastAsia"/>
        </w:rPr>
        <w:t>3.该表在完成自评（初评）后填报。</w:t>
      </w:r>
    </w:p>
    <w:p>
      <w:pPr>
        <w:pStyle w:val="57"/>
        <w:ind w:firstLine="420"/>
      </w:pPr>
    </w:p>
    <w:p>
      <w:pPr>
        <w:pStyle w:val="57"/>
        <w:ind w:firstLine="420"/>
        <w:sectPr>
          <w:headerReference r:id="rId18" w:type="default"/>
          <w:footerReference r:id="rId20" w:type="default"/>
          <w:headerReference r:id="rId19" w:type="even"/>
          <w:footerReference r:id="rId21" w:type="even"/>
          <w:pgSz w:w="11906" w:h="16838"/>
          <w:pgMar w:top="2410" w:right="1134" w:bottom="1134" w:left="1134" w:header="1418" w:footer="1134" w:gutter="284"/>
          <w:cols w:space="425" w:num="1"/>
          <w:formProt w:val="0"/>
          <w:docGrid w:type="lines" w:linePitch="312" w:charSpace="0"/>
        </w:sectPr>
      </w:pPr>
    </w:p>
    <w:p>
      <w:pPr>
        <w:pStyle w:val="199"/>
        <w:rPr>
          <w:vanish w:val="0"/>
        </w:rPr>
      </w:pPr>
    </w:p>
    <w:p>
      <w:pPr>
        <w:pStyle w:val="200"/>
        <w:rPr>
          <w:vanish w:val="0"/>
        </w:rPr>
      </w:pPr>
    </w:p>
    <w:p>
      <w:pPr>
        <w:pStyle w:val="77"/>
        <w:spacing w:before="78" w:after="156"/>
        <w:ind w:left="0"/>
      </w:pPr>
      <w:bookmarkStart w:id="86" w:name="_Toc146035409"/>
      <w:bookmarkEnd w:id="86"/>
    </w:p>
    <w:p>
      <w:pPr>
        <w:pStyle w:val="77"/>
        <w:numPr>
          <w:ilvl w:val="0"/>
          <w:numId w:val="0"/>
        </w:numPr>
        <w:spacing w:before="78" w:after="156"/>
      </w:pPr>
      <w:bookmarkStart w:id="87" w:name="_Toc146035410"/>
      <w:r>
        <w:rPr>
          <w:rFonts w:hint="eastAsia"/>
        </w:rPr>
        <w:t>（规范性）</w:t>
      </w:r>
      <w:bookmarkEnd w:id="87"/>
    </w:p>
    <w:p>
      <w:pPr>
        <w:pStyle w:val="77"/>
        <w:numPr>
          <w:ilvl w:val="0"/>
          <w:numId w:val="0"/>
        </w:numPr>
        <w:spacing w:before="78" w:after="156"/>
      </w:pPr>
      <w:bookmarkStart w:id="88" w:name="_Toc146035411"/>
      <w:r>
        <w:rPr>
          <w:rFonts w:hint="eastAsia"/>
        </w:rPr>
        <w:t>广西美丽幸福河湖评价满意度问卷</w:t>
      </w:r>
      <w:bookmarkEnd w:id="88"/>
    </w:p>
    <w:p>
      <w:pPr>
        <w:pStyle w:val="57"/>
        <w:ind w:firstLine="420"/>
      </w:pPr>
      <w:r>
        <w:rPr>
          <w:rFonts w:hint="eastAsia"/>
        </w:rPr>
        <w:t>您好，我是美丽幸福河湖公众满意度调查的访问员，为促进美丽幸福河湖建设，现正开展美丽幸福河湖评定工作，请您支持和配合我们完成以下内容问卷调查，占用您3-5分钟问您几个问题可以吗？</w:t>
      </w:r>
    </w:p>
    <w:p>
      <w:pPr>
        <w:pStyle w:val="57"/>
        <w:ind w:firstLine="420"/>
        <w:jc w:val="center"/>
      </w:pPr>
    </w:p>
    <w:p>
      <w:pPr>
        <w:pStyle w:val="57"/>
        <w:ind w:firstLine="420"/>
        <w:jc w:val="center"/>
      </w:pPr>
      <w:r>
        <w:rPr>
          <w:rFonts w:hint="eastAsia"/>
        </w:rPr>
        <w:t>基础问答</w:t>
      </w:r>
    </w:p>
    <w:p>
      <w:pPr>
        <w:pStyle w:val="57"/>
        <w:ind w:firstLine="420"/>
      </w:pPr>
      <w:r>
        <w:rPr>
          <w:rFonts w:hint="eastAsia"/>
        </w:rPr>
        <w:t>1、您知道本地在开展美丽幸福河湖建设工作吗？（）</w:t>
      </w:r>
    </w:p>
    <w:p>
      <w:pPr>
        <w:pStyle w:val="57"/>
        <w:ind w:firstLine="420"/>
      </w:pPr>
      <w:r>
        <w:rPr>
          <w:rFonts w:hint="eastAsia"/>
        </w:rPr>
        <w:t>A. 知道的，非常清楚    B.听说过，但不太清楚   C.不知道（跳问答Q1）</w:t>
      </w:r>
    </w:p>
    <w:p>
      <w:pPr>
        <w:pStyle w:val="57"/>
        <w:ind w:firstLine="420"/>
      </w:pPr>
      <w:r>
        <w:rPr>
          <w:rFonts w:hint="eastAsia"/>
        </w:rPr>
        <w:t>2、请问您通过哪些途径了解到相关信息的？（）</w:t>
      </w:r>
    </w:p>
    <w:p>
      <w:pPr>
        <w:pStyle w:val="57"/>
        <w:ind w:firstLine="420"/>
      </w:pPr>
      <w:r>
        <w:rPr>
          <w:rFonts w:hint="eastAsia"/>
        </w:rPr>
        <w:t>A.报纸、杂志    B.广播、电台     C.电视     D.互联网</w:t>
      </w:r>
    </w:p>
    <w:p>
      <w:pPr>
        <w:pStyle w:val="57"/>
        <w:ind w:firstLine="420"/>
      </w:pPr>
      <w:r>
        <w:rPr>
          <w:rFonts w:hint="eastAsia"/>
        </w:rPr>
        <w:t>E.手机     F.标语、横幅、宣传栏等     G.其他途径（请注明）：</w:t>
      </w:r>
    </w:p>
    <w:p>
      <w:pPr>
        <w:pStyle w:val="57"/>
        <w:ind w:firstLine="420"/>
        <w:jc w:val="center"/>
      </w:pPr>
    </w:p>
    <w:p>
      <w:pPr>
        <w:pStyle w:val="57"/>
        <w:ind w:firstLine="420"/>
        <w:jc w:val="center"/>
      </w:pPr>
      <w:r>
        <w:rPr>
          <w:rFonts w:hint="eastAsia"/>
        </w:rPr>
        <w:t>满意度问答</w:t>
      </w:r>
    </w:p>
    <w:p>
      <w:pPr>
        <w:pStyle w:val="57"/>
        <w:ind w:firstLine="420"/>
      </w:pPr>
      <w:r>
        <w:rPr>
          <w:rFonts w:hint="eastAsia"/>
        </w:rPr>
        <w:t xml:space="preserve">Q1、您了解河（湖）长是怎么回事吗？ </w:t>
      </w:r>
    </w:p>
    <w:p>
      <w:pPr>
        <w:pStyle w:val="57"/>
        <w:ind w:firstLine="420"/>
      </w:pPr>
      <w:r>
        <w:rPr>
          <w:rFonts w:hint="eastAsia"/>
        </w:rPr>
        <w:t>A.了解     B.基本了解     C.不了解</w:t>
      </w:r>
    </w:p>
    <w:p>
      <w:pPr>
        <w:pStyle w:val="57"/>
        <w:ind w:firstLine="420"/>
      </w:pPr>
      <w:r>
        <w:rPr>
          <w:rFonts w:hint="eastAsia"/>
        </w:rPr>
        <w:t>Q2、您是否经常见到或听到别人提起河湖保洁、河长巡河？</w:t>
      </w:r>
    </w:p>
    <w:p>
      <w:pPr>
        <w:pStyle w:val="57"/>
        <w:ind w:firstLine="420"/>
      </w:pPr>
      <w:r>
        <w:rPr>
          <w:rFonts w:hint="eastAsia"/>
        </w:rPr>
        <w:t>A.经常     B.偶尔         C.没有</w:t>
      </w:r>
    </w:p>
    <w:p>
      <w:pPr>
        <w:pStyle w:val="57"/>
        <w:ind w:firstLine="420"/>
      </w:pPr>
      <w:r>
        <w:rPr>
          <w:rFonts w:hint="eastAsia"/>
        </w:rPr>
        <w:t xml:space="preserve">Q3、您对本河流（湖泊）水体水质是否满意？ </w:t>
      </w:r>
    </w:p>
    <w:p>
      <w:pPr>
        <w:pStyle w:val="57"/>
        <w:ind w:firstLine="420"/>
      </w:pPr>
      <w:r>
        <w:rPr>
          <w:rFonts w:hint="eastAsia"/>
        </w:rPr>
        <w:t>A.满意     B.基本满意     C.不满意</w:t>
      </w:r>
    </w:p>
    <w:p>
      <w:pPr>
        <w:pStyle w:val="57"/>
        <w:ind w:firstLine="420"/>
      </w:pPr>
      <w:r>
        <w:rPr>
          <w:rFonts w:hint="eastAsia"/>
        </w:rPr>
        <w:t xml:space="preserve">Q4、您对岸边植被、绿化是否满意？ </w:t>
      </w:r>
    </w:p>
    <w:p>
      <w:pPr>
        <w:pStyle w:val="57"/>
        <w:ind w:firstLine="420"/>
      </w:pPr>
      <w:r>
        <w:rPr>
          <w:rFonts w:hint="eastAsia"/>
        </w:rPr>
        <w:t>A.满意     B.基本满意     C.不满意</w:t>
      </w:r>
    </w:p>
    <w:p>
      <w:pPr>
        <w:pStyle w:val="57"/>
        <w:ind w:firstLine="420"/>
      </w:pPr>
      <w:r>
        <w:rPr>
          <w:rFonts w:hint="eastAsia"/>
        </w:rPr>
        <w:t xml:space="preserve">Q5、您对岸线周边的环境卫生是否满意？ </w:t>
      </w:r>
    </w:p>
    <w:p>
      <w:pPr>
        <w:pStyle w:val="57"/>
        <w:ind w:firstLine="420"/>
      </w:pPr>
      <w:r>
        <w:rPr>
          <w:rFonts w:hint="eastAsia"/>
        </w:rPr>
        <w:t>A.满意     B.基本满意     C.不满意</w:t>
      </w:r>
    </w:p>
    <w:p>
      <w:pPr>
        <w:pStyle w:val="57"/>
        <w:ind w:firstLine="420"/>
      </w:pPr>
      <w:r>
        <w:rPr>
          <w:rFonts w:hint="eastAsia"/>
        </w:rPr>
        <w:t xml:space="preserve">Q6、您对本河流（湖泊）便民设施是否满意？ </w:t>
      </w:r>
    </w:p>
    <w:p>
      <w:pPr>
        <w:pStyle w:val="57"/>
        <w:ind w:firstLine="420"/>
      </w:pPr>
      <w:r>
        <w:rPr>
          <w:rFonts w:hint="eastAsia"/>
        </w:rPr>
        <w:t>A.满意     B.基本满意     C.不满意</w:t>
      </w:r>
    </w:p>
    <w:p>
      <w:pPr>
        <w:pStyle w:val="57"/>
        <w:ind w:firstLine="420"/>
      </w:pPr>
      <w:r>
        <w:rPr>
          <w:rFonts w:hint="eastAsia"/>
        </w:rPr>
        <w:t xml:space="preserve">Q7、与上一年相比，您对本河（湖）整体环境状况变化是否满意？ </w:t>
      </w:r>
    </w:p>
    <w:p>
      <w:pPr>
        <w:pStyle w:val="57"/>
        <w:ind w:firstLine="420"/>
      </w:pPr>
      <w:r>
        <w:rPr>
          <w:rFonts w:hint="eastAsia"/>
        </w:rPr>
        <w:t>A.满意     B. 基本满意     C. 不满意</w:t>
      </w:r>
    </w:p>
    <w:p>
      <w:pPr>
        <w:pStyle w:val="57"/>
        <w:ind w:firstLine="420"/>
      </w:pPr>
      <w:r>
        <w:rPr>
          <w:rFonts w:hint="eastAsia"/>
        </w:rPr>
        <w:t xml:space="preserve">Q8、您对本河（湖）的关于爱河护水的宣传工作是否满意？ </w:t>
      </w:r>
    </w:p>
    <w:p>
      <w:pPr>
        <w:pStyle w:val="57"/>
        <w:ind w:firstLine="420"/>
      </w:pPr>
      <w:r>
        <w:rPr>
          <w:rFonts w:hint="eastAsia"/>
        </w:rPr>
        <w:t>A.满意     B.基本满意     C.不满意</w:t>
      </w:r>
    </w:p>
    <w:p>
      <w:pPr>
        <w:pStyle w:val="57"/>
        <w:ind w:firstLine="420"/>
      </w:pPr>
      <w:r>
        <w:rPr>
          <w:rFonts w:hint="eastAsia"/>
        </w:rPr>
        <w:t xml:space="preserve">Q9、您对一年来本河（湖）保洁管护方面的工作成效是否满意？ </w:t>
      </w:r>
    </w:p>
    <w:p>
      <w:pPr>
        <w:pStyle w:val="57"/>
        <w:ind w:firstLine="420"/>
      </w:pPr>
      <w:r>
        <w:rPr>
          <w:rFonts w:hint="eastAsia"/>
        </w:rPr>
        <w:t>A.满意     B.基本满意     C.不满意</w:t>
      </w:r>
    </w:p>
    <w:p>
      <w:pPr>
        <w:pStyle w:val="57"/>
        <w:ind w:firstLine="420"/>
      </w:pPr>
      <w:r>
        <w:rPr>
          <w:rFonts w:hint="eastAsia"/>
        </w:rPr>
        <w:t>Q10、您对该河（湖）目前的整体状况满意吗？</w:t>
      </w:r>
    </w:p>
    <w:p>
      <w:pPr>
        <w:pStyle w:val="57"/>
        <w:ind w:firstLine="420"/>
      </w:pPr>
      <w:r>
        <w:rPr>
          <w:rFonts w:hint="eastAsia"/>
        </w:rPr>
        <w:t>A.满意     B.基本满意     C.不满意</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200"/>
        <w:rPr>
          <w:vanish w:val="0"/>
        </w:rPr>
      </w:pPr>
    </w:p>
    <w:p>
      <w:pPr>
        <w:pStyle w:val="77"/>
        <w:spacing w:before="78" w:after="156"/>
        <w:ind w:left="0"/>
      </w:pPr>
      <w:r>
        <w:br w:type="textWrapping"/>
      </w:r>
      <w:bookmarkStart w:id="89" w:name="_Toc146035412"/>
      <w:r>
        <w:rPr>
          <w:rFonts w:hint="eastAsia"/>
        </w:rPr>
        <w:t>（规范性）</w:t>
      </w:r>
      <w:r>
        <w:br w:type="textWrapping"/>
      </w:r>
      <w:r>
        <w:rPr>
          <w:rFonts w:hint="eastAsia"/>
          <w:lang w:val="en-US" w:eastAsia="zh-CN"/>
        </w:rPr>
        <w:t>广西</w:t>
      </w:r>
      <w:r>
        <w:rPr>
          <w:rFonts w:hint="eastAsia"/>
        </w:rPr>
        <w:t>美丽幸福河湖评价报告表</w:t>
      </w:r>
      <w:bookmarkEnd w:id="89"/>
    </w:p>
    <w:tbl>
      <w:tblPr>
        <w:tblStyle w:val="27"/>
        <w:tblW w:w="5000" w:type="pct"/>
        <w:tblInd w:w="0" w:type="dxa"/>
        <w:tblLayout w:type="autofit"/>
        <w:tblCellMar>
          <w:top w:w="0" w:type="dxa"/>
          <w:left w:w="108" w:type="dxa"/>
          <w:bottom w:w="0" w:type="dxa"/>
          <w:right w:w="108" w:type="dxa"/>
        </w:tblCellMar>
      </w:tblPr>
      <w:tblGrid>
        <w:gridCol w:w="1594"/>
        <w:gridCol w:w="1594"/>
        <w:gridCol w:w="1594"/>
        <w:gridCol w:w="1594"/>
        <w:gridCol w:w="1595"/>
        <w:gridCol w:w="1599"/>
      </w:tblGrid>
      <w:tr>
        <w:tblPrEx>
          <w:tblCellMar>
            <w:top w:w="0" w:type="dxa"/>
            <w:left w:w="108" w:type="dxa"/>
            <w:bottom w:w="0" w:type="dxa"/>
            <w:right w:w="108" w:type="dxa"/>
          </w:tblCellMar>
        </w:tblPrEx>
        <w:trPr>
          <w:trHeight w:val="415"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河湖名称</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起点位置</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起点坐标</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r>
      <w:tr>
        <w:tblPrEx>
          <w:tblCellMar>
            <w:top w:w="0" w:type="dxa"/>
            <w:left w:w="108" w:type="dxa"/>
            <w:bottom w:w="0" w:type="dxa"/>
            <w:right w:w="108" w:type="dxa"/>
          </w:tblCellMar>
        </w:tblPrEx>
        <w:trPr>
          <w:trHeight w:val="415"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所属水系</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终点位置</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终点坐标</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r>
      <w:tr>
        <w:tblPrEx>
          <w:tblCellMar>
            <w:top w:w="0" w:type="dxa"/>
            <w:left w:w="108" w:type="dxa"/>
            <w:bottom w:w="0" w:type="dxa"/>
            <w:right w:w="108" w:type="dxa"/>
          </w:tblCellMar>
        </w:tblPrEx>
        <w:trPr>
          <w:trHeight w:val="594"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涉及县（市、区）</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申报类型</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担任河湖长最高级别</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r>
      <w:tr>
        <w:tblPrEx>
          <w:tblCellMar>
            <w:top w:w="0" w:type="dxa"/>
            <w:left w:w="108" w:type="dxa"/>
            <w:bottom w:w="0" w:type="dxa"/>
            <w:right w:w="108" w:type="dxa"/>
          </w:tblCellMar>
        </w:tblPrEx>
        <w:trPr>
          <w:trHeight w:val="415"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河段长度（km）</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湖泊面积（km</w:t>
            </w:r>
            <w:r>
              <w:rPr>
                <w:rFonts w:cs="Calibri"/>
                <w:sz w:val="18"/>
                <w:szCs w:val="18"/>
                <w:vertAlign w:val="superscript"/>
              </w:rPr>
              <w:t>2</w:t>
            </w:r>
            <w:r>
              <w:rPr>
                <w:rFonts w:cs="Calibri"/>
                <w:sz w:val="18"/>
                <w:szCs w:val="18"/>
              </w:rPr>
              <w:t>）</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水库总库容（万m</w:t>
            </w:r>
            <w:r>
              <w:rPr>
                <w:rFonts w:cs="Calibri"/>
                <w:sz w:val="18"/>
                <w:szCs w:val="18"/>
                <w:vertAlign w:val="superscript"/>
              </w:rPr>
              <w:t>3</w:t>
            </w:r>
            <w:r>
              <w:rPr>
                <w:rFonts w:cs="Calibri"/>
                <w:sz w:val="18"/>
                <w:szCs w:val="18"/>
              </w:rPr>
              <w:t>）</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r>
      <w:tr>
        <w:tblPrEx>
          <w:tblCellMar>
            <w:top w:w="0" w:type="dxa"/>
            <w:left w:w="108" w:type="dxa"/>
            <w:bottom w:w="0" w:type="dxa"/>
            <w:right w:w="108" w:type="dxa"/>
          </w:tblCellMar>
        </w:tblPrEx>
        <w:trPr>
          <w:trHeight w:val="1595"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河（湖）简介</w:t>
            </w:r>
          </w:p>
        </w:tc>
        <w:tc>
          <w:tcPr>
            <w:tcW w:w="4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cs="Calibri"/>
                <w:sz w:val="18"/>
                <w:szCs w:val="18"/>
              </w:rPr>
            </w:pPr>
            <w:r>
              <w:rPr>
                <w:rFonts w:cs="Calibri"/>
                <w:sz w:val="18"/>
                <w:szCs w:val="18"/>
              </w:rPr>
              <w:t>简要介绍河湖基本情况：包括河湖名称、位置、河湖主要指标（河道长度、河道岸线长度和范围、湖泊面积、湖岸线长度、水库库容、水库岸线长度、流域面积等）、流经县（市、区）、乡（镇）名称、河长信息（各级河长）、主要功能（行洪排涝、灌溉蓄水、航运交通、生态景观等）等内容。</w:t>
            </w:r>
          </w:p>
        </w:tc>
      </w:tr>
      <w:tr>
        <w:tblPrEx>
          <w:tblCellMar>
            <w:top w:w="0" w:type="dxa"/>
            <w:left w:w="108" w:type="dxa"/>
            <w:bottom w:w="0" w:type="dxa"/>
            <w:right w:w="108" w:type="dxa"/>
          </w:tblCellMar>
        </w:tblPrEx>
        <w:trPr>
          <w:trHeight w:val="1106"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评价依据</w:t>
            </w:r>
          </w:p>
        </w:tc>
        <w:tc>
          <w:tcPr>
            <w:tcW w:w="4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cs="Calibri"/>
                <w:sz w:val="18"/>
                <w:szCs w:val="18"/>
              </w:rPr>
            </w:pPr>
          </w:p>
        </w:tc>
      </w:tr>
      <w:tr>
        <w:tblPrEx>
          <w:tblCellMar>
            <w:top w:w="0" w:type="dxa"/>
            <w:left w:w="108" w:type="dxa"/>
            <w:bottom w:w="0" w:type="dxa"/>
            <w:right w:w="108" w:type="dxa"/>
          </w:tblCellMar>
        </w:tblPrEx>
        <w:trPr>
          <w:trHeight w:val="980"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评价结论</w:t>
            </w:r>
          </w:p>
        </w:tc>
        <w:tc>
          <w:tcPr>
            <w:tcW w:w="4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cs="Calibri"/>
                <w:sz w:val="18"/>
                <w:szCs w:val="18"/>
              </w:rPr>
            </w:pPr>
          </w:p>
        </w:tc>
      </w:tr>
      <w:tr>
        <w:tblPrEx>
          <w:tblCellMar>
            <w:top w:w="0" w:type="dxa"/>
            <w:left w:w="108" w:type="dxa"/>
            <w:bottom w:w="0" w:type="dxa"/>
            <w:right w:w="108" w:type="dxa"/>
          </w:tblCellMar>
        </w:tblPrEx>
        <w:trPr>
          <w:trHeight w:val="1122"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存在问题</w:t>
            </w:r>
          </w:p>
        </w:tc>
        <w:tc>
          <w:tcPr>
            <w:tcW w:w="4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cs="Calibri"/>
                <w:sz w:val="18"/>
                <w:szCs w:val="18"/>
              </w:rPr>
            </w:pPr>
          </w:p>
        </w:tc>
      </w:tr>
      <w:tr>
        <w:tblPrEx>
          <w:tblCellMar>
            <w:top w:w="0" w:type="dxa"/>
            <w:left w:w="108" w:type="dxa"/>
            <w:bottom w:w="0" w:type="dxa"/>
            <w:right w:w="108" w:type="dxa"/>
          </w:tblCellMar>
        </w:tblPrEx>
        <w:trPr>
          <w:trHeight w:val="1138"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相关建议</w:t>
            </w:r>
          </w:p>
        </w:tc>
        <w:tc>
          <w:tcPr>
            <w:tcW w:w="4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cs="Calibri"/>
                <w:sz w:val="18"/>
                <w:szCs w:val="18"/>
              </w:rPr>
            </w:pPr>
          </w:p>
        </w:tc>
      </w:tr>
      <w:tr>
        <w:tblPrEx>
          <w:tblCellMar>
            <w:top w:w="0" w:type="dxa"/>
            <w:left w:w="108" w:type="dxa"/>
            <w:bottom w:w="0" w:type="dxa"/>
            <w:right w:w="108" w:type="dxa"/>
          </w:tblCellMar>
        </w:tblPrEx>
        <w:trPr>
          <w:trHeight w:val="1277"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有关附录</w:t>
            </w:r>
          </w:p>
        </w:tc>
        <w:tc>
          <w:tcPr>
            <w:tcW w:w="4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cs="Calibri"/>
                <w:sz w:val="18"/>
                <w:szCs w:val="18"/>
              </w:rPr>
            </w:pPr>
          </w:p>
        </w:tc>
      </w:tr>
      <w:tr>
        <w:tblPrEx>
          <w:tblCellMar>
            <w:top w:w="0" w:type="dxa"/>
            <w:left w:w="108" w:type="dxa"/>
            <w:bottom w:w="0" w:type="dxa"/>
            <w:right w:w="108" w:type="dxa"/>
          </w:tblCellMar>
        </w:tblPrEx>
        <w:trPr>
          <w:trHeight w:val="1224"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评价组成员</w:t>
            </w:r>
            <w:r>
              <w:rPr>
                <w:rFonts w:cs="Calibri"/>
                <w:sz w:val="18"/>
                <w:szCs w:val="18"/>
              </w:rPr>
              <w:br w:type="textWrapping"/>
            </w:r>
            <w:r>
              <w:rPr>
                <w:rFonts w:cs="Calibri"/>
                <w:sz w:val="18"/>
                <w:szCs w:val="18"/>
              </w:rPr>
              <w:t>签名</w:t>
            </w:r>
          </w:p>
        </w:tc>
        <w:tc>
          <w:tcPr>
            <w:tcW w:w="4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cs="Calibri"/>
                <w:sz w:val="18"/>
                <w:szCs w:val="18"/>
              </w:rPr>
            </w:pPr>
          </w:p>
        </w:tc>
      </w:tr>
      <w:tr>
        <w:tblPrEx>
          <w:tblCellMar>
            <w:top w:w="0" w:type="dxa"/>
            <w:left w:w="108" w:type="dxa"/>
            <w:bottom w:w="0" w:type="dxa"/>
            <w:right w:w="108" w:type="dxa"/>
          </w:tblCellMar>
        </w:tblPrEx>
        <w:trPr>
          <w:trHeight w:val="400"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联系人</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邮箱</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r>
              <w:rPr>
                <w:rFonts w:cs="Calibri"/>
                <w:sz w:val="18"/>
                <w:szCs w:val="18"/>
              </w:rPr>
              <w:t>电话</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cs="Calibri"/>
                <w:sz w:val="18"/>
                <w:szCs w:val="18"/>
              </w:rPr>
            </w:pPr>
          </w:p>
        </w:tc>
      </w:tr>
      <w:tr>
        <w:tblPrEx>
          <w:tblCellMar>
            <w:top w:w="0" w:type="dxa"/>
            <w:left w:w="108" w:type="dxa"/>
            <w:bottom w:w="0" w:type="dxa"/>
            <w:right w:w="108" w:type="dxa"/>
          </w:tblCellMar>
        </w:tblPrEx>
        <w:trPr>
          <w:trHeight w:val="760" w:hRule="atLeast"/>
        </w:trPr>
        <w:tc>
          <w:tcPr>
            <w:tcW w:w="5000" w:type="pct"/>
            <w:gridSpan w:val="6"/>
            <w:tcBorders>
              <w:top w:val="nil"/>
              <w:left w:val="nil"/>
              <w:bottom w:val="nil"/>
              <w:right w:val="nil"/>
            </w:tcBorders>
            <w:shd w:val="clear" w:color="auto" w:fill="auto"/>
            <w:vAlign w:val="center"/>
          </w:tcPr>
          <w:p>
            <w:pPr>
              <w:pStyle w:val="180"/>
              <w:ind w:left="374"/>
            </w:pPr>
            <w:r>
              <w:t>1.申报类型填：城区段河流、乡村段河流、水库、湖泊；</w:t>
            </w:r>
          </w:p>
          <w:p>
            <w:pPr>
              <w:pStyle w:val="180"/>
              <w:numPr>
                <w:ilvl w:val="0"/>
                <w:numId w:val="0"/>
              </w:numPr>
              <w:ind w:left="374"/>
            </w:pPr>
            <w:r>
              <w:t xml:space="preserve"> 2.河段长度、湖泊面积、水库总库容，按照申报类型对应填写。</w:t>
            </w:r>
          </w:p>
        </w:tc>
      </w:tr>
      <w:bookmarkEnd w:id="82"/>
    </w:tbl>
    <w:p>
      <w:pPr>
        <w:pStyle w:val="57"/>
        <w:ind w:firstLine="0" w:firstLineChars="0"/>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pict>
        <v:shape id="_x0000_s3075" o:spid="_x0000_s3075" o:spt="202" type="#_x0000_t202" style="position:absolute;left:0pt;margin-left:56.65pt;margin-top:506.35pt;height:27.6pt;width:26.5pt;mso-position-horizontal-relative:page;mso-position-vertical-relative:page;mso-wrap-style:none;z-index:251661312;v-text-anchor:bottom;mso-width-relative:page;mso-height-relative:page;" filled="f" stroked="f" coordsize="21600,21600" o:gfxdata="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BKSHP2wAAAA0BAAAPAAAAAAAAAAEAIAAAACIA&#10;AABkcnMvZG93bnJldi54bWxQSwECFAAUAAAACACHTuJA7amnJz8CAABzBAAADgAAAAAAAAABACAA&#10;AAAqAQAAZHJzL2Uyb0RvYy54bWxQSwUGAAAAAAYABgBZAQAA2wUAAAAA&#10;">
          <v:path/>
          <v:fill on="f" focussize="0,0"/>
          <v:stroke on="f" weight="0.5pt" joinstyle="miter"/>
          <v:imagedata o:title=""/>
          <o:lock v:ext="edit"/>
          <v:textbox style="layout-flow:vertical-ideographic;mso-fit-shape-to-text:t;">
            <w:txbxContent>
              <w:p>
                <w:pPr>
                  <w:pStyle w:val="53"/>
                </w:pPr>
                <w:r>
                  <w:fldChar w:fldCharType="begin"/>
                </w:r>
                <w:r>
                  <w:instrText xml:space="preserve">PAGE   \* MERGEFORMAT</w:instrText>
                </w:r>
                <w:r>
                  <w:fldChar w:fldCharType="separate"/>
                </w:r>
                <w:r>
                  <w:rPr>
                    <w:lang w:val="zh-CN"/>
                  </w:rPr>
                  <w:t>22</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pict>
        <v:shape id="_x0000_s3073" o:spid="_x0000_s3073" o:spt="202" type="#_x0000_t202" style="position:absolute;left:0pt;margin-left:56.65pt;margin-top:68pt;height:144pt;width:144pt;mso-position-horizontal-relative:page;mso-position-vertical-relative:page;mso-wrap-style:none;z-index:251663360;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gYhOXWAAAACwEAAA8AAAAAAAAAAQAgAAAAIgAAAGRycy9kb3ducmV2Lnht&#10;bFBLAQIUABQAAAAIAIdO4kDqD8KkNAIAAGUEAAAOAAAAAAAAAAEAIAAAACUBAABkcnMvZTJvRG9j&#10;LnhtbFBLBQYAAAAABgAGAFkBAADLBQAAAAA=&#10;">
          <v:path/>
          <v:fill on="f" focussize="0,0"/>
          <v:stroke on="f" weight="0.5pt" joinstyle="miter"/>
          <v:imagedata o:title=""/>
          <o:lock v:ext="edit"/>
          <v:textbox inset="0mm,0mm,0mm,0mm" style="layout-flow:vertical-ideographic;mso-fit-shape-to-text:t;">
            <w:txbxContent>
              <w:p>
                <w:pPr>
                  <w:pStyle w:val="18"/>
                </w:pPr>
                <w:r>
                  <w:fldChar w:fldCharType="begin"/>
                </w:r>
                <w:r>
                  <w:instrText xml:space="preserve">PAGE   \* MERGEFORMAT</w:instrText>
                </w:r>
                <w:r>
                  <w:fldChar w:fldCharType="separate"/>
                </w:r>
                <w:r>
                  <w:rPr>
                    <w:lang w:val="zh-CN"/>
                  </w:rPr>
                  <w:t>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26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DB45/TXXXX—XXXX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pict>
        <v:shape id="文本框 2" o:spid="_x0000_s3076" o:spt="202" type="#_x0000_t202" style="position:absolute;left:0pt;margin-left:751.15pt;margin-top:386.7pt;height:91.25pt;width:34.5pt;mso-position-horizontal-relative:page;mso-position-vertical-relative:page;mso-wrap-style:none;z-index:251659264;v-text-anchor:bottom;mso-width-relative:page;mso-height-relative:page;" filled="f" stroked="f" coordsize="21600,21600" o:gfxdata="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4jfUW3AAAAA0BAAAPAAAAAAAAAAEAIAAA&#10;ACIAAABkcnMvZG93bnJldi54bWxQSwECFAAUAAAACACHTuJAQiaTqUECAAB0BAAADgAAAAAAAAAB&#10;ACAAAAArAQAAZHJzL2Uyb0RvYy54bWxQSwUGAAAAAAYABgBZAQAA3gUAAAAA&#10;">
          <v:path/>
          <v:fill on="f" focussize="0,0"/>
          <v:stroke on="f" weight="0.5pt" joinstyle="miter"/>
          <v:imagedata o:title=""/>
          <o:lock v:ext="edit"/>
          <v:textbox style="layout-flow:vertical-ideographic;mso-fit-shape-to-text:t;">
            <w:txbxContent>
              <w:p>
                <w:pPr>
                  <w:pStyle w:val="62"/>
                </w:pPr>
                <w:r>
                  <w:fldChar w:fldCharType="begin"/>
                </w:r>
                <w:r>
                  <w:instrText xml:space="preserve"> STYLEREF  标准文件_文件编号  \* MERGEFORMAT </w:instrText>
                </w:r>
                <w:r>
                  <w:fldChar w:fldCharType="separate"/>
                </w:r>
                <w:r>
                  <w:t>DB45/TXXXX—XXXX</w:t>
                </w:r>
                <w:r>
                  <w:fldChar w:fldCharType="end"/>
                </w: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pict>
        <v:shape id="_x0000_s3074" o:spid="_x0000_s3074" o:spt="202" type="#_x0000_t202" style="position:absolute;left:0pt;margin-left:765.35pt;margin-top:70.85pt;height:144pt;width:144pt;mso-position-horizontal-relative:page;mso-position-vertical-relative:page;mso-wrap-style:none;z-index:251662336;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LIuxzZAAAADQEAAA8AAAAAAAAAAQAgAAAAIgAAAGRycy9kb3ducmV2&#10;LnhtbFBLAQIUABQAAAAIAIdO4kBhn5yGNAIAAGUEAAAOAAAAAAAAAAEAIAAAACgBAABkcnMvZTJv&#10;RG9jLnhtbFBLBQYAAAAABgAGAFkBAADOBQAAAAA=&#10;">
          <v:path/>
          <v:fill on="f" focussize="0,0"/>
          <v:stroke on="f" weight="0.5pt" joinstyle="miter"/>
          <v:imagedata o:title=""/>
          <o:lock v:ext="edit"/>
          <v:textbox inset="0mm,0mm,0mm,0mm" style="layout-flow:vertical-ideographic;mso-fit-shape-to-text:t;">
            <w:txbxContent>
              <w:p>
                <w:pPr>
                  <w:pStyle w:val="63"/>
                </w:pPr>
                <w:r>
                  <w:fldChar w:fldCharType="begin"/>
                </w:r>
                <w:r>
                  <w:instrText xml:space="preserve"> STYLEREF  标准文件_文件编号 \* MERGEFORMAT </w:instrText>
                </w:r>
                <w:r>
                  <w:fldChar w:fldCharType="separate"/>
                </w:r>
                <w:r>
                  <w:t>DB45/TXXXX—XXXX</w:t>
                </w:r>
                <w:r>
                  <w:fldChar w:fldCharType="end"/>
                </w: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DB45/TXXXX—XXXX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5103"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71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7371"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8737" w:hanging="374"/>
      </w:pPr>
      <w:rPr>
        <w:rFonts w:hint="eastAsia" w:ascii="黑体" w:eastAsia="黑体"/>
        <w:b w:val="0"/>
        <w:i w:val="0"/>
        <w:sz w:val="18"/>
        <w:lang w:val="en-US"/>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trackedChanges" w:enforcement="0"/>
  <w:defaultTabStop w:val="420"/>
  <w:noPunctuationKerning w:val="1"/>
  <w:characterSpacingControl w:val="doNotCompress"/>
  <w:hdrShapeDefaults>
    <o:shapelayout v:ext="edit">
      <o:idmap v:ext="edit" data="3"/>
    </o:shapelayout>
  </w:hdrShapeDefault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MTkzZWEyZDI2MWUzYjZmZjVjNGFmYWZmMWVhNWM0OWEifQ=="/>
  </w:docVars>
  <w:rsids>
    <w:rsidRoot w:val="0010093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8BE"/>
    <w:rsid w:val="000249DB"/>
    <w:rsid w:val="00025020"/>
    <w:rsid w:val="0002595E"/>
    <w:rsid w:val="000303C3"/>
    <w:rsid w:val="000331D3"/>
    <w:rsid w:val="000346A5"/>
    <w:rsid w:val="000359C3"/>
    <w:rsid w:val="00035A7D"/>
    <w:rsid w:val="000365ED"/>
    <w:rsid w:val="0004249A"/>
    <w:rsid w:val="00043282"/>
    <w:rsid w:val="00044286"/>
    <w:rsid w:val="00047F28"/>
    <w:rsid w:val="000503AA"/>
    <w:rsid w:val="000506A1"/>
    <w:rsid w:val="00050880"/>
    <w:rsid w:val="000515DD"/>
    <w:rsid w:val="0005265A"/>
    <w:rsid w:val="0005287C"/>
    <w:rsid w:val="000539DD"/>
    <w:rsid w:val="00053BD3"/>
    <w:rsid w:val="000556ED"/>
    <w:rsid w:val="00055FE2"/>
    <w:rsid w:val="0005616F"/>
    <w:rsid w:val="00057CF2"/>
    <w:rsid w:val="00060C2E"/>
    <w:rsid w:val="00061033"/>
    <w:rsid w:val="000619E9"/>
    <w:rsid w:val="000622D4"/>
    <w:rsid w:val="0006357D"/>
    <w:rsid w:val="00067D99"/>
    <w:rsid w:val="00067F1E"/>
    <w:rsid w:val="00071CC0"/>
    <w:rsid w:val="00073C8C"/>
    <w:rsid w:val="00077A58"/>
    <w:rsid w:val="00077B64"/>
    <w:rsid w:val="00080A1C"/>
    <w:rsid w:val="00082317"/>
    <w:rsid w:val="00083D2C"/>
    <w:rsid w:val="00086AA1"/>
    <w:rsid w:val="000872AB"/>
    <w:rsid w:val="00087A77"/>
    <w:rsid w:val="00090CA6"/>
    <w:rsid w:val="00092B8A"/>
    <w:rsid w:val="00092FB0"/>
    <w:rsid w:val="000934C5"/>
    <w:rsid w:val="00093D25"/>
    <w:rsid w:val="00093DAB"/>
    <w:rsid w:val="00094D73"/>
    <w:rsid w:val="00095071"/>
    <w:rsid w:val="00096D63"/>
    <w:rsid w:val="000A0B60"/>
    <w:rsid w:val="000A0EB8"/>
    <w:rsid w:val="000A19FC"/>
    <w:rsid w:val="000A296B"/>
    <w:rsid w:val="000A4164"/>
    <w:rsid w:val="000A7311"/>
    <w:rsid w:val="000B060F"/>
    <w:rsid w:val="000B1592"/>
    <w:rsid w:val="000B1FF2"/>
    <w:rsid w:val="000B3CDA"/>
    <w:rsid w:val="000B6A0B"/>
    <w:rsid w:val="000B6E24"/>
    <w:rsid w:val="000B78F6"/>
    <w:rsid w:val="000C07D5"/>
    <w:rsid w:val="000C0B35"/>
    <w:rsid w:val="000C0F6C"/>
    <w:rsid w:val="000C11DB"/>
    <w:rsid w:val="000C1492"/>
    <w:rsid w:val="000C2FBD"/>
    <w:rsid w:val="000C4B41"/>
    <w:rsid w:val="000C57D6"/>
    <w:rsid w:val="000C6362"/>
    <w:rsid w:val="000C7666"/>
    <w:rsid w:val="000D0A9C"/>
    <w:rsid w:val="000D1795"/>
    <w:rsid w:val="000D2166"/>
    <w:rsid w:val="000D329A"/>
    <w:rsid w:val="000D4B9C"/>
    <w:rsid w:val="000D4EB6"/>
    <w:rsid w:val="000D753B"/>
    <w:rsid w:val="000E4C9E"/>
    <w:rsid w:val="000E6FD7"/>
    <w:rsid w:val="000E7049"/>
    <w:rsid w:val="000E7DDA"/>
    <w:rsid w:val="000F06E1"/>
    <w:rsid w:val="000F0E3C"/>
    <w:rsid w:val="000F19D5"/>
    <w:rsid w:val="000F4AEA"/>
    <w:rsid w:val="000F633F"/>
    <w:rsid w:val="000F67E9"/>
    <w:rsid w:val="00100939"/>
    <w:rsid w:val="00104926"/>
    <w:rsid w:val="00113B1E"/>
    <w:rsid w:val="00114B7F"/>
    <w:rsid w:val="0011569B"/>
    <w:rsid w:val="0011711C"/>
    <w:rsid w:val="0012059C"/>
    <w:rsid w:val="00124E4F"/>
    <w:rsid w:val="001260B7"/>
    <w:rsid w:val="001265CB"/>
    <w:rsid w:val="001321C6"/>
    <w:rsid w:val="001325C4"/>
    <w:rsid w:val="00133010"/>
    <w:rsid w:val="001338EE"/>
    <w:rsid w:val="00133AAE"/>
    <w:rsid w:val="00135323"/>
    <w:rsid w:val="001356C4"/>
    <w:rsid w:val="00140473"/>
    <w:rsid w:val="00141114"/>
    <w:rsid w:val="00142969"/>
    <w:rsid w:val="00142D31"/>
    <w:rsid w:val="001446C2"/>
    <w:rsid w:val="001457E7"/>
    <w:rsid w:val="00145D9D"/>
    <w:rsid w:val="00146388"/>
    <w:rsid w:val="001503CF"/>
    <w:rsid w:val="001529E5"/>
    <w:rsid w:val="00153C7E"/>
    <w:rsid w:val="00154411"/>
    <w:rsid w:val="001547DF"/>
    <w:rsid w:val="00156B25"/>
    <w:rsid w:val="00156E1A"/>
    <w:rsid w:val="00157894"/>
    <w:rsid w:val="00157B55"/>
    <w:rsid w:val="00161544"/>
    <w:rsid w:val="001632C8"/>
    <w:rsid w:val="001642FA"/>
    <w:rsid w:val="001649EB"/>
    <w:rsid w:val="00164BAF"/>
    <w:rsid w:val="00164FA8"/>
    <w:rsid w:val="00165065"/>
    <w:rsid w:val="00165434"/>
    <w:rsid w:val="0016580B"/>
    <w:rsid w:val="00165F49"/>
    <w:rsid w:val="00166B88"/>
    <w:rsid w:val="0016721B"/>
    <w:rsid w:val="0016770A"/>
    <w:rsid w:val="00170804"/>
    <w:rsid w:val="001708E9"/>
    <w:rsid w:val="0017340B"/>
    <w:rsid w:val="00173FB1"/>
    <w:rsid w:val="00175FD1"/>
    <w:rsid w:val="00176DFD"/>
    <w:rsid w:val="001852C9"/>
    <w:rsid w:val="001854C2"/>
    <w:rsid w:val="00185BFE"/>
    <w:rsid w:val="00190087"/>
    <w:rsid w:val="001913C4"/>
    <w:rsid w:val="001915EE"/>
    <w:rsid w:val="00192B72"/>
    <w:rsid w:val="0019348F"/>
    <w:rsid w:val="00193A07"/>
    <w:rsid w:val="00194C95"/>
    <w:rsid w:val="00195C34"/>
    <w:rsid w:val="00196281"/>
    <w:rsid w:val="00196EF5"/>
    <w:rsid w:val="001A1A53"/>
    <w:rsid w:val="001A234A"/>
    <w:rsid w:val="001A4CF3"/>
    <w:rsid w:val="001A570D"/>
    <w:rsid w:val="001B06E8"/>
    <w:rsid w:val="001B39D0"/>
    <w:rsid w:val="001B71D0"/>
    <w:rsid w:val="001B71EE"/>
    <w:rsid w:val="001C04A8"/>
    <w:rsid w:val="001C13C7"/>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3E68"/>
    <w:rsid w:val="001E4882"/>
    <w:rsid w:val="001E73AB"/>
    <w:rsid w:val="001F092D"/>
    <w:rsid w:val="001F143A"/>
    <w:rsid w:val="001F1605"/>
    <w:rsid w:val="001F2508"/>
    <w:rsid w:val="001F31C1"/>
    <w:rsid w:val="001F4816"/>
    <w:rsid w:val="001F4EE9"/>
    <w:rsid w:val="001F69B4"/>
    <w:rsid w:val="001F77C7"/>
    <w:rsid w:val="00200183"/>
    <w:rsid w:val="00200333"/>
    <w:rsid w:val="0020107D"/>
    <w:rsid w:val="002019B3"/>
    <w:rsid w:val="00202AA4"/>
    <w:rsid w:val="002031F7"/>
    <w:rsid w:val="002040E6"/>
    <w:rsid w:val="0020527B"/>
    <w:rsid w:val="00205F2C"/>
    <w:rsid w:val="00207B6C"/>
    <w:rsid w:val="00210B15"/>
    <w:rsid w:val="002142EA"/>
    <w:rsid w:val="00214953"/>
    <w:rsid w:val="00214F6B"/>
    <w:rsid w:val="002204BB"/>
    <w:rsid w:val="00221B67"/>
    <w:rsid w:val="00221B79"/>
    <w:rsid w:val="00221C6B"/>
    <w:rsid w:val="002253A1"/>
    <w:rsid w:val="00225CF8"/>
    <w:rsid w:val="0022794E"/>
    <w:rsid w:val="002332E1"/>
    <w:rsid w:val="00233D64"/>
    <w:rsid w:val="0023482A"/>
    <w:rsid w:val="002352BE"/>
    <w:rsid w:val="002359CB"/>
    <w:rsid w:val="00243540"/>
    <w:rsid w:val="0024497B"/>
    <w:rsid w:val="0024515B"/>
    <w:rsid w:val="00246021"/>
    <w:rsid w:val="0024666E"/>
    <w:rsid w:val="002472B5"/>
    <w:rsid w:val="00247F52"/>
    <w:rsid w:val="00250B25"/>
    <w:rsid w:val="00250BBE"/>
    <w:rsid w:val="002515C2"/>
    <w:rsid w:val="0025194F"/>
    <w:rsid w:val="00254A4D"/>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88C"/>
    <w:rsid w:val="00287B1E"/>
    <w:rsid w:val="002906FE"/>
    <w:rsid w:val="00292D60"/>
    <w:rsid w:val="00293B30"/>
    <w:rsid w:val="00294D34"/>
    <w:rsid w:val="00294E3B"/>
    <w:rsid w:val="0029612F"/>
    <w:rsid w:val="00296193"/>
    <w:rsid w:val="00296C66"/>
    <w:rsid w:val="00296EBE"/>
    <w:rsid w:val="002974E3"/>
    <w:rsid w:val="00297DD0"/>
    <w:rsid w:val="002A084B"/>
    <w:rsid w:val="002A1260"/>
    <w:rsid w:val="002A1589"/>
    <w:rsid w:val="002A1608"/>
    <w:rsid w:val="002A25DC"/>
    <w:rsid w:val="002A3AAB"/>
    <w:rsid w:val="002A4593"/>
    <w:rsid w:val="002A4CEA"/>
    <w:rsid w:val="002A5441"/>
    <w:rsid w:val="002A5977"/>
    <w:rsid w:val="002A5A13"/>
    <w:rsid w:val="002A757F"/>
    <w:rsid w:val="002A7F44"/>
    <w:rsid w:val="002B0C40"/>
    <w:rsid w:val="002B1966"/>
    <w:rsid w:val="002B4508"/>
    <w:rsid w:val="002B5779"/>
    <w:rsid w:val="002B6471"/>
    <w:rsid w:val="002B6BA5"/>
    <w:rsid w:val="002B7332"/>
    <w:rsid w:val="002B7F51"/>
    <w:rsid w:val="002C09E7"/>
    <w:rsid w:val="002C0E77"/>
    <w:rsid w:val="002C11B8"/>
    <w:rsid w:val="002C1E06"/>
    <w:rsid w:val="002C1E1C"/>
    <w:rsid w:val="002C3F07"/>
    <w:rsid w:val="002C5278"/>
    <w:rsid w:val="002C7EBB"/>
    <w:rsid w:val="002D06C1"/>
    <w:rsid w:val="002D42B5"/>
    <w:rsid w:val="002D4F1A"/>
    <w:rsid w:val="002D6EC6"/>
    <w:rsid w:val="002D79AC"/>
    <w:rsid w:val="002E039D"/>
    <w:rsid w:val="002E4D5A"/>
    <w:rsid w:val="002E4E6A"/>
    <w:rsid w:val="002E6326"/>
    <w:rsid w:val="002F30E0"/>
    <w:rsid w:val="002F35E4"/>
    <w:rsid w:val="002F3730"/>
    <w:rsid w:val="002F38E1"/>
    <w:rsid w:val="002F7AF6"/>
    <w:rsid w:val="00300E63"/>
    <w:rsid w:val="00302324"/>
    <w:rsid w:val="00302F5F"/>
    <w:rsid w:val="0030441D"/>
    <w:rsid w:val="00306063"/>
    <w:rsid w:val="00312ADB"/>
    <w:rsid w:val="00313B85"/>
    <w:rsid w:val="00317988"/>
    <w:rsid w:val="00320886"/>
    <w:rsid w:val="003221B4"/>
    <w:rsid w:val="0032258D"/>
    <w:rsid w:val="00322E62"/>
    <w:rsid w:val="00324D13"/>
    <w:rsid w:val="00324D2A"/>
    <w:rsid w:val="00324EDD"/>
    <w:rsid w:val="003253A1"/>
    <w:rsid w:val="003329EA"/>
    <w:rsid w:val="003331E4"/>
    <w:rsid w:val="00333449"/>
    <w:rsid w:val="00336C64"/>
    <w:rsid w:val="00337162"/>
    <w:rsid w:val="0034194F"/>
    <w:rsid w:val="00344605"/>
    <w:rsid w:val="00346289"/>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7FA"/>
    <w:rsid w:val="00376713"/>
    <w:rsid w:val="00381815"/>
    <w:rsid w:val="003819AF"/>
    <w:rsid w:val="003820E9"/>
    <w:rsid w:val="00382989"/>
    <w:rsid w:val="00382DE7"/>
    <w:rsid w:val="00384FFC"/>
    <w:rsid w:val="003872FC"/>
    <w:rsid w:val="00387ADC"/>
    <w:rsid w:val="00390020"/>
    <w:rsid w:val="003903D6"/>
    <w:rsid w:val="00390EE6"/>
    <w:rsid w:val="0039118F"/>
    <w:rsid w:val="00392296"/>
    <w:rsid w:val="00392AD7"/>
    <w:rsid w:val="003938D9"/>
    <w:rsid w:val="00394376"/>
    <w:rsid w:val="003943FF"/>
    <w:rsid w:val="00395700"/>
    <w:rsid w:val="003974EB"/>
    <w:rsid w:val="00397CC5"/>
    <w:rsid w:val="003A1582"/>
    <w:rsid w:val="003A1C4E"/>
    <w:rsid w:val="003A2375"/>
    <w:rsid w:val="003A4077"/>
    <w:rsid w:val="003B09AD"/>
    <w:rsid w:val="003B1F18"/>
    <w:rsid w:val="003B5613"/>
    <w:rsid w:val="003B5BF0"/>
    <w:rsid w:val="003B60BF"/>
    <w:rsid w:val="003B630E"/>
    <w:rsid w:val="003B6BE3"/>
    <w:rsid w:val="003C010C"/>
    <w:rsid w:val="003C0A6C"/>
    <w:rsid w:val="003C14F8"/>
    <w:rsid w:val="003C5A43"/>
    <w:rsid w:val="003D0519"/>
    <w:rsid w:val="003D0D50"/>
    <w:rsid w:val="003D0FF6"/>
    <w:rsid w:val="003D262C"/>
    <w:rsid w:val="003D6D61"/>
    <w:rsid w:val="003E091D"/>
    <w:rsid w:val="003E1954"/>
    <w:rsid w:val="003E1C53"/>
    <w:rsid w:val="003E2A69"/>
    <w:rsid w:val="003E2D49"/>
    <w:rsid w:val="003E2FD4"/>
    <w:rsid w:val="003E49F6"/>
    <w:rsid w:val="003E4F27"/>
    <w:rsid w:val="003E660F"/>
    <w:rsid w:val="003E7A59"/>
    <w:rsid w:val="003F0841"/>
    <w:rsid w:val="003F23D3"/>
    <w:rsid w:val="003F3F08"/>
    <w:rsid w:val="003F494E"/>
    <w:rsid w:val="003F49F1"/>
    <w:rsid w:val="003F6272"/>
    <w:rsid w:val="00400E72"/>
    <w:rsid w:val="00401400"/>
    <w:rsid w:val="00404869"/>
    <w:rsid w:val="00405884"/>
    <w:rsid w:val="00406F0B"/>
    <w:rsid w:val="00407D39"/>
    <w:rsid w:val="0041477A"/>
    <w:rsid w:val="004153F4"/>
    <w:rsid w:val="004167A3"/>
    <w:rsid w:val="00420730"/>
    <w:rsid w:val="00432DAA"/>
    <w:rsid w:val="00434305"/>
    <w:rsid w:val="00435DF7"/>
    <w:rsid w:val="0044083F"/>
    <w:rsid w:val="00441AE7"/>
    <w:rsid w:val="00445574"/>
    <w:rsid w:val="004467FB"/>
    <w:rsid w:val="004506EA"/>
    <w:rsid w:val="00452D6B"/>
    <w:rsid w:val="00454484"/>
    <w:rsid w:val="0045517B"/>
    <w:rsid w:val="004604F2"/>
    <w:rsid w:val="004605CC"/>
    <w:rsid w:val="00463B77"/>
    <w:rsid w:val="00463C7B"/>
    <w:rsid w:val="004644A6"/>
    <w:rsid w:val="004659BD"/>
    <w:rsid w:val="00470775"/>
    <w:rsid w:val="00470CF6"/>
    <w:rsid w:val="00471506"/>
    <w:rsid w:val="0047223D"/>
    <w:rsid w:val="004746B1"/>
    <w:rsid w:val="0047583F"/>
    <w:rsid w:val="00475DE8"/>
    <w:rsid w:val="00481A98"/>
    <w:rsid w:val="00481C44"/>
    <w:rsid w:val="0048400A"/>
    <w:rsid w:val="00484936"/>
    <w:rsid w:val="00485C89"/>
    <w:rsid w:val="00486BE3"/>
    <w:rsid w:val="00486F66"/>
    <w:rsid w:val="004873A8"/>
    <w:rsid w:val="004905E4"/>
    <w:rsid w:val="00490A89"/>
    <w:rsid w:val="00490AB4"/>
    <w:rsid w:val="00492F02"/>
    <w:rsid w:val="004939AE"/>
    <w:rsid w:val="00495FE5"/>
    <w:rsid w:val="004A12DF"/>
    <w:rsid w:val="004A17E6"/>
    <w:rsid w:val="004A1BA8"/>
    <w:rsid w:val="004A4B57"/>
    <w:rsid w:val="004A63FA"/>
    <w:rsid w:val="004B0272"/>
    <w:rsid w:val="004B2701"/>
    <w:rsid w:val="004B2E1B"/>
    <w:rsid w:val="004B34E5"/>
    <w:rsid w:val="004B3AA8"/>
    <w:rsid w:val="004B3E93"/>
    <w:rsid w:val="004B5B19"/>
    <w:rsid w:val="004B6B21"/>
    <w:rsid w:val="004C1FBC"/>
    <w:rsid w:val="004C2A05"/>
    <w:rsid w:val="004C3F1D"/>
    <w:rsid w:val="004C458D"/>
    <w:rsid w:val="004C7556"/>
    <w:rsid w:val="004C7E8B"/>
    <w:rsid w:val="004C7E9D"/>
    <w:rsid w:val="004C7F67"/>
    <w:rsid w:val="004D076D"/>
    <w:rsid w:val="004D0EF1"/>
    <w:rsid w:val="004D2253"/>
    <w:rsid w:val="004D4406"/>
    <w:rsid w:val="004D69A1"/>
    <w:rsid w:val="004D6E99"/>
    <w:rsid w:val="004D7C42"/>
    <w:rsid w:val="004E0465"/>
    <w:rsid w:val="004E127B"/>
    <w:rsid w:val="004E1C0A"/>
    <w:rsid w:val="004E2B06"/>
    <w:rsid w:val="004E30C5"/>
    <w:rsid w:val="004E4AA5"/>
    <w:rsid w:val="004E4AEE"/>
    <w:rsid w:val="004E59E3"/>
    <w:rsid w:val="004E67C0"/>
    <w:rsid w:val="004F0D66"/>
    <w:rsid w:val="004F391A"/>
    <w:rsid w:val="004F3CFB"/>
    <w:rsid w:val="004F418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29A"/>
    <w:rsid w:val="00523F95"/>
    <w:rsid w:val="00524D65"/>
    <w:rsid w:val="00525B16"/>
    <w:rsid w:val="00532CDC"/>
    <w:rsid w:val="00533D04"/>
    <w:rsid w:val="00534804"/>
    <w:rsid w:val="00534BDF"/>
    <w:rsid w:val="005354EA"/>
    <w:rsid w:val="0053585F"/>
    <w:rsid w:val="00535EC4"/>
    <w:rsid w:val="00535ED9"/>
    <w:rsid w:val="0053692B"/>
    <w:rsid w:val="005414AF"/>
    <w:rsid w:val="00541853"/>
    <w:rsid w:val="00542EA2"/>
    <w:rsid w:val="00543BDA"/>
    <w:rsid w:val="005441CC"/>
    <w:rsid w:val="0054470B"/>
    <w:rsid w:val="00545111"/>
    <w:rsid w:val="005451D1"/>
    <w:rsid w:val="005479DA"/>
    <w:rsid w:val="00547BCC"/>
    <w:rsid w:val="0055013B"/>
    <w:rsid w:val="00551F6F"/>
    <w:rsid w:val="00555044"/>
    <w:rsid w:val="00561475"/>
    <w:rsid w:val="0056487B"/>
    <w:rsid w:val="00564FB9"/>
    <w:rsid w:val="005726C7"/>
    <w:rsid w:val="00573D9E"/>
    <w:rsid w:val="005801E3"/>
    <w:rsid w:val="005813C5"/>
    <w:rsid w:val="00581802"/>
    <w:rsid w:val="005836A8"/>
    <w:rsid w:val="0058409C"/>
    <w:rsid w:val="00584262"/>
    <w:rsid w:val="005846A9"/>
    <w:rsid w:val="00586630"/>
    <w:rsid w:val="00587ADD"/>
    <w:rsid w:val="00591E27"/>
    <w:rsid w:val="00592915"/>
    <w:rsid w:val="00596160"/>
    <w:rsid w:val="0059650F"/>
    <w:rsid w:val="005966E2"/>
    <w:rsid w:val="00597007"/>
    <w:rsid w:val="005A0966"/>
    <w:rsid w:val="005A11B7"/>
    <w:rsid w:val="005A260B"/>
    <w:rsid w:val="005A4A1B"/>
    <w:rsid w:val="005A7830"/>
    <w:rsid w:val="005A7FCE"/>
    <w:rsid w:val="005B0F3F"/>
    <w:rsid w:val="005B4903"/>
    <w:rsid w:val="005B51CE"/>
    <w:rsid w:val="005B5885"/>
    <w:rsid w:val="005B5CD7"/>
    <w:rsid w:val="005B65B4"/>
    <w:rsid w:val="005B6A24"/>
    <w:rsid w:val="005B6CF6"/>
    <w:rsid w:val="005B73DC"/>
    <w:rsid w:val="005B7422"/>
    <w:rsid w:val="005C29B8"/>
    <w:rsid w:val="005C44BA"/>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450"/>
    <w:rsid w:val="006015CE"/>
    <w:rsid w:val="00604784"/>
    <w:rsid w:val="0060490C"/>
    <w:rsid w:val="00606419"/>
    <w:rsid w:val="00607D29"/>
    <w:rsid w:val="00612952"/>
    <w:rsid w:val="00614CC1"/>
    <w:rsid w:val="00615A9D"/>
    <w:rsid w:val="00617387"/>
    <w:rsid w:val="00617810"/>
    <w:rsid w:val="006205D6"/>
    <w:rsid w:val="006252D8"/>
    <w:rsid w:val="006259BC"/>
    <w:rsid w:val="0062636B"/>
    <w:rsid w:val="00627DC2"/>
    <w:rsid w:val="0063179D"/>
    <w:rsid w:val="00632182"/>
    <w:rsid w:val="00632AE0"/>
    <w:rsid w:val="00633C17"/>
    <w:rsid w:val="00634D9E"/>
    <w:rsid w:val="00634F03"/>
    <w:rsid w:val="00636E3E"/>
    <w:rsid w:val="006379F7"/>
    <w:rsid w:val="00637BEB"/>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2D6"/>
    <w:rsid w:val="006A336D"/>
    <w:rsid w:val="006A33EE"/>
    <w:rsid w:val="006A37B9"/>
    <w:rsid w:val="006A5F91"/>
    <w:rsid w:val="006B0987"/>
    <w:rsid w:val="006B1C3B"/>
    <w:rsid w:val="006B2672"/>
    <w:rsid w:val="006B54BF"/>
    <w:rsid w:val="006B5F44"/>
    <w:rsid w:val="006B5F90"/>
    <w:rsid w:val="006B62E4"/>
    <w:rsid w:val="006C0D84"/>
    <w:rsid w:val="006C1BBA"/>
    <w:rsid w:val="006C2079"/>
    <w:rsid w:val="006C45CE"/>
    <w:rsid w:val="006C5A62"/>
    <w:rsid w:val="006C5D68"/>
    <w:rsid w:val="006C6976"/>
    <w:rsid w:val="006C6DD0"/>
    <w:rsid w:val="006D04EA"/>
    <w:rsid w:val="006D1378"/>
    <w:rsid w:val="006D16C4"/>
    <w:rsid w:val="006D3E96"/>
    <w:rsid w:val="006D4515"/>
    <w:rsid w:val="006D4BB1"/>
    <w:rsid w:val="006D6593"/>
    <w:rsid w:val="006E23EA"/>
    <w:rsid w:val="006E678A"/>
    <w:rsid w:val="006E76F2"/>
    <w:rsid w:val="006F03A8"/>
    <w:rsid w:val="006F2ACA"/>
    <w:rsid w:val="006F2ADC"/>
    <w:rsid w:val="006F2BFE"/>
    <w:rsid w:val="006F31E9"/>
    <w:rsid w:val="006F6284"/>
    <w:rsid w:val="007002C5"/>
    <w:rsid w:val="00704387"/>
    <w:rsid w:val="00704B91"/>
    <w:rsid w:val="00707669"/>
    <w:rsid w:val="00711CBA"/>
    <w:rsid w:val="00711FB5"/>
    <w:rsid w:val="0071277D"/>
    <w:rsid w:val="00712A01"/>
    <w:rsid w:val="0071345A"/>
    <w:rsid w:val="00714F58"/>
    <w:rsid w:val="00721AE3"/>
    <w:rsid w:val="00722FBF"/>
    <w:rsid w:val="00722FC2"/>
    <w:rsid w:val="00723FA7"/>
    <w:rsid w:val="00724879"/>
    <w:rsid w:val="00724E1B"/>
    <w:rsid w:val="00725949"/>
    <w:rsid w:val="00727FA2"/>
    <w:rsid w:val="007322D9"/>
    <w:rsid w:val="00732BC0"/>
    <w:rsid w:val="00733D7B"/>
    <w:rsid w:val="0073720F"/>
    <w:rsid w:val="00737796"/>
    <w:rsid w:val="00737A54"/>
    <w:rsid w:val="0074165C"/>
    <w:rsid w:val="00742495"/>
    <w:rsid w:val="00742C35"/>
    <w:rsid w:val="007432CA"/>
    <w:rsid w:val="007436D7"/>
    <w:rsid w:val="007439EB"/>
    <w:rsid w:val="00743CB4"/>
    <w:rsid w:val="00743F0A"/>
    <w:rsid w:val="00744130"/>
    <w:rsid w:val="007444E8"/>
    <w:rsid w:val="0074548E"/>
    <w:rsid w:val="00745773"/>
    <w:rsid w:val="00746800"/>
    <w:rsid w:val="007501A8"/>
    <w:rsid w:val="00750D61"/>
    <w:rsid w:val="00750EE1"/>
    <w:rsid w:val="00750FEE"/>
    <w:rsid w:val="00752B4D"/>
    <w:rsid w:val="00755402"/>
    <w:rsid w:val="00756B26"/>
    <w:rsid w:val="00756EDF"/>
    <w:rsid w:val="007600E3"/>
    <w:rsid w:val="00762FEC"/>
    <w:rsid w:val="00764C9F"/>
    <w:rsid w:val="00765C43"/>
    <w:rsid w:val="00765EFB"/>
    <w:rsid w:val="00766D24"/>
    <w:rsid w:val="007671CA"/>
    <w:rsid w:val="00767C61"/>
    <w:rsid w:val="0077008A"/>
    <w:rsid w:val="00773C1F"/>
    <w:rsid w:val="00774DA4"/>
    <w:rsid w:val="00776599"/>
    <w:rsid w:val="0078114B"/>
    <w:rsid w:val="00781DD2"/>
    <w:rsid w:val="00782138"/>
    <w:rsid w:val="00783ECF"/>
    <w:rsid w:val="0078413A"/>
    <w:rsid w:val="00785C11"/>
    <w:rsid w:val="007959E8"/>
    <w:rsid w:val="00795E9C"/>
    <w:rsid w:val="007A0521"/>
    <w:rsid w:val="007A2E12"/>
    <w:rsid w:val="007A3475"/>
    <w:rsid w:val="007A41C8"/>
    <w:rsid w:val="007A54CE"/>
    <w:rsid w:val="007A64E9"/>
    <w:rsid w:val="007A6FD9"/>
    <w:rsid w:val="007A7FFA"/>
    <w:rsid w:val="007B04EB"/>
    <w:rsid w:val="007B0D4F"/>
    <w:rsid w:val="007B5A3D"/>
    <w:rsid w:val="007B5B95"/>
    <w:rsid w:val="007B68EA"/>
    <w:rsid w:val="007B7453"/>
    <w:rsid w:val="007C1E8B"/>
    <w:rsid w:val="007C2D89"/>
    <w:rsid w:val="007C38C1"/>
    <w:rsid w:val="007C4593"/>
    <w:rsid w:val="007C5309"/>
    <w:rsid w:val="007C6069"/>
    <w:rsid w:val="007C71A1"/>
    <w:rsid w:val="007D06C4"/>
    <w:rsid w:val="007D1352"/>
    <w:rsid w:val="007D2508"/>
    <w:rsid w:val="007D346A"/>
    <w:rsid w:val="007D4C74"/>
    <w:rsid w:val="007D6518"/>
    <w:rsid w:val="007D743C"/>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226"/>
    <w:rsid w:val="00811369"/>
    <w:rsid w:val="00813BEB"/>
    <w:rsid w:val="00815419"/>
    <w:rsid w:val="008163C8"/>
    <w:rsid w:val="008164A1"/>
    <w:rsid w:val="00817325"/>
    <w:rsid w:val="008209E6"/>
    <w:rsid w:val="00823303"/>
    <w:rsid w:val="008233B2"/>
    <w:rsid w:val="00823A9F"/>
    <w:rsid w:val="00823C85"/>
    <w:rsid w:val="00825138"/>
    <w:rsid w:val="0082668C"/>
    <w:rsid w:val="008269DD"/>
    <w:rsid w:val="00830621"/>
    <w:rsid w:val="00831022"/>
    <w:rsid w:val="0083348C"/>
    <w:rsid w:val="00835CA3"/>
    <w:rsid w:val="00836306"/>
    <w:rsid w:val="008373D3"/>
    <w:rsid w:val="00840617"/>
    <w:rsid w:val="00840D64"/>
    <w:rsid w:val="00840F84"/>
    <w:rsid w:val="008415A7"/>
    <w:rsid w:val="00842A47"/>
    <w:rsid w:val="00843C13"/>
    <w:rsid w:val="008454F8"/>
    <w:rsid w:val="00846C95"/>
    <w:rsid w:val="0085173A"/>
    <w:rsid w:val="00852CB3"/>
    <w:rsid w:val="00854B7A"/>
    <w:rsid w:val="00855144"/>
    <w:rsid w:val="00856316"/>
    <w:rsid w:val="00856756"/>
    <w:rsid w:val="008603CE"/>
    <w:rsid w:val="008620FC"/>
    <w:rsid w:val="008627A5"/>
    <w:rsid w:val="00863E05"/>
    <w:rsid w:val="00865ACA"/>
    <w:rsid w:val="00865D28"/>
    <w:rsid w:val="00865F85"/>
    <w:rsid w:val="00866CAA"/>
    <w:rsid w:val="00867C10"/>
    <w:rsid w:val="00870439"/>
    <w:rsid w:val="00870DA1"/>
    <w:rsid w:val="00870DD5"/>
    <w:rsid w:val="008722E3"/>
    <w:rsid w:val="00877964"/>
    <w:rsid w:val="008829F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3D54"/>
    <w:rsid w:val="008A57E6"/>
    <w:rsid w:val="008A6F81"/>
    <w:rsid w:val="008A769A"/>
    <w:rsid w:val="008A7DCF"/>
    <w:rsid w:val="008B0C9C"/>
    <w:rsid w:val="008B166D"/>
    <w:rsid w:val="008B17F4"/>
    <w:rsid w:val="008B3615"/>
    <w:rsid w:val="008B4AC4"/>
    <w:rsid w:val="008B50C8"/>
    <w:rsid w:val="008B5281"/>
    <w:rsid w:val="008B7A23"/>
    <w:rsid w:val="008B7E05"/>
    <w:rsid w:val="008C0204"/>
    <w:rsid w:val="008C1797"/>
    <w:rsid w:val="008C219C"/>
    <w:rsid w:val="008C475E"/>
    <w:rsid w:val="008C619A"/>
    <w:rsid w:val="008C75AD"/>
    <w:rsid w:val="008C7D67"/>
    <w:rsid w:val="008D0CE8"/>
    <w:rsid w:val="008D2D1D"/>
    <w:rsid w:val="008D3C5A"/>
    <w:rsid w:val="008D453D"/>
    <w:rsid w:val="008D53AD"/>
    <w:rsid w:val="008D562B"/>
    <w:rsid w:val="008D5733"/>
    <w:rsid w:val="008D622B"/>
    <w:rsid w:val="008D666C"/>
    <w:rsid w:val="008D7B54"/>
    <w:rsid w:val="008E0C9D"/>
    <w:rsid w:val="008E1648"/>
    <w:rsid w:val="008E1B3E"/>
    <w:rsid w:val="008E2319"/>
    <w:rsid w:val="008E4BB6"/>
    <w:rsid w:val="008E5518"/>
    <w:rsid w:val="008E69CA"/>
    <w:rsid w:val="008E6A84"/>
    <w:rsid w:val="008E72D2"/>
    <w:rsid w:val="008F0CDC"/>
    <w:rsid w:val="008F17A3"/>
    <w:rsid w:val="008F1ED3"/>
    <w:rsid w:val="008F23A5"/>
    <w:rsid w:val="008F4C29"/>
    <w:rsid w:val="008F70BD"/>
    <w:rsid w:val="008F788F"/>
    <w:rsid w:val="008F7EA2"/>
    <w:rsid w:val="0090040E"/>
    <w:rsid w:val="00902722"/>
    <w:rsid w:val="009027BC"/>
    <w:rsid w:val="009062E6"/>
    <w:rsid w:val="00910553"/>
    <w:rsid w:val="00911BE5"/>
    <w:rsid w:val="00912BF0"/>
    <w:rsid w:val="009133BF"/>
    <w:rsid w:val="00913CA9"/>
    <w:rsid w:val="009145AE"/>
    <w:rsid w:val="009146CE"/>
    <w:rsid w:val="00914CA7"/>
    <w:rsid w:val="00915C3E"/>
    <w:rsid w:val="009161A8"/>
    <w:rsid w:val="009245F5"/>
    <w:rsid w:val="009249EC"/>
    <w:rsid w:val="009273B3"/>
    <w:rsid w:val="009277D3"/>
    <w:rsid w:val="009305B5"/>
    <w:rsid w:val="0093078F"/>
    <w:rsid w:val="00942965"/>
    <w:rsid w:val="009429D5"/>
    <w:rsid w:val="00942BF1"/>
    <w:rsid w:val="00945180"/>
    <w:rsid w:val="00945428"/>
    <w:rsid w:val="0094607B"/>
    <w:rsid w:val="00947DF3"/>
    <w:rsid w:val="00953604"/>
    <w:rsid w:val="00953814"/>
    <w:rsid w:val="0095496B"/>
    <w:rsid w:val="009610DC"/>
    <w:rsid w:val="00961490"/>
    <w:rsid w:val="0096381A"/>
    <w:rsid w:val="00965114"/>
    <w:rsid w:val="00965E04"/>
    <w:rsid w:val="009674AD"/>
    <w:rsid w:val="00970CDC"/>
    <w:rsid w:val="00973932"/>
    <w:rsid w:val="00977010"/>
    <w:rsid w:val="00977D02"/>
    <w:rsid w:val="009809BB"/>
    <w:rsid w:val="0098364B"/>
    <w:rsid w:val="009911AF"/>
    <w:rsid w:val="00991875"/>
    <w:rsid w:val="00991F92"/>
    <w:rsid w:val="00992985"/>
    <w:rsid w:val="00993889"/>
    <w:rsid w:val="0099551B"/>
    <w:rsid w:val="0099772B"/>
    <w:rsid w:val="00997BF1"/>
    <w:rsid w:val="009A089C"/>
    <w:rsid w:val="009A118E"/>
    <w:rsid w:val="009A21CD"/>
    <w:rsid w:val="009A278C"/>
    <w:rsid w:val="009A2BC2"/>
    <w:rsid w:val="009A42C1"/>
    <w:rsid w:val="009A5429"/>
    <w:rsid w:val="009A63F3"/>
    <w:rsid w:val="009A655B"/>
    <w:rsid w:val="009A72AD"/>
    <w:rsid w:val="009B09E0"/>
    <w:rsid w:val="009B0BC5"/>
    <w:rsid w:val="009B1247"/>
    <w:rsid w:val="009B6029"/>
    <w:rsid w:val="009B6971"/>
    <w:rsid w:val="009B717E"/>
    <w:rsid w:val="009B73A0"/>
    <w:rsid w:val="009C1DCC"/>
    <w:rsid w:val="009C27F1"/>
    <w:rsid w:val="009C3152"/>
    <w:rsid w:val="009C4CFA"/>
    <w:rsid w:val="009C5070"/>
    <w:rsid w:val="009D112C"/>
    <w:rsid w:val="009D146D"/>
    <w:rsid w:val="009D14CC"/>
    <w:rsid w:val="009D47FA"/>
    <w:rsid w:val="009D4C5B"/>
    <w:rsid w:val="009D50D2"/>
    <w:rsid w:val="009D6BCA"/>
    <w:rsid w:val="009E0F62"/>
    <w:rsid w:val="009E4A58"/>
    <w:rsid w:val="009E5347"/>
    <w:rsid w:val="009E5A2D"/>
    <w:rsid w:val="009E5AB2"/>
    <w:rsid w:val="009E6219"/>
    <w:rsid w:val="009F03B3"/>
    <w:rsid w:val="009F4B9C"/>
    <w:rsid w:val="00A0096C"/>
    <w:rsid w:val="00A01757"/>
    <w:rsid w:val="00A028C0"/>
    <w:rsid w:val="00A02BAE"/>
    <w:rsid w:val="00A02D81"/>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75E"/>
    <w:rsid w:val="00A44E69"/>
    <w:rsid w:val="00A4661E"/>
    <w:rsid w:val="00A55BD6"/>
    <w:rsid w:val="00A55D50"/>
    <w:rsid w:val="00A57142"/>
    <w:rsid w:val="00A648CD"/>
    <w:rsid w:val="00A6537A"/>
    <w:rsid w:val="00A67866"/>
    <w:rsid w:val="00A70B07"/>
    <w:rsid w:val="00A723F8"/>
    <w:rsid w:val="00A74E58"/>
    <w:rsid w:val="00A77CCB"/>
    <w:rsid w:val="00A80BDF"/>
    <w:rsid w:val="00A80CC5"/>
    <w:rsid w:val="00A83D8D"/>
    <w:rsid w:val="00A84302"/>
    <w:rsid w:val="00A8446B"/>
    <w:rsid w:val="00A8473F"/>
    <w:rsid w:val="00A862D6"/>
    <w:rsid w:val="00A8715E"/>
    <w:rsid w:val="00A9295B"/>
    <w:rsid w:val="00A93B09"/>
    <w:rsid w:val="00A94247"/>
    <w:rsid w:val="00A9431D"/>
    <w:rsid w:val="00A952D7"/>
    <w:rsid w:val="00A963F7"/>
    <w:rsid w:val="00A96AD8"/>
    <w:rsid w:val="00AA052C"/>
    <w:rsid w:val="00AA1E45"/>
    <w:rsid w:val="00AA4286"/>
    <w:rsid w:val="00AA456B"/>
    <w:rsid w:val="00AA57F5"/>
    <w:rsid w:val="00AA672E"/>
    <w:rsid w:val="00AA6EC9"/>
    <w:rsid w:val="00AB0DBF"/>
    <w:rsid w:val="00AB41D5"/>
    <w:rsid w:val="00AB42BD"/>
    <w:rsid w:val="00AB4D8C"/>
    <w:rsid w:val="00AB6309"/>
    <w:rsid w:val="00AB6C5F"/>
    <w:rsid w:val="00AB7129"/>
    <w:rsid w:val="00AC1E9A"/>
    <w:rsid w:val="00AC27A6"/>
    <w:rsid w:val="00AC30F7"/>
    <w:rsid w:val="00AC3A5A"/>
    <w:rsid w:val="00AC4D95"/>
    <w:rsid w:val="00AC5DF4"/>
    <w:rsid w:val="00AD0AEF"/>
    <w:rsid w:val="00AD11B7"/>
    <w:rsid w:val="00AD1A94"/>
    <w:rsid w:val="00AD1C05"/>
    <w:rsid w:val="00AD1C1B"/>
    <w:rsid w:val="00AD3D41"/>
    <w:rsid w:val="00AD4126"/>
    <w:rsid w:val="00AD421C"/>
    <w:rsid w:val="00AD44FA"/>
    <w:rsid w:val="00AE070A"/>
    <w:rsid w:val="00AE101C"/>
    <w:rsid w:val="00AE37E5"/>
    <w:rsid w:val="00AE58E7"/>
    <w:rsid w:val="00AE5EB4"/>
    <w:rsid w:val="00AF034D"/>
    <w:rsid w:val="00AF0C18"/>
    <w:rsid w:val="00AF1399"/>
    <w:rsid w:val="00AF1C25"/>
    <w:rsid w:val="00AF47C5"/>
    <w:rsid w:val="00AF527D"/>
    <w:rsid w:val="00AF5398"/>
    <w:rsid w:val="00AF622C"/>
    <w:rsid w:val="00B001FC"/>
    <w:rsid w:val="00B01241"/>
    <w:rsid w:val="00B049AF"/>
    <w:rsid w:val="00B07242"/>
    <w:rsid w:val="00B10534"/>
    <w:rsid w:val="00B113DB"/>
    <w:rsid w:val="00B11D8A"/>
    <w:rsid w:val="00B12981"/>
    <w:rsid w:val="00B13603"/>
    <w:rsid w:val="00B147DD"/>
    <w:rsid w:val="00B156FD"/>
    <w:rsid w:val="00B21620"/>
    <w:rsid w:val="00B21F61"/>
    <w:rsid w:val="00B261F1"/>
    <w:rsid w:val="00B265BC"/>
    <w:rsid w:val="00B30E94"/>
    <w:rsid w:val="00B31FB1"/>
    <w:rsid w:val="00B33952"/>
    <w:rsid w:val="00B33B06"/>
    <w:rsid w:val="00B33C5E"/>
    <w:rsid w:val="00B342F4"/>
    <w:rsid w:val="00B34369"/>
    <w:rsid w:val="00B34DC2"/>
    <w:rsid w:val="00B378E5"/>
    <w:rsid w:val="00B40C24"/>
    <w:rsid w:val="00B41A57"/>
    <w:rsid w:val="00B428DF"/>
    <w:rsid w:val="00B4346D"/>
    <w:rsid w:val="00B440F4"/>
    <w:rsid w:val="00B447A5"/>
    <w:rsid w:val="00B4547B"/>
    <w:rsid w:val="00B4654C"/>
    <w:rsid w:val="00B47293"/>
    <w:rsid w:val="00B50E50"/>
    <w:rsid w:val="00B52120"/>
    <w:rsid w:val="00B52393"/>
    <w:rsid w:val="00B54ABC"/>
    <w:rsid w:val="00B54DDE"/>
    <w:rsid w:val="00B56FBE"/>
    <w:rsid w:val="00B60ACF"/>
    <w:rsid w:val="00B62B58"/>
    <w:rsid w:val="00B62FF7"/>
    <w:rsid w:val="00B65149"/>
    <w:rsid w:val="00B661FB"/>
    <w:rsid w:val="00B66567"/>
    <w:rsid w:val="00B66F52"/>
    <w:rsid w:val="00B66FE5"/>
    <w:rsid w:val="00B72880"/>
    <w:rsid w:val="00B74F26"/>
    <w:rsid w:val="00B758BF"/>
    <w:rsid w:val="00B77EC8"/>
    <w:rsid w:val="00B827A6"/>
    <w:rsid w:val="00B831CE"/>
    <w:rsid w:val="00B86677"/>
    <w:rsid w:val="00B87131"/>
    <w:rsid w:val="00B939B1"/>
    <w:rsid w:val="00B962B3"/>
    <w:rsid w:val="00B96D40"/>
    <w:rsid w:val="00B97089"/>
    <w:rsid w:val="00B97386"/>
    <w:rsid w:val="00BA2348"/>
    <w:rsid w:val="00BA263B"/>
    <w:rsid w:val="00BA42B2"/>
    <w:rsid w:val="00BA58D4"/>
    <w:rsid w:val="00BA5B9E"/>
    <w:rsid w:val="00BA78A4"/>
    <w:rsid w:val="00BA7C9A"/>
    <w:rsid w:val="00BB3626"/>
    <w:rsid w:val="00BB5F8F"/>
    <w:rsid w:val="00BB657A"/>
    <w:rsid w:val="00BC1A4E"/>
    <w:rsid w:val="00BC5C01"/>
    <w:rsid w:val="00BC5DC7"/>
    <w:rsid w:val="00BC6B8B"/>
    <w:rsid w:val="00BC73D8"/>
    <w:rsid w:val="00BD26B2"/>
    <w:rsid w:val="00BD52D7"/>
    <w:rsid w:val="00BD5AD2"/>
    <w:rsid w:val="00BD676B"/>
    <w:rsid w:val="00BD6C6A"/>
    <w:rsid w:val="00BE02D6"/>
    <w:rsid w:val="00BE22F3"/>
    <w:rsid w:val="00BE450C"/>
    <w:rsid w:val="00BE5B52"/>
    <w:rsid w:val="00BE7B8D"/>
    <w:rsid w:val="00BF0993"/>
    <w:rsid w:val="00BF10A9"/>
    <w:rsid w:val="00BF1703"/>
    <w:rsid w:val="00BF231C"/>
    <w:rsid w:val="00BF464A"/>
    <w:rsid w:val="00BF51E5"/>
    <w:rsid w:val="00BF74A6"/>
    <w:rsid w:val="00C013AD"/>
    <w:rsid w:val="00C04495"/>
    <w:rsid w:val="00C04904"/>
    <w:rsid w:val="00C056B3"/>
    <w:rsid w:val="00C103E5"/>
    <w:rsid w:val="00C1141E"/>
    <w:rsid w:val="00C11819"/>
    <w:rsid w:val="00C13319"/>
    <w:rsid w:val="00C13EE9"/>
    <w:rsid w:val="00C21540"/>
    <w:rsid w:val="00C21906"/>
    <w:rsid w:val="00C219E5"/>
    <w:rsid w:val="00C21BFA"/>
    <w:rsid w:val="00C21E2D"/>
    <w:rsid w:val="00C22148"/>
    <w:rsid w:val="00C24C8D"/>
    <w:rsid w:val="00C25FE2"/>
    <w:rsid w:val="00C26B53"/>
    <w:rsid w:val="00C279B2"/>
    <w:rsid w:val="00C33625"/>
    <w:rsid w:val="00C33E50"/>
    <w:rsid w:val="00C340F6"/>
    <w:rsid w:val="00C34C20"/>
    <w:rsid w:val="00C35787"/>
    <w:rsid w:val="00C35A3E"/>
    <w:rsid w:val="00C35D08"/>
    <w:rsid w:val="00C42130"/>
    <w:rsid w:val="00C423A4"/>
    <w:rsid w:val="00C44BF5"/>
    <w:rsid w:val="00C45DCF"/>
    <w:rsid w:val="00C477CB"/>
    <w:rsid w:val="00C521D6"/>
    <w:rsid w:val="00C549AD"/>
    <w:rsid w:val="00C55232"/>
    <w:rsid w:val="00C553A4"/>
    <w:rsid w:val="00C55A06"/>
    <w:rsid w:val="00C55D03"/>
    <w:rsid w:val="00C601BC"/>
    <w:rsid w:val="00C62D9A"/>
    <w:rsid w:val="00C6329F"/>
    <w:rsid w:val="00C63340"/>
    <w:rsid w:val="00C643F9"/>
    <w:rsid w:val="00C64E95"/>
    <w:rsid w:val="00C67AA0"/>
    <w:rsid w:val="00C71372"/>
    <w:rsid w:val="00C72410"/>
    <w:rsid w:val="00C7287F"/>
    <w:rsid w:val="00C80CB8"/>
    <w:rsid w:val="00C80D8D"/>
    <w:rsid w:val="00C819F8"/>
    <w:rsid w:val="00C8248C"/>
    <w:rsid w:val="00C84E33"/>
    <w:rsid w:val="00C86029"/>
    <w:rsid w:val="00C86D6F"/>
    <w:rsid w:val="00C905FC"/>
    <w:rsid w:val="00C92D03"/>
    <w:rsid w:val="00C9319C"/>
    <w:rsid w:val="00C9435D"/>
    <w:rsid w:val="00C9446A"/>
    <w:rsid w:val="00C94DF2"/>
    <w:rsid w:val="00C96741"/>
    <w:rsid w:val="00CA2D1B"/>
    <w:rsid w:val="00CA375D"/>
    <w:rsid w:val="00CA4887"/>
    <w:rsid w:val="00CA662A"/>
    <w:rsid w:val="00CA6A37"/>
    <w:rsid w:val="00CA7068"/>
    <w:rsid w:val="00CA7AFD"/>
    <w:rsid w:val="00CA7C3C"/>
    <w:rsid w:val="00CA7C78"/>
    <w:rsid w:val="00CB0189"/>
    <w:rsid w:val="00CB0BA2"/>
    <w:rsid w:val="00CB1A42"/>
    <w:rsid w:val="00CB1B0C"/>
    <w:rsid w:val="00CB1FA2"/>
    <w:rsid w:val="00CB2C0B"/>
    <w:rsid w:val="00CB517D"/>
    <w:rsid w:val="00CB5720"/>
    <w:rsid w:val="00CC038D"/>
    <w:rsid w:val="00CC08DB"/>
    <w:rsid w:val="00CC39FF"/>
    <w:rsid w:val="00CC3C2F"/>
    <w:rsid w:val="00CC47E3"/>
    <w:rsid w:val="00CC4AC8"/>
    <w:rsid w:val="00CC5233"/>
    <w:rsid w:val="00CC55FC"/>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852"/>
    <w:rsid w:val="00D07A16"/>
    <w:rsid w:val="00D1067E"/>
    <w:rsid w:val="00D10F50"/>
    <w:rsid w:val="00D11272"/>
    <w:rsid w:val="00D126F5"/>
    <w:rsid w:val="00D146D1"/>
    <w:rsid w:val="00D1489E"/>
    <w:rsid w:val="00D20737"/>
    <w:rsid w:val="00D21E81"/>
    <w:rsid w:val="00D223DE"/>
    <w:rsid w:val="00D25E37"/>
    <w:rsid w:val="00D2661A"/>
    <w:rsid w:val="00D27348"/>
    <w:rsid w:val="00D27582"/>
    <w:rsid w:val="00D27EC4"/>
    <w:rsid w:val="00D32719"/>
    <w:rsid w:val="00D33249"/>
    <w:rsid w:val="00D33333"/>
    <w:rsid w:val="00D33457"/>
    <w:rsid w:val="00D34C41"/>
    <w:rsid w:val="00D352A2"/>
    <w:rsid w:val="00D41278"/>
    <w:rsid w:val="00D4162B"/>
    <w:rsid w:val="00D4514F"/>
    <w:rsid w:val="00D451E2"/>
    <w:rsid w:val="00D45E89"/>
    <w:rsid w:val="00D45E8D"/>
    <w:rsid w:val="00D466AE"/>
    <w:rsid w:val="00D4734F"/>
    <w:rsid w:val="00D51BF3"/>
    <w:rsid w:val="00D52032"/>
    <w:rsid w:val="00D66846"/>
    <w:rsid w:val="00D675FB"/>
    <w:rsid w:val="00D71F25"/>
    <w:rsid w:val="00D72A9C"/>
    <w:rsid w:val="00D77031"/>
    <w:rsid w:val="00D80468"/>
    <w:rsid w:val="00D828E4"/>
    <w:rsid w:val="00D84941"/>
    <w:rsid w:val="00D84FA1"/>
    <w:rsid w:val="00D851F0"/>
    <w:rsid w:val="00D86DB7"/>
    <w:rsid w:val="00D907B9"/>
    <w:rsid w:val="00D924BF"/>
    <w:rsid w:val="00D926D0"/>
    <w:rsid w:val="00D93030"/>
    <w:rsid w:val="00D950E1"/>
    <w:rsid w:val="00D952A6"/>
    <w:rsid w:val="00D97F99"/>
    <w:rsid w:val="00DA1E08"/>
    <w:rsid w:val="00DA24F8"/>
    <w:rsid w:val="00DA28E8"/>
    <w:rsid w:val="00DA38D3"/>
    <w:rsid w:val="00DA3932"/>
    <w:rsid w:val="00DA3AFC"/>
    <w:rsid w:val="00DA560B"/>
    <w:rsid w:val="00DA64F8"/>
    <w:rsid w:val="00DA6C15"/>
    <w:rsid w:val="00DB0258"/>
    <w:rsid w:val="00DB38EE"/>
    <w:rsid w:val="00DB498B"/>
    <w:rsid w:val="00DB66CA"/>
    <w:rsid w:val="00DB6BCA"/>
    <w:rsid w:val="00DB73F7"/>
    <w:rsid w:val="00DB7AA9"/>
    <w:rsid w:val="00DC0321"/>
    <w:rsid w:val="00DC2166"/>
    <w:rsid w:val="00DC2E85"/>
    <w:rsid w:val="00DC3067"/>
    <w:rsid w:val="00DC370B"/>
    <w:rsid w:val="00DC5B90"/>
    <w:rsid w:val="00DC685B"/>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89D"/>
    <w:rsid w:val="00DF1961"/>
    <w:rsid w:val="00DF2339"/>
    <w:rsid w:val="00DF44DE"/>
    <w:rsid w:val="00DF5F11"/>
    <w:rsid w:val="00DF650B"/>
    <w:rsid w:val="00DF6520"/>
    <w:rsid w:val="00DF6B35"/>
    <w:rsid w:val="00E01138"/>
    <w:rsid w:val="00E02DFB"/>
    <w:rsid w:val="00E030F9"/>
    <w:rsid w:val="00E0311A"/>
    <w:rsid w:val="00E03138"/>
    <w:rsid w:val="00E05D34"/>
    <w:rsid w:val="00E06404"/>
    <w:rsid w:val="00E10073"/>
    <w:rsid w:val="00E11A85"/>
    <w:rsid w:val="00E12495"/>
    <w:rsid w:val="00E15CCD"/>
    <w:rsid w:val="00E202EF"/>
    <w:rsid w:val="00E210B5"/>
    <w:rsid w:val="00E23D99"/>
    <w:rsid w:val="00E2552F"/>
    <w:rsid w:val="00E311F1"/>
    <w:rsid w:val="00E3137A"/>
    <w:rsid w:val="00E32CCF"/>
    <w:rsid w:val="00E34A98"/>
    <w:rsid w:val="00E35D1E"/>
    <w:rsid w:val="00E364F9"/>
    <w:rsid w:val="00E365FA"/>
    <w:rsid w:val="00E36789"/>
    <w:rsid w:val="00E437B8"/>
    <w:rsid w:val="00E442A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F99"/>
    <w:rsid w:val="00E74C54"/>
    <w:rsid w:val="00E77A03"/>
    <w:rsid w:val="00E8039B"/>
    <w:rsid w:val="00E822E8"/>
    <w:rsid w:val="00E82336"/>
    <w:rsid w:val="00E82554"/>
    <w:rsid w:val="00E82606"/>
    <w:rsid w:val="00E846C8"/>
    <w:rsid w:val="00E84957"/>
    <w:rsid w:val="00E84A55"/>
    <w:rsid w:val="00E85BFF"/>
    <w:rsid w:val="00E90391"/>
    <w:rsid w:val="00E906C2"/>
    <w:rsid w:val="00E9311F"/>
    <w:rsid w:val="00E934D1"/>
    <w:rsid w:val="00E93E5E"/>
    <w:rsid w:val="00E948A8"/>
    <w:rsid w:val="00E94AF0"/>
    <w:rsid w:val="00E95D13"/>
    <w:rsid w:val="00E95DD3"/>
    <w:rsid w:val="00E969D5"/>
    <w:rsid w:val="00EA58D1"/>
    <w:rsid w:val="00EA61BC"/>
    <w:rsid w:val="00EA681A"/>
    <w:rsid w:val="00EA735B"/>
    <w:rsid w:val="00EB0ED7"/>
    <w:rsid w:val="00EB17DE"/>
    <w:rsid w:val="00EB1E69"/>
    <w:rsid w:val="00EB2086"/>
    <w:rsid w:val="00EB5EDF"/>
    <w:rsid w:val="00EB60FE"/>
    <w:rsid w:val="00EB74DB"/>
    <w:rsid w:val="00EC5359"/>
    <w:rsid w:val="00EC562A"/>
    <w:rsid w:val="00ED05FC"/>
    <w:rsid w:val="00ED067A"/>
    <w:rsid w:val="00ED2B50"/>
    <w:rsid w:val="00EE0350"/>
    <w:rsid w:val="00EE0719"/>
    <w:rsid w:val="00EE0E80"/>
    <w:rsid w:val="00EE54A6"/>
    <w:rsid w:val="00EE613F"/>
    <w:rsid w:val="00EE7295"/>
    <w:rsid w:val="00EE7869"/>
    <w:rsid w:val="00EF054A"/>
    <w:rsid w:val="00EF3235"/>
    <w:rsid w:val="00EF7E72"/>
    <w:rsid w:val="00F06711"/>
    <w:rsid w:val="00F06D37"/>
    <w:rsid w:val="00F07B9D"/>
    <w:rsid w:val="00F11586"/>
    <w:rsid w:val="00F1183B"/>
    <w:rsid w:val="00F11C9F"/>
    <w:rsid w:val="00F12263"/>
    <w:rsid w:val="00F1409D"/>
    <w:rsid w:val="00F14214"/>
    <w:rsid w:val="00F15796"/>
    <w:rsid w:val="00F157A9"/>
    <w:rsid w:val="00F16686"/>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770"/>
    <w:rsid w:val="00F6194E"/>
    <w:rsid w:val="00F623AC"/>
    <w:rsid w:val="00F6412A"/>
    <w:rsid w:val="00F65893"/>
    <w:rsid w:val="00F66A4A"/>
    <w:rsid w:val="00F71E22"/>
    <w:rsid w:val="00F72142"/>
    <w:rsid w:val="00F72AE7"/>
    <w:rsid w:val="00F737D3"/>
    <w:rsid w:val="00F80D8A"/>
    <w:rsid w:val="00F81141"/>
    <w:rsid w:val="00F833BA"/>
    <w:rsid w:val="00F84FD0"/>
    <w:rsid w:val="00F854EC"/>
    <w:rsid w:val="00F859A8"/>
    <w:rsid w:val="00F85A5C"/>
    <w:rsid w:val="00F86D87"/>
    <w:rsid w:val="00F9108B"/>
    <w:rsid w:val="00F91349"/>
    <w:rsid w:val="00F93A8A"/>
    <w:rsid w:val="00F95248"/>
    <w:rsid w:val="00F956A9"/>
    <w:rsid w:val="00F963ED"/>
    <w:rsid w:val="00F966CF"/>
    <w:rsid w:val="00F96CAE"/>
    <w:rsid w:val="00F97168"/>
    <w:rsid w:val="00F97C99"/>
    <w:rsid w:val="00FA04A4"/>
    <w:rsid w:val="00FA04AD"/>
    <w:rsid w:val="00FA4DAC"/>
    <w:rsid w:val="00FA662D"/>
    <w:rsid w:val="00FA73B1"/>
    <w:rsid w:val="00FB0CB9"/>
    <w:rsid w:val="00FB231D"/>
    <w:rsid w:val="00FB2A4F"/>
    <w:rsid w:val="00FB4529"/>
    <w:rsid w:val="00FB45F1"/>
    <w:rsid w:val="00FB4A72"/>
    <w:rsid w:val="00FB54E8"/>
    <w:rsid w:val="00FB7054"/>
    <w:rsid w:val="00FC17B7"/>
    <w:rsid w:val="00FC2CB7"/>
    <w:rsid w:val="00FC4090"/>
    <w:rsid w:val="00FC4A56"/>
    <w:rsid w:val="00FC55B4"/>
    <w:rsid w:val="00FD00E6"/>
    <w:rsid w:val="00FD09A1"/>
    <w:rsid w:val="00FD2A7C"/>
    <w:rsid w:val="00FD59EB"/>
    <w:rsid w:val="00FD675A"/>
    <w:rsid w:val="00FD7299"/>
    <w:rsid w:val="00FE1FBE"/>
    <w:rsid w:val="00FE3901"/>
    <w:rsid w:val="00FE39D3"/>
    <w:rsid w:val="00FE4996"/>
    <w:rsid w:val="00FE4BCE"/>
    <w:rsid w:val="00FE54AE"/>
    <w:rsid w:val="00FE576A"/>
    <w:rsid w:val="00FE69BF"/>
    <w:rsid w:val="00FE7E79"/>
    <w:rsid w:val="00FF3E7D"/>
    <w:rsid w:val="00FF409C"/>
    <w:rsid w:val="00FF52DC"/>
    <w:rsid w:val="00FF5B99"/>
    <w:rsid w:val="00FF730C"/>
    <w:rsid w:val="00FF73F4"/>
    <w:rsid w:val="00FF7CE4"/>
    <w:rsid w:val="00FF7E39"/>
    <w:rsid w:val="01D877DD"/>
    <w:rsid w:val="01E4322D"/>
    <w:rsid w:val="0250441F"/>
    <w:rsid w:val="02C5294D"/>
    <w:rsid w:val="05CF5FA2"/>
    <w:rsid w:val="05F7179A"/>
    <w:rsid w:val="062E2B67"/>
    <w:rsid w:val="07E775D3"/>
    <w:rsid w:val="08514A4D"/>
    <w:rsid w:val="08E458C1"/>
    <w:rsid w:val="09063A89"/>
    <w:rsid w:val="092675FD"/>
    <w:rsid w:val="0BA94BA0"/>
    <w:rsid w:val="0D2941EA"/>
    <w:rsid w:val="0DAD6BC9"/>
    <w:rsid w:val="0DBA1CBF"/>
    <w:rsid w:val="0E0A561B"/>
    <w:rsid w:val="0FA67D74"/>
    <w:rsid w:val="0FB26719"/>
    <w:rsid w:val="115B7A99"/>
    <w:rsid w:val="14A065BA"/>
    <w:rsid w:val="15192D96"/>
    <w:rsid w:val="154120B5"/>
    <w:rsid w:val="156A2ECB"/>
    <w:rsid w:val="17063BE4"/>
    <w:rsid w:val="17E53404"/>
    <w:rsid w:val="1B43291B"/>
    <w:rsid w:val="1B7E3953"/>
    <w:rsid w:val="1D110334"/>
    <w:rsid w:val="1E7159F1"/>
    <w:rsid w:val="1ED32208"/>
    <w:rsid w:val="1F95570F"/>
    <w:rsid w:val="1FC40B34"/>
    <w:rsid w:val="20A57BD4"/>
    <w:rsid w:val="228026A7"/>
    <w:rsid w:val="22A2261D"/>
    <w:rsid w:val="22D87DED"/>
    <w:rsid w:val="235002CB"/>
    <w:rsid w:val="26D134D1"/>
    <w:rsid w:val="28DA492B"/>
    <w:rsid w:val="2B7A308E"/>
    <w:rsid w:val="2BD1572D"/>
    <w:rsid w:val="2C2C2F57"/>
    <w:rsid w:val="2D1161A8"/>
    <w:rsid w:val="2E1F1945"/>
    <w:rsid w:val="2EAD65D1"/>
    <w:rsid w:val="31E7004C"/>
    <w:rsid w:val="32A47CEB"/>
    <w:rsid w:val="33D07732"/>
    <w:rsid w:val="34CE54F3"/>
    <w:rsid w:val="368220F2"/>
    <w:rsid w:val="370E607B"/>
    <w:rsid w:val="397C551E"/>
    <w:rsid w:val="3A7A3A64"/>
    <w:rsid w:val="3AE710BD"/>
    <w:rsid w:val="3AFE01B5"/>
    <w:rsid w:val="3BCC2061"/>
    <w:rsid w:val="3BF1014F"/>
    <w:rsid w:val="3F535ABC"/>
    <w:rsid w:val="3F577E93"/>
    <w:rsid w:val="3FDF2363"/>
    <w:rsid w:val="420946BA"/>
    <w:rsid w:val="43632F12"/>
    <w:rsid w:val="43D67974"/>
    <w:rsid w:val="44040A7B"/>
    <w:rsid w:val="45B750ED"/>
    <w:rsid w:val="45CE1EE4"/>
    <w:rsid w:val="460C19D8"/>
    <w:rsid w:val="46E019E2"/>
    <w:rsid w:val="48485562"/>
    <w:rsid w:val="491017DF"/>
    <w:rsid w:val="4AF20C60"/>
    <w:rsid w:val="4B4A3456"/>
    <w:rsid w:val="4CD34FFD"/>
    <w:rsid w:val="4E766588"/>
    <w:rsid w:val="4FC43C9F"/>
    <w:rsid w:val="4FEE03A0"/>
    <w:rsid w:val="50855C6C"/>
    <w:rsid w:val="51713A22"/>
    <w:rsid w:val="520930BD"/>
    <w:rsid w:val="531825FE"/>
    <w:rsid w:val="534529CD"/>
    <w:rsid w:val="53AA2830"/>
    <w:rsid w:val="540B60DD"/>
    <w:rsid w:val="54596730"/>
    <w:rsid w:val="557A5E93"/>
    <w:rsid w:val="56C80241"/>
    <w:rsid w:val="579A3340"/>
    <w:rsid w:val="57E417E0"/>
    <w:rsid w:val="58093FC9"/>
    <w:rsid w:val="58B76F79"/>
    <w:rsid w:val="59EF5441"/>
    <w:rsid w:val="5C871960"/>
    <w:rsid w:val="5F911874"/>
    <w:rsid w:val="5FF86145"/>
    <w:rsid w:val="60732927"/>
    <w:rsid w:val="63940F87"/>
    <w:rsid w:val="63FA510E"/>
    <w:rsid w:val="65F46C17"/>
    <w:rsid w:val="66AF21DF"/>
    <w:rsid w:val="67862274"/>
    <w:rsid w:val="6A0B3BD1"/>
    <w:rsid w:val="6C3118E9"/>
    <w:rsid w:val="6C487C6E"/>
    <w:rsid w:val="6D1E159E"/>
    <w:rsid w:val="6ED76777"/>
    <w:rsid w:val="718129CA"/>
    <w:rsid w:val="767D31DD"/>
    <w:rsid w:val="76990005"/>
    <w:rsid w:val="77D80B88"/>
    <w:rsid w:val="7856695F"/>
    <w:rsid w:val="78DE6954"/>
    <w:rsid w:val="792E3438"/>
    <w:rsid w:val="79984959"/>
    <w:rsid w:val="7B132E24"/>
    <w:rsid w:val="7C80044E"/>
    <w:rsid w:val="7D382AD7"/>
    <w:rsid w:val="7F9878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Document Map"/>
    <w:basedOn w:val="1"/>
    <w:link w:val="231"/>
    <w:autoRedefine/>
    <w:semiHidden/>
    <w:unhideWhenUsed/>
    <w:qFormat/>
    <w:uiPriority w:val="99"/>
    <w:rPr>
      <w:rFonts w:ascii="宋体"/>
      <w:sz w:val="18"/>
      <w:szCs w:val="18"/>
    </w:r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2"/>
    <w:autoRedefine/>
    <w:qFormat/>
    <w:uiPriority w:val="0"/>
    <w:rPr>
      <w:rFonts w:ascii="Times New Roman" w:hAnsi="Times New Roman" w:eastAsia="宋体" w:cs="Times New Roman"/>
      <w:b/>
      <w:bCs/>
      <w:kern w:val="44"/>
      <w:sz w:val="44"/>
      <w:szCs w:val="44"/>
    </w:rPr>
  </w:style>
  <w:style w:type="character" w:customStyle="1" w:styleId="36">
    <w:name w:val="标题 2 Char"/>
    <w:link w:val="3"/>
    <w:autoRedefine/>
    <w:qFormat/>
    <w:uiPriority w:val="0"/>
    <w:rPr>
      <w:rFonts w:ascii="Arial" w:hAnsi="Arial" w:eastAsia="黑体" w:cs="Times New Roman"/>
      <w:b/>
      <w:bCs/>
      <w:sz w:val="32"/>
      <w:szCs w:val="32"/>
    </w:rPr>
  </w:style>
  <w:style w:type="character" w:customStyle="1" w:styleId="37">
    <w:name w:val="标题 3 Char"/>
    <w:link w:val="4"/>
    <w:autoRedefine/>
    <w:qFormat/>
    <w:uiPriority w:val="0"/>
    <w:rPr>
      <w:rFonts w:ascii="Times New Roman" w:hAnsi="Times New Roman" w:eastAsia="宋体" w:cs="Times New Roman"/>
      <w:b/>
      <w:bCs/>
      <w:sz w:val="32"/>
      <w:szCs w:val="32"/>
    </w:rPr>
  </w:style>
  <w:style w:type="character" w:customStyle="1" w:styleId="38">
    <w:name w:val="标题 4 Char"/>
    <w:link w:val="5"/>
    <w:autoRedefine/>
    <w:qFormat/>
    <w:uiPriority w:val="0"/>
    <w:rPr>
      <w:rFonts w:ascii="Arial" w:hAnsi="Arial" w:eastAsia="黑体" w:cs="Times New Roman"/>
      <w:b/>
      <w:bCs/>
      <w:sz w:val="28"/>
      <w:szCs w:val="28"/>
    </w:rPr>
  </w:style>
  <w:style w:type="character" w:customStyle="1" w:styleId="39">
    <w:name w:val="标题 5 Char"/>
    <w:link w:val="6"/>
    <w:autoRedefine/>
    <w:qFormat/>
    <w:uiPriority w:val="0"/>
    <w:rPr>
      <w:rFonts w:ascii="Times New Roman" w:hAnsi="Times New Roman" w:eastAsia="宋体" w:cs="Times New Roman"/>
      <w:b/>
      <w:bCs/>
      <w:sz w:val="28"/>
      <w:szCs w:val="28"/>
    </w:rPr>
  </w:style>
  <w:style w:type="character" w:customStyle="1" w:styleId="40">
    <w:name w:val="标题 6 Char"/>
    <w:link w:val="7"/>
    <w:autoRedefine/>
    <w:qFormat/>
    <w:uiPriority w:val="0"/>
    <w:rPr>
      <w:rFonts w:ascii="Arial" w:hAnsi="Arial" w:eastAsia="黑体" w:cs="Times New Roman"/>
      <w:b/>
      <w:bCs/>
      <w:sz w:val="24"/>
      <w:szCs w:val="24"/>
    </w:rPr>
  </w:style>
  <w:style w:type="character" w:customStyle="1" w:styleId="41">
    <w:name w:val="标题 7 Char"/>
    <w:link w:val="8"/>
    <w:autoRedefine/>
    <w:qFormat/>
    <w:uiPriority w:val="0"/>
    <w:rPr>
      <w:rFonts w:ascii="Times New Roman" w:hAnsi="Times New Roman" w:eastAsia="宋体" w:cs="Times New Roman"/>
      <w:b/>
      <w:bCs/>
      <w:sz w:val="24"/>
      <w:szCs w:val="24"/>
    </w:rPr>
  </w:style>
  <w:style w:type="character" w:customStyle="1" w:styleId="42">
    <w:name w:val="标题 8 Char"/>
    <w:link w:val="9"/>
    <w:autoRedefine/>
    <w:qFormat/>
    <w:uiPriority w:val="0"/>
    <w:rPr>
      <w:rFonts w:ascii="Arial" w:hAnsi="Arial" w:eastAsia="黑体" w:cs="Times New Roman"/>
      <w:sz w:val="24"/>
      <w:szCs w:val="24"/>
    </w:rPr>
  </w:style>
  <w:style w:type="character" w:customStyle="1" w:styleId="43">
    <w:name w:val="标题 9 Char"/>
    <w:link w:val="10"/>
    <w:autoRedefine/>
    <w:qFormat/>
    <w:uiPriority w:val="0"/>
    <w:rPr>
      <w:rFonts w:ascii="Arial" w:hAnsi="Arial" w:eastAsia="黑体" w:cs="Times New Roman"/>
      <w:szCs w:val="21"/>
    </w:rPr>
  </w:style>
  <w:style w:type="character" w:customStyle="1" w:styleId="44">
    <w:name w:val="页眉 Char"/>
    <w:link w:val="19"/>
    <w:autoRedefine/>
    <w:qFormat/>
    <w:uiPriority w:val="99"/>
    <w:rPr>
      <w:rFonts w:ascii="Times New Roman" w:hAnsi="Times New Roman" w:eastAsia="宋体" w:cs="Times New Roman"/>
      <w:sz w:val="18"/>
      <w:szCs w:val="18"/>
    </w:rPr>
  </w:style>
  <w:style w:type="character" w:customStyle="1" w:styleId="45">
    <w:name w:val="页脚 Char"/>
    <w:link w:val="18"/>
    <w:autoRedefine/>
    <w:qFormat/>
    <w:uiPriority w:val="99"/>
    <w:rPr>
      <w:rFonts w:ascii="宋体" w:hAnsi="Times New Roman" w:eastAsia="宋体" w:cs="Times New Roman"/>
      <w:sz w:val="18"/>
      <w:szCs w:val="18"/>
    </w:rPr>
  </w:style>
  <w:style w:type="character" w:customStyle="1" w:styleId="46">
    <w:name w:val="批注框文本 Char"/>
    <w:link w:val="17"/>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rPr>
  </w:style>
  <w:style w:type="character" w:customStyle="1" w:styleId="49">
    <w:name w:val="标题 Char"/>
    <w:link w:val="26"/>
    <w:autoRedefine/>
    <w:qFormat/>
    <w:uiPriority w:val="0"/>
    <w:rPr>
      <w:rFonts w:ascii="Arial" w:hAnsi="Arial" w:eastAsia="宋体"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autoRedefine/>
    <w:qFormat/>
    <w:uiPriority w:val="0"/>
    <w:rPr>
      <w:rFonts w:ascii="Times New Roman" w:hAnsi="Times New Roman" w:eastAsia="宋体" w:cs="Times New Roman"/>
      <w:szCs w:val="20"/>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ind w:left="0" w:firstLine="200"/>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autoRedefine/>
    <w:semiHidden/>
    <w:qFormat/>
    <w:uiPriority w:val="0"/>
    <w:rPr>
      <w:rFonts w:ascii="宋体" w:hAnsi="Times New Roman" w:eastAsia="宋体" w:cs="Times New Roman"/>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ind w:left="851"/>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Lines="0" w:afterLines="0"/>
      <w:outlineLvl w:val="9"/>
    </w:pPr>
    <w:rPr>
      <w:rFonts w:ascii="宋体" w:eastAsia="宋体"/>
    </w:rPr>
  </w:style>
  <w:style w:type="paragraph" w:customStyle="1" w:styleId="164">
    <w:name w:val="标准文件_五级无标题"/>
    <w:basedOn w:val="104"/>
    <w:autoRedefine/>
    <w:qFormat/>
    <w:uiPriority w:val="0"/>
    <w:pPr>
      <w:spacing w:beforeLines="0" w:afterLines="0"/>
      <w:outlineLvl w:val="9"/>
    </w:pPr>
    <w:rPr>
      <w:rFonts w:ascii="宋体" w:eastAsia="宋体"/>
    </w:rPr>
  </w:style>
  <w:style w:type="paragraph" w:customStyle="1" w:styleId="165">
    <w:name w:val="标准文件_三级无标题"/>
    <w:basedOn w:val="95"/>
    <w:autoRedefine/>
    <w:qFormat/>
    <w:uiPriority w:val="0"/>
    <w:pPr>
      <w:spacing w:beforeLines="0" w:afterLines="0"/>
      <w:outlineLvl w:val="9"/>
    </w:pPr>
    <w:rPr>
      <w:rFonts w:ascii="宋体" w:eastAsia="宋体"/>
    </w:rPr>
  </w:style>
  <w:style w:type="paragraph" w:customStyle="1" w:styleId="166">
    <w:name w:val="标准文件_二级无标题"/>
    <w:basedOn w:val="66"/>
    <w:autoRedefine/>
    <w:qFormat/>
    <w:uiPriority w:val="0"/>
    <w:pPr>
      <w:spacing w:beforeLines="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left="1271" w:hanging="420" w:firstLineChars="0"/>
    </w:pPr>
  </w:style>
  <w:style w:type="paragraph" w:customStyle="1" w:styleId="189">
    <w:name w:val="标准文件_三级项2"/>
    <w:basedOn w:val="57"/>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Lines="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Lines="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Lines="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Lines="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Lines="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Lines="0" w:afterLines="0" w:line="276" w:lineRule="auto"/>
    </w:pPr>
    <w:rPr>
      <w:rFonts w:ascii="宋体" w:eastAsia="宋体"/>
    </w:rPr>
  </w:style>
  <w:style w:type="paragraph" w:customStyle="1" w:styleId="219">
    <w:name w:val="标准文件_引言三级无标题"/>
    <w:basedOn w:val="203"/>
    <w:next w:val="57"/>
    <w:autoRedefine/>
    <w:qFormat/>
    <w:uiPriority w:val="0"/>
    <w:pPr>
      <w:spacing w:beforeLines="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Lines="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Lines="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character" w:customStyle="1" w:styleId="231">
    <w:name w:val="文档结构图 Char"/>
    <w:basedOn w:val="29"/>
    <w:link w:val="13"/>
    <w:autoRedefine/>
    <w:semiHidden/>
    <w:qFormat/>
    <w:uiPriority w:val="99"/>
    <w:rPr>
      <w:rFonts w:ascii="宋体"/>
      <w:kern w:val="2"/>
      <w:sz w:val="18"/>
      <w:szCs w:val="18"/>
    </w:rPr>
  </w:style>
  <w:style w:type="character" w:customStyle="1" w:styleId="232">
    <w:name w:val="font11"/>
    <w:basedOn w:val="29"/>
    <w:autoRedefine/>
    <w:qFormat/>
    <w:uiPriority w:val="0"/>
    <w:rPr>
      <w:rFonts w:hint="eastAsia" w:ascii="宋体" w:hAnsi="宋体" w:eastAsia="宋体"/>
      <w:color w:val="000000"/>
      <w:sz w:val="18"/>
      <w:szCs w:val="18"/>
      <w:u w:val="none"/>
    </w:rPr>
  </w:style>
  <w:style w:type="character" w:customStyle="1" w:styleId="233">
    <w:name w:val="font51"/>
    <w:basedOn w:val="29"/>
    <w:autoRedefine/>
    <w:qFormat/>
    <w:uiPriority w:val="0"/>
    <w:rPr>
      <w:rFonts w:hint="eastAsia" w:ascii="宋体" w:hAnsi="宋体" w:eastAsia="宋体"/>
      <w:color w:val="7030A0"/>
      <w:sz w:val="18"/>
      <w:szCs w:val="18"/>
      <w:u w:val="none"/>
    </w:rPr>
  </w:style>
  <w:style w:type="character" w:customStyle="1" w:styleId="234">
    <w:name w:val="font21"/>
    <w:basedOn w:val="29"/>
    <w:autoRedefine/>
    <w:qFormat/>
    <w:uiPriority w:val="0"/>
    <w:rPr>
      <w:rFonts w:hint="eastAsia" w:ascii="宋体" w:hAnsi="宋体" w:eastAsia="宋体"/>
      <w:color w:val="0070C0"/>
      <w:sz w:val="18"/>
      <w:szCs w:val="18"/>
      <w:u w:val="none"/>
    </w:rPr>
  </w:style>
  <w:style w:type="character" w:customStyle="1" w:styleId="235">
    <w:name w:val="font41"/>
    <w:basedOn w:val="29"/>
    <w:autoRedefine/>
    <w:qFormat/>
    <w:uiPriority w:val="0"/>
    <w:rPr>
      <w:rFonts w:hint="eastAsia" w:ascii="宋体" w:hAnsi="宋体" w:eastAsia="宋体"/>
      <w:color w:val="FF0000"/>
      <w:sz w:val="18"/>
      <w:szCs w:val="18"/>
      <w:u w:val="none"/>
    </w:rPr>
  </w:style>
  <w:style w:type="character" w:customStyle="1" w:styleId="236">
    <w:name w:val="font31"/>
    <w:basedOn w:val="29"/>
    <w:autoRedefine/>
    <w:qFormat/>
    <w:uiPriority w:val="0"/>
    <w:rPr>
      <w:rFonts w:hint="eastAsia" w:ascii="宋体" w:hAnsi="宋体" w:eastAsia="宋体"/>
      <w:color w:val="000000"/>
      <w:sz w:val="18"/>
      <w:szCs w:val="18"/>
      <w:u w:val="none"/>
    </w:rPr>
  </w:style>
  <w:style w:type="paragraph" w:customStyle="1" w:styleId="237">
    <w:name w:val="修订1"/>
    <w:autoRedefine/>
    <w:hidden/>
    <w:unhideWhenUsed/>
    <w:qFormat/>
    <w:uiPriority w:val="99"/>
    <w:rPr>
      <w:rFonts w:ascii="Calibri" w:hAnsi="Calibri" w:eastAsia="宋体" w:cs="Times New Roman"/>
      <w:kern w:val="2"/>
      <w:sz w:val="21"/>
      <w:szCs w:val="21"/>
      <w:lang w:val="en-US" w:eastAsia="zh-CN" w:bidi="ar-SA"/>
    </w:rPr>
  </w:style>
  <w:style w:type="paragraph" w:customStyle="1" w:styleId="238">
    <w:name w:val="修订2"/>
    <w:autoRedefine/>
    <w:hidden/>
    <w:unhideWhenUsed/>
    <w:qFormat/>
    <w:uiPriority w:val="99"/>
    <w:rPr>
      <w:rFonts w:ascii="Calibri" w:hAnsi="Calibri" w:eastAsia="宋体" w:cs="Times New Roman"/>
      <w:kern w:val="2"/>
      <w:sz w:val="21"/>
      <w:szCs w:val="21"/>
      <w:lang w:val="en-US" w:eastAsia="zh-CN" w:bidi="ar-SA"/>
    </w:rPr>
  </w:style>
  <w:style w:type="paragraph" w:customStyle="1" w:styleId="239">
    <w:name w:val="正文1"/>
    <w:autoRedefine/>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F982D66E3C4293A62B0BC7FFC16736"/>
        <w:style w:val=""/>
        <w:category>
          <w:name w:val="常规"/>
          <w:gallery w:val="placeholder"/>
        </w:category>
        <w:types>
          <w:type w:val="bbPlcHdr"/>
        </w:types>
        <w:behaviors>
          <w:behavior w:val="content"/>
        </w:behaviors>
        <w:description w:val=""/>
        <w:guid w:val="{CFED7FC3-CE08-4BFA-995E-C524A3DF3EE6}"/>
      </w:docPartPr>
      <w:docPartBody>
        <w:p>
          <w:pPr>
            <w:pStyle w:val="5"/>
          </w:pPr>
          <w:r>
            <w:rPr>
              <w:rStyle w:val="4"/>
              <w:rFonts w:hint="eastAsia"/>
            </w:rPr>
            <w:t>单击或点击此处输入文字。</w:t>
          </w:r>
        </w:p>
      </w:docPartBody>
    </w:docPart>
    <w:docPart>
      <w:docPartPr>
        <w:name w:val="C67DF5A4C5CA49228F6CA9C93CCC9474"/>
        <w:style w:val=""/>
        <w:category>
          <w:name w:val="常规"/>
          <w:gallery w:val="placeholder"/>
        </w:category>
        <w:types>
          <w:type w:val="bbPlcHdr"/>
        </w:types>
        <w:behaviors>
          <w:behavior w:val="content"/>
        </w:behaviors>
        <w:description w:val=""/>
        <w:guid w:val="{0FBF05C7-1F45-466E-8AA6-70C44CFFD818}"/>
      </w:docPartPr>
      <w:docPartBody>
        <w:p>
          <w:pPr>
            <w:pStyle w:val="6"/>
          </w:pPr>
          <w:r>
            <w:rPr>
              <w:rStyle w:val="4"/>
              <w:rFonts w:hint="eastAsia"/>
            </w:rPr>
            <w:t>选择一项。</w:t>
          </w:r>
        </w:p>
      </w:docPartBody>
    </w:docPart>
    <w:docPart>
      <w:docPartPr>
        <w:name w:val="5E4D9D2BC9704DB48E5F869F208EF6F5"/>
        <w:style w:val=""/>
        <w:category>
          <w:name w:val="常规"/>
          <w:gallery w:val="placeholder"/>
        </w:category>
        <w:types>
          <w:type w:val="bbPlcHdr"/>
        </w:types>
        <w:behaviors>
          <w:behavior w:val="content"/>
        </w:behaviors>
        <w:description w:val=""/>
        <w:guid w:val="{E1F06882-FE65-40D0-9D53-94B6649B31E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7398"/>
    <w:rsid w:val="00136A4F"/>
    <w:rsid w:val="002123A4"/>
    <w:rsid w:val="00234B24"/>
    <w:rsid w:val="00277398"/>
    <w:rsid w:val="002B3CF2"/>
    <w:rsid w:val="0032697F"/>
    <w:rsid w:val="0040525A"/>
    <w:rsid w:val="0042371B"/>
    <w:rsid w:val="004312E7"/>
    <w:rsid w:val="00487A4B"/>
    <w:rsid w:val="004E5D84"/>
    <w:rsid w:val="00721961"/>
    <w:rsid w:val="008A3C88"/>
    <w:rsid w:val="00914EF3"/>
    <w:rsid w:val="00A11FC8"/>
    <w:rsid w:val="00AA4DFF"/>
    <w:rsid w:val="00AC0846"/>
    <w:rsid w:val="00AD4095"/>
    <w:rsid w:val="00BA771E"/>
    <w:rsid w:val="00BC60CD"/>
    <w:rsid w:val="00C608D6"/>
    <w:rsid w:val="00CE2AA2"/>
    <w:rsid w:val="00CF0700"/>
    <w:rsid w:val="00D771B4"/>
    <w:rsid w:val="00E25617"/>
    <w:rsid w:val="00E31526"/>
    <w:rsid w:val="00EA144A"/>
    <w:rsid w:val="00EA5B03"/>
    <w:rsid w:val="00F669DE"/>
    <w:rsid w:val="00F77F10"/>
    <w:rsid w:val="00F9482E"/>
    <w:rsid w:val="00FA01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11F982D66E3C4293A62B0BC7FFC1673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67DF5A4C5CA49228F6CA9C93CCC947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E4D9D2BC9704DB48E5F869F208EF6F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3076"/>
    <customShpInfo spid="_x0000_s3074"/>
    <customShpInfo spid="_x0000_s3075"/>
    <customShpInfo spid="_x0000_s3073"/>
    <customShpInfo spid="_x0000_s1026"/>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D079D-FC61-48F0-B753-499385BB8E80}">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30</Pages>
  <Words>3633</Words>
  <Characters>20713</Characters>
  <Lines>172</Lines>
  <Paragraphs>48</Paragraphs>
  <TotalTime>59</TotalTime>
  <ScaleCrop>false</ScaleCrop>
  <LinksUpToDate>false</LinksUpToDate>
  <CharactersWithSpaces>24298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2023-07-20T10:22:00Z</dcterms:created>
  <dc:creator>Lenovo</dc:creator>
  <cp:lastModifiedBy>卖回忆</cp:lastModifiedBy>
  <cp:lastPrinted>2023-09-19T09:03:00Z</cp:lastPrinted>
  <dcterms:modified xsi:type="dcterms:W3CDTF">2024-01-16T11:04:35Z</dcterms:modified>
  <dc:title>地方标准</dc:title>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E1C0AE282B8B47DEB175C86E43BF579C</vt:lpwstr>
  </property>
</Properties>
</file>