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03.080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12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45/T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遗体</w:t>
      </w:r>
      <w:r>
        <w:t>业务大厅服务规范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2050" o:spid="_x0000_s2050"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pStyle w:val="89"/>
        <w:spacing w:before="900"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本文件由广西壮族自治区民政厅提出并归口。</w:t>
      </w:r>
    </w:p>
    <w:p>
      <w:pPr>
        <w:ind w:firstLine="420" w:firstLineChars="200"/>
      </w:pPr>
      <w:r>
        <w:rPr>
          <w:rFonts w:hint="eastAsia"/>
        </w:rPr>
        <w:t>本文件起草单位：玉林市民政局、玉林市殡仪馆</w:t>
      </w:r>
      <w:bookmarkStart w:id="54" w:name="_GoBack"/>
      <w:bookmarkEnd w:id="54"/>
      <w:r>
        <w:rPr>
          <w:rFonts w:hint="eastAsia"/>
        </w:rPr>
        <w:t>。</w:t>
      </w:r>
    </w:p>
    <w:p>
      <w:pPr>
        <w:pStyle w:val="56"/>
        <w:ind w:firstLine="420"/>
      </w:pPr>
      <w:r>
        <w:rPr>
          <w:rFonts w:hint="eastAsia"/>
        </w:rPr>
        <w:t>本文件主要起草人：戴海平、庞飞、谭伯模、赵奎、陈全、吴禄清、万军、陈园园、吴永恒、</w:t>
      </w:r>
    </w:p>
    <w:p>
      <w:pPr>
        <w:pStyle w:val="56"/>
        <w:ind w:firstLine="0" w:firstLineChars="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t>梁桂香、陈恭辉、吕建威、陈声维、沈维、谢玲、潘家军、唐星安、孙静、康玉婷。</w:t>
      </w: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2B7D513331B84721803EFF013DD60F19"/>
        </w:placeholder>
      </w:sdtPr>
      <w:sdtContent>
        <w:p>
          <w:pPr>
            <w:pStyle w:val="177"/>
            <w:spacing w:beforeLines="1" w:afterLines="220"/>
          </w:pPr>
          <w:bookmarkStart w:id="23" w:name="NEW_STAND_NAME"/>
          <w:r>
            <w:rPr>
              <w:rFonts w:hint="eastAsia"/>
            </w:rPr>
            <w:t>殡仪业务大厅服务规范</w:t>
          </w:r>
        </w:p>
      </w:sdtContent>
    </w:sdt>
    <w:bookmarkEnd w:id="23"/>
    <w:p>
      <w:pPr>
        <w:pStyle w:val="104"/>
        <w:spacing w:before="312" w:after="312"/>
      </w:pPr>
      <w:bookmarkStart w:id="24" w:name="_Toc26986771"/>
      <w:bookmarkStart w:id="25" w:name="_Toc17233325"/>
      <w:bookmarkStart w:id="26" w:name="_Toc26718930"/>
      <w:bookmarkStart w:id="27" w:name="_Toc17233333"/>
      <w:bookmarkStart w:id="28" w:name="_Toc24884211"/>
      <w:bookmarkStart w:id="29" w:name="_Toc97191423"/>
      <w:bookmarkStart w:id="30" w:name="_Toc26986530"/>
      <w:bookmarkStart w:id="31" w:name="_Toc24884218"/>
      <w:bookmarkStart w:id="32" w:name="_Toc26648465"/>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17233334"/>
      <w:bookmarkStart w:id="34" w:name="_Toc24884219"/>
      <w:bookmarkStart w:id="35" w:name="_Toc17233326"/>
      <w:bookmarkStart w:id="36" w:name="_Toc26648466"/>
      <w:bookmarkStart w:id="37" w:name="_Toc24884212"/>
      <w:r>
        <w:rPr>
          <w:rFonts w:hint="eastAsia"/>
        </w:rPr>
        <w:t>本文件规定了殡仪服务机构在殡仪业务大厅提供服务时的服务环境、服务人员、服务内容与要求、服务管理、消费者权益保护和评价与改进等要求。</w:t>
      </w:r>
    </w:p>
    <w:p>
      <w:pPr>
        <w:pStyle w:val="56"/>
        <w:ind w:firstLine="420"/>
      </w:pPr>
      <w:r>
        <w:rPr>
          <w:rFonts w:hint="eastAsia"/>
        </w:rPr>
        <w:t>本文件适用于广西壮族自治区行政区域内殡仪服务机构在业务大厅开展殡仪服务活动。</w:t>
      </w:r>
    </w:p>
    <w:p>
      <w:pPr>
        <w:pStyle w:val="104"/>
        <w:spacing w:before="312" w:after="312"/>
      </w:pPr>
      <w:bookmarkStart w:id="38" w:name="_Toc26986772"/>
      <w:bookmarkStart w:id="39" w:name="_Toc97191424"/>
      <w:bookmarkStart w:id="40" w:name="_Toc26718931"/>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94136EE8930470080DAA91B1058EF7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2893.1  图形符号 安全色和安全标志 第1部分:安全标志和安全标记的设计原则</w:t>
      </w:r>
    </w:p>
    <w:p>
      <w:pPr>
        <w:pStyle w:val="56"/>
        <w:ind w:firstLine="420"/>
      </w:pPr>
      <w:r>
        <w:rPr>
          <w:rFonts w:hint="eastAsia"/>
        </w:rPr>
        <w:t>GB 2894  安全标志及其使用导则</w:t>
      </w:r>
    </w:p>
    <w:p>
      <w:pPr>
        <w:pStyle w:val="56"/>
        <w:ind w:firstLine="420"/>
      </w:pPr>
      <w:r>
        <w:rPr>
          <w:rFonts w:hint="eastAsia"/>
        </w:rPr>
        <w:t>GB/T 10001.1  公共信息图形符号 第1部分：通用符号</w:t>
      </w:r>
    </w:p>
    <w:p>
      <w:pPr>
        <w:pStyle w:val="56"/>
        <w:ind w:firstLine="420"/>
      </w:pPr>
      <w:r>
        <w:rPr>
          <w:rFonts w:hint="eastAsia"/>
        </w:rPr>
        <w:t>GB 19053  殡仪场所致病菌安全限值</w:t>
      </w:r>
    </w:p>
    <w:p>
      <w:pPr>
        <w:pStyle w:val="56"/>
        <w:ind w:firstLine="420"/>
      </w:pPr>
      <w:r>
        <w:rPr>
          <w:rFonts w:hint="eastAsia"/>
        </w:rPr>
        <w:t>GB/T 24441-2009  殡葬服务从业人员资质条件</w:t>
      </w:r>
    </w:p>
    <w:p>
      <w:pPr>
        <w:pStyle w:val="56"/>
        <w:ind w:firstLine="420"/>
      </w:pPr>
      <w:r>
        <w:rPr>
          <w:rFonts w:hint="eastAsia"/>
        </w:rPr>
        <w:t xml:space="preserve">MZ/T 048 殡葬服务满意度评价 </w:t>
      </w:r>
    </w:p>
    <w:p>
      <w:pPr>
        <w:pStyle w:val="56"/>
        <w:ind w:firstLine="420"/>
      </w:pPr>
      <w:r>
        <w:rPr>
          <w:rFonts w:hint="eastAsia"/>
        </w:rPr>
        <w:t>MZ/T 145 殡葬服务机构业务档案管理规范</w:t>
      </w:r>
    </w:p>
    <w:p>
      <w:pPr>
        <w:pStyle w:val="104"/>
        <w:spacing w:before="312" w:after="312"/>
        <w:rPr>
          <w:szCs w:val="21"/>
        </w:rPr>
      </w:pPr>
      <w:bookmarkStart w:id="42" w:name="_Toc97191425"/>
      <w:r>
        <w:rPr>
          <w:rFonts w:hint="eastAsia"/>
          <w:szCs w:val="21"/>
        </w:rPr>
        <w:t>术语和定义</w:t>
      </w:r>
      <w:bookmarkEnd w:id="42"/>
    </w:p>
    <w:sdt>
      <w:sdtPr>
        <w:id w:val="-1909835108"/>
        <w:placeholder>
          <w:docPart w:val="D73A700263D54C9CB5B820717CFC12B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业务动线</w:t>
      </w:r>
    </w:p>
    <w:p>
      <w:pPr>
        <w:pStyle w:val="56"/>
        <w:ind w:firstLine="420"/>
      </w:pPr>
      <w:r>
        <w:rPr>
          <w:rFonts w:hint="eastAsia"/>
        </w:rPr>
        <w:t>在一个组织中，为了完成特定业务流程或操作，人员、资源、信息和活动之间的预定路径或流程。</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服务策划</w:t>
      </w:r>
    </w:p>
    <w:p>
      <w:pPr>
        <w:pStyle w:val="56"/>
        <w:ind w:firstLine="420"/>
      </w:pPr>
      <w:r>
        <w:rPr>
          <w:rFonts w:hint="eastAsia"/>
        </w:rPr>
        <w:t>在提供特定服务的过程中，对服务的目标、范围、执行步骤、资源分配、时间安排、风险管理等方面进行系统性规划和设计的过程。</w:t>
      </w:r>
    </w:p>
    <w:p>
      <w:pPr>
        <w:pStyle w:val="104"/>
        <w:spacing w:before="312" w:after="312"/>
      </w:pPr>
      <w:r>
        <w:rPr>
          <w:rFonts w:hint="eastAsia"/>
        </w:rPr>
        <w:t>服务环境</w:t>
      </w:r>
    </w:p>
    <w:p>
      <w:pPr>
        <w:pStyle w:val="105"/>
        <w:spacing w:before="156" w:after="156"/>
      </w:pPr>
      <w:r>
        <w:rPr>
          <w:rFonts w:hint="eastAsia"/>
        </w:rPr>
        <w:t xml:space="preserve">环境要求 </w:t>
      </w:r>
    </w:p>
    <w:p>
      <w:pPr>
        <w:pStyle w:val="165"/>
        <w:ind w:left="0"/>
      </w:pPr>
      <w:r>
        <w:rPr>
          <w:rFonts w:hint="eastAsia"/>
        </w:rPr>
        <w:t>应通风、明亮，照明设施宜采用暖色调、亮度适宜。</w:t>
      </w:r>
    </w:p>
    <w:p>
      <w:pPr>
        <w:pStyle w:val="165"/>
        <w:ind w:left="0"/>
      </w:pPr>
      <w:r>
        <w:rPr>
          <w:rFonts w:hint="eastAsia"/>
        </w:rPr>
        <w:t>应设置醒目标志，包括服务指示牌、咨询台、宣传资料架、公示栏等标识物，图形标志设置应符合</w:t>
      </w:r>
      <w:bookmarkStart w:id="44" w:name="_Hlk142039431"/>
      <w:r>
        <w:rPr>
          <w:rFonts w:hint="eastAsia"/>
        </w:rPr>
        <w:t>GB/T 2893.1、GB 2894、GB/T 10001.1</w:t>
      </w:r>
      <w:bookmarkEnd w:id="44"/>
      <w:r>
        <w:rPr>
          <w:rFonts w:hint="eastAsia"/>
        </w:rPr>
        <w:t>的规定。</w:t>
      </w:r>
    </w:p>
    <w:p>
      <w:pPr>
        <w:pStyle w:val="165"/>
        <w:ind w:left="0"/>
      </w:pPr>
      <w:r>
        <w:rPr>
          <w:rFonts w:hint="eastAsia"/>
        </w:rPr>
        <w:t>环境优美、设备、物品摆放有序、整洁，空气和物品表面的致病菌含量应符合G</w:t>
      </w:r>
      <w:r>
        <w:t>B 19053</w:t>
      </w:r>
      <w:r>
        <w:rPr>
          <w:rFonts w:hint="eastAsia"/>
        </w:rPr>
        <w:t>的要求。</w:t>
      </w:r>
    </w:p>
    <w:p>
      <w:pPr>
        <w:pStyle w:val="165"/>
        <w:ind w:left="0"/>
      </w:pPr>
      <w:r>
        <w:rPr>
          <w:rFonts w:hint="eastAsia"/>
        </w:rPr>
        <w:t>景观植物、鲜花保持鲜活，生命文化宣传符合时代精神。</w:t>
      </w:r>
    </w:p>
    <w:p>
      <w:pPr>
        <w:pStyle w:val="165"/>
        <w:ind w:left="0"/>
      </w:pPr>
      <w:r>
        <w:rPr>
          <w:rFonts w:hint="eastAsia"/>
        </w:rPr>
        <w:t>大厅整体氛围温馨，能缓解逝者家属的悲伤情绪，体现人文关怀。</w:t>
      </w:r>
    </w:p>
    <w:p>
      <w:pPr>
        <w:pStyle w:val="105"/>
        <w:spacing w:before="156" w:after="156"/>
      </w:pPr>
      <w:r>
        <w:rPr>
          <w:rFonts w:hint="eastAsia"/>
        </w:rPr>
        <w:t>信息公开：</w:t>
      </w:r>
    </w:p>
    <w:p>
      <w:pPr>
        <w:pStyle w:val="165"/>
        <w:ind w:left="0"/>
      </w:pPr>
      <w:r>
        <w:rPr>
          <w:rFonts w:hint="eastAsia"/>
        </w:rPr>
        <w:t>业务大厅应公示下列信息，便于服务对象了解情况：</w:t>
      </w:r>
    </w:p>
    <w:p>
      <w:pPr>
        <w:pStyle w:val="174"/>
      </w:pPr>
      <w:r>
        <w:rPr>
          <w:rFonts w:hint="eastAsia"/>
        </w:rPr>
        <w:t>殡仪服务机构相关证照；</w:t>
      </w:r>
    </w:p>
    <w:p>
      <w:pPr>
        <w:pStyle w:val="174"/>
      </w:pPr>
      <w:r>
        <w:rPr>
          <w:rFonts w:hint="eastAsia"/>
        </w:rPr>
        <w:t>服务时间；</w:t>
      </w:r>
    </w:p>
    <w:p>
      <w:pPr>
        <w:pStyle w:val="174"/>
      </w:pPr>
      <w:r>
        <w:rPr>
          <w:rFonts w:hint="eastAsia"/>
        </w:rPr>
        <w:t>服务项目、内容、流程，以及业务办理所需材料及相关事项；</w:t>
      </w:r>
    </w:p>
    <w:p>
      <w:pPr>
        <w:pStyle w:val="174"/>
      </w:pPr>
      <w:r>
        <w:rPr>
          <w:rFonts w:hint="eastAsia"/>
        </w:rPr>
        <w:t>服务收费标准及依据；</w:t>
      </w:r>
    </w:p>
    <w:p>
      <w:pPr>
        <w:pStyle w:val="174"/>
      </w:pPr>
      <w:r>
        <w:rPr>
          <w:rFonts w:hint="eastAsia"/>
        </w:rPr>
        <w:t>服务承诺；</w:t>
      </w:r>
    </w:p>
    <w:p>
      <w:pPr>
        <w:pStyle w:val="174"/>
      </w:pPr>
      <w:r>
        <w:rPr>
          <w:rFonts w:hint="eastAsia"/>
        </w:rPr>
        <w:t>工作人员岗位信息；</w:t>
      </w:r>
    </w:p>
    <w:p>
      <w:pPr>
        <w:pStyle w:val="174"/>
      </w:pPr>
      <w:r>
        <w:rPr>
          <w:rFonts w:hint="eastAsia"/>
        </w:rPr>
        <w:t>殡葬政策；</w:t>
      </w:r>
    </w:p>
    <w:p>
      <w:pPr>
        <w:pStyle w:val="174"/>
      </w:pPr>
      <w:r>
        <w:rPr>
          <w:rFonts w:hint="eastAsia"/>
        </w:rPr>
        <w:t>投诉监督电话等。</w:t>
      </w:r>
    </w:p>
    <w:p>
      <w:pPr>
        <w:pStyle w:val="165"/>
        <w:ind w:left="0"/>
      </w:pPr>
      <w:r>
        <w:rPr>
          <w:rFonts w:hint="eastAsia"/>
        </w:rPr>
        <w:t>当这些信息发生变化时应及时更新，采用纸质资料应保障供应充足，采用电子屏公示，应播放正常、翻页及时。</w:t>
      </w:r>
    </w:p>
    <w:p>
      <w:pPr>
        <w:pStyle w:val="105"/>
        <w:spacing w:before="156" w:after="156"/>
      </w:pPr>
      <w:r>
        <w:rPr>
          <w:rFonts w:hint="eastAsia"/>
        </w:rPr>
        <w:t xml:space="preserve">功能区划分 </w:t>
      </w:r>
    </w:p>
    <w:p>
      <w:pPr>
        <w:pStyle w:val="165"/>
        <w:ind w:left="0"/>
      </w:pPr>
      <w:r>
        <w:rPr>
          <w:rFonts w:hint="eastAsia"/>
        </w:rPr>
        <w:t>业务大厅应按服务规模、服务内容、业务动线进行划分，划分后各功能区标识清晰、布置合理。</w:t>
      </w:r>
    </w:p>
    <w:p>
      <w:pPr>
        <w:pStyle w:val="165"/>
        <w:ind w:left="0"/>
      </w:pPr>
      <w:r>
        <w:rPr>
          <w:rFonts w:hint="eastAsia"/>
        </w:rPr>
        <w:t>业务大厅通常可划分：</w:t>
      </w:r>
    </w:p>
    <w:p>
      <w:pPr>
        <w:pStyle w:val="174"/>
        <w:numPr>
          <w:ilvl w:val="0"/>
          <w:numId w:val="33"/>
        </w:numPr>
      </w:pPr>
      <w:r>
        <w:rPr>
          <w:rFonts w:hint="eastAsia"/>
        </w:rPr>
        <w:t>咨询引导区，宜在大厅进口处设置咨询台，解答客户提出的相关问题，引导客户办理业务；</w:t>
      </w:r>
    </w:p>
    <w:p>
      <w:pPr>
        <w:pStyle w:val="174"/>
      </w:pPr>
      <w:r>
        <w:rPr>
          <w:rFonts w:hint="eastAsia"/>
        </w:rPr>
        <w:t>接待洽谈区，用于介绍、商定服务项目，开展服务策划，洽谈室应具有私密性；</w:t>
      </w:r>
    </w:p>
    <w:p>
      <w:pPr>
        <w:pStyle w:val="174"/>
      </w:pPr>
      <w:r>
        <w:rPr>
          <w:rFonts w:hint="eastAsia"/>
        </w:rPr>
        <w:t>业务办理区，用于服务业务受理，业务办理台可展示各类业务单据及规范填写范本。宜使用叫号设备，保障服务秩序；</w:t>
      </w:r>
    </w:p>
    <w:p>
      <w:pPr>
        <w:pStyle w:val="174"/>
      </w:pPr>
      <w:r>
        <w:rPr>
          <w:rFonts w:hint="eastAsia"/>
        </w:rPr>
        <w:t>业务收费区，费用的结算和票据的开具，可接受现金和非现金支付业务，可开具电子发票；</w:t>
      </w:r>
    </w:p>
    <w:p>
      <w:pPr>
        <w:pStyle w:val="174"/>
      </w:pPr>
      <w:r>
        <w:rPr>
          <w:rFonts w:hint="eastAsia"/>
        </w:rPr>
        <w:t>殡葬用品展示区，用来展示丧葬用品，供客户选择；</w:t>
      </w:r>
    </w:p>
    <w:p>
      <w:pPr>
        <w:pStyle w:val="174"/>
      </w:pPr>
      <w:r>
        <w:rPr>
          <w:rFonts w:hint="eastAsia"/>
        </w:rPr>
        <w:t>等候休息区，桌面整洁、座椅舒适，宣传资料、书籍、报刊摆放整齐。</w:t>
      </w:r>
    </w:p>
    <w:p>
      <w:pPr>
        <w:pStyle w:val="105"/>
        <w:spacing w:before="156" w:after="156"/>
      </w:pPr>
      <w:r>
        <w:rPr>
          <w:rFonts w:hint="eastAsia"/>
        </w:rPr>
        <w:t>设施设备及用具的配备</w:t>
      </w:r>
    </w:p>
    <w:p>
      <w:pPr>
        <w:pStyle w:val="165"/>
        <w:ind w:left="0"/>
      </w:pPr>
      <w:r>
        <w:rPr>
          <w:rFonts w:hint="eastAsia"/>
        </w:rPr>
        <w:t>根据区域功能配置适宜设施设备及用具，配置后应能满足服务要求，</w:t>
      </w:r>
    </w:p>
    <w:p>
      <w:pPr>
        <w:pStyle w:val="165"/>
        <w:ind w:left="0"/>
      </w:pPr>
      <w:r>
        <w:rPr>
          <w:rFonts w:hint="eastAsia"/>
        </w:rPr>
        <w:t xml:space="preserve">通常配备的设施设备及用具包括但不限于： </w:t>
      </w:r>
    </w:p>
    <w:p>
      <w:pPr>
        <w:pStyle w:val="174"/>
        <w:numPr>
          <w:ilvl w:val="0"/>
          <w:numId w:val="34"/>
        </w:numPr>
      </w:pPr>
      <w:r>
        <w:rPr>
          <w:rFonts w:hint="eastAsia"/>
        </w:rPr>
        <w:t>服务设施：</w:t>
      </w:r>
      <w:r>
        <w:t>公共卫生间</w:t>
      </w:r>
      <w:r>
        <w:rPr>
          <w:rFonts w:hint="eastAsia"/>
        </w:rPr>
        <w:t>、无障碍通道及残疾辅助设施；</w:t>
      </w:r>
    </w:p>
    <w:p>
      <w:pPr>
        <w:pStyle w:val="174"/>
      </w:pPr>
      <w:r>
        <w:rPr>
          <w:rFonts w:hint="eastAsia"/>
        </w:rPr>
        <w:t>服务设备：电子展示屏、电脑、业务叫号机、打（复）印设备、电话（传真机）、验钞机、高拍仪等、资料柜、保险柜办公物品；</w:t>
      </w:r>
    </w:p>
    <w:p>
      <w:pPr>
        <w:pStyle w:val="174"/>
      </w:pPr>
      <w:r>
        <w:rPr>
          <w:rFonts w:hint="eastAsia"/>
        </w:rPr>
        <w:t>服务用具：桌、休息等候座椅、自助填单台、宣传资料展示架、分类垃圾桶等；</w:t>
      </w:r>
    </w:p>
    <w:p>
      <w:pPr>
        <w:pStyle w:val="174"/>
      </w:pPr>
      <w:r>
        <w:rPr>
          <w:rFonts w:hint="eastAsia"/>
        </w:rPr>
        <w:t>便民用品：纸、笔、老花镜、轮椅、雨伞、饮水机、一次性杯等便民物品；</w:t>
      </w:r>
    </w:p>
    <w:p>
      <w:pPr>
        <w:pStyle w:val="174"/>
      </w:pPr>
      <w:r>
        <w:rPr>
          <w:rFonts w:hint="eastAsia"/>
        </w:rPr>
        <w:t>应急保障设备：急救药箱、监控系统、消防器材等。</w:t>
      </w:r>
    </w:p>
    <w:p>
      <w:pPr>
        <w:pStyle w:val="104"/>
        <w:spacing w:before="312" w:after="312"/>
      </w:pPr>
      <w:r>
        <w:rPr>
          <w:rFonts w:hint="eastAsia"/>
        </w:rPr>
        <w:t>服务人员</w:t>
      </w:r>
    </w:p>
    <w:p>
      <w:pPr>
        <w:pStyle w:val="105"/>
        <w:spacing w:before="156" w:after="156"/>
      </w:pPr>
      <w:r>
        <w:rPr>
          <w:rFonts w:hint="eastAsia"/>
        </w:rPr>
        <w:t>人员配备</w:t>
      </w:r>
    </w:p>
    <w:p>
      <w:pPr>
        <w:pStyle w:val="165"/>
        <w:ind w:left="0"/>
      </w:pPr>
      <w:r>
        <w:rPr>
          <w:rFonts w:hint="eastAsia"/>
        </w:rPr>
        <w:t>应根据业务量配备殡仪服务员，负责接洽、引导治丧人办理各项手续。</w:t>
      </w:r>
    </w:p>
    <w:p>
      <w:pPr>
        <w:pStyle w:val="165"/>
        <w:ind w:left="0"/>
      </w:pPr>
      <w:r>
        <w:rPr>
          <w:rFonts w:hint="eastAsia"/>
        </w:rPr>
        <w:t>宜配备殡葬策划师对服务进行策划。</w:t>
      </w:r>
    </w:p>
    <w:p>
      <w:pPr>
        <w:pStyle w:val="105"/>
        <w:spacing w:before="156" w:after="156"/>
      </w:pPr>
      <w:r>
        <w:rPr>
          <w:rFonts w:hint="eastAsia"/>
        </w:rPr>
        <w:t>人员要求</w:t>
      </w:r>
    </w:p>
    <w:p>
      <w:pPr>
        <w:pStyle w:val="165"/>
        <w:ind w:left="0"/>
      </w:pPr>
      <w:r>
        <w:rPr>
          <w:rFonts w:hint="eastAsia"/>
        </w:rPr>
        <w:t>服务人员的基本条件、专业知识、专业技能、宜符合GB/T24441-2009中6的规定。</w:t>
      </w:r>
    </w:p>
    <w:p>
      <w:pPr>
        <w:pStyle w:val="165"/>
        <w:ind w:left="0"/>
      </w:pPr>
      <w:r>
        <w:rPr>
          <w:rFonts w:hint="eastAsia"/>
        </w:rPr>
        <w:t>业务要求：</w:t>
      </w:r>
    </w:p>
    <w:p>
      <w:pPr>
        <w:pStyle w:val="174"/>
        <w:numPr>
          <w:ilvl w:val="0"/>
          <w:numId w:val="35"/>
        </w:numPr>
      </w:pPr>
      <w:r>
        <w:rPr>
          <w:rFonts w:hint="eastAsia"/>
        </w:rPr>
        <w:t>熟悉殡葬相关政策和法律法规；</w:t>
      </w:r>
    </w:p>
    <w:p>
      <w:pPr>
        <w:pStyle w:val="174"/>
      </w:pPr>
      <w:r>
        <w:rPr>
          <w:rFonts w:hint="eastAsia"/>
        </w:rPr>
        <w:t>具备良好的沟通能力、创新能力、应变能力和殡葬文件书写能力；</w:t>
      </w:r>
    </w:p>
    <w:p>
      <w:pPr>
        <w:pStyle w:val="174"/>
      </w:pPr>
      <w:r>
        <w:rPr>
          <w:rFonts w:hint="eastAsia"/>
        </w:rPr>
        <w:t>熟悉业务工作内容和服务流程，具备接待服务、引导服务等技能；</w:t>
      </w:r>
    </w:p>
    <w:p>
      <w:pPr>
        <w:pStyle w:val="174"/>
      </w:pPr>
      <w:r>
        <w:rPr>
          <w:rFonts w:hint="eastAsia"/>
        </w:rPr>
        <w:t>熟悉当地丧葬习俗，尊重宗教信仰、民俗文化；</w:t>
      </w:r>
    </w:p>
    <w:p>
      <w:pPr>
        <w:pStyle w:val="174"/>
      </w:pPr>
      <w:r>
        <w:rPr>
          <w:rFonts w:hint="eastAsia"/>
        </w:rPr>
        <w:t>具有同情心和亲和力，工作中能对逝者家属进行心灵抚慰。</w:t>
      </w:r>
    </w:p>
    <w:p>
      <w:pPr>
        <w:pStyle w:val="104"/>
        <w:spacing w:before="312" w:after="312"/>
      </w:pPr>
      <w:r>
        <w:rPr>
          <w:rFonts w:hint="eastAsia"/>
        </w:rPr>
        <w:t>服务内容与要求</w:t>
      </w:r>
    </w:p>
    <w:p>
      <w:pPr>
        <w:pStyle w:val="105"/>
        <w:spacing w:before="156" w:after="156"/>
        <w:rPr>
          <w:rFonts w:ascii="宋体"/>
          <w:color w:val="000000"/>
        </w:rPr>
      </w:pPr>
      <w:bookmarkStart w:id="45" w:name="_Toc398795657"/>
      <w:bookmarkStart w:id="46" w:name="_Toc398793534"/>
      <w:r>
        <w:rPr>
          <w:rFonts w:hint="eastAsia"/>
          <w:color w:val="000000"/>
        </w:rPr>
        <w:t>现场咨询引导服务</w:t>
      </w:r>
    </w:p>
    <w:p>
      <w:pPr>
        <w:pStyle w:val="165"/>
        <w:ind w:left="0"/>
      </w:pPr>
      <w:r>
        <w:rPr>
          <w:rFonts w:hint="eastAsia"/>
        </w:rPr>
        <w:t>咨询引导服务包括回复客户问询、协助客户准备业务办理所需资料、引导客户到相应的服务区域。</w:t>
      </w:r>
    </w:p>
    <w:p>
      <w:pPr>
        <w:pStyle w:val="165"/>
        <w:ind w:left="0"/>
      </w:pPr>
      <w:r>
        <w:rPr>
          <w:rFonts w:hint="eastAsia"/>
        </w:rPr>
        <w:t>咨询台安排人员值守，</w:t>
      </w:r>
      <w:r>
        <w:t>有客户靠近时，应主动亲切问候</w:t>
      </w:r>
      <w:r>
        <w:rPr>
          <w:rFonts w:hint="eastAsia"/>
        </w:rPr>
        <w:t>，了解客户需求后：</w:t>
      </w:r>
    </w:p>
    <w:p>
      <w:pPr>
        <w:pStyle w:val="165"/>
        <w:widowControl/>
        <w:numPr>
          <w:ilvl w:val="0"/>
          <w:numId w:val="36"/>
        </w:numPr>
        <w:tabs>
          <w:tab w:val="left" w:pos="840"/>
        </w:tabs>
        <w:ind w:left="839" w:hanging="419"/>
        <w:rPr>
          <w:color w:val="000000"/>
        </w:rPr>
      </w:pPr>
      <w:r>
        <w:rPr>
          <w:rFonts w:hint="eastAsia"/>
          <w:color w:val="000000"/>
        </w:rPr>
        <w:t>解答客户问题；</w:t>
      </w:r>
    </w:p>
    <w:p>
      <w:pPr>
        <w:pStyle w:val="165"/>
        <w:widowControl/>
        <w:numPr>
          <w:ilvl w:val="0"/>
          <w:numId w:val="36"/>
        </w:numPr>
        <w:tabs>
          <w:tab w:val="left" w:pos="840"/>
        </w:tabs>
        <w:ind w:left="839" w:hanging="419"/>
      </w:pPr>
      <w:r>
        <w:rPr>
          <w:rFonts w:hint="eastAsia"/>
        </w:rPr>
        <w:t>协助客户检查办理相关业务的材料是否完整，</w:t>
      </w:r>
      <w:r>
        <w:rPr>
          <w:rFonts w:hint="eastAsia"/>
          <w:color w:val="000000"/>
        </w:rPr>
        <w:t>如有错漏，将所需材料告知客户，完善材料。</w:t>
      </w:r>
    </w:p>
    <w:p>
      <w:pPr>
        <w:pStyle w:val="165"/>
        <w:widowControl/>
        <w:numPr>
          <w:ilvl w:val="0"/>
          <w:numId w:val="36"/>
        </w:numPr>
        <w:tabs>
          <w:tab w:val="left" w:pos="840"/>
        </w:tabs>
        <w:ind w:left="839" w:hanging="419"/>
        <w:rPr>
          <w:color w:val="000000"/>
        </w:rPr>
      </w:pPr>
      <w:r>
        <w:rPr>
          <w:rFonts w:hint="eastAsia"/>
          <w:color w:val="000000"/>
        </w:rPr>
        <w:t>指导客户填写业务相关材料。</w:t>
      </w:r>
    </w:p>
    <w:p>
      <w:pPr>
        <w:pStyle w:val="165"/>
        <w:widowControl/>
        <w:numPr>
          <w:ilvl w:val="0"/>
          <w:numId w:val="36"/>
        </w:numPr>
        <w:tabs>
          <w:tab w:val="left" w:pos="840"/>
        </w:tabs>
        <w:ind w:left="839" w:hanging="419"/>
        <w:rPr>
          <w:color w:val="000000"/>
        </w:rPr>
      </w:pPr>
      <w:r>
        <w:rPr>
          <w:rFonts w:hint="eastAsia" w:hAnsi="宋体"/>
        </w:rPr>
        <w:t>引导客户至相关区域办理业务。</w:t>
      </w:r>
    </w:p>
    <w:p>
      <w:pPr>
        <w:pStyle w:val="165"/>
        <w:ind w:left="0"/>
      </w:pPr>
      <w:r>
        <w:rPr>
          <w:rFonts w:hint="eastAsia"/>
        </w:rPr>
        <w:t>和客户交流的过程中态度亲切、友好，指导或回答问题专业有效。</w:t>
      </w:r>
    </w:p>
    <w:p>
      <w:pPr>
        <w:pStyle w:val="165"/>
        <w:ind w:left="0"/>
      </w:pPr>
      <w:r>
        <w:rPr>
          <w:rFonts w:hint="eastAsia"/>
        </w:rPr>
        <w:t>引导的过程中，应和客户保持适当距离，保持步履一致，遇到拐角、台阶，提醒客户注意。</w:t>
      </w:r>
    </w:p>
    <w:p>
      <w:pPr>
        <w:pStyle w:val="105"/>
        <w:spacing w:before="156" w:after="156"/>
      </w:pPr>
      <w:r>
        <w:rPr>
          <w:rFonts w:hint="eastAsia"/>
        </w:rPr>
        <w:t>电话咨询服务</w:t>
      </w:r>
    </w:p>
    <w:p>
      <w:pPr>
        <w:pStyle w:val="165"/>
        <w:ind w:left="0"/>
      </w:pPr>
      <w:r>
        <w:rPr>
          <w:rFonts w:hint="eastAsia"/>
        </w:rPr>
        <w:t>设置业务咨询电话，提供24小时咨询服务，电话宜具有录音功能。</w:t>
      </w:r>
    </w:p>
    <w:p>
      <w:pPr>
        <w:pStyle w:val="165"/>
        <w:ind w:left="0"/>
      </w:pPr>
      <w:r>
        <w:rPr>
          <w:rFonts w:hint="eastAsia"/>
        </w:rPr>
        <w:t>解答客户业务办理中的疑问，重要信息宜通过短信的方式发送给客户。</w:t>
      </w:r>
    </w:p>
    <w:p>
      <w:pPr>
        <w:pStyle w:val="165"/>
        <w:ind w:left="0"/>
      </w:pPr>
      <w:r>
        <w:rPr>
          <w:rFonts w:hint="eastAsia"/>
        </w:rPr>
        <w:t>必要时对通话内容进行记录。</w:t>
      </w:r>
    </w:p>
    <w:p>
      <w:pPr>
        <w:pStyle w:val="165"/>
        <w:ind w:left="0"/>
      </w:pPr>
      <w:r>
        <w:rPr>
          <w:rFonts w:hint="eastAsia"/>
        </w:rPr>
        <w:t>解答客户问题应专业、有效，吐词清晰，态度亲切友好。</w:t>
      </w:r>
    </w:p>
    <w:p>
      <w:pPr>
        <w:pStyle w:val="105"/>
        <w:spacing w:before="156" w:after="156"/>
        <w:rPr>
          <w:color w:val="000000"/>
        </w:rPr>
      </w:pPr>
      <w:r>
        <w:rPr>
          <w:rFonts w:hint="eastAsia"/>
          <w:color w:val="000000"/>
        </w:rPr>
        <w:t xml:space="preserve">业务办理服务 </w:t>
      </w:r>
    </w:p>
    <w:p>
      <w:pPr>
        <w:pStyle w:val="165"/>
        <w:ind w:left="0"/>
        <w:rPr>
          <w:rFonts w:hAnsi="宋体" w:cs="宋体"/>
          <w:szCs w:val="21"/>
        </w:rPr>
      </w:pPr>
      <w:r>
        <w:rPr>
          <w:rFonts w:hint="eastAsia" w:hAnsi="宋体" w:cs="宋体"/>
          <w:szCs w:val="21"/>
        </w:rPr>
        <w:t>再次核实死亡证明、逝者及丧事承办人有效身份证件等信息，收取相关材料，办理业务手续。</w:t>
      </w:r>
    </w:p>
    <w:p>
      <w:pPr>
        <w:pStyle w:val="165"/>
        <w:ind w:left="0"/>
        <w:rPr>
          <w:rFonts w:hAnsi="宋体" w:cs="宋体"/>
        </w:rPr>
      </w:pPr>
      <w:r>
        <w:rPr>
          <w:rFonts w:hint="eastAsia" w:hAnsi="宋体" w:cs="宋体"/>
          <w:szCs w:val="21"/>
        </w:rPr>
        <w:t>要做到核查准确无误，业务资料齐备，按服务流程办理，当客户提供的资料不齐全时，应一次性告知。</w:t>
      </w:r>
    </w:p>
    <w:p>
      <w:pPr>
        <w:pStyle w:val="165"/>
        <w:ind w:left="0"/>
      </w:pPr>
      <w:r>
        <w:rPr>
          <w:rFonts w:hint="eastAsia"/>
        </w:rPr>
        <w:t>应建立逝者档案，档案的管理应符合</w:t>
      </w:r>
      <w:r>
        <w:rPr>
          <w:rFonts w:hAnsi="宋体" w:cs="宋体"/>
          <w:szCs w:val="21"/>
        </w:rPr>
        <w:t>MZ/T 145</w:t>
      </w:r>
      <w:r>
        <w:rPr>
          <w:rFonts w:hint="eastAsia"/>
        </w:rPr>
        <w:t>的要求。</w:t>
      </w:r>
    </w:p>
    <w:p>
      <w:pPr>
        <w:pStyle w:val="105"/>
        <w:spacing w:before="156" w:after="156"/>
        <w:rPr>
          <w:color w:val="000000"/>
        </w:rPr>
      </w:pPr>
      <w:r>
        <w:rPr>
          <w:rFonts w:hint="eastAsia"/>
          <w:color w:val="000000"/>
        </w:rPr>
        <w:t>服务策划</w:t>
      </w:r>
    </w:p>
    <w:p>
      <w:pPr>
        <w:pStyle w:val="165"/>
        <w:ind w:left="0"/>
      </w:pPr>
      <w:r>
        <w:rPr>
          <w:rFonts w:hint="eastAsia"/>
        </w:rPr>
        <w:t>了解客户需求，如：家庭状况，逝者的信仰、职业、兴趣、爱好等。</w:t>
      </w:r>
    </w:p>
    <w:p>
      <w:pPr>
        <w:pStyle w:val="165"/>
        <w:ind w:left="0"/>
      </w:pPr>
      <w:r>
        <w:rPr>
          <w:rFonts w:hint="eastAsia"/>
        </w:rPr>
        <w:t>对服务活动安排时，应考虑下列因素：</w:t>
      </w:r>
    </w:p>
    <w:p>
      <w:pPr>
        <w:pStyle w:val="174"/>
        <w:numPr>
          <w:ilvl w:val="0"/>
          <w:numId w:val="37"/>
        </w:numPr>
      </w:pPr>
      <w:r>
        <w:rPr>
          <w:rFonts w:hint="eastAsia"/>
        </w:rPr>
        <w:t>法规政策；</w:t>
      </w:r>
    </w:p>
    <w:p>
      <w:pPr>
        <w:pStyle w:val="174"/>
      </w:pPr>
      <w:r>
        <w:rPr>
          <w:rFonts w:hint="eastAsia"/>
        </w:rPr>
        <w:t>尊重逝者遗愿、信仰、习俗；</w:t>
      </w:r>
    </w:p>
    <w:p>
      <w:pPr>
        <w:pStyle w:val="174"/>
      </w:pPr>
      <w:r>
        <w:rPr>
          <w:rFonts w:hint="eastAsia"/>
        </w:rPr>
        <w:t>逝者家属的需求、经济能力；</w:t>
      </w:r>
    </w:p>
    <w:p>
      <w:pPr>
        <w:pStyle w:val="174"/>
      </w:pPr>
      <w:r>
        <w:rPr>
          <w:rFonts w:hint="eastAsia"/>
        </w:rPr>
        <w:t>服务的连贯性；</w:t>
      </w:r>
    </w:p>
    <w:p>
      <w:pPr>
        <w:pStyle w:val="174"/>
      </w:pPr>
      <w:r>
        <w:rPr>
          <w:rFonts w:hint="eastAsia"/>
        </w:rPr>
        <w:t>文明殡葬、绿色殡葬。</w:t>
      </w:r>
    </w:p>
    <w:p>
      <w:pPr>
        <w:pStyle w:val="165"/>
        <w:ind w:left="0"/>
      </w:pPr>
      <w:r>
        <w:rPr>
          <w:rFonts w:hint="eastAsia"/>
        </w:rPr>
        <w:t>和客户确认：</w:t>
      </w:r>
    </w:p>
    <w:p>
      <w:pPr>
        <w:pStyle w:val="174"/>
        <w:numPr>
          <w:ilvl w:val="0"/>
          <w:numId w:val="38"/>
        </w:numPr>
      </w:pPr>
      <w:r>
        <w:rPr>
          <w:rFonts w:hint="eastAsia"/>
        </w:rPr>
        <w:t>服务项目、服务时间安排、逝者亲属需要参加的活动；</w:t>
      </w:r>
    </w:p>
    <w:p>
      <w:pPr>
        <w:pStyle w:val="174"/>
      </w:pPr>
      <w:r>
        <w:rPr>
          <w:rFonts w:hint="eastAsia"/>
        </w:rPr>
        <w:t>费用的构成；</w:t>
      </w:r>
    </w:p>
    <w:p>
      <w:pPr>
        <w:pStyle w:val="174"/>
      </w:pPr>
      <w:r>
        <w:rPr>
          <w:rFonts w:hint="eastAsia"/>
        </w:rPr>
        <w:t>适时讲解编排礼仪的目的、文化意义；</w:t>
      </w:r>
    </w:p>
    <w:p>
      <w:pPr>
        <w:pStyle w:val="174"/>
      </w:pPr>
      <w:r>
        <w:rPr>
          <w:rFonts w:hint="eastAsia"/>
        </w:rPr>
        <w:t>服务清单或服务协议上签字确认。</w:t>
      </w:r>
    </w:p>
    <w:p>
      <w:pPr>
        <w:pStyle w:val="165"/>
        <w:ind w:left="0"/>
      </w:pPr>
      <w:r>
        <w:rPr>
          <w:rFonts w:hint="eastAsia"/>
        </w:rPr>
        <w:t>策划应充分了解客户需求。</w:t>
      </w:r>
    </w:p>
    <w:p>
      <w:pPr>
        <w:pStyle w:val="165"/>
        <w:ind w:left="0"/>
      </w:pPr>
      <w:r>
        <w:rPr>
          <w:rFonts w:hint="eastAsia"/>
        </w:rPr>
        <w:t>策划过程客户应全程参与，每一个服务项目得到客户认可，做到专业严谨、有意义。</w:t>
      </w:r>
    </w:p>
    <w:p>
      <w:pPr>
        <w:pStyle w:val="165"/>
        <w:ind w:left="0"/>
      </w:pPr>
      <w:r>
        <w:rPr>
          <w:rFonts w:hint="eastAsia"/>
        </w:rPr>
        <w:t>将策划的服务项目、服务要求以书面的形式，传递给各执行小组，并对执行效果进行检查。</w:t>
      </w:r>
    </w:p>
    <w:p>
      <w:pPr>
        <w:pStyle w:val="105"/>
        <w:spacing w:before="156" w:after="156"/>
        <w:rPr>
          <w:color w:val="000000"/>
        </w:rPr>
      </w:pPr>
      <w:r>
        <w:rPr>
          <w:rFonts w:hint="eastAsia"/>
          <w:color w:val="000000"/>
        </w:rPr>
        <w:t>业务收费</w:t>
      </w:r>
    </w:p>
    <w:p>
      <w:pPr>
        <w:pStyle w:val="165"/>
        <w:ind w:left="0"/>
        <w:rPr>
          <w:rFonts w:hAnsi="宋体" w:cs="宋体"/>
          <w:szCs w:val="21"/>
        </w:rPr>
      </w:pPr>
      <w:r>
        <w:rPr>
          <w:rFonts w:hint="eastAsia" w:hAnsi="宋体" w:cs="宋体"/>
          <w:szCs w:val="21"/>
        </w:rPr>
        <w:t>对殡仪服务过程中产生的费用进行结算，并提供费用清单。</w:t>
      </w:r>
    </w:p>
    <w:p>
      <w:pPr>
        <w:pStyle w:val="165"/>
        <w:ind w:left="0"/>
        <w:rPr>
          <w:rFonts w:hAnsi="宋体" w:cs="宋体"/>
          <w:szCs w:val="21"/>
        </w:rPr>
      </w:pPr>
      <w:r>
        <w:rPr>
          <w:rFonts w:hint="eastAsia" w:hAnsi="宋体" w:cs="宋体"/>
          <w:szCs w:val="21"/>
        </w:rPr>
        <w:t>应提供现金、非现金等支付方式，收取费用时唱收唱付，服务项目收费无遗漏、无差错， 并开具发票宜使用电子发票。</w:t>
      </w:r>
    </w:p>
    <w:p>
      <w:pPr>
        <w:pStyle w:val="105"/>
        <w:spacing w:before="156" w:after="156"/>
        <w:rPr>
          <w:color w:val="000000"/>
        </w:rPr>
      </w:pPr>
      <w:r>
        <w:rPr>
          <w:rFonts w:hint="eastAsia"/>
          <w:color w:val="000000"/>
        </w:rPr>
        <w:t>丧葬用品的销售</w:t>
      </w:r>
    </w:p>
    <w:p>
      <w:pPr>
        <w:pStyle w:val="165"/>
        <w:ind w:left="0"/>
        <w:rPr>
          <w:rFonts w:hAnsi="宋体" w:cs="宋体"/>
        </w:rPr>
      </w:pPr>
      <w:r>
        <w:rPr>
          <w:rFonts w:hint="eastAsia" w:hAnsi="宋体" w:cs="宋体"/>
        </w:rPr>
        <w:t>殡葬用品应明码标价，标明品名、产地、规格、等级、质地、计价单位、价格等，必要时可注明殡葬用品的作用及意义。</w:t>
      </w:r>
    </w:p>
    <w:p>
      <w:pPr>
        <w:pStyle w:val="165"/>
        <w:ind w:left="0"/>
        <w:rPr>
          <w:rFonts w:hAnsi="宋体" w:cs="宋体"/>
        </w:rPr>
      </w:pPr>
      <w:r>
        <w:rPr>
          <w:rFonts w:hint="eastAsia" w:hAnsi="宋体" w:cs="宋体"/>
        </w:rPr>
        <w:t>殡葬用品应分类摆放整齐，便于选择，不搭售其他商品。</w:t>
      </w:r>
    </w:p>
    <w:p>
      <w:pPr>
        <w:pStyle w:val="165"/>
        <w:ind w:left="0"/>
        <w:rPr>
          <w:rFonts w:hAnsi="宋体" w:cs="宋体"/>
        </w:rPr>
      </w:pPr>
      <w:r>
        <w:rPr>
          <w:rFonts w:hint="eastAsia" w:hAnsi="宋体" w:cs="宋体"/>
        </w:rPr>
        <w:t>应有惠民殡葬用品的展示，指导理性消费。</w:t>
      </w:r>
    </w:p>
    <w:p>
      <w:pPr>
        <w:pStyle w:val="105"/>
        <w:spacing w:before="156" w:after="156"/>
        <w:rPr>
          <w:color w:val="000000"/>
        </w:rPr>
      </w:pPr>
      <w:r>
        <w:rPr>
          <w:rFonts w:hint="eastAsia"/>
          <w:color w:val="000000"/>
        </w:rPr>
        <w:t xml:space="preserve">业务信息查询服务         </w:t>
      </w:r>
    </w:p>
    <w:p>
      <w:pPr>
        <w:pStyle w:val="165"/>
        <w:ind w:left="0"/>
        <w:rPr>
          <w:rFonts w:hAnsi="宋体" w:cs="宋体"/>
        </w:rPr>
      </w:pPr>
      <w:r>
        <w:rPr>
          <w:rFonts w:hint="eastAsia" w:hAnsi="宋体" w:cs="宋体"/>
        </w:rPr>
        <w:t>向逝者亲属提供信息查询服务时，应核实其身份证明材料。</w:t>
      </w:r>
    </w:p>
    <w:p>
      <w:pPr>
        <w:pStyle w:val="165"/>
        <w:ind w:left="0"/>
        <w:rPr>
          <w:rFonts w:hAnsi="宋体" w:cs="宋体"/>
        </w:rPr>
      </w:pPr>
      <w:r>
        <w:rPr>
          <w:rFonts w:hint="eastAsia" w:hAnsi="宋体" w:cs="宋体"/>
        </w:rPr>
        <w:t>公权力查询时，应提供单位介绍信，说明使用目的。</w:t>
      </w:r>
    </w:p>
    <w:p>
      <w:pPr>
        <w:pStyle w:val="165"/>
        <w:ind w:left="0"/>
        <w:rPr>
          <w:rFonts w:hAnsi="宋体" w:cs="宋体"/>
        </w:rPr>
      </w:pPr>
      <w:r>
        <w:rPr>
          <w:rFonts w:hint="eastAsia" w:hAnsi="宋体" w:cs="宋体"/>
        </w:rPr>
        <w:t>向客户提供信息及时、准确，查询信息的手续记录保存完整。</w:t>
      </w:r>
    </w:p>
    <w:bookmarkEnd w:id="45"/>
    <w:bookmarkEnd w:id="46"/>
    <w:p>
      <w:pPr>
        <w:pStyle w:val="104"/>
        <w:spacing w:before="312" w:after="312"/>
      </w:pPr>
      <w:bookmarkStart w:id="47" w:name="_Hlk142554560"/>
      <w:r>
        <w:rPr>
          <w:rFonts w:hint="eastAsia"/>
        </w:rPr>
        <w:t>服务管理</w:t>
      </w:r>
    </w:p>
    <w:p>
      <w:pPr>
        <w:pStyle w:val="105"/>
        <w:spacing w:before="156" w:after="156"/>
        <w:rPr>
          <w:color w:val="000000"/>
        </w:rPr>
      </w:pPr>
      <w:r>
        <w:rPr>
          <w:rFonts w:hint="eastAsia"/>
          <w:color w:val="000000"/>
        </w:rPr>
        <w:t>服务制度</w:t>
      </w:r>
    </w:p>
    <w:p>
      <w:pPr>
        <w:pStyle w:val="165"/>
        <w:ind w:left="0"/>
        <w:rPr>
          <w:rFonts w:hAnsi="宋体" w:cs="宋体"/>
          <w:szCs w:val="21"/>
        </w:rPr>
      </w:pPr>
      <w:r>
        <w:rPr>
          <w:rFonts w:hint="eastAsia" w:hAnsi="宋体" w:cs="宋体"/>
          <w:szCs w:val="21"/>
        </w:rPr>
        <w:t>应有客户服务制度和质量考评制度，明确服务流程、服务标准和检查要点等。</w:t>
      </w:r>
    </w:p>
    <w:p>
      <w:pPr>
        <w:pStyle w:val="165"/>
        <w:ind w:left="0"/>
        <w:rPr>
          <w:rFonts w:hAnsi="宋体" w:cs="宋体"/>
          <w:szCs w:val="21"/>
        </w:rPr>
      </w:pPr>
      <w:r>
        <w:rPr>
          <w:rFonts w:hint="eastAsia" w:hAnsi="宋体" w:cs="宋体"/>
          <w:szCs w:val="21"/>
        </w:rPr>
        <w:t>应建立信息保密制度和客户投诉处理制度，要求应符合第8章的要求。</w:t>
      </w:r>
    </w:p>
    <w:p>
      <w:pPr>
        <w:pStyle w:val="165"/>
        <w:ind w:left="0"/>
        <w:rPr>
          <w:rFonts w:hAnsi="宋体" w:cs="宋体"/>
          <w:szCs w:val="21"/>
        </w:rPr>
      </w:pPr>
      <w:r>
        <w:rPr>
          <w:rFonts w:hint="eastAsia" w:hAnsi="宋体" w:cs="宋体"/>
          <w:szCs w:val="21"/>
        </w:rPr>
        <w:t>应建立安全管理制度，如：消防管理、消毒管理、用电管理、监控设备管理等。</w:t>
      </w:r>
    </w:p>
    <w:p>
      <w:pPr>
        <w:pStyle w:val="165"/>
        <w:ind w:left="0"/>
        <w:rPr>
          <w:rFonts w:hAnsi="宋体" w:cs="宋体"/>
          <w:szCs w:val="21"/>
        </w:rPr>
      </w:pPr>
      <w:r>
        <w:rPr>
          <w:rFonts w:hint="eastAsia" w:hAnsi="宋体" w:cs="宋体"/>
          <w:szCs w:val="21"/>
        </w:rPr>
        <w:t>应建立应急预案，保障业务有序地开展，如：治安事件、业务量激增、突发疾病、停电等。</w:t>
      </w:r>
    </w:p>
    <w:p>
      <w:pPr>
        <w:pStyle w:val="165"/>
        <w:ind w:left="0"/>
        <w:rPr>
          <w:rFonts w:hAnsi="宋体" w:cs="宋体"/>
          <w:szCs w:val="21"/>
        </w:rPr>
      </w:pPr>
      <w:r>
        <w:rPr>
          <w:rFonts w:hint="eastAsia" w:hAnsi="宋体" w:cs="宋体"/>
          <w:szCs w:val="21"/>
        </w:rPr>
        <w:t>应建立环境管理制度，明确环境卫生要求，确定清扫时间与频率。</w:t>
      </w:r>
    </w:p>
    <w:p>
      <w:pPr>
        <w:pStyle w:val="165"/>
        <w:ind w:left="0"/>
        <w:rPr>
          <w:rFonts w:hAnsi="宋体" w:cs="宋体"/>
          <w:szCs w:val="21"/>
        </w:rPr>
      </w:pPr>
      <w:r>
        <w:rPr>
          <w:rFonts w:hint="eastAsia" w:hAnsi="宋体" w:cs="宋体"/>
          <w:szCs w:val="21"/>
        </w:rPr>
        <w:t>宜开展早会制度，增强内部交流，明确工作目标。</w:t>
      </w:r>
    </w:p>
    <w:p>
      <w:pPr>
        <w:pStyle w:val="105"/>
        <w:spacing w:before="156" w:after="156"/>
      </w:pPr>
      <w:r>
        <w:rPr>
          <w:rFonts w:hint="eastAsia"/>
        </w:rPr>
        <w:t>服务规范</w:t>
      </w:r>
    </w:p>
    <w:p>
      <w:pPr>
        <w:pStyle w:val="165"/>
        <w:ind w:left="0"/>
      </w:pPr>
      <w:r>
        <w:rPr>
          <w:rFonts w:hint="eastAsia"/>
        </w:rPr>
        <w:t>仪表要求：</w:t>
      </w:r>
    </w:p>
    <w:p>
      <w:pPr>
        <w:pStyle w:val="174"/>
        <w:numPr>
          <w:ilvl w:val="0"/>
          <w:numId w:val="39"/>
        </w:numPr>
      </w:pPr>
      <w:r>
        <w:rPr>
          <w:rFonts w:hint="eastAsia"/>
        </w:rPr>
        <w:t>容貌端正，修饰得体,符合岗位要求；</w:t>
      </w:r>
    </w:p>
    <w:p>
      <w:pPr>
        <w:pStyle w:val="174"/>
      </w:pPr>
      <w:r>
        <w:rPr>
          <w:rFonts w:hint="eastAsia"/>
        </w:rPr>
        <w:t>保持面部清洁，口腔卫生，头发干净、长短适宜；</w:t>
      </w:r>
    </w:p>
    <w:p>
      <w:pPr>
        <w:pStyle w:val="174"/>
      </w:pPr>
      <w:r>
        <w:rPr>
          <w:rFonts w:hint="eastAsia"/>
        </w:rPr>
        <w:t>着装整洁统一，佩戴相应标识，标识宜清晰。</w:t>
      </w:r>
    </w:p>
    <w:p>
      <w:pPr>
        <w:pStyle w:val="165"/>
        <w:ind w:left="0"/>
      </w:pPr>
      <w:r>
        <w:rPr>
          <w:rFonts w:hint="eastAsia"/>
        </w:rPr>
        <w:t>仪态要求：</w:t>
      </w:r>
    </w:p>
    <w:p>
      <w:pPr>
        <w:pStyle w:val="174"/>
        <w:numPr>
          <w:ilvl w:val="0"/>
          <w:numId w:val="40"/>
        </w:numPr>
      </w:pPr>
      <w:r>
        <w:rPr>
          <w:rFonts w:hint="eastAsia"/>
        </w:rPr>
        <w:t>体态端庄，站立时身体直立，手位、脚位摆放合理；</w:t>
      </w:r>
    </w:p>
    <w:p>
      <w:pPr>
        <w:pStyle w:val="174"/>
      </w:pPr>
      <w:r>
        <w:rPr>
          <w:rFonts w:hint="eastAsia"/>
        </w:rPr>
        <w:t>行走时步幅适度，避免奔跑；</w:t>
      </w:r>
    </w:p>
    <w:p>
      <w:pPr>
        <w:pStyle w:val="174"/>
      </w:pPr>
      <w:r>
        <w:rPr>
          <w:rFonts w:hint="eastAsia"/>
        </w:rPr>
        <w:t>入座时应上身挺直，合理使用不同坐姿；</w:t>
      </w:r>
    </w:p>
    <w:p>
      <w:pPr>
        <w:pStyle w:val="174"/>
      </w:pPr>
      <w:r>
        <w:rPr>
          <w:rFonts w:hint="eastAsia"/>
        </w:rPr>
        <w:t>合理使用注视礼,交流时宜正视对方,目光柔和，表情自然,感情真挚。</w:t>
      </w:r>
    </w:p>
    <w:p>
      <w:pPr>
        <w:pStyle w:val="165"/>
        <w:ind w:left="0"/>
      </w:pPr>
      <w:r>
        <w:rPr>
          <w:rFonts w:hint="eastAsia"/>
        </w:rPr>
        <w:t>服务用语要求：</w:t>
      </w:r>
    </w:p>
    <w:p>
      <w:pPr>
        <w:pStyle w:val="174"/>
        <w:numPr>
          <w:ilvl w:val="0"/>
          <w:numId w:val="41"/>
        </w:numPr>
      </w:pPr>
      <w:r>
        <w:rPr>
          <w:rFonts w:hint="eastAsia"/>
        </w:rPr>
        <w:t>应使用普通话或对方易懂的语言，使用规范的服务用语；</w:t>
      </w:r>
    </w:p>
    <w:p>
      <w:pPr>
        <w:pStyle w:val="174"/>
      </w:pPr>
      <w:r>
        <w:rPr>
          <w:rFonts w:hint="eastAsia"/>
        </w:rPr>
        <w:t>称谓恰当，语言贴切,语句清晰,语气亲切，可见附录A。</w:t>
      </w:r>
    </w:p>
    <w:p>
      <w:pPr>
        <w:pStyle w:val="105"/>
        <w:spacing w:before="156" w:after="156"/>
      </w:pPr>
      <w:r>
        <w:rPr>
          <w:rFonts w:hint="eastAsia"/>
        </w:rPr>
        <w:t>服务纪律</w:t>
      </w:r>
    </w:p>
    <w:p>
      <w:pPr>
        <w:pStyle w:val="165"/>
        <w:ind w:left="0"/>
      </w:pPr>
      <w:r>
        <w:rPr>
          <w:rFonts w:hint="eastAsia"/>
        </w:rPr>
        <w:t>应按照各项业务操作规程、标准、制度规定，受理、办理业务。</w:t>
      </w:r>
    </w:p>
    <w:p>
      <w:pPr>
        <w:pStyle w:val="165"/>
        <w:ind w:left="0"/>
      </w:pPr>
      <w:r>
        <w:rPr>
          <w:rFonts w:hint="eastAsia"/>
        </w:rPr>
        <w:t>应坚持优先服务客户原则，工作中因故需要暂停办理业务时应以提示牌等方式告知客户。</w:t>
      </w:r>
    </w:p>
    <w:p>
      <w:pPr>
        <w:pStyle w:val="165"/>
        <w:ind w:left="0"/>
      </w:pPr>
      <w:r>
        <w:rPr>
          <w:rFonts w:hint="eastAsia"/>
        </w:rPr>
        <w:t>不应收受礼品或红包。</w:t>
      </w:r>
    </w:p>
    <w:p>
      <w:pPr>
        <w:pStyle w:val="104"/>
        <w:spacing w:before="312" w:after="312"/>
      </w:pPr>
      <w:r>
        <w:rPr>
          <w:rFonts w:hint="eastAsia"/>
        </w:rPr>
        <w:t>消费者权益保护</w:t>
      </w:r>
    </w:p>
    <w:p>
      <w:pPr>
        <w:pStyle w:val="105"/>
        <w:spacing w:before="156" w:after="156"/>
        <w:rPr>
          <w:color w:val="000000"/>
        </w:rPr>
      </w:pPr>
      <w:bookmarkStart w:id="48" w:name="_Hlk141973628"/>
      <w:r>
        <w:rPr>
          <w:rFonts w:hint="eastAsia"/>
          <w:color w:val="000000"/>
        </w:rPr>
        <w:t>客户投诉处理</w:t>
      </w:r>
    </w:p>
    <w:p>
      <w:pPr>
        <w:pStyle w:val="165"/>
        <w:ind w:left="0"/>
      </w:pPr>
      <w:r>
        <w:rPr>
          <w:rFonts w:hint="eastAsia"/>
        </w:rPr>
        <w:t>业务大厅应畅通客户异议受理渠道，明确处理流程，及时处理客户投诉，满足客户合理诉求。</w:t>
      </w:r>
    </w:p>
    <w:p>
      <w:pPr>
        <w:pStyle w:val="165"/>
        <w:ind w:left="0"/>
      </w:pPr>
      <w:r>
        <w:rPr>
          <w:rFonts w:hint="eastAsia"/>
        </w:rPr>
        <w:t>应采取有效的措施使客户清楚了解投诉处理渠道、程序、方法以及预计处理的时间；</w:t>
      </w:r>
    </w:p>
    <w:p>
      <w:pPr>
        <w:pStyle w:val="165"/>
        <w:ind w:left="0"/>
      </w:pPr>
      <w:r>
        <w:rPr>
          <w:rFonts w:hint="eastAsia"/>
        </w:rPr>
        <w:t>应采取首问负责制，对客户的投诉快速响应、及时处理。</w:t>
      </w:r>
    </w:p>
    <w:p>
      <w:pPr>
        <w:pStyle w:val="165"/>
        <w:ind w:left="0"/>
      </w:pPr>
      <w:r>
        <w:rPr>
          <w:rFonts w:hint="eastAsia"/>
        </w:rPr>
        <w:t>应安排专人管理客户投诉处理工作。</w:t>
      </w:r>
    </w:p>
    <w:p>
      <w:pPr>
        <w:pStyle w:val="165"/>
        <w:ind w:left="0"/>
      </w:pPr>
      <w:r>
        <w:rPr>
          <w:rFonts w:hint="eastAsia"/>
        </w:rPr>
        <w:t>应在规定的时间内对客户投诉进行受理、处理、反馈。</w:t>
      </w:r>
      <w:bookmarkEnd w:id="48"/>
    </w:p>
    <w:p>
      <w:pPr>
        <w:pStyle w:val="105"/>
        <w:spacing w:before="156" w:after="156"/>
        <w:rPr>
          <w:color w:val="000000"/>
        </w:rPr>
      </w:pPr>
      <w:bookmarkStart w:id="49" w:name="_Hlk141975135"/>
      <w:r>
        <w:rPr>
          <w:rFonts w:hint="eastAsia"/>
          <w:color w:val="000000"/>
        </w:rPr>
        <w:t>权益保障</w:t>
      </w:r>
    </w:p>
    <w:p>
      <w:pPr>
        <w:pStyle w:val="165"/>
        <w:ind w:left="0"/>
      </w:pPr>
      <w:r>
        <w:rPr>
          <w:rFonts w:hint="eastAsia"/>
        </w:rPr>
        <w:t>在销售丧葬用品或提供服务时，尊重客户意愿，自主选择和公平交易，不误导、不强制交易。</w:t>
      </w:r>
    </w:p>
    <w:p>
      <w:pPr>
        <w:pStyle w:val="165"/>
        <w:ind w:left="0"/>
      </w:pPr>
      <w:r>
        <w:rPr>
          <w:rFonts w:hint="eastAsia"/>
        </w:rPr>
        <w:t>不得无故拒绝客户提出的合理服务需求。</w:t>
      </w:r>
    </w:p>
    <w:p>
      <w:pPr>
        <w:pStyle w:val="165"/>
        <w:ind w:left="0"/>
      </w:pPr>
      <w:r>
        <w:rPr>
          <w:rFonts w:hint="eastAsia"/>
        </w:rPr>
        <w:t>完善信息安全，确保个人信息在收集、传输、加工、保存过程中合规，不被泄露。</w:t>
      </w:r>
    </w:p>
    <w:bookmarkEnd w:id="49"/>
    <w:p>
      <w:pPr>
        <w:pStyle w:val="105"/>
        <w:spacing w:before="156" w:after="156"/>
        <w:rPr>
          <w:color w:val="000000"/>
        </w:rPr>
      </w:pPr>
      <w:r>
        <w:rPr>
          <w:rFonts w:hint="eastAsia"/>
          <w:color w:val="000000"/>
        </w:rPr>
        <w:t>殡葬政策宣传与普及</w:t>
      </w:r>
    </w:p>
    <w:p>
      <w:pPr>
        <w:pStyle w:val="165"/>
        <w:ind w:left="0"/>
      </w:pPr>
      <w:r>
        <w:rPr>
          <w:rFonts w:hint="eastAsia"/>
        </w:rPr>
        <w:t>应采取多种形式开展惠民殡葬、绿色殡葬宣传，提醒客户文明、理性消费。</w:t>
      </w:r>
    </w:p>
    <w:p>
      <w:pPr>
        <w:pStyle w:val="165"/>
        <w:ind w:left="0"/>
      </w:pPr>
      <w:r>
        <w:rPr>
          <w:rFonts w:hint="eastAsia"/>
        </w:rPr>
        <w:t>宜开展生命文化教育，尊重生命、热爱生活。</w:t>
      </w:r>
    </w:p>
    <w:bookmarkEnd w:id="47"/>
    <w:p>
      <w:pPr>
        <w:pStyle w:val="56"/>
        <w:ind w:firstLine="0" w:firstLineChars="0"/>
      </w:pPr>
    </w:p>
    <w:p>
      <w:pPr>
        <w:pStyle w:val="104"/>
        <w:spacing w:before="312" w:after="312"/>
      </w:pPr>
      <w:r>
        <w:rPr>
          <w:rFonts w:hint="eastAsia"/>
        </w:rPr>
        <w:t xml:space="preserve">评价与改进 </w:t>
      </w:r>
    </w:p>
    <w:p>
      <w:pPr>
        <w:pStyle w:val="162"/>
      </w:pPr>
      <w:bookmarkStart w:id="50" w:name="_Hlk142312923"/>
      <w:r>
        <w:rPr>
          <w:rFonts w:hint="eastAsia"/>
        </w:rPr>
        <w:t>殡仪业务大厅服务应按MZ/T 048建立顾客满意度评价体系，定期对殡仪业务大厅服务满意度进行评价。</w:t>
      </w:r>
    </w:p>
    <w:p>
      <w:pPr>
        <w:pStyle w:val="162"/>
      </w:pPr>
      <w:r>
        <w:rPr>
          <w:rFonts w:hint="eastAsia"/>
        </w:rPr>
        <w:t>依据检查、回访、评价的结果，采取纠正预防措施，持续改进服务质量。</w:t>
      </w:r>
    </w:p>
    <w:bookmarkEnd w:id="50"/>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2"/>
    <w:p>
      <w:pPr>
        <w:pStyle w:val="198"/>
        <w:rPr>
          <w:vanish w:val="0"/>
        </w:rPr>
      </w:pPr>
      <w:bookmarkStart w:id="51" w:name="BookMark5"/>
    </w:p>
    <w:p>
      <w:pPr>
        <w:pStyle w:val="199"/>
        <w:rPr>
          <w:vanish w:val="0"/>
        </w:rPr>
      </w:pPr>
    </w:p>
    <w:p>
      <w:pPr>
        <w:pStyle w:val="76"/>
        <w:spacing w:after="156"/>
      </w:pPr>
      <w:r>
        <w:br w:type="textWrapping"/>
      </w:r>
      <w:r>
        <w:rPr>
          <w:rFonts w:hint="eastAsia"/>
        </w:rPr>
        <w:t>（资料性）</w:t>
      </w:r>
      <w:r>
        <w:br w:type="textWrapping"/>
      </w:r>
      <w:r>
        <w:rPr>
          <w:rFonts w:hint="eastAsia"/>
        </w:rPr>
        <w:t>殡仪服务用语要求</w:t>
      </w:r>
    </w:p>
    <w:p>
      <w:pPr>
        <w:pStyle w:val="78"/>
        <w:spacing w:before="156" w:after="156"/>
      </w:pPr>
      <w:r>
        <w:rPr>
          <w:rFonts w:hint="eastAsia"/>
        </w:rPr>
        <w:t>殡仪服务用语技巧</w:t>
      </w:r>
    </w:p>
    <w:p>
      <w:pPr>
        <w:pStyle w:val="212"/>
      </w:pPr>
      <w:r>
        <w:rPr>
          <w:rFonts w:hint="eastAsia"/>
        </w:rPr>
        <w:t>以同理心与逝者家属进行交流，称呼得当，礼貌相待，注意倾听，平易近人。</w:t>
      </w:r>
    </w:p>
    <w:p>
      <w:pPr>
        <w:pStyle w:val="212"/>
      </w:pPr>
      <w:r>
        <w:rPr>
          <w:rFonts w:hint="eastAsia"/>
        </w:rPr>
        <w:t>语气应温和自然，讲话音量适中，以对方听清为准。</w:t>
      </w:r>
    </w:p>
    <w:p>
      <w:pPr>
        <w:pStyle w:val="212"/>
      </w:pPr>
      <w:r>
        <w:rPr>
          <w:rFonts w:hint="eastAsia"/>
        </w:rPr>
        <w:t>语言表达应清晰、准确、委婉、得当，不应使用负面语言。</w:t>
      </w:r>
    </w:p>
    <w:p>
      <w:pPr>
        <w:pStyle w:val="78"/>
        <w:spacing w:before="156" w:after="156"/>
      </w:pPr>
      <w:r>
        <w:rPr>
          <w:rFonts w:hint="eastAsia"/>
        </w:rPr>
        <w:t>殡仪服务用语要求</w:t>
      </w:r>
    </w:p>
    <w:p>
      <w:pPr>
        <w:pStyle w:val="212"/>
      </w:pPr>
      <w:r>
        <w:rPr>
          <w:rFonts w:hint="eastAsia"/>
        </w:rPr>
        <w:t>主动向逝者家属打招呼问候。</w:t>
      </w:r>
    </w:p>
    <w:p>
      <w:pPr>
        <w:pStyle w:val="212"/>
      </w:pPr>
      <w:r>
        <w:rPr>
          <w:rFonts w:hint="eastAsia"/>
        </w:rPr>
        <w:t>与逝者家属交谈时精力集中，不能左顾右盼，漫不经心。</w:t>
      </w:r>
    </w:p>
    <w:p>
      <w:pPr>
        <w:pStyle w:val="212"/>
      </w:pPr>
      <w:r>
        <w:rPr>
          <w:rFonts w:hint="eastAsia"/>
        </w:rPr>
        <w:t>回答逝者家属询问时，表达要准确、清楚、简洁。</w:t>
      </w:r>
    </w:p>
    <w:p>
      <w:pPr>
        <w:pStyle w:val="212"/>
      </w:pPr>
      <w:r>
        <w:rPr>
          <w:rFonts w:hint="eastAsia"/>
        </w:rPr>
        <w:t>与逝者家属交谈时，发现有其他逝者家属走近，应主动招呼他们的到来，不应无所表示。</w:t>
      </w:r>
    </w:p>
    <w:p>
      <w:pPr>
        <w:pStyle w:val="212"/>
      </w:pPr>
      <w:r>
        <w:rPr>
          <w:rFonts w:hint="eastAsia"/>
        </w:rPr>
        <w:t>谈话声音以双方能够听清为限，语调平稳、轻柔，语速适中。</w:t>
      </w:r>
    </w:p>
    <w:p>
      <w:pPr>
        <w:pStyle w:val="212"/>
      </w:pPr>
      <w:r>
        <w:rPr>
          <w:rFonts w:hint="eastAsia"/>
        </w:rPr>
        <w:t>不要谈及对方不愿提到的内容或隐私。</w:t>
      </w:r>
    </w:p>
    <w:p>
      <w:pPr>
        <w:pStyle w:val="212"/>
      </w:pPr>
      <w:r>
        <w:rPr>
          <w:rFonts w:hint="eastAsia"/>
        </w:rPr>
        <w:t>不能使用“不知道”等否定语，应积极、婉转地回答问题。</w:t>
      </w:r>
    </w:p>
    <w:p>
      <w:pPr>
        <w:pStyle w:val="212"/>
      </w:pPr>
      <w:r>
        <w:rPr>
          <w:rFonts w:hint="eastAsia"/>
        </w:rPr>
        <w:t>不要在逝者家属面前与同事讲方言，不得扎堆聊天。</w:t>
      </w:r>
    </w:p>
    <w:p>
      <w:pPr>
        <w:pStyle w:val="212"/>
      </w:pPr>
      <w:r>
        <w:rPr>
          <w:rFonts w:hint="eastAsia"/>
        </w:rPr>
        <w:t>不要中途打断逝者家属讲话，应让对方讲完后再作答。</w:t>
      </w:r>
    </w:p>
    <w:p>
      <w:pPr>
        <w:pStyle w:val="212"/>
      </w:pPr>
      <w:r>
        <w:rPr>
          <w:rFonts w:hint="eastAsia"/>
        </w:rPr>
        <w:t>需打扰正在谈话中的逝者家属时，应先说声“对不起！”，征得同意后再与之交谈。</w:t>
      </w:r>
    </w:p>
    <w:p>
      <w:pPr>
        <w:pStyle w:val="212"/>
      </w:pPr>
      <w:r>
        <w:rPr>
          <w:rFonts w:hint="eastAsia"/>
        </w:rPr>
        <w:t>需暂时离开逝者家属时，要先说声“对不起，请稍候”，回来继续为其服务时，应主动表示歉意说“对不起，让您久等了！”。</w:t>
      </w:r>
    </w:p>
    <w:p>
      <w:pPr>
        <w:pStyle w:val="212"/>
      </w:pPr>
      <w:r>
        <w:rPr>
          <w:rFonts w:hint="eastAsia"/>
        </w:rPr>
        <w:t>不要与同事议论逝者家属的言行举止或穿戴。</w:t>
      </w:r>
    </w:p>
    <w:p>
      <w:pPr>
        <w:pStyle w:val="78"/>
        <w:spacing w:before="156" w:after="156"/>
      </w:pPr>
      <w:r>
        <w:rPr>
          <w:rFonts w:hint="eastAsia"/>
        </w:rPr>
        <w:t>殡仪服务用语方式</w:t>
      </w:r>
    </w:p>
    <w:p>
      <w:pPr>
        <w:pStyle w:val="212"/>
      </w:pPr>
      <w:r>
        <w:rPr>
          <w:rFonts w:hint="eastAsia"/>
        </w:rPr>
        <w:t>询问式：如：“请问，……？”。</w:t>
      </w:r>
    </w:p>
    <w:p>
      <w:pPr>
        <w:pStyle w:val="212"/>
      </w:pPr>
      <w:r>
        <w:rPr>
          <w:rFonts w:hint="eastAsia"/>
        </w:rPr>
        <w:t>请求式：如：“请您和我们一起，……”。</w:t>
      </w:r>
    </w:p>
    <w:p>
      <w:pPr>
        <w:pStyle w:val="212"/>
      </w:pPr>
      <w:r>
        <w:rPr>
          <w:rFonts w:hint="eastAsia"/>
        </w:rPr>
        <w:t>商量式：如：“……,您看这样好不好？”。</w:t>
      </w:r>
    </w:p>
    <w:p>
      <w:pPr>
        <w:pStyle w:val="212"/>
      </w:pPr>
      <w:r>
        <w:rPr>
          <w:rFonts w:hint="eastAsia"/>
        </w:rPr>
        <w:t>解释式：如：“这种情况，按规定是这样的……”。</w:t>
      </w:r>
    </w:p>
    <w:p>
      <w:pPr>
        <w:pStyle w:val="78"/>
        <w:spacing w:before="156" w:after="156"/>
      </w:pPr>
      <w:r>
        <w:rPr>
          <w:rFonts w:hint="eastAsia"/>
        </w:rPr>
        <w:t>殡仪服务忌语“五不说”</w:t>
      </w:r>
    </w:p>
    <w:p>
      <w:pPr>
        <w:pStyle w:val="212"/>
      </w:pPr>
      <w:r>
        <w:rPr>
          <w:rFonts w:hint="eastAsia"/>
        </w:rPr>
        <w:t>有损逝者家属自尊和人格的话不说。</w:t>
      </w:r>
    </w:p>
    <w:p>
      <w:pPr>
        <w:pStyle w:val="212"/>
      </w:pPr>
      <w:r>
        <w:rPr>
          <w:rFonts w:hint="eastAsia"/>
        </w:rPr>
        <w:t>埋怨逝者家属的话不说。</w:t>
      </w:r>
    </w:p>
    <w:p>
      <w:pPr>
        <w:pStyle w:val="212"/>
      </w:pPr>
      <w:r>
        <w:rPr>
          <w:rFonts w:hint="eastAsia"/>
        </w:rPr>
        <w:t>顶撞、反驳、教训逝者家属的话不说。</w:t>
      </w:r>
    </w:p>
    <w:p>
      <w:pPr>
        <w:pStyle w:val="212"/>
      </w:pPr>
      <w:r>
        <w:rPr>
          <w:rFonts w:hint="eastAsia"/>
        </w:rPr>
        <w:t>庸俗骂人的话及口头禅不说。</w:t>
      </w:r>
    </w:p>
    <w:p>
      <w:pPr>
        <w:pStyle w:val="212"/>
      </w:pPr>
      <w:r>
        <w:rPr>
          <w:rFonts w:hint="eastAsia"/>
        </w:rPr>
        <w:t>刺激逝者家属、激化矛盾的话不说。</w:t>
      </w:r>
    </w:p>
    <w:p>
      <w:pPr>
        <w:pStyle w:val="56"/>
        <w:ind w:firstLine="420"/>
      </w:pPr>
    </w:p>
    <w:bookmarkEnd w:id="51"/>
    <w:p>
      <w:pPr>
        <w:pStyle w:val="56"/>
        <w:ind w:firstLine="420"/>
        <w:sectPr>
          <w:pgSz w:w="11906" w:h="16838"/>
          <w:pgMar w:top="1928" w:right="1134" w:bottom="1134" w:left="1134" w:header="1418" w:footer="1134" w:gutter="284"/>
          <w:cols w:space="425" w:num="1"/>
          <w:formProt w:val="0"/>
          <w:docGrid w:type="lines" w:linePitch="312" w:charSpace="0"/>
        </w:sectPr>
      </w:pPr>
      <w:bookmarkStart w:id="52" w:name="BookMark6"/>
    </w:p>
    <w:p>
      <w:pPr>
        <w:pStyle w:val="63"/>
        <w:spacing w:after="156"/>
      </w:pPr>
      <w:r>
        <w:rPr>
          <w:rFonts w:hint="eastAsia"/>
          <w:spacing w:val="105"/>
        </w:rPr>
        <w:t>参考文</w:t>
      </w:r>
      <w:r>
        <w:rPr>
          <w:rFonts w:hint="eastAsia"/>
        </w:rPr>
        <w:t>献</w:t>
      </w:r>
    </w:p>
    <w:p>
      <w:pPr>
        <w:pStyle w:val="56"/>
        <w:ind w:firstLine="420"/>
      </w:pPr>
    </w:p>
    <w:p>
      <w:pPr>
        <w:pStyle w:val="56"/>
        <w:ind w:firstLine="420"/>
      </w:pPr>
      <w:r>
        <w:rPr>
          <w:rFonts w:hint="eastAsia"/>
        </w:rPr>
        <w:t>【1】MZ/T 018—2011殡仪接待服务</w:t>
      </w:r>
    </w:p>
    <w:bookmarkEnd w:id="52"/>
    <w:p>
      <w:pPr>
        <w:pStyle w:val="56"/>
        <w:ind w:firstLine="0" w:firstLineChars="0"/>
        <w:jc w:val="center"/>
      </w:pPr>
      <w:bookmarkStart w:id="5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5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Times New Roman"/>
    <w:panose1 w:val="020B0604020202020204"/>
    <w:charset w:val="00"/>
    <w:family w:val="swiss"/>
    <w:pitch w:val="default"/>
    <w:sig w:usb0="00000000" w:usb1="00000000" w:usb2="00000009" w:usb3="00000000" w:csb0="000001FF" w:csb1="00000000"/>
  </w:font>
  <w:font w:name="等线">
    <w:altName w:val="汉仪仿宋S"/>
    <w:panose1 w:val="00000000000000000000"/>
    <w:charset w:val="86"/>
    <w:family w:val="auto"/>
    <w:pitch w:val="default"/>
    <w:sig w:usb0="00000000" w:usb1="00000000" w:usb2="00000016" w:usb3="00000000" w:csb0="0004000F" w:csb1="00000000"/>
  </w:font>
  <w:font w:name="等线 Light">
    <w:altName w:val="汉仪仿宋S"/>
    <w:panose1 w:val="00000000000000000000"/>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 w:name="汉仪仿宋S">
    <w:panose1 w:val="00020600040101000101"/>
    <w:charset w:val="86"/>
    <w:family w:val="auto"/>
    <w:pitch w:val="default"/>
    <w:sig w:usb0="A00002BF" w:usb1="38CF7C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DB45/TXXXX—XXXX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instrText xml:space="preserve"> STYLEREF  标准文件_文件编号  \* MERGEFORMAT </w:instrText>
    </w:r>
    <w:r>
      <w:fldChar w:fldCharType="separate"/>
    </w:r>
    <w:r>
      <w:rPr>
        <w:lang w:val="fr-FR"/>
      </w:rPr>
      <w:t>DB 45/T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A844177"/>
    <w:multiLevelType w:val="multilevel"/>
    <w:tmpl w:val="5A844177"/>
    <w:lvl w:ilvl="0" w:tentative="0">
      <w:start w:val="1"/>
      <w:numFmt w:val="lowerLetter"/>
      <w:pStyle w:val="23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31"/>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4395"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1844"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true"/>
  <w:bordersDoNotSurroundFooter w:val="true"/>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AyYjI3YWZhOTI4MDgzNjA5MTY5NzUyNzJiYmM3NGUifQ=="/>
  </w:docVars>
  <w:rsids>
    <w:rsidRoot w:val="00725A26"/>
    <w:rsid w:val="0000040A"/>
    <w:rsid w:val="00000A94"/>
    <w:rsid w:val="00001972"/>
    <w:rsid w:val="00001D9A"/>
    <w:rsid w:val="00007B3A"/>
    <w:rsid w:val="000107E0"/>
    <w:rsid w:val="00011FDE"/>
    <w:rsid w:val="00012FFD"/>
    <w:rsid w:val="00014162"/>
    <w:rsid w:val="00014340"/>
    <w:rsid w:val="00016A9C"/>
    <w:rsid w:val="0001761F"/>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FD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23"/>
    <w:rsid w:val="0006357D"/>
    <w:rsid w:val="00067F1E"/>
    <w:rsid w:val="00071CC0"/>
    <w:rsid w:val="00073C8C"/>
    <w:rsid w:val="00077B64"/>
    <w:rsid w:val="00080319"/>
    <w:rsid w:val="00080A1C"/>
    <w:rsid w:val="00082317"/>
    <w:rsid w:val="00082CC5"/>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D2A"/>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42"/>
    <w:rsid w:val="000D1795"/>
    <w:rsid w:val="000D329A"/>
    <w:rsid w:val="000D4B9C"/>
    <w:rsid w:val="000D4EB6"/>
    <w:rsid w:val="000D753B"/>
    <w:rsid w:val="000E4C9E"/>
    <w:rsid w:val="000E6FD7"/>
    <w:rsid w:val="000E6FE1"/>
    <w:rsid w:val="000F06E1"/>
    <w:rsid w:val="000F0E3C"/>
    <w:rsid w:val="000F19D5"/>
    <w:rsid w:val="000F3A02"/>
    <w:rsid w:val="000F4AEA"/>
    <w:rsid w:val="000F633F"/>
    <w:rsid w:val="000F67E9"/>
    <w:rsid w:val="00104926"/>
    <w:rsid w:val="00113B1E"/>
    <w:rsid w:val="00114EB4"/>
    <w:rsid w:val="0011504C"/>
    <w:rsid w:val="0011711C"/>
    <w:rsid w:val="0012059C"/>
    <w:rsid w:val="00124E4F"/>
    <w:rsid w:val="001260B7"/>
    <w:rsid w:val="001265CB"/>
    <w:rsid w:val="0013145B"/>
    <w:rsid w:val="001321C6"/>
    <w:rsid w:val="001325C4"/>
    <w:rsid w:val="00133010"/>
    <w:rsid w:val="001338EE"/>
    <w:rsid w:val="00133AAE"/>
    <w:rsid w:val="00135323"/>
    <w:rsid w:val="001356C4"/>
    <w:rsid w:val="00140A6A"/>
    <w:rsid w:val="00141114"/>
    <w:rsid w:val="00142969"/>
    <w:rsid w:val="001446C2"/>
    <w:rsid w:val="001457E7"/>
    <w:rsid w:val="00145D9D"/>
    <w:rsid w:val="00146388"/>
    <w:rsid w:val="001529E5"/>
    <w:rsid w:val="00153C7E"/>
    <w:rsid w:val="001545A5"/>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183"/>
    <w:rsid w:val="00176DFD"/>
    <w:rsid w:val="001852C9"/>
    <w:rsid w:val="00187FE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1CB"/>
    <w:rsid w:val="001D0499"/>
    <w:rsid w:val="001D0BBE"/>
    <w:rsid w:val="001D0ED4"/>
    <w:rsid w:val="001D212F"/>
    <w:rsid w:val="001D29D7"/>
    <w:rsid w:val="001D2DE7"/>
    <w:rsid w:val="001D411C"/>
    <w:rsid w:val="001D6910"/>
    <w:rsid w:val="001E12C4"/>
    <w:rsid w:val="001E153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AB9"/>
    <w:rsid w:val="0020527B"/>
    <w:rsid w:val="00205F2C"/>
    <w:rsid w:val="00210B15"/>
    <w:rsid w:val="002142EA"/>
    <w:rsid w:val="002204BB"/>
    <w:rsid w:val="00221B79"/>
    <w:rsid w:val="00221C6B"/>
    <w:rsid w:val="00224200"/>
    <w:rsid w:val="002253A1"/>
    <w:rsid w:val="00225CF8"/>
    <w:rsid w:val="00226893"/>
    <w:rsid w:val="0022794E"/>
    <w:rsid w:val="00233D64"/>
    <w:rsid w:val="0023482A"/>
    <w:rsid w:val="002359CB"/>
    <w:rsid w:val="002406AE"/>
    <w:rsid w:val="00243540"/>
    <w:rsid w:val="0024497B"/>
    <w:rsid w:val="0024515B"/>
    <w:rsid w:val="00246021"/>
    <w:rsid w:val="0024666E"/>
    <w:rsid w:val="00247F52"/>
    <w:rsid w:val="00250B25"/>
    <w:rsid w:val="00250BBE"/>
    <w:rsid w:val="002515C2"/>
    <w:rsid w:val="0025194F"/>
    <w:rsid w:val="0026148A"/>
    <w:rsid w:val="00261C73"/>
    <w:rsid w:val="00262696"/>
    <w:rsid w:val="00263D25"/>
    <w:rsid w:val="002643C3"/>
    <w:rsid w:val="00264A0C"/>
    <w:rsid w:val="00266EEB"/>
    <w:rsid w:val="00267EF4"/>
    <w:rsid w:val="00270CB8"/>
    <w:rsid w:val="00272B08"/>
    <w:rsid w:val="002771AC"/>
    <w:rsid w:val="00280B9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E8B"/>
    <w:rsid w:val="002A3AAB"/>
    <w:rsid w:val="002A4CEA"/>
    <w:rsid w:val="002A5977"/>
    <w:rsid w:val="002A5A13"/>
    <w:rsid w:val="002A757F"/>
    <w:rsid w:val="002A7F44"/>
    <w:rsid w:val="002B0C40"/>
    <w:rsid w:val="002B1966"/>
    <w:rsid w:val="002B4508"/>
    <w:rsid w:val="002B5779"/>
    <w:rsid w:val="002B68D2"/>
    <w:rsid w:val="002B7332"/>
    <w:rsid w:val="002B7F51"/>
    <w:rsid w:val="002C09E7"/>
    <w:rsid w:val="002C0A26"/>
    <w:rsid w:val="002C1E06"/>
    <w:rsid w:val="002C1E1C"/>
    <w:rsid w:val="002C2A48"/>
    <w:rsid w:val="002C3F07"/>
    <w:rsid w:val="002C5278"/>
    <w:rsid w:val="002C5774"/>
    <w:rsid w:val="002C7EBB"/>
    <w:rsid w:val="002D04C5"/>
    <w:rsid w:val="002D06C1"/>
    <w:rsid w:val="002D1899"/>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551"/>
    <w:rsid w:val="00313B85"/>
    <w:rsid w:val="00317988"/>
    <w:rsid w:val="0032020E"/>
    <w:rsid w:val="003221B4"/>
    <w:rsid w:val="0032258D"/>
    <w:rsid w:val="00322E62"/>
    <w:rsid w:val="003234F5"/>
    <w:rsid w:val="00324D13"/>
    <w:rsid w:val="00324D2A"/>
    <w:rsid w:val="00324EDD"/>
    <w:rsid w:val="003331E4"/>
    <w:rsid w:val="00336C64"/>
    <w:rsid w:val="00337162"/>
    <w:rsid w:val="0034194F"/>
    <w:rsid w:val="00344605"/>
    <w:rsid w:val="003474AA"/>
    <w:rsid w:val="00350D1D"/>
    <w:rsid w:val="00352C83"/>
    <w:rsid w:val="00354562"/>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50C"/>
    <w:rsid w:val="00384FFC"/>
    <w:rsid w:val="003872FC"/>
    <w:rsid w:val="00387ADC"/>
    <w:rsid w:val="00390020"/>
    <w:rsid w:val="003903D6"/>
    <w:rsid w:val="00390EE6"/>
    <w:rsid w:val="0039118F"/>
    <w:rsid w:val="00392638"/>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72F3"/>
    <w:rsid w:val="003D0519"/>
    <w:rsid w:val="003D0FF6"/>
    <w:rsid w:val="003D262C"/>
    <w:rsid w:val="003D561D"/>
    <w:rsid w:val="003D6D61"/>
    <w:rsid w:val="003D79C6"/>
    <w:rsid w:val="003E091D"/>
    <w:rsid w:val="003E1C53"/>
    <w:rsid w:val="003E2A69"/>
    <w:rsid w:val="003E2D49"/>
    <w:rsid w:val="003E2FD4"/>
    <w:rsid w:val="003E49F6"/>
    <w:rsid w:val="003E60AC"/>
    <w:rsid w:val="003E660F"/>
    <w:rsid w:val="003F0841"/>
    <w:rsid w:val="003F23D3"/>
    <w:rsid w:val="003F3F08"/>
    <w:rsid w:val="003F49F1"/>
    <w:rsid w:val="003F6272"/>
    <w:rsid w:val="00400E72"/>
    <w:rsid w:val="00401400"/>
    <w:rsid w:val="00404869"/>
    <w:rsid w:val="00405884"/>
    <w:rsid w:val="0040633C"/>
    <w:rsid w:val="00407D39"/>
    <w:rsid w:val="0041477A"/>
    <w:rsid w:val="004167A3"/>
    <w:rsid w:val="00432BF7"/>
    <w:rsid w:val="00432DAA"/>
    <w:rsid w:val="00434305"/>
    <w:rsid w:val="00435DF7"/>
    <w:rsid w:val="0044083F"/>
    <w:rsid w:val="00441AE7"/>
    <w:rsid w:val="00445574"/>
    <w:rsid w:val="004467FB"/>
    <w:rsid w:val="00452D6B"/>
    <w:rsid w:val="00454484"/>
    <w:rsid w:val="0045517B"/>
    <w:rsid w:val="00460580"/>
    <w:rsid w:val="00463B77"/>
    <w:rsid w:val="00463C7B"/>
    <w:rsid w:val="004644A6"/>
    <w:rsid w:val="004659BD"/>
    <w:rsid w:val="00470313"/>
    <w:rsid w:val="00470775"/>
    <w:rsid w:val="004746B1"/>
    <w:rsid w:val="0047583F"/>
    <w:rsid w:val="00475DE8"/>
    <w:rsid w:val="0048094F"/>
    <w:rsid w:val="00481C44"/>
    <w:rsid w:val="00483CC9"/>
    <w:rsid w:val="00484936"/>
    <w:rsid w:val="00485C89"/>
    <w:rsid w:val="00486BE3"/>
    <w:rsid w:val="004905E4"/>
    <w:rsid w:val="00490A89"/>
    <w:rsid w:val="00490AB4"/>
    <w:rsid w:val="004918C8"/>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9AF"/>
    <w:rsid w:val="004E4AA5"/>
    <w:rsid w:val="004E4AEE"/>
    <w:rsid w:val="004E59E3"/>
    <w:rsid w:val="004E67C0"/>
    <w:rsid w:val="004F391A"/>
    <w:rsid w:val="004F3CFB"/>
    <w:rsid w:val="004F6456"/>
    <w:rsid w:val="004F696E"/>
    <w:rsid w:val="004F6C71"/>
    <w:rsid w:val="00500378"/>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49C"/>
    <w:rsid w:val="00531F6D"/>
    <w:rsid w:val="00532F1E"/>
    <w:rsid w:val="00533D04"/>
    <w:rsid w:val="00534804"/>
    <w:rsid w:val="00534BDF"/>
    <w:rsid w:val="005354EA"/>
    <w:rsid w:val="0053585F"/>
    <w:rsid w:val="00535EC4"/>
    <w:rsid w:val="00535ED9"/>
    <w:rsid w:val="005361C1"/>
    <w:rsid w:val="0053692B"/>
    <w:rsid w:val="00541853"/>
    <w:rsid w:val="00541C7C"/>
    <w:rsid w:val="00543BDA"/>
    <w:rsid w:val="005441CC"/>
    <w:rsid w:val="00547674"/>
    <w:rsid w:val="005479DA"/>
    <w:rsid w:val="00547BCC"/>
    <w:rsid w:val="0055013B"/>
    <w:rsid w:val="00551F6F"/>
    <w:rsid w:val="00554487"/>
    <w:rsid w:val="00555044"/>
    <w:rsid w:val="005556F9"/>
    <w:rsid w:val="00561475"/>
    <w:rsid w:val="0056487B"/>
    <w:rsid w:val="00564FB9"/>
    <w:rsid w:val="00567E0F"/>
    <w:rsid w:val="00570227"/>
    <w:rsid w:val="00573D9E"/>
    <w:rsid w:val="005801E3"/>
    <w:rsid w:val="0058127E"/>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5D96"/>
    <w:rsid w:val="005B6CF6"/>
    <w:rsid w:val="005B7422"/>
    <w:rsid w:val="005B7B41"/>
    <w:rsid w:val="005C29B8"/>
    <w:rsid w:val="005C5F21"/>
    <w:rsid w:val="005C7156"/>
    <w:rsid w:val="005D0C75"/>
    <w:rsid w:val="005D4171"/>
    <w:rsid w:val="005D5D60"/>
    <w:rsid w:val="005D6A95"/>
    <w:rsid w:val="005D6B2C"/>
    <w:rsid w:val="005D6D9C"/>
    <w:rsid w:val="005E09D3"/>
    <w:rsid w:val="005E2335"/>
    <w:rsid w:val="005E34CA"/>
    <w:rsid w:val="005E3C18"/>
    <w:rsid w:val="005E6812"/>
    <w:rsid w:val="005E6A00"/>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AA6"/>
    <w:rsid w:val="006252D8"/>
    <w:rsid w:val="006259BC"/>
    <w:rsid w:val="0062636B"/>
    <w:rsid w:val="00632182"/>
    <w:rsid w:val="0063241C"/>
    <w:rsid w:val="00632AE0"/>
    <w:rsid w:val="00633C17"/>
    <w:rsid w:val="00634863"/>
    <w:rsid w:val="00634D9E"/>
    <w:rsid w:val="00636E3E"/>
    <w:rsid w:val="006379F7"/>
    <w:rsid w:val="00637E4D"/>
    <w:rsid w:val="00640620"/>
    <w:rsid w:val="00641A1F"/>
    <w:rsid w:val="00642AF3"/>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544"/>
    <w:rsid w:val="006840A6"/>
    <w:rsid w:val="006850CD"/>
    <w:rsid w:val="00685AAB"/>
    <w:rsid w:val="00695D22"/>
    <w:rsid w:val="0069676D"/>
    <w:rsid w:val="006A07AA"/>
    <w:rsid w:val="006A25E5"/>
    <w:rsid w:val="006A2B46"/>
    <w:rsid w:val="006A336D"/>
    <w:rsid w:val="006A37B9"/>
    <w:rsid w:val="006A3EBB"/>
    <w:rsid w:val="006B2672"/>
    <w:rsid w:val="006B54BF"/>
    <w:rsid w:val="006B5F44"/>
    <w:rsid w:val="006B5F90"/>
    <w:rsid w:val="006B62E4"/>
    <w:rsid w:val="006C1BBA"/>
    <w:rsid w:val="006C2079"/>
    <w:rsid w:val="006C5A62"/>
    <w:rsid w:val="006C5D68"/>
    <w:rsid w:val="006C6976"/>
    <w:rsid w:val="006C6DD0"/>
    <w:rsid w:val="006D04EA"/>
    <w:rsid w:val="006D0A19"/>
    <w:rsid w:val="006D0AB7"/>
    <w:rsid w:val="006D16C4"/>
    <w:rsid w:val="006D3AC5"/>
    <w:rsid w:val="006D3E96"/>
    <w:rsid w:val="006D4515"/>
    <w:rsid w:val="006D4BB1"/>
    <w:rsid w:val="006D6593"/>
    <w:rsid w:val="006E23EA"/>
    <w:rsid w:val="006F03A8"/>
    <w:rsid w:val="006F2ACA"/>
    <w:rsid w:val="006F2ADC"/>
    <w:rsid w:val="006F2BFE"/>
    <w:rsid w:val="006F31E9"/>
    <w:rsid w:val="006F6284"/>
    <w:rsid w:val="007002C5"/>
    <w:rsid w:val="00701D50"/>
    <w:rsid w:val="00704387"/>
    <w:rsid w:val="00707669"/>
    <w:rsid w:val="00711CBA"/>
    <w:rsid w:val="00711FB5"/>
    <w:rsid w:val="00712A01"/>
    <w:rsid w:val="00714F58"/>
    <w:rsid w:val="00722FBF"/>
    <w:rsid w:val="00722FC2"/>
    <w:rsid w:val="00724879"/>
    <w:rsid w:val="00724E1B"/>
    <w:rsid w:val="00725949"/>
    <w:rsid w:val="00725A26"/>
    <w:rsid w:val="00727FA2"/>
    <w:rsid w:val="007322D9"/>
    <w:rsid w:val="00732BC0"/>
    <w:rsid w:val="00735A3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D89"/>
    <w:rsid w:val="00756EDF"/>
    <w:rsid w:val="007600E3"/>
    <w:rsid w:val="00765C43"/>
    <w:rsid w:val="00765EFB"/>
    <w:rsid w:val="007671CA"/>
    <w:rsid w:val="00767C61"/>
    <w:rsid w:val="0077008A"/>
    <w:rsid w:val="00772C35"/>
    <w:rsid w:val="00773C1F"/>
    <w:rsid w:val="00774DA4"/>
    <w:rsid w:val="00776599"/>
    <w:rsid w:val="0078114B"/>
    <w:rsid w:val="00781DD2"/>
    <w:rsid w:val="00781F4A"/>
    <w:rsid w:val="0078332A"/>
    <w:rsid w:val="00783ECF"/>
    <w:rsid w:val="0078413A"/>
    <w:rsid w:val="007955EB"/>
    <w:rsid w:val="007959E8"/>
    <w:rsid w:val="00795E9C"/>
    <w:rsid w:val="0079666E"/>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06B3"/>
    <w:rsid w:val="008013A4"/>
    <w:rsid w:val="008027CE"/>
    <w:rsid w:val="00802F42"/>
    <w:rsid w:val="00804383"/>
    <w:rsid w:val="00804BB7"/>
    <w:rsid w:val="00804D41"/>
    <w:rsid w:val="00810257"/>
    <w:rsid w:val="008104F5"/>
    <w:rsid w:val="00811072"/>
    <w:rsid w:val="00811369"/>
    <w:rsid w:val="0081455E"/>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51D"/>
    <w:rsid w:val="00840617"/>
    <w:rsid w:val="00840F84"/>
    <w:rsid w:val="00842A47"/>
    <w:rsid w:val="00843B49"/>
    <w:rsid w:val="00843C13"/>
    <w:rsid w:val="008454F8"/>
    <w:rsid w:val="008475CB"/>
    <w:rsid w:val="00847717"/>
    <w:rsid w:val="0085173A"/>
    <w:rsid w:val="00856316"/>
    <w:rsid w:val="008603CE"/>
    <w:rsid w:val="008620FC"/>
    <w:rsid w:val="008627A5"/>
    <w:rsid w:val="00863E05"/>
    <w:rsid w:val="00865ACA"/>
    <w:rsid w:val="00865D28"/>
    <w:rsid w:val="00865F85"/>
    <w:rsid w:val="00867C10"/>
    <w:rsid w:val="008701E5"/>
    <w:rsid w:val="00870439"/>
    <w:rsid w:val="00870DA1"/>
    <w:rsid w:val="00874AF6"/>
    <w:rsid w:val="00883F93"/>
    <w:rsid w:val="00884DB3"/>
    <w:rsid w:val="00885A9D"/>
    <w:rsid w:val="008864F6"/>
    <w:rsid w:val="00886A36"/>
    <w:rsid w:val="0089049D"/>
    <w:rsid w:val="008928C9"/>
    <w:rsid w:val="008930CB"/>
    <w:rsid w:val="008938DC"/>
    <w:rsid w:val="00893FD1"/>
    <w:rsid w:val="00894836"/>
    <w:rsid w:val="00895172"/>
    <w:rsid w:val="00895680"/>
    <w:rsid w:val="00896DFF"/>
    <w:rsid w:val="0089762C"/>
    <w:rsid w:val="008A0941"/>
    <w:rsid w:val="008A1893"/>
    <w:rsid w:val="008A3215"/>
    <w:rsid w:val="008A57E6"/>
    <w:rsid w:val="008A6F81"/>
    <w:rsid w:val="008A769A"/>
    <w:rsid w:val="008B0C9C"/>
    <w:rsid w:val="008B14EA"/>
    <w:rsid w:val="008B166D"/>
    <w:rsid w:val="008B17F4"/>
    <w:rsid w:val="008B3615"/>
    <w:rsid w:val="008B4AC4"/>
    <w:rsid w:val="008B50C8"/>
    <w:rsid w:val="008B5281"/>
    <w:rsid w:val="008B54FC"/>
    <w:rsid w:val="008B5826"/>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0F29"/>
    <w:rsid w:val="008E1648"/>
    <w:rsid w:val="008E1B3E"/>
    <w:rsid w:val="008E2319"/>
    <w:rsid w:val="008E4BB6"/>
    <w:rsid w:val="008E5518"/>
    <w:rsid w:val="008E6A84"/>
    <w:rsid w:val="008E75C7"/>
    <w:rsid w:val="008F0CDC"/>
    <w:rsid w:val="008F17A3"/>
    <w:rsid w:val="008F1ED3"/>
    <w:rsid w:val="008F23A5"/>
    <w:rsid w:val="008F4C29"/>
    <w:rsid w:val="008F60C3"/>
    <w:rsid w:val="008F70BD"/>
    <w:rsid w:val="008F788F"/>
    <w:rsid w:val="008F7EA2"/>
    <w:rsid w:val="00902722"/>
    <w:rsid w:val="009027BC"/>
    <w:rsid w:val="009062E6"/>
    <w:rsid w:val="00911BE5"/>
    <w:rsid w:val="00913A36"/>
    <w:rsid w:val="00913CA9"/>
    <w:rsid w:val="009145AE"/>
    <w:rsid w:val="009146CE"/>
    <w:rsid w:val="00914CA7"/>
    <w:rsid w:val="00915C3E"/>
    <w:rsid w:val="009161A8"/>
    <w:rsid w:val="009245F5"/>
    <w:rsid w:val="009249EC"/>
    <w:rsid w:val="009273B3"/>
    <w:rsid w:val="009305B5"/>
    <w:rsid w:val="00930E0F"/>
    <w:rsid w:val="009429D5"/>
    <w:rsid w:val="00942BF1"/>
    <w:rsid w:val="00945180"/>
    <w:rsid w:val="00945428"/>
    <w:rsid w:val="0094607B"/>
    <w:rsid w:val="00953604"/>
    <w:rsid w:val="00954504"/>
    <w:rsid w:val="0095496B"/>
    <w:rsid w:val="0095619E"/>
    <w:rsid w:val="009610DC"/>
    <w:rsid w:val="00961490"/>
    <w:rsid w:val="0096381A"/>
    <w:rsid w:val="00965E04"/>
    <w:rsid w:val="009674AD"/>
    <w:rsid w:val="00970CDC"/>
    <w:rsid w:val="00974501"/>
    <w:rsid w:val="00977010"/>
    <w:rsid w:val="00977D02"/>
    <w:rsid w:val="009809BB"/>
    <w:rsid w:val="0098364B"/>
    <w:rsid w:val="0098434C"/>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131"/>
    <w:rsid w:val="009D112C"/>
    <w:rsid w:val="009D47FA"/>
    <w:rsid w:val="009D4C5B"/>
    <w:rsid w:val="009D50D2"/>
    <w:rsid w:val="009D57C4"/>
    <w:rsid w:val="009D6BCA"/>
    <w:rsid w:val="009E0F62"/>
    <w:rsid w:val="009E3428"/>
    <w:rsid w:val="009E4A58"/>
    <w:rsid w:val="009E5A2D"/>
    <w:rsid w:val="009E5AB2"/>
    <w:rsid w:val="009E6219"/>
    <w:rsid w:val="009F03B3"/>
    <w:rsid w:val="009F471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7AF"/>
    <w:rsid w:val="00A55BD6"/>
    <w:rsid w:val="00A55D50"/>
    <w:rsid w:val="00A57142"/>
    <w:rsid w:val="00A648CD"/>
    <w:rsid w:val="00A6537A"/>
    <w:rsid w:val="00A67866"/>
    <w:rsid w:val="00A67C09"/>
    <w:rsid w:val="00A70B07"/>
    <w:rsid w:val="00A723F8"/>
    <w:rsid w:val="00A74723"/>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589F"/>
    <w:rsid w:val="00AA672E"/>
    <w:rsid w:val="00AA6EC9"/>
    <w:rsid w:val="00AB41D5"/>
    <w:rsid w:val="00AB6309"/>
    <w:rsid w:val="00AB6C5F"/>
    <w:rsid w:val="00AB7129"/>
    <w:rsid w:val="00AC1436"/>
    <w:rsid w:val="00AC27A6"/>
    <w:rsid w:val="00AC30F7"/>
    <w:rsid w:val="00AC3782"/>
    <w:rsid w:val="00AC3A5A"/>
    <w:rsid w:val="00AC4D95"/>
    <w:rsid w:val="00AC5DF4"/>
    <w:rsid w:val="00AD0AEF"/>
    <w:rsid w:val="00AD11B7"/>
    <w:rsid w:val="00AD1A94"/>
    <w:rsid w:val="00AD1C05"/>
    <w:rsid w:val="00AD4126"/>
    <w:rsid w:val="00AD421C"/>
    <w:rsid w:val="00AD44FA"/>
    <w:rsid w:val="00AD6DC2"/>
    <w:rsid w:val="00AE070A"/>
    <w:rsid w:val="00AE101C"/>
    <w:rsid w:val="00AE188A"/>
    <w:rsid w:val="00AE37E5"/>
    <w:rsid w:val="00AE48E2"/>
    <w:rsid w:val="00AE5EB4"/>
    <w:rsid w:val="00AE71FF"/>
    <w:rsid w:val="00AF0C18"/>
    <w:rsid w:val="00AF224D"/>
    <w:rsid w:val="00AF47C5"/>
    <w:rsid w:val="00AF5398"/>
    <w:rsid w:val="00AF747C"/>
    <w:rsid w:val="00AF7C3D"/>
    <w:rsid w:val="00B0397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ACE"/>
    <w:rsid w:val="00B4654C"/>
    <w:rsid w:val="00B46AF0"/>
    <w:rsid w:val="00B47293"/>
    <w:rsid w:val="00B479BA"/>
    <w:rsid w:val="00B50E50"/>
    <w:rsid w:val="00B52120"/>
    <w:rsid w:val="00B52636"/>
    <w:rsid w:val="00B54ABC"/>
    <w:rsid w:val="00B54DDE"/>
    <w:rsid w:val="00B56FBE"/>
    <w:rsid w:val="00B60ACF"/>
    <w:rsid w:val="00B616C3"/>
    <w:rsid w:val="00B62B58"/>
    <w:rsid w:val="00B65149"/>
    <w:rsid w:val="00B66567"/>
    <w:rsid w:val="00B66F52"/>
    <w:rsid w:val="00B66FE5"/>
    <w:rsid w:val="00B72880"/>
    <w:rsid w:val="00B758BF"/>
    <w:rsid w:val="00B76995"/>
    <w:rsid w:val="00B77EC8"/>
    <w:rsid w:val="00B827A6"/>
    <w:rsid w:val="00B831CE"/>
    <w:rsid w:val="00B83C59"/>
    <w:rsid w:val="00B86677"/>
    <w:rsid w:val="00B87131"/>
    <w:rsid w:val="00B939B1"/>
    <w:rsid w:val="00B96D40"/>
    <w:rsid w:val="00B97386"/>
    <w:rsid w:val="00BA263B"/>
    <w:rsid w:val="00BA42B2"/>
    <w:rsid w:val="00BA43E0"/>
    <w:rsid w:val="00BA58D4"/>
    <w:rsid w:val="00BA5B9E"/>
    <w:rsid w:val="00BA7C9A"/>
    <w:rsid w:val="00BB203B"/>
    <w:rsid w:val="00BB5F8F"/>
    <w:rsid w:val="00BB657A"/>
    <w:rsid w:val="00BC1A4E"/>
    <w:rsid w:val="00BC2979"/>
    <w:rsid w:val="00BC4790"/>
    <w:rsid w:val="00BC5DC7"/>
    <w:rsid w:val="00BC6B8B"/>
    <w:rsid w:val="00BC73D8"/>
    <w:rsid w:val="00BD52D7"/>
    <w:rsid w:val="00BD5AD2"/>
    <w:rsid w:val="00BE22F3"/>
    <w:rsid w:val="00BE2790"/>
    <w:rsid w:val="00BE5B52"/>
    <w:rsid w:val="00BE7B8D"/>
    <w:rsid w:val="00BF0993"/>
    <w:rsid w:val="00BF10A9"/>
    <w:rsid w:val="00BF1703"/>
    <w:rsid w:val="00BF231C"/>
    <w:rsid w:val="00BF51E5"/>
    <w:rsid w:val="00BF74A6"/>
    <w:rsid w:val="00C00736"/>
    <w:rsid w:val="00C013AD"/>
    <w:rsid w:val="00C04904"/>
    <w:rsid w:val="00C056B3"/>
    <w:rsid w:val="00C103E5"/>
    <w:rsid w:val="00C13319"/>
    <w:rsid w:val="00C13EE9"/>
    <w:rsid w:val="00C208A3"/>
    <w:rsid w:val="00C21540"/>
    <w:rsid w:val="00C21906"/>
    <w:rsid w:val="00C21BFA"/>
    <w:rsid w:val="00C22148"/>
    <w:rsid w:val="00C237E7"/>
    <w:rsid w:val="00C24C8D"/>
    <w:rsid w:val="00C25FE2"/>
    <w:rsid w:val="00C26B53"/>
    <w:rsid w:val="00C279B2"/>
    <w:rsid w:val="00C33E50"/>
    <w:rsid w:val="00C34C20"/>
    <w:rsid w:val="00C35A3E"/>
    <w:rsid w:val="00C36178"/>
    <w:rsid w:val="00C364B3"/>
    <w:rsid w:val="00C379EE"/>
    <w:rsid w:val="00C42130"/>
    <w:rsid w:val="00C423A4"/>
    <w:rsid w:val="00C44BF5"/>
    <w:rsid w:val="00C45232"/>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39D"/>
    <w:rsid w:val="00C86D6F"/>
    <w:rsid w:val="00C87466"/>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162"/>
    <w:rsid w:val="00CD4092"/>
    <w:rsid w:val="00CD4A20"/>
    <w:rsid w:val="00CD50A1"/>
    <w:rsid w:val="00CD519E"/>
    <w:rsid w:val="00CD561D"/>
    <w:rsid w:val="00CE0C4F"/>
    <w:rsid w:val="00CE2B9B"/>
    <w:rsid w:val="00CE30EA"/>
    <w:rsid w:val="00CF048A"/>
    <w:rsid w:val="00CF155A"/>
    <w:rsid w:val="00CF2947"/>
    <w:rsid w:val="00CF5288"/>
    <w:rsid w:val="00CF686F"/>
    <w:rsid w:val="00CF6E60"/>
    <w:rsid w:val="00CF7BCA"/>
    <w:rsid w:val="00D0051D"/>
    <w:rsid w:val="00D008FD"/>
    <w:rsid w:val="00D02C0D"/>
    <w:rsid w:val="00D0321C"/>
    <w:rsid w:val="00D035EC"/>
    <w:rsid w:val="00D06AB1"/>
    <w:rsid w:val="00D072ED"/>
    <w:rsid w:val="00D07A16"/>
    <w:rsid w:val="00D1067E"/>
    <w:rsid w:val="00D10F50"/>
    <w:rsid w:val="00D11272"/>
    <w:rsid w:val="00D126F5"/>
    <w:rsid w:val="00D1489E"/>
    <w:rsid w:val="00D17C86"/>
    <w:rsid w:val="00D20737"/>
    <w:rsid w:val="00D21E81"/>
    <w:rsid w:val="00D223DE"/>
    <w:rsid w:val="00D250E7"/>
    <w:rsid w:val="00D25E37"/>
    <w:rsid w:val="00D2661A"/>
    <w:rsid w:val="00D27582"/>
    <w:rsid w:val="00D27EC4"/>
    <w:rsid w:val="00D32719"/>
    <w:rsid w:val="00D33333"/>
    <w:rsid w:val="00D33457"/>
    <w:rsid w:val="00D352A2"/>
    <w:rsid w:val="00D3660F"/>
    <w:rsid w:val="00D4009D"/>
    <w:rsid w:val="00D4162B"/>
    <w:rsid w:val="00D441E5"/>
    <w:rsid w:val="00D4514F"/>
    <w:rsid w:val="00D451E2"/>
    <w:rsid w:val="00D45E89"/>
    <w:rsid w:val="00D45E8D"/>
    <w:rsid w:val="00D466AE"/>
    <w:rsid w:val="00D4734F"/>
    <w:rsid w:val="00D51BF3"/>
    <w:rsid w:val="00D61872"/>
    <w:rsid w:val="00D66846"/>
    <w:rsid w:val="00D675FB"/>
    <w:rsid w:val="00D71F25"/>
    <w:rsid w:val="00D72A9C"/>
    <w:rsid w:val="00D73028"/>
    <w:rsid w:val="00D77031"/>
    <w:rsid w:val="00D8088D"/>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740"/>
    <w:rsid w:val="00DC0321"/>
    <w:rsid w:val="00DC0949"/>
    <w:rsid w:val="00DC1001"/>
    <w:rsid w:val="00DC3067"/>
    <w:rsid w:val="00DC370B"/>
    <w:rsid w:val="00DC5B90"/>
    <w:rsid w:val="00DC6F6B"/>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47B"/>
    <w:rsid w:val="00E06404"/>
    <w:rsid w:val="00E065D2"/>
    <w:rsid w:val="00E07049"/>
    <w:rsid w:val="00E11A85"/>
    <w:rsid w:val="00E12275"/>
    <w:rsid w:val="00E12495"/>
    <w:rsid w:val="00E15CCD"/>
    <w:rsid w:val="00E202EF"/>
    <w:rsid w:val="00E20E14"/>
    <w:rsid w:val="00E210B5"/>
    <w:rsid w:val="00E23D99"/>
    <w:rsid w:val="00E2552F"/>
    <w:rsid w:val="00E27EC7"/>
    <w:rsid w:val="00E3137A"/>
    <w:rsid w:val="00E32CCF"/>
    <w:rsid w:val="00E332C0"/>
    <w:rsid w:val="00E34A98"/>
    <w:rsid w:val="00E35D1E"/>
    <w:rsid w:val="00E35D3A"/>
    <w:rsid w:val="00E364F9"/>
    <w:rsid w:val="00E365FA"/>
    <w:rsid w:val="00E36789"/>
    <w:rsid w:val="00E44A83"/>
    <w:rsid w:val="00E46CF9"/>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0FE5"/>
    <w:rsid w:val="00E74584"/>
    <w:rsid w:val="00E74C54"/>
    <w:rsid w:val="00E760D9"/>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D24"/>
    <w:rsid w:val="00EA58D1"/>
    <w:rsid w:val="00EA61BC"/>
    <w:rsid w:val="00EA681A"/>
    <w:rsid w:val="00EA735B"/>
    <w:rsid w:val="00EB17DE"/>
    <w:rsid w:val="00EB1E69"/>
    <w:rsid w:val="00EB2086"/>
    <w:rsid w:val="00EB5EDF"/>
    <w:rsid w:val="00EB60FE"/>
    <w:rsid w:val="00EB74DB"/>
    <w:rsid w:val="00EC502A"/>
    <w:rsid w:val="00EC5359"/>
    <w:rsid w:val="00EC562A"/>
    <w:rsid w:val="00ED067A"/>
    <w:rsid w:val="00ED2B50"/>
    <w:rsid w:val="00ED357A"/>
    <w:rsid w:val="00ED7D12"/>
    <w:rsid w:val="00EE0350"/>
    <w:rsid w:val="00EE0719"/>
    <w:rsid w:val="00EE0E80"/>
    <w:rsid w:val="00EE54A6"/>
    <w:rsid w:val="00EE613F"/>
    <w:rsid w:val="00EE7295"/>
    <w:rsid w:val="00EE7869"/>
    <w:rsid w:val="00EF054A"/>
    <w:rsid w:val="00EF2540"/>
    <w:rsid w:val="00EF3235"/>
    <w:rsid w:val="00EF7E72"/>
    <w:rsid w:val="00F033ED"/>
    <w:rsid w:val="00F06D37"/>
    <w:rsid w:val="00F07B9D"/>
    <w:rsid w:val="00F11586"/>
    <w:rsid w:val="00F1183B"/>
    <w:rsid w:val="00F11C9F"/>
    <w:rsid w:val="00F12263"/>
    <w:rsid w:val="00F1409D"/>
    <w:rsid w:val="00F14214"/>
    <w:rsid w:val="00F157A9"/>
    <w:rsid w:val="00F25BB6"/>
    <w:rsid w:val="00F26B7E"/>
    <w:rsid w:val="00F27A3B"/>
    <w:rsid w:val="00F33817"/>
    <w:rsid w:val="00F40268"/>
    <w:rsid w:val="00F420D5"/>
    <w:rsid w:val="00F451EA"/>
    <w:rsid w:val="00F45447"/>
    <w:rsid w:val="00F456C6"/>
    <w:rsid w:val="00F4577B"/>
    <w:rsid w:val="00F46496"/>
    <w:rsid w:val="00F46A57"/>
    <w:rsid w:val="00F474D0"/>
    <w:rsid w:val="00F50179"/>
    <w:rsid w:val="00F515EE"/>
    <w:rsid w:val="00F56511"/>
    <w:rsid w:val="00F6194E"/>
    <w:rsid w:val="00F623AC"/>
    <w:rsid w:val="00F6412A"/>
    <w:rsid w:val="00F65893"/>
    <w:rsid w:val="00F66A4A"/>
    <w:rsid w:val="00F71E22"/>
    <w:rsid w:val="00F72142"/>
    <w:rsid w:val="00F72AE7"/>
    <w:rsid w:val="00F74DC0"/>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968"/>
    <w:rsid w:val="00FB231D"/>
    <w:rsid w:val="00FB45F1"/>
    <w:rsid w:val="00FB4A72"/>
    <w:rsid w:val="00FB54E8"/>
    <w:rsid w:val="00FB7054"/>
    <w:rsid w:val="00FC17B7"/>
    <w:rsid w:val="00FC2CB7"/>
    <w:rsid w:val="00FC4090"/>
    <w:rsid w:val="00FC4358"/>
    <w:rsid w:val="00FC55B4"/>
    <w:rsid w:val="00FD00E6"/>
    <w:rsid w:val="00FD09A1"/>
    <w:rsid w:val="00FD1BEA"/>
    <w:rsid w:val="00FD2A7C"/>
    <w:rsid w:val="00FD59EB"/>
    <w:rsid w:val="00FD7299"/>
    <w:rsid w:val="00FE1FBE"/>
    <w:rsid w:val="00FE3901"/>
    <w:rsid w:val="00FE39D3"/>
    <w:rsid w:val="00FE3A64"/>
    <w:rsid w:val="00FE4BCE"/>
    <w:rsid w:val="00FE54AE"/>
    <w:rsid w:val="00FE576A"/>
    <w:rsid w:val="00FE7E79"/>
    <w:rsid w:val="00FF103C"/>
    <w:rsid w:val="00FF3E7D"/>
    <w:rsid w:val="00FF5B99"/>
    <w:rsid w:val="00FF730C"/>
    <w:rsid w:val="00FF73F4"/>
    <w:rsid w:val="00FF7CE4"/>
    <w:rsid w:val="00FF7E39"/>
    <w:rsid w:val="07163974"/>
    <w:rsid w:val="07872D9D"/>
    <w:rsid w:val="1C442E6B"/>
    <w:rsid w:val="409A17BD"/>
    <w:rsid w:val="53920B17"/>
    <w:rsid w:val="6A104B6B"/>
    <w:rsid w:val="6FED41E0"/>
    <w:rsid w:val="74644CE5"/>
    <w:rsid w:val="7B685E29"/>
    <w:rsid w:val="7CB221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ind w:left="568"/>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ind w:left="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ind w:left="1135"/>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ind w:firstLine="420" w:firstLineChars="200"/>
    </w:pPr>
  </w:style>
  <w:style w:type="paragraph" w:customStyle="1" w:styleId="231">
    <w:name w:val="数字编号列项（二级）"/>
    <w:qFormat/>
    <w:uiPriority w:val="0"/>
    <w:pPr>
      <w:numPr>
        <w:ilvl w:val="1"/>
        <w:numId w:val="32"/>
      </w:numPr>
      <w:jc w:val="both"/>
    </w:pPr>
    <w:rPr>
      <w:rFonts w:ascii="宋体" w:hAnsi="Times New Roman" w:eastAsia="宋体" w:cs="Times New Roman"/>
      <w:sz w:val="21"/>
      <w:lang w:val="en-US" w:eastAsia="zh-CN" w:bidi="ar-SA"/>
    </w:rPr>
  </w:style>
  <w:style w:type="paragraph" w:customStyle="1" w:styleId="232">
    <w:name w:val="字母编号列项（一级）"/>
    <w:qFormat/>
    <w:uiPriority w:val="0"/>
    <w:pPr>
      <w:numPr>
        <w:ilvl w:val="0"/>
        <w:numId w:val="32"/>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xxc/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B7D513331B84721803EFF013DD60F19"/>
        <w:style w:val=""/>
        <w:category>
          <w:name w:val="常规"/>
          <w:gallery w:val="placeholder"/>
        </w:category>
        <w:types>
          <w:type w:val="bbPlcHdr"/>
        </w:types>
        <w:behaviors>
          <w:behavior w:val="content"/>
        </w:behaviors>
        <w:description w:val=""/>
        <w:guid w:val="{8926017C-E1EA-4D3E-B5B3-8D0023C69C57}"/>
      </w:docPartPr>
      <w:docPartBody>
        <w:p>
          <w:pPr>
            <w:pStyle w:val="5"/>
          </w:pPr>
          <w:r>
            <w:rPr>
              <w:rStyle w:val="4"/>
              <w:rFonts w:hint="eastAsia"/>
            </w:rPr>
            <w:t>单击或点击此处输入文字。</w:t>
          </w:r>
        </w:p>
      </w:docPartBody>
    </w:docPart>
    <w:docPart>
      <w:docPartPr>
        <w:name w:val="094136EE8930470080DAA91B1058EF7B"/>
        <w:style w:val=""/>
        <w:category>
          <w:name w:val="常规"/>
          <w:gallery w:val="placeholder"/>
        </w:category>
        <w:types>
          <w:type w:val="bbPlcHdr"/>
        </w:types>
        <w:behaviors>
          <w:behavior w:val="content"/>
        </w:behaviors>
        <w:description w:val=""/>
        <w:guid w:val="{B1E47771-8A85-4B2B-8F68-5E9E6AF3219B}"/>
      </w:docPartPr>
      <w:docPartBody>
        <w:p>
          <w:pPr>
            <w:pStyle w:val="6"/>
          </w:pPr>
          <w:r>
            <w:rPr>
              <w:rStyle w:val="4"/>
              <w:rFonts w:hint="eastAsia"/>
            </w:rPr>
            <w:t>选择一项。</w:t>
          </w:r>
        </w:p>
      </w:docPartBody>
    </w:docPart>
    <w:docPart>
      <w:docPartPr>
        <w:name w:val="D73A700263D54C9CB5B820717CFC12B6"/>
        <w:style w:val=""/>
        <w:category>
          <w:name w:val="常规"/>
          <w:gallery w:val="placeholder"/>
        </w:category>
        <w:types>
          <w:type w:val="bbPlcHdr"/>
        </w:types>
        <w:behaviors>
          <w:behavior w:val="content"/>
        </w:behaviors>
        <w:description w:val=""/>
        <w:guid w:val="{C541464A-86FE-4EEA-8E79-403C502B36B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仿宋S"/>
    <w:panose1 w:val="00000000000000000000"/>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76F5D"/>
    <w:rsid w:val="0001647B"/>
    <w:rsid w:val="001B1473"/>
    <w:rsid w:val="00273084"/>
    <w:rsid w:val="002B310F"/>
    <w:rsid w:val="002E4556"/>
    <w:rsid w:val="003618C3"/>
    <w:rsid w:val="004077C3"/>
    <w:rsid w:val="004502CC"/>
    <w:rsid w:val="00530E0A"/>
    <w:rsid w:val="00696B17"/>
    <w:rsid w:val="006B434E"/>
    <w:rsid w:val="00776F5D"/>
    <w:rsid w:val="007E5240"/>
    <w:rsid w:val="008C2D7C"/>
    <w:rsid w:val="00931A8C"/>
    <w:rsid w:val="009840B6"/>
    <w:rsid w:val="00A12EDE"/>
    <w:rsid w:val="00A633E7"/>
    <w:rsid w:val="00C31598"/>
    <w:rsid w:val="00CB287D"/>
    <w:rsid w:val="00D52174"/>
    <w:rsid w:val="00DA10E2"/>
    <w:rsid w:val="00FB5F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B7D513331B84721803EFF013DD60F1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94136EE8930470080DAA91B1058EF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73A700263D54C9CB5B820717CFC12B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750</Words>
  <Characters>4278</Characters>
  <Lines>35</Lines>
  <Paragraphs>10</Paragraphs>
  <TotalTime>2</TotalTime>
  <ScaleCrop>false</ScaleCrop>
  <LinksUpToDate>false</LinksUpToDate>
  <CharactersWithSpaces>5018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2023-08-22T18:08:00Z</dcterms:created>
  <dc:creator>yhc</dc:creator>
  <dc:description>&lt;config cover="true" show_menu="true" version="1.0.0" doctype="SDKXY"&gt;_x000d_
&lt;/config&gt;</dc:description>
  <cp:lastModifiedBy>朱俊荣</cp:lastModifiedBy>
  <cp:lastPrinted>2023-09-08T15:56:00Z</cp:lastPrinted>
  <dcterms:modified xsi:type="dcterms:W3CDTF">2024-01-19T14:06:37Z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y fmtid="{D5CDD505-2E9C-101B-9397-08002B2CF9AE}" pid="15" name="ICV">
    <vt:lpwstr>C57E9B540E2A4BE992AF06121CFBB9E6</vt:lpwstr>
  </property>
</Properties>
</file>