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03.100.50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P.00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45</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广西壮族自治区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微型智能电流传感器技术规范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specification for micro smart current sensor</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广西壮族自治区市场监督管理局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rPr>
          <w:rFonts w:hint="eastAsia"/>
        </w:rPr>
      </w:pPr>
      <w:bookmarkStart w:id="21" w:name="BookMark1"/>
      <w:r>
        <w:rPr>
          <w:rFonts w:hint="eastAsia"/>
          <w:spacing w:val="320"/>
        </w:rPr>
        <w:t>目</w:t>
      </w:r>
      <w:r>
        <w:rPr>
          <w:rFonts w:hint="eastAsia"/>
        </w:rPr>
        <w:t>次</w:t>
      </w:r>
    </w:p>
    <w:p>
      <w:pPr>
        <w:pStyle w:val="19"/>
        <w:tabs>
          <w:tab w:val="right" w:leader="dot" w:pos="9354"/>
        </w:tabs>
      </w:pPr>
      <w:r>
        <w:fldChar w:fldCharType="begin"/>
      </w:r>
      <w:r>
        <w:instrText xml:space="preserve">TOC \o "1-2" \h \u </w:instrText>
      </w:r>
      <w:r>
        <w:fldChar w:fldCharType="separate"/>
      </w:r>
      <w:r>
        <w:fldChar w:fldCharType="begin"/>
      </w:r>
      <w:r>
        <w:instrText xml:space="preserve"> HYPERLINK \l _Toc3274 </w:instrText>
      </w:r>
      <w:r>
        <w:fldChar w:fldCharType="separate"/>
      </w:r>
      <w:r>
        <w:rPr>
          <w:spacing w:val="320"/>
        </w:rPr>
        <w:t>前</w:t>
      </w:r>
      <w:r>
        <w:t>言</w:t>
      </w:r>
      <w:r>
        <w:tab/>
      </w:r>
      <w:r>
        <w:fldChar w:fldCharType="begin"/>
      </w:r>
      <w:r>
        <w:instrText xml:space="preserve"> PAGEREF _Toc3274 \h </w:instrText>
      </w:r>
      <w:r>
        <w:fldChar w:fldCharType="separate"/>
      </w:r>
      <w:r>
        <w:t>III</w:t>
      </w:r>
      <w:r>
        <w:fldChar w:fldCharType="end"/>
      </w:r>
      <w:r>
        <w:fldChar w:fldCharType="end"/>
      </w:r>
    </w:p>
    <w:p>
      <w:pPr>
        <w:pStyle w:val="19"/>
        <w:tabs>
          <w:tab w:val="right" w:leader="dot" w:pos="9354"/>
        </w:tabs>
      </w:pPr>
      <w:r>
        <w:fldChar w:fldCharType="begin"/>
      </w:r>
      <w:r>
        <w:instrText xml:space="preserve"> HYPERLINK \l _Toc13735 </w:instrText>
      </w:r>
      <w:r>
        <w:fldChar w:fldCharType="separate"/>
      </w:r>
      <w:r>
        <w:rPr>
          <w:rFonts w:hint="eastAsia" w:ascii="黑体" w:eastAsia="黑体"/>
          <w:i w:val="0"/>
        </w:rPr>
        <w:t xml:space="preserve">1 </w:t>
      </w:r>
      <w:r>
        <w:rPr>
          <w:rFonts w:hint="eastAsia"/>
          <w:highlight w:val="none"/>
        </w:rPr>
        <w:t>范围</w:t>
      </w:r>
      <w:r>
        <w:tab/>
      </w:r>
      <w:r>
        <w:fldChar w:fldCharType="begin"/>
      </w:r>
      <w:r>
        <w:instrText xml:space="preserve"> PAGEREF _Toc13735 \h </w:instrText>
      </w:r>
      <w:r>
        <w:fldChar w:fldCharType="separate"/>
      </w:r>
      <w:r>
        <w:t>1</w:t>
      </w:r>
      <w:r>
        <w:fldChar w:fldCharType="end"/>
      </w:r>
      <w:r>
        <w:fldChar w:fldCharType="end"/>
      </w:r>
    </w:p>
    <w:p>
      <w:pPr>
        <w:pStyle w:val="19"/>
        <w:tabs>
          <w:tab w:val="right" w:leader="dot" w:pos="9354"/>
        </w:tabs>
      </w:pPr>
      <w:r>
        <w:fldChar w:fldCharType="begin"/>
      </w:r>
      <w:r>
        <w:instrText xml:space="preserve"> HYPERLINK \l _Toc29813 </w:instrText>
      </w:r>
      <w:r>
        <w:fldChar w:fldCharType="separate"/>
      </w:r>
      <w:r>
        <w:rPr>
          <w:rFonts w:hint="eastAsia" w:ascii="黑体" w:eastAsia="黑体"/>
          <w:i w:val="0"/>
        </w:rPr>
        <w:t xml:space="preserve">2 </w:t>
      </w:r>
      <w:r>
        <w:rPr>
          <w:rFonts w:hint="eastAsia"/>
          <w:highlight w:val="none"/>
        </w:rPr>
        <w:t>规范性引用文件</w:t>
      </w:r>
      <w:r>
        <w:tab/>
      </w:r>
      <w:r>
        <w:fldChar w:fldCharType="begin"/>
      </w:r>
      <w:r>
        <w:instrText xml:space="preserve"> PAGEREF _Toc29813 \h </w:instrText>
      </w:r>
      <w:r>
        <w:fldChar w:fldCharType="separate"/>
      </w:r>
      <w:r>
        <w:t>1</w:t>
      </w:r>
      <w:r>
        <w:fldChar w:fldCharType="end"/>
      </w:r>
      <w:r>
        <w:fldChar w:fldCharType="end"/>
      </w:r>
    </w:p>
    <w:p>
      <w:pPr>
        <w:pStyle w:val="19"/>
        <w:tabs>
          <w:tab w:val="right" w:leader="dot" w:pos="9354"/>
        </w:tabs>
      </w:pPr>
      <w:r>
        <w:fldChar w:fldCharType="begin"/>
      </w:r>
      <w:r>
        <w:instrText xml:space="preserve"> HYPERLINK \l _Toc3146 </w:instrText>
      </w:r>
      <w:r>
        <w:fldChar w:fldCharType="separate"/>
      </w:r>
      <w:r>
        <w:rPr>
          <w:rFonts w:hint="eastAsia" w:ascii="黑体" w:eastAsia="黑体"/>
          <w:i w:val="0"/>
        </w:rPr>
        <w:t xml:space="preserve">3 </w:t>
      </w:r>
      <w:r>
        <w:rPr>
          <w:rFonts w:hint="eastAsia"/>
          <w:szCs w:val="21"/>
          <w:highlight w:val="none"/>
        </w:rPr>
        <w:t>术语和定义</w:t>
      </w:r>
      <w:r>
        <w:tab/>
      </w:r>
      <w:r>
        <w:fldChar w:fldCharType="begin"/>
      </w:r>
      <w:r>
        <w:instrText xml:space="preserve"> PAGEREF _Toc3146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_Toc1724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3.1 </w:t>
      </w:r>
      <w:r>
        <w:rPr>
          <w:szCs w:val="22"/>
          <w:highlight w:val="none"/>
        </w:rPr>
        <w:t>传感器 sensor</w:t>
      </w:r>
      <w:r>
        <w:tab/>
      </w:r>
      <w:r>
        <w:fldChar w:fldCharType="begin"/>
      </w:r>
      <w:r>
        <w:instrText xml:space="preserve"> PAGEREF _Toc1724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_Toc21894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3.2 </w:t>
      </w:r>
      <w:r>
        <w:rPr>
          <w:szCs w:val="22"/>
          <w:highlight w:val="none"/>
        </w:rPr>
        <w:t>智能传感器 smart sensor</w:t>
      </w:r>
      <w:r>
        <w:tab/>
      </w:r>
      <w:r>
        <w:fldChar w:fldCharType="begin"/>
      </w:r>
      <w:r>
        <w:instrText xml:space="preserve"> PAGEREF _Toc21894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_Toc25336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3.3 </w:t>
      </w:r>
      <w:r>
        <w:rPr>
          <w:szCs w:val="22"/>
          <w:highlight w:val="none"/>
        </w:rPr>
        <w:t>微传感器 micro sensor</w:t>
      </w:r>
      <w:r>
        <w:tab/>
      </w:r>
      <w:r>
        <w:fldChar w:fldCharType="begin"/>
      </w:r>
      <w:r>
        <w:instrText xml:space="preserve"> PAGEREF _Toc25336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_Toc28828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3.4 </w:t>
      </w:r>
      <w:r>
        <w:rPr>
          <w:szCs w:val="22"/>
          <w:highlight w:val="none"/>
        </w:rPr>
        <w:t>微型智能电流传感器 micro smart current sensor</w:t>
      </w:r>
      <w:r>
        <w:tab/>
      </w:r>
      <w:r>
        <w:fldChar w:fldCharType="begin"/>
      </w:r>
      <w:r>
        <w:instrText xml:space="preserve"> PAGEREF _Toc28828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_Toc31604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3.5 </w:t>
      </w:r>
      <w:r>
        <w:rPr>
          <w:szCs w:val="22"/>
          <w:highlight w:val="none"/>
        </w:rPr>
        <w:t>线性度 linearity</w:t>
      </w:r>
      <w:r>
        <w:tab/>
      </w:r>
      <w:r>
        <w:fldChar w:fldCharType="begin"/>
      </w:r>
      <w:r>
        <w:instrText xml:space="preserve"> PAGEREF _Toc31604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_Toc32404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3.6 </w:t>
      </w:r>
      <w:r>
        <w:rPr>
          <w:szCs w:val="22"/>
          <w:highlight w:val="none"/>
        </w:rPr>
        <w:t>[测量结果的]重复性 repeatability[of results measurement]</w:t>
      </w:r>
      <w:r>
        <w:tab/>
      </w:r>
      <w:r>
        <w:fldChar w:fldCharType="begin"/>
      </w:r>
      <w:r>
        <w:instrText xml:space="preserve"> PAGEREF _Toc32404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_Toc3439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3.7 </w:t>
      </w:r>
      <w:r>
        <w:rPr>
          <w:szCs w:val="22"/>
          <w:highlight w:val="none"/>
        </w:rPr>
        <w:t>分辨力 resolution</w:t>
      </w:r>
      <w:r>
        <w:tab/>
      </w:r>
      <w:r>
        <w:fldChar w:fldCharType="begin"/>
      </w:r>
      <w:r>
        <w:instrText xml:space="preserve"> PAGEREF _Toc3439 \h </w:instrText>
      </w:r>
      <w:r>
        <w:fldChar w:fldCharType="separate"/>
      </w:r>
      <w:r>
        <w:t>2</w:t>
      </w:r>
      <w:r>
        <w:fldChar w:fldCharType="end"/>
      </w:r>
      <w:r>
        <w:fldChar w:fldCharType="end"/>
      </w:r>
    </w:p>
    <w:p>
      <w:pPr>
        <w:pStyle w:val="24"/>
        <w:tabs>
          <w:tab w:val="right" w:leader="dot" w:pos="9354"/>
          <w:tab w:val="clear" w:pos="9344"/>
        </w:tabs>
      </w:pPr>
      <w:r>
        <w:fldChar w:fldCharType="begin"/>
      </w:r>
      <w:r>
        <w:instrText xml:space="preserve"> HYPERLINK \l _Toc20124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3.8 </w:t>
      </w:r>
      <w:r>
        <w:rPr>
          <w:szCs w:val="22"/>
          <w:highlight w:val="none"/>
        </w:rPr>
        <w:t>零点输出 zero-measurand output</w:t>
      </w:r>
      <w:r>
        <w:tab/>
      </w:r>
      <w:r>
        <w:fldChar w:fldCharType="begin"/>
      </w:r>
      <w:r>
        <w:instrText xml:space="preserve"> PAGEREF _Toc20124 \h </w:instrText>
      </w:r>
      <w:r>
        <w:fldChar w:fldCharType="separate"/>
      </w:r>
      <w:r>
        <w:t>3</w:t>
      </w:r>
      <w:r>
        <w:fldChar w:fldCharType="end"/>
      </w:r>
      <w:r>
        <w:fldChar w:fldCharType="end"/>
      </w:r>
    </w:p>
    <w:p>
      <w:pPr>
        <w:pStyle w:val="24"/>
        <w:tabs>
          <w:tab w:val="right" w:leader="dot" w:pos="9354"/>
          <w:tab w:val="clear" w:pos="9344"/>
        </w:tabs>
      </w:pPr>
      <w:r>
        <w:fldChar w:fldCharType="begin"/>
      </w:r>
      <w:r>
        <w:instrText xml:space="preserve"> HYPERLINK \l _Toc24200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3.9 </w:t>
      </w:r>
      <w:r>
        <w:rPr>
          <w:szCs w:val="22"/>
          <w:highlight w:val="none"/>
        </w:rPr>
        <w:t>温度漂移temperature drift</w:t>
      </w:r>
      <w:r>
        <w:tab/>
      </w:r>
      <w:r>
        <w:fldChar w:fldCharType="begin"/>
      </w:r>
      <w:r>
        <w:instrText xml:space="preserve"> PAGEREF _Toc24200 \h </w:instrText>
      </w:r>
      <w:r>
        <w:fldChar w:fldCharType="separate"/>
      </w:r>
      <w:r>
        <w:t>3</w:t>
      </w:r>
      <w:r>
        <w:fldChar w:fldCharType="end"/>
      </w:r>
      <w:r>
        <w:fldChar w:fldCharType="end"/>
      </w:r>
    </w:p>
    <w:p>
      <w:pPr>
        <w:pStyle w:val="24"/>
        <w:tabs>
          <w:tab w:val="right" w:leader="dot" w:pos="9354"/>
          <w:tab w:val="clear" w:pos="9344"/>
        </w:tabs>
      </w:pPr>
      <w:r>
        <w:fldChar w:fldCharType="begin"/>
      </w:r>
      <w:r>
        <w:instrText xml:space="preserve"> HYPERLINK \l _Toc7773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3.10 </w:t>
      </w:r>
      <w:r>
        <w:rPr>
          <w:szCs w:val="22"/>
          <w:highlight w:val="none"/>
        </w:rPr>
        <w:t>功耗 power consumption</w:t>
      </w:r>
      <w:r>
        <w:tab/>
      </w:r>
      <w:r>
        <w:fldChar w:fldCharType="begin"/>
      </w:r>
      <w:r>
        <w:instrText xml:space="preserve"> PAGEREF _Toc7773 \h </w:instrText>
      </w:r>
      <w:r>
        <w:fldChar w:fldCharType="separate"/>
      </w:r>
      <w:r>
        <w:t>3</w:t>
      </w:r>
      <w:r>
        <w:fldChar w:fldCharType="end"/>
      </w:r>
      <w:r>
        <w:fldChar w:fldCharType="end"/>
      </w:r>
    </w:p>
    <w:p>
      <w:pPr>
        <w:pStyle w:val="24"/>
        <w:tabs>
          <w:tab w:val="right" w:leader="dot" w:pos="9354"/>
          <w:tab w:val="clear" w:pos="9344"/>
        </w:tabs>
      </w:pPr>
      <w:r>
        <w:fldChar w:fldCharType="begin"/>
      </w:r>
      <w:r>
        <w:instrText xml:space="preserve"> HYPERLINK \l _Toc4670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3.11 </w:t>
      </w:r>
      <w:r>
        <w:rPr>
          <w:szCs w:val="22"/>
          <w:highlight w:val="none"/>
        </w:rPr>
        <w:t>响应时间 frequency response</w:t>
      </w:r>
      <w:r>
        <w:tab/>
      </w:r>
      <w:r>
        <w:fldChar w:fldCharType="begin"/>
      </w:r>
      <w:r>
        <w:instrText xml:space="preserve"> PAGEREF _Toc4670 \h </w:instrText>
      </w:r>
      <w:r>
        <w:fldChar w:fldCharType="separate"/>
      </w:r>
      <w:r>
        <w:t>3</w:t>
      </w:r>
      <w:r>
        <w:fldChar w:fldCharType="end"/>
      </w:r>
      <w:r>
        <w:fldChar w:fldCharType="end"/>
      </w:r>
    </w:p>
    <w:p>
      <w:pPr>
        <w:pStyle w:val="19"/>
        <w:tabs>
          <w:tab w:val="right" w:leader="dot" w:pos="9354"/>
        </w:tabs>
      </w:pPr>
      <w:r>
        <w:fldChar w:fldCharType="begin"/>
      </w:r>
      <w:r>
        <w:instrText xml:space="preserve"> HYPERLINK \l _Toc21995 </w:instrText>
      </w:r>
      <w:r>
        <w:fldChar w:fldCharType="separate"/>
      </w:r>
      <w:r>
        <w:rPr>
          <w:rFonts w:hint="eastAsia" w:ascii="黑体" w:eastAsia="黑体"/>
          <w:i w:val="0"/>
        </w:rPr>
        <w:t xml:space="preserve">4 </w:t>
      </w:r>
      <w:r>
        <w:rPr>
          <w:rFonts w:ascii="Times New Roman"/>
          <w:highlight w:val="none"/>
        </w:rPr>
        <w:t>微型智能电流传感器原理及组成</w:t>
      </w:r>
      <w:r>
        <w:tab/>
      </w:r>
      <w:r>
        <w:fldChar w:fldCharType="begin"/>
      </w:r>
      <w:r>
        <w:instrText xml:space="preserve"> PAGEREF _Toc21995 \h </w:instrText>
      </w:r>
      <w:r>
        <w:fldChar w:fldCharType="separate"/>
      </w:r>
      <w:r>
        <w:t>3</w:t>
      </w:r>
      <w:r>
        <w:fldChar w:fldCharType="end"/>
      </w:r>
      <w:r>
        <w:fldChar w:fldCharType="end"/>
      </w:r>
    </w:p>
    <w:p>
      <w:pPr>
        <w:pStyle w:val="19"/>
        <w:tabs>
          <w:tab w:val="right" w:leader="dot" w:pos="9354"/>
        </w:tabs>
      </w:pPr>
      <w:r>
        <w:fldChar w:fldCharType="begin"/>
      </w:r>
      <w:r>
        <w:instrText xml:space="preserve"> HYPERLINK \l _Toc16545 </w:instrText>
      </w:r>
      <w:r>
        <w:fldChar w:fldCharType="separate"/>
      </w:r>
      <w:r>
        <w:rPr>
          <w:rFonts w:hint="eastAsia" w:ascii="黑体" w:eastAsia="黑体"/>
          <w:i w:val="0"/>
        </w:rPr>
        <w:t xml:space="preserve">5 </w:t>
      </w:r>
      <w:r>
        <w:rPr>
          <w:rFonts w:ascii="Times New Roman"/>
          <w:highlight w:val="none"/>
        </w:rPr>
        <w:t>正常使用条件</w:t>
      </w:r>
      <w:r>
        <w:tab/>
      </w:r>
      <w:r>
        <w:fldChar w:fldCharType="begin"/>
      </w:r>
      <w:r>
        <w:instrText xml:space="preserve"> PAGEREF _Toc16545 \h </w:instrText>
      </w:r>
      <w:r>
        <w:fldChar w:fldCharType="separate"/>
      </w:r>
      <w:r>
        <w:t>3</w:t>
      </w:r>
      <w:r>
        <w:fldChar w:fldCharType="end"/>
      </w:r>
      <w:r>
        <w:fldChar w:fldCharType="end"/>
      </w:r>
    </w:p>
    <w:p>
      <w:pPr>
        <w:pStyle w:val="24"/>
        <w:tabs>
          <w:tab w:val="right" w:leader="dot" w:pos="9354"/>
          <w:tab w:val="clear" w:pos="9344"/>
        </w:tabs>
      </w:pPr>
      <w:r>
        <w:fldChar w:fldCharType="begin"/>
      </w:r>
      <w:r>
        <w:instrText xml:space="preserve"> HYPERLINK \l _Toc25658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5.1 </w:t>
      </w:r>
      <w:r>
        <w:rPr>
          <w:highlight w:val="none"/>
        </w:rPr>
        <w:t>系统运行条件</w:t>
      </w:r>
      <w:r>
        <w:tab/>
      </w:r>
      <w:r>
        <w:fldChar w:fldCharType="begin"/>
      </w:r>
      <w:r>
        <w:instrText xml:space="preserve"> PAGEREF _Toc25658 \h </w:instrText>
      </w:r>
      <w:r>
        <w:fldChar w:fldCharType="separate"/>
      </w:r>
      <w:r>
        <w:t>4</w:t>
      </w:r>
      <w:r>
        <w:fldChar w:fldCharType="end"/>
      </w:r>
      <w:r>
        <w:fldChar w:fldCharType="end"/>
      </w:r>
    </w:p>
    <w:p>
      <w:pPr>
        <w:pStyle w:val="24"/>
        <w:tabs>
          <w:tab w:val="right" w:leader="dot" w:pos="9354"/>
          <w:tab w:val="clear" w:pos="9344"/>
        </w:tabs>
      </w:pPr>
      <w:r>
        <w:fldChar w:fldCharType="begin"/>
      </w:r>
      <w:r>
        <w:instrText xml:space="preserve"> HYPERLINK \l _Toc32623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5.2 </w:t>
      </w:r>
      <w:r>
        <w:rPr>
          <w:highlight w:val="none"/>
        </w:rPr>
        <w:t>温度范围</w:t>
      </w:r>
      <w:r>
        <w:tab/>
      </w:r>
      <w:r>
        <w:fldChar w:fldCharType="begin"/>
      </w:r>
      <w:r>
        <w:instrText xml:space="preserve"> PAGEREF _Toc32623 \h </w:instrText>
      </w:r>
      <w:r>
        <w:fldChar w:fldCharType="separate"/>
      </w:r>
      <w:r>
        <w:t>4</w:t>
      </w:r>
      <w:r>
        <w:fldChar w:fldCharType="end"/>
      </w:r>
      <w:r>
        <w:fldChar w:fldCharType="end"/>
      </w:r>
    </w:p>
    <w:p>
      <w:pPr>
        <w:pStyle w:val="24"/>
        <w:tabs>
          <w:tab w:val="right" w:leader="dot" w:pos="9354"/>
          <w:tab w:val="clear" w:pos="9344"/>
        </w:tabs>
      </w:pPr>
      <w:r>
        <w:fldChar w:fldCharType="begin"/>
      </w:r>
      <w:r>
        <w:instrText xml:space="preserve"> HYPERLINK \l _Toc18497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5.3 </w:t>
      </w:r>
      <w:r>
        <w:rPr>
          <w:highlight w:val="none"/>
        </w:rPr>
        <w:t>湿度范围</w:t>
      </w:r>
      <w:r>
        <w:tab/>
      </w:r>
      <w:r>
        <w:fldChar w:fldCharType="begin"/>
      </w:r>
      <w:r>
        <w:instrText xml:space="preserve"> PAGEREF _Toc18497 \h </w:instrText>
      </w:r>
      <w:r>
        <w:fldChar w:fldCharType="separate"/>
      </w:r>
      <w:r>
        <w:t>4</w:t>
      </w:r>
      <w:r>
        <w:fldChar w:fldCharType="end"/>
      </w:r>
      <w:r>
        <w:fldChar w:fldCharType="end"/>
      </w:r>
    </w:p>
    <w:p>
      <w:pPr>
        <w:pStyle w:val="24"/>
        <w:tabs>
          <w:tab w:val="right" w:leader="dot" w:pos="9354"/>
          <w:tab w:val="clear" w:pos="9344"/>
        </w:tabs>
      </w:pPr>
      <w:r>
        <w:fldChar w:fldCharType="begin"/>
      </w:r>
      <w:r>
        <w:instrText xml:space="preserve"> HYPERLINK \l _Toc22829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5.4 </w:t>
      </w:r>
      <w:r>
        <w:rPr>
          <w:highlight w:val="none"/>
        </w:rPr>
        <w:t>大气压力</w:t>
      </w:r>
      <w:r>
        <w:tab/>
      </w:r>
      <w:r>
        <w:fldChar w:fldCharType="begin"/>
      </w:r>
      <w:r>
        <w:instrText xml:space="preserve"> PAGEREF _Toc22829 \h </w:instrText>
      </w:r>
      <w:r>
        <w:fldChar w:fldCharType="separate"/>
      </w:r>
      <w:r>
        <w:t>4</w:t>
      </w:r>
      <w:r>
        <w:fldChar w:fldCharType="end"/>
      </w:r>
      <w:r>
        <w:fldChar w:fldCharType="end"/>
      </w:r>
    </w:p>
    <w:p>
      <w:pPr>
        <w:pStyle w:val="19"/>
        <w:tabs>
          <w:tab w:val="right" w:leader="dot" w:pos="9354"/>
        </w:tabs>
      </w:pPr>
      <w:r>
        <w:fldChar w:fldCharType="begin"/>
      </w:r>
      <w:r>
        <w:instrText xml:space="preserve"> HYPERLINK \l _Toc29745 </w:instrText>
      </w:r>
      <w:r>
        <w:fldChar w:fldCharType="separate"/>
      </w:r>
      <w:r>
        <w:rPr>
          <w:rFonts w:hint="eastAsia" w:ascii="黑体" w:eastAsia="黑体"/>
          <w:i w:val="0"/>
        </w:rPr>
        <w:t xml:space="preserve">6 </w:t>
      </w:r>
      <w:r>
        <w:rPr>
          <w:rFonts w:ascii="Times New Roman"/>
          <w:highlight w:val="none"/>
        </w:rPr>
        <w:t>技术要求</w:t>
      </w:r>
      <w:r>
        <w:tab/>
      </w:r>
      <w:r>
        <w:fldChar w:fldCharType="begin"/>
      </w:r>
      <w:r>
        <w:instrText xml:space="preserve"> PAGEREF _Toc29745 \h </w:instrText>
      </w:r>
      <w:r>
        <w:fldChar w:fldCharType="separate"/>
      </w:r>
      <w:r>
        <w:t>4</w:t>
      </w:r>
      <w:r>
        <w:fldChar w:fldCharType="end"/>
      </w:r>
      <w:r>
        <w:fldChar w:fldCharType="end"/>
      </w:r>
    </w:p>
    <w:p>
      <w:pPr>
        <w:pStyle w:val="24"/>
        <w:tabs>
          <w:tab w:val="right" w:leader="dot" w:pos="9354"/>
          <w:tab w:val="clear" w:pos="9344"/>
        </w:tabs>
      </w:pPr>
      <w:r>
        <w:fldChar w:fldCharType="begin"/>
      </w:r>
      <w:r>
        <w:instrText xml:space="preserve"> HYPERLINK \l _Toc18945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6.1 </w:t>
      </w:r>
      <w:r>
        <w:rPr>
          <w:highlight w:val="none"/>
        </w:rPr>
        <w:t>通用额定值</w:t>
      </w:r>
      <w:r>
        <w:tab/>
      </w:r>
      <w:r>
        <w:fldChar w:fldCharType="begin"/>
      </w:r>
      <w:r>
        <w:instrText xml:space="preserve"> PAGEREF _Toc18945 \h </w:instrText>
      </w:r>
      <w:r>
        <w:fldChar w:fldCharType="separate"/>
      </w:r>
      <w:r>
        <w:t>4</w:t>
      </w:r>
      <w:r>
        <w:fldChar w:fldCharType="end"/>
      </w:r>
      <w:r>
        <w:fldChar w:fldCharType="end"/>
      </w:r>
    </w:p>
    <w:p>
      <w:pPr>
        <w:pStyle w:val="24"/>
        <w:tabs>
          <w:tab w:val="right" w:leader="dot" w:pos="9354"/>
          <w:tab w:val="clear" w:pos="9344"/>
        </w:tabs>
      </w:pPr>
      <w:r>
        <w:fldChar w:fldCharType="begin"/>
      </w:r>
      <w:r>
        <w:instrText xml:space="preserve"> HYPERLINK \l _Toc25450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6.2 </w:t>
      </w:r>
      <w:r>
        <w:rPr>
          <w:highlight w:val="none"/>
        </w:rPr>
        <w:t>准确级及误差限值</w:t>
      </w:r>
      <w:r>
        <w:tab/>
      </w:r>
      <w:r>
        <w:fldChar w:fldCharType="begin"/>
      </w:r>
      <w:r>
        <w:instrText xml:space="preserve"> PAGEREF _Toc25450 \h </w:instrText>
      </w:r>
      <w:r>
        <w:fldChar w:fldCharType="separate"/>
      </w:r>
      <w:r>
        <w:t>5</w:t>
      </w:r>
      <w:r>
        <w:fldChar w:fldCharType="end"/>
      </w:r>
      <w:r>
        <w:fldChar w:fldCharType="end"/>
      </w:r>
    </w:p>
    <w:p>
      <w:pPr>
        <w:pStyle w:val="24"/>
        <w:tabs>
          <w:tab w:val="right" w:leader="dot" w:pos="9354"/>
          <w:tab w:val="clear" w:pos="9344"/>
        </w:tabs>
      </w:pPr>
      <w:r>
        <w:fldChar w:fldCharType="begin"/>
      </w:r>
      <w:r>
        <w:instrText xml:space="preserve"> HYPERLINK \l _Toc22611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6.3 </w:t>
      </w:r>
      <w:r>
        <w:rPr>
          <w:highlight w:val="none"/>
        </w:rPr>
        <w:t>线性度</w:t>
      </w:r>
      <w:r>
        <w:tab/>
      </w:r>
      <w:r>
        <w:fldChar w:fldCharType="begin"/>
      </w:r>
      <w:r>
        <w:instrText xml:space="preserve"> PAGEREF _Toc22611 \h </w:instrText>
      </w:r>
      <w:r>
        <w:fldChar w:fldCharType="separate"/>
      </w:r>
      <w:r>
        <w:t>6</w:t>
      </w:r>
      <w:r>
        <w:fldChar w:fldCharType="end"/>
      </w:r>
      <w:r>
        <w:fldChar w:fldCharType="end"/>
      </w:r>
    </w:p>
    <w:p>
      <w:pPr>
        <w:pStyle w:val="24"/>
        <w:tabs>
          <w:tab w:val="right" w:leader="dot" w:pos="9354"/>
          <w:tab w:val="clear" w:pos="9344"/>
        </w:tabs>
      </w:pPr>
      <w:r>
        <w:fldChar w:fldCharType="begin"/>
      </w:r>
      <w:r>
        <w:instrText xml:space="preserve"> HYPERLINK \l _Toc16663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6.4 </w:t>
      </w:r>
      <w:r>
        <w:rPr>
          <w:highlight w:val="none"/>
        </w:rPr>
        <w:t>重复性</w:t>
      </w:r>
      <w:r>
        <w:tab/>
      </w:r>
      <w:r>
        <w:fldChar w:fldCharType="begin"/>
      </w:r>
      <w:r>
        <w:instrText xml:space="preserve"> PAGEREF _Toc16663 \h </w:instrText>
      </w:r>
      <w:r>
        <w:fldChar w:fldCharType="separate"/>
      </w:r>
      <w:r>
        <w:t>6</w:t>
      </w:r>
      <w:r>
        <w:fldChar w:fldCharType="end"/>
      </w:r>
      <w:r>
        <w:fldChar w:fldCharType="end"/>
      </w:r>
    </w:p>
    <w:p>
      <w:pPr>
        <w:pStyle w:val="24"/>
        <w:tabs>
          <w:tab w:val="right" w:leader="dot" w:pos="9354"/>
          <w:tab w:val="clear" w:pos="9344"/>
        </w:tabs>
      </w:pPr>
      <w:r>
        <w:fldChar w:fldCharType="begin"/>
      </w:r>
      <w:r>
        <w:instrText xml:space="preserve"> HYPERLINK \l _Toc20354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6.5 </w:t>
      </w:r>
      <w:r>
        <w:rPr>
          <w:highlight w:val="none"/>
        </w:rPr>
        <w:t>分辨力</w:t>
      </w:r>
      <w:r>
        <w:tab/>
      </w:r>
      <w:r>
        <w:fldChar w:fldCharType="begin"/>
      </w:r>
      <w:r>
        <w:instrText xml:space="preserve"> PAGEREF _Toc20354 \h </w:instrText>
      </w:r>
      <w:r>
        <w:fldChar w:fldCharType="separate"/>
      </w:r>
      <w:r>
        <w:t>6</w:t>
      </w:r>
      <w:r>
        <w:fldChar w:fldCharType="end"/>
      </w:r>
      <w:r>
        <w:fldChar w:fldCharType="end"/>
      </w:r>
    </w:p>
    <w:p>
      <w:pPr>
        <w:pStyle w:val="24"/>
        <w:tabs>
          <w:tab w:val="right" w:leader="dot" w:pos="9354"/>
          <w:tab w:val="clear" w:pos="9344"/>
        </w:tabs>
      </w:pPr>
      <w:r>
        <w:fldChar w:fldCharType="begin"/>
      </w:r>
      <w:r>
        <w:instrText xml:space="preserve"> HYPERLINK \l _Toc11407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6.6 </w:t>
      </w:r>
      <w:r>
        <w:rPr>
          <w:highlight w:val="none"/>
        </w:rPr>
        <w:t>零点输出</w:t>
      </w:r>
      <w:r>
        <w:tab/>
      </w:r>
      <w:r>
        <w:fldChar w:fldCharType="begin"/>
      </w:r>
      <w:r>
        <w:instrText xml:space="preserve"> PAGEREF _Toc11407 \h </w:instrText>
      </w:r>
      <w:r>
        <w:fldChar w:fldCharType="separate"/>
      </w:r>
      <w:r>
        <w:t>6</w:t>
      </w:r>
      <w:r>
        <w:fldChar w:fldCharType="end"/>
      </w:r>
      <w:r>
        <w:fldChar w:fldCharType="end"/>
      </w:r>
    </w:p>
    <w:p>
      <w:pPr>
        <w:pStyle w:val="24"/>
        <w:tabs>
          <w:tab w:val="right" w:leader="dot" w:pos="9354"/>
          <w:tab w:val="clear" w:pos="9344"/>
        </w:tabs>
      </w:pPr>
      <w:r>
        <w:fldChar w:fldCharType="begin"/>
      </w:r>
      <w:r>
        <w:instrText xml:space="preserve"> HYPERLINK \l _Toc5420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6.7 </w:t>
      </w:r>
      <w:r>
        <w:rPr>
          <w:highlight w:val="none"/>
        </w:rPr>
        <w:t>温度漂移</w:t>
      </w:r>
      <w:r>
        <w:tab/>
      </w:r>
      <w:r>
        <w:fldChar w:fldCharType="begin"/>
      </w:r>
      <w:r>
        <w:instrText xml:space="preserve"> PAGEREF _Toc5420 \h </w:instrText>
      </w:r>
      <w:r>
        <w:fldChar w:fldCharType="separate"/>
      </w:r>
      <w:r>
        <w:t>6</w:t>
      </w:r>
      <w:r>
        <w:fldChar w:fldCharType="end"/>
      </w:r>
      <w:r>
        <w:fldChar w:fldCharType="end"/>
      </w:r>
    </w:p>
    <w:p>
      <w:pPr>
        <w:pStyle w:val="24"/>
        <w:tabs>
          <w:tab w:val="right" w:leader="dot" w:pos="9354"/>
          <w:tab w:val="clear" w:pos="9344"/>
        </w:tabs>
      </w:pPr>
      <w:r>
        <w:fldChar w:fldCharType="begin"/>
      </w:r>
      <w:r>
        <w:instrText xml:space="preserve"> HYPERLINK \l _Toc20983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6.8 </w:t>
      </w:r>
      <w:r>
        <w:rPr>
          <w:highlight w:val="none"/>
        </w:rPr>
        <w:t>供电电源</w:t>
      </w:r>
      <w:r>
        <w:tab/>
      </w:r>
      <w:r>
        <w:fldChar w:fldCharType="begin"/>
      </w:r>
      <w:r>
        <w:instrText xml:space="preserve"> PAGEREF _Toc20983 \h </w:instrText>
      </w:r>
      <w:r>
        <w:fldChar w:fldCharType="separate"/>
      </w:r>
      <w:r>
        <w:t>6</w:t>
      </w:r>
      <w:r>
        <w:fldChar w:fldCharType="end"/>
      </w:r>
      <w:r>
        <w:fldChar w:fldCharType="end"/>
      </w:r>
    </w:p>
    <w:p>
      <w:pPr>
        <w:pStyle w:val="24"/>
        <w:tabs>
          <w:tab w:val="right" w:leader="dot" w:pos="9354"/>
          <w:tab w:val="clear" w:pos="9344"/>
        </w:tabs>
      </w:pPr>
      <w:r>
        <w:fldChar w:fldCharType="begin"/>
      </w:r>
      <w:r>
        <w:instrText xml:space="preserve"> HYPERLINK \l _Toc5600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6.9 </w:t>
      </w:r>
      <w:r>
        <w:rPr>
          <w:highlight w:val="none"/>
        </w:rPr>
        <w:t>响应时间</w:t>
      </w:r>
      <w:r>
        <w:tab/>
      </w:r>
      <w:r>
        <w:fldChar w:fldCharType="begin"/>
      </w:r>
      <w:r>
        <w:instrText xml:space="preserve"> PAGEREF _Toc5600 \h </w:instrText>
      </w:r>
      <w:r>
        <w:fldChar w:fldCharType="separate"/>
      </w:r>
      <w:r>
        <w:t>7</w:t>
      </w:r>
      <w:r>
        <w:fldChar w:fldCharType="end"/>
      </w:r>
      <w:r>
        <w:fldChar w:fldCharType="end"/>
      </w:r>
    </w:p>
    <w:p>
      <w:pPr>
        <w:pStyle w:val="24"/>
        <w:tabs>
          <w:tab w:val="right" w:leader="dot" w:pos="9354"/>
          <w:tab w:val="clear" w:pos="9344"/>
        </w:tabs>
      </w:pPr>
      <w:r>
        <w:fldChar w:fldCharType="begin"/>
      </w:r>
      <w:r>
        <w:instrText xml:space="preserve"> HYPERLINK \l _Toc183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6.10 </w:t>
      </w:r>
      <w:r>
        <w:rPr>
          <w:highlight w:val="none"/>
        </w:rPr>
        <w:t>采样频率</w:t>
      </w:r>
      <w:r>
        <w:tab/>
      </w:r>
      <w:r>
        <w:fldChar w:fldCharType="begin"/>
      </w:r>
      <w:r>
        <w:instrText xml:space="preserve"> PAGEREF _Toc183 \h </w:instrText>
      </w:r>
      <w:r>
        <w:fldChar w:fldCharType="separate"/>
      </w:r>
      <w:r>
        <w:t>7</w:t>
      </w:r>
      <w:r>
        <w:fldChar w:fldCharType="end"/>
      </w:r>
      <w:r>
        <w:fldChar w:fldCharType="end"/>
      </w:r>
    </w:p>
    <w:p>
      <w:pPr>
        <w:pStyle w:val="24"/>
        <w:tabs>
          <w:tab w:val="right" w:leader="dot" w:pos="9354"/>
          <w:tab w:val="clear" w:pos="9344"/>
        </w:tabs>
      </w:pPr>
      <w:r>
        <w:fldChar w:fldCharType="begin"/>
      </w:r>
      <w:r>
        <w:instrText xml:space="preserve"> HYPERLINK \l _Toc27696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6.11 </w:t>
      </w:r>
      <w:r>
        <w:rPr>
          <w:highlight w:val="none"/>
        </w:rPr>
        <w:t>通信要求</w:t>
      </w:r>
      <w:r>
        <w:tab/>
      </w:r>
      <w:r>
        <w:fldChar w:fldCharType="begin"/>
      </w:r>
      <w:r>
        <w:instrText xml:space="preserve"> PAGEREF _Toc27696 \h </w:instrText>
      </w:r>
      <w:r>
        <w:fldChar w:fldCharType="separate"/>
      </w:r>
      <w:r>
        <w:t>7</w:t>
      </w:r>
      <w:r>
        <w:fldChar w:fldCharType="end"/>
      </w:r>
      <w:r>
        <w:fldChar w:fldCharType="end"/>
      </w:r>
    </w:p>
    <w:p>
      <w:pPr>
        <w:pStyle w:val="24"/>
        <w:tabs>
          <w:tab w:val="right" w:leader="dot" w:pos="9354"/>
          <w:tab w:val="clear" w:pos="9344"/>
        </w:tabs>
      </w:pPr>
      <w:r>
        <w:fldChar w:fldCharType="begin"/>
      </w:r>
      <w:r>
        <w:instrText xml:space="preserve"> HYPERLINK \l _Toc30392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6.12 </w:t>
      </w:r>
      <w:r>
        <w:rPr>
          <w:highlight w:val="none"/>
        </w:rPr>
        <w:t>环境适应性</w:t>
      </w:r>
      <w:r>
        <w:tab/>
      </w:r>
      <w:r>
        <w:fldChar w:fldCharType="begin"/>
      </w:r>
      <w:r>
        <w:instrText xml:space="preserve"> PAGEREF _Toc30392 \h </w:instrText>
      </w:r>
      <w:r>
        <w:fldChar w:fldCharType="separate"/>
      </w:r>
      <w:r>
        <w:t>12</w:t>
      </w:r>
      <w:r>
        <w:fldChar w:fldCharType="end"/>
      </w:r>
      <w:r>
        <w:fldChar w:fldCharType="end"/>
      </w:r>
    </w:p>
    <w:p>
      <w:pPr>
        <w:pStyle w:val="24"/>
        <w:tabs>
          <w:tab w:val="right" w:leader="dot" w:pos="9354"/>
          <w:tab w:val="clear" w:pos="9344"/>
        </w:tabs>
      </w:pPr>
      <w:r>
        <w:fldChar w:fldCharType="begin"/>
      </w:r>
      <w:r>
        <w:instrText xml:space="preserve"> HYPERLINK \l _Toc15740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6.13 </w:t>
      </w:r>
      <w:r>
        <w:rPr>
          <w:highlight w:val="none"/>
        </w:rPr>
        <w:t>机械性能要求</w:t>
      </w:r>
      <w:r>
        <w:tab/>
      </w:r>
      <w:r>
        <w:fldChar w:fldCharType="begin"/>
      </w:r>
      <w:r>
        <w:instrText xml:space="preserve"> PAGEREF _Toc15740 \h </w:instrText>
      </w:r>
      <w:r>
        <w:fldChar w:fldCharType="separate"/>
      </w:r>
      <w:r>
        <w:t>12</w:t>
      </w:r>
      <w:r>
        <w:fldChar w:fldCharType="end"/>
      </w:r>
      <w:r>
        <w:fldChar w:fldCharType="end"/>
      </w:r>
    </w:p>
    <w:p>
      <w:pPr>
        <w:pStyle w:val="24"/>
        <w:tabs>
          <w:tab w:val="right" w:leader="dot" w:pos="9354"/>
          <w:tab w:val="clear" w:pos="9344"/>
        </w:tabs>
      </w:pPr>
      <w:r>
        <w:fldChar w:fldCharType="begin"/>
      </w:r>
      <w:r>
        <w:instrText xml:space="preserve"> HYPERLINK \l _Toc3725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6.14 </w:t>
      </w:r>
      <w:r>
        <w:rPr>
          <w:highlight w:val="none"/>
        </w:rPr>
        <w:t>防护要求</w:t>
      </w:r>
      <w:r>
        <w:tab/>
      </w:r>
      <w:r>
        <w:fldChar w:fldCharType="begin"/>
      </w:r>
      <w:r>
        <w:instrText xml:space="preserve"> PAGEREF _Toc3725 \h </w:instrText>
      </w:r>
      <w:r>
        <w:fldChar w:fldCharType="separate"/>
      </w:r>
      <w:r>
        <w:t>12</w:t>
      </w:r>
      <w:r>
        <w:fldChar w:fldCharType="end"/>
      </w:r>
      <w:r>
        <w:fldChar w:fldCharType="end"/>
      </w:r>
    </w:p>
    <w:p>
      <w:pPr>
        <w:pStyle w:val="24"/>
        <w:tabs>
          <w:tab w:val="right" w:leader="dot" w:pos="9354"/>
          <w:tab w:val="clear" w:pos="9344"/>
        </w:tabs>
      </w:pPr>
      <w:r>
        <w:fldChar w:fldCharType="begin"/>
      </w:r>
      <w:r>
        <w:instrText xml:space="preserve"> HYPERLINK \l _Toc25070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6.15 </w:t>
      </w:r>
      <w:r>
        <w:rPr>
          <w:rFonts w:hint="eastAsia"/>
          <w:highlight w:val="none"/>
        </w:rPr>
        <w:t>安装方式</w:t>
      </w:r>
      <w:r>
        <w:tab/>
      </w:r>
      <w:r>
        <w:fldChar w:fldCharType="begin"/>
      </w:r>
      <w:r>
        <w:instrText xml:space="preserve"> PAGEREF _Toc25070 \h </w:instrText>
      </w:r>
      <w:r>
        <w:fldChar w:fldCharType="separate"/>
      </w:r>
      <w:r>
        <w:t>12</w:t>
      </w:r>
      <w:r>
        <w:fldChar w:fldCharType="end"/>
      </w:r>
      <w:r>
        <w:fldChar w:fldCharType="end"/>
      </w:r>
    </w:p>
    <w:p>
      <w:pPr>
        <w:pStyle w:val="19"/>
        <w:tabs>
          <w:tab w:val="right" w:leader="dot" w:pos="9354"/>
        </w:tabs>
      </w:pPr>
      <w:r>
        <w:fldChar w:fldCharType="begin"/>
      </w:r>
      <w:r>
        <w:instrText xml:space="preserve"> HYPERLINK \l _Toc12281 </w:instrText>
      </w:r>
      <w:r>
        <w:fldChar w:fldCharType="separate"/>
      </w:r>
      <w:r>
        <w:rPr>
          <w:rFonts w:hint="eastAsia" w:ascii="黑体" w:eastAsia="黑体"/>
          <w:i w:val="0"/>
        </w:rPr>
        <w:t xml:space="preserve">7 </w:t>
      </w:r>
      <w:r>
        <w:rPr>
          <w:rFonts w:ascii="Times New Roman"/>
          <w:highlight w:val="none"/>
        </w:rPr>
        <w:t>智能化</w:t>
      </w:r>
      <w:r>
        <w:tab/>
      </w:r>
      <w:r>
        <w:fldChar w:fldCharType="begin"/>
      </w:r>
      <w:r>
        <w:instrText xml:space="preserve"> PAGEREF _Toc12281 \h </w:instrText>
      </w:r>
      <w:r>
        <w:fldChar w:fldCharType="separate"/>
      </w:r>
      <w:r>
        <w:t>12</w:t>
      </w:r>
      <w:r>
        <w:fldChar w:fldCharType="end"/>
      </w:r>
      <w:r>
        <w:fldChar w:fldCharType="end"/>
      </w:r>
    </w:p>
    <w:p>
      <w:pPr>
        <w:pStyle w:val="24"/>
        <w:tabs>
          <w:tab w:val="right" w:leader="dot" w:pos="9354"/>
          <w:tab w:val="clear" w:pos="9344"/>
        </w:tabs>
      </w:pPr>
      <w:r>
        <w:fldChar w:fldCharType="begin"/>
      </w:r>
      <w:r>
        <w:instrText xml:space="preserve"> HYPERLINK \l _Toc22912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7.1 </w:t>
      </w:r>
      <w:r>
        <w:rPr>
          <w:rFonts w:hint="eastAsia"/>
          <w:highlight w:val="none"/>
        </w:rPr>
        <w:t>自诊断</w:t>
      </w:r>
      <w:r>
        <w:tab/>
      </w:r>
      <w:r>
        <w:fldChar w:fldCharType="begin"/>
      </w:r>
      <w:r>
        <w:instrText xml:space="preserve"> PAGEREF _Toc22912 \h </w:instrText>
      </w:r>
      <w:r>
        <w:fldChar w:fldCharType="separate"/>
      </w:r>
      <w:r>
        <w:t>12</w:t>
      </w:r>
      <w:r>
        <w:fldChar w:fldCharType="end"/>
      </w:r>
      <w:r>
        <w:fldChar w:fldCharType="end"/>
      </w:r>
    </w:p>
    <w:p>
      <w:pPr>
        <w:pStyle w:val="24"/>
        <w:tabs>
          <w:tab w:val="right" w:leader="dot" w:pos="9354"/>
          <w:tab w:val="clear" w:pos="9344"/>
        </w:tabs>
      </w:pPr>
      <w:r>
        <w:fldChar w:fldCharType="begin"/>
      </w:r>
      <w:r>
        <w:instrText xml:space="preserve"> HYPERLINK \l _Toc7524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7.2 </w:t>
      </w:r>
      <w:r>
        <w:rPr>
          <w:rFonts w:hint="eastAsia"/>
          <w:highlight w:val="none"/>
        </w:rPr>
        <w:t>自补偿</w:t>
      </w:r>
      <w:r>
        <w:tab/>
      </w:r>
      <w:r>
        <w:fldChar w:fldCharType="begin"/>
      </w:r>
      <w:r>
        <w:instrText xml:space="preserve"> PAGEREF _Toc7524 \h </w:instrText>
      </w:r>
      <w:r>
        <w:fldChar w:fldCharType="separate"/>
      </w:r>
      <w:r>
        <w:t>12</w:t>
      </w:r>
      <w:r>
        <w:fldChar w:fldCharType="end"/>
      </w:r>
      <w:r>
        <w:fldChar w:fldCharType="end"/>
      </w:r>
    </w:p>
    <w:p>
      <w:pPr>
        <w:pStyle w:val="24"/>
        <w:tabs>
          <w:tab w:val="right" w:leader="dot" w:pos="9354"/>
          <w:tab w:val="clear" w:pos="9344"/>
        </w:tabs>
      </w:pPr>
      <w:r>
        <w:fldChar w:fldCharType="begin"/>
      </w:r>
      <w:r>
        <w:instrText xml:space="preserve"> HYPERLINK \l _Toc24065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7.3 </w:t>
      </w:r>
      <w:r>
        <w:rPr>
          <w:rFonts w:hint="eastAsia"/>
          <w:highlight w:val="none"/>
        </w:rPr>
        <w:t>自适应</w:t>
      </w:r>
      <w:r>
        <w:tab/>
      </w:r>
      <w:r>
        <w:fldChar w:fldCharType="begin"/>
      </w:r>
      <w:r>
        <w:instrText xml:space="preserve"> PAGEREF _Toc24065 \h </w:instrText>
      </w:r>
      <w:r>
        <w:fldChar w:fldCharType="separate"/>
      </w:r>
      <w:r>
        <w:t>12</w:t>
      </w:r>
      <w:r>
        <w:fldChar w:fldCharType="end"/>
      </w:r>
      <w:r>
        <w:fldChar w:fldCharType="end"/>
      </w:r>
    </w:p>
    <w:p>
      <w:pPr>
        <w:pStyle w:val="24"/>
        <w:tabs>
          <w:tab w:val="right" w:leader="dot" w:pos="9354"/>
          <w:tab w:val="clear" w:pos="9344"/>
        </w:tabs>
      </w:pPr>
      <w:r>
        <w:fldChar w:fldCharType="begin"/>
      </w:r>
      <w:r>
        <w:instrText xml:space="preserve"> HYPERLINK \l _Toc20032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7.4 </w:t>
      </w:r>
      <w:r>
        <w:rPr>
          <w:rFonts w:hint="eastAsia"/>
          <w:highlight w:val="none"/>
        </w:rPr>
        <w:t>信息存储和记忆</w:t>
      </w:r>
      <w:r>
        <w:tab/>
      </w:r>
      <w:r>
        <w:fldChar w:fldCharType="begin"/>
      </w:r>
      <w:r>
        <w:instrText xml:space="preserve"> PAGEREF _Toc20032 \h </w:instrText>
      </w:r>
      <w:r>
        <w:fldChar w:fldCharType="separate"/>
      </w:r>
      <w:r>
        <w:t>12</w:t>
      </w:r>
      <w:r>
        <w:fldChar w:fldCharType="end"/>
      </w:r>
      <w:r>
        <w:fldChar w:fldCharType="end"/>
      </w:r>
    </w:p>
    <w:p>
      <w:pPr>
        <w:pStyle w:val="24"/>
        <w:tabs>
          <w:tab w:val="right" w:leader="dot" w:pos="9354"/>
          <w:tab w:val="clear" w:pos="9344"/>
        </w:tabs>
      </w:pPr>
      <w:r>
        <w:fldChar w:fldCharType="begin"/>
      </w:r>
      <w:r>
        <w:instrText xml:space="preserve"> HYPERLINK \l _Toc8819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7.5 </w:t>
      </w:r>
      <w:r>
        <w:rPr>
          <w:rFonts w:hint="eastAsia"/>
          <w:highlight w:val="none"/>
        </w:rPr>
        <w:t>掉电保护</w:t>
      </w:r>
      <w:r>
        <w:tab/>
      </w:r>
      <w:r>
        <w:fldChar w:fldCharType="begin"/>
      </w:r>
      <w:r>
        <w:instrText xml:space="preserve"> PAGEREF _Toc8819 \h </w:instrText>
      </w:r>
      <w:r>
        <w:fldChar w:fldCharType="separate"/>
      </w:r>
      <w:r>
        <w:t>13</w:t>
      </w:r>
      <w:r>
        <w:fldChar w:fldCharType="end"/>
      </w:r>
      <w:r>
        <w:fldChar w:fldCharType="end"/>
      </w:r>
    </w:p>
    <w:p>
      <w:pPr>
        <w:pStyle w:val="24"/>
        <w:tabs>
          <w:tab w:val="right" w:leader="dot" w:pos="9354"/>
          <w:tab w:val="clear" w:pos="9344"/>
        </w:tabs>
      </w:pPr>
      <w:r>
        <w:fldChar w:fldCharType="begin"/>
      </w:r>
      <w:r>
        <w:instrText xml:space="preserve"> HYPERLINK \l _Toc17784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7.6 </w:t>
      </w:r>
      <w:r>
        <w:rPr>
          <w:rFonts w:hint="eastAsia"/>
          <w:highlight w:val="none"/>
        </w:rPr>
        <w:t>停电上报</w:t>
      </w:r>
      <w:r>
        <w:tab/>
      </w:r>
      <w:r>
        <w:fldChar w:fldCharType="begin"/>
      </w:r>
      <w:r>
        <w:instrText xml:space="preserve"> PAGEREF _Toc17784 \h </w:instrText>
      </w:r>
      <w:r>
        <w:fldChar w:fldCharType="separate"/>
      </w:r>
      <w:r>
        <w:t>13</w:t>
      </w:r>
      <w:r>
        <w:fldChar w:fldCharType="end"/>
      </w:r>
      <w:r>
        <w:fldChar w:fldCharType="end"/>
      </w:r>
    </w:p>
    <w:p>
      <w:pPr>
        <w:pStyle w:val="24"/>
        <w:tabs>
          <w:tab w:val="right" w:leader="dot" w:pos="9354"/>
          <w:tab w:val="clear" w:pos="9344"/>
        </w:tabs>
      </w:pPr>
      <w:r>
        <w:fldChar w:fldCharType="begin"/>
      </w:r>
      <w:r>
        <w:instrText xml:space="preserve"> HYPERLINK \l _Toc4671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7.7 </w:t>
      </w:r>
      <w:r>
        <w:rPr>
          <w:rFonts w:hint="eastAsia"/>
          <w:highlight w:val="none"/>
        </w:rPr>
        <w:t>在线升级</w:t>
      </w:r>
      <w:r>
        <w:tab/>
      </w:r>
      <w:r>
        <w:fldChar w:fldCharType="begin"/>
      </w:r>
      <w:r>
        <w:instrText xml:space="preserve"> PAGEREF _Toc4671 \h </w:instrText>
      </w:r>
      <w:r>
        <w:fldChar w:fldCharType="separate"/>
      </w:r>
      <w:r>
        <w:t>13</w:t>
      </w:r>
      <w:r>
        <w:fldChar w:fldCharType="end"/>
      </w:r>
      <w:r>
        <w:fldChar w:fldCharType="end"/>
      </w:r>
    </w:p>
    <w:p>
      <w:pPr>
        <w:pStyle w:val="24"/>
        <w:tabs>
          <w:tab w:val="right" w:leader="dot" w:pos="9354"/>
          <w:tab w:val="clear" w:pos="9344"/>
        </w:tabs>
      </w:pPr>
      <w:r>
        <w:fldChar w:fldCharType="begin"/>
      </w:r>
      <w:r>
        <w:instrText xml:space="preserve"> HYPERLINK \l _Toc3156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7.8 </w:t>
      </w:r>
      <w:r>
        <w:rPr>
          <w:rFonts w:hint="eastAsia"/>
          <w:highlight w:val="none"/>
        </w:rPr>
        <w:t>远程配置</w:t>
      </w:r>
      <w:r>
        <w:tab/>
      </w:r>
      <w:r>
        <w:fldChar w:fldCharType="begin"/>
      </w:r>
      <w:r>
        <w:instrText xml:space="preserve"> PAGEREF _Toc3156 \h </w:instrText>
      </w:r>
      <w:r>
        <w:fldChar w:fldCharType="separate"/>
      </w:r>
      <w:r>
        <w:t>13</w:t>
      </w:r>
      <w:r>
        <w:fldChar w:fldCharType="end"/>
      </w:r>
      <w:r>
        <w:fldChar w:fldCharType="end"/>
      </w:r>
    </w:p>
    <w:p>
      <w:pPr>
        <w:pStyle w:val="24"/>
        <w:tabs>
          <w:tab w:val="right" w:leader="dot" w:pos="9354"/>
          <w:tab w:val="clear" w:pos="9344"/>
        </w:tabs>
      </w:pPr>
      <w:r>
        <w:fldChar w:fldCharType="begin"/>
      </w:r>
      <w:r>
        <w:instrText xml:space="preserve"> HYPERLINK \l _Toc14090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7.9 </w:t>
      </w:r>
      <w:r>
        <w:rPr>
          <w:rFonts w:hint="eastAsia"/>
          <w:highlight w:val="none"/>
        </w:rPr>
        <w:t>对时功能</w:t>
      </w:r>
      <w:r>
        <w:tab/>
      </w:r>
      <w:r>
        <w:fldChar w:fldCharType="begin"/>
      </w:r>
      <w:r>
        <w:instrText xml:space="preserve"> PAGEREF _Toc14090 \h </w:instrText>
      </w:r>
      <w:r>
        <w:fldChar w:fldCharType="separate"/>
      </w:r>
      <w:r>
        <w:t>13</w:t>
      </w:r>
      <w:r>
        <w:fldChar w:fldCharType="end"/>
      </w:r>
      <w:r>
        <w:fldChar w:fldCharType="end"/>
      </w:r>
    </w:p>
    <w:p>
      <w:pPr>
        <w:pStyle w:val="24"/>
        <w:tabs>
          <w:tab w:val="right" w:leader="dot" w:pos="9354"/>
          <w:tab w:val="clear" w:pos="9344"/>
        </w:tabs>
      </w:pPr>
      <w:r>
        <w:fldChar w:fldCharType="begin"/>
      </w:r>
      <w:r>
        <w:instrText xml:space="preserve"> HYPERLINK \l _Toc32119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7.10 </w:t>
      </w:r>
      <w:r>
        <w:rPr>
          <w:rFonts w:hint="eastAsia"/>
          <w:highlight w:val="none"/>
        </w:rPr>
        <w:t>故障录波</w:t>
      </w:r>
      <w:r>
        <w:tab/>
      </w:r>
      <w:r>
        <w:fldChar w:fldCharType="begin"/>
      </w:r>
      <w:r>
        <w:instrText xml:space="preserve"> PAGEREF _Toc32119 \h </w:instrText>
      </w:r>
      <w:r>
        <w:fldChar w:fldCharType="separate"/>
      </w:r>
      <w:r>
        <w:t>13</w:t>
      </w:r>
      <w:r>
        <w:fldChar w:fldCharType="end"/>
      </w:r>
      <w:r>
        <w:fldChar w:fldCharType="end"/>
      </w:r>
    </w:p>
    <w:p>
      <w:pPr>
        <w:pStyle w:val="19"/>
        <w:tabs>
          <w:tab w:val="right" w:leader="dot" w:pos="9354"/>
        </w:tabs>
      </w:pPr>
      <w:r>
        <w:fldChar w:fldCharType="begin"/>
      </w:r>
      <w:r>
        <w:instrText xml:space="preserve"> HYPERLINK \l _Toc25139 </w:instrText>
      </w:r>
      <w:r>
        <w:fldChar w:fldCharType="separate"/>
      </w:r>
      <w:r>
        <w:rPr>
          <w:rFonts w:hint="eastAsia" w:ascii="黑体" w:eastAsia="黑体"/>
          <w:i w:val="0"/>
        </w:rPr>
        <w:t xml:space="preserve">8 </w:t>
      </w:r>
      <w:r>
        <w:rPr>
          <w:rFonts w:ascii="Times New Roman"/>
          <w:highlight w:val="none"/>
        </w:rPr>
        <w:t>试验</w:t>
      </w:r>
      <w:r>
        <w:rPr>
          <w:rFonts w:hint="eastAsia" w:ascii="Times New Roman"/>
          <w:highlight w:val="none"/>
          <w:lang w:eastAsia="zh-CN"/>
        </w:rPr>
        <w:t>方法</w:t>
      </w:r>
      <w:r>
        <w:tab/>
      </w:r>
      <w:r>
        <w:fldChar w:fldCharType="begin"/>
      </w:r>
      <w:r>
        <w:instrText xml:space="preserve"> PAGEREF _Toc25139 \h </w:instrText>
      </w:r>
      <w:r>
        <w:fldChar w:fldCharType="separate"/>
      </w:r>
      <w:r>
        <w:t>13</w:t>
      </w:r>
      <w:r>
        <w:fldChar w:fldCharType="end"/>
      </w:r>
      <w:r>
        <w:fldChar w:fldCharType="end"/>
      </w:r>
    </w:p>
    <w:p>
      <w:pPr>
        <w:pStyle w:val="24"/>
        <w:tabs>
          <w:tab w:val="right" w:leader="dot" w:pos="9354"/>
          <w:tab w:val="clear" w:pos="9344"/>
        </w:tabs>
      </w:pPr>
      <w:r>
        <w:fldChar w:fldCharType="begin"/>
      </w:r>
      <w:r>
        <w:instrText xml:space="preserve"> HYPERLINK \l _Toc10471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8.1 </w:t>
      </w:r>
      <w:r>
        <w:rPr>
          <w:rFonts w:hint="eastAsia"/>
          <w:highlight w:val="none"/>
        </w:rPr>
        <w:t>试验环境条件</w:t>
      </w:r>
      <w:r>
        <w:tab/>
      </w:r>
      <w:r>
        <w:fldChar w:fldCharType="begin"/>
      </w:r>
      <w:r>
        <w:instrText xml:space="preserve"> PAGEREF _Toc10471 \h </w:instrText>
      </w:r>
      <w:r>
        <w:fldChar w:fldCharType="separate"/>
      </w:r>
      <w:r>
        <w:t>13</w:t>
      </w:r>
      <w:r>
        <w:fldChar w:fldCharType="end"/>
      </w:r>
      <w:r>
        <w:fldChar w:fldCharType="end"/>
      </w:r>
    </w:p>
    <w:p>
      <w:pPr>
        <w:pStyle w:val="24"/>
        <w:tabs>
          <w:tab w:val="right" w:leader="dot" w:pos="9354"/>
          <w:tab w:val="clear" w:pos="9344"/>
        </w:tabs>
      </w:pPr>
      <w:r>
        <w:fldChar w:fldCharType="begin"/>
      </w:r>
      <w:r>
        <w:instrText xml:space="preserve"> HYPERLINK \l _Toc24385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8.2 </w:t>
      </w:r>
      <w:r>
        <w:rPr>
          <w:rFonts w:hint="eastAsia"/>
          <w:highlight w:val="none"/>
        </w:rPr>
        <w:t>测试方法</w:t>
      </w:r>
      <w:r>
        <w:tab/>
      </w:r>
      <w:r>
        <w:fldChar w:fldCharType="begin"/>
      </w:r>
      <w:r>
        <w:instrText xml:space="preserve"> PAGEREF _Toc24385 \h </w:instrText>
      </w:r>
      <w:r>
        <w:fldChar w:fldCharType="separate"/>
      </w:r>
      <w:r>
        <w:t>13</w:t>
      </w:r>
      <w:r>
        <w:fldChar w:fldCharType="end"/>
      </w:r>
      <w:r>
        <w:fldChar w:fldCharType="end"/>
      </w:r>
    </w:p>
    <w:p>
      <w:pPr>
        <w:pStyle w:val="24"/>
        <w:tabs>
          <w:tab w:val="right" w:leader="dot" w:pos="9354"/>
          <w:tab w:val="clear" w:pos="9344"/>
        </w:tabs>
      </w:pPr>
      <w:r>
        <w:fldChar w:fldCharType="begin"/>
      </w:r>
      <w:r>
        <w:instrText xml:space="preserve"> HYPERLINK \l _Toc8512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8.3 </w:t>
      </w:r>
      <w:r>
        <w:rPr>
          <w:rFonts w:hint="eastAsia"/>
          <w:highlight w:val="none"/>
        </w:rPr>
        <w:t>外观结构检查</w:t>
      </w:r>
      <w:r>
        <w:tab/>
      </w:r>
      <w:r>
        <w:fldChar w:fldCharType="begin"/>
      </w:r>
      <w:r>
        <w:instrText xml:space="preserve"> PAGEREF _Toc8512 \h </w:instrText>
      </w:r>
      <w:r>
        <w:fldChar w:fldCharType="separate"/>
      </w:r>
      <w:r>
        <w:t>14</w:t>
      </w:r>
      <w:r>
        <w:fldChar w:fldCharType="end"/>
      </w:r>
      <w:r>
        <w:fldChar w:fldCharType="end"/>
      </w:r>
    </w:p>
    <w:p>
      <w:pPr>
        <w:pStyle w:val="24"/>
        <w:tabs>
          <w:tab w:val="right" w:leader="dot" w:pos="9354"/>
          <w:tab w:val="clear" w:pos="9344"/>
        </w:tabs>
      </w:pPr>
      <w:r>
        <w:fldChar w:fldCharType="begin"/>
      </w:r>
      <w:r>
        <w:instrText xml:space="preserve"> HYPERLINK \l _Toc24270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8.4 </w:t>
      </w:r>
      <w:r>
        <w:rPr>
          <w:rFonts w:hint="eastAsia"/>
          <w:highlight w:val="none"/>
        </w:rPr>
        <w:t>性能试验</w:t>
      </w:r>
      <w:r>
        <w:tab/>
      </w:r>
      <w:r>
        <w:fldChar w:fldCharType="begin"/>
      </w:r>
      <w:r>
        <w:instrText xml:space="preserve"> PAGEREF _Toc24270 \h </w:instrText>
      </w:r>
      <w:r>
        <w:fldChar w:fldCharType="separate"/>
      </w:r>
      <w:r>
        <w:t>15</w:t>
      </w:r>
      <w:r>
        <w:fldChar w:fldCharType="end"/>
      </w:r>
      <w:r>
        <w:fldChar w:fldCharType="end"/>
      </w:r>
    </w:p>
    <w:p>
      <w:pPr>
        <w:pStyle w:val="24"/>
        <w:tabs>
          <w:tab w:val="right" w:leader="dot" w:pos="9354"/>
          <w:tab w:val="clear" w:pos="9344"/>
        </w:tabs>
      </w:pPr>
      <w:r>
        <w:fldChar w:fldCharType="begin"/>
      </w:r>
      <w:r>
        <w:instrText xml:space="preserve"> HYPERLINK \l _Toc17272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8.5 </w:t>
      </w:r>
      <w:r>
        <w:rPr>
          <w:rFonts w:hint="eastAsia"/>
          <w:highlight w:val="none"/>
        </w:rPr>
        <w:t>环境试验</w:t>
      </w:r>
      <w:r>
        <w:tab/>
      </w:r>
      <w:r>
        <w:fldChar w:fldCharType="begin"/>
      </w:r>
      <w:r>
        <w:instrText xml:space="preserve"> PAGEREF _Toc17272 \h </w:instrText>
      </w:r>
      <w:r>
        <w:fldChar w:fldCharType="separate"/>
      </w:r>
      <w:r>
        <w:t>17</w:t>
      </w:r>
      <w:r>
        <w:fldChar w:fldCharType="end"/>
      </w:r>
      <w:r>
        <w:fldChar w:fldCharType="end"/>
      </w:r>
    </w:p>
    <w:p>
      <w:pPr>
        <w:pStyle w:val="24"/>
        <w:tabs>
          <w:tab w:val="right" w:leader="dot" w:pos="9354"/>
          <w:tab w:val="clear" w:pos="9344"/>
        </w:tabs>
      </w:pPr>
      <w:r>
        <w:fldChar w:fldCharType="begin"/>
      </w:r>
      <w:r>
        <w:instrText xml:space="preserve"> HYPERLINK \l _Toc1451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8.6 </w:t>
      </w:r>
      <w:r>
        <w:rPr>
          <w:rFonts w:hint="eastAsia"/>
          <w:highlight w:val="none"/>
        </w:rPr>
        <w:t>电磁兼容试验</w:t>
      </w:r>
      <w:r>
        <w:tab/>
      </w:r>
      <w:r>
        <w:fldChar w:fldCharType="begin"/>
      </w:r>
      <w:r>
        <w:instrText xml:space="preserve"> PAGEREF _Toc1451 \h </w:instrText>
      </w:r>
      <w:r>
        <w:fldChar w:fldCharType="separate"/>
      </w:r>
      <w:r>
        <w:t>18</w:t>
      </w:r>
      <w:r>
        <w:fldChar w:fldCharType="end"/>
      </w:r>
      <w:r>
        <w:fldChar w:fldCharType="end"/>
      </w:r>
    </w:p>
    <w:p>
      <w:pPr>
        <w:pStyle w:val="19"/>
        <w:tabs>
          <w:tab w:val="right" w:leader="dot" w:pos="9354"/>
        </w:tabs>
      </w:pPr>
      <w:r>
        <w:fldChar w:fldCharType="begin"/>
      </w:r>
      <w:r>
        <w:instrText xml:space="preserve"> HYPERLINK \l _Toc21994 </w:instrText>
      </w:r>
      <w:r>
        <w:fldChar w:fldCharType="separate"/>
      </w:r>
      <w:r>
        <w:rPr>
          <w:rFonts w:hint="eastAsia" w:ascii="黑体" w:eastAsia="黑体"/>
          <w:i w:val="0"/>
        </w:rPr>
        <w:t xml:space="preserve">9 </w:t>
      </w:r>
      <w:r>
        <w:rPr>
          <w:rFonts w:ascii="Times New Roman"/>
          <w:highlight w:val="none"/>
        </w:rPr>
        <w:t>检验项目</w:t>
      </w:r>
      <w:r>
        <w:tab/>
      </w:r>
      <w:r>
        <w:fldChar w:fldCharType="begin"/>
      </w:r>
      <w:r>
        <w:instrText xml:space="preserve"> PAGEREF _Toc21994 \h </w:instrText>
      </w:r>
      <w:r>
        <w:fldChar w:fldCharType="separate"/>
      </w:r>
      <w:r>
        <w:t>21</w:t>
      </w:r>
      <w:r>
        <w:fldChar w:fldCharType="end"/>
      </w:r>
      <w:r>
        <w:fldChar w:fldCharType="end"/>
      </w:r>
    </w:p>
    <w:p>
      <w:pPr>
        <w:pStyle w:val="19"/>
        <w:tabs>
          <w:tab w:val="right" w:leader="dot" w:pos="9354"/>
        </w:tabs>
      </w:pPr>
      <w:r>
        <w:fldChar w:fldCharType="begin"/>
      </w:r>
      <w:r>
        <w:instrText xml:space="preserve"> HYPERLINK \l _Toc10841 </w:instrText>
      </w:r>
      <w:r>
        <w:fldChar w:fldCharType="separate"/>
      </w:r>
      <w:r>
        <w:rPr>
          <w:rFonts w:hint="eastAsia" w:ascii="黑体" w:eastAsia="黑体"/>
          <w:i w:val="0"/>
        </w:rPr>
        <w:t xml:space="preserve">10 </w:t>
      </w:r>
      <w:r>
        <w:rPr>
          <w:rFonts w:ascii="Times New Roman"/>
          <w:highlight w:val="none"/>
        </w:rPr>
        <w:t>标志、包装、运输及贮存条件</w:t>
      </w:r>
      <w:r>
        <w:tab/>
      </w:r>
      <w:r>
        <w:fldChar w:fldCharType="begin"/>
      </w:r>
      <w:r>
        <w:instrText xml:space="preserve"> PAGEREF _Toc10841 \h </w:instrText>
      </w:r>
      <w:r>
        <w:fldChar w:fldCharType="separate"/>
      </w:r>
      <w:r>
        <w:t>21</w:t>
      </w:r>
      <w:r>
        <w:fldChar w:fldCharType="end"/>
      </w:r>
      <w:r>
        <w:fldChar w:fldCharType="end"/>
      </w:r>
    </w:p>
    <w:p>
      <w:pPr>
        <w:pStyle w:val="24"/>
        <w:tabs>
          <w:tab w:val="right" w:leader="dot" w:pos="9354"/>
          <w:tab w:val="clear" w:pos="9344"/>
        </w:tabs>
      </w:pPr>
      <w:r>
        <w:fldChar w:fldCharType="begin"/>
      </w:r>
      <w:r>
        <w:instrText xml:space="preserve"> HYPERLINK \l _Toc120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10.1 </w:t>
      </w:r>
      <w:r>
        <w:rPr>
          <w:rFonts w:hint="eastAsia"/>
          <w:highlight w:val="none"/>
        </w:rPr>
        <w:t>标志</w:t>
      </w:r>
      <w:r>
        <w:tab/>
      </w:r>
      <w:r>
        <w:fldChar w:fldCharType="begin"/>
      </w:r>
      <w:r>
        <w:instrText xml:space="preserve"> PAGEREF _Toc120 \h </w:instrText>
      </w:r>
      <w:r>
        <w:fldChar w:fldCharType="separate"/>
      </w:r>
      <w:r>
        <w:t>21</w:t>
      </w:r>
      <w:r>
        <w:fldChar w:fldCharType="end"/>
      </w:r>
      <w:r>
        <w:fldChar w:fldCharType="end"/>
      </w:r>
    </w:p>
    <w:p>
      <w:pPr>
        <w:pStyle w:val="24"/>
        <w:tabs>
          <w:tab w:val="right" w:leader="dot" w:pos="9354"/>
          <w:tab w:val="clear" w:pos="9344"/>
        </w:tabs>
      </w:pPr>
      <w:r>
        <w:fldChar w:fldCharType="begin"/>
      </w:r>
      <w:r>
        <w:instrText xml:space="preserve"> HYPERLINK \l _Toc28424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10.2 </w:t>
      </w:r>
      <w:r>
        <w:rPr>
          <w:rFonts w:hint="eastAsia"/>
          <w:highlight w:val="none"/>
        </w:rPr>
        <w:t>包装</w:t>
      </w:r>
      <w:r>
        <w:tab/>
      </w:r>
      <w:r>
        <w:fldChar w:fldCharType="begin"/>
      </w:r>
      <w:r>
        <w:instrText xml:space="preserve"> PAGEREF _Toc28424 \h </w:instrText>
      </w:r>
      <w:r>
        <w:fldChar w:fldCharType="separate"/>
      </w:r>
      <w:r>
        <w:t>22</w:t>
      </w:r>
      <w:r>
        <w:fldChar w:fldCharType="end"/>
      </w:r>
      <w:r>
        <w:fldChar w:fldCharType="end"/>
      </w:r>
    </w:p>
    <w:p>
      <w:pPr>
        <w:pStyle w:val="24"/>
        <w:tabs>
          <w:tab w:val="right" w:leader="dot" w:pos="9354"/>
          <w:tab w:val="clear" w:pos="9344"/>
        </w:tabs>
      </w:pPr>
      <w:r>
        <w:fldChar w:fldCharType="begin"/>
      </w:r>
      <w:r>
        <w:instrText xml:space="preserve"> HYPERLINK \l _Toc22702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10.3 </w:t>
      </w:r>
      <w:r>
        <w:rPr>
          <w:rFonts w:hint="eastAsia"/>
          <w:highlight w:val="none"/>
        </w:rPr>
        <w:t>运输</w:t>
      </w:r>
      <w:r>
        <w:tab/>
      </w:r>
      <w:r>
        <w:fldChar w:fldCharType="begin"/>
      </w:r>
      <w:r>
        <w:instrText xml:space="preserve"> PAGEREF _Toc22702 \h </w:instrText>
      </w:r>
      <w:r>
        <w:fldChar w:fldCharType="separate"/>
      </w:r>
      <w:r>
        <w:t>22</w:t>
      </w:r>
      <w:r>
        <w:fldChar w:fldCharType="end"/>
      </w:r>
      <w:r>
        <w:fldChar w:fldCharType="end"/>
      </w:r>
    </w:p>
    <w:p>
      <w:pPr>
        <w:pStyle w:val="24"/>
        <w:tabs>
          <w:tab w:val="right" w:leader="dot" w:pos="9354"/>
          <w:tab w:val="clear" w:pos="9344"/>
        </w:tabs>
      </w:pPr>
      <w:r>
        <w:fldChar w:fldCharType="begin"/>
      </w:r>
      <w:r>
        <w:instrText xml:space="preserve"> HYPERLINK \l _Toc14508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10.4 </w:t>
      </w:r>
      <w:r>
        <w:rPr>
          <w:rFonts w:hint="eastAsia"/>
          <w:highlight w:val="none"/>
        </w:rPr>
        <w:t>贮存</w:t>
      </w:r>
      <w:r>
        <w:tab/>
      </w:r>
      <w:r>
        <w:fldChar w:fldCharType="begin"/>
      </w:r>
      <w:r>
        <w:instrText xml:space="preserve"> PAGEREF _Toc14508 \h </w:instrText>
      </w:r>
      <w:r>
        <w:fldChar w:fldCharType="separate"/>
      </w:r>
      <w:r>
        <w:t>22</w:t>
      </w:r>
      <w:r>
        <w:fldChar w:fldCharType="end"/>
      </w:r>
      <w:r>
        <w:fldChar w:fldCharType="end"/>
      </w:r>
    </w:p>
    <w:p>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2" w:name="_Toc3274"/>
      <w:bookmarkStart w:id="23" w:name="_Toc13164"/>
      <w:bookmarkStart w:id="24" w:name="BookMark2"/>
      <w:r>
        <w:rPr>
          <w:spacing w:val="320"/>
        </w:rPr>
        <w:t>前</w:t>
      </w:r>
      <w:r>
        <w:t>言</w:t>
      </w:r>
      <w:bookmarkEnd w:id="22"/>
      <w:bookmarkEnd w:id="23"/>
    </w:p>
    <w:p>
      <w:pPr>
        <w:pStyle w:val="56"/>
        <w:ind w:firstLine="420"/>
        <w:rPr>
          <w:rFonts w:hint="eastAsia"/>
        </w:rPr>
      </w:pPr>
      <w:r>
        <w:rPr>
          <w:rFonts w:hint="eastAsia"/>
        </w:rPr>
        <w:t>本文件按照GB/T 1.1—2020《标准化工作导则  第1部分：标准化文件的结构和起草规则》的规定起草。</w:t>
      </w:r>
    </w:p>
    <w:p>
      <w:pPr>
        <w:pStyle w:val="56"/>
        <w:ind w:firstLine="420"/>
        <w:rPr>
          <w:rFonts w:hint="eastAsia"/>
        </w:rPr>
      </w:pPr>
      <w:r>
        <w:rPr>
          <w:rFonts w:hint="eastAsia"/>
        </w:rPr>
        <w:t>本文件由</w:t>
      </w:r>
      <w:r>
        <w:rPr>
          <w:rFonts w:ascii="Times New Roman"/>
        </w:rPr>
        <w:t>广西壮族自治区工业和信息化厅</w:t>
      </w:r>
      <w:r>
        <w:rPr>
          <w:rFonts w:hint="eastAsia"/>
        </w:rPr>
        <w:t>提出。</w:t>
      </w:r>
    </w:p>
    <w:p>
      <w:pPr>
        <w:pStyle w:val="56"/>
        <w:ind w:firstLine="420"/>
        <w:rPr>
          <w:rFonts w:hint="eastAsia"/>
        </w:rPr>
      </w:pPr>
      <w:r>
        <w:rPr>
          <w:rFonts w:hint="eastAsia"/>
        </w:rPr>
        <w:t>本文件由××××归口。</w:t>
      </w:r>
    </w:p>
    <w:p>
      <w:pPr>
        <w:pStyle w:val="56"/>
        <w:ind w:firstLine="420"/>
        <w:rPr>
          <w:rFonts w:hint="eastAsia"/>
        </w:rPr>
      </w:pPr>
      <w:r>
        <w:rPr>
          <w:rFonts w:hint="eastAsia"/>
        </w:rPr>
        <w:t>本文件起草单位：××××</w:t>
      </w:r>
    </w:p>
    <w:p>
      <w:pPr>
        <w:pStyle w:val="56"/>
        <w:ind w:firstLine="420"/>
        <w:rPr>
          <w:rFonts w:hint="eastAsia"/>
        </w:rPr>
      </w:pPr>
      <w:r>
        <w:rPr>
          <w:rFonts w:hint="eastAsia"/>
        </w:rPr>
        <w:t>本文件主要起草人：××××</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color w:val="auto"/>
          <w:sz w:val="32"/>
          <w:szCs w:val="32"/>
          <w:highlight w:val="none"/>
        </w:rPr>
      </w:pPr>
      <w:bookmarkStart w:id="25" w:name="BookMark4"/>
    </w:p>
    <w:p>
      <w:pPr>
        <w:spacing w:line="20" w:lineRule="exact"/>
        <w:jc w:val="center"/>
        <w:rPr>
          <w:rFonts w:ascii="黑体" w:hAnsi="黑体" w:eastAsia="黑体"/>
          <w:color w:val="auto"/>
          <w:sz w:val="32"/>
          <w:szCs w:val="32"/>
          <w:highlight w:val="none"/>
        </w:rPr>
      </w:pPr>
    </w:p>
    <w:sdt>
      <w:sdtPr>
        <w:rPr>
          <w:color w:val="auto"/>
          <w:highlight w:val="none"/>
        </w:rPr>
        <w:tag w:val="NEW_STAND_NAME"/>
        <w:id w:val="595910757"/>
        <w:lock w:val="sdtLocked"/>
        <w:placeholder>
          <w:docPart w:val="90371625C5B441B29298A67CB5AFC0AB"/>
        </w:placeholder>
      </w:sdtPr>
      <w:sdtEndPr>
        <w:rPr>
          <w:color w:val="auto"/>
          <w:highlight w:val="none"/>
        </w:rPr>
      </w:sdtEndPr>
      <w:sdtContent>
        <w:p>
          <w:pPr>
            <w:pStyle w:val="177"/>
            <w:spacing w:before="3" w:beforeLines="1" w:after="686" w:afterLines="220"/>
            <w:rPr>
              <w:color w:val="auto"/>
              <w:highlight w:val="none"/>
            </w:rPr>
          </w:pPr>
          <w:bookmarkStart w:id="26" w:name="NEW_STAND_NAME"/>
          <w:r>
            <w:rPr>
              <w:rFonts w:hint="eastAsia"/>
              <w:color w:val="auto"/>
              <w:highlight w:val="none"/>
            </w:rPr>
            <w:t>微型智能电流传感器技术规范</w:t>
          </w:r>
        </w:p>
      </w:sdtContent>
    </w:sdt>
    <w:bookmarkEnd w:id="26"/>
    <w:p>
      <w:pPr>
        <w:pStyle w:val="104"/>
        <w:spacing w:before="312" w:after="312"/>
        <w:rPr>
          <w:color w:val="auto"/>
          <w:highlight w:val="none"/>
        </w:rPr>
      </w:pPr>
      <w:bookmarkStart w:id="27" w:name="_Toc24884218"/>
      <w:bookmarkStart w:id="28" w:name="_Toc17233333"/>
      <w:bookmarkStart w:id="29" w:name="_Toc26648465"/>
      <w:bookmarkStart w:id="30" w:name="_Toc26718930"/>
      <w:bookmarkStart w:id="31" w:name="_Toc26986771"/>
      <w:bookmarkStart w:id="32" w:name="_Toc26986530"/>
      <w:bookmarkStart w:id="33" w:name="_Toc17233325"/>
      <w:bookmarkStart w:id="34" w:name="_Toc4781"/>
      <w:bookmarkStart w:id="35" w:name="_Toc97191423"/>
      <w:bookmarkStart w:id="36" w:name="_Toc24884211"/>
      <w:bookmarkStart w:id="37" w:name="_Toc13735"/>
      <w:r>
        <w:rPr>
          <w:rFonts w:hint="eastAsia"/>
          <w:color w:val="auto"/>
          <w:highlight w:val="none"/>
        </w:rPr>
        <w:t>范围</w:t>
      </w:r>
      <w:bookmarkEnd w:id="27"/>
      <w:bookmarkEnd w:id="28"/>
      <w:bookmarkEnd w:id="29"/>
      <w:bookmarkEnd w:id="30"/>
      <w:bookmarkEnd w:id="31"/>
      <w:bookmarkEnd w:id="32"/>
      <w:bookmarkEnd w:id="33"/>
      <w:bookmarkEnd w:id="34"/>
      <w:bookmarkEnd w:id="35"/>
      <w:bookmarkEnd w:id="36"/>
      <w:bookmarkEnd w:id="37"/>
    </w:p>
    <w:p>
      <w:pPr>
        <w:pStyle w:val="56"/>
        <w:ind w:firstLine="420"/>
        <w:rPr>
          <w:rFonts w:hint="eastAsia"/>
          <w:color w:val="auto"/>
          <w:highlight w:val="none"/>
        </w:rPr>
      </w:pPr>
      <w:bookmarkStart w:id="38" w:name="_Toc24884212"/>
      <w:bookmarkStart w:id="39" w:name="_Toc26648466"/>
      <w:bookmarkStart w:id="40" w:name="_Toc24884219"/>
      <w:bookmarkStart w:id="41" w:name="_Toc17233326"/>
      <w:bookmarkStart w:id="42" w:name="_Toc17233334"/>
      <w:r>
        <w:rPr>
          <w:rFonts w:hint="eastAsia"/>
          <w:color w:val="auto"/>
          <w:highlight w:val="none"/>
        </w:rPr>
        <w:t>本文件规定了微型智能电流传感器的组成、技术要求、使用、安装、运输条件与试验要求。</w:t>
      </w:r>
    </w:p>
    <w:p>
      <w:pPr>
        <w:pStyle w:val="56"/>
        <w:ind w:firstLine="420"/>
        <w:rPr>
          <w:color w:val="auto"/>
          <w:highlight w:val="none"/>
        </w:rPr>
      </w:pPr>
      <w:r>
        <w:rPr>
          <w:rFonts w:hint="eastAsia"/>
          <w:color w:val="auto"/>
          <w:highlight w:val="none"/>
        </w:rPr>
        <w:t>本文件适用于微型智能电流传感器的设计、制造、安装、试验与采购。</w:t>
      </w:r>
    </w:p>
    <w:p>
      <w:pPr>
        <w:pStyle w:val="104"/>
        <w:spacing w:before="312" w:after="312"/>
        <w:rPr>
          <w:color w:val="auto"/>
          <w:highlight w:val="none"/>
        </w:rPr>
      </w:pPr>
      <w:bookmarkStart w:id="43" w:name="_Toc26718931"/>
      <w:bookmarkStart w:id="44" w:name="_Toc26986531"/>
      <w:bookmarkStart w:id="45" w:name="_Toc26986772"/>
      <w:bookmarkStart w:id="46" w:name="_Toc97191424"/>
      <w:bookmarkStart w:id="47" w:name="_Toc23444"/>
      <w:bookmarkStart w:id="48" w:name="_Toc29813"/>
      <w:r>
        <w:rPr>
          <w:rFonts w:hint="eastAsia"/>
          <w:color w:val="auto"/>
          <w:highlight w:val="none"/>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color w:val="auto"/>
          <w:highlight w:val="none"/>
        </w:rPr>
        <w:id w:val="715848253"/>
        <w:placeholder>
          <w:docPart w:val="ABDD956548744B79953E6CFAA62A28D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highlight w:val="none"/>
        </w:rPr>
      </w:sdtEndPr>
      <w:sdtContent>
        <w:p>
          <w:pPr>
            <w:pStyle w:val="56"/>
            <w:ind w:firstLine="420"/>
            <w:rPr>
              <w:color w:val="auto"/>
              <w:highlight w:val="none"/>
            </w:rPr>
          </w:pPr>
          <w:r>
            <w:rPr>
              <w:rFonts w:hint="eastAsia"/>
              <w:color w:val="auto"/>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7665  传感器通用术语</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33905.3</w:t>
      </w:r>
      <w:r>
        <w:rPr>
          <w:rFonts w:ascii="Times New Roman" w:hAnsi="Times New Roman"/>
          <w:color w:val="auto"/>
          <w:szCs w:val="22"/>
          <w:highlight w:val="none"/>
        </w:rPr>
        <w:tab/>
      </w:r>
      <w:r>
        <w:rPr>
          <w:rFonts w:hint="eastAsia" w:ascii="Times New Roman" w:hAnsi="Times New Roman" w:eastAsia="宋体"/>
          <w:color w:val="auto"/>
          <w:szCs w:val="22"/>
          <w:highlight w:val="none"/>
        </w:rPr>
        <w:t xml:space="preserve"> </w:t>
      </w:r>
      <w:r>
        <w:rPr>
          <w:rFonts w:ascii="Times New Roman" w:hAnsi="Times New Roman"/>
          <w:color w:val="auto"/>
          <w:szCs w:val="22"/>
          <w:highlight w:val="none"/>
        </w:rPr>
        <w:t>智能传感器 第3部分：术语</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18459  传感器主要静态性能指标计算方法</w:t>
      </w:r>
    </w:p>
    <w:p>
      <w:pPr>
        <w:pStyle w:val="230"/>
        <w:ind w:firstLine="420"/>
        <w:rPr>
          <w:rFonts w:ascii="Times New Roman" w:hAnsi="Times New Roman"/>
          <w:color w:val="auto"/>
          <w:highlight w:val="none"/>
        </w:rPr>
      </w:pPr>
      <w:r>
        <w:rPr>
          <w:rFonts w:ascii="Times New Roman" w:hAnsi="Times New Roman"/>
          <w:color w:val="auto"/>
          <w:szCs w:val="22"/>
          <w:highlight w:val="none"/>
        </w:rPr>
        <w:t>GB/T 22386</w:t>
      </w:r>
      <w:r>
        <w:rPr>
          <w:rFonts w:ascii="Times New Roman" w:hAnsi="Times New Roman"/>
          <w:color w:val="auto"/>
          <w:highlight w:val="none"/>
        </w:rPr>
        <w:tab/>
      </w:r>
      <w:r>
        <w:rPr>
          <w:rFonts w:ascii="Times New Roman" w:hAnsi="Times New Roman"/>
          <w:color w:val="auto"/>
          <w:highlight w:val="none"/>
        </w:rPr>
        <w:t>电力系统暂态数据交换通用格式</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22239</w:t>
      </w:r>
      <w:r>
        <w:rPr>
          <w:rFonts w:ascii="Times New Roman" w:hAnsi="Times New Roman"/>
          <w:color w:val="auto"/>
          <w:szCs w:val="22"/>
          <w:highlight w:val="none"/>
        </w:rPr>
        <w:tab/>
      </w:r>
      <w:r>
        <w:rPr>
          <w:rFonts w:ascii="Times New Roman" w:hAnsi="Times New Roman"/>
          <w:color w:val="auto"/>
          <w:szCs w:val="22"/>
          <w:highlight w:val="none"/>
        </w:rPr>
        <w:t>信息安全技术网络安全等级保护基本要求</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2423.1  电工电子产品环境试验 第2部分：试验方法 试验A：低温</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2423.2  电工电子产品环境试验 第2部分：试验方法 试验B：高温</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2423.3  环境试验 第2部分：试验方法 试验Cab：恒定湿热试验</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2423.10  环境试验 第2部分: 试验方法 试验Fc: 振动(正弦)</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2423.22  环境试验 第2部分：试验方法 试验N：温度变化</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2423.37  电工电子产品环境试验 第2部分：试验方法 试验L：沙尘试验</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2423.38  电工电子产品环境试验 第2部分：试验方法 试验R：水试验方法和导则</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 4208  外壳防护等级(IP代码)</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10125</w:t>
      </w:r>
      <w:r>
        <w:rPr>
          <w:rFonts w:ascii="Times New Roman" w:hAnsi="Times New Roman" w:eastAsia="宋体"/>
          <w:color w:val="auto"/>
          <w:szCs w:val="22"/>
          <w:highlight w:val="none"/>
        </w:rPr>
        <w:t xml:space="preserve"> </w:t>
      </w:r>
      <w:r>
        <w:rPr>
          <w:rFonts w:ascii="Times New Roman" w:hAnsi="Times New Roman"/>
          <w:color w:val="auto"/>
          <w:szCs w:val="22"/>
          <w:highlight w:val="none"/>
        </w:rPr>
        <w:t>人造气氛腐蚀试验 盐雾试验</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17626.2  电磁兼容 试验和测量技术 静电放电抗扰度试验</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17626.3  电磁兼容 试验和测量技术 射频电磁场辐射抗扰度试验</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17626.4  电磁兼容 试验和测量技术 电快速瞬变脉冲群抗扰度试验</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17626.5  电磁兼容 试验和测量技术 浪涌(冲击)抗扰度试验</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17626.6  电磁兼容 试验和测量技术 射频场感应的传导骚扰度试验</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 T 17626.8  电磁兼容 试验和测量技术 工频磁场抗扰度试验</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 T 17626.9  电磁兼容 试验和测量技术 脉冲磁场抗扰度试验</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 T 17626.10  电磁兼容 试验和测量技术 阻尼震荡磁场抗扰度试验</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17626.11  电磁兼容 试验和测量技术 电压暂降、短时中断和电压变化的抗扰度试验</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17626.13  电磁兼容 试验和测量技术 交流电源端口谐波、谐间波及电网信号的低频抗扰度试验</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17626.16  电磁兼容 实验和测量技术 0 Hz-150kHz共模传导骚扰抗扰度实验</w:t>
      </w:r>
    </w:p>
    <w:p>
      <w:pPr>
        <w:pStyle w:val="230"/>
        <w:ind w:firstLine="420"/>
        <w:rPr>
          <w:rFonts w:ascii="Times New Roman" w:hAnsi="Times New Roman"/>
          <w:color w:val="auto"/>
          <w:szCs w:val="22"/>
          <w:highlight w:val="none"/>
        </w:rPr>
      </w:pPr>
      <w:r>
        <w:rPr>
          <w:rFonts w:ascii="Times New Roman" w:hAnsi="Times New Roman"/>
          <w:color w:val="auto"/>
          <w:szCs w:val="22"/>
          <w:highlight w:val="none"/>
        </w:rPr>
        <w:t>GB/T 17626.18  电磁兼容 实验和测量技术 阻尼震荡波抗扰度试验</w:t>
      </w:r>
    </w:p>
    <w:p>
      <w:pPr>
        <w:pStyle w:val="56"/>
        <w:ind w:firstLine="420"/>
        <w:rPr>
          <w:rFonts w:hint="eastAsia" w:ascii="Times New Roman"/>
          <w:color w:val="auto"/>
          <w:highlight w:val="none"/>
        </w:rPr>
      </w:pPr>
      <w:r>
        <w:rPr>
          <w:rFonts w:ascii="Times New Roman"/>
          <w:color w:val="auto"/>
          <w:szCs w:val="22"/>
          <w:highlight w:val="none"/>
        </w:rPr>
        <w:t>GB/T 17626.29  电磁兼容 试验和测量技术 直流电源输入端口电压暂降、短时中断和电压变化的抗扰度试验</w:t>
      </w:r>
    </w:p>
    <w:p>
      <w:pPr>
        <w:pStyle w:val="104"/>
        <w:spacing w:before="312" w:after="312"/>
        <w:rPr>
          <w:color w:val="auto"/>
          <w:highlight w:val="none"/>
        </w:rPr>
      </w:pPr>
      <w:bookmarkStart w:id="49" w:name="_Toc97191425"/>
      <w:bookmarkStart w:id="50" w:name="_Toc32670"/>
      <w:bookmarkStart w:id="51" w:name="_Toc3146"/>
      <w:r>
        <w:rPr>
          <w:rFonts w:hint="eastAsia"/>
          <w:color w:val="auto"/>
          <w:szCs w:val="21"/>
          <w:highlight w:val="none"/>
        </w:rPr>
        <w:t>术语和定义</w:t>
      </w:r>
      <w:bookmarkEnd w:id="49"/>
      <w:bookmarkEnd w:id="50"/>
      <w:bookmarkEnd w:id="51"/>
    </w:p>
    <w:sdt>
      <w:sdtPr>
        <w:rPr>
          <w:color w:val="auto"/>
          <w:highlight w:val="none"/>
        </w:rPr>
        <w:id w:val="-1909835108"/>
        <w:placeholder>
          <w:docPart w:val="4041ED49A8534187A9379E4EF3C32BD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highlight w:val="none"/>
        </w:rPr>
      </w:sdtEndPr>
      <w:sdtContent>
        <w:p>
          <w:pPr>
            <w:pStyle w:val="56"/>
            <w:ind w:firstLine="420"/>
            <w:rPr>
              <w:color w:val="auto"/>
              <w:highlight w:val="none"/>
            </w:rPr>
          </w:pPr>
          <w:bookmarkStart w:id="52" w:name="_Toc26986532"/>
          <w:bookmarkEnd w:id="52"/>
          <w:r>
            <w:rPr>
              <w:color w:val="auto"/>
              <w:highlight w:val="none"/>
            </w:rPr>
            <w:t>下列术语和定义适用于本文件。</w:t>
          </w:r>
        </w:p>
      </w:sdtContent>
    </w:sdt>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szCs w:val="22"/>
          <w:highlight w:val="none"/>
        </w:rPr>
      </w:pPr>
      <w:bookmarkStart w:id="53" w:name="_Toc12065"/>
      <w:bookmarkStart w:id="54" w:name="_Toc25963"/>
      <w:bookmarkStart w:id="55" w:name="_Toc1724"/>
      <w:bookmarkStart w:id="56" w:name="_Hlk131516140"/>
      <w:r>
        <w:rPr>
          <w:color w:val="auto"/>
          <w:szCs w:val="22"/>
          <w:highlight w:val="none"/>
        </w:rPr>
        <w:t>传感器 sensor</w:t>
      </w:r>
      <w:bookmarkEnd w:id="53"/>
      <w:bookmarkEnd w:id="54"/>
      <w:bookmarkEnd w:id="55"/>
    </w:p>
    <w:bookmarkEnd w:id="56"/>
    <w:p>
      <w:pPr>
        <w:ind w:firstLine="420" w:firstLineChars="200"/>
        <w:rPr>
          <w:rFonts w:ascii="Times New Roman" w:hAnsi="Times New Roman"/>
          <w:color w:val="auto"/>
          <w:szCs w:val="32"/>
          <w:highlight w:val="none"/>
        </w:rPr>
      </w:pPr>
      <w:bookmarkStart w:id="57" w:name="_Hlk131516174"/>
      <w:r>
        <w:rPr>
          <w:rFonts w:ascii="Times New Roman" w:hAnsi="Times New Roman"/>
          <w:color w:val="auto"/>
          <w:szCs w:val="32"/>
          <w:highlight w:val="none"/>
        </w:rPr>
        <w:t>能感受被测量并按照一定的规律转换成可用输出信号的器件或装置，通常由敏感元件和转换元件组成。</w:t>
      </w:r>
      <w:bookmarkStart w:id="58" w:name="_Toc225940076"/>
      <w:bookmarkEnd w:id="58"/>
      <w:bookmarkStart w:id="59" w:name="_Toc225940077"/>
      <w:bookmarkStart w:id="60" w:name="_Toc225940267"/>
    </w:p>
    <w:p>
      <w:pPr>
        <w:pStyle w:val="231"/>
        <w:spacing w:before="156" w:after="156"/>
        <w:rPr>
          <w:rFonts w:ascii="Times New Roman" w:hAnsi="Times New Roman"/>
          <w:color w:val="auto"/>
          <w:highlight w:val="none"/>
        </w:rPr>
      </w:pPr>
      <w:r>
        <w:rPr>
          <w:rFonts w:ascii="Times New Roman" w:hAnsi="Times New Roman"/>
          <w:color w:val="auto"/>
          <w:highlight w:val="none"/>
        </w:rPr>
        <w:t>敏感元件(sensing element)指传感器中能直接感受或响应被测量的部分。</w:t>
      </w:r>
    </w:p>
    <w:p>
      <w:pPr>
        <w:pStyle w:val="231"/>
        <w:spacing w:before="156" w:after="156"/>
        <w:rPr>
          <w:rFonts w:ascii="Times New Roman" w:hAnsi="Times New Roman"/>
          <w:color w:val="auto"/>
          <w:highlight w:val="none"/>
        </w:rPr>
      </w:pPr>
      <w:r>
        <w:rPr>
          <w:rFonts w:ascii="Times New Roman" w:hAnsi="Times New Roman"/>
          <w:color w:val="auto"/>
          <w:highlight w:val="none"/>
        </w:rPr>
        <w:t>转换元件(transducing element)，指传感器中能将敏感元件感受或响应的被测量转换成适于传输或测量的电信号部分。</w:t>
      </w:r>
    </w:p>
    <w:p>
      <w:pPr>
        <w:pStyle w:val="231"/>
        <w:spacing w:before="156" w:after="156"/>
        <w:rPr>
          <w:rFonts w:ascii="Times New Roman" w:hAnsi="Times New Roman"/>
          <w:color w:val="auto"/>
          <w:highlight w:val="none"/>
        </w:rPr>
      </w:pPr>
      <w:r>
        <w:rPr>
          <w:rFonts w:ascii="Times New Roman" w:hAnsi="Times New Roman"/>
          <w:color w:val="auto"/>
          <w:highlight w:val="none"/>
        </w:rPr>
        <w:t>当输出为规定的标准信号时</w:t>
      </w:r>
      <w:r>
        <w:rPr>
          <w:rFonts w:hint="eastAsia" w:ascii="Times New Roman" w:hAnsi="Times New Roman" w:eastAsia="宋体"/>
          <w:color w:val="auto"/>
          <w:highlight w:val="none"/>
        </w:rPr>
        <w:t>，</w:t>
      </w:r>
      <w:r>
        <w:rPr>
          <w:rFonts w:ascii="Times New Roman" w:hAnsi="Times New Roman"/>
          <w:color w:val="auto"/>
          <w:highlight w:val="none"/>
        </w:rPr>
        <w:t>则称为变送器(transmitter)。</w:t>
      </w:r>
    </w:p>
    <w:p>
      <w:pPr>
        <w:pStyle w:val="231"/>
        <w:numPr>
          <w:ilvl w:val="1"/>
          <w:numId w:val="0"/>
        </w:numPr>
        <w:tabs>
          <w:tab w:val="clear" w:pos="920"/>
        </w:tabs>
        <w:spacing w:before="156" w:after="156"/>
        <w:ind w:left="420"/>
        <w:rPr>
          <w:rFonts w:ascii="Times New Roman" w:hAnsi="Times New Roman"/>
          <w:color w:val="auto"/>
          <w:highlight w:val="none"/>
        </w:rPr>
      </w:pPr>
      <w:r>
        <w:rPr>
          <w:rFonts w:hint="eastAsia" w:ascii="Times New Roman" w:hAnsi="Times New Roman" w:eastAsia="宋体"/>
          <w:color w:val="auto"/>
          <w:sz w:val="21"/>
          <w:szCs w:val="21"/>
          <w:highlight w:val="none"/>
        </w:rPr>
        <w:t>[</w:t>
      </w:r>
      <w:r>
        <w:rPr>
          <w:rFonts w:ascii="Times New Roman" w:hAnsi="Times New Roman"/>
          <w:color w:val="auto"/>
          <w:sz w:val="21"/>
          <w:szCs w:val="21"/>
          <w:highlight w:val="none"/>
        </w:rPr>
        <w:t>GB/T 7665</w:t>
      </w:r>
      <w:r>
        <w:rPr>
          <w:rFonts w:hint="eastAsia" w:ascii="Times New Roman" w:hAnsi="Times New Roman" w:eastAsia="宋体"/>
          <w:color w:val="auto"/>
          <w:sz w:val="21"/>
          <w:szCs w:val="21"/>
          <w:highlight w:val="none"/>
        </w:rPr>
        <w:t>-2005，3.1.1]</w:t>
      </w:r>
      <w:bookmarkEnd w:id="57"/>
    </w:p>
    <w:bookmarkEnd w:id="59"/>
    <w:bookmarkEnd w:id="60"/>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szCs w:val="22"/>
          <w:highlight w:val="none"/>
        </w:rPr>
      </w:pPr>
      <w:bookmarkStart w:id="61" w:name="_Toc579"/>
      <w:bookmarkEnd w:id="61"/>
      <w:bookmarkStart w:id="62" w:name="_Toc23637"/>
      <w:bookmarkEnd w:id="62"/>
      <w:bookmarkStart w:id="63" w:name="_Toc6239"/>
      <w:bookmarkEnd w:id="63"/>
      <w:bookmarkStart w:id="64" w:name="_Toc18379"/>
      <w:bookmarkStart w:id="65" w:name="_Toc28892"/>
      <w:bookmarkStart w:id="66" w:name="_Toc21894"/>
      <w:bookmarkStart w:id="67" w:name="_Hlk131516209"/>
      <w:r>
        <w:rPr>
          <w:color w:val="auto"/>
          <w:szCs w:val="22"/>
          <w:highlight w:val="none"/>
        </w:rPr>
        <w:t>智能传感器 smart sensor</w:t>
      </w:r>
      <w:bookmarkEnd w:id="64"/>
      <w:bookmarkEnd w:id="65"/>
      <w:bookmarkEnd w:id="66"/>
    </w:p>
    <w:bookmarkEnd w:id="67"/>
    <w:p>
      <w:pPr>
        <w:ind w:firstLine="420" w:firstLineChars="200"/>
        <w:rPr>
          <w:rFonts w:ascii="Times New Roman" w:hAnsi="Times New Roman"/>
          <w:color w:val="auto"/>
          <w:szCs w:val="32"/>
          <w:highlight w:val="none"/>
        </w:rPr>
      </w:pPr>
      <w:bookmarkStart w:id="68" w:name="_Hlk131516225"/>
      <w:bookmarkStart w:id="69" w:name="_Hlk131516278"/>
      <w:r>
        <w:rPr>
          <w:rFonts w:ascii="Times New Roman" w:hAnsi="Times New Roman"/>
          <w:color w:val="auto"/>
          <w:szCs w:val="32"/>
          <w:highlight w:val="none"/>
        </w:rPr>
        <w:t>对传感器自身状态具有一定的自诊断、自补偿、自适应能力以及双向通讯功能的传感器。</w:t>
      </w:r>
    </w:p>
    <w:p>
      <w:pPr>
        <w:pStyle w:val="231"/>
        <w:numPr>
          <w:ilvl w:val="1"/>
          <w:numId w:val="0"/>
        </w:numPr>
        <w:tabs>
          <w:tab w:val="clear" w:pos="920"/>
        </w:tabs>
        <w:spacing w:before="156" w:after="156"/>
        <w:ind w:left="420"/>
        <w:rPr>
          <w:rFonts w:ascii="Times New Roman" w:hAnsi="Times New Roman"/>
          <w:color w:val="auto"/>
          <w:highlight w:val="none"/>
        </w:rPr>
      </w:pPr>
      <w:r>
        <w:rPr>
          <w:rFonts w:ascii="Times New Roman" w:hAnsi="Times New Roman"/>
          <w:color w:val="auto"/>
          <w:highlight w:val="none"/>
        </w:rPr>
        <w:t>注：智能传感器是包含数据处理装置的传感器，传感器是智能传感器必不可少的组成部分。</w:t>
      </w:r>
      <w:bookmarkStart w:id="70" w:name="_Toc9701"/>
      <w:bookmarkEnd w:id="70"/>
      <w:bookmarkStart w:id="71" w:name="_Toc9058"/>
      <w:bookmarkEnd w:id="71"/>
      <w:bookmarkStart w:id="72" w:name="_Toc225940078"/>
      <w:bookmarkEnd w:id="72"/>
      <w:bookmarkStart w:id="73" w:name="_Toc25838"/>
      <w:bookmarkEnd w:id="73"/>
      <w:bookmarkStart w:id="74" w:name="_Toc225940079"/>
      <w:bookmarkStart w:id="75" w:name="_Toc225940268"/>
    </w:p>
    <w:p>
      <w:pPr>
        <w:pStyle w:val="231"/>
        <w:numPr>
          <w:ilvl w:val="1"/>
          <w:numId w:val="0"/>
        </w:numPr>
        <w:tabs>
          <w:tab w:val="clear" w:pos="920"/>
        </w:tabs>
        <w:spacing w:before="156" w:after="156"/>
        <w:ind w:left="420"/>
        <w:rPr>
          <w:rFonts w:hint="eastAsia" w:ascii="Times New Roman" w:hAnsi="Times New Roman" w:eastAsiaTheme="minorEastAsia"/>
          <w:color w:val="auto"/>
          <w:highlight w:val="none"/>
        </w:rPr>
      </w:pPr>
      <w:r>
        <w:rPr>
          <w:rFonts w:hint="eastAsia" w:ascii="Times New Roman" w:hAnsi="Times New Roman" w:eastAsia="宋体"/>
          <w:color w:val="auto"/>
          <w:sz w:val="21"/>
          <w:szCs w:val="21"/>
          <w:highlight w:val="none"/>
        </w:rPr>
        <w:t>[</w:t>
      </w:r>
      <w:r>
        <w:rPr>
          <w:rFonts w:ascii="Times New Roman" w:hAnsi="Times New Roman"/>
          <w:color w:val="auto"/>
          <w:sz w:val="21"/>
          <w:szCs w:val="21"/>
          <w:highlight w:val="none"/>
        </w:rPr>
        <w:t>GB/T 7665</w:t>
      </w:r>
      <w:r>
        <w:rPr>
          <w:rFonts w:hint="eastAsia" w:ascii="Times New Roman" w:hAnsi="Times New Roman" w:eastAsia="宋体"/>
          <w:color w:val="auto"/>
          <w:sz w:val="21"/>
          <w:szCs w:val="21"/>
          <w:highlight w:val="none"/>
        </w:rPr>
        <w:t>-2005，3.1.12]</w:t>
      </w:r>
      <w:bookmarkEnd w:id="68"/>
      <w:bookmarkEnd w:id="69"/>
    </w:p>
    <w:bookmarkEnd w:id="74"/>
    <w:bookmarkEnd w:id="75"/>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szCs w:val="22"/>
          <w:highlight w:val="none"/>
        </w:rPr>
      </w:pPr>
      <w:bookmarkStart w:id="76" w:name="_Toc15375"/>
      <w:bookmarkStart w:id="77" w:name="_Toc25336"/>
      <w:bookmarkStart w:id="78" w:name="_Toc8595"/>
      <w:bookmarkStart w:id="79" w:name="_Hlk131517000"/>
      <w:r>
        <w:rPr>
          <w:color w:val="auto"/>
          <w:szCs w:val="22"/>
          <w:highlight w:val="none"/>
        </w:rPr>
        <w:t>微传感器 micro sensor</w:t>
      </w:r>
      <w:bookmarkEnd w:id="76"/>
      <w:bookmarkEnd w:id="77"/>
      <w:bookmarkEnd w:id="78"/>
    </w:p>
    <w:p>
      <w:pPr>
        <w:pStyle w:val="231"/>
        <w:numPr>
          <w:ilvl w:val="1"/>
          <w:numId w:val="0"/>
        </w:numPr>
        <w:tabs>
          <w:tab w:val="clear" w:pos="920"/>
        </w:tabs>
        <w:spacing w:before="156" w:after="156"/>
        <w:ind w:left="420"/>
        <w:rPr>
          <w:rFonts w:ascii="Times New Roman" w:hAnsi="Times New Roman"/>
          <w:color w:val="auto"/>
          <w:highlight w:val="none"/>
        </w:rPr>
      </w:pPr>
      <w:r>
        <w:rPr>
          <w:rFonts w:ascii="Times New Roman" w:hAnsi="Times New Roman" w:eastAsia="宋体"/>
          <w:color w:val="auto"/>
          <w:kern w:val="2"/>
          <w:sz w:val="21"/>
          <w:szCs w:val="32"/>
          <w:highlight w:val="none"/>
        </w:rPr>
        <w:t>采用微加工技术制造的传感器。</w:t>
      </w:r>
    </w:p>
    <w:p>
      <w:pPr>
        <w:pStyle w:val="231"/>
        <w:numPr>
          <w:ilvl w:val="1"/>
          <w:numId w:val="0"/>
        </w:numPr>
        <w:tabs>
          <w:tab w:val="clear" w:pos="920"/>
        </w:tabs>
        <w:spacing w:before="156" w:after="156"/>
        <w:ind w:left="420"/>
        <w:rPr>
          <w:rFonts w:hint="eastAsia" w:ascii="Times New Roman" w:hAnsi="Times New Roman"/>
          <w:color w:val="auto"/>
          <w:highlight w:val="none"/>
        </w:rPr>
      </w:pPr>
      <w:r>
        <w:rPr>
          <w:rFonts w:hint="eastAsia" w:ascii="Times New Roman" w:hAnsi="Times New Roman" w:eastAsia="宋体"/>
          <w:color w:val="auto"/>
          <w:sz w:val="21"/>
          <w:szCs w:val="21"/>
          <w:highlight w:val="none"/>
        </w:rPr>
        <w:t>[</w:t>
      </w:r>
      <w:r>
        <w:rPr>
          <w:rFonts w:ascii="Times New Roman" w:hAnsi="Times New Roman"/>
          <w:color w:val="auto"/>
          <w:sz w:val="21"/>
          <w:szCs w:val="21"/>
          <w:highlight w:val="none"/>
        </w:rPr>
        <w:t>GB/T 7665</w:t>
      </w:r>
      <w:r>
        <w:rPr>
          <w:rFonts w:hint="eastAsia" w:ascii="Times New Roman" w:hAnsi="Times New Roman" w:eastAsia="宋体"/>
          <w:color w:val="auto"/>
          <w:sz w:val="21"/>
          <w:szCs w:val="21"/>
          <w:highlight w:val="none"/>
        </w:rPr>
        <w:t>-2005，3.1.13]</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szCs w:val="22"/>
          <w:highlight w:val="none"/>
        </w:rPr>
      </w:pPr>
      <w:bookmarkStart w:id="80" w:name="_Toc225940080"/>
      <w:bookmarkEnd w:id="80"/>
      <w:bookmarkStart w:id="81" w:name="_Toc9548"/>
      <w:bookmarkEnd w:id="81"/>
      <w:bookmarkStart w:id="82" w:name="_Toc28305"/>
      <w:bookmarkEnd w:id="82"/>
      <w:bookmarkStart w:id="83" w:name="_Toc9614"/>
      <w:bookmarkEnd w:id="83"/>
      <w:bookmarkStart w:id="84" w:name="_Toc27992"/>
      <w:bookmarkStart w:id="85" w:name="_Toc13964"/>
      <w:bookmarkStart w:id="86" w:name="_Toc28828"/>
      <w:r>
        <w:rPr>
          <w:color w:val="auto"/>
          <w:szCs w:val="22"/>
          <w:highlight w:val="none"/>
        </w:rPr>
        <w:t>微型智能电流传感器 micro smart current sensor</w:t>
      </w:r>
      <w:bookmarkEnd w:id="84"/>
      <w:bookmarkEnd w:id="85"/>
      <w:bookmarkEnd w:id="86"/>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能感知电流，并转换成可用输出信号的微型智能传感器。</w:t>
      </w:r>
    </w:p>
    <w:p>
      <w:pPr>
        <w:pStyle w:val="231"/>
        <w:numPr>
          <w:ilvl w:val="1"/>
          <w:numId w:val="0"/>
        </w:numPr>
        <w:tabs>
          <w:tab w:val="clear" w:pos="920"/>
        </w:tabs>
        <w:spacing w:before="156" w:after="156"/>
        <w:ind w:left="420"/>
        <w:rPr>
          <w:rFonts w:ascii="Times New Roman" w:hAnsi="Times New Roman"/>
          <w:color w:val="auto"/>
          <w:szCs w:val="32"/>
          <w:highlight w:val="none"/>
        </w:rPr>
      </w:pPr>
      <w:r>
        <w:rPr>
          <w:rFonts w:hint="eastAsia" w:ascii="Times New Roman" w:hAnsi="Times New Roman" w:eastAsia="宋体"/>
          <w:color w:val="auto"/>
          <w:sz w:val="21"/>
          <w:szCs w:val="21"/>
          <w:highlight w:val="none"/>
        </w:rPr>
        <w:t>[GB/T 33905.3-2017，4.1.1.5.2，有修改]</w:t>
      </w:r>
    </w:p>
    <w:bookmarkEnd w:id="79"/>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szCs w:val="22"/>
          <w:highlight w:val="none"/>
        </w:rPr>
      </w:pPr>
      <w:bookmarkStart w:id="87" w:name="_Toc8060"/>
      <w:bookmarkEnd w:id="87"/>
      <w:bookmarkStart w:id="88" w:name="_Toc18183"/>
      <w:bookmarkEnd w:id="88"/>
      <w:bookmarkStart w:id="89" w:name="_Toc23551"/>
      <w:bookmarkEnd w:id="89"/>
      <w:bookmarkStart w:id="90" w:name="_Toc225940082"/>
      <w:bookmarkEnd w:id="90"/>
      <w:bookmarkStart w:id="91" w:name="_Toc3256"/>
      <w:bookmarkStart w:id="92" w:name="_Toc29025"/>
      <w:bookmarkStart w:id="93" w:name="_Toc31604"/>
      <w:r>
        <w:rPr>
          <w:color w:val="auto"/>
          <w:szCs w:val="22"/>
          <w:highlight w:val="none"/>
        </w:rPr>
        <w:t>线性度 linearity</w:t>
      </w:r>
      <w:bookmarkEnd w:id="91"/>
      <w:bookmarkEnd w:id="92"/>
      <w:bookmarkEnd w:id="93"/>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校准曲线与某一规定直线一致的程度。</w:t>
      </w:r>
    </w:p>
    <w:p>
      <w:pPr>
        <w:ind w:firstLine="420" w:firstLineChars="200"/>
        <w:rPr>
          <w:rFonts w:ascii="Times New Roman" w:hAnsi="Times New Roman"/>
          <w:color w:val="auto"/>
          <w:szCs w:val="32"/>
          <w:highlight w:val="none"/>
        </w:rPr>
      </w:pPr>
      <w:r>
        <w:rPr>
          <w:rFonts w:hint="eastAsia" w:ascii="Times New Roman" w:hAnsi="Times New Roman"/>
          <w:color w:val="auto"/>
          <w:highlight w:val="none"/>
        </w:rPr>
        <w:t>[</w:t>
      </w:r>
      <w:r>
        <w:rPr>
          <w:rFonts w:ascii="Times New Roman" w:hAnsi="Times New Roman"/>
          <w:color w:val="auto"/>
          <w:highlight w:val="none"/>
        </w:rPr>
        <w:t>GB/T 7665</w:t>
      </w:r>
      <w:r>
        <w:rPr>
          <w:rFonts w:hint="eastAsia" w:ascii="Times New Roman" w:hAnsi="Times New Roman"/>
          <w:color w:val="auto"/>
          <w:highlight w:val="none"/>
        </w:rPr>
        <w:t>-2005，3.5.1.51]</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szCs w:val="22"/>
          <w:highlight w:val="none"/>
        </w:rPr>
      </w:pPr>
      <w:bookmarkStart w:id="94" w:name="_Toc32418"/>
      <w:bookmarkEnd w:id="94"/>
      <w:bookmarkStart w:id="95" w:name="_Toc30976"/>
      <w:bookmarkEnd w:id="95"/>
      <w:bookmarkStart w:id="96" w:name="_Toc225940083"/>
      <w:bookmarkEnd w:id="96"/>
      <w:bookmarkStart w:id="97" w:name="_Toc14014"/>
      <w:bookmarkEnd w:id="97"/>
      <w:bookmarkStart w:id="98" w:name="_Toc23036"/>
      <w:bookmarkStart w:id="99" w:name="_Toc5929"/>
      <w:bookmarkStart w:id="100" w:name="_Toc32404"/>
      <w:r>
        <w:rPr>
          <w:color w:val="auto"/>
          <w:szCs w:val="22"/>
          <w:highlight w:val="none"/>
        </w:rPr>
        <w:t>[测量结果的]重复性 repeatability[of results measurement]</w:t>
      </w:r>
      <w:bookmarkEnd w:id="98"/>
      <w:bookmarkEnd w:id="99"/>
      <w:bookmarkEnd w:id="100"/>
    </w:p>
    <w:p>
      <w:pPr>
        <w:pStyle w:val="231"/>
        <w:numPr>
          <w:ilvl w:val="1"/>
          <w:numId w:val="0"/>
        </w:numPr>
        <w:tabs>
          <w:tab w:val="clear" w:pos="920"/>
        </w:tabs>
        <w:spacing w:before="156" w:after="156"/>
        <w:ind w:left="420"/>
        <w:rPr>
          <w:rFonts w:ascii="Times New Roman" w:hAnsi="Times New Roman"/>
          <w:color w:val="auto"/>
          <w:highlight w:val="none"/>
        </w:rPr>
      </w:pPr>
      <w:r>
        <w:rPr>
          <w:rFonts w:ascii="Times New Roman" w:hAnsi="Times New Roman" w:eastAsia="宋体"/>
          <w:color w:val="auto"/>
          <w:kern w:val="2"/>
          <w:sz w:val="21"/>
          <w:szCs w:val="32"/>
          <w:highlight w:val="none"/>
        </w:rPr>
        <w:t>在相同的测量条件下，对同一被测量进行连续多次测量所得结果之间的一致性。</w:t>
      </w:r>
    </w:p>
    <w:p>
      <w:pPr>
        <w:pStyle w:val="231"/>
        <w:numPr>
          <w:ilvl w:val="1"/>
          <w:numId w:val="0"/>
        </w:numPr>
        <w:tabs>
          <w:tab w:val="clear" w:pos="920"/>
        </w:tabs>
        <w:spacing w:before="156" w:after="156"/>
        <w:ind w:left="420"/>
        <w:rPr>
          <w:rFonts w:hint="eastAsia" w:ascii="Times New Roman" w:hAnsi="Times New Roman"/>
          <w:color w:val="auto"/>
          <w:highlight w:val="none"/>
        </w:rPr>
      </w:pPr>
      <w:r>
        <w:rPr>
          <w:rFonts w:hint="eastAsia" w:ascii="Times New Roman" w:hAnsi="Times New Roman" w:eastAsia="宋体"/>
          <w:color w:val="auto"/>
          <w:sz w:val="21"/>
          <w:szCs w:val="21"/>
          <w:highlight w:val="none"/>
        </w:rPr>
        <w:t>[</w:t>
      </w:r>
      <w:r>
        <w:rPr>
          <w:rFonts w:ascii="Times New Roman" w:hAnsi="Times New Roman"/>
          <w:color w:val="auto"/>
          <w:sz w:val="21"/>
          <w:szCs w:val="21"/>
          <w:highlight w:val="none"/>
        </w:rPr>
        <w:t>GB/T 7665</w:t>
      </w:r>
      <w:r>
        <w:rPr>
          <w:rFonts w:hint="eastAsia" w:ascii="Times New Roman" w:hAnsi="Times New Roman" w:eastAsia="宋体"/>
          <w:color w:val="auto"/>
          <w:sz w:val="21"/>
          <w:szCs w:val="21"/>
          <w:highlight w:val="none"/>
        </w:rPr>
        <w:t>-2005，3.5.1.12]</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szCs w:val="22"/>
          <w:highlight w:val="none"/>
        </w:rPr>
      </w:pPr>
      <w:bookmarkStart w:id="101" w:name="_Toc30836"/>
      <w:bookmarkEnd w:id="101"/>
      <w:bookmarkStart w:id="102" w:name="_Toc15217"/>
      <w:bookmarkEnd w:id="102"/>
      <w:bookmarkStart w:id="103" w:name="_Toc19336"/>
      <w:bookmarkEnd w:id="103"/>
      <w:bookmarkStart w:id="104" w:name="_Toc225940085"/>
      <w:bookmarkEnd w:id="104"/>
      <w:bookmarkStart w:id="105" w:name="_Toc6230"/>
      <w:bookmarkStart w:id="106" w:name="_Toc25669"/>
      <w:bookmarkStart w:id="107" w:name="_Toc3439"/>
      <w:r>
        <w:rPr>
          <w:color w:val="auto"/>
          <w:szCs w:val="22"/>
          <w:highlight w:val="none"/>
        </w:rPr>
        <w:t>分辨力 resolution</w:t>
      </w:r>
      <w:bookmarkEnd w:id="105"/>
      <w:bookmarkEnd w:id="106"/>
      <w:bookmarkEnd w:id="107"/>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传感器在规定测量范围内可能检测出的被测量的最小变化量。</w:t>
      </w:r>
      <w:bookmarkStart w:id="108" w:name="_Toc9635"/>
      <w:bookmarkEnd w:id="108"/>
      <w:bookmarkStart w:id="109" w:name="_Toc225940087"/>
      <w:bookmarkEnd w:id="109"/>
      <w:bookmarkStart w:id="110" w:name="_Toc4622"/>
      <w:bookmarkEnd w:id="110"/>
      <w:bookmarkStart w:id="111" w:name="_Toc22641"/>
      <w:bookmarkEnd w:id="111"/>
    </w:p>
    <w:p>
      <w:pPr>
        <w:pStyle w:val="231"/>
        <w:numPr>
          <w:ilvl w:val="1"/>
          <w:numId w:val="0"/>
        </w:numPr>
        <w:tabs>
          <w:tab w:val="clear" w:pos="920"/>
        </w:tabs>
        <w:spacing w:before="156" w:after="156"/>
        <w:ind w:left="420"/>
        <w:rPr>
          <w:rFonts w:ascii="Times New Roman" w:hAnsi="Times New Roman"/>
          <w:color w:val="auto"/>
          <w:szCs w:val="32"/>
          <w:highlight w:val="none"/>
        </w:rPr>
      </w:pPr>
      <w:r>
        <w:rPr>
          <w:rFonts w:hint="eastAsia" w:ascii="Times New Roman" w:hAnsi="Times New Roman" w:eastAsia="宋体"/>
          <w:color w:val="auto"/>
          <w:sz w:val="21"/>
          <w:szCs w:val="21"/>
          <w:highlight w:val="none"/>
        </w:rPr>
        <w:t>[</w:t>
      </w:r>
      <w:r>
        <w:rPr>
          <w:rFonts w:ascii="Times New Roman" w:hAnsi="Times New Roman"/>
          <w:color w:val="auto"/>
          <w:sz w:val="21"/>
          <w:szCs w:val="21"/>
          <w:highlight w:val="none"/>
        </w:rPr>
        <w:t>GB/T 7665</w:t>
      </w:r>
      <w:r>
        <w:rPr>
          <w:rFonts w:hint="eastAsia" w:ascii="Times New Roman" w:hAnsi="Times New Roman" w:eastAsia="宋体"/>
          <w:color w:val="auto"/>
          <w:sz w:val="21"/>
          <w:szCs w:val="21"/>
          <w:highlight w:val="none"/>
        </w:rPr>
        <w:t>-2005，3.5.1.32]</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szCs w:val="22"/>
          <w:highlight w:val="none"/>
        </w:rPr>
      </w:pPr>
      <w:bookmarkStart w:id="112" w:name="_Toc2783"/>
      <w:bookmarkStart w:id="113" w:name="_Toc25780"/>
      <w:bookmarkStart w:id="114" w:name="_Toc20124"/>
      <w:r>
        <w:rPr>
          <w:color w:val="auto"/>
          <w:szCs w:val="22"/>
          <w:highlight w:val="none"/>
        </w:rPr>
        <w:t>零点输出 zero-measurand output</w:t>
      </w:r>
      <w:bookmarkEnd w:id="112"/>
      <w:bookmarkEnd w:id="113"/>
      <w:bookmarkEnd w:id="114"/>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在规定条件下，所加被测量为零时传感器的输出。</w:t>
      </w:r>
      <w:bookmarkStart w:id="115" w:name="_Toc225940089"/>
      <w:bookmarkEnd w:id="115"/>
      <w:bookmarkStart w:id="116" w:name="_Toc2424"/>
      <w:bookmarkEnd w:id="116"/>
      <w:bookmarkStart w:id="117" w:name="_Toc618"/>
      <w:bookmarkEnd w:id="117"/>
      <w:bookmarkStart w:id="118" w:name="_Toc16668"/>
      <w:bookmarkEnd w:id="118"/>
    </w:p>
    <w:p>
      <w:pPr>
        <w:pStyle w:val="231"/>
        <w:numPr>
          <w:ilvl w:val="1"/>
          <w:numId w:val="0"/>
        </w:numPr>
        <w:tabs>
          <w:tab w:val="clear" w:pos="920"/>
        </w:tabs>
        <w:spacing w:before="156" w:after="156"/>
        <w:ind w:left="420"/>
        <w:rPr>
          <w:rFonts w:ascii="Times New Roman" w:hAnsi="Times New Roman"/>
          <w:color w:val="auto"/>
          <w:szCs w:val="32"/>
          <w:highlight w:val="none"/>
        </w:rPr>
      </w:pPr>
      <w:r>
        <w:rPr>
          <w:rFonts w:hint="eastAsia" w:ascii="Times New Roman" w:hAnsi="Times New Roman" w:eastAsia="宋体"/>
          <w:color w:val="auto"/>
          <w:sz w:val="21"/>
          <w:szCs w:val="21"/>
          <w:highlight w:val="none"/>
        </w:rPr>
        <w:t>[</w:t>
      </w:r>
      <w:r>
        <w:rPr>
          <w:rFonts w:ascii="Times New Roman" w:hAnsi="Times New Roman"/>
          <w:color w:val="auto"/>
          <w:sz w:val="21"/>
          <w:szCs w:val="21"/>
          <w:highlight w:val="none"/>
        </w:rPr>
        <w:t>GB/T 7665</w:t>
      </w:r>
      <w:r>
        <w:rPr>
          <w:rFonts w:hint="eastAsia" w:ascii="Times New Roman" w:hAnsi="Times New Roman" w:eastAsia="宋体"/>
          <w:color w:val="auto"/>
          <w:sz w:val="21"/>
          <w:szCs w:val="21"/>
          <w:highlight w:val="none"/>
        </w:rPr>
        <w:t>-2005，3.5.1.29]</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szCs w:val="22"/>
          <w:highlight w:val="none"/>
        </w:rPr>
      </w:pPr>
      <w:bookmarkStart w:id="119" w:name="_Toc13214"/>
      <w:bookmarkStart w:id="120" w:name="_Toc22934"/>
      <w:bookmarkStart w:id="121" w:name="_Toc24200"/>
      <w:r>
        <w:rPr>
          <w:color w:val="auto"/>
          <w:szCs w:val="22"/>
          <w:highlight w:val="none"/>
        </w:rPr>
        <w:t>温度漂移temperature drift</w:t>
      </w:r>
      <w:bookmarkEnd w:id="119"/>
      <w:bookmarkEnd w:id="120"/>
      <w:bookmarkEnd w:id="121"/>
    </w:p>
    <w:p>
      <w:pPr>
        <w:ind w:firstLine="420" w:firstLineChars="200"/>
        <w:rPr>
          <w:rFonts w:ascii="Times New Roman" w:hAnsi="Times New Roman"/>
          <w:color w:val="auto"/>
          <w:highlight w:val="none"/>
        </w:rPr>
      </w:pPr>
      <w:r>
        <w:rPr>
          <w:rFonts w:ascii="Times New Roman" w:hAnsi="Times New Roman"/>
          <w:color w:val="auto"/>
          <w:szCs w:val="32"/>
          <w:highlight w:val="none"/>
        </w:rPr>
        <w:t>传感器的输出量在温度改变时发生与输入量无关的、不需要的变化。</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szCs w:val="22"/>
          <w:highlight w:val="none"/>
        </w:rPr>
      </w:pPr>
      <w:bookmarkStart w:id="122" w:name="_Toc14278"/>
      <w:bookmarkEnd w:id="122"/>
      <w:bookmarkStart w:id="123" w:name="_Toc225940091"/>
      <w:bookmarkEnd w:id="123"/>
      <w:bookmarkStart w:id="124" w:name="_Toc30019"/>
      <w:bookmarkEnd w:id="124"/>
      <w:bookmarkStart w:id="125" w:name="_Toc27847"/>
      <w:bookmarkEnd w:id="125"/>
      <w:bookmarkStart w:id="126" w:name="_Toc20460"/>
      <w:bookmarkStart w:id="127" w:name="_Toc23787"/>
      <w:bookmarkStart w:id="128" w:name="_Toc7773"/>
      <w:r>
        <w:rPr>
          <w:color w:val="auto"/>
          <w:szCs w:val="22"/>
          <w:highlight w:val="none"/>
        </w:rPr>
        <w:t>功耗 power consumption</w:t>
      </w:r>
      <w:bookmarkEnd w:id="126"/>
      <w:bookmarkEnd w:id="127"/>
      <w:bookmarkEnd w:id="128"/>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信号处于稳态条件下，传感器在工作范围内所消耗的最大功率瓦特数。</w:t>
      </w:r>
      <w:bookmarkStart w:id="129" w:name="_Toc15662"/>
      <w:bookmarkEnd w:id="129"/>
      <w:bookmarkStart w:id="130" w:name="_Toc225940093"/>
      <w:bookmarkEnd w:id="130"/>
      <w:bookmarkStart w:id="131" w:name="_Toc8124"/>
      <w:bookmarkEnd w:id="131"/>
      <w:bookmarkStart w:id="132" w:name="_Toc6985"/>
      <w:bookmarkEnd w:id="132"/>
    </w:p>
    <w:p>
      <w:pPr>
        <w:ind w:firstLine="420" w:firstLineChars="200"/>
        <w:rPr>
          <w:rFonts w:ascii="Times New Roman" w:hAnsi="Times New Roman"/>
          <w:color w:val="auto"/>
          <w:szCs w:val="32"/>
          <w:highlight w:val="none"/>
        </w:rPr>
      </w:pPr>
      <w:r>
        <w:rPr>
          <w:rFonts w:hint="eastAsia" w:ascii="Times New Roman" w:hAnsi="Times New Roman"/>
          <w:color w:val="auto"/>
          <w:highlight w:val="none"/>
        </w:rPr>
        <w:t>[</w:t>
      </w:r>
      <w:r>
        <w:rPr>
          <w:rFonts w:ascii="Times New Roman" w:hAnsi="Times New Roman"/>
          <w:color w:val="auto"/>
          <w:highlight w:val="none"/>
        </w:rPr>
        <w:t>GB/T 7665</w:t>
      </w:r>
      <w:r>
        <w:rPr>
          <w:rFonts w:hint="eastAsia" w:ascii="Times New Roman" w:hAnsi="Times New Roman"/>
          <w:color w:val="auto"/>
          <w:highlight w:val="none"/>
        </w:rPr>
        <w:t>-2005，3.5.1.85]</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szCs w:val="22"/>
          <w:highlight w:val="none"/>
        </w:rPr>
      </w:pPr>
      <w:bookmarkStart w:id="133" w:name="_Toc19158"/>
      <w:bookmarkStart w:id="134" w:name="_Toc4670"/>
      <w:r>
        <w:rPr>
          <w:color w:val="auto"/>
          <w:szCs w:val="22"/>
          <w:highlight w:val="none"/>
        </w:rPr>
        <w:t>响应时间 frequency response</w:t>
      </w:r>
      <w:bookmarkEnd w:id="133"/>
      <w:bookmarkEnd w:id="134"/>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由被测量的阶跃变化引起的传感器输出上升到其最终规定百分率时所需要的时间。</w:t>
      </w:r>
    </w:p>
    <w:p>
      <w:pPr>
        <w:pStyle w:val="231"/>
        <w:numPr>
          <w:ilvl w:val="1"/>
          <w:numId w:val="0"/>
        </w:numPr>
        <w:spacing w:before="156" w:after="156"/>
        <w:ind w:left="454"/>
        <w:jc w:val="left"/>
        <w:rPr>
          <w:rFonts w:ascii="Times New Roman" w:hAnsi="Times New Roman"/>
          <w:color w:val="auto"/>
          <w:szCs w:val="22"/>
          <w:highlight w:val="none"/>
        </w:rPr>
      </w:pPr>
      <w:r>
        <w:rPr>
          <w:rFonts w:ascii="Times New Roman" w:hAnsi="Times New Roman"/>
          <w:color w:val="auto"/>
          <w:szCs w:val="22"/>
          <w:highlight w:val="none"/>
        </w:rPr>
        <w:t>注：为注明这种百分率，可将其置于主词前面，例如：98%响应时间。</w:t>
      </w:r>
    </w:p>
    <w:p>
      <w:pPr>
        <w:pStyle w:val="56"/>
        <w:ind w:firstLine="420"/>
        <w:rPr>
          <w:rFonts w:ascii="Times New Roman"/>
          <w:color w:val="auto"/>
          <w:szCs w:val="21"/>
          <w:highlight w:val="none"/>
        </w:rPr>
      </w:pPr>
      <w:r>
        <w:rPr>
          <w:rFonts w:hint="eastAsia" w:ascii="Times New Roman"/>
          <w:color w:val="auto"/>
          <w:szCs w:val="21"/>
          <w:highlight w:val="none"/>
        </w:rPr>
        <w:t>[</w:t>
      </w:r>
      <w:r>
        <w:rPr>
          <w:rFonts w:ascii="Times New Roman"/>
          <w:color w:val="auto"/>
          <w:szCs w:val="21"/>
          <w:highlight w:val="none"/>
        </w:rPr>
        <w:t>GB/T 7665</w:t>
      </w:r>
      <w:r>
        <w:rPr>
          <w:rFonts w:hint="eastAsia" w:ascii="Times New Roman"/>
          <w:color w:val="auto"/>
          <w:szCs w:val="21"/>
          <w:highlight w:val="none"/>
        </w:rPr>
        <w:t>-2005，3.5.1.92]</w:t>
      </w:r>
    </w:p>
    <w:p>
      <w:pPr>
        <w:pStyle w:val="104"/>
        <w:spacing w:before="312" w:after="312"/>
        <w:rPr>
          <w:rFonts w:ascii="Times New Roman"/>
          <w:color w:val="auto"/>
          <w:highlight w:val="none"/>
        </w:rPr>
      </w:pPr>
      <w:bookmarkStart w:id="135" w:name="_Toc27387"/>
      <w:bookmarkStart w:id="136" w:name="_Toc1617"/>
      <w:bookmarkStart w:id="137" w:name="_Toc1319"/>
      <w:bookmarkStart w:id="138" w:name="_Toc18670"/>
      <w:bookmarkStart w:id="139" w:name="_Toc21995"/>
      <w:r>
        <w:rPr>
          <w:rFonts w:ascii="Times New Roman"/>
          <w:color w:val="auto"/>
          <w:highlight w:val="none"/>
        </w:rPr>
        <w:t>微型智能电流传感器原理及组成</w:t>
      </w:r>
      <w:bookmarkEnd w:id="135"/>
      <w:bookmarkEnd w:id="136"/>
      <w:bookmarkEnd w:id="137"/>
      <w:bookmarkEnd w:id="138"/>
      <w:bookmarkEnd w:id="139"/>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微型智能电流传感器的基本原理是通过测量待测电流在空间中产生的磁场，进而计算得到待测电流。包括磁场传感器、信号调理电路、模拟/数字转换电路、数字处理单元、无线通信电路/有线通信电路等部分。</w:t>
      </w:r>
    </w:p>
    <w:p>
      <w:pPr>
        <w:adjustRightInd/>
        <w:spacing w:line="240" w:lineRule="auto"/>
        <w:textAlignment w:val="center"/>
        <w:rPr>
          <w:rFonts w:ascii="Times New Roman" w:hAnsi="Times New Roman"/>
          <w:color w:val="auto"/>
          <w:szCs w:val="32"/>
          <w:highlight w:val="none"/>
        </w:rPr>
      </w:pPr>
      <w:bookmarkStart w:id="140" w:name="_Toc22248"/>
      <w:bookmarkStart w:id="141" w:name="_Toc11439"/>
      <w:bookmarkStart w:id="142" w:name="_Toc10408"/>
      <w:bookmarkStart w:id="143" w:name="_Toc2877"/>
      <w:r>
        <w:rPr>
          <w:rFonts w:ascii="Times New Roman" w:hAnsi="Times New Roman"/>
          <w:color w:val="auto"/>
          <w:szCs w:val="32"/>
          <w:highlight w:val="none"/>
        </w:rPr>
        <w:drawing>
          <wp:inline distT="0" distB="0" distL="0" distR="0">
            <wp:extent cx="5666105" cy="2136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666105" cy="2136140"/>
                    </a:xfrm>
                    <a:prstGeom prst="rect">
                      <a:avLst/>
                    </a:prstGeom>
                    <a:noFill/>
                    <a:ln>
                      <a:noFill/>
                    </a:ln>
                  </pic:spPr>
                </pic:pic>
              </a:graphicData>
            </a:graphic>
          </wp:inline>
        </w:drawing>
      </w:r>
      <w:bookmarkEnd w:id="140"/>
      <w:bookmarkEnd w:id="141"/>
      <w:bookmarkEnd w:id="142"/>
      <w:bookmarkEnd w:id="143"/>
    </w:p>
    <w:p>
      <w:pPr>
        <w:pStyle w:val="101"/>
        <w:rPr>
          <w:color w:val="auto"/>
          <w:highlight w:val="none"/>
        </w:rPr>
      </w:pPr>
      <w:r>
        <w:rPr>
          <w:color w:val="auto"/>
          <w:highlight w:val="none"/>
        </w:rPr>
        <w:t>注1：无线通信电路和有线通信电路可选择其中任意一种或两种；</w:t>
      </w:r>
    </w:p>
    <w:p>
      <w:pPr>
        <w:pStyle w:val="101"/>
        <w:rPr>
          <w:color w:val="auto"/>
          <w:highlight w:val="none"/>
        </w:rPr>
      </w:pPr>
      <w:r>
        <w:rPr>
          <w:color w:val="auto"/>
          <w:highlight w:val="none"/>
        </w:rPr>
        <w:t>注2：信号调理电路根据需要选配。</w:t>
      </w:r>
    </w:p>
    <w:p>
      <w:pPr>
        <w:pStyle w:val="114"/>
        <w:spacing w:before="156" w:after="156"/>
        <w:rPr>
          <w:color w:val="auto"/>
          <w:highlight w:val="none"/>
        </w:rPr>
      </w:pPr>
      <w:r>
        <w:rPr>
          <w:color w:val="auto"/>
          <w:highlight w:val="none"/>
        </w:rPr>
        <w:t>微型智能电流传感器组成框图</w:t>
      </w:r>
    </w:p>
    <w:p>
      <w:pPr>
        <w:pStyle w:val="104"/>
        <w:spacing w:before="312" w:after="312"/>
        <w:rPr>
          <w:rFonts w:ascii="Times New Roman"/>
          <w:color w:val="auto"/>
          <w:highlight w:val="none"/>
        </w:rPr>
      </w:pPr>
      <w:bookmarkStart w:id="144" w:name="_Toc13036"/>
      <w:bookmarkStart w:id="145" w:name="_Toc5939"/>
      <w:bookmarkStart w:id="146" w:name="_Toc15384"/>
      <w:bookmarkStart w:id="147" w:name="_Toc30629"/>
      <w:bookmarkStart w:id="148" w:name="_Toc16545"/>
      <w:r>
        <w:rPr>
          <w:rFonts w:ascii="Times New Roman"/>
          <w:color w:val="auto"/>
          <w:highlight w:val="none"/>
        </w:rPr>
        <w:t>正常使用条件</w:t>
      </w:r>
      <w:bookmarkEnd w:id="144"/>
      <w:bookmarkEnd w:id="145"/>
      <w:bookmarkEnd w:id="146"/>
      <w:bookmarkEnd w:id="147"/>
      <w:bookmarkEnd w:id="148"/>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highlight w:val="none"/>
        </w:rPr>
      </w:pPr>
      <w:bookmarkStart w:id="149" w:name="_Toc23829"/>
      <w:bookmarkStart w:id="150" w:name="_Toc14923"/>
      <w:bookmarkStart w:id="151" w:name="_Toc7304"/>
      <w:bookmarkStart w:id="152" w:name="_Toc4438"/>
      <w:bookmarkStart w:id="153" w:name="_Toc25658"/>
      <w:r>
        <w:rPr>
          <w:color w:val="auto"/>
          <w:highlight w:val="none"/>
        </w:rPr>
        <w:t>系统运行条件</w:t>
      </w:r>
      <w:bookmarkEnd w:id="149"/>
      <w:bookmarkEnd w:id="150"/>
      <w:bookmarkEnd w:id="151"/>
      <w:bookmarkEnd w:id="152"/>
      <w:bookmarkEnd w:id="153"/>
    </w:p>
    <w:p>
      <w:pPr>
        <w:pStyle w:val="65"/>
        <w:spacing w:before="156" w:after="156"/>
        <w:rPr>
          <w:color w:val="auto"/>
          <w:highlight w:val="none"/>
        </w:rPr>
      </w:pPr>
      <w:bookmarkStart w:id="154" w:name="_Toc2748"/>
      <w:r>
        <w:rPr>
          <w:rStyle w:val="239"/>
          <w:rFonts w:ascii="Times New Roman"/>
          <w:color w:val="auto"/>
          <w:highlight w:val="none"/>
        </w:rPr>
        <w:t>系统额定频率</w:t>
      </w:r>
      <w:bookmarkEnd w:id="154"/>
    </w:p>
    <w:p>
      <w:pPr>
        <w:ind w:firstLine="420" w:firstLineChars="200"/>
        <w:rPr>
          <w:rFonts w:ascii="Times New Roman" w:hAnsi="Times New Roman"/>
          <w:color w:val="auto"/>
          <w:highlight w:val="none"/>
        </w:rPr>
      </w:pPr>
      <w:r>
        <w:rPr>
          <w:rFonts w:ascii="Times New Roman" w:hAnsi="Times New Roman"/>
          <w:color w:val="auto"/>
          <w:szCs w:val="32"/>
          <w:highlight w:val="none"/>
        </w:rPr>
        <w:t>45</w:t>
      </w:r>
      <w:r>
        <w:rPr>
          <w:rFonts w:hint="eastAsia" w:ascii="Times New Roman" w:hAnsi="Times New Roman"/>
          <w:color w:val="auto"/>
          <w:szCs w:val="32"/>
          <w:highlight w:val="none"/>
        </w:rPr>
        <w:t xml:space="preserve"> </w:t>
      </w:r>
      <w:r>
        <w:rPr>
          <w:rFonts w:ascii="Times New Roman" w:hAnsi="Times New Roman"/>
          <w:color w:val="auto"/>
          <w:szCs w:val="32"/>
          <w:highlight w:val="none"/>
        </w:rPr>
        <w:t>Hz～55</w:t>
      </w:r>
      <w:r>
        <w:rPr>
          <w:rFonts w:hint="eastAsia" w:ascii="Times New Roman" w:hAnsi="Times New Roman"/>
          <w:color w:val="auto"/>
          <w:szCs w:val="32"/>
          <w:highlight w:val="none"/>
        </w:rPr>
        <w:t xml:space="preserve"> </w:t>
      </w:r>
      <w:r>
        <w:rPr>
          <w:rFonts w:ascii="Times New Roman" w:hAnsi="Times New Roman"/>
          <w:color w:val="auto"/>
          <w:szCs w:val="32"/>
          <w:highlight w:val="none"/>
        </w:rPr>
        <w:t>Hz。</w:t>
      </w:r>
    </w:p>
    <w:p>
      <w:pPr>
        <w:pStyle w:val="65"/>
        <w:spacing w:before="156" w:after="156"/>
        <w:rPr>
          <w:rStyle w:val="239"/>
          <w:rFonts w:ascii="Times New Roman"/>
          <w:color w:val="auto"/>
          <w:highlight w:val="none"/>
        </w:rPr>
      </w:pPr>
      <w:bookmarkStart w:id="155" w:name="_Toc30254"/>
      <w:r>
        <w:rPr>
          <w:rStyle w:val="239"/>
          <w:rFonts w:ascii="Times New Roman"/>
          <w:color w:val="auto"/>
          <w:highlight w:val="none"/>
        </w:rPr>
        <w:t>系统电压</w:t>
      </w:r>
      <w:bookmarkEnd w:id="155"/>
    </w:p>
    <w:p>
      <w:pPr>
        <w:ind w:firstLine="420" w:firstLineChars="200"/>
        <w:rPr>
          <w:rFonts w:ascii="Times New Roman" w:hAnsi="Times New Roman"/>
          <w:color w:val="auto"/>
          <w:highlight w:val="none"/>
        </w:rPr>
      </w:pPr>
      <w:r>
        <w:rPr>
          <w:rFonts w:ascii="Times New Roman" w:hAnsi="Times New Roman"/>
          <w:color w:val="auto"/>
          <w:szCs w:val="32"/>
          <w:highlight w:val="none"/>
        </w:rPr>
        <w:t>220</w:t>
      </w:r>
      <w:r>
        <w:rPr>
          <w:rFonts w:hint="eastAsia" w:ascii="Times New Roman" w:hAnsi="Times New Roman"/>
          <w:color w:val="auto"/>
          <w:szCs w:val="32"/>
          <w:highlight w:val="none"/>
        </w:rPr>
        <w:t xml:space="preserve"> </w:t>
      </w:r>
      <w:r>
        <w:rPr>
          <w:rFonts w:ascii="Times New Roman" w:hAnsi="Times New Roman"/>
          <w:color w:val="auto"/>
          <w:szCs w:val="32"/>
          <w:highlight w:val="none"/>
        </w:rPr>
        <w:t>V～35</w:t>
      </w:r>
      <w:r>
        <w:rPr>
          <w:rFonts w:hint="eastAsia" w:ascii="Times New Roman" w:hAnsi="Times New Roman"/>
          <w:color w:val="auto"/>
          <w:szCs w:val="32"/>
          <w:highlight w:val="none"/>
        </w:rPr>
        <w:t xml:space="preserve"> </w:t>
      </w:r>
      <w:r>
        <w:rPr>
          <w:rFonts w:ascii="Times New Roman" w:hAnsi="Times New Roman"/>
          <w:color w:val="auto"/>
          <w:szCs w:val="32"/>
          <w:highlight w:val="none"/>
        </w:rPr>
        <w:t>kV。</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highlight w:val="none"/>
        </w:rPr>
      </w:pPr>
      <w:bookmarkStart w:id="156" w:name="_Toc2861"/>
      <w:bookmarkStart w:id="157" w:name="_Toc12942"/>
      <w:bookmarkStart w:id="158" w:name="_Toc6284"/>
      <w:bookmarkStart w:id="159" w:name="_Toc10250"/>
      <w:bookmarkStart w:id="160" w:name="_Toc32623"/>
      <w:r>
        <w:rPr>
          <w:color w:val="auto"/>
          <w:highlight w:val="none"/>
        </w:rPr>
        <w:t>温度范围</w:t>
      </w:r>
      <w:bookmarkEnd w:id="156"/>
      <w:bookmarkEnd w:id="157"/>
      <w:bookmarkEnd w:id="158"/>
      <w:bookmarkEnd w:id="159"/>
      <w:bookmarkEnd w:id="160"/>
    </w:p>
    <w:p>
      <w:pPr>
        <w:pStyle w:val="230"/>
        <w:ind w:firstLine="420"/>
        <w:rPr>
          <w:rFonts w:ascii="Times New Roman" w:hAnsi="Times New Roman"/>
          <w:color w:val="auto"/>
          <w:highlight w:val="none"/>
        </w:rPr>
      </w:pPr>
      <w:r>
        <w:rPr>
          <w:rFonts w:ascii="Times New Roman" w:hAnsi="Times New Roman"/>
          <w:color w:val="auto"/>
          <w:highlight w:val="none"/>
        </w:rPr>
        <w:t>工作环境温度应符合</w:t>
      </w:r>
      <w:r>
        <w:rPr>
          <w:rFonts w:ascii="Times New Roman" w:hAnsi="Times New Roman"/>
          <w:color w:val="auto"/>
          <w:szCs w:val="32"/>
          <w:highlight w:val="none"/>
        </w:rPr>
        <w:t>表1</w:t>
      </w:r>
      <w:r>
        <w:rPr>
          <w:rFonts w:ascii="Times New Roman" w:hAnsi="Times New Roman"/>
          <w:color w:val="auto"/>
          <w:highlight w:val="none"/>
        </w:rPr>
        <w:t>要求。</w:t>
      </w:r>
    </w:p>
    <w:p>
      <w:pPr>
        <w:pStyle w:val="112"/>
        <w:spacing w:before="156" w:after="156"/>
        <w:rPr>
          <w:color w:val="auto"/>
          <w:highlight w:val="none"/>
        </w:rPr>
      </w:pPr>
      <w:r>
        <w:rPr>
          <w:color w:val="auto"/>
          <w:highlight w:val="none"/>
        </w:rPr>
        <w:t>工作环境温度</w:t>
      </w:r>
    </w:p>
    <w:tbl>
      <w:tblPr>
        <w:tblStyle w:val="26"/>
        <w:tblW w:w="926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047"/>
        <w:gridCol w:w="4964"/>
        <w:gridCol w:w="225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1" w:hRule="atLeast"/>
          <w:jc w:val="center"/>
        </w:trPr>
        <w:tc>
          <w:tcPr>
            <w:tcW w:w="2047" w:type="dxa"/>
            <w:tcBorders>
              <w:top w:val="single" w:color="auto" w:sz="8" w:space="0"/>
              <w:bottom w:val="single" w:color="auto" w:sz="8" w:space="0"/>
            </w:tcBorders>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序号</w:t>
            </w:r>
          </w:p>
        </w:tc>
        <w:tc>
          <w:tcPr>
            <w:tcW w:w="4964" w:type="dxa"/>
            <w:tcBorders>
              <w:top w:val="single" w:color="auto" w:sz="8" w:space="0"/>
              <w:bottom w:val="single" w:color="auto" w:sz="8" w:space="0"/>
            </w:tcBorders>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条件</w:t>
            </w:r>
          </w:p>
        </w:tc>
        <w:tc>
          <w:tcPr>
            <w:tcW w:w="2254" w:type="dxa"/>
            <w:tcBorders>
              <w:top w:val="single" w:color="auto" w:sz="8" w:space="0"/>
              <w:bottom w:val="single" w:color="auto" w:sz="8" w:space="0"/>
            </w:tcBorders>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工作环境温度/℃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1" w:hRule="atLeast"/>
          <w:jc w:val="center"/>
        </w:trPr>
        <w:tc>
          <w:tcPr>
            <w:tcW w:w="2047" w:type="dxa"/>
            <w:tcBorders>
              <w:top w:val="single" w:color="auto" w:sz="8" w:space="0"/>
            </w:tcBorders>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4964" w:type="dxa"/>
            <w:tcBorders>
              <w:top w:val="single" w:color="auto" w:sz="8" w:space="0"/>
            </w:tcBorders>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规定工作温度</w:t>
            </w:r>
          </w:p>
        </w:tc>
        <w:tc>
          <w:tcPr>
            <w:tcW w:w="2254" w:type="dxa"/>
            <w:tcBorders>
              <w:top w:val="single" w:color="auto" w:sz="8" w:space="0"/>
            </w:tcBorders>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-20～85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trHeight w:val="261" w:hRule="atLeast"/>
          <w:jc w:val="center"/>
        </w:trPr>
        <w:tc>
          <w:tcPr>
            <w:tcW w:w="2047" w:type="dxa"/>
            <w:shd w:val="clear" w:color="auto" w:fill="auto"/>
            <w:vAlign w:val="center"/>
          </w:tcPr>
          <w:p>
            <w:pPr>
              <w:pStyle w:val="230"/>
              <w:ind w:firstLine="0" w:firstLineChars="0"/>
              <w:jc w:val="center"/>
              <w:rPr>
                <w:rFonts w:ascii="Times New Roman" w:hAnsi="Times New Roman"/>
                <w:color w:val="auto"/>
                <w:kern w:val="2"/>
                <w:sz w:val="18"/>
                <w:szCs w:val="18"/>
                <w:highlight w:val="none"/>
              </w:rPr>
            </w:pPr>
            <w:r>
              <w:rPr>
                <w:rFonts w:ascii="Times New Roman" w:hAnsi="Times New Roman"/>
                <w:color w:val="auto"/>
                <w:kern w:val="2"/>
                <w:sz w:val="18"/>
                <w:szCs w:val="18"/>
                <w:highlight w:val="none"/>
              </w:rPr>
              <w:t>2</w:t>
            </w:r>
          </w:p>
        </w:tc>
        <w:tc>
          <w:tcPr>
            <w:tcW w:w="4964" w:type="dxa"/>
            <w:shd w:val="clear" w:color="auto" w:fill="auto"/>
            <w:vAlign w:val="center"/>
          </w:tcPr>
          <w:p>
            <w:pPr>
              <w:pStyle w:val="230"/>
              <w:ind w:firstLine="0" w:firstLineChars="0"/>
              <w:jc w:val="center"/>
              <w:rPr>
                <w:rFonts w:ascii="Times New Roman" w:hAnsi="Times New Roman"/>
                <w:color w:val="auto"/>
                <w:kern w:val="2"/>
                <w:sz w:val="18"/>
                <w:szCs w:val="18"/>
                <w:highlight w:val="none"/>
              </w:rPr>
            </w:pPr>
            <w:r>
              <w:rPr>
                <w:rFonts w:ascii="Times New Roman" w:hAnsi="Times New Roman"/>
                <w:color w:val="auto"/>
                <w:kern w:val="2"/>
                <w:sz w:val="18"/>
                <w:szCs w:val="18"/>
                <w:highlight w:val="none"/>
              </w:rPr>
              <w:t>极限工作温度</w:t>
            </w:r>
          </w:p>
        </w:tc>
        <w:tc>
          <w:tcPr>
            <w:tcW w:w="2254" w:type="dxa"/>
            <w:shd w:val="clear" w:color="auto" w:fill="auto"/>
            <w:vAlign w:val="center"/>
          </w:tcPr>
          <w:p>
            <w:pPr>
              <w:pStyle w:val="230"/>
              <w:ind w:firstLine="0" w:firstLineChars="0"/>
              <w:jc w:val="center"/>
              <w:rPr>
                <w:rFonts w:ascii="Times New Roman" w:hAnsi="Times New Roman"/>
                <w:color w:val="auto"/>
                <w:kern w:val="2"/>
                <w:sz w:val="18"/>
                <w:szCs w:val="18"/>
                <w:highlight w:val="none"/>
              </w:rPr>
            </w:pPr>
            <w:r>
              <w:rPr>
                <w:rFonts w:ascii="Times New Roman" w:hAnsi="Times New Roman"/>
                <w:color w:val="auto"/>
                <w:kern w:val="2"/>
                <w:sz w:val="18"/>
                <w:szCs w:val="18"/>
                <w:highlight w:val="none"/>
              </w:rPr>
              <w:t>-40</w:t>
            </w:r>
            <w:r>
              <w:rPr>
                <w:rFonts w:ascii="Times New Roman" w:hAnsi="Times New Roman"/>
                <w:color w:val="auto"/>
                <w:sz w:val="18"/>
                <w:szCs w:val="18"/>
                <w:highlight w:val="none"/>
              </w:rPr>
              <w:t>～85</w:t>
            </w:r>
          </w:p>
        </w:tc>
      </w:tr>
    </w:tbl>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highlight w:val="none"/>
        </w:rPr>
      </w:pPr>
      <w:bookmarkStart w:id="161" w:name="_Toc3305"/>
      <w:bookmarkStart w:id="162" w:name="_Toc2355"/>
      <w:bookmarkStart w:id="163" w:name="_Toc18497"/>
      <w:r>
        <w:rPr>
          <w:color w:val="auto"/>
          <w:highlight w:val="none"/>
        </w:rPr>
        <w:t>湿度范围</w:t>
      </w:r>
      <w:bookmarkEnd w:id="161"/>
      <w:bookmarkEnd w:id="162"/>
      <w:bookmarkEnd w:id="163"/>
    </w:p>
    <w:p>
      <w:pPr>
        <w:pStyle w:val="230"/>
        <w:ind w:firstLine="420"/>
        <w:rPr>
          <w:rFonts w:ascii="Times New Roman" w:hAnsi="Times New Roman"/>
          <w:color w:val="auto"/>
          <w:highlight w:val="none"/>
        </w:rPr>
      </w:pPr>
      <w:r>
        <w:rPr>
          <w:rFonts w:ascii="Times New Roman" w:hAnsi="Times New Roman"/>
          <w:color w:val="auto"/>
          <w:highlight w:val="none"/>
        </w:rPr>
        <w:t>工作环境相对湿度应符合表2要求。</w:t>
      </w:r>
    </w:p>
    <w:p>
      <w:pPr>
        <w:pStyle w:val="112"/>
        <w:spacing w:before="156" w:after="156"/>
        <w:rPr>
          <w:color w:val="auto"/>
          <w:highlight w:val="none"/>
        </w:rPr>
      </w:pPr>
      <w:r>
        <w:rPr>
          <w:color w:val="auto"/>
          <w:highlight w:val="none"/>
        </w:rPr>
        <w:t>工作环境相对湿度</w:t>
      </w:r>
    </w:p>
    <w:tbl>
      <w:tblPr>
        <w:tblStyle w:val="26"/>
        <w:tblW w:w="932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113"/>
        <w:gridCol w:w="4975"/>
        <w:gridCol w:w="223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1" w:hRule="atLeast"/>
          <w:jc w:val="center"/>
        </w:trPr>
        <w:tc>
          <w:tcPr>
            <w:tcW w:w="2113" w:type="dxa"/>
            <w:tcBorders>
              <w:top w:val="single" w:color="auto" w:sz="8" w:space="0"/>
              <w:bottom w:val="single" w:color="auto" w:sz="8" w:space="0"/>
            </w:tcBorders>
            <w:shd w:val="clear" w:color="auto" w:fill="auto"/>
            <w:vAlign w:val="center"/>
          </w:tcPr>
          <w:p>
            <w:pPr>
              <w:pStyle w:val="241"/>
              <w:spacing w:line="24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序号</w:t>
            </w:r>
          </w:p>
        </w:tc>
        <w:tc>
          <w:tcPr>
            <w:tcW w:w="4975" w:type="dxa"/>
            <w:tcBorders>
              <w:top w:val="single" w:color="auto" w:sz="8" w:space="0"/>
              <w:bottom w:val="single" w:color="auto" w:sz="8" w:space="0"/>
            </w:tcBorders>
            <w:shd w:val="clear" w:color="auto" w:fill="auto"/>
            <w:vAlign w:val="center"/>
          </w:tcPr>
          <w:p>
            <w:pPr>
              <w:pStyle w:val="241"/>
              <w:spacing w:line="24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条件</w:t>
            </w:r>
          </w:p>
        </w:tc>
        <w:tc>
          <w:tcPr>
            <w:tcW w:w="2237" w:type="dxa"/>
            <w:tcBorders>
              <w:top w:val="single" w:color="auto" w:sz="8" w:space="0"/>
              <w:bottom w:val="single" w:color="auto" w:sz="8" w:space="0"/>
            </w:tcBorders>
            <w:shd w:val="clear" w:color="auto" w:fill="auto"/>
            <w:vAlign w:val="center"/>
          </w:tcPr>
          <w:p>
            <w:pPr>
              <w:pStyle w:val="241"/>
              <w:spacing w:line="24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湿度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1" w:hRule="atLeast"/>
          <w:jc w:val="center"/>
        </w:trPr>
        <w:tc>
          <w:tcPr>
            <w:tcW w:w="2113" w:type="dxa"/>
            <w:tcBorders>
              <w:top w:val="single" w:color="auto" w:sz="8" w:space="0"/>
            </w:tcBorders>
            <w:shd w:val="clear" w:color="auto" w:fill="auto"/>
            <w:vAlign w:val="center"/>
          </w:tcPr>
          <w:p>
            <w:pPr>
              <w:pStyle w:val="241"/>
              <w:spacing w:line="24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4975" w:type="dxa"/>
            <w:tcBorders>
              <w:top w:val="single" w:color="auto" w:sz="8" w:space="0"/>
            </w:tcBorders>
            <w:shd w:val="clear" w:color="auto" w:fill="auto"/>
            <w:vAlign w:val="center"/>
          </w:tcPr>
          <w:p>
            <w:pPr>
              <w:pStyle w:val="241"/>
              <w:spacing w:line="24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年平均</w:t>
            </w:r>
          </w:p>
        </w:tc>
        <w:tc>
          <w:tcPr>
            <w:tcW w:w="2237" w:type="dxa"/>
            <w:tcBorders>
              <w:top w:val="single" w:color="auto" w:sz="8" w:space="0"/>
            </w:tcBorders>
            <w:shd w:val="clear" w:color="auto" w:fill="auto"/>
            <w:vAlign w:val="center"/>
          </w:tcPr>
          <w:p>
            <w:pPr>
              <w:pStyle w:val="241"/>
              <w:spacing w:line="24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1" w:hRule="atLeast"/>
          <w:jc w:val="center"/>
        </w:trPr>
        <w:tc>
          <w:tcPr>
            <w:tcW w:w="2113" w:type="dxa"/>
            <w:shd w:val="clear" w:color="auto" w:fill="auto"/>
            <w:vAlign w:val="center"/>
          </w:tcPr>
          <w:p>
            <w:pPr>
              <w:pStyle w:val="241"/>
              <w:spacing w:line="24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4975" w:type="dxa"/>
            <w:shd w:val="clear" w:color="auto" w:fill="auto"/>
            <w:vAlign w:val="center"/>
          </w:tcPr>
          <w:p>
            <w:pPr>
              <w:pStyle w:val="241"/>
              <w:spacing w:line="24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一个月内相对湿度平均值</w:t>
            </w:r>
          </w:p>
        </w:tc>
        <w:tc>
          <w:tcPr>
            <w:tcW w:w="2237" w:type="dxa"/>
            <w:shd w:val="clear" w:color="auto" w:fill="auto"/>
            <w:vAlign w:val="center"/>
          </w:tcPr>
          <w:p>
            <w:pPr>
              <w:pStyle w:val="241"/>
              <w:spacing w:line="24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1" w:hRule="atLeast"/>
          <w:jc w:val="center"/>
        </w:trPr>
        <w:tc>
          <w:tcPr>
            <w:tcW w:w="2113" w:type="dxa"/>
            <w:shd w:val="clear" w:color="auto" w:fill="auto"/>
            <w:vAlign w:val="center"/>
          </w:tcPr>
          <w:p>
            <w:pPr>
              <w:pStyle w:val="241"/>
              <w:spacing w:line="24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4975" w:type="dxa"/>
            <w:shd w:val="clear" w:color="auto" w:fill="auto"/>
            <w:vAlign w:val="center"/>
          </w:tcPr>
          <w:p>
            <w:pPr>
              <w:pStyle w:val="241"/>
              <w:spacing w:line="24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24小时内相对湿度平均值</w:t>
            </w:r>
          </w:p>
        </w:tc>
        <w:tc>
          <w:tcPr>
            <w:tcW w:w="2237" w:type="dxa"/>
            <w:shd w:val="clear" w:color="auto" w:fill="auto"/>
            <w:vAlign w:val="center"/>
          </w:tcPr>
          <w:p>
            <w:pPr>
              <w:pStyle w:val="241"/>
              <w:spacing w:line="24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≤95％</w:t>
            </w:r>
          </w:p>
        </w:tc>
      </w:tr>
    </w:tbl>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highlight w:val="none"/>
        </w:rPr>
      </w:pPr>
      <w:bookmarkStart w:id="164" w:name="_Toc5817"/>
      <w:bookmarkStart w:id="165" w:name="_Toc6167"/>
      <w:bookmarkStart w:id="166" w:name="_Toc18648"/>
      <w:bookmarkStart w:id="167" w:name="_Toc30050"/>
      <w:bookmarkStart w:id="168" w:name="_Toc22829"/>
      <w:r>
        <w:rPr>
          <w:color w:val="auto"/>
          <w:highlight w:val="none"/>
        </w:rPr>
        <w:t>大气压力</w:t>
      </w:r>
      <w:bookmarkEnd w:id="164"/>
      <w:bookmarkEnd w:id="165"/>
      <w:bookmarkEnd w:id="166"/>
      <w:bookmarkEnd w:id="167"/>
      <w:bookmarkEnd w:id="168"/>
    </w:p>
    <w:p>
      <w:pPr>
        <w:pStyle w:val="230"/>
        <w:ind w:firstLine="420"/>
        <w:rPr>
          <w:rFonts w:ascii="Times New Roman" w:hAnsi="Times New Roman"/>
          <w:color w:val="auto"/>
          <w:szCs w:val="21"/>
          <w:highlight w:val="none"/>
        </w:rPr>
      </w:pPr>
      <w:r>
        <w:rPr>
          <w:rFonts w:ascii="Times New Roman" w:hAnsi="Times New Roman"/>
          <w:color w:val="auto"/>
          <w:szCs w:val="21"/>
          <w:highlight w:val="none"/>
        </w:rPr>
        <w:t>63.0</w:t>
      </w:r>
      <w:r>
        <w:rPr>
          <w:rFonts w:hint="eastAsia" w:ascii="Times New Roman" w:hAnsi="Times New Roman" w:eastAsia="宋体"/>
          <w:color w:val="auto"/>
          <w:szCs w:val="21"/>
          <w:highlight w:val="none"/>
        </w:rPr>
        <w:t xml:space="preserve"> </w:t>
      </w:r>
      <w:r>
        <w:rPr>
          <w:rFonts w:ascii="Times New Roman" w:hAnsi="Times New Roman"/>
          <w:color w:val="auto"/>
          <w:szCs w:val="21"/>
          <w:highlight w:val="none"/>
        </w:rPr>
        <w:t>kPa～106.0</w:t>
      </w:r>
      <w:r>
        <w:rPr>
          <w:rFonts w:hint="eastAsia" w:ascii="Times New Roman" w:hAnsi="Times New Roman" w:eastAsia="宋体"/>
          <w:color w:val="auto"/>
          <w:szCs w:val="21"/>
          <w:highlight w:val="none"/>
        </w:rPr>
        <w:t xml:space="preserve"> </w:t>
      </w:r>
      <w:r>
        <w:rPr>
          <w:rFonts w:ascii="Times New Roman" w:hAnsi="Times New Roman"/>
          <w:color w:val="auto"/>
          <w:szCs w:val="21"/>
          <w:highlight w:val="none"/>
        </w:rPr>
        <w:t>kPa（海拔4000</w:t>
      </w:r>
      <w:r>
        <w:rPr>
          <w:rFonts w:hint="eastAsia" w:ascii="Times New Roman" w:hAnsi="Times New Roman" w:eastAsia="宋体"/>
          <w:color w:val="auto"/>
          <w:szCs w:val="21"/>
          <w:highlight w:val="none"/>
        </w:rPr>
        <w:t xml:space="preserve"> </w:t>
      </w:r>
      <w:r>
        <w:rPr>
          <w:rFonts w:ascii="Times New Roman" w:hAnsi="Times New Roman"/>
          <w:color w:val="auto"/>
          <w:szCs w:val="21"/>
          <w:highlight w:val="none"/>
        </w:rPr>
        <w:t>m及以下）。</w:t>
      </w:r>
    </w:p>
    <w:p>
      <w:pPr>
        <w:pStyle w:val="104"/>
        <w:spacing w:before="312" w:after="312"/>
        <w:rPr>
          <w:rFonts w:ascii="Times New Roman"/>
          <w:color w:val="auto"/>
          <w:highlight w:val="none"/>
        </w:rPr>
      </w:pPr>
      <w:bookmarkStart w:id="169" w:name="_Toc3447"/>
      <w:bookmarkStart w:id="170" w:name="_Toc21112"/>
      <w:bookmarkStart w:id="171" w:name="_Toc23553"/>
      <w:bookmarkStart w:id="172" w:name="_Toc32358"/>
      <w:bookmarkStart w:id="173" w:name="_Toc29745"/>
      <w:r>
        <w:rPr>
          <w:rFonts w:ascii="Times New Roman"/>
          <w:color w:val="auto"/>
          <w:highlight w:val="none"/>
        </w:rPr>
        <w:t>技术要求</w:t>
      </w:r>
      <w:bookmarkEnd w:id="169"/>
      <w:bookmarkEnd w:id="170"/>
      <w:bookmarkEnd w:id="171"/>
      <w:bookmarkEnd w:id="172"/>
      <w:bookmarkEnd w:id="173"/>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highlight w:val="none"/>
        </w:rPr>
      </w:pPr>
      <w:bookmarkStart w:id="174" w:name="_Toc26482"/>
      <w:bookmarkStart w:id="175" w:name="_Toc25298"/>
      <w:bookmarkStart w:id="176" w:name="_Toc29061"/>
      <w:bookmarkStart w:id="177" w:name="_Toc550"/>
      <w:bookmarkStart w:id="178" w:name="_Toc18945"/>
      <w:r>
        <w:rPr>
          <w:color w:val="auto"/>
          <w:highlight w:val="none"/>
        </w:rPr>
        <w:t>通用额定值</w:t>
      </w:r>
      <w:bookmarkEnd w:id="174"/>
      <w:bookmarkEnd w:id="175"/>
      <w:bookmarkEnd w:id="176"/>
      <w:bookmarkEnd w:id="177"/>
      <w:bookmarkEnd w:id="178"/>
    </w:p>
    <w:p>
      <w:pPr>
        <w:pStyle w:val="65"/>
        <w:spacing w:before="156" w:after="156"/>
        <w:rPr>
          <w:color w:val="auto"/>
          <w:szCs w:val="32"/>
          <w:highlight w:val="none"/>
        </w:rPr>
      </w:pPr>
      <w:bookmarkStart w:id="179" w:name="_Toc7174"/>
      <w:r>
        <w:rPr>
          <w:rStyle w:val="239"/>
          <w:rFonts w:ascii="Times New Roman"/>
          <w:color w:val="auto"/>
          <w:highlight w:val="none"/>
        </w:rPr>
        <w:t>额定一次电流的标准值</w:t>
      </w:r>
      <w:bookmarkEnd w:id="179"/>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额定一次电流标准值为：10</w:t>
      </w:r>
      <w:r>
        <w:rPr>
          <w:rFonts w:hint="eastAsia" w:ascii="Times New Roman" w:hAnsi="Times New Roman"/>
          <w:color w:val="auto"/>
          <w:szCs w:val="32"/>
          <w:highlight w:val="none"/>
        </w:rPr>
        <w:t xml:space="preserve"> </w:t>
      </w:r>
      <w:r>
        <w:rPr>
          <w:rFonts w:ascii="Times New Roman" w:hAnsi="Times New Roman"/>
          <w:color w:val="auto"/>
          <w:szCs w:val="32"/>
          <w:highlight w:val="none"/>
        </w:rPr>
        <w:t>A，12.5</w:t>
      </w:r>
      <w:r>
        <w:rPr>
          <w:rFonts w:hint="eastAsia" w:ascii="Times New Roman" w:hAnsi="Times New Roman"/>
          <w:color w:val="auto"/>
          <w:szCs w:val="32"/>
          <w:highlight w:val="none"/>
        </w:rPr>
        <w:t xml:space="preserve"> </w:t>
      </w:r>
      <w:r>
        <w:rPr>
          <w:rFonts w:ascii="Times New Roman" w:hAnsi="Times New Roman"/>
          <w:color w:val="auto"/>
          <w:szCs w:val="32"/>
          <w:highlight w:val="none"/>
        </w:rPr>
        <w:t>A，15</w:t>
      </w:r>
      <w:r>
        <w:rPr>
          <w:rFonts w:hint="eastAsia" w:ascii="Times New Roman" w:hAnsi="Times New Roman"/>
          <w:color w:val="auto"/>
          <w:szCs w:val="32"/>
          <w:highlight w:val="none"/>
        </w:rPr>
        <w:t xml:space="preserve"> </w:t>
      </w:r>
      <w:r>
        <w:rPr>
          <w:rFonts w:ascii="Times New Roman" w:hAnsi="Times New Roman"/>
          <w:color w:val="auto"/>
          <w:szCs w:val="32"/>
          <w:highlight w:val="none"/>
        </w:rPr>
        <w:t>A，20</w:t>
      </w:r>
      <w:r>
        <w:rPr>
          <w:rFonts w:hint="eastAsia" w:ascii="Times New Roman" w:hAnsi="Times New Roman"/>
          <w:color w:val="auto"/>
          <w:szCs w:val="32"/>
          <w:highlight w:val="none"/>
        </w:rPr>
        <w:t xml:space="preserve"> </w:t>
      </w:r>
      <w:r>
        <w:rPr>
          <w:rFonts w:ascii="Times New Roman" w:hAnsi="Times New Roman"/>
          <w:color w:val="auto"/>
          <w:szCs w:val="32"/>
          <w:highlight w:val="none"/>
        </w:rPr>
        <w:t>A，25</w:t>
      </w:r>
      <w:r>
        <w:rPr>
          <w:rFonts w:hint="eastAsia" w:ascii="Times New Roman" w:hAnsi="Times New Roman"/>
          <w:color w:val="auto"/>
          <w:szCs w:val="32"/>
          <w:highlight w:val="none"/>
        </w:rPr>
        <w:t xml:space="preserve"> </w:t>
      </w:r>
      <w:r>
        <w:rPr>
          <w:rFonts w:ascii="Times New Roman" w:hAnsi="Times New Roman"/>
          <w:color w:val="auto"/>
          <w:szCs w:val="32"/>
          <w:highlight w:val="none"/>
        </w:rPr>
        <w:t>A，30</w:t>
      </w:r>
      <w:r>
        <w:rPr>
          <w:rFonts w:hint="eastAsia" w:ascii="Times New Roman" w:hAnsi="Times New Roman"/>
          <w:color w:val="auto"/>
          <w:szCs w:val="32"/>
          <w:highlight w:val="none"/>
        </w:rPr>
        <w:t xml:space="preserve"> </w:t>
      </w:r>
      <w:r>
        <w:rPr>
          <w:rFonts w:ascii="Times New Roman" w:hAnsi="Times New Roman"/>
          <w:color w:val="auto"/>
          <w:szCs w:val="32"/>
          <w:highlight w:val="none"/>
        </w:rPr>
        <w:t>A，40</w:t>
      </w:r>
      <w:r>
        <w:rPr>
          <w:rFonts w:hint="eastAsia" w:ascii="Times New Roman" w:hAnsi="Times New Roman"/>
          <w:color w:val="auto"/>
          <w:szCs w:val="32"/>
          <w:highlight w:val="none"/>
        </w:rPr>
        <w:t xml:space="preserve"> </w:t>
      </w:r>
      <w:r>
        <w:rPr>
          <w:rFonts w:ascii="Times New Roman" w:hAnsi="Times New Roman"/>
          <w:color w:val="auto"/>
          <w:szCs w:val="32"/>
          <w:highlight w:val="none"/>
        </w:rPr>
        <w:t>A，50</w:t>
      </w:r>
      <w:r>
        <w:rPr>
          <w:rFonts w:hint="eastAsia" w:ascii="Times New Roman" w:hAnsi="Times New Roman"/>
          <w:color w:val="auto"/>
          <w:szCs w:val="32"/>
          <w:highlight w:val="none"/>
        </w:rPr>
        <w:t xml:space="preserve"> </w:t>
      </w:r>
      <w:r>
        <w:rPr>
          <w:rFonts w:ascii="Times New Roman" w:hAnsi="Times New Roman"/>
          <w:color w:val="auto"/>
          <w:szCs w:val="32"/>
          <w:highlight w:val="none"/>
        </w:rPr>
        <w:t>A，60</w:t>
      </w:r>
      <w:r>
        <w:rPr>
          <w:rFonts w:hint="eastAsia" w:ascii="Times New Roman" w:hAnsi="Times New Roman"/>
          <w:color w:val="auto"/>
          <w:szCs w:val="32"/>
          <w:highlight w:val="none"/>
        </w:rPr>
        <w:t xml:space="preserve"> </w:t>
      </w:r>
      <w:r>
        <w:rPr>
          <w:rFonts w:ascii="Times New Roman" w:hAnsi="Times New Roman"/>
          <w:color w:val="auto"/>
          <w:szCs w:val="32"/>
          <w:highlight w:val="none"/>
        </w:rPr>
        <w:t>A，75</w:t>
      </w:r>
      <w:r>
        <w:rPr>
          <w:rFonts w:hint="eastAsia" w:ascii="Times New Roman" w:hAnsi="Times New Roman"/>
          <w:color w:val="auto"/>
          <w:szCs w:val="32"/>
          <w:highlight w:val="none"/>
        </w:rPr>
        <w:t xml:space="preserve"> </w:t>
      </w:r>
      <w:r>
        <w:rPr>
          <w:rFonts w:ascii="Times New Roman" w:hAnsi="Times New Roman"/>
          <w:color w:val="auto"/>
          <w:szCs w:val="32"/>
          <w:highlight w:val="none"/>
        </w:rPr>
        <w:t>A以及它们的十进</w:t>
      </w:r>
      <w:r>
        <w:rPr>
          <w:rFonts w:hint="eastAsia" w:ascii="Times New Roman" w:hAnsi="Times New Roman"/>
          <w:color w:val="auto"/>
          <w:szCs w:val="32"/>
          <w:highlight w:val="none"/>
        </w:rPr>
        <w:t>制</w:t>
      </w:r>
      <w:r>
        <w:rPr>
          <w:rFonts w:ascii="Times New Roman" w:hAnsi="Times New Roman"/>
          <w:color w:val="auto"/>
          <w:szCs w:val="32"/>
          <w:highlight w:val="none"/>
        </w:rPr>
        <w:t>倍数或小数。</w:t>
      </w:r>
    </w:p>
    <w:p>
      <w:pPr>
        <w:pStyle w:val="65"/>
        <w:spacing w:before="156" w:after="156"/>
        <w:rPr>
          <w:color w:val="auto"/>
          <w:szCs w:val="32"/>
          <w:highlight w:val="none"/>
        </w:rPr>
      </w:pPr>
      <w:bookmarkStart w:id="180" w:name="_Toc7801"/>
      <w:bookmarkStart w:id="181" w:name="_Toc225940138"/>
      <w:r>
        <w:rPr>
          <w:color w:val="auto"/>
          <w:highlight w:val="none"/>
        </w:rPr>
        <w:t>额定扩大一次电流系数的标准值</w:t>
      </w:r>
      <w:bookmarkEnd w:id="180"/>
      <w:bookmarkEnd w:id="181"/>
    </w:p>
    <w:p>
      <w:pPr>
        <w:ind w:firstLine="420" w:firstLineChars="200"/>
        <w:rPr>
          <w:rFonts w:ascii="Times New Roman" w:hAnsi="Times New Roman"/>
          <w:color w:val="auto"/>
          <w:highlight w:val="none"/>
        </w:rPr>
      </w:pPr>
      <w:r>
        <w:rPr>
          <w:rFonts w:ascii="Times New Roman" w:hAnsi="Times New Roman"/>
          <w:color w:val="auto"/>
          <w:szCs w:val="32"/>
          <w:highlight w:val="none"/>
        </w:rPr>
        <w:t>额定扩大一次电流系数为：1.2，1.5，2.5，10，50，100。</w:t>
      </w:r>
    </w:p>
    <w:p>
      <w:pPr>
        <w:pStyle w:val="65"/>
        <w:spacing w:before="156" w:after="156"/>
        <w:rPr>
          <w:color w:val="auto"/>
          <w:szCs w:val="32"/>
          <w:highlight w:val="none"/>
        </w:rPr>
      </w:pPr>
      <w:bookmarkStart w:id="182" w:name="_Toc225940140"/>
      <w:bookmarkStart w:id="183" w:name="_Toc19098"/>
      <w:r>
        <w:rPr>
          <w:color w:val="auto"/>
          <w:highlight w:val="none"/>
        </w:rPr>
        <w:t>设备最高电压</w:t>
      </w:r>
      <w:bookmarkEnd w:id="182"/>
      <w:bookmarkEnd w:id="183"/>
    </w:p>
    <w:p>
      <w:pPr>
        <w:ind w:firstLine="420" w:firstLineChars="200"/>
        <w:rPr>
          <w:rFonts w:ascii="Times New Roman" w:hAnsi="Times New Roman"/>
          <w:color w:val="auto"/>
          <w:highlight w:val="none"/>
        </w:rPr>
      </w:pPr>
      <w:r>
        <w:rPr>
          <w:rFonts w:ascii="Times New Roman" w:hAnsi="Times New Roman"/>
          <w:color w:val="auto"/>
          <w:szCs w:val="32"/>
          <w:highlight w:val="none"/>
        </w:rPr>
        <w:t>相对相电压的最高方均根值，微型智能电流传感器依据它设计其绝缘以及有关标准按此电压规定的其他特性。</w:t>
      </w:r>
      <w:bookmarkStart w:id="184" w:name="_Toc225940279"/>
      <w:bookmarkStart w:id="185" w:name="_Toc225940151"/>
      <w:bookmarkStart w:id="186" w:name="_Toc236566482"/>
    </w:p>
    <w:bookmarkEnd w:id="184"/>
    <w:bookmarkEnd w:id="185"/>
    <w:bookmarkEnd w:id="186"/>
    <w:p>
      <w:pPr>
        <w:pStyle w:val="65"/>
        <w:spacing w:before="156" w:after="156"/>
        <w:rPr>
          <w:color w:val="auto"/>
          <w:highlight w:val="none"/>
        </w:rPr>
      </w:pPr>
      <w:bookmarkStart w:id="187" w:name="_Toc7037"/>
      <w:r>
        <w:rPr>
          <w:color w:val="auto"/>
          <w:highlight w:val="none"/>
        </w:rPr>
        <w:t>短时电流额定值</w:t>
      </w:r>
      <w:bookmarkEnd w:id="187"/>
    </w:p>
    <w:p>
      <w:pPr>
        <w:numPr>
          <w:ilvl w:val="0"/>
          <w:numId w:val="33"/>
        </w:numPr>
        <w:tabs>
          <w:tab w:val="left" w:pos="840"/>
          <w:tab w:val="clear" w:pos="2860"/>
        </w:tabs>
        <w:ind w:left="840"/>
        <w:rPr>
          <w:rFonts w:ascii="Times New Roman" w:hAnsi="Times New Roman"/>
          <w:color w:val="auto"/>
          <w:highlight w:val="none"/>
        </w:rPr>
      </w:pPr>
      <w:r>
        <w:rPr>
          <w:rFonts w:ascii="Times New Roman" w:hAnsi="Times New Roman"/>
          <w:color w:val="auto"/>
          <w:highlight w:val="none"/>
        </w:rPr>
        <w:t>标准准确限值系数为：3，5，7.5，10，12.5，15，17.5，20，25，30，40，63，80。</w:t>
      </w:r>
    </w:p>
    <w:p>
      <w:pPr>
        <w:numPr>
          <w:ilvl w:val="0"/>
          <w:numId w:val="33"/>
        </w:numPr>
        <w:tabs>
          <w:tab w:val="left" w:pos="840"/>
          <w:tab w:val="clear" w:pos="2860"/>
        </w:tabs>
        <w:ind w:left="840"/>
        <w:rPr>
          <w:rFonts w:ascii="Times New Roman" w:hAnsi="Times New Roman"/>
          <w:color w:val="auto"/>
          <w:highlight w:val="none"/>
        </w:rPr>
      </w:pPr>
      <w:r>
        <w:rPr>
          <w:rFonts w:ascii="Times New Roman" w:hAnsi="Times New Roman"/>
          <w:color w:val="auto"/>
          <w:highlight w:val="none"/>
        </w:rPr>
        <w:t>额定短路电流倍数为：3，5，7.5，10，12.5，15，17.5，20，25，30，40，63，80及其十进制倍数。</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highlight w:val="none"/>
        </w:rPr>
      </w:pPr>
      <w:bookmarkStart w:id="188" w:name="_Toc4746"/>
      <w:bookmarkStart w:id="189" w:name="_Toc1216"/>
      <w:bookmarkStart w:id="190" w:name="_Toc16124"/>
      <w:bookmarkStart w:id="191" w:name="_Toc28650"/>
      <w:bookmarkStart w:id="192" w:name="_Toc25450"/>
      <w:r>
        <w:rPr>
          <w:color w:val="auto"/>
          <w:highlight w:val="none"/>
        </w:rPr>
        <w:t>准确级及误差限值</w:t>
      </w:r>
      <w:bookmarkEnd w:id="188"/>
      <w:bookmarkEnd w:id="189"/>
      <w:bookmarkEnd w:id="190"/>
      <w:bookmarkEnd w:id="191"/>
      <w:bookmarkEnd w:id="192"/>
    </w:p>
    <w:p>
      <w:pPr>
        <w:pStyle w:val="65"/>
        <w:spacing w:before="156" w:after="156"/>
        <w:rPr>
          <w:color w:val="auto"/>
          <w:szCs w:val="32"/>
          <w:highlight w:val="none"/>
        </w:rPr>
      </w:pPr>
      <w:bookmarkStart w:id="193" w:name="_Toc225940158"/>
      <w:bookmarkStart w:id="194" w:name="_Toc6637"/>
      <w:r>
        <w:rPr>
          <w:rStyle w:val="242"/>
          <w:rFonts w:ascii="Times New Roman"/>
          <w:color w:val="auto"/>
          <w:highlight w:val="none"/>
        </w:rPr>
        <w:t>准确级的标称</w:t>
      </w:r>
      <w:bookmarkEnd w:id="193"/>
      <w:bookmarkEnd w:id="194"/>
    </w:p>
    <w:p>
      <w:pPr>
        <w:numPr>
          <w:ilvl w:val="0"/>
          <w:numId w:val="34"/>
        </w:numPr>
        <w:tabs>
          <w:tab w:val="left" w:pos="840"/>
          <w:tab w:val="clear" w:pos="2860"/>
        </w:tabs>
        <w:ind w:left="840"/>
        <w:rPr>
          <w:rFonts w:ascii="Times New Roman" w:hAnsi="Times New Roman"/>
          <w:color w:val="auto"/>
          <w:szCs w:val="32"/>
          <w:highlight w:val="none"/>
        </w:rPr>
      </w:pPr>
      <w:r>
        <w:rPr>
          <w:rFonts w:ascii="Times New Roman" w:hAnsi="Times New Roman"/>
          <w:color w:val="auto"/>
          <w:highlight w:val="none"/>
        </w:rPr>
        <w:t>测量、计量用微型智能电流传感器：</w:t>
      </w:r>
      <w:r>
        <w:rPr>
          <w:rFonts w:ascii="Times New Roman" w:hAnsi="Times New Roman"/>
          <w:color w:val="auto"/>
          <w:szCs w:val="32"/>
          <w:highlight w:val="none"/>
        </w:rPr>
        <w:t>测量、计量用微型智能电流传感器准确级，在额定一次电流下，以该准确级所规定的最大允许电流误差百分数来标称。</w:t>
      </w:r>
    </w:p>
    <w:p>
      <w:pPr>
        <w:numPr>
          <w:ilvl w:val="0"/>
          <w:numId w:val="34"/>
        </w:numPr>
        <w:tabs>
          <w:tab w:val="clear" w:pos="2860"/>
        </w:tabs>
        <w:ind w:left="840"/>
        <w:rPr>
          <w:rFonts w:ascii="Times New Roman" w:hAnsi="Times New Roman"/>
          <w:color w:val="auto"/>
          <w:szCs w:val="32"/>
          <w:highlight w:val="none"/>
        </w:rPr>
      </w:pPr>
      <w:r>
        <w:rPr>
          <w:rFonts w:ascii="Times New Roman" w:hAnsi="Times New Roman"/>
          <w:color w:val="auto"/>
          <w:highlight w:val="none"/>
        </w:rPr>
        <w:t>保护用微型智能电流传感器：保护用微型智能电流传感器准确级，是以在额定准确限值一次电流下所规定的最大允许复合误差百分数标称，其后标以字母P。</w:t>
      </w:r>
    </w:p>
    <w:p>
      <w:pPr>
        <w:pStyle w:val="65"/>
        <w:spacing w:before="156" w:after="156"/>
        <w:rPr>
          <w:color w:val="auto"/>
          <w:szCs w:val="32"/>
          <w:highlight w:val="none"/>
        </w:rPr>
      </w:pPr>
      <w:bookmarkStart w:id="195" w:name="_Toc225940159"/>
      <w:bookmarkStart w:id="196" w:name="_Toc14467"/>
      <w:r>
        <w:rPr>
          <w:color w:val="auto"/>
          <w:highlight w:val="none"/>
        </w:rPr>
        <w:t>标准准确级</w:t>
      </w:r>
      <w:bookmarkEnd w:id="195"/>
      <w:bookmarkEnd w:id="196"/>
    </w:p>
    <w:p>
      <w:pPr>
        <w:numPr>
          <w:ilvl w:val="0"/>
          <w:numId w:val="35"/>
        </w:numPr>
        <w:tabs>
          <w:tab w:val="left" w:pos="840"/>
          <w:tab w:val="clear" w:pos="2860"/>
        </w:tabs>
        <w:ind w:left="840"/>
        <w:rPr>
          <w:rFonts w:ascii="Times New Roman" w:hAnsi="Times New Roman"/>
          <w:color w:val="auto"/>
          <w:szCs w:val="32"/>
          <w:highlight w:val="none"/>
        </w:rPr>
      </w:pPr>
      <w:r>
        <w:rPr>
          <w:rFonts w:ascii="Times New Roman" w:hAnsi="Times New Roman"/>
          <w:color w:val="auto"/>
          <w:highlight w:val="none"/>
        </w:rPr>
        <w:t>测量、计量用微型智能电流传感器：</w:t>
      </w:r>
      <w:r>
        <w:rPr>
          <w:rFonts w:ascii="Times New Roman" w:hAnsi="Times New Roman"/>
          <w:color w:val="auto"/>
          <w:szCs w:val="32"/>
          <w:highlight w:val="none"/>
        </w:rPr>
        <w:t>测量用微型智能电流传感器的标准准确级为：0.1，0.2，0.5，1.0，3.0，5.0；特殊用途的微型智能电流传感器的标准准确级为：0.2S，0.5S。</w:t>
      </w:r>
    </w:p>
    <w:p>
      <w:pPr>
        <w:numPr>
          <w:ilvl w:val="0"/>
          <w:numId w:val="35"/>
        </w:numPr>
        <w:tabs>
          <w:tab w:val="clear" w:pos="2860"/>
        </w:tabs>
        <w:ind w:left="840"/>
        <w:rPr>
          <w:rFonts w:ascii="Times New Roman" w:hAnsi="Times New Roman"/>
          <w:color w:val="auto"/>
          <w:szCs w:val="32"/>
          <w:highlight w:val="none"/>
        </w:rPr>
      </w:pPr>
      <w:r>
        <w:rPr>
          <w:rFonts w:ascii="Times New Roman" w:hAnsi="Times New Roman"/>
          <w:color w:val="auto"/>
          <w:highlight w:val="none"/>
        </w:rPr>
        <w:t>保护用微型智能电流传感器：保护用微型智能电流传感器的标准准确级为5P和10P。</w:t>
      </w:r>
    </w:p>
    <w:p>
      <w:pPr>
        <w:pStyle w:val="65"/>
        <w:spacing w:before="156" w:after="156"/>
        <w:rPr>
          <w:color w:val="auto"/>
          <w:szCs w:val="32"/>
          <w:highlight w:val="none"/>
        </w:rPr>
      </w:pPr>
      <w:bookmarkStart w:id="197" w:name="_Toc1926"/>
      <w:r>
        <w:rPr>
          <w:color w:val="auto"/>
          <w:highlight w:val="none"/>
        </w:rPr>
        <w:t>误差限值</w:t>
      </w:r>
      <w:bookmarkEnd w:id="197"/>
    </w:p>
    <w:p>
      <w:pPr>
        <w:widowControl/>
        <w:numPr>
          <w:ilvl w:val="0"/>
          <w:numId w:val="36"/>
        </w:numPr>
        <w:tabs>
          <w:tab w:val="left" w:pos="840"/>
        </w:tabs>
        <w:ind w:left="840"/>
        <w:jc w:val="left"/>
        <w:rPr>
          <w:rFonts w:ascii="Times New Roman" w:hAnsi="Times New Roman"/>
          <w:color w:val="auto"/>
          <w:szCs w:val="32"/>
          <w:highlight w:val="none"/>
        </w:rPr>
      </w:pPr>
      <w:r>
        <w:rPr>
          <w:rFonts w:ascii="Times New Roman" w:hAnsi="Times New Roman"/>
          <w:color w:val="auto"/>
          <w:highlight w:val="none"/>
        </w:rPr>
        <w:t>测量、计量用微型智能电流传感器：</w:t>
      </w:r>
      <w:r>
        <w:rPr>
          <w:rFonts w:ascii="Times New Roman" w:hAnsi="Times New Roman"/>
          <w:color w:val="auto"/>
          <w:szCs w:val="32"/>
          <w:highlight w:val="none"/>
        </w:rPr>
        <w:t>测量、计量用微型智能电流传感器的电流误差和相位差应不超过表3的规定值。</w:t>
      </w:r>
    </w:p>
    <w:p>
      <w:pPr>
        <w:pStyle w:val="112"/>
        <w:spacing w:before="156" w:after="156"/>
        <w:rPr>
          <w:color w:val="auto"/>
          <w:highlight w:val="none"/>
        </w:rPr>
      </w:pPr>
      <w:r>
        <w:rPr>
          <w:color w:val="auto"/>
          <w:highlight w:val="none"/>
        </w:rPr>
        <w:t>测量用微型智能电流传感器的电流误差和相位差限值</w:t>
      </w:r>
    </w:p>
    <w:tbl>
      <w:tblPr>
        <w:tblStyle w:val="26"/>
        <w:tblW w:w="946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
      <w:tblGrid>
        <w:gridCol w:w="859"/>
        <w:gridCol w:w="571"/>
        <w:gridCol w:w="571"/>
        <w:gridCol w:w="572"/>
        <w:gridCol w:w="574"/>
        <w:gridCol w:w="578"/>
        <w:gridCol w:w="572"/>
        <w:gridCol w:w="572"/>
        <w:gridCol w:w="574"/>
        <w:gridCol w:w="572"/>
        <w:gridCol w:w="578"/>
        <w:gridCol w:w="572"/>
        <w:gridCol w:w="574"/>
        <w:gridCol w:w="572"/>
        <w:gridCol w:w="572"/>
        <w:gridCol w:w="58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859" w:type="dxa"/>
            <w:vMerge w:val="restart"/>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准确级</w:t>
            </w:r>
          </w:p>
        </w:tc>
        <w:tc>
          <w:tcPr>
            <w:tcW w:w="2866" w:type="dxa"/>
            <w:gridSpan w:val="5"/>
            <w:vMerge w:val="restart"/>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电流误差（在下列额定电流百分数时）±%</w:t>
            </w:r>
          </w:p>
        </w:tc>
        <w:tc>
          <w:tcPr>
            <w:tcW w:w="5743" w:type="dxa"/>
            <w:gridSpan w:val="10"/>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相位差（在下列额定百分数时）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859" w:type="dxa"/>
            <w:vMerge w:val="continue"/>
            <w:shd w:val="clear" w:color="auto" w:fill="auto"/>
          </w:tcPr>
          <w:p>
            <w:pPr>
              <w:pStyle w:val="243"/>
              <w:spacing w:line="300" w:lineRule="auto"/>
              <w:ind w:firstLine="0" w:firstLineChars="0"/>
              <w:rPr>
                <w:color w:val="auto"/>
                <w:sz w:val="18"/>
                <w:szCs w:val="18"/>
                <w:highlight w:val="none"/>
              </w:rPr>
            </w:pPr>
          </w:p>
        </w:tc>
        <w:tc>
          <w:tcPr>
            <w:tcW w:w="2866" w:type="dxa"/>
            <w:gridSpan w:val="5"/>
            <w:vMerge w:val="continue"/>
            <w:shd w:val="clear" w:color="auto" w:fill="auto"/>
            <w:vAlign w:val="center"/>
          </w:tcPr>
          <w:p>
            <w:pPr>
              <w:pStyle w:val="243"/>
              <w:spacing w:line="300" w:lineRule="auto"/>
              <w:ind w:firstLine="0" w:firstLineChars="0"/>
              <w:jc w:val="center"/>
              <w:rPr>
                <w:color w:val="auto"/>
                <w:sz w:val="18"/>
                <w:szCs w:val="18"/>
                <w:highlight w:val="none"/>
              </w:rPr>
            </w:pPr>
          </w:p>
        </w:tc>
        <w:tc>
          <w:tcPr>
            <w:tcW w:w="2868" w:type="dxa"/>
            <w:gridSpan w:val="5"/>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w:t>
            </w:r>
          </w:p>
        </w:tc>
        <w:tc>
          <w:tcPr>
            <w:tcW w:w="2875" w:type="dxa"/>
            <w:gridSpan w:val="5"/>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±crad</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97" w:hRule="atLeast"/>
        </w:trPr>
        <w:tc>
          <w:tcPr>
            <w:tcW w:w="859" w:type="dxa"/>
            <w:vMerge w:val="continue"/>
            <w:shd w:val="clear" w:color="auto" w:fill="auto"/>
          </w:tcPr>
          <w:p>
            <w:pPr>
              <w:pStyle w:val="243"/>
              <w:spacing w:line="300" w:lineRule="auto"/>
              <w:ind w:firstLine="0" w:firstLineChars="0"/>
              <w:rPr>
                <w:color w:val="auto"/>
                <w:sz w:val="18"/>
                <w:szCs w:val="18"/>
                <w:highlight w:val="none"/>
              </w:rPr>
            </w:pPr>
          </w:p>
        </w:tc>
        <w:tc>
          <w:tcPr>
            <w:tcW w:w="571"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w:t>
            </w:r>
          </w:p>
        </w:tc>
        <w:tc>
          <w:tcPr>
            <w:tcW w:w="571"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5</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20</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100</w:t>
            </w:r>
          </w:p>
        </w:tc>
        <w:tc>
          <w:tcPr>
            <w:tcW w:w="578"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120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5</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20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100</w:t>
            </w:r>
          </w:p>
        </w:tc>
        <w:tc>
          <w:tcPr>
            <w:tcW w:w="578"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120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5</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20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100</w:t>
            </w:r>
          </w:p>
        </w:tc>
        <w:tc>
          <w:tcPr>
            <w:tcW w:w="585"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859"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0.1</w:t>
            </w:r>
          </w:p>
        </w:tc>
        <w:tc>
          <w:tcPr>
            <w:tcW w:w="571"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w:t>
            </w:r>
          </w:p>
        </w:tc>
        <w:tc>
          <w:tcPr>
            <w:tcW w:w="571"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0.4</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0.2</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0.1</w:t>
            </w:r>
          </w:p>
        </w:tc>
        <w:tc>
          <w:tcPr>
            <w:tcW w:w="578"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0.1</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15</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8</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5</w:t>
            </w:r>
          </w:p>
        </w:tc>
        <w:tc>
          <w:tcPr>
            <w:tcW w:w="578"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5</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0.45</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0.24</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0.15</w:t>
            </w:r>
          </w:p>
        </w:tc>
        <w:tc>
          <w:tcPr>
            <w:tcW w:w="585"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859"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0.2</w:t>
            </w:r>
          </w:p>
        </w:tc>
        <w:tc>
          <w:tcPr>
            <w:tcW w:w="571"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w:t>
            </w:r>
          </w:p>
        </w:tc>
        <w:tc>
          <w:tcPr>
            <w:tcW w:w="571"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0.75</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0.35</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0.2</w:t>
            </w:r>
          </w:p>
        </w:tc>
        <w:tc>
          <w:tcPr>
            <w:tcW w:w="578"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0.2</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30</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15</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10</w:t>
            </w:r>
          </w:p>
        </w:tc>
        <w:tc>
          <w:tcPr>
            <w:tcW w:w="578"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0.90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0.45</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0.30</w:t>
            </w:r>
          </w:p>
        </w:tc>
        <w:tc>
          <w:tcPr>
            <w:tcW w:w="585"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859"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0.5</w:t>
            </w:r>
          </w:p>
        </w:tc>
        <w:tc>
          <w:tcPr>
            <w:tcW w:w="571"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w:t>
            </w:r>
          </w:p>
        </w:tc>
        <w:tc>
          <w:tcPr>
            <w:tcW w:w="571"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1.5</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0.75</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0.5</w:t>
            </w:r>
          </w:p>
        </w:tc>
        <w:tc>
          <w:tcPr>
            <w:tcW w:w="578"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0.5</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90</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45</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30</w:t>
            </w:r>
          </w:p>
        </w:tc>
        <w:tc>
          <w:tcPr>
            <w:tcW w:w="578"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30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2.70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1.35</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0.90</w:t>
            </w:r>
          </w:p>
        </w:tc>
        <w:tc>
          <w:tcPr>
            <w:tcW w:w="585"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859"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w:t>
            </w:r>
          </w:p>
        </w:tc>
        <w:tc>
          <w:tcPr>
            <w:tcW w:w="571"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w:t>
            </w:r>
          </w:p>
        </w:tc>
        <w:tc>
          <w:tcPr>
            <w:tcW w:w="571"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3</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1.5</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w:t>
            </w:r>
          </w:p>
        </w:tc>
        <w:tc>
          <w:tcPr>
            <w:tcW w:w="578"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180</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90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60</w:t>
            </w:r>
          </w:p>
        </w:tc>
        <w:tc>
          <w:tcPr>
            <w:tcW w:w="578"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60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5.40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2.70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1.80</w:t>
            </w:r>
          </w:p>
        </w:tc>
        <w:tc>
          <w:tcPr>
            <w:tcW w:w="585"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1.80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859"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0.2S</w:t>
            </w:r>
          </w:p>
        </w:tc>
        <w:tc>
          <w:tcPr>
            <w:tcW w:w="571"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0.75</w:t>
            </w:r>
          </w:p>
        </w:tc>
        <w:tc>
          <w:tcPr>
            <w:tcW w:w="571"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0.35</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0.2</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0.2</w:t>
            </w:r>
          </w:p>
        </w:tc>
        <w:tc>
          <w:tcPr>
            <w:tcW w:w="578"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0.2</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30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15</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10</w:t>
            </w:r>
          </w:p>
        </w:tc>
        <w:tc>
          <w:tcPr>
            <w:tcW w:w="578"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0.90</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0.45</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0.30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0.30</w:t>
            </w:r>
          </w:p>
        </w:tc>
        <w:tc>
          <w:tcPr>
            <w:tcW w:w="585"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859"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0.5S</w:t>
            </w:r>
          </w:p>
        </w:tc>
        <w:tc>
          <w:tcPr>
            <w:tcW w:w="571"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1.5</w:t>
            </w:r>
          </w:p>
        </w:tc>
        <w:tc>
          <w:tcPr>
            <w:tcW w:w="571"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0.75</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0.5</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0.5</w:t>
            </w:r>
          </w:p>
        </w:tc>
        <w:tc>
          <w:tcPr>
            <w:tcW w:w="578"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0.5</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90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45</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30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30</w:t>
            </w:r>
          </w:p>
        </w:tc>
        <w:tc>
          <w:tcPr>
            <w:tcW w:w="578"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30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2.70</w:t>
            </w:r>
          </w:p>
        </w:tc>
        <w:tc>
          <w:tcPr>
            <w:tcW w:w="574"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1.35</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0.90</w:t>
            </w:r>
          </w:p>
        </w:tc>
        <w:tc>
          <w:tcPr>
            <w:tcW w:w="572"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0.90</w:t>
            </w:r>
          </w:p>
        </w:tc>
        <w:tc>
          <w:tcPr>
            <w:tcW w:w="585"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0.90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859"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3</w:t>
            </w:r>
          </w:p>
        </w:tc>
        <w:tc>
          <w:tcPr>
            <w:tcW w:w="8609" w:type="dxa"/>
            <w:gridSpan w:val="15"/>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在50%和120%额定电流时，电流误差±3%，相位差不予规定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859" w:type="dxa"/>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5</w:t>
            </w:r>
          </w:p>
        </w:tc>
        <w:tc>
          <w:tcPr>
            <w:tcW w:w="8609" w:type="dxa"/>
            <w:gridSpan w:val="15"/>
            <w:shd w:val="clear" w:color="auto" w:fill="auto"/>
            <w:vAlign w:val="center"/>
          </w:tcPr>
          <w:p>
            <w:pPr>
              <w:pStyle w:val="243"/>
              <w:spacing w:line="300" w:lineRule="auto"/>
              <w:ind w:firstLine="0" w:firstLineChars="0"/>
              <w:jc w:val="center"/>
              <w:rPr>
                <w:color w:val="auto"/>
                <w:sz w:val="18"/>
                <w:szCs w:val="18"/>
                <w:highlight w:val="none"/>
              </w:rPr>
            </w:pPr>
            <w:r>
              <w:rPr>
                <w:color w:val="auto"/>
                <w:sz w:val="18"/>
                <w:szCs w:val="18"/>
                <w:highlight w:val="none"/>
              </w:rPr>
              <w:t>在50%和120%额定电流时，电流误差±5%，相位差不予规定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40" w:hRule="atLeast"/>
        </w:trPr>
        <w:tc>
          <w:tcPr>
            <w:tcW w:w="9468" w:type="dxa"/>
            <w:gridSpan w:val="16"/>
            <w:shd w:val="clear" w:color="auto" w:fill="auto"/>
            <w:vAlign w:val="center"/>
          </w:tcPr>
          <w:p>
            <w:pPr>
              <w:pStyle w:val="243"/>
              <w:spacing w:line="300" w:lineRule="auto"/>
              <w:ind w:firstLine="0" w:firstLineChars="0"/>
              <w:jc w:val="center"/>
              <w:rPr>
                <w:rFonts w:hint="eastAsia" w:eastAsia="宋体"/>
                <w:color w:val="auto"/>
                <w:sz w:val="18"/>
                <w:szCs w:val="18"/>
                <w:highlight w:val="none"/>
                <w:lang w:eastAsia="zh-CN"/>
              </w:rPr>
            </w:pPr>
            <w:r>
              <w:rPr>
                <w:rFonts w:hint="eastAsia" w:ascii="黑体" w:hAnsi="黑体" w:eastAsia="黑体" w:cs="黑体"/>
                <w:color w:val="auto"/>
                <w:highlight w:val="none"/>
                <w:lang w:eastAsia="zh-CN"/>
              </w:rPr>
              <w:t>表</w:t>
            </w:r>
            <w:r>
              <w:rPr>
                <w:rFonts w:hint="eastAsia" w:ascii="黑体" w:hAnsi="黑体" w:eastAsia="黑体" w:cs="黑体"/>
                <w:color w:val="auto"/>
                <w:highlight w:val="none"/>
                <w:lang w:val="en-US" w:eastAsia="zh-CN"/>
              </w:rPr>
              <w:t xml:space="preserve">3 </w:t>
            </w:r>
            <w:r>
              <w:rPr>
                <w:rFonts w:hint="eastAsia" w:ascii="黑体" w:hAnsi="黑体" w:eastAsia="黑体" w:cs="黑体"/>
                <w:color w:val="auto"/>
                <w:highlight w:val="none"/>
              </w:rPr>
              <w:t>测量用微型智能电流传感器的电流误差和相位差限值</w:t>
            </w:r>
            <w:r>
              <w:rPr>
                <w:rFonts w:hint="eastAsia" w:ascii="黑体" w:hAnsi="黑体" w:eastAsia="黑体" w:cs="黑体"/>
                <w:color w:val="auto"/>
                <w:highlight w:val="none"/>
                <w:lang w:eastAsia="zh-CN"/>
              </w:rPr>
              <w:t>（续）</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1102" w:hRule="atLeast"/>
        </w:trPr>
        <w:tc>
          <w:tcPr>
            <w:tcW w:w="9468" w:type="dxa"/>
            <w:gridSpan w:val="16"/>
            <w:shd w:val="clear" w:color="auto" w:fill="auto"/>
          </w:tcPr>
          <w:p>
            <w:pPr>
              <w:pStyle w:val="243"/>
              <w:spacing w:line="300" w:lineRule="auto"/>
              <w:ind w:firstLine="243" w:firstLineChars="135"/>
              <w:rPr>
                <w:color w:val="auto"/>
                <w:sz w:val="18"/>
                <w:szCs w:val="18"/>
                <w:highlight w:val="none"/>
              </w:rPr>
            </w:pPr>
            <w:r>
              <w:rPr>
                <w:color w:val="auto"/>
                <w:sz w:val="18"/>
                <w:szCs w:val="18"/>
                <w:highlight w:val="none"/>
              </w:rPr>
              <w:t>注：电流误差和相位差限值的条件如下：</w:t>
            </w:r>
          </w:p>
          <w:p>
            <w:pPr>
              <w:pStyle w:val="243"/>
              <w:spacing w:line="300" w:lineRule="auto"/>
              <w:ind w:left="1073" w:leftChars="338" w:hanging="363" w:hangingChars="202"/>
              <w:rPr>
                <w:color w:val="auto"/>
                <w:sz w:val="18"/>
                <w:szCs w:val="18"/>
                <w:highlight w:val="none"/>
              </w:rPr>
            </w:pPr>
            <w:r>
              <w:rPr>
                <w:color w:val="auto"/>
                <w:sz w:val="18"/>
                <w:szCs w:val="18"/>
                <w:highlight w:val="none"/>
              </w:rPr>
              <w:t>——频率为额定值</w:t>
            </w:r>
          </w:p>
          <w:p>
            <w:pPr>
              <w:pStyle w:val="243"/>
              <w:spacing w:line="300" w:lineRule="auto"/>
              <w:ind w:left="1073" w:leftChars="338" w:hanging="363" w:hangingChars="202"/>
              <w:rPr>
                <w:color w:val="auto"/>
                <w:sz w:val="18"/>
                <w:szCs w:val="18"/>
                <w:highlight w:val="none"/>
              </w:rPr>
            </w:pPr>
            <w:r>
              <w:rPr>
                <w:color w:val="auto"/>
                <w:sz w:val="18"/>
                <w:szCs w:val="18"/>
                <w:highlight w:val="none"/>
              </w:rPr>
              <w:t>——对于额定扩大一次电流超过120%的微型智能电流传感器，应以额定扩大一次电流值，代替120%额定一次电流试验。</w:t>
            </w:r>
          </w:p>
          <w:p>
            <w:pPr>
              <w:pStyle w:val="243"/>
              <w:spacing w:line="300" w:lineRule="auto"/>
              <w:ind w:left="1073" w:leftChars="338" w:hanging="363" w:hangingChars="202"/>
              <w:rPr>
                <w:b/>
                <w:bCs/>
                <w:color w:val="auto"/>
                <w:sz w:val="18"/>
                <w:szCs w:val="18"/>
                <w:highlight w:val="none"/>
              </w:rPr>
            </w:pPr>
            <w:r>
              <w:rPr>
                <w:color w:val="auto"/>
                <w:sz w:val="18"/>
                <w:szCs w:val="18"/>
                <w:highlight w:val="none"/>
              </w:rPr>
              <w:t>——对于输出数字量的智能电流传感器，相位差不予规定。</w:t>
            </w:r>
          </w:p>
        </w:tc>
      </w:tr>
    </w:tbl>
    <w:p>
      <w:pPr>
        <w:numPr>
          <w:ilvl w:val="0"/>
          <w:numId w:val="36"/>
        </w:numPr>
        <w:tabs>
          <w:tab w:val="clear" w:pos="2860"/>
        </w:tabs>
        <w:ind w:left="840"/>
        <w:rPr>
          <w:rFonts w:hint="eastAsia" w:ascii="Times New Roman" w:hAnsi="Times New Roman"/>
          <w:color w:val="auto"/>
          <w:szCs w:val="32"/>
          <w:highlight w:val="none"/>
        </w:rPr>
      </w:pPr>
      <w:r>
        <w:rPr>
          <w:rFonts w:ascii="Times New Roman" w:hAnsi="Times New Roman"/>
          <w:color w:val="auto"/>
          <w:highlight w:val="none"/>
        </w:rPr>
        <w:t>保护用微型智能电流传感器：保护用微型智能电流传感器的电流误差、相位差和复合误差应不超过表4的规定值。</w:t>
      </w:r>
    </w:p>
    <w:p>
      <w:pPr>
        <w:pStyle w:val="112"/>
        <w:spacing w:before="156" w:after="156"/>
        <w:rPr>
          <w:color w:val="auto"/>
          <w:highlight w:val="none"/>
        </w:rPr>
      </w:pPr>
      <w:r>
        <w:rPr>
          <w:color w:val="auto"/>
          <w:highlight w:val="none"/>
        </w:rPr>
        <w:t>测量用微型智能电流传感器的电流误差和相位差限值</w:t>
      </w:r>
    </w:p>
    <w:tbl>
      <w:tblPr>
        <w:tblStyle w:val="26"/>
        <w:tblW w:w="956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1912"/>
        <w:gridCol w:w="1912"/>
        <w:gridCol w:w="1916"/>
        <w:gridCol w:w="191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911" w:type="dxa"/>
            <w:vMerge w:val="restart"/>
            <w:shd w:val="clear" w:color="auto" w:fill="auto"/>
            <w:vAlign w:val="center"/>
          </w:tcPr>
          <w:p>
            <w:pPr>
              <w:spacing w:line="30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准确级</w:t>
            </w:r>
          </w:p>
        </w:tc>
        <w:tc>
          <w:tcPr>
            <w:tcW w:w="1912" w:type="dxa"/>
            <w:vMerge w:val="restart"/>
            <w:shd w:val="clear" w:color="auto" w:fill="auto"/>
            <w:vAlign w:val="center"/>
          </w:tcPr>
          <w:p>
            <w:pPr>
              <w:spacing w:line="30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电流误差（在额定一次电流时）±%</w:t>
            </w:r>
          </w:p>
        </w:tc>
        <w:tc>
          <w:tcPr>
            <w:tcW w:w="3828" w:type="dxa"/>
            <w:gridSpan w:val="2"/>
            <w:shd w:val="clear" w:color="auto" w:fill="auto"/>
            <w:vAlign w:val="center"/>
          </w:tcPr>
          <w:p>
            <w:pPr>
              <w:spacing w:line="30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相位误差（在额定一次电流时）</w:t>
            </w:r>
          </w:p>
        </w:tc>
        <w:tc>
          <w:tcPr>
            <w:tcW w:w="1917" w:type="dxa"/>
            <w:vMerge w:val="restart"/>
            <w:shd w:val="clear" w:color="auto" w:fill="auto"/>
            <w:vAlign w:val="center"/>
          </w:tcPr>
          <w:p>
            <w:pPr>
              <w:spacing w:line="30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复合误差（在额定准确限值一次电流时）%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1911" w:type="dxa"/>
            <w:vMerge w:val="continue"/>
            <w:shd w:val="clear" w:color="auto" w:fill="auto"/>
          </w:tcPr>
          <w:p>
            <w:pPr>
              <w:spacing w:line="300" w:lineRule="auto"/>
              <w:rPr>
                <w:rFonts w:ascii="Times New Roman" w:hAnsi="Times New Roman"/>
                <w:color w:val="auto"/>
                <w:sz w:val="18"/>
                <w:szCs w:val="18"/>
                <w:highlight w:val="none"/>
              </w:rPr>
            </w:pPr>
          </w:p>
        </w:tc>
        <w:tc>
          <w:tcPr>
            <w:tcW w:w="1912" w:type="dxa"/>
            <w:vMerge w:val="continue"/>
            <w:shd w:val="clear" w:color="auto" w:fill="auto"/>
          </w:tcPr>
          <w:p>
            <w:pPr>
              <w:spacing w:line="300" w:lineRule="auto"/>
              <w:rPr>
                <w:rFonts w:ascii="Times New Roman" w:hAnsi="Times New Roman"/>
                <w:color w:val="auto"/>
                <w:sz w:val="18"/>
                <w:szCs w:val="18"/>
                <w:highlight w:val="none"/>
              </w:rPr>
            </w:pPr>
          </w:p>
        </w:tc>
        <w:tc>
          <w:tcPr>
            <w:tcW w:w="1912" w:type="dxa"/>
            <w:shd w:val="clear" w:color="auto" w:fill="auto"/>
            <w:vAlign w:val="center"/>
          </w:tcPr>
          <w:p>
            <w:pPr>
              <w:spacing w:line="30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916" w:type="dxa"/>
            <w:shd w:val="clear" w:color="auto" w:fill="auto"/>
            <w:vAlign w:val="center"/>
          </w:tcPr>
          <w:p>
            <w:pPr>
              <w:spacing w:line="30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±crad</w:t>
            </w:r>
          </w:p>
        </w:tc>
        <w:tc>
          <w:tcPr>
            <w:tcW w:w="1917" w:type="dxa"/>
            <w:vMerge w:val="continue"/>
            <w:shd w:val="clear" w:color="auto" w:fill="auto"/>
          </w:tcPr>
          <w:p>
            <w:pPr>
              <w:spacing w:line="300" w:lineRule="auto"/>
              <w:rPr>
                <w:rFonts w:ascii="Times New Roman" w:hAnsi="Times New Roman"/>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911" w:type="dxa"/>
            <w:shd w:val="clear" w:color="auto" w:fill="auto"/>
          </w:tcPr>
          <w:p>
            <w:pPr>
              <w:spacing w:line="30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5P</w:t>
            </w:r>
          </w:p>
        </w:tc>
        <w:tc>
          <w:tcPr>
            <w:tcW w:w="1912" w:type="dxa"/>
            <w:shd w:val="clear" w:color="auto" w:fill="auto"/>
          </w:tcPr>
          <w:p>
            <w:pPr>
              <w:spacing w:line="30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1912" w:type="dxa"/>
            <w:shd w:val="clear" w:color="auto" w:fill="auto"/>
          </w:tcPr>
          <w:p>
            <w:pPr>
              <w:spacing w:line="30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60</w:t>
            </w:r>
          </w:p>
        </w:tc>
        <w:tc>
          <w:tcPr>
            <w:tcW w:w="1916" w:type="dxa"/>
            <w:shd w:val="clear" w:color="auto" w:fill="auto"/>
          </w:tcPr>
          <w:p>
            <w:pPr>
              <w:spacing w:line="30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1.8</w:t>
            </w:r>
          </w:p>
        </w:tc>
        <w:tc>
          <w:tcPr>
            <w:tcW w:w="1917" w:type="dxa"/>
            <w:shd w:val="clear" w:color="auto" w:fill="auto"/>
          </w:tcPr>
          <w:p>
            <w:pPr>
              <w:spacing w:line="30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911" w:type="dxa"/>
            <w:shd w:val="clear" w:color="auto" w:fill="auto"/>
          </w:tcPr>
          <w:p>
            <w:pPr>
              <w:spacing w:line="30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10P</w:t>
            </w:r>
          </w:p>
        </w:tc>
        <w:tc>
          <w:tcPr>
            <w:tcW w:w="1912" w:type="dxa"/>
            <w:shd w:val="clear" w:color="auto" w:fill="auto"/>
          </w:tcPr>
          <w:p>
            <w:pPr>
              <w:spacing w:line="30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1912" w:type="dxa"/>
            <w:shd w:val="clear" w:color="auto" w:fill="auto"/>
          </w:tcPr>
          <w:p>
            <w:pPr>
              <w:spacing w:line="30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916" w:type="dxa"/>
            <w:shd w:val="clear" w:color="auto" w:fill="auto"/>
          </w:tcPr>
          <w:p>
            <w:pPr>
              <w:spacing w:line="30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917" w:type="dxa"/>
            <w:shd w:val="clear" w:color="auto" w:fill="auto"/>
          </w:tcPr>
          <w:p>
            <w:pPr>
              <w:spacing w:line="30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9568" w:type="dxa"/>
            <w:gridSpan w:val="5"/>
            <w:shd w:val="clear" w:color="auto" w:fill="auto"/>
          </w:tcPr>
          <w:p>
            <w:pPr>
              <w:pStyle w:val="243"/>
              <w:spacing w:line="300" w:lineRule="auto"/>
              <w:ind w:left="218" w:leftChars="104" w:firstLine="0" w:firstLineChars="0"/>
              <w:rPr>
                <w:color w:val="auto"/>
                <w:sz w:val="18"/>
                <w:szCs w:val="18"/>
                <w:highlight w:val="none"/>
              </w:rPr>
            </w:pPr>
            <w:r>
              <w:rPr>
                <w:color w:val="auto"/>
                <w:sz w:val="18"/>
                <w:szCs w:val="18"/>
                <w:highlight w:val="none"/>
              </w:rPr>
              <w:t>注：电流误差和相位差限值的条件如下：</w:t>
            </w:r>
          </w:p>
          <w:p>
            <w:pPr>
              <w:spacing w:line="300" w:lineRule="auto"/>
              <w:ind w:firstLine="360" w:firstLineChars="200"/>
              <w:rPr>
                <w:rFonts w:ascii="Times New Roman" w:hAnsi="Times New Roman"/>
                <w:color w:val="auto"/>
                <w:sz w:val="18"/>
                <w:szCs w:val="18"/>
                <w:highlight w:val="none"/>
              </w:rPr>
            </w:pPr>
            <w:r>
              <w:rPr>
                <w:rFonts w:ascii="Times New Roman" w:hAnsi="Times New Roman"/>
                <w:color w:val="auto"/>
                <w:sz w:val="18"/>
                <w:szCs w:val="18"/>
                <w:highlight w:val="none"/>
              </w:rPr>
              <w:t>——对于输出数字量的智能电流传感器，相位差不予规定。</w:t>
            </w:r>
          </w:p>
        </w:tc>
      </w:tr>
    </w:tbl>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highlight w:val="none"/>
        </w:rPr>
      </w:pPr>
      <w:bookmarkStart w:id="198" w:name="_Toc24164"/>
      <w:bookmarkStart w:id="199" w:name="_Toc26551"/>
      <w:bookmarkStart w:id="200" w:name="_Toc10954"/>
      <w:bookmarkStart w:id="201" w:name="_Toc717"/>
      <w:bookmarkStart w:id="202" w:name="_Toc22611"/>
      <w:r>
        <w:rPr>
          <w:color w:val="auto"/>
          <w:highlight w:val="none"/>
        </w:rPr>
        <w:t>线性度</w:t>
      </w:r>
      <w:bookmarkEnd w:id="198"/>
      <w:bookmarkEnd w:id="199"/>
      <w:bookmarkEnd w:id="200"/>
      <w:bookmarkEnd w:id="201"/>
      <w:bookmarkEnd w:id="202"/>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微型智能电流传感器的线性度应满足其标称准确级要求。</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highlight w:val="none"/>
        </w:rPr>
      </w:pPr>
      <w:bookmarkStart w:id="203" w:name="_Toc24175"/>
      <w:bookmarkStart w:id="204" w:name="_Toc28301"/>
      <w:bookmarkStart w:id="205" w:name="_Toc8226"/>
      <w:bookmarkStart w:id="206" w:name="_Toc11139"/>
      <w:bookmarkStart w:id="207" w:name="_Toc16663"/>
      <w:r>
        <w:rPr>
          <w:color w:val="auto"/>
          <w:highlight w:val="none"/>
        </w:rPr>
        <w:t>重复性</w:t>
      </w:r>
      <w:bookmarkEnd w:id="203"/>
      <w:bookmarkEnd w:id="204"/>
      <w:bookmarkEnd w:id="205"/>
      <w:bookmarkEnd w:id="206"/>
      <w:bookmarkEnd w:id="207"/>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微型智能电流传感器的重复性应满足其标称准确级要求。</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highlight w:val="none"/>
        </w:rPr>
      </w:pPr>
      <w:bookmarkStart w:id="208" w:name="_Toc21280"/>
      <w:bookmarkStart w:id="209" w:name="_Toc17254"/>
      <w:bookmarkStart w:id="210" w:name="_Toc24635"/>
      <w:bookmarkStart w:id="211" w:name="_Toc10736"/>
      <w:bookmarkStart w:id="212" w:name="_Toc20354"/>
      <w:r>
        <w:rPr>
          <w:color w:val="auto"/>
          <w:highlight w:val="none"/>
        </w:rPr>
        <w:t>分辨力</w:t>
      </w:r>
      <w:bookmarkEnd w:id="208"/>
      <w:bookmarkEnd w:id="209"/>
      <w:bookmarkEnd w:id="210"/>
      <w:bookmarkEnd w:id="211"/>
      <w:bookmarkEnd w:id="212"/>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微型智能电流传感器的分辨力应满足其标称准确级要求。</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highlight w:val="none"/>
        </w:rPr>
      </w:pPr>
      <w:bookmarkStart w:id="213" w:name="_Toc28758"/>
      <w:bookmarkStart w:id="214" w:name="_Toc24952"/>
      <w:bookmarkStart w:id="215" w:name="_Toc1440"/>
      <w:bookmarkStart w:id="216" w:name="_Toc20159"/>
      <w:bookmarkStart w:id="217" w:name="_Toc11407"/>
      <w:r>
        <w:rPr>
          <w:color w:val="auto"/>
          <w:highlight w:val="none"/>
        </w:rPr>
        <w:t>零点输出</w:t>
      </w:r>
      <w:bookmarkEnd w:id="213"/>
      <w:bookmarkEnd w:id="214"/>
      <w:bookmarkEnd w:id="215"/>
      <w:bookmarkEnd w:id="216"/>
      <w:bookmarkEnd w:id="217"/>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微型智能电流传感器零点输出绝对值（以额定电流的百分比表示）应不大于1%。</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highlight w:val="none"/>
        </w:rPr>
      </w:pPr>
      <w:bookmarkStart w:id="218" w:name="_Toc27008"/>
      <w:bookmarkStart w:id="219" w:name="_Toc13798"/>
      <w:bookmarkStart w:id="220" w:name="_Toc1637"/>
      <w:bookmarkStart w:id="221" w:name="_Toc4134"/>
      <w:bookmarkStart w:id="222" w:name="_Toc5420"/>
      <w:r>
        <w:rPr>
          <w:color w:val="auto"/>
          <w:highlight w:val="none"/>
        </w:rPr>
        <w:t>温度漂移</w:t>
      </w:r>
      <w:bookmarkEnd w:id="218"/>
      <w:bookmarkEnd w:id="219"/>
      <w:bookmarkEnd w:id="220"/>
      <w:bookmarkEnd w:id="221"/>
      <w:bookmarkEnd w:id="222"/>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微型智能电流传感器温度漂移应不大于0.1%/℃。</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highlight w:val="none"/>
        </w:rPr>
      </w:pPr>
      <w:bookmarkStart w:id="223" w:name="_Toc29058"/>
      <w:bookmarkStart w:id="224" w:name="_Toc19770"/>
      <w:bookmarkStart w:id="225" w:name="_Toc20602"/>
      <w:bookmarkStart w:id="226" w:name="_Toc11016"/>
      <w:bookmarkStart w:id="227" w:name="_Toc20983"/>
      <w:r>
        <w:rPr>
          <w:color w:val="auto"/>
          <w:highlight w:val="none"/>
        </w:rPr>
        <w:t>供电电源</w:t>
      </w:r>
      <w:bookmarkEnd w:id="223"/>
      <w:bookmarkEnd w:id="224"/>
      <w:bookmarkEnd w:id="225"/>
      <w:bookmarkEnd w:id="226"/>
      <w:bookmarkEnd w:id="227"/>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微型智能电流传感器</w:t>
      </w:r>
      <w:r>
        <w:rPr>
          <w:rFonts w:hint="eastAsia" w:ascii="Times New Roman" w:hAnsi="Times New Roman"/>
          <w:color w:val="auto"/>
          <w:szCs w:val="32"/>
          <w:highlight w:val="none"/>
        </w:rPr>
        <w:t>宜</w:t>
      </w:r>
      <w:r>
        <w:rPr>
          <w:rFonts w:ascii="Times New Roman" w:hAnsi="Times New Roman"/>
          <w:color w:val="auto"/>
          <w:szCs w:val="32"/>
          <w:highlight w:val="none"/>
        </w:rPr>
        <w:t>配备备用电池，</w:t>
      </w:r>
      <w:r>
        <w:rPr>
          <w:rFonts w:hint="eastAsia" w:ascii="Times New Roman" w:hAnsi="Times New Roman"/>
          <w:color w:val="auto"/>
          <w:szCs w:val="32"/>
          <w:highlight w:val="none"/>
        </w:rPr>
        <w:t>宜</w:t>
      </w:r>
      <w:r>
        <w:rPr>
          <w:rFonts w:ascii="Times New Roman" w:hAnsi="Times New Roman"/>
          <w:color w:val="auto"/>
          <w:szCs w:val="32"/>
          <w:highlight w:val="none"/>
        </w:rPr>
        <w:t>具备至少两种不同类型电源供电能力，双电源供电，取电元件应独立于测量元件。被测导线电流不大于1.5</w:t>
      </w:r>
      <w:r>
        <w:rPr>
          <w:rFonts w:hint="eastAsia" w:ascii="Times New Roman" w:hAnsi="Times New Roman"/>
          <w:color w:val="auto"/>
          <w:szCs w:val="32"/>
          <w:highlight w:val="none"/>
        </w:rPr>
        <w:t xml:space="preserve"> </w:t>
      </w:r>
      <w:r>
        <w:rPr>
          <w:rFonts w:ascii="Times New Roman" w:hAnsi="Times New Roman"/>
          <w:color w:val="auto"/>
          <w:szCs w:val="32"/>
          <w:highlight w:val="none"/>
        </w:rPr>
        <w:t>A时，微型智能电流传感器以10</w:t>
      </w:r>
      <w:r>
        <w:rPr>
          <w:rFonts w:hint="eastAsia" w:ascii="Times New Roman" w:hAnsi="Times New Roman"/>
          <w:color w:val="auto"/>
          <w:szCs w:val="32"/>
          <w:highlight w:val="none"/>
        </w:rPr>
        <w:t xml:space="preserve"> </w:t>
      </w:r>
      <w:r>
        <w:rPr>
          <w:rFonts w:ascii="Times New Roman" w:hAnsi="Times New Roman"/>
          <w:color w:val="auto"/>
          <w:szCs w:val="32"/>
          <w:highlight w:val="none"/>
        </w:rPr>
        <w:t>s为周期，应能正常采集上传电流数据。</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highlight w:val="none"/>
        </w:rPr>
      </w:pPr>
      <w:bookmarkStart w:id="228" w:name="_Toc28464"/>
      <w:bookmarkStart w:id="229" w:name="_Toc24787"/>
      <w:bookmarkStart w:id="230" w:name="_Toc30801"/>
      <w:bookmarkStart w:id="231" w:name="_Toc3453"/>
      <w:bookmarkStart w:id="232" w:name="_Toc5600"/>
      <w:r>
        <w:rPr>
          <w:color w:val="auto"/>
          <w:highlight w:val="none"/>
        </w:rPr>
        <w:t>响应时间</w:t>
      </w:r>
      <w:bookmarkEnd w:id="228"/>
      <w:bookmarkEnd w:id="229"/>
      <w:bookmarkEnd w:id="230"/>
      <w:bookmarkEnd w:id="231"/>
      <w:bookmarkEnd w:id="232"/>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微型智能电流传感器幅值阶跃响应时间不大于30</w:t>
      </w:r>
      <w:r>
        <w:rPr>
          <w:rFonts w:hint="eastAsia" w:ascii="Times New Roman" w:hAnsi="Times New Roman"/>
          <w:color w:val="auto"/>
          <w:szCs w:val="32"/>
          <w:highlight w:val="none"/>
        </w:rPr>
        <w:t xml:space="preserve"> </w:t>
      </w:r>
      <w:r>
        <w:rPr>
          <w:rFonts w:ascii="Times New Roman" w:hAnsi="Times New Roman"/>
          <w:color w:val="auto"/>
          <w:szCs w:val="32"/>
          <w:highlight w:val="none"/>
        </w:rPr>
        <w:t>ms。</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highlight w:val="none"/>
        </w:rPr>
      </w:pPr>
      <w:bookmarkStart w:id="233" w:name="_Toc9334"/>
      <w:bookmarkStart w:id="234" w:name="_Toc22276"/>
      <w:bookmarkStart w:id="235" w:name="_Toc17250"/>
      <w:bookmarkStart w:id="236" w:name="_Toc270"/>
      <w:bookmarkStart w:id="237" w:name="_Toc183"/>
      <w:r>
        <w:rPr>
          <w:color w:val="auto"/>
          <w:highlight w:val="none"/>
        </w:rPr>
        <w:t>采样频率</w:t>
      </w:r>
      <w:bookmarkEnd w:id="233"/>
      <w:bookmarkEnd w:id="234"/>
      <w:bookmarkEnd w:id="235"/>
      <w:bookmarkEnd w:id="236"/>
      <w:bookmarkEnd w:id="237"/>
    </w:p>
    <w:p>
      <w:pPr>
        <w:ind w:firstLine="420" w:firstLineChars="200"/>
        <w:rPr>
          <w:rFonts w:hint="eastAsia" w:ascii="Times New Roman" w:hAnsi="Times New Roman"/>
          <w:color w:val="auto"/>
          <w:szCs w:val="32"/>
          <w:highlight w:val="none"/>
        </w:rPr>
      </w:pPr>
      <w:r>
        <w:rPr>
          <w:rFonts w:ascii="Times New Roman" w:hAnsi="Times New Roman"/>
          <w:color w:val="auto"/>
          <w:szCs w:val="32"/>
          <w:highlight w:val="none"/>
        </w:rPr>
        <w:t>采样频率不宜低于1000</w:t>
      </w:r>
      <w:r>
        <w:rPr>
          <w:rFonts w:hint="eastAsia" w:ascii="Times New Roman" w:hAnsi="Times New Roman"/>
          <w:color w:val="auto"/>
          <w:szCs w:val="32"/>
          <w:highlight w:val="none"/>
        </w:rPr>
        <w:t xml:space="preserve"> </w:t>
      </w:r>
      <w:r>
        <w:rPr>
          <w:rFonts w:ascii="Times New Roman" w:hAnsi="Times New Roman"/>
          <w:color w:val="auto"/>
          <w:szCs w:val="32"/>
          <w:highlight w:val="none"/>
        </w:rPr>
        <w:t>Hz。</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highlight w:val="none"/>
        </w:rPr>
      </w:pPr>
      <w:bookmarkStart w:id="238" w:name="_Toc7346"/>
      <w:bookmarkStart w:id="239" w:name="_Toc16757"/>
      <w:bookmarkStart w:id="240" w:name="_Toc27490"/>
      <w:bookmarkStart w:id="241" w:name="_Toc24274"/>
      <w:bookmarkStart w:id="242" w:name="_Toc27696"/>
      <w:r>
        <w:rPr>
          <w:color w:val="auto"/>
          <w:highlight w:val="none"/>
        </w:rPr>
        <w:t>通信要求</w:t>
      </w:r>
      <w:bookmarkEnd w:id="238"/>
      <w:bookmarkEnd w:id="239"/>
      <w:bookmarkEnd w:id="240"/>
      <w:bookmarkEnd w:id="241"/>
      <w:bookmarkEnd w:id="242"/>
    </w:p>
    <w:p>
      <w:pPr>
        <w:pStyle w:val="65"/>
        <w:spacing w:before="156" w:after="156"/>
        <w:rPr>
          <w:color w:val="auto"/>
          <w:highlight w:val="none"/>
        </w:rPr>
      </w:pPr>
      <w:bookmarkStart w:id="243" w:name="_Toc28891"/>
      <w:r>
        <w:rPr>
          <w:rStyle w:val="239"/>
          <w:rFonts w:ascii="Times New Roman"/>
          <w:color w:val="auto"/>
          <w:highlight w:val="none"/>
        </w:rPr>
        <w:t>通信方式</w:t>
      </w:r>
      <w:bookmarkEnd w:id="243"/>
    </w:p>
    <w:p>
      <w:pPr>
        <w:pStyle w:val="238"/>
        <w:keepNext w:val="0"/>
        <w:keepLines w:val="0"/>
        <w:pageBreakBefore w:val="0"/>
        <w:widowControl/>
        <w:kinsoku/>
        <w:wordWrap/>
        <w:overflowPunct/>
        <w:topLinePunct w:val="0"/>
        <w:autoSpaceDE/>
        <w:autoSpaceDN/>
        <w:bidi w:val="0"/>
        <w:adjustRightInd/>
        <w:snapToGrid/>
        <w:spacing w:before="156" w:after="156"/>
        <w:ind w:firstLine="420" w:firstLineChars="200"/>
        <w:textAlignment w:val="auto"/>
        <w:rPr>
          <w:rFonts w:ascii="Times New Roman" w:hAnsi="Times New Roman"/>
          <w:color w:val="auto"/>
          <w:highlight w:val="none"/>
        </w:rPr>
      </w:pPr>
      <w:r>
        <w:rPr>
          <w:rFonts w:hint="eastAsia" w:ascii="Times New Roman" w:hAnsi="Times New Roman" w:eastAsia="宋体"/>
          <w:color w:val="auto"/>
          <w:kern w:val="2"/>
          <w:szCs w:val="32"/>
          <w:highlight w:val="none"/>
        </w:rPr>
        <w:t>通信方式满足以下要求：</w:t>
      </w:r>
    </w:p>
    <w:p>
      <w:pPr>
        <w:numPr>
          <w:ilvl w:val="0"/>
          <w:numId w:val="37"/>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宜支持无线通信方式；</w:t>
      </w:r>
    </w:p>
    <w:p>
      <w:pPr>
        <w:numPr>
          <w:ilvl w:val="0"/>
          <w:numId w:val="37"/>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宜具备自组网能力；</w:t>
      </w:r>
    </w:p>
    <w:p>
      <w:pPr>
        <w:numPr>
          <w:ilvl w:val="0"/>
          <w:numId w:val="37"/>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宜支持无线系统升级、参数设定等运维功能；</w:t>
      </w:r>
    </w:p>
    <w:p>
      <w:pPr>
        <w:numPr>
          <w:ilvl w:val="0"/>
          <w:numId w:val="37"/>
        </w:numPr>
        <w:tabs>
          <w:tab w:val="left" w:pos="840"/>
          <w:tab w:val="clear" w:pos="2860"/>
        </w:tabs>
        <w:ind w:left="840"/>
        <w:rPr>
          <w:rFonts w:ascii="Times New Roman" w:hAnsi="Times New Roman"/>
          <w:color w:val="auto"/>
          <w:highlight w:val="none"/>
        </w:rPr>
      </w:pPr>
      <w:r>
        <w:rPr>
          <w:rFonts w:ascii="Times New Roman" w:hAnsi="Times New Roman"/>
          <w:color w:val="auto"/>
          <w:szCs w:val="32"/>
          <w:highlight w:val="none"/>
        </w:rPr>
        <w:t>最大通讯距离应不小于50米。</w:t>
      </w:r>
    </w:p>
    <w:p>
      <w:pPr>
        <w:pStyle w:val="65"/>
        <w:spacing w:before="156" w:after="156"/>
        <w:rPr>
          <w:color w:val="auto"/>
          <w:highlight w:val="none"/>
        </w:rPr>
      </w:pPr>
      <w:bookmarkStart w:id="244" w:name="_Toc28082"/>
      <w:r>
        <w:rPr>
          <w:rStyle w:val="239"/>
          <w:rFonts w:ascii="Times New Roman"/>
          <w:color w:val="auto"/>
          <w:highlight w:val="none"/>
        </w:rPr>
        <w:t>通信速率</w:t>
      </w:r>
      <w:bookmarkEnd w:id="244"/>
    </w:p>
    <w:p>
      <w:pPr>
        <w:ind w:firstLine="420" w:firstLineChars="200"/>
        <w:rPr>
          <w:rFonts w:ascii="Times New Roman" w:hAnsi="Times New Roman"/>
          <w:color w:val="auto"/>
          <w:highlight w:val="none"/>
        </w:rPr>
      </w:pPr>
      <w:r>
        <w:rPr>
          <w:rFonts w:ascii="Times New Roman" w:hAnsi="Times New Roman"/>
          <w:color w:val="auto"/>
          <w:szCs w:val="32"/>
          <w:highlight w:val="none"/>
        </w:rPr>
        <w:t>通信速率大于等于5</w:t>
      </w:r>
      <w:r>
        <w:rPr>
          <w:rFonts w:hint="eastAsia" w:ascii="Times New Roman" w:hAnsi="Times New Roman"/>
          <w:color w:val="auto"/>
          <w:szCs w:val="32"/>
          <w:highlight w:val="none"/>
        </w:rPr>
        <w:t xml:space="preserve"> </w:t>
      </w:r>
      <w:r>
        <w:rPr>
          <w:rFonts w:ascii="Times New Roman" w:hAnsi="Times New Roman"/>
          <w:color w:val="auto"/>
          <w:szCs w:val="32"/>
          <w:highlight w:val="none"/>
        </w:rPr>
        <w:t>kbps。</w:t>
      </w:r>
    </w:p>
    <w:p>
      <w:pPr>
        <w:pStyle w:val="65"/>
        <w:spacing w:before="156" w:after="156"/>
        <w:rPr>
          <w:color w:val="auto"/>
          <w:highlight w:val="none"/>
        </w:rPr>
      </w:pPr>
      <w:bookmarkStart w:id="245" w:name="_Toc22749"/>
      <w:r>
        <w:rPr>
          <w:rStyle w:val="239"/>
          <w:rFonts w:ascii="Times New Roman"/>
          <w:color w:val="auto"/>
          <w:highlight w:val="none"/>
        </w:rPr>
        <w:t>通信安全</w:t>
      </w:r>
      <w:bookmarkEnd w:id="245"/>
    </w:p>
    <w:p>
      <w:pPr>
        <w:ind w:firstLine="420" w:firstLineChars="200"/>
        <w:rPr>
          <w:rFonts w:ascii="Times New Roman" w:hAnsi="Times New Roman"/>
          <w:color w:val="auto"/>
          <w:highlight w:val="none"/>
        </w:rPr>
      </w:pPr>
      <w:r>
        <w:rPr>
          <w:rFonts w:ascii="Times New Roman" w:hAnsi="Times New Roman"/>
          <w:color w:val="auto"/>
          <w:szCs w:val="32"/>
          <w:highlight w:val="none"/>
        </w:rPr>
        <w:t>应满足</w:t>
      </w:r>
      <w:r>
        <w:rPr>
          <w:rFonts w:ascii="Times New Roman" w:hAnsi="Times New Roman" w:eastAsia="Calibri"/>
          <w:color w:val="auto"/>
          <w:highlight w:val="none"/>
        </w:rPr>
        <w:t>GB/T</w:t>
      </w:r>
      <w:r>
        <w:rPr>
          <w:rFonts w:ascii="Times New Roman" w:hAnsi="Times New Roman" w:eastAsia="Calibri"/>
          <w:color w:val="auto"/>
          <w:spacing w:val="-1"/>
          <w:highlight w:val="none"/>
        </w:rPr>
        <w:t xml:space="preserve"> </w:t>
      </w:r>
      <w:r>
        <w:rPr>
          <w:rFonts w:ascii="Times New Roman" w:hAnsi="Times New Roman" w:eastAsia="Calibri"/>
          <w:color w:val="auto"/>
          <w:highlight w:val="none"/>
        </w:rPr>
        <w:t>22239</w:t>
      </w:r>
      <w:r>
        <w:rPr>
          <w:rFonts w:ascii="Times New Roman" w:hAnsi="Times New Roman"/>
          <w:color w:val="auto"/>
          <w:szCs w:val="32"/>
          <w:highlight w:val="none"/>
        </w:rPr>
        <w:t>中关于设备标识、访问控制等网络安全相关技术要求。</w:t>
      </w:r>
    </w:p>
    <w:p>
      <w:pPr>
        <w:pStyle w:val="65"/>
        <w:spacing w:before="156" w:after="156"/>
        <w:rPr>
          <w:color w:val="auto"/>
          <w:highlight w:val="none"/>
        </w:rPr>
      </w:pPr>
      <w:bookmarkStart w:id="246" w:name="_Toc3516"/>
      <w:r>
        <w:rPr>
          <w:rStyle w:val="239"/>
          <w:rFonts w:ascii="Times New Roman"/>
          <w:color w:val="auto"/>
          <w:highlight w:val="none"/>
        </w:rPr>
        <w:t>组网拓扑及上送模式</w:t>
      </w:r>
      <w:bookmarkEnd w:id="246"/>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微型智能电流传感器宜采用星形拓扑接入集中器或网关，实现数据上报，并由集中器或者网关进行数据转发，如下图2所示。</w:t>
      </w:r>
    </w:p>
    <w:p>
      <w:pPr>
        <w:spacing w:line="240" w:lineRule="auto"/>
        <w:jc w:val="center"/>
        <w:rPr>
          <w:rFonts w:ascii="Times New Roman" w:hAnsi="Times New Roman"/>
          <w:color w:val="auto"/>
          <w:highlight w:val="none"/>
        </w:rPr>
      </w:pPr>
      <w:r>
        <w:rPr>
          <w:rFonts w:ascii="Times New Roman" w:hAnsi="Times New Roman"/>
          <w:color w:val="auto"/>
          <w:highlight w:val="none"/>
        </w:rPr>
        <w:object>
          <v:shape id="_x0000_i1025" o:spt="75" type="#_x0000_t75" style="height:186.15pt;width:237.6pt;" o:ole="t" filled="f" o:preferrelative="t" stroked="f" coordsize="21600,21600">
            <v:path/>
            <v:fill on="f" focussize="0,0"/>
            <v:stroke on="f"/>
            <v:imagedata r:id="rId16" o:title=""/>
            <o:lock v:ext="edit" aspectratio="f"/>
            <w10:wrap type="none"/>
            <w10:anchorlock/>
          </v:shape>
          <o:OLEObject Type="Embed" ProgID="Visio.Drawing.15" ShapeID="_x0000_i1025" DrawAspect="Content" ObjectID="_1468075725" r:id="rId15">
            <o:LockedField>false</o:LockedField>
          </o:OLEObject>
        </w:object>
      </w:r>
    </w:p>
    <w:p>
      <w:pPr>
        <w:pStyle w:val="114"/>
        <w:spacing w:before="156" w:after="156"/>
        <w:rPr>
          <w:color w:val="auto"/>
          <w:highlight w:val="none"/>
        </w:rPr>
      </w:pPr>
      <w:r>
        <w:rPr>
          <w:color w:val="auto"/>
          <w:highlight w:val="none"/>
        </w:rPr>
        <w:t>微型智能电流传感器组网拓扑</w:t>
      </w:r>
    </w:p>
    <w:p>
      <w:pPr>
        <w:pStyle w:val="243"/>
        <w:spacing w:line="300" w:lineRule="auto"/>
        <w:rPr>
          <w:color w:val="auto"/>
          <w:highlight w:val="none"/>
        </w:rPr>
      </w:pPr>
      <w:r>
        <w:rPr>
          <w:color w:val="auto"/>
          <w:highlight w:val="none"/>
        </w:rPr>
        <w:t>采用星形拓扑接入时，微型智能电流传感应支持单向数据传输和双向数据传输两种模式，如图3所示。</w:t>
      </w:r>
    </w:p>
    <w:p>
      <w:pPr>
        <w:pStyle w:val="243"/>
        <w:spacing w:line="300" w:lineRule="auto"/>
        <w:ind w:firstLine="0" w:firstLineChars="0"/>
        <w:rPr>
          <w:color w:val="auto"/>
          <w:highlight w:val="none"/>
        </w:rPr>
      </w:pPr>
      <w:r>
        <w:rPr>
          <w:color w:val="auto"/>
          <w:highlight w:val="none"/>
        </w:rPr>
        <w:object>
          <v:shape id="_x0000_i1026" o:spt="75" type="#_x0000_t75" style="height:222.15pt;width:227.15pt;" o:ole="t" filled="f" o:preferrelative="t" stroked="f" coordsize="21600,21600">
            <v:path/>
            <v:fill on="f" focussize="0,0"/>
            <v:stroke on="f" joinstyle="miter"/>
            <v:imagedata r:id="rId18" o:title=""/>
            <o:lock v:ext="edit" aspectratio="f"/>
            <w10:wrap type="none"/>
            <w10:anchorlock/>
          </v:shape>
          <o:OLEObject Type="Embed" ProgID="Visio.Drawing.15" ShapeID="_x0000_i1026" DrawAspect="Content" ObjectID="_1468075726" r:id="rId17">
            <o:LockedField>false</o:LockedField>
          </o:OLEObject>
        </w:object>
      </w:r>
      <w:r>
        <w:rPr>
          <w:color w:val="auto"/>
          <w:highlight w:val="none"/>
        </w:rPr>
        <w:object>
          <v:shape id="_x0000_i1027" o:spt="75" type="#_x0000_t75" style="height:231.65pt;width:240pt;" o:ole="t" filled="f" o:preferrelative="t" stroked="f" coordsize="21600,21600">
            <v:path/>
            <v:fill on="f" focussize="0,0"/>
            <v:stroke on="f" joinstyle="miter"/>
            <v:imagedata r:id="rId20" o:title=""/>
            <o:lock v:ext="edit" aspectratio="f"/>
            <w10:wrap type="none"/>
            <w10:anchorlock/>
          </v:shape>
          <o:OLEObject Type="Embed" ProgID="Visio.Drawing.15" ShapeID="_x0000_i1027" DrawAspect="Content" ObjectID="_1468075727" r:id="rId19">
            <o:LockedField>false</o:LockedField>
          </o:OLEObject>
        </w:object>
      </w:r>
    </w:p>
    <w:p>
      <w:pPr>
        <w:pStyle w:val="236"/>
        <w:spacing w:before="156" w:after="156"/>
        <w:rPr>
          <w:rFonts w:ascii="Times New Roman" w:hAnsi="Times New Roman"/>
          <w:color w:val="auto"/>
          <w:highlight w:val="none"/>
        </w:rPr>
      </w:pPr>
      <w:r>
        <w:rPr>
          <w:rFonts w:hAnsi="Times New Roman"/>
          <w:color w:val="auto"/>
          <w:highlight w:val="none"/>
        </w:rPr>
        <w:t xml:space="preserve">（a）单向数据传输模式 </w:t>
      </w:r>
      <w:r>
        <w:rPr>
          <w:rFonts w:ascii="Times New Roman" w:hAnsi="Times New Roman"/>
          <w:color w:val="auto"/>
          <w:highlight w:val="none"/>
        </w:rPr>
        <w:t xml:space="preserve">                      </w:t>
      </w:r>
      <w:r>
        <w:rPr>
          <w:rFonts w:hAnsi="Times New Roman"/>
          <w:color w:val="auto"/>
          <w:highlight w:val="none"/>
        </w:rPr>
        <w:t>（b）双向数据传输模式</w:t>
      </w:r>
    </w:p>
    <w:p>
      <w:pPr>
        <w:pStyle w:val="114"/>
        <w:spacing w:before="156" w:after="156"/>
        <w:rPr>
          <w:color w:val="auto"/>
          <w:highlight w:val="none"/>
        </w:rPr>
      </w:pPr>
      <w:r>
        <w:rPr>
          <w:color w:val="auto"/>
          <w:highlight w:val="none"/>
        </w:rPr>
        <w:t>微型智能电流传感器组网拓扑</w:t>
      </w:r>
    </w:p>
    <w:p>
      <w:pPr>
        <w:pStyle w:val="243"/>
        <w:spacing w:line="300" w:lineRule="auto"/>
        <w:rPr>
          <w:color w:val="auto"/>
          <w:highlight w:val="none"/>
        </w:rPr>
      </w:pPr>
      <w:r>
        <w:rPr>
          <w:color w:val="auto"/>
          <w:highlight w:val="none"/>
        </w:rPr>
        <w:t>采用单向数据传输模式时，传感器周期性地发送广播数据，接入节点通过扫描广播，获取传感器的传感数据。</w:t>
      </w:r>
    </w:p>
    <w:p>
      <w:pPr>
        <w:ind w:firstLine="420" w:firstLineChars="200"/>
        <w:rPr>
          <w:rFonts w:ascii="Times New Roman" w:hAnsi="Times New Roman"/>
          <w:color w:val="auto"/>
          <w:highlight w:val="none"/>
        </w:rPr>
      </w:pPr>
      <w:r>
        <w:rPr>
          <w:rFonts w:ascii="Times New Roman" w:hAnsi="Times New Roman"/>
          <w:color w:val="auto"/>
          <w:highlight w:val="none"/>
        </w:rPr>
        <w:t>采用双向数据传输模式时，传感器与接入节点建立连接，接收到接入节点下行的通信命令后，将传感数据上报至接入节点。</w:t>
      </w:r>
    </w:p>
    <w:p>
      <w:pPr>
        <w:pStyle w:val="65"/>
        <w:spacing w:before="156" w:after="156"/>
        <w:rPr>
          <w:color w:val="auto"/>
          <w:highlight w:val="none"/>
        </w:rPr>
      </w:pPr>
      <w:bookmarkStart w:id="247" w:name="_Toc31151"/>
      <w:r>
        <w:rPr>
          <w:rStyle w:val="239"/>
          <w:rFonts w:ascii="Times New Roman"/>
          <w:color w:val="auto"/>
          <w:highlight w:val="none"/>
        </w:rPr>
        <w:t>数据传输规约</w:t>
      </w:r>
      <w:bookmarkEnd w:id="247"/>
    </w:p>
    <w:p>
      <w:pPr>
        <w:pStyle w:val="243"/>
        <w:spacing w:line="300" w:lineRule="auto"/>
        <w:rPr>
          <w:color w:val="auto"/>
          <w:highlight w:val="none"/>
        </w:rPr>
      </w:pPr>
      <w:r>
        <w:rPr>
          <w:color w:val="auto"/>
          <w:highlight w:val="none"/>
        </w:rPr>
        <w:t>微型智能电流传感器通信数据链路层报文格式应如下图4所示，传感器数据应包含在数据净荷中。</w:t>
      </w:r>
    </w:p>
    <w:p>
      <w:pPr>
        <w:pStyle w:val="243"/>
        <w:spacing w:line="240" w:lineRule="auto"/>
        <w:ind w:firstLine="0" w:firstLineChars="0"/>
        <w:jc w:val="center"/>
        <w:rPr>
          <w:color w:val="auto"/>
          <w:highlight w:val="none"/>
        </w:rPr>
      </w:pPr>
      <w:r>
        <w:rPr>
          <w:color w:val="auto"/>
          <w:highlight w:val="none"/>
        </w:rPr>
        <w:object>
          <v:shape id="_x0000_i1028" o:spt="75" type="#_x0000_t75" style="height:176.35pt;width:353.3pt;" o:ole="t" filled="f" o:preferrelative="t" stroked="f" coordsize="21600,21600">
            <v:path/>
            <v:fill on="f" focussize="0,0"/>
            <v:stroke on="f" joinstyle="miter"/>
            <v:imagedata r:id="rId22" o:title=""/>
            <o:lock v:ext="edit" aspectratio="f"/>
            <w10:wrap type="none"/>
            <w10:anchorlock/>
          </v:shape>
          <o:OLEObject Type="Embed" ProgID="Visio.Drawing.15" ShapeID="_x0000_i1028" DrawAspect="Content" ObjectID="_1468075728" r:id="rId21">
            <o:LockedField>false</o:LockedField>
          </o:OLEObject>
        </w:object>
      </w:r>
    </w:p>
    <w:p>
      <w:pPr>
        <w:pStyle w:val="114"/>
        <w:spacing w:before="156" w:after="156"/>
        <w:rPr>
          <w:color w:val="auto"/>
          <w:highlight w:val="none"/>
        </w:rPr>
      </w:pPr>
      <w:r>
        <w:rPr>
          <w:color w:val="auto"/>
          <w:highlight w:val="none"/>
        </w:rPr>
        <w:t>传感器通信数据链路层报文格式</w:t>
      </w:r>
    </w:p>
    <w:p>
      <w:pPr>
        <w:pStyle w:val="243"/>
        <w:spacing w:line="300" w:lineRule="auto"/>
        <w:rPr>
          <w:color w:val="auto"/>
          <w:highlight w:val="none"/>
        </w:rPr>
      </w:pPr>
      <w:r>
        <w:rPr>
          <w:color w:val="auto"/>
          <w:highlight w:val="none"/>
        </w:rPr>
        <w:t>根据传感器数据上送模式不同，报文分为广播报文和数据报文，数据净荷中传感器数据的格式定义如下所示：</w:t>
      </w:r>
    </w:p>
    <w:p>
      <w:pPr>
        <w:numPr>
          <w:ilvl w:val="0"/>
          <w:numId w:val="38"/>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广播报文传感器通信报文格式：广播报文中，类型为0xFF的广播数据定义为传感器数据，具体格式参考下表</w:t>
      </w:r>
      <w:r>
        <w:rPr>
          <w:rFonts w:hint="eastAsia" w:ascii="Times New Roman" w:hAnsi="Times New Roman"/>
          <w:color w:val="auto"/>
          <w:szCs w:val="32"/>
          <w:highlight w:val="none"/>
          <w:lang w:val="en-US" w:eastAsia="zh-CN"/>
        </w:rPr>
        <w:t>5</w:t>
      </w:r>
      <w:r>
        <w:rPr>
          <w:rFonts w:ascii="Times New Roman" w:hAnsi="Times New Roman"/>
          <w:color w:val="auto"/>
          <w:szCs w:val="32"/>
          <w:highlight w:val="none"/>
        </w:rPr>
        <w:t>。</w:t>
      </w:r>
    </w:p>
    <w:p>
      <w:pPr>
        <w:pStyle w:val="112"/>
        <w:spacing w:before="156" w:after="156"/>
        <w:rPr>
          <w:color w:val="auto"/>
          <w:highlight w:val="none"/>
        </w:rPr>
      </w:pPr>
      <w:r>
        <w:rPr>
          <w:color w:val="auto"/>
          <w:highlight w:val="none"/>
        </w:rPr>
        <w:t>传感器广播数据报文定义</w:t>
      </w:r>
    </w:p>
    <w:tbl>
      <w:tblPr>
        <w:tblStyle w:val="26"/>
        <w:tblW w:w="775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285"/>
        <w:gridCol w:w="1329"/>
        <w:gridCol w:w="1286"/>
        <w:gridCol w:w="1286"/>
        <w:gridCol w:w="1286"/>
        <w:gridCol w:w="128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285" w:type="dxa"/>
            <w:tcBorders>
              <w:top w:val="single" w:color="auto" w:sz="8" w:space="0"/>
              <w:bottom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序号</w:t>
            </w:r>
          </w:p>
        </w:tc>
        <w:tc>
          <w:tcPr>
            <w:tcW w:w="1329" w:type="dxa"/>
            <w:tcBorders>
              <w:top w:val="single" w:color="auto" w:sz="8" w:space="0"/>
              <w:bottom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报文名称</w:t>
            </w:r>
          </w:p>
        </w:tc>
        <w:tc>
          <w:tcPr>
            <w:tcW w:w="1286" w:type="dxa"/>
            <w:tcBorders>
              <w:top w:val="single" w:color="auto" w:sz="8" w:space="0"/>
              <w:bottom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字段长度</w:t>
            </w:r>
          </w:p>
        </w:tc>
        <w:tc>
          <w:tcPr>
            <w:tcW w:w="1286" w:type="dxa"/>
            <w:tcBorders>
              <w:top w:val="single" w:color="auto" w:sz="8" w:space="0"/>
              <w:bottom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字段类型</w:t>
            </w:r>
          </w:p>
        </w:tc>
        <w:tc>
          <w:tcPr>
            <w:tcW w:w="1286" w:type="dxa"/>
            <w:tcBorders>
              <w:top w:val="single" w:color="auto" w:sz="8" w:space="0"/>
              <w:bottom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计量单位</w:t>
            </w:r>
          </w:p>
        </w:tc>
        <w:tc>
          <w:tcPr>
            <w:tcW w:w="1286" w:type="dxa"/>
            <w:tcBorders>
              <w:top w:val="single" w:color="auto" w:sz="8" w:space="0"/>
              <w:bottom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285"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w:t>
            </w:r>
          </w:p>
        </w:tc>
        <w:tc>
          <w:tcPr>
            <w:tcW w:w="1329"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Type</w:t>
            </w:r>
          </w:p>
        </w:tc>
        <w:tc>
          <w:tcPr>
            <w:tcW w:w="1286"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2</w:t>
            </w:r>
          </w:p>
        </w:tc>
        <w:tc>
          <w:tcPr>
            <w:tcW w:w="1286"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整型</w:t>
            </w:r>
          </w:p>
        </w:tc>
        <w:tc>
          <w:tcPr>
            <w:tcW w:w="1286"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p>
        </w:tc>
        <w:tc>
          <w:tcPr>
            <w:tcW w:w="1286"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传感器型号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285"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2</w:t>
            </w:r>
          </w:p>
        </w:tc>
        <w:tc>
          <w:tcPr>
            <w:tcW w:w="1329"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Status</w:t>
            </w:r>
          </w:p>
        </w:tc>
        <w:tc>
          <w:tcPr>
            <w:tcW w:w="1286"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w:t>
            </w:r>
          </w:p>
        </w:tc>
        <w:tc>
          <w:tcPr>
            <w:tcW w:w="1286"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整型</w:t>
            </w:r>
          </w:p>
        </w:tc>
        <w:tc>
          <w:tcPr>
            <w:tcW w:w="1286" w:type="dxa"/>
            <w:shd w:val="clear" w:color="auto" w:fill="auto"/>
            <w:vAlign w:val="center"/>
          </w:tcPr>
          <w:p>
            <w:pPr>
              <w:pStyle w:val="243"/>
              <w:spacing w:line="240" w:lineRule="auto"/>
              <w:ind w:firstLine="0" w:firstLineChars="0"/>
              <w:jc w:val="center"/>
              <w:rPr>
                <w:color w:val="auto"/>
                <w:sz w:val="18"/>
                <w:szCs w:val="18"/>
                <w:highlight w:val="none"/>
              </w:rPr>
            </w:pPr>
          </w:p>
        </w:tc>
        <w:tc>
          <w:tcPr>
            <w:tcW w:w="1286"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传感器状态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285"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3</w:t>
            </w:r>
          </w:p>
        </w:tc>
        <w:tc>
          <w:tcPr>
            <w:tcW w:w="1329"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Current</w:t>
            </w:r>
          </w:p>
        </w:tc>
        <w:tc>
          <w:tcPr>
            <w:tcW w:w="1286"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4</w:t>
            </w:r>
          </w:p>
        </w:tc>
        <w:tc>
          <w:tcPr>
            <w:tcW w:w="1286"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浮点数</w:t>
            </w:r>
          </w:p>
        </w:tc>
        <w:tc>
          <w:tcPr>
            <w:tcW w:w="1286"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A</w:t>
            </w:r>
          </w:p>
        </w:tc>
        <w:tc>
          <w:tcPr>
            <w:tcW w:w="1286"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电流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285"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4</w:t>
            </w:r>
          </w:p>
        </w:tc>
        <w:tc>
          <w:tcPr>
            <w:tcW w:w="1329"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Temprature</w:t>
            </w:r>
          </w:p>
        </w:tc>
        <w:tc>
          <w:tcPr>
            <w:tcW w:w="1286"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4</w:t>
            </w:r>
          </w:p>
        </w:tc>
        <w:tc>
          <w:tcPr>
            <w:tcW w:w="1286"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浮点数</w:t>
            </w:r>
          </w:p>
        </w:tc>
        <w:tc>
          <w:tcPr>
            <w:tcW w:w="1286"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摄氏度</w:t>
            </w:r>
          </w:p>
        </w:tc>
        <w:tc>
          <w:tcPr>
            <w:tcW w:w="1286"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温度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285"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5</w:t>
            </w:r>
          </w:p>
        </w:tc>
        <w:tc>
          <w:tcPr>
            <w:tcW w:w="1329"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Bat_Voltage</w:t>
            </w:r>
          </w:p>
        </w:tc>
        <w:tc>
          <w:tcPr>
            <w:tcW w:w="1286"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w:t>
            </w:r>
          </w:p>
        </w:tc>
        <w:tc>
          <w:tcPr>
            <w:tcW w:w="1286"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整型</w:t>
            </w:r>
          </w:p>
        </w:tc>
        <w:tc>
          <w:tcPr>
            <w:tcW w:w="1286"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百分比</w:t>
            </w:r>
          </w:p>
        </w:tc>
        <w:tc>
          <w:tcPr>
            <w:tcW w:w="1286"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电池电压</w:t>
            </w:r>
          </w:p>
        </w:tc>
      </w:tr>
    </w:tbl>
    <w:p>
      <w:pPr>
        <w:numPr>
          <w:ilvl w:val="0"/>
          <w:numId w:val="38"/>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数据报文传感器通信报文格式：采用数据报文时，传感器与接入节点之间通信数据报文格式定义如下表</w:t>
      </w:r>
      <w:r>
        <w:rPr>
          <w:rFonts w:hint="eastAsia" w:ascii="Times New Roman" w:hAnsi="Times New Roman"/>
          <w:color w:val="auto"/>
          <w:szCs w:val="32"/>
          <w:highlight w:val="none"/>
          <w:lang w:val="en-US" w:eastAsia="zh-CN"/>
        </w:rPr>
        <w:t>6</w:t>
      </w:r>
      <w:r>
        <w:rPr>
          <w:rFonts w:ascii="Times New Roman" w:hAnsi="Times New Roman"/>
          <w:color w:val="auto"/>
          <w:szCs w:val="32"/>
          <w:highlight w:val="none"/>
        </w:rPr>
        <w:t>所示。</w:t>
      </w:r>
    </w:p>
    <w:p>
      <w:pPr>
        <w:pStyle w:val="112"/>
        <w:spacing w:before="156" w:after="156"/>
        <w:rPr>
          <w:color w:val="auto"/>
          <w:highlight w:val="none"/>
        </w:rPr>
      </w:pPr>
      <w:r>
        <w:rPr>
          <w:color w:val="auto"/>
          <w:highlight w:val="none"/>
        </w:rPr>
        <w:t>数据报文传感器数据报文格式定义</w:t>
      </w:r>
    </w:p>
    <w:tbl>
      <w:tblPr>
        <w:tblStyle w:val="26"/>
        <w:tblW w:w="770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
      <w:tblGrid>
        <w:gridCol w:w="1680"/>
        <w:gridCol w:w="60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23" w:hRule="atLeast"/>
          <w:jc w:val="center"/>
        </w:trPr>
        <w:tc>
          <w:tcPr>
            <w:tcW w:w="1680" w:type="dxa"/>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指令类型</w:t>
            </w:r>
          </w:p>
        </w:tc>
        <w:tc>
          <w:tcPr>
            <w:tcW w:w="6020" w:type="dxa"/>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23" w:hRule="atLeast"/>
          <w:jc w:val="center"/>
        </w:trPr>
        <w:tc>
          <w:tcPr>
            <w:tcW w:w="1680" w:type="dxa"/>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1字节</w:t>
            </w:r>
          </w:p>
        </w:tc>
        <w:tc>
          <w:tcPr>
            <w:tcW w:w="6020" w:type="dxa"/>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变长</w:t>
            </w:r>
          </w:p>
        </w:tc>
      </w:tr>
    </w:tbl>
    <w:p>
      <w:pPr>
        <w:numPr>
          <w:ilvl w:val="1"/>
          <w:numId w:val="39"/>
        </w:numPr>
        <w:rPr>
          <w:rFonts w:hint="eastAsia" w:ascii="Times New Roman" w:hAnsi="Times New Roman"/>
          <w:color w:val="auto"/>
          <w:highlight w:val="none"/>
        </w:rPr>
      </w:pPr>
      <w:r>
        <w:rPr>
          <w:rFonts w:ascii="Times New Roman" w:hAnsi="Times New Roman"/>
          <w:color w:val="auto"/>
          <w:highlight w:val="none"/>
        </w:rPr>
        <w:t>数据报文指令类型：数据报文指令类型见下表</w:t>
      </w:r>
      <w:r>
        <w:rPr>
          <w:rFonts w:hint="eastAsia" w:ascii="Times New Roman" w:hAnsi="Times New Roman"/>
          <w:color w:val="auto"/>
          <w:highlight w:val="none"/>
          <w:lang w:val="en-US" w:eastAsia="zh-CN"/>
        </w:rPr>
        <w:t>7</w:t>
      </w:r>
      <w:r>
        <w:rPr>
          <w:rFonts w:ascii="Times New Roman" w:hAnsi="Times New Roman"/>
          <w:color w:val="auto"/>
          <w:highlight w:val="none"/>
        </w:rPr>
        <w:t>。</w:t>
      </w:r>
    </w:p>
    <w:p>
      <w:pPr>
        <w:pStyle w:val="112"/>
        <w:spacing w:before="156" w:after="156"/>
        <w:rPr>
          <w:color w:val="auto"/>
          <w:highlight w:val="none"/>
        </w:rPr>
      </w:pPr>
      <w:r>
        <w:rPr>
          <w:color w:val="auto"/>
          <w:highlight w:val="none"/>
        </w:rPr>
        <w:t>数据报文传感器通信指令类型</w:t>
      </w:r>
    </w:p>
    <w:tbl>
      <w:tblPr>
        <w:tblStyle w:val="26"/>
        <w:tblW w:w="765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190"/>
        <w:gridCol w:w="546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2190" w:type="dxa"/>
            <w:tcBorders>
              <w:top w:val="single" w:color="auto" w:sz="8" w:space="0"/>
              <w:bottom w:val="single" w:color="auto" w:sz="8" w:space="0"/>
            </w:tcBorders>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取值</w:t>
            </w:r>
          </w:p>
        </w:tc>
        <w:tc>
          <w:tcPr>
            <w:tcW w:w="5469" w:type="dxa"/>
            <w:tcBorders>
              <w:top w:val="single" w:color="auto" w:sz="8" w:space="0"/>
              <w:bottom w:val="single" w:color="auto" w:sz="8" w:space="0"/>
            </w:tcBorders>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定义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2190" w:type="dxa"/>
            <w:tcBorders>
              <w:top w:val="single" w:color="auto" w:sz="8" w:space="0"/>
            </w:tcBorders>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0x01</w:t>
            </w:r>
          </w:p>
        </w:tc>
        <w:tc>
          <w:tcPr>
            <w:tcW w:w="5469" w:type="dxa"/>
            <w:tcBorders>
              <w:top w:val="single" w:color="auto" w:sz="8" w:space="0"/>
            </w:tcBorders>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读取传感器台账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2190" w:type="dxa"/>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0x02</w:t>
            </w:r>
          </w:p>
        </w:tc>
        <w:tc>
          <w:tcPr>
            <w:tcW w:w="5469" w:type="dxa"/>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写入传感器台账</w:t>
            </w:r>
          </w:p>
        </w:tc>
      </w:tr>
    </w:tbl>
    <w:p>
      <w:pPr>
        <w:pStyle w:val="56"/>
        <w:spacing w:before="156" w:beforeLines="50" w:after="156" w:afterLines="50"/>
        <w:ind w:firstLine="0" w:firstLineChars="0"/>
        <w:jc w:val="center"/>
        <w:rPr>
          <w:rFonts w:ascii="黑体" w:hAnsi="黑体" w:eastAsia="黑体"/>
          <w:color w:val="auto"/>
          <w:highlight w:val="none"/>
        </w:rPr>
      </w:pPr>
      <w:r>
        <w:rPr>
          <w:rFonts w:hint="eastAsia" w:ascii="黑体" w:hAnsi="黑体" w:eastAsia="黑体"/>
          <w:color w:val="auto"/>
          <w:highlight w:val="none"/>
        </w:rPr>
        <w:t>表8  数据报文传感器通信指令类型</w:t>
      </w:r>
      <w:r>
        <w:rPr>
          <w:rFonts w:hint="eastAsia" w:hAnsi="宋体"/>
          <w:color w:val="auto"/>
          <w:highlight w:val="none"/>
        </w:rPr>
        <w:t>（续）</w:t>
      </w:r>
    </w:p>
    <w:tbl>
      <w:tblPr>
        <w:tblStyle w:val="26"/>
        <w:tblW w:w="765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190"/>
        <w:gridCol w:w="546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2190" w:type="dxa"/>
            <w:tcBorders>
              <w:top w:val="single" w:color="auto" w:sz="8" w:space="0"/>
              <w:bottom w:val="single" w:color="auto" w:sz="8" w:space="0"/>
            </w:tcBorders>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取值</w:t>
            </w:r>
          </w:p>
        </w:tc>
        <w:tc>
          <w:tcPr>
            <w:tcW w:w="5469" w:type="dxa"/>
            <w:tcBorders>
              <w:top w:val="single" w:color="auto" w:sz="8" w:space="0"/>
              <w:bottom w:val="single" w:color="auto" w:sz="8" w:space="0"/>
            </w:tcBorders>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bCs/>
                <w:color w:val="auto"/>
                <w:sz w:val="18"/>
                <w:szCs w:val="18"/>
                <w:highlight w:val="none"/>
              </w:rPr>
            </w:pPr>
            <w:r>
              <w:rPr>
                <w:rFonts w:ascii="Times New Roman" w:hAnsi="Times New Roman"/>
                <w:bCs/>
                <w:color w:val="auto"/>
                <w:sz w:val="18"/>
                <w:szCs w:val="18"/>
                <w:highlight w:val="none"/>
              </w:rPr>
              <w:t>定义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2190" w:type="dxa"/>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0x03</w:t>
            </w:r>
          </w:p>
        </w:tc>
        <w:tc>
          <w:tcPr>
            <w:tcW w:w="5469" w:type="dxa"/>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读取传感器通信参数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2190" w:type="dxa"/>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0x04</w:t>
            </w:r>
          </w:p>
        </w:tc>
        <w:tc>
          <w:tcPr>
            <w:tcW w:w="5469" w:type="dxa"/>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写入传感器通信参数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2190" w:type="dxa"/>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0x05</w:t>
            </w:r>
          </w:p>
        </w:tc>
        <w:tc>
          <w:tcPr>
            <w:tcW w:w="5469" w:type="dxa"/>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读取传感器实时测量数据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2190" w:type="dxa"/>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0x06</w:t>
            </w:r>
          </w:p>
        </w:tc>
        <w:tc>
          <w:tcPr>
            <w:tcW w:w="5469" w:type="dxa"/>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读取传感器实时测量数据（含波形）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0" w:hRule="atLeast"/>
          <w:jc w:val="center"/>
        </w:trPr>
        <w:tc>
          <w:tcPr>
            <w:tcW w:w="2190" w:type="dxa"/>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0x07~0xFE</w:t>
            </w:r>
          </w:p>
        </w:tc>
        <w:tc>
          <w:tcPr>
            <w:tcW w:w="5469" w:type="dxa"/>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自定义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9" w:hRule="atLeast"/>
          <w:jc w:val="center"/>
        </w:trPr>
        <w:tc>
          <w:tcPr>
            <w:tcW w:w="2190" w:type="dxa"/>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0xFF</w:t>
            </w:r>
          </w:p>
        </w:tc>
        <w:tc>
          <w:tcPr>
            <w:tcW w:w="5469" w:type="dxa"/>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远程重启传感器</w:t>
            </w:r>
          </w:p>
        </w:tc>
      </w:tr>
    </w:tbl>
    <w:p>
      <w:pPr>
        <w:numPr>
          <w:ilvl w:val="1"/>
          <w:numId w:val="39"/>
        </w:numPr>
        <w:rPr>
          <w:rFonts w:ascii="Times New Roman" w:hAnsi="Times New Roman"/>
          <w:color w:val="auto"/>
          <w:highlight w:val="none"/>
        </w:rPr>
      </w:pPr>
      <w:r>
        <w:rPr>
          <w:rFonts w:ascii="Times New Roman" w:hAnsi="Times New Roman"/>
          <w:color w:val="auto"/>
          <w:highlight w:val="none"/>
        </w:rPr>
        <w:t>读取传感器台账：接入节点请求报文格式见表</w:t>
      </w:r>
      <w:r>
        <w:rPr>
          <w:rFonts w:hint="eastAsia" w:ascii="Times New Roman" w:hAnsi="Times New Roman"/>
          <w:color w:val="auto"/>
          <w:highlight w:val="none"/>
          <w:lang w:val="en-US" w:eastAsia="zh-CN"/>
        </w:rPr>
        <w:t>8</w:t>
      </w:r>
      <w:r>
        <w:rPr>
          <w:rFonts w:ascii="Times New Roman" w:hAnsi="Times New Roman"/>
          <w:color w:val="auto"/>
          <w:highlight w:val="none"/>
        </w:rPr>
        <w:t>；传感器应答报文格式见表</w:t>
      </w:r>
      <w:r>
        <w:rPr>
          <w:rFonts w:hint="eastAsia" w:ascii="Times New Roman" w:hAnsi="Times New Roman"/>
          <w:color w:val="auto"/>
          <w:highlight w:val="none"/>
          <w:lang w:val="en-US" w:eastAsia="zh-CN"/>
        </w:rPr>
        <w:t>9</w:t>
      </w:r>
      <w:r>
        <w:rPr>
          <w:rFonts w:ascii="Times New Roman" w:hAnsi="Times New Roman"/>
          <w:color w:val="auto"/>
          <w:highlight w:val="none"/>
        </w:rPr>
        <w:t>。</w:t>
      </w:r>
    </w:p>
    <w:p>
      <w:pPr>
        <w:pStyle w:val="112"/>
        <w:spacing w:before="156" w:after="156"/>
        <w:rPr>
          <w:color w:val="auto"/>
          <w:highlight w:val="none"/>
        </w:rPr>
      </w:pPr>
      <w:r>
        <w:rPr>
          <w:color w:val="auto"/>
          <w:highlight w:val="none"/>
        </w:rPr>
        <w:t>读取传感器台账接入节点请求</w:t>
      </w:r>
    </w:p>
    <w:tbl>
      <w:tblPr>
        <w:tblStyle w:val="26"/>
        <w:tblW w:w="76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146"/>
        <w:gridCol w:w="350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8" w:hRule="atLeast"/>
          <w:jc w:val="center"/>
        </w:trPr>
        <w:tc>
          <w:tcPr>
            <w:tcW w:w="4146"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指令类型</w:t>
            </w:r>
          </w:p>
        </w:tc>
        <w:tc>
          <w:tcPr>
            <w:tcW w:w="3508"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4146"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1字节</w:t>
            </w:r>
          </w:p>
        </w:tc>
        <w:tc>
          <w:tcPr>
            <w:tcW w:w="3508"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0 字节</w:t>
            </w:r>
          </w:p>
        </w:tc>
      </w:tr>
    </w:tbl>
    <w:p>
      <w:pPr>
        <w:pStyle w:val="112"/>
        <w:spacing w:before="156" w:after="156"/>
        <w:rPr>
          <w:color w:val="auto"/>
          <w:highlight w:val="none"/>
        </w:rPr>
      </w:pPr>
      <w:r>
        <w:rPr>
          <w:color w:val="auto"/>
          <w:highlight w:val="none"/>
        </w:rPr>
        <w:t>读取传感器台账传感器应答</w:t>
      </w:r>
    </w:p>
    <w:tbl>
      <w:tblPr>
        <w:tblStyle w:val="26"/>
        <w:tblW w:w="7725" w:type="dxa"/>
        <w:tblInd w:w="913"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037"/>
        <w:gridCol w:w="1063"/>
        <w:gridCol w:w="1087"/>
        <w:gridCol w:w="1138"/>
        <w:gridCol w:w="1125"/>
        <w:gridCol w:w="1137"/>
        <w:gridCol w:w="113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037" w:type="dxa"/>
            <w:tcBorders>
              <w:top w:val="single" w:color="auto" w:sz="8" w:space="0"/>
              <w:bottom w:val="single" w:color="auto" w:sz="8" w:space="0"/>
            </w:tcBorders>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指令类型</w:t>
            </w:r>
          </w:p>
        </w:tc>
        <w:tc>
          <w:tcPr>
            <w:tcW w:w="1063" w:type="dxa"/>
            <w:tcBorders>
              <w:top w:val="single" w:color="auto" w:sz="8" w:space="0"/>
              <w:bottom w:val="single" w:color="auto" w:sz="8" w:space="0"/>
            </w:tcBorders>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组号</w:t>
            </w:r>
          </w:p>
        </w:tc>
        <w:tc>
          <w:tcPr>
            <w:tcW w:w="1087" w:type="dxa"/>
            <w:tcBorders>
              <w:top w:val="single" w:color="auto" w:sz="8" w:space="0"/>
              <w:bottom w:val="single" w:color="auto" w:sz="8" w:space="0"/>
            </w:tcBorders>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编号</w:t>
            </w:r>
          </w:p>
        </w:tc>
        <w:tc>
          <w:tcPr>
            <w:tcW w:w="1138" w:type="dxa"/>
            <w:tcBorders>
              <w:top w:val="single" w:color="auto" w:sz="8" w:space="0"/>
              <w:bottom w:val="single" w:color="auto" w:sz="8" w:space="0"/>
            </w:tcBorders>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全局ID</w:t>
            </w:r>
          </w:p>
        </w:tc>
        <w:tc>
          <w:tcPr>
            <w:tcW w:w="1125" w:type="dxa"/>
            <w:tcBorders>
              <w:top w:val="single" w:color="auto" w:sz="8" w:space="0"/>
              <w:bottom w:val="single" w:color="auto" w:sz="8" w:space="0"/>
            </w:tcBorders>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额定电压</w:t>
            </w:r>
          </w:p>
        </w:tc>
        <w:tc>
          <w:tcPr>
            <w:tcW w:w="1137" w:type="dxa"/>
            <w:tcBorders>
              <w:top w:val="single" w:color="auto" w:sz="8" w:space="0"/>
              <w:bottom w:val="single" w:color="auto" w:sz="8" w:space="0"/>
            </w:tcBorders>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额定电流</w:t>
            </w:r>
          </w:p>
        </w:tc>
        <w:tc>
          <w:tcPr>
            <w:tcW w:w="1138" w:type="dxa"/>
            <w:tcBorders>
              <w:top w:val="single" w:color="auto" w:sz="8" w:space="0"/>
              <w:bottom w:val="single" w:color="auto" w:sz="8" w:space="0"/>
            </w:tcBorders>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额定频率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037"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1字节</w:t>
            </w:r>
          </w:p>
        </w:tc>
        <w:tc>
          <w:tcPr>
            <w:tcW w:w="1063"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1字节</w:t>
            </w:r>
          </w:p>
        </w:tc>
        <w:tc>
          <w:tcPr>
            <w:tcW w:w="1087"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1字节</w:t>
            </w:r>
          </w:p>
        </w:tc>
        <w:tc>
          <w:tcPr>
            <w:tcW w:w="1138"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8字节</w:t>
            </w:r>
          </w:p>
        </w:tc>
        <w:tc>
          <w:tcPr>
            <w:tcW w:w="1125"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4字节</w:t>
            </w:r>
          </w:p>
        </w:tc>
        <w:tc>
          <w:tcPr>
            <w:tcW w:w="1137"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2字节</w:t>
            </w:r>
          </w:p>
        </w:tc>
        <w:tc>
          <w:tcPr>
            <w:tcW w:w="1138"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2字节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037" w:type="dxa"/>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精度等级</w:t>
            </w:r>
          </w:p>
        </w:tc>
        <w:tc>
          <w:tcPr>
            <w:tcW w:w="1063" w:type="dxa"/>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安装相别</w:t>
            </w:r>
          </w:p>
        </w:tc>
        <w:tc>
          <w:tcPr>
            <w:tcW w:w="1087" w:type="dxa"/>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型号</w:t>
            </w:r>
          </w:p>
        </w:tc>
        <w:tc>
          <w:tcPr>
            <w:tcW w:w="1138" w:type="dxa"/>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版本</w:t>
            </w:r>
          </w:p>
        </w:tc>
        <w:tc>
          <w:tcPr>
            <w:tcW w:w="1125" w:type="dxa"/>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制造商</w:t>
            </w:r>
          </w:p>
        </w:tc>
        <w:tc>
          <w:tcPr>
            <w:tcW w:w="1137" w:type="dxa"/>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日期</w:t>
            </w:r>
          </w:p>
        </w:tc>
        <w:tc>
          <w:tcPr>
            <w:tcW w:w="1138" w:type="dxa"/>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设备名称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1037"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1字节</w:t>
            </w:r>
          </w:p>
        </w:tc>
        <w:tc>
          <w:tcPr>
            <w:tcW w:w="1063"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1字节</w:t>
            </w:r>
          </w:p>
        </w:tc>
        <w:tc>
          <w:tcPr>
            <w:tcW w:w="1087"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2字节</w:t>
            </w:r>
          </w:p>
        </w:tc>
        <w:tc>
          <w:tcPr>
            <w:tcW w:w="1138"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2字节</w:t>
            </w:r>
          </w:p>
        </w:tc>
        <w:tc>
          <w:tcPr>
            <w:tcW w:w="1125"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2字节</w:t>
            </w:r>
          </w:p>
        </w:tc>
        <w:tc>
          <w:tcPr>
            <w:tcW w:w="1137"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4字节</w:t>
            </w:r>
          </w:p>
        </w:tc>
        <w:tc>
          <w:tcPr>
            <w:tcW w:w="1138"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10字节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037"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设备描述</w:t>
            </w:r>
          </w:p>
        </w:tc>
        <w:tc>
          <w:tcPr>
            <w:tcW w:w="6688" w:type="dxa"/>
            <w:gridSpan w:val="6"/>
            <w:shd w:val="clear" w:color="auto" w:fill="auto"/>
            <w:vAlign w:val="center"/>
          </w:tcPr>
          <w:p>
            <w:pPr>
              <w:pStyle w:val="243"/>
              <w:spacing w:line="240" w:lineRule="auto"/>
              <w:ind w:firstLine="0" w:firstLineChars="0"/>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037"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159字节</w:t>
            </w:r>
          </w:p>
        </w:tc>
        <w:tc>
          <w:tcPr>
            <w:tcW w:w="6688" w:type="dxa"/>
            <w:gridSpan w:val="6"/>
            <w:shd w:val="clear" w:color="auto" w:fill="auto"/>
            <w:vAlign w:val="center"/>
          </w:tcPr>
          <w:p>
            <w:pPr>
              <w:pStyle w:val="243"/>
              <w:spacing w:line="240" w:lineRule="auto"/>
              <w:ind w:firstLine="0" w:firstLineChars="0"/>
              <w:jc w:val="center"/>
              <w:rPr>
                <w:color w:val="auto"/>
                <w:sz w:val="18"/>
                <w:szCs w:val="18"/>
                <w:highlight w:val="none"/>
              </w:rPr>
            </w:pPr>
          </w:p>
        </w:tc>
      </w:tr>
    </w:tbl>
    <w:p>
      <w:pPr>
        <w:numPr>
          <w:ilvl w:val="1"/>
          <w:numId w:val="39"/>
        </w:numPr>
        <w:rPr>
          <w:rFonts w:ascii="Times New Roman" w:hAnsi="Times New Roman"/>
          <w:color w:val="auto"/>
          <w:highlight w:val="none"/>
        </w:rPr>
      </w:pPr>
      <w:r>
        <w:rPr>
          <w:rFonts w:ascii="Times New Roman" w:hAnsi="Times New Roman"/>
          <w:color w:val="auto"/>
          <w:highlight w:val="none"/>
        </w:rPr>
        <w:t>写入传感器台账：接入节点请求报文格式见表1</w:t>
      </w:r>
      <w:r>
        <w:rPr>
          <w:rFonts w:hint="eastAsia" w:ascii="Times New Roman" w:hAnsi="Times New Roman"/>
          <w:color w:val="auto"/>
          <w:highlight w:val="none"/>
          <w:lang w:val="en-US" w:eastAsia="zh-CN"/>
        </w:rPr>
        <w:t>0</w:t>
      </w:r>
      <w:r>
        <w:rPr>
          <w:rFonts w:ascii="Times New Roman" w:hAnsi="Times New Roman"/>
          <w:color w:val="auto"/>
          <w:highlight w:val="none"/>
        </w:rPr>
        <w:t>；传感器应答报文格式见表1</w:t>
      </w:r>
      <w:r>
        <w:rPr>
          <w:rFonts w:hint="eastAsia" w:ascii="Times New Roman" w:hAnsi="Times New Roman"/>
          <w:color w:val="auto"/>
          <w:highlight w:val="none"/>
          <w:lang w:val="en-US" w:eastAsia="zh-CN"/>
        </w:rPr>
        <w:t>1</w:t>
      </w:r>
      <w:r>
        <w:rPr>
          <w:rFonts w:ascii="Times New Roman" w:hAnsi="Times New Roman"/>
          <w:color w:val="auto"/>
          <w:highlight w:val="none"/>
        </w:rPr>
        <w:t>；传感器应答指令内容典型配置见表1</w:t>
      </w:r>
      <w:r>
        <w:rPr>
          <w:rFonts w:hint="eastAsia" w:ascii="Times New Roman" w:hAnsi="Times New Roman"/>
          <w:color w:val="auto"/>
          <w:highlight w:val="none"/>
          <w:lang w:val="en-US" w:eastAsia="zh-CN"/>
        </w:rPr>
        <w:t>2</w:t>
      </w:r>
      <w:r>
        <w:rPr>
          <w:rFonts w:ascii="Times New Roman" w:hAnsi="Times New Roman"/>
          <w:color w:val="auto"/>
          <w:highlight w:val="none"/>
        </w:rPr>
        <w:t>。</w:t>
      </w:r>
    </w:p>
    <w:p>
      <w:pPr>
        <w:pStyle w:val="112"/>
        <w:spacing w:before="156" w:after="156"/>
        <w:rPr>
          <w:color w:val="auto"/>
          <w:highlight w:val="none"/>
        </w:rPr>
      </w:pPr>
      <w:r>
        <w:rPr>
          <w:color w:val="auto"/>
          <w:highlight w:val="none"/>
        </w:rPr>
        <w:t>写入传感器台账接入节点请求</w:t>
      </w:r>
    </w:p>
    <w:tbl>
      <w:tblPr>
        <w:tblStyle w:val="26"/>
        <w:tblW w:w="7725" w:type="dxa"/>
        <w:tblInd w:w="913"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062"/>
        <w:gridCol w:w="1038"/>
        <w:gridCol w:w="1088"/>
        <w:gridCol w:w="1124"/>
        <w:gridCol w:w="1138"/>
        <w:gridCol w:w="1137"/>
        <w:gridCol w:w="113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062" w:type="dxa"/>
            <w:tcBorders>
              <w:top w:val="single" w:color="auto" w:sz="8" w:space="0"/>
              <w:bottom w:val="single" w:color="auto" w:sz="8" w:space="0"/>
            </w:tcBorders>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指令类型</w:t>
            </w:r>
          </w:p>
        </w:tc>
        <w:tc>
          <w:tcPr>
            <w:tcW w:w="1038" w:type="dxa"/>
            <w:tcBorders>
              <w:top w:val="single" w:color="auto" w:sz="8" w:space="0"/>
              <w:bottom w:val="single" w:color="auto" w:sz="8" w:space="0"/>
            </w:tcBorders>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组号</w:t>
            </w:r>
          </w:p>
        </w:tc>
        <w:tc>
          <w:tcPr>
            <w:tcW w:w="1088" w:type="dxa"/>
            <w:tcBorders>
              <w:top w:val="single" w:color="auto" w:sz="8" w:space="0"/>
              <w:bottom w:val="single" w:color="auto" w:sz="8" w:space="0"/>
            </w:tcBorders>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编号</w:t>
            </w:r>
          </w:p>
        </w:tc>
        <w:tc>
          <w:tcPr>
            <w:tcW w:w="1124" w:type="dxa"/>
            <w:tcBorders>
              <w:top w:val="single" w:color="auto" w:sz="8" w:space="0"/>
              <w:bottom w:val="single" w:color="auto" w:sz="8" w:space="0"/>
            </w:tcBorders>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全局ID</w:t>
            </w:r>
          </w:p>
        </w:tc>
        <w:tc>
          <w:tcPr>
            <w:tcW w:w="1138" w:type="dxa"/>
            <w:tcBorders>
              <w:top w:val="single" w:color="auto" w:sz="8" w:space="0"/>
              <w:bottom w:val="single" w:color="auto" w:sz="8" w:space="0"/>
            </w:tcBorders>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额定电压</w:t>
            </w:r>
          </w:p>
        </w:tc>
        <w:tc>
          <w:tcPr>
            <w:tcW w:w="1137" w:type="dxa"/>
            <w:tcBorders>
              <w:top w:val="single" w:color="auto" w:sz="8" w:space="0"/>
              <w:bottom w:val="single" w:color="auto" w:sz="8" w:space="0"/>
            </w:tcBorders>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额定电流</w:t>
            </w:r>
          </w:p>
        </w:tc>
        <w:tc>
          <w:tcPr>
            <w:tcW w:w="1138" w:type="dxa"/>
            <w:tcBorders>
              <w:top w:val="single" w:color="auto" w:sz="8" w:space="0"/>
              <w:bottom w:val="single" w:color="auto" w:sz="8" w:space="0"/>
            </w:tcBorders>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额定频率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062"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1字节</w:t>
            </w:r>
          </w:p>
        </w:tc>
        <w:tc>
          <w:tcPr>
            <w:tcW w:w="1038"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1字节</w:t>
            </w:r>
          </w:p>
        </w:tc>
        <w:tc>
          <w:tcPr>
            <w:tcW w:w="1088"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1字节</w:t>
            </w:r>
          </w:p>
        </w:tc>
        <w:tc>
          <w:tcPr>
            <w:tcW w:w="1124"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8字节</w:t>
            </w:r>
          </w:p>
        </w:tc>
        <w:tc>
          <w:tcPr>
            <w:tcW w:w="1138"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4字节</w:t>
            </w:r>
          </w:p>
        </w:tc>
        <w:tc>
          <w:tcPr>
            <w:tcW w:w="1137"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2字节</w:t>
            </w:r>
          </w:p>
        </w:tc>
        <w:tc>
          <w:tcPr>
            <w:tcW w:w="1138"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2字节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062" w:type="dxa"/>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精度等级</w:t>
            </w:r>
          </w:p>
        </w:tc>
        <w:tc>
          <w:tcPr>
            <w:tcW w:w="1038" w:type="dxa"/>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安装相别</w:t>
            </w:r>
          </w:p>
        </w:tc>
        <w:tc>
          <w:tcPr>
            <w:tcW w:w="1088" w:type="dxa"/>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型号</w:t>
            </w:r>
          </w:p>
        </w:tc>
        <w:tc>
          <w:tcPr>
            <w:tcW w:w="1124" w:type="dxa"/>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版本</w:t>
            </w:r>
          </w:p>
        </w:tc>
        <w:tc>
          <w:tcPr>
            <w:tcW w:w="1138" w:type="dxa"/>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制造商</w:t>
            </w:r>
          </w:p>
        </w:tc>
        <w:tc>
          <w:tcPr>
            <w:tcW w:w="1137" w:type="dxa"/>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日期</w:t>
            </w:r>
          </w:p>
        </w:tc>
        <w:tc>
          <w:tcPr>
            <w:tcW w:w="1138" w:type="dxa"/>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设备名称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1062"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1字节</w:t>
            </w:r>
          </w:p>
        </w:tc>
        <w:tc>
          <w:tcPr>
            <w:tcW w:w="1038"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1字节</w:t>
            </w:r>
          </w:p>
        </w:tc>
        <w:tc>
          <w:tcPr>
            <w:tcW w:w="1088"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2字节</w:t>
            </w:r>
          </w:p>
        </w:tc>
        <w:tc>
          <w:tcPr>
            <w:tcW w:w="1124"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2字节</w:t>
            </w:r>
          </w:p>
        </w:tc>
        <w:tc>
          <w:tcPr>
            <w:tcW w:w="1138"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2字节</w:t>
            </w:r>
          </w:p>
        </w:tc>
        <w:tc>
          <w:tcPr>
            <w:tcW w:w="1137"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4字节</w:t>
            </w:r>
          </w:p>
        </w:tc>
        <w:tc>
          <w:tcPr>
            <w:tcW w:w="1138"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10字节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062"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设备描述</w:t>
            </w:r>
          </w:p>
        </w:tc>
        <w:tc>
          <w:tcPr>
            <w:tcW w:w="6663" w:type="dxa"/>
            <w:gridSpan w:val="6"/>
            <w:shd w:val="clear" w:color="auto" w:fill="auto"/>
            <w:vAlign w:val="center"/>
          </w:tcPr>
          <w:p>
            <w:pPr>
              <w:pStyle w:val="243"/>
              <w:spacing w:line="240" w:lineRule="auto"/>
              <w:ind w:firstLine="0" w:firstLineChars="0"/>
              <w:jc w:val="center"/>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062"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159字节</w:t>
            </w:r>
          </w:p>
        </w:tc>
        <w:tc>
          <w:tcPr>
            <w:tcW w:w="6663" w:type="dxa"/>
            <w:gridSpan w:val="6"/>
            <w:shd w:val="clear" w:color="auto" w:fill="auto"/>
            <w:vAlign w:val="center"/>
          </w:tcPr>
          <w:p>
            <w:pPr>
              <w:pStyle w:val="243"/>
              <w:spacing w:line="240" w:lineRule="auto"/>
              <w:ind w:firstLine="0" w:firstLineChars="0"/>
              <w:jc w:val="center"/>
              <w:rPr>
                <w:color w:val="auto"/>
                <w:sz w:val="18"/>
                <w:szCs w:val="18"/>
                <w:highlight w:val="none"/>
              </w:rPr>
            </w:pPr>
          </w:p>
        </w:tc>
      </w:tr>
    </w:tbl>
    <w:p>
      <w:pPr>
        <w:pStyle w:val="112"/>
        <w:spacing w:before="156" w:after="156"/>
        <w:rPr>
          <w:color w:val="auto"/>
          <w:highlight w:val="none"/>
        </w:rPr>
      </w:pPr>
      <w:r>
        <w:rPr>
          <w:color w:val="auto"/>
          <w:highlight w:val="none"/>
        </w:rPr>
        <w:t>写入传感器台账传感器应答</w:t>
      </w:r>
    </w:p>
    <w:tbl>
      <w:tblPr>
        <w:tblStyle w:val="26"/>
        <w:tblW w:w="774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4209"/>
        <w:gridCol w:w="353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8" w:hRule="atLeast"/>
          <w:jc w:val="center"/>
        </w:trPr>
        <w:tc>
          <w:tcPr>
            <w:tcW w:w="4209" w:type="dxa"/>
            <w:tcBorders>
              <w:top w:val="single" w:color="auto" w:sz="8" w:space="0"/>
              <w:bottom w:val="single" w:color="auto" w:sz="8" w:space="0"/>
            </w:tcBorders>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指令类型</w:t>
            </w:r>
          </w:p>
        </w:tc>
        <w:tc>
          <w:tcPr>
            <w:tcW w:w="3538" w:type="dxa"/>
            <w:tcBorders>
              <w:top w:val="single" w:color="auto" w:sz="8" w:space="0"/>
              <w:bottom w:val="single" w:color="auto" w:sz="8" w:space="0"/>
            </w:tcBorders>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4209" w:type="dxa"/>
            <w:tcBorders>
              <w:top w:val="single" w:color="auto" w:sz="8" w:space="0"/>
            </w:tcBorders>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1字节</w:t>
            </w:r>
          </w:p>
        </w:tc>
        <w:tc>
          <w:tcPr>
            <w:tcW w:w="3538" w:type="dxa"/>
            <w:tcBorders>
              <w:top w:val="single" w:color="auto" w:sz="8" w:space="0"/>
            </w:tcBorders>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1 字节</w:t>
            </w:r>
          </w:p>
        </w:tc>
      </w:tr>
    </w:tbl>
    <w:p>
      <w:pPr>
        <w:pStyle w:val="112"/>
        <w:spacing w:before="156" w:after="156"/>
        <w:rPr>
          <w:color w:val="auto"/>
          <w:highlight w:val="none"/>
        </w:rPr>
      </w:pPr>
      <w:r>
        <w:rPr>
          <w:color w:val="auto"/>
          <w:highlight w:val="none"/>
        </w:rPr>
        <w:t>写入传感器台账传感器应答指令内容</w:t>
      </w:r>
    </w:p>
    <w:tbl>
      <w:tblPr>
        <w:tblStyle w:val="26"/>
        <w:tblW w:w="7737" w:type="dxa"/>
        <w:tblInd w:w="93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3847"/>
        <w:gridCol w:w="38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847" w:type="dxa"/>
            <w:tcBorders>
              <w:top w:val="single" w:color="auto" w:sz="8" w:space="0"/>
              <w:bottom w:val="single" w:color="auto" w:sz="8" w:space="0"/>
            </w:tcBorders>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指令内容</w:t>
            </w:r>
          </w:p>
        </w:tc>
        <w:tc>
          <w:tcPr>
            <w:tcW w:w="3890" w:type="dxa"/>
            <w:tcBorders>
              <w:top w:val="single" w:color="auto" w:sz="8" w:space="0"/>
              <w:bottom w:val="single" w:color="auto" w:sz="8" w:space="0"/>
            </w:tcBorders>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含义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847"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0x00</w:t>
            </w:r>
          </w:p>
        </w:tc>
        <w:tc>
          <w:tcPr>
            <w:tcW w:w="3890"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过程包回复</w:t>
            </w:r>
          </w:p>
        </w:tc>
      </w:tr>
    </w:tbl>
    <w:p>
      <w:pPr>
        <w:pStyle w:val="56"/>
        <w:spacing w:before="156" w:beforeLines="50" w:after="156" w:afterLines="50"/>
        <w:ind w:firstLine="0" w:firstLineChars="0"/>
        <w:jc w:val="center"/>
        <w:rPr>
          <w:rFonts w:ascii="黑体" w:hAnsi="黑体" w:eastAsia="黑体"/>
          <w:color w:val="auto"/>
          <w:highlight w:val="none"/>
        </w:rPr>
      </w:pPr>
      <w:r>
        <w:rPr>
          <w:rFonts w:hint="eastAsia" w:ascii="黑体" w:hAnsi="黑体" w:eastAsia="黑体"/>
          <w:color w:val="auto"/>
          <w:highlight w:val="none"/>
        </w:rPr>
        <w:t>表13  写入传感器台账传感器应答指令内容</w:t>
      </w:r>
      <w:r>
        <w:rPr>
          <w:rFonts w:hint="eastAsia" w:hAnsi="宋体"/>
          <w:color w:val="auto"/>
          <w:highlight w:val="none"/>
        </w:rPr>
        <w:t>（续）</w:t>
      </w:r>
    </w:p>
    <w:tbl>
      <w:tblPr>
        <w:tblStyle w:val="26"/>
        <w:tblW w:w="7737" w:type="dxa"/>
        <w:tblInd w:w="93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3847"/>
        <w:gridCol w:w="38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847" w:type="dxa"/>
            <w:tcBorders>
              <w:top w:val="single" w:color="auto" w:sz="8" w:space="0"/>
              <w:bottom w:val="single" w:color="auto" w:sz="8" w:space="0"/>
            </w:tcBorders>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指令内容</w:t>
            </w:r>
          </w:p>
        </w:tc>
        <w:tc>
          <w:tcPr>
            <w:tcW w:w="3890" w:type="dxa"/>
            <w:tcBorders>
              <w:top w:val="single" w:color="auto" w:sz="8" w:space="0"/>
              <w:bottom w:val="single" w:color="auto" w:sz="8" w:space="0"/>
            </w:tcBorders>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含义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847"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0x01</w:t>
            </w:r>
          </w:p>
        </w:tc>
        <w:tc>
          <w:tcPr>
            <w:tcW w:w="3890"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接收完成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3847"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0xEE</w:t>
            </w:r>
          </w:p>
        </w:tc>
        <w:tc>
          <w:tcPr>
            <w:tcW w:w="3890" w:type="dxa"/>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故障包</w:t>
            </w:r>
          </w:p>
        </w:tc>
      </w:tr>
    </w:tbl>
    <w:p>
      <w:pPr>
        <w:numPr>
          <w:ilvl w:val="1"/>
          <w:numId w:val="39"/>
        </w:numPr>
        <w:rPr>
          <w:rFonts w:hint="eastAsia" w:ascii="Times New Roman" w:hAnsi="Times New Roman"/>
          <w:color w:val="auto"/>
          <w:highlight w:val="none"/>
        </w:rPr>
      </w:pPr>
      <w:r>
        <w:rPr>
          <w:rFonts w:ascii="Times New Roman" w:hAnsi="Times New Roman"/>
          <w:color w:val="auto"/>
          <w:highlight w:val="none"/>
        </w:rPr>
        <w:t>读取传感器通信参数：接入节点请求报文格式见表1</w:t>
      </w:r>
      <w:r>
        <w:rPr>
          <w:rFonts w:hint="eastAsia" w:ascii="Times New Roman" w:hAnsi="Times New Roman"/>
          <w:color w:val="auto"/>
          <w:highlight w:val="none"/>
          <w:lang w:val="en-US" w:eastAsia="zh-CN"/>
        </w:rPr>
        <w:t>3</w:t>
      </w:r>
      <w:r>
        <w:rPr>
          <w:rFonts w:ascii="Times New Roman" w:hAnsi="Times New Roman"/>
          <w:color w:val="auto"/>
          <w:highlight w:val="none"/>
        </w:rPr>
        <w:t>；传感器应答报文格式见表1</w:t>
      </w:r>
      <w:r>
        <w:rPr>
          <w:rFonts w:hint="eastAsia" w:ascii="Times New Roman" w:hAnsi="Times New Roman"/>
          <w:color w:val="auto"/>
          <w:highlight w:val="none"/>
          <w:lang w:val="en-US" w:eastAsia="zh-CN"/>
        </w:rPr>
        <w:t>4</w:t>
      </w:r>
      <w:r>
        <w:rPr>
          <w:rFonts w:ascii="Times New Roman" w:hAnsi="Times New Roman"/>
          <w:color w:val="auto"/>
          <w:highlight w:val="none"/>
        </w:rPr>
        <w:t>。</w:t>
      </w:r>
    </w:p>
    <w:p>
      <w:pPr>
        <w:pStyle w:val="112"/>
        <w:spacing w:before="156" w:after="156"/>
        <w:rPr>
          <w:color w:val="auto"/>
          <w:highlight w:val="none"/>
        </w:rPr>
      </w:pPr>
      <w:r>
        <w:rPr>
          <w:color w:val="auto"/>
          <w:highlight w:val="none"/>
        </w:rPr>
        <w:t>读取传感器通信参数时接入节点请求</w:t>
      </w:r>
    </w:p>
    <w:tbl>
      <w:tblPr>
        <w:tblStyle w:val="26"/>
        <w:tblW w:w="752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3818"/>
        <w:gridCol w:w="370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8" w:hRule="atLeast"/>
          <w:jc w:val="center"/>
        </w:trPr>
        <w:tc>
          <w:tcPr>
            <w:tcW w:w="3818" w:type="dxa"/>
            <w:tcBorders>
              <w:top w:val="single" w:color="auto" w:sz="8" w:space="0"/>
              <w:bottom w:val="single" w:color="auto" w:sz="8" w:space="0"/>
            </w:tcBorders>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指令类型</w:t>
            </w:r>
          </w:p>
        </w:tc>
        <w:tc>
          <w:tcPr>
            <w:tcW w:w="3704" w:type="dxa"/>
            <w:tcBorders>
              <w:top w:val="single" w:color="auto" w:sz="8" w:space="0"/>
              <w:bottom w:val="single" w:color="auto" w:sz="8" w:space="0"/>
            </w:tcBorders>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3818" w:type="dxa"/>
            <w:tcBorders>
              <w:top w:val="single" w:color="auto" w:sz="8" w:space="0"/>
            </w:tcBorders>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1字节</w:t>
            </w:r>
          </w:p>
        </w:tc>
        <w:tc>
          <w:tcPr>
            <w:tcW w:w="3704" w:type="dxa"/>
            <w:tcBorders>
              <w:top w:val="single" w:color="auto" w:sz="8" w:space="0"/>
            </w:tcBorders>
            <w:shd w:val="clear" w:color="auto" w:fill="auto"/>
            <w:vAlign w:val="center"/>
          </w:tcPr>
          <w:p>
            <w:pPr>
              <w:pStyle w:val="230"/>
              <w:tabs>
                <w:tab w:val="center" w:pos="4201"/>
                <w:tab w:val="right" w:leader="dot" w:pos="9298"/>
              </w:tabs>
              <w:autoSpaceDE/>
              <w:autoSpaceDN/>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0 字节</w:t>
            </w:r>
          </w:p>
        </w:tc>
      </w:tr>
    </w:tbl>
    <w:p>
      <w:pPr>
        <w:pStyle w:val="112"/>
        <w:spacing w:before="156" w:after="156"/>
        <w:rPr>
          <w:color w:val="auto"/>
          <w:highlight w:val="none"/>
        </w:rPr>
      </w:pPr>
      <w:r>
        <w:rPr>
          <w:color w:val="auto"/>
          <w:highlight w:val="none"/>
        </w:rPr>
        <w:t>读取传感器通信参数时传感器应答</w:t>
      </w:r>
    </w:p>
    <w:tbl>
      <w:tblPr>
        <w:tblStyle w:val="26"/>
        <w:tblW w:w="7738" w:type="dxa"/>
        <w:tblInd w:w="95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211"/>
        <w:gridCol w:w="1827"/>
        <w:gridCol w:w="2012"/>
        <w:gridCol w:w="268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26" w:hRule="atLeast"/>
        </w:trPr>
        <w:tc>
          <w:tcPr>
            <w:tcW w:w="1211" w:type="dxa"/>
            <w:tcBorders>
              <w:top w:val="single" w:color="auto" w:sz="8" w:space="0"/>
              <w:bottom w:val="single" w:color="auto" w:sz="8" w:space="0"/>
            </w:tcBorders>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指令类型</w:t>
            </w:r>
          </w:p>
        </w:tc>
        <w:tc>
          <w:tcPr>
            <w:tcW w:w="1827" w:type="dxa"/>
            <w:tcBorders>
              <w:top w:val="single" w:color="auto" w:sz="8" w:space="0"/>
              <w:bottom w:val="single" w:color="auto" w:sz="8" w:space="0"/>
            </w:tcBorders>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电流数据更新间隔</w:t>
            </w:r>
          </w:p>
        </w:tc>
        <w:tc>
          <w:tcPr>
            <w:tcW w:w="2012" w:type="dxa"/>
            <w:tcBorders>
              <w:top w:val="single" w:color="auto" w:sz="8" w:space="0"/>
              <w:bottom w:val="single" w:color="auto" w:sz="8" w:space="0"/>
            </w:tcBorders>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温度数据更新间隔</w:t>
            </w:r>
          </w:p>
        </w:tc>
        <w:tc>
          <w:tcPr>
            <w:tcW w:w="2688" w:type="dxa"/>
            <w:tcBorders>
              <w:top w:val="single" w:color="auto" w:sz="8" w:space="0"/>
              <w:bottom w:val="single" w:color="auto" w:sz="8" w:space="0"/>
            </w:tcBorders>
            <w:shd w:val="clear" w:color="auto" w:fill="auto"/>
            <w:vAlign w:val="center"/>
          </w:tcPr>
          <w:p>
            <w:pPr>
              <w:pStyle w:val="230"/>
              <w:widowControl w:val="0"/>
              <w:tabs>
                <w:tab w:val="center" w:pos="4201"/>
                <w:tab w:val="right" w:leader="dot" w:pos="9298"/>
              </w:tabs>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电池供电时传感数据更新间隔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3" w:hRule="atLeast"/>
        </w:trPr>
        <w:tc>
          <w:tcPr>
            <w:tcW w:w="1211"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1字节</w:t>
            </w:r>
          </w:p>
        </w:tc>
        <w:tc>
          <w:tcPr>
            <w:tcW w:w="1827"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1字节</w:t>
            </w:r>
          </w:p>
        </w:tc>
        <w:tc>
          <w:tcPr>
            <w:tcW w:w="2012"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1字节</w:t>
            </w:r>
          </w:p>
        </w:tc>
        <w:tc>
          <w:tcPr>
            <w:tcW w:w="2688" w:type="dxa"/>
            <w:tcBorders>
              <w:top w:val="single" w:color="auto" w:sz="8" w:space="0"/>
            </w:tcBorders>
            <w:shd w:val="clear" w:color="auto" w:fill="auto"/>
            <w:vAlign w:val="center"/>
          </w:tcPr>
          <w:p>
            <w:pPr>
              <w:pStyle w:val="243"/>
              <w:spacing w:line="240" w:lineRule="auto"/>
              <w:ind w:firstLine="0" w:firstLineChars="0"/>
              <w:jc w:val="center"/>
              <w:rPr>
                <w:color w:val="auto"/>
                <w:sz w:val="18"/>
                <w:szCs w:val="18"/>
                <w:highlight w:val="none"/>
              </w:rPr>
            </w:pPr>
            <w:r>
              <w:rPr>
                <w:color w:val="auto"/>
                <w:sz w:val="18"/>
                <w:szCs w:val="18"/>
                <w:highlight w:val="none"/>
              </w:rPr>
              <w:t>1字节</w:t>
            </w:r>
          </w:p>
        </w:tc>
      </w:tr>
    </w:tbl>
    <w:p>
      <w:pPr>
        <w:numPr>
          <w:ilvl w:val="1"/>
          <w:numId w:val="39"/>
        </w:numPr>
        <w:rPr>
          <w:rFonts w:ascii="Times New Roman" w:hAnsi="Times New Roman"/>
          <w:color w:val="auto"/>
          <w:highlight w:val="none"/>
        </w:rPr>
      </w:pPr>
      <w:r>
        <w:rPr>
          <w:rFonts w:ascii="Times New Roman" w:hAnsi="Times New Roman"/>
          <w:color w:val="auto"/>
          <w:highlight w:val="none"/>
        </w:rPr>
        <w:t>写入传感器通信参数：接入节点请求报文格式见表1</w:t>
      </w:r>
      <w:r>
        <w:rPr>
          <w:rFonts w:hint="eastAsia" w:ascii="Times New Roman" w:hAnsi="Times New Roman"/>
          <w:color w:val="auto"/>
          <w:highlight w:val="none"/>
          <w:lang w:val="en-US" w:eastAsia="zh-CN"/>
        </w:rPr>
        <w:t>5</w:t>
      </w:r>
      <w:r>
        <w:rPr>
          <w:rFonts w:ascii="Times New Roman" w:hAnsi="Times New Roman"/>
          <w:color w:val="auto"/>
          <w:highlight w:val="none"/>
        </w:rPr>
        <w:t>；传感器应答报文格式见表1</w:t>
      </w:r>
      <w:r>
        <w:rPr>
          <w:rFonts w:hint="eastAsia" w:ascii="Times New Roman" w:hAnsi="Times New Roman"/>
          <w:color w:val="auto"/>
          <w:highlight w:val="none"/>
          <w:lang w:val="en-US" w:eastAsia="zh-CN"/>
        </w:rPr>
        <w:t>6</w:t>
      </w:r>
      <w:r>
        <w:rPr>
          <w:rFonts w:ascii="Times New Roman" w:hAnsi="Times New Roman"/>
          <w:color w:val="auto"/>
          <w:highlight w:val="none"/>
        </w:rPr>
        <w:t>；指令内容典型配置见表1</w:t>
      </w:r>
      <w:r>
        <w:rPr>
          <w:rFonts w:hint="eastAsia" w:ascii="Times New Roman" w:hAnsi="Times New Roman"/>
          <w:color w:val="auto"/>
          <w:highlight w:val="none"/>
          <w:lang w:val="en-US" w:eastAsia="zh-CN"/>
        </w:rPr>
        <w:t>7</w:t>
      </w:r>
      <w:r>
        <w:rPr>
          <w:rFonts w:ascii="Times New Roman" w:hAnsi="Times New Roman"/>
          <w:color w:val="auto"/>
          <w:highlight w:val="none"/>
        </w:rPr>
        <w:t>。</w:t>
      </w:r>
    </w:p>
    <w:p>
      <w:pPr>
        <w:pStyle w:val="112"/>
        <w:spacing w:before="156" w:after="156"/>
        <w:rPr>
          <w:color w:val="auto"/>
          <w:highlight w:val="none"/>
        </w:rPr>
      </w:pPr>
      <w:r>
        <w:rPr>
          <w:color w:val="auto"/>
          <w:highlight w:val="none"/>
        </w:rPr>
        <w:t>写入传感器通信参数时接入节点请求</w:t>
      </w:r>
    </w:p>
    <w:tbl>
      <w:tblPr>
        <w:tblStyle w:val="26"/>
        <w:tblW w:w="7750" w:type="dxa"/>
        <w:tblInd w:w="9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1839"/>
        <w:gridCol w:w="2013"/>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6" w:hRule="atLeast"/>
        </w:trPr>
        <w:tc>
          <w:tcPr>
            <w:tcW w:w="1211" w:type="dxa"/>
          </w:tcPr>
          <w:p>
            <w:pPr>
              <w:pStyle w:val="230"/>
              <w:widowControl w:val="0"/>
              <w:tabs>
                <w:tab w:val="center" w:pos="4201"/>
                <w:tab w:val="right" w:leader="dot" w:pos="9298"/>
              </w:tabs>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指令类型</w:t>
            </w:r>
          </w:p>
        </w:tc>
        <w:tc>
          <w:tcPr>
            <w:tcW w:w="1839" w:type="dxa"/>
          </w:tcPr>
          <w:p>
            <w:pPr>
              <w:pStyle w:val="230"/>
              <w:widowControl w:val="0"/>
              <w:tabs>
                <w:tab w:val="center" w:pos="4201"/>
                <w:tab w:val="right" w:leader="dot" w:pos="9298"/>
              </w:tabs>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电流数据更新间隔</w:t>
            </w:r>
          </w:p>
        </w:tc>
        <w:tc>
          <w:tcPr>
            <w:tcW w:w="2013" w:type="dxa"/>
          </w:tcPr>
          <w:p>
            <w:pPr>
              <w:pStyle w:val="230"/>
              <w:widowControl w:val="0"/>
              <w:tabs>
                <w:tab w:val="center" w:pos="4201"/>
                <w:tab w:val="right" w:leader="dot" w:pos="9298"/>
              </w:tabs>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温度数据更新间隔</w:t>
            </w:r>
          </w:p>
        </w:tc>
        <w:tc>
          <w:tcPr>
            <w:tcW w:w="2687" w:type="dxa"/>
          </w:tcPr>
          <w:p>
            <w:pPr>
              <w:pStyle w:val="230"/>
              <w:widowControl w:val="0"/>
              <w:tabs>
                <w:tab w:val="center" w:pos="4201"/>
                <w:tab w:val="right" w:leader="dot" w:pos="9298"/>
              </w:tabs>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电池供电时传感数据更新间隔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211" w:type="dxa"/>
          </w:tcPr>
          <w:p>
            <w:pPr>
              <w:pStyle w:val="243"/>
              <w:spacing w:line="300" w:lineRule="auto"/>
              <w:ind w:firstLine="0" w:firstLineChars="0"/>
              <w:jc w:val="center"/>
              <w:rPr>
                <w:color w:val="auto"/>
                <w:sz w:val="18"/>
                <w:szCs w:val="18"/>
                <w:highlight w:val="none"/>
              </w:rPr>
            </w:pPr>
            <w:r>
              <w:rPr>
                <w:color w:val="auto"/>
                <w:sz w:val="18"/>
                <w:szCs w:val="18"/>
                <w:highlight w:val="none"/>
              </w:rPr>
              <w:t>1字节</w:t>
            </w:r>
          </w:p>
        </w:tc>
        <w:tc>
          <w:tcPr>
            <w:tcW w:w="1839" w:type="dxa"/>
          </w:tcPr>
          <w:p>
            <w:pPr>
              <w:pStyle w:val="243"/>
              <w:spacing w:line="300" w:lineRule="auto"/>
              <w:ind w:firstLine="0" w:firstLineChars="0"/>
              <w:jc w:val="center"/>
              <w:rPr>
                <w:color w:val="auto"/>
                <w:sz w:val="18"/>
                <w:szCs w:val="18"/>
                <w:highlight w:val="none"/>
              </w:rPr>
            </w:pPr>
            <w:r>
              <w:rPr>
                <w:color w:val="auto"/>
                <w:sz w:val="18"/>
                <w:szCs w:val="18"/>
                <w:highlight w:val="none"/>
              </w:rPr>
              <w:t>1字节</w:t>
            </w:r>
          </w:p>
        </w:tc>
        <w:tc>
          <w:tcPr>
            <w:tcW w:w="2013" w:type="dxa"/>
          </w:tcPr>
          <w:p>
            <w:pPr>
              <w:pStyle w:val="243"/>
              <w:spacing w:line="300" w:lineRule="auto"/>
              <w:ind w:firstLine="0" w:firstLineChars="0"/>
              <w:jc w:val="center"/>
              <w:rPr>
                <w:color w:val="auto"/>
                <w:sz w:val="18"/>
                <w:szCs w:val="18"/>
                <w:highlight w:val="none"/>
              </w:rPr>
            </w:pPr>
            <w:r>
              <w:rPr>
                <w:color w:val="auto"/>
                <w:sz w:val="18"/>
                <w:szCs w:val="18"/>
                <w:highlight w:val="none"/>
              </w:rPr>
              <w:t>1字节</w:t>
            </w:r>
          </w:p>
        </w:tc>
        <w:tc>
          <w:tcPr>
            <w:tcW w:w="2687" w:type="dxa"/>
          </w:tcPr>
          <w:p>
            <w:pPr>
              <w:pStyle w:val="243"/>
              <w:spacing w:line="300" w:lineRule="auto"/>
              <w:ind w:firstLine="0" w:firstLineChars="0"/>
              <w:jc w:val="center"/>
              <w:rPr>
                <w:color w:val="auto"/>
                <w:sz w:val="18"/>
                <w:szCs w:val="18"/>
                <w:highlight w:val="none"/>
              </w:rPr>
            </w:pPr>
            <w:r>
              <w:rPr>
                <w:color w:val="auto"/>
                <w:sz w:val="18"/>
                <w:szCs w:val="18"/>
                <w:highlight w:val="none"/>
              </w:rPr>
              <w:t>1字节</w:t>
            </w:r>
          </w:p>
        </w:tc>
      </w:tr>
    </w:tbl>
    <w:p>
      <w:pPr>
        <w:pStyle w:val="112"/>
        <w:spacing w:before="156" w:after="156"/>
        <w:rPr>
          <w:color w:val="auto"/>
          <w:highlight w:val="none"/>
        </w:rPr>
      </w:pPr>
      <w:r>
        <w:rPr>
          <w:color w:val="auto"/>
          <w:highlight w:val="none"/>
        </w:rPr>
        <w:t>写入传感器通信参数时传感器应答</w:t>
      </w:r>
    </w:p>
    <w:tbl>
      <w:tblPr>
        <w:tblStyle w:val="26"/>
        <w:tblW w:w="77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835"/>
        <w:gridCol w:w="394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8" w:hRule="atLeast"/>
          <w:jc w:val="center"/>
        </w:trPr>
        <w:tc>
          <w:tcPr>
            <w:tcW w:w="3835"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指令类型</w:t>
            </w:r>
          </w:p>
        </w:tc>
        <w:tc>
          <w:tcPr>
            <w:tcW w:w="3943"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3835"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1字节</w:t>
            </w:r>
          </w:p>
        </w:tc>
        <w:tc>
          <w:tcPr>
            <w:tcW w:w="3943"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1 字节</w:t>
            </w:r>
          </w:p>
        </w:tc>
      </w:tr>
    </w:tbl>
    <w:p>
      <w:pPr>
        <w:pStyle w:val="112"/>
        <w:spacing w:before="156" w:after="156"/>
        <w:rPr>
          <w:color w:val="auto"/>
          <w:highlight w:val="none"/>
        </w:rPr>
      </w:pPr>
      <w:r>
        <w:rPr>
          <w:color w:val="auto"/>
          <w:highlight w:val="none"/>
        </w:rPr>
        <w:t>写入传感器通信参数时指令内容典型配置</w:t>
      </w:r>
    </w:p>
    <w:tbl>
      <w:tblPr>
        <w:tblStyle w:val="26"/>
        <w:tblW w:w="7762" w:type="dxa"/>
        <w:tblInd w:w="9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62"/>
        <w:gridCol w:w="4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762" w:type="dxa"/>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指令内容</w:t>
            </w:r>
          </w:p>
        </w:tc>
        <w:tc>
          <w:tcPr>
            <w:tcW w:w="4000" w:type="dxa"/>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含义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2" w:type="dxa"/>
          </w:tcPr>
          <w:p>
            <w:pPr>
              <w:pStyle w:val="243"/>
              <w:spacing w:line="300" w:lineRule="auto"/>
              <w:ind w:firstLine="0" w:firstLineChars="0"/>
              <w:jc w:val="center"/>
              <w:rPr>
                <w:color w:val="auto"/>
                <w:sz w:val="18"/>
                <w:szCs w:val="18"/>
                <w:highlight w:val="none"/>
              </w:rPr>
            </w:pPr>
            <w:r>
              <w:rPr>
                <w:color w:val="auto"/>
                <w:sz w:val="18"/>
                <w:szCs w:val="18"/>
                <w:highlight w:val="none"/>
              </w:rPr>
              <w:t>0x00</w:t>
            </w:r>
          </w:p>
        </w:tc>
        <w:tc>
          <w:tcPr>
            <w:tcW w:w="4000" w:type="dxa"/>
          </w:tcPr>
          <w:p>
            <w:pPr>
              <w:pStyle w:val="243"/>
              <w:spacing w:line="300" w:lineRule="auto"/>
              <w:ind w:firstLine="0" w:firstLineChars="0"/>
              <w:jc w:val="center"/>
              <w:rPr>
                <w:color w:val="auto"/>
                <w:sz w:val="18"/>
                <w:szCs w:val="18"/>
                <w:highlight w:val="none"/>
              </w:rPr>
            </w:pPr>
            <w:r>
              <w:rPr>
                <w:color w:val="auto"/>
                <w:sz w:val="18"/>
                <w:szCs w:val="18"/>
                <w:highlight w:val="none"/>
              </w:rPr>
              <w:t>过程包回复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2" w:type="dxa"/>
          </w:tcPr>
          <w:p>
            <w:pPr>
              <w:pStyle w:val="243"/>
              <w:spacing w:line="300" w:lineRule="auto"/>
              <w:ind w:firstLine="0" w:firstLineChars="0"/>
              <w:jc w:val="center"/>
              <w:rPr>
                <w:color w:val="auto"/>
                <w:sz w:val="18"/>
                <w:szCs w:val="18"/>
                <w:highlight w:val="none"/>
              </w:rPr>
            </w:pPr>
            <w:r>
              <w:rPr>
                <w:color w:val="auto"/>
                <w:sz w:val="18"/>
                <w:szCs w:val="18"/>
                <w:highlight w:val="none"/>
              </w:rPr>
              <w:t>0x01</w:t>
            </w:r>
          </w:p>
        </w:tc>
        <w:tc>
          <w:tcPr>
            <w:tcW w:w="4000" w:type="dxa"/>
          </w:tcPr>
          <w:p>
            <w:pPr>
              <w:pStyle w:val="243"/>
              <w:spacing w:line="300" w:lineRule="auto"/>
              <w:ind w:firstLine="0" w:firstLineChars="0"/>
              <w:jc w:val="center"/>
              <w:rPr>
                <w:color w:val="auto"/>
                <w:sz w:val="18"/>
                <w:szCs w:val="18"/>
                <w:highlight w:val="none"/>
              </w:rPr>
            </w:pPr>
            <w:r>
              <w:rPr>
                <w:color w:val="auto"/>
                <w:sz w:val="18"/>
                <w:szCs w:val="18"/>
                <w:highlight w:val="none"/>
              </w:rPr>
              <w:t>接收完成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2" w:type="dxa"/>
          </w:tcPr>
          <w:p>
            <w:pPr>
              <w:pStyle w:val="243"/>
              <w:spacing w:line="300" w:lineRule="auto"/>
              <w:ind w:firstLine="0" w:firstLineChars="0"/>
              <w:jc w:val="center"/>
              <w:rPr>
                <w:color w:val="auto"/>
                <w:sz w:val="18"/>
                <w:szCs w:val="18"/>
                <w:highlight w:val="none"/>
              </w:rPr>
            </w:pPr>
            <w:r>
              <w:rPr>
                <w:color w:val="auto"/>
                <w:sz w:val="18"/>
                <w:szCs w:val="18"/>
                <w:highlight w:val="none"/>
              </w:rPr>
              <w:t>0xEE</w:t>
            </w:r>
          </w:p>
        </w:tc>
        <w:tc>
          <w:tcPr>
            <w:tcW w:w="4000" w:type="dxa"/>
          </w:tcPr>
          <w:p>
            <w:pPr>
              <w:pStyle w:val="243"/>
              <w:spacing w:line="300" w:lineRule="auto"/>
              <w:ind w:firstLine="0" w:firstLineChars="0"/>
              <w:jc w:val="center"/>
              <w:rPr>
                <w:color w:val="auto"/>
                <w:sz w:val="18"/>
                <w:szCs w:val="18"/>
                <w:highlight w:val="none"/>
              </w:rPr>
            </w:pPr>
            <w:r>
              <w:rPr>
                <w:color w:val="auto"/>
                <w:sz w:val="18"/>
                <w:szCs w:val="18"/>
                <w:highlight w:val="none"/>
              </w:rPr>
              <w:t>故障包</w:t>
            </w:r>
          </w:p>
        </w:tc>
      </w:tr>
    </w:tbl>
    <w:p>
      <w:pPr>
        <w:numPr>
          <w:ilvl w:val="1"/>
          <w:numId w:val="39"/>
        </w:numPr>
        <w:rPr>
          <w:rFonts w:ascii="Times New Roman" w:hAnsi="Times New Roman"/>
          <w:color w:val="auto"/>
          <w:highlight w:val="none"/>
        </w:rPr>
      </w:pPr>
      <w:r>
        <w:rPr>
          <w:rFonts w:ascii="Times New Roman" w:hAnsi="Times New Roman"/>
          <w:color w:val="auto"/>
          <w:highlight w:val="none"/>
        </w:rPr>
        <w:t>读取传感器实时测量数据：接入节点请求报文格式见表1</w:t>
      </w:r>
      <w:r>
        <w:rPr>
          <w:rFonts w:hint="eastAsia" w:ascii="Times New Roman" w:hAnsi="Times New Roman"/>
          <w:color w:val="auto"/>
          <w:highlight w:val="none"/>
          <w:lang w:val="en-US" w:eastAsia="zh-CN"/>
        </w:rPr>
        <w:t>8</w:t>
      </w:r>
      <w:r>
        <w:rPr>
          <w:rFonts w:ascii="Times New Roman" w:hAnsi="Times New Roman"/>
          <w:color w:val="auto"/>
          <w:highlight w:val="none"/>
        </w:rPr>
        <w:t>；传感器应答报文格式见表</w:t>
      </w:r>
      <w:r>
        <w:rPr>
          <w:rFonts w:hint="eastAsia" w:ascii="Times New Roman" w:hAnsi="Times New Roman"/>
          <w:color w:val="auto"/>
          <w:highlight w:val="none"/>
          <w:lang w:val="en-US" w:eastAsia="zh-CN"/>
        </w:rPr>
        <w:t>19</w:t>
      </w:r>
      <w:r>
        <w:rPr>
          <w:rFonts w:ascii="Times New Roman" w:hAnsi="Times New Roman"/>
          <w:color w:val="auto"/>
          <w:highlight w:val="none"/>
        </w:rPr>
        <w:t>。</w:t>
      </w:r>
    </w:p>
    <w:p>
      <w:pPr>
        <w:pStyle w:val="112"/>
        <w:spacing w:before="156" w:after="156"/>
        <w:rPr>
          <w:color w:val="auto"/>
          <w:highlight w:val="none"/>
        </w:rPr>
      </w:pPr>
      <w:r>
        <w:rPr>
          <w:color w:val="auto"/>
          <w:highlight w:val="none"/>
        </w:rPr>
        <w:t>读取传感器实时测量数据时接入节点请求</w:t>
      </w:r>
    </w:p>
    <w:tbl>
      <w:tblPr>
        <w:tblStyle w:val="26"/>
        <w:tblW w:w="774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815"/>
        <w:gridCol w:w="393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8" w:hRule="atLeast"/>
          <w:jc w:val="center"/>
        </w:trPr>
        <w:tc>
          <w:tcPr>
            <w:tcW w:w="3815"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指令类型</w:t>
            </w:r>
          </w:p>
        </w:tc>
        <w:tc>
          <w:tcPr>
            <w:tcW w:w="3934"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3815"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1字节</w:t>
            </w:r>
          </w:p>
        </w:tc>
        <w:tc>
          <w:tcPr>
            <w:tcW w:w="3934"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0 字节</w:t>
            </w:r>
          </w:p>
        </w:tc>
      </w:tr>
    </w:tbl>
    <w:p>
      <w:pPr>
        <w:pStyle w:val="112"/>
        <w:spacing w:before="156" w:after="156"/>
        <w:rPr>
          <w:color w:val="auto"/>
          <w:highlight w:val="none"/>
        </w:rPr>
      </w:pPr>
      <w:r>
        <w:rPr>
          <w:color w:val="auto"/>
          <w:highlight w:val="none"/>
        </w:rPr>
        <w:t>读取传感器实时测量数据时传感器应答</w:t>
      </w:r>
    </w:p>
    <w:tbl>
      <w:tblPr>
        <w:tblStyle w:val="26"/>
        <w:tblW w:w="7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594"/>
        <w:gridCol w:w="2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617" w:type="dxa"/>
          </w:tcPr>
          <w:p>
            <w:pPr>
              <w:pStyle w:val="230"/>
              <w:tabs>
                <w:tab w:val="center" w:pos="4201"/>
                <w:tab w:val="right" w:leader="dot" w:pos="9298"/>
              </w:tabs>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指令类型</w:t>
            </w:r>
          </w:p>
        </w:tc>
        <w:tc>
          <w:tcPr>
            <w:tcW w:w="2594" w:type="dxa"/>
          </w:tcPr>
          <w:p>
            <w:pPr>
              <w:pStyle w:val="230"/>
              <w:tabs>
                <w:tab w:val="center" w:pos="4201"/>
                <w:tab w:val="right" w:leader="dot" w:pos="9298"/>
              </w:tabs>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电流</w:t>
            </w:r>
          </w:p>
        </w:tc>
        <w:tc>
          <w:tcPr>
            <w:tcW w:w="2449" w:type="dxa"/>
          </w:tcPr>
          <w:p>
            <w:pPr>
              <w:pStyle w:val="230"/>
              <w:tabs>
                <w:tab w:val="center" w:pos="4201"/>
                <w:tab w:val="right" w:leader="dot" w:pos="9298"/>
              </w:tabs>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2617" w:type="dxa"/>
          </w:tcPr>
          <w:p>
            <w:pPr>
              <w:pStyle w:val="243"/>
              <w:spacing w:line="300" w:lineRule="auto"/>
              <w:ind w:firstLine="0" w:firstLineChars="0"/>
              <w:jc w:val="center"/>
              <w:rPr>
                <w:color w:val="auto"/>
                <w:sz w:val="18"/>
                <w:szCs w:val="18"/>
                <w:highlight w:val="none"/>
              </w:rPr>
            </w:pPr>
            <w:r>
              <w:rPr>
                <w:color w:val="auto"/>
                <w:sz w:val="18"/>
                <w:szCs w:val="18"/>
                <w:highlight w:val="none"/>
              </w:rPr>
              <w:t>1字节</w:t>
            </w:r>
          </w:p>
        </w:tc>
        <w:tc>
          <w:tcPr>
            <w:tcW w:w="2594" w:type="dxa"/>
          </w:tcPr>
          <w:p>
            <w:pPr>
              <w:pStyle w:val="243"/>
              <w:spacing w:line="300" w:lineRule="auto"/>
              <w:ind w:firstLine="0" w:firstLineChars="0"/>
              <w:jc w:val="center"/>
              <w:rPr>
                <w:color w:val="auto"/>
                <w:sz w:val="18"/>
                <w:szCs w:val="18"/>
                <w:highlight w:val="none"/>
              </w:rPr>
            </w:pPr>
            <w:r>
              <w:rPr>
                <w:color w:val="auto"/>
                <w:sz w:val="18"/>
                <w:szCs w:val="18"/>
                <w:highlight w:val="none"/>
              </w:rPr>
              <w:t>4字节</w:t>
            </w:r>
          </w:p>
        </w:tc>
        <w:tc>
          <w:tcPr>
            <w:tcW w:w="2449" w:type="dxa"/>
          </w:tcPr>
          <w:p>
            <w:pPr>
              <w:pStyle w:val="243"/>
              <w:spacing w:line="300" w:lineRule="auto"/>
              <w:ind w:firstLine="0" w:firstLineChars="0"/>
              <w:jc w:val="center"/>
              <w:rPr>
                <w:color w:val="auto"/>
                <w:sz w:val="18"/>
                <w:szCs w:val="18"/>
                <w:highlight w:val="none"/>
              </w:rPr>
            </w:pPr>
            <w:r>
              <w:rPr>
                <w:color w:val="auto"/>
                <w:sz w:val="18"/>
                <w:szCs w:val="18"/>
                <w:highlight w:val="none"/>
              </w:rPr>
              <w:t>4字节</w:t>
            </w:r>
          </w:p>
        </w:tc>
      </w:tr>
    </w:tbl>
    <w:p>
      <w:pPr>
        <w:numPr>
          <w:ilvl w:val="1"/>
          <w:numId w:val="39"/>
        </w:numPr>
        <w:rPr>
          <w:rFonts w:ascii="Times New Roman" w:hAnsi="Times New Roman"/>
          <w:color w:val="auto"/>
          <w:highlight w:val="none"/>
        </w:rPr>
      </w:pPr>
      <w:r>
        <w:rPr>
          <w:rFonts w:ascii="Times New Roman" w:hAnsi="Times New Roman"/>
          <w:color w:val="auto"/>
          <w:highlight w:val="none"/>
        </w:rPr>
        <w:t>读取传感器实时测量数据（含波形）：接入节点请求报文格式见表2</w:t>
      </w:r>
      <w:r>
        <w:rPr>
          <w:rFonts w:hint="eastAsia" w:ascii="Times New Roman" w:hAnsi="Times New Roman"/>
          <w:color w:val="auto"/>
          <w:highlight w:val="none"/>
          <w:lang w:val="en-US" w:eastAsia="zh-CN"/>
        </w:rPr>
        <w:t>0</w:t>
      </w:r>
      <w:r>
        <w:rPr>
          <w:rFonts w:ascii="Times New Roman" w:hAnsi="Times New Roman"/>
          <w:color w:val="auto"/>
          <w:highlight w:val="none"/>
        </w:rPr>
        <w:t>；传感器应答报文格式见表2</w:t>
      </w:r>
      <w:r>
        <w:rPr>
          <w:rFonts w:hint="eastAsia" w:ascii="Times New Roman" w:hAnsi="Times New Roman"/>
          <w:color w:val="auto"/>
          <w:highlight w:val="none"/>
          <w:lang w:val="en-US" w:eastAsia="zh-CN"/>
        </w:rPr>
        <w:t>1</w:t>
      </w:r>
      <w:r>
        <w:rPr>
          <w:rFonts w:ascii="Times New Roman" w:hAnsi="Times New Roman"/>
          <w:color w:val="auto"/>
          <w:highlight w:val="none"/>
        </w:rPr>
        <w:t>。</w:t>
      </w:r>
    </w:p>
    <w:p>
      <w:pPr>
        <w:pStyle w:val="112"/>
        <w:spacing w:before="156" w:after="156"/>
        <w:rPr>
          <w:color w:val="auto"/>
          <w:highlight w:val="none"/>
        </w:rPr>
      </w:pPr>
      <w:r>
        <w:rPr>
          <w:color w:val="auto"/>
          <w:highlight w:val="none"/>
        </w:rPr>
        <w:t>读取传感器实时测量数据（含波形）时接入节点请求</w:t>
      </w:r>
    </w:p>
    <w:tbl>
      <w:tblPr>
        <w:tblStyle w:val="26"/>
        <w:tblW w:w="768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106"/>
        <w:gridCol w:w="3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8" w:hRule="atLeast"/>
          <w:jc w:val="center"/>
        </w:trPr>
        <w:tc>
          <w:tcPr>
            <w:tcW w:w="4106"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指令类型</w:t>
            </w:r>
          </w:p>
        </w:tc>
        <w:tc>
          <w:tcPr>
            <w:tcW w:w="3575"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4106"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1字节</w:t>
            </w:r>
          </w:p>
        </w:tc>
        <w:tc>
          <w:tcPr>
            <w:tcW w:w="3575"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0 字节</w:t>
            </w:r>
          </w:p>
        </w:tc>
      </w:tr>
    </w:tbl>
    <w:p>
      <w:pPr>
        <w:pStyle w:val="112"/>
        <w:spacing w:before="156" w:after="156"/>
        <w:rPr>
          <w:color w:val="auto"/>
          <w:highlight w:val="none"/>
        </w:rPr>
      </w:pPr>
      <w:r>
        <w:rPr>
          <w:color w:val="auto"/>
          <w:highlight w:val="none"/>
        </w:rPr>
        <w:t>读取传感器实时测量数据（含波形）时传感器应答</w:t>
      </w:r>
    </w:p>
    <w:tbl>
      <w:tblPr>
        <w:tblStyle w:val="26"/>
        <w:tblW w:w="7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0"/>
        <w:gridCol w:w="2165"/>
        <w:gridCol w:w="1663"/>
        <w:gridCol w:w="1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940" w:type="dxa"/>
          </w:tcPr>
          <w:p>
            <w:pPr>
              <w:pStyle w:val="230"/>
              <w:tabs>
                <w:tab w:val="center" w:pos="4201"/>
                <w:tab w:val="right" w:leader="dot" w:pos="9298"/>
              </w:tabs>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指令类型</w:t>
            </w:r>
          </w:p>
        </w:tc>
        <w:tc>
          <w:tcPr>
            <w:tcW w:w="2165" w:type="dxa"/>
          </w:tcPr>
          <w:p>
            <w:pPr>
              <w:pStyle w:val="230"/>
              <w:tabs>
                <w:tab w:val="center" w:pos="4201"/>
                <w:tab w:val="right" w:leader="dot" w:pos="9298"/>
              </w:tabs>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电流</w:t>
            </w:r>
          </w:p>
        </w:tc>
        <w:tc>
          <w:tcPr>
            <w:tcW w:w="1663" w:type="dxa"/>
          </w:tcPr>
          <w:p>
            <w:pPr>
              <w:pStyle w:val="230"/>
              <w:tabs>
                <w:tab w:val="center" w:pos="4201"/>
                <w:tab w:val="right" w:leader="dot" w:pos="9298"/>
              </w:tabs>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温度</w:t>
            </w:r>
          </w:p>
        </w:tc>
        <w:tc>
          <w:tcPr>
            <w:tcW w:w="1962" w:type="dxa"/>
          </w:tcPr>
          <w:p>
            <w:pPr>
              <w:pStyle w:val="230"/>
              <w:tabs>
                <w:tab w:val="center" w:pos="4201"/>
                <w:tab w:val="right" w:leader="dot" w:pos="9298"/>
              </w:tabs>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瞬时值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940" w:type="dxa"/>
          </w:tcPr>
          <w:p>
            <w:pPr>
              <w:pStyle w:val="243"/>
              <w:spacing w:line="300" w:lineRule="auto"/>
              <w:ind w:firstLine="0" w:firstLineChars="0"/>
              <w:jc w:val="center"/>
              <w:rPr>
                <w:color w:val="auto"/>
                <w:sz w:val="18"/>
                <w:szCs w:val="18"/>
                <w:highlight w:val="none"/>
              </w:rPr>
            </w:pPr>
            <w:r>
              <w:rPr>
                <w:color w:val="auto"/>
                <w:sz w:val="18"/>
                <w:szCs w:val="18"/>
                <w:highlight w:val="none"/>
              </w:rPr>
              <w:t>1字节</w:t>
            </w:r>
          </w:p>
        </w:tc>
        <w:tc>
          <w:tcPr>
            <w:tcW w:w="2165" w:type="dxa"/>
          </w:tcPr>
          <w:p>
            <w:pPr>
              <w:pStyle w:val="243"/>
              <w:spacing w:line="300" w:lineRule="auto"/>
              <w:ind w:firstLine="0" w:firstLineChars="0"/>
              <w:jc w:val="center"/>
              <w:rPr>
                <w:color w:val="auto"/>
                <w:sz w:val="18"/>
                <w:szCs w:val="18"/>
                <w:highlight w:val="none"/>
              </w:rPr>
            </w:pPr>
            <w:r>
              <w:rPr>
                <w:color w:val="auto"/>
                <w:sz w:val="18"/>
                <w:szCs w:val="18"/>
                <w:highlight w:val="none"/>
              </w:rPr>
              <w:t>4字节</w:t>
            </w:r>
          </w:p>
        </w:tc>
        <w:tc>
          <w:tcPr>
            <w:tcW w:w="1663" w:type="dxa"/>
          </w:tcPr>
          <w:p>
            <w:pPr>
              <w:pStyle w:val="243"/>
              <w:spacing w:line="300" w:lineRule="auto"/>
              <w:ind w:firstLine="0" w:firstLineChars="0"/>
              <w:jc w:val="center"/>
              <w:rPr>
                <w:color w:val="auto"/>
                <w:sz w:val="18"/>
                <w:szCs w:val="18"/>
                <w:highlight w:val="none"/>
              </w:rPr>
            </w:pPr>
            <w:r>
              <w:rPr>
                <w:color w:val="auto"/>
                <w:sz w:val="18"/>
                <w:szCs w:val="18"/>
                <w:highlight w:val="none"/>
              </w:rPr>
              <w:t>4字节</w:t>
            </w:r>
          </w:p>
        </w:tc>
        <w:tc>
          <w:tcPr>
            <w:tcW w:w="1962" w:type="dxa"/>
          </w:tcPr>
          <w:p>
            <w:pPr>
              <w:pStyle w:val="243"/>
              <w:spacing w:line="300" w:lineRule="auto"/>
              <w:ind w:firstLine="0" w:firstLineChars="0"/>
              <w:jc w:val="center"/>
              <w:rPr>
                <w:color w:val="auto"/>
                <w:sz w:val="18"/>
                <w:szCs w:val="18"/>
                <w:highlight w:val="none"/>
              </w:rPr>
            </w:pPr>
            <w:r>
              <w:rPr>
                <w:color w:val="auto"/>
                <w:sz w:val="18"/>
                <w:szCs w:val="18"/>
                <w:highlight w:val="none"/>
              </w:rPr>
              <w:t>80字节</w:t>
            </w:r>
          </w:p>
        </w:tc>
      </w:tr>
    </w:tbl>
    <w:p>
      <w:pPr>
        <w:numPr>
          <w:ilvl w:val="1"/>
          <w:numId w:val="39"/>
        </w:numPr>
        <w:rPr>
          <w:rFonts w:ascii="Times New Roman" w:hAnsi="Times New Roman"/>
          <w:color w:val="auto"/>
          <w:highlight w:val="none"/>
        </w:rPr>
      </w:pPr>
      <w:r>
        <w:rPr>
          <w:rFonts w:ascii="Times New Roman" w:hAnsi="Times New Roman"/>
          <w:color w:val="auto"/>
          <w:highlight w:val="none"/>
        </w:rPr>
        <w:t>远程重启传感器：接入节点请求报文格式见表2</w:t>
      </w:r>
      <w:r>
        <w:rPr>
          <w:rFonts w:hint="eastAsia" w:ascii="Times New Roman" w:hAnsi="Times New Roman"/>
          <w:color w:val="auto"/>
          <w:highlight w:val="none"/>
          <w:lang w:val="en-US" w:eastAsia="zh-CN"/>
        </w:rPr>
        <w:t>2</w:t>
      </w:r>
      <w:r>
        <w:rPr>
          <w:rFonts w:ascii="Times New Roman" w:hAnsi="Times New Roman"/>
          <w:color w:val="auto"/>
          <w:highlight w:val="none"/>
        </w:rPr>
        <w:t>。</w:t>
      </w:r>
    </w:p>
    <w:p>
      <w:pPr>
        <w:pStyle w:val="112"/>
        <w:spacing w:before="156" w:after="156"/>
        <w:rPr>
          <w:color w:val="auto"/>
          <w:highlight w:val="none"/>
        </w:rPr>
      </w:pPr>
      <w:r>
        <w:rPr>
          <w:color w:val="auto"/>
          <w:highlight w:val="none"/>
        </w:rPr>
        <w:t>远程重启传感器接入节点请求</w:t>
      </w:r>
    </w:p>
    <w:tbl>
      <w:tblPr>
        <w:tblStyle w:val="26"/>
        <w:tblW w:w="774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102"/>
        <w:gridCol w:w="364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8" w:hRule="atLeast"/>
          <w:jc w:val="center"/>
        </w:trPr>
        <w:tc>
          <w:tcPr>
            <w:tcW w:w="4102"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指令类型</w:t>
            </w:r>
          </w:p>
        </w:tc>
        <w:tc>
          <w:tcPr>
            <w:tcW w:w="3643"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指令内容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4102"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1字节</w:t>
            </w:r>
          </w:p>
        </w:tc>
        <w:tc>
          <w:tcPr>
            <w:tcW w:w="3643" w:type="dxa"/>
            <w:tcBorders>
              <w:top w:val="single" w:color="auto" w:sz="4" w:space="0"/>
              <w:left w:val="single" w:color="auto" w:sz="4" w:space="0"/>
              <w:bottom w:val="single" w:color="auto" w:sz="4" w:space="0"/>
              <w:right w:val="single" w:color="auto" w:sz="4" w:space="0"/>
            </w:tcBorders>
            <w:vAlign w:val="center"/>
          </w:tcPr>
          <w:p>
            <w:pPr>
              <w:pStyle w:val="230"/>
              <w:tabs>
                <w:tab w:val="center" w:pos="4201"/>
                <w:tab w:val="right" w:leader="dot" w:pos="9298"/>
              </w:tabs>
              <w:autoSpaceDE/>
              <w:autoSpaceDN/>
              <w:spacing w:line="300" w:lineRule="auto"/>
              <w:ind w:firstLine="0" w:firstLineChars="0"/>
              <w:jc w:val="center"/>
              <w:rPr>
                <w:rFonts w:ascii="Times New Roman" w:hAnsi="Times New Roman"/>
                <w:color w:val="auto"/>
                <w:sz w:val="18"/>
                <w:szCs w:val="18"/>
                <w:highlight w:val="none"/>
              </w:rPr>
            </w:pPr>
            <w:r>
              <w:rPr>
                <w:rFonts w:ascii="Times New Roman" w:hAnsi="Times New Roman"/>
                <w:color w:val="auto"/>
                <w:sz w:val="18"/>
                <w:szCs w:val="18"/>
                <w:highlight w:val="none"/>
              </w:rPr>
              <w:t>0 字节</w:t>
            </w:r>
          </w:p>
        </w:tc>
      </w:tr>
    </w:tbl>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highlight w:val="none"/>
        </w:rPr>
      </w:pPr>
      <w:bookmarkStart w:id="248" w:name="_Toc20794"/>
      <w:bookmarkStart w:id="249" w:name="_Toc19798"/>
      <w:bookmarkStart w:id="250" w:name="_Toc15152"/>
      <w:bookmarkStart w:id="251" w:name="_Toc2390"/>
      <w:bookmarkStart w:id="252" w:name="_Toc30392"/>
      <w:r>
        <w:rPr>
          <w:color w:val="auto"/>
          <w:highlight w:val="none"/>
        </w:rPr>
        <w:t>环境适应性</w:t>
      </w:r>
      <w:bookmarkEnd w:id="248"/>
      <w:bookmarkEnd w:id="249"/>
      <w:bookmarkEnd w:id="250"/>
      <w:bookmarkEnd w:id="251"/>
      <w:bookmarkEnd w:id="252"/>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微型智能电流传感器应进行高温试验、低温试验、高温高湿试验，试验后比值差和相位差应满足相应准确级的要求且试验后微型智能电流传感器的误差与试验前微型智能电流传感器的误差的差值，应不超过其准确级相应误差限值的一半。</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highlight w:val="none"/>
        </w:rPr>
      </w:pPr>
      <w:bookmarkStart w:id="253" w:name="_Toc224443034"/>
      <w:bookmarkEnd w:id="253"/>
      <w:bookmarkStart w:id="254" w:name="_Toc225940290"/>
      <w:bookmarkEnd w:id="254"/>
      <w:bookmarkStart w:id="255" w:name="_Toc225940364"/>
      <w:bookmarkEnd w:id="255"/>
      <w:bookmarkStart w:id="256" w:name="_Toc225940569"/>
      <w:bookmarkEnd w:id="256"/>
      <w:bookmarkStart w:id="257" w:name="_Toc225940189"/>
      <w:bookmarkEnd w:id="257"/>
      <w:bookmarkStart w:id="258" w:name="_Toc225940339"/>
      <w:bookmarkEnd w:id="258"/>
      <w:bookmarkStart w:id="259" w:name="_Toc14020"/>
      <w:bookmarkStart w:id="260" w:name="_Toc647"/>
      <w:bookmarkStart w:id="261" w:name="_Toc26616"/>
      <w:bookmarkStart w:id="262" w:name="_Toc31943"/>
      <w:bookmarkStart w:id="263" w:name="_Toc15740"/>
      <w:r>
        <w:rPr>
          <w:color w:val="auto"/>
          <w:highlight w:val="none"/>
        </w:rPr>
        <w:t>机械性能要求</w:t>
      </w:r>
      <w:bookmarkEnd w:id="259"/>
      <w:bookmarkEnd w:id="260"/>
      <w:bookmarkEnd w:id="261"/>
      <w:bookmarkEnd w:id="262"/>
      <w:bookmarkEnd w:id="263"/>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微型智能电流传感器在承受符合其应用条件的振动水平时，传感器的输出应当正常。在机械性能试验前、后测量额定电流的准确度满足相应的准确度要求。试验后微型智能电流传感器的误差与试验前微型智能电流传感器的误差的差值，应不超过其准确级相应误差限值的一半。</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highlight w:val="none"/>
        </w:rPr>
      </w:pPr>
      <w:bookmarkStart w:id="264" w:name="_Toc32060"/>
      <w:bookmarkStart w:id="265" w:name="_Toc26280"/>
      <w:bookmarkStart w:id="266" w:name="_Toc5178"/>
      <w:bookmarkStart w:id="267" w:name="_Toc24029"/>
      <w:bookmarkStart w:id="268" w:name="_Toc3725"/>
      <w:r>
        <w:rPr>
          <w:color w:val="auto"/>
          <w:highlight w:val="none"/>
        </w:rPr>
        <w:t>防护要求</w:t>
      </w:r>
      <w:bookmarkEnd w:id="264"/>
      <w:bookmarkEnd w:id="265"/>
      <w:bookmarkEnd w:id="266"/>
      <w:bookmarkEnd w:id="267"/>
      <w:bookmarkEnd w:id="268"/>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微型智能电流传感器的防护性能应符合GB 4208中定义的IP40级要求，试验后比值差和相位差应满足相应准确级的要求，且试验后微型智能电流传感器的误差与试验前微型智能电流传感器的误差的差值，应不超过其准确级相应误差限值的一半。</w:t>
      </w:r>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微型智能电流传感器应具备中性盐雾防护能力。</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color w:val="auto"/>
          <w:highlight w:val="none"/>
        </w:rPr>
      </w:pPr>
      <w:bookmarkStart w:id="269" w:name="_Toc25070"/>
      <w:r>
        <w:rPr>
          <w:rFonts w:hint="eastAsia"/>
          <w:color w:val="auto"/>
          <w:highlight w:val="none"/>
        </w:rPr>
        <w:t>安装方式</w:t>
      </w:r>
      <w:bookmarkEnd w:id="269"/>
    </w:p>
    <w:p>
      <w:pPr>
        <w:ind w:firstLine="420" w:firstLineChars="200"/>
        <w:rPr>
          <w:rFonts w:hint="eastAsia" w:ascii="Times New Roman" w:hAnsi="Times New Roman"/>
          <w:color w:val="auto"/>
          <w:szCs w:val="32"/>
          <w:highlight w:val="none"/>
        </w:rPr>
      </w:pPr>
      <w:r>
        <w:rPr>
          <w:rFonts w:hint="eastAsia" w:ascii="Times New Roman" w:hAnsi="Times New Roman"/>
          <w:color w:val="auto"/>
          <w:szCs w:val="32"/>
          <w:highlight w:val="none"/>
        </w:rPr>
        <w:t>应支持卡扣、卡箍式等安装方式的一种。</w:t>
      </w:r>
    </w:p>
    <w:p>
      <w:pPr>
        <w:pStyle w:val="104"/>
        <w:spacing w:before="312" w:after="312"/>
        <w:rPr>
          <w:rFonts w:ascii="Times New Roman"/>
          <w:color w:val="auto"/>
          <w:highlight w:val="none"/>
        </w:rPr>
      </w:pPr>
      <w:bookmarkStart w:id="270" w:name="_Toc22159"/>
      <w:bookmarkStart w:id="271" w:name="_Toc30281"/>
      <w:bookmarkStart w:id="272" w:name="_Toc23541"/>
      <w:bookmarkStart w:id="273" w:name="_Toc3345"/>
      <w:bookmarkStart w:id="274" w:name="_Toc12281"/>
      <w:r>
        <w:rPr>
          <w:rFonts w:ascii="Times New Roman"/>
          <w:color w:val="auto"/>
          <w:highlight w:val="none"/>
        </w:rPr>
        <w:t>智能化</w:t>
      </w:r>
      <w:bookmarkEnd w:id="270"/>
      <w:bookmarkEnd w:id="271"/>
      <w:bookmarkEnd w:id="272"/>
      <w:bookmarkEnd w:id="273"/>
      <w:bookmarkEnd w:id="274"/>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275" w:name="_Toc2386"/>
      <w:bookmarkStart w:id="276" w:name="_Toc4033"/>
      <w:bookmarkStart w:id="277" w:name="_Toc7663"/>
      <w:bookmarkStart w:id="278" w:name="_Toc17503"/>
      <w:bookmarkStart w:id="279" w:name="_Toc22912"/>
      <w:r>
        <w:rPr>
          <w:rFonts w:hint="eastAsia"/>
          <w:color w:val="auto"/>
          <w:highlight w:val="none"/>
        </w:rPr>
        <w:t>自诊断</w:t>
      </w:r>
      <w:bookmarkEnd w:id="275"/>
      <w:bookmarkEnd w:id="276"/>
      <w:bookmarkEnd w:id="277"/>
      <w:bookmarkEnd w:id="278"/>
      <w:bookmarkEnd w:id="279"/>
    </w:p>
    <w:p>
      <w:pPr>
        <w:pStyle w:val="230"/>
        <w:ind w:firstLine="420"/>
        <w:rPr>
          <w:rFonts w:ascii="Times New Roman" w:hAnsi="Times New Roman"/>
          <w:color w:val="auto"/>
          <w:highlight w:val="none"/>
        </w:rPr>
      </w:pPr>
      <w:r>
        <w:rPr>
          <w:rFonts w:ascii="Times New Roman" w:hAnsi="Times New Roman"/>
          <w:color w:val="auto"/>
          <w:highlight w:val="none"/>
        </w:rPr>
        <w:t>微型智能电流传感器</w:t>
      </w:r>
      <w:r>
        <w:rPr>
          <w:rFonts w:hint="eastAsia" w:ascii="Times New Roman" w:hAnsi="Times New Roman" w:eastAsia="宋体"/>
          <w:color w:val="auto"/>
          <w:highlight w:val="none"/>
        </w:rPr>
        <w:t>应</w:t>
      </w:r>
      <w:r>
        <w:rPr>
          <w:rFonts w:ascii="Times New Roman" w:hAnsi="Times New Roman"/>
          <w:color w:val="auto"/>
          <w:highlight w:val="none"/>
        </w:rPr>
        <w:t>在工作过程中进行自检，判断传感器各部分是否正常运行，并进行故障识别和故障定位。</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280" w:name="_Toc2841"/>
      <w:bookmarkStart w:id="281" w:name="_Toc10704"/>
      <w:bookmarkStart w:id="282" w:name="_Toc6568"/>
      <w:bookmarkStart w:id="283" w:name="_Toc4595"/>
      <w:bookmarkStart w:id="284" w:name="_Toc7524"/>
      <w:r>
        <w:rPr>
          <w:rFonts w:hint="eastAsia"/>
          <w:color w:val="auto"/>
          <w:highlight w:val="none"/>
        </w:rPr>
        <w:t>自补偿</w:t>
      </w:r>
      <w:bookmarkEnd w:id="280"/>
      <w:bookmarkEnd w:id="281"/>
      <w:bookmarkEnd w:id="282"/>
      <w:bookmarkEnd w:id="283"/>
      <w:bookmarkEnd w:id="284"/>
    </w:p>
    <w:p>
      <w:pPr>
        <w:pStyle w:val="230"/>
        <w:ind w:firstLine="420"/>
        <w:rPr>
          <w:rFonts w:ascii="Times New Roman" w:hAnsi="Times New Roman"/>
          <w:color w:val="auto"/>
          <w:highlight w:val="none"/>
        </w:rPr>
      </w:pPr>
      <w:r>
        <w:rPr>
          <w:rFonts w:ascii="Times New Roman" w:hAnsi="Times New Roman"/>
          <w:color w:val="auto"/>
          <w:highlight w:val="none"/>
        </w:rPr>
        <w:t>微型智能电流传感器</w:t>
      </w:r>
      <w:r>
        <w:rPr>
          <w:rFonts w:hint="eastAsia" w:ascii="Times New Roman" w:hAnsi="Times New Roman" w:eastAsia="宋体"/>
          <w:color w:val="auto"/>
          <w:highlight w:val="none"/>
        </w:rPr>
        <w:t>应</w:t>
      </w:r>
      <w:r>
        <w:rPr>
          <w:rFonts w:ascii="Times New Roman" w:hAnsi="Times New Roman"/>
          <w:color w:val="auto"/>
          <w:highlight w:val="none"/>
        </w:rPr>
        <w:t>自动通过硬件电路、软件算法或预设参数补偿环境变化或外部电磁干扰导致的测量误差。</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285" w:name="_Toc16237"/>
      <w:bookmarkStart w:id="286" w:name="_Toc32640"/>
      <w:bookmarkStart w:id="287" w:name="_Toc10317"/>
      <w:bookmarkStart w:id="288" w:name="_Toc8638"/>
      <w:bookmarkStart w:id="289" w:name="_Toc24065"/>
      <w:r>
        <w:rPr>
          <w:rFonts w:hint="eastAsia"/>
          <w:color w:val="auto"/>
          <w:highlight w:val="none"/>
        </w:rPr>
        <w:t>自适应</w:t>
      </w:r>
      <w:bookmarkEnd w:id="285"/>
      <w:bookmarkEnd w:id="286"/>
      <w:bookmarkEnd w:id="287"/>
      <w:bookmarkEnd w:id="288"/>
      <w:bookmarkEnd w:id="289"/>
    </w:p>
    <w:p>
      <w:pPr>
        <w:pStyle w:val="230"/>
        <w:ind w:firstLine="420"/>
        <w:rPr>
          <w:rFonts w:ascii="Times New Roman" w:hAnsi="Times New Roman"/>
          <w:color w:val="auto"/>
          <w:highlight w:val="none"/>
        </w:rPr>
      </w:pPr>
      <w:r>
        <w:rPr>
          <w:rFonts w:ascii="Times New Roman" w:hAnsi="Times New Roman"/>
          <w:color w:val="auto"/>
          <w:highlight w:val="none"/>
        </w:rPr>
        <w:t>微型智能电流传感器在工作过程中</w:t>
      </w:r>
      <w:r>
        <w:rPr>
          <w:rFonts w:hint="eastAsia" w:ascii="Times New Roman" w:hAnsi="Times New Roman" w:eastAsia="宋体"/>
          <w:color w:val="auto"/>
          <w:highlight w:val="none"/>
        </w:rPr>
        <w:t>应</w:t>
      </w:r>
      <w:r>
        <w:rPr>
          <w:rFonts w:ascii="Times New Roman" w:hAnsi="Times New Roman"/>
          <w:color w:val="auto"/>
          <w:highlight w:val="none"/>
        </w:rPr>
        <w:t>通过自身调节主动适应外部温度环境变化、待测电流变化，以及自身状态变化，保证其基本功能。</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290" w:name="_Toc22441"/>
      <w:bookmarkStart w:id="291" w:name="_Toc1571"/>
      <w:bookmarkStart w:id="292" w:name="_Toc20688"/>
      <w:bookmarkStart w:id="293" w:name="_Toc26797"/>
      <w:bookmarkStart w:id="294" w:name="_Toc20032"/>
      <w:r>
        <w:rPr>
          <w:rFonts w:hint="eastAsia"/>
          <w:color w:val="auto"/>
          <w:highlight w:val="none"/>
        </w:rPr>
        <w:t>信息存储和记忆</w:t>
      </w:r>
      <w:bookmarkEnd w:id="290"/>
      <w:bookmarkEnd w:id="291"/>
      <w:bookmarkEnd w:id="292"/>
      <w:bookmarkEnd w:id="293"/>
      <w:bookmarkEnd w:id="294"/>
    </w:p>
    <w:p>
      <w:pPr>
        <w:pStyle w:val="230"/>
        <w:ind w:firstLine="420"/>
        <w:rPr>
          <w:rFonts w:ascii="Times New Roman" w:hAnsi="Times New Roman"/>
          <w:color w:val="auto"/>
          <w:highlight w:val="none"/>
        </w:rPr>
      </w:pPr>
      <w:r>
        <w:rPr>
          <w:rFonts w:ascii="Times New Roman" w:hAnsi="Times New Roman"/>
          <w:color w:val="auto"/>
          <w:highlight w:val="none"/>
        </w:rPr>
        <w:t>微型智能电流传感器</w:t>
      </w:r>
      <w:r>
        <w:rPr>
          <w:rFonts w:hint="eastAsia" w:ascii="Times New Roman" w:hAnsi="Times New Roman" w:eastAsia="宋体"/>
          <w:color w:val="auto"/>
          <w:highlight w:val="none"/>
        </w:rPr>
        <w:t>应</w:t>
      </w:r>
      <w:r>
        <w:rPr>
          <w:rFonts w:ascii="Times New Roman" w:hAnsi="Times New Roman"/>
          <w:color w:val="auto"/>
          <w:highlight w:val="none"/>
        </w:rPr>
        <w:t>存储传感器的特征数据和组态信息，如历史信息、校正数据、测量参数、状态参数等，在掉电重连后能够自动恢复到原来的工作状态，也能根据应用需要随时调整其工作状态。</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295" w:name="_Toc13626"/>
      <w:bookmarkStart w:id="296" w:name="_Toc5009"/>
      <w:bookmarkStart w:id="297" w:name="_Toc6688"/>
      <w:bookmarkStart w:id="298" w:name="_Toc17563"/>
      <w:bookmarkStart w:id="299" w:name="_Toc8819"/>
      <w:r>
        <w:rPr>
          <w:rFonts w:hint="eastAsia"/>
          <w:color w:val="auto"/>
          <w:highlight w:val="none"/>
        </w:rPr>
        <w:t>掉电保护</w:t>
      </w:r>
      <w:bookmarkEnd w:id="295"/>
      <w:bookmarkEnd w:id="296"/>
      <w:bookmarkEnd w:id="297"/>
      <w:bookmarkEnd w:id="298"/>
      <w:bookmarkEnd w:id="299"/>
    </w:p>
    <w:p>
      <w:pPr>
        <w:pStyle w:val="230"/>
        <w:ind w:firstLine="420"/>
        <w:rPr>
          <w:rFonts w:ascii="Times New Roman" w:hAnsi="Times New Roman"/>
          <w:color w:val="auto"/>
          <w:highlight w:val="none"/>
        </w:rPr>
      </w:pPr>
      <w:r>
        <w:rPr>
          <w:rFonts w:ascii="Times New Roman" w:hAnsi="Times New Roman"/>
          <w:color w:val="auto"/>
          <w:highlight w:val="none"/>
        </w:rPr>
        <w:t>微型智能电流传感器掉电时，应保持数据不丢失，方便数据恢复。</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300" w:name="_Toc6119"/>
      <w:bookmarkStart w:id="301" w:name="_Toc7669"/>
      <w:bookmarkStart w:id="302" w:name="_Toc29975"/>
      <w:bookmarkStart w:id="303" w:name="_Toc9101"/>
      <w:bookmarkStart w:id="304" w:name="_Toc17784"/>
      <w:r>
        <w:rPr>
          <w:rFonts w:hint="eastAsia"/>
          <w:color w:val="auto"/>
          <w:highlight w:val="none"/>
        </w:rPr>
        <w:t>停电上报</w:t>
      </w:r>
      <w:bookmarkEnd w:id="300"/>
      <w:bookmarkEnd w:id="301"/>
      <w:bookmarkEnd w:id="302"/>
      <w:bookmarkEnd w:id="303"/>
      <w:bookmarkEnd w:id="304"/>
    </w:p>
    <w:p>
      <w:pPr>
        <w:pStyle w:val="230"/>
        <w:ind w:firstLine="420"/>
        <w:rPr>
          <w:rFonts w:ascii="Times New Roman" w:hAnsi="Times New Roman"/>
          <w:color w:val="auto"/>
          <w:highlight w:val="none"/>
        </w:rPr>
      </w:pPr>
      <w:r>
        <w:rPr>
          <w:rFonts w:ascii="Times New Roman" w:hAnsi="Times New Roman"/>
          <w:color w:val="auto"/>
          <w:highlight w:val="none"/>
        </w:rPr>
        <w:t>微型智能电流传感器在被测量回路失电时，传感器应及时检测到失电状态，并上报停电状态。</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305" w:name="_Toc29493"/>
      <w:bookmarkStart w:id="306" w:name="_Toc25262"/>
      <w:bookmarkStart w:id="307" w:name="_Toc308"/>
      <w:bookmarkStart w:id="308" w:name="_Toc24503"/>
      <w:bookmarkStart w:id="309" w:name="_Toc4671"/>
      <w:r>
        <w:rPr>
          <w:rFonts w:hint="eastAsia"/>
          <w:color w:val="auto"/>
          <w:highlight w:val="none"/>
        </w:rPr>
        <w:t>在线升级</w:t>
      </w:r>
      <w:bookmarkEnd w:id="305"/>
      <w:bookmarkEnd w:id="306"/>
      <w:bookmarkEnd w:id="307"/>
      <w:bookmarkEnd w:id="308"/>
      <w:bookmarkEnd w:id="309"/>
    </w:p>
    <w:p>
      <w:pPr>
        <w:pStyle w:val="230"/>
        <w:ind w:firstLine="420"/>
        <w:rPr>
          <w:rFonts w:ascii="Times New Roman" w:hAnsi="Times New Roman"/>
          <w:color w:val="auto"/>
          <w:highlight w:val="none"/>
        </w:rPr>
      </w:pPr>
      <w:r>
        <w:rPr>
          <w:rFonts w:ascii="Times New Roman" w:hAnsi="Times New Roman"/>
          <w:color w:val="auto"/>
          <w:highlight w:val="none"/>
        </w:rPr>
        <w:t>微型智能电流传感器宜支持在线升级。</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310" w:name="_Toc14077"/>
      <w:bookmarkStart w:id="311" w:name="_Toc13572"/>
      <w:bookmarkStart w:id="312" w:name="_Toc199"/>
      <w:bookmarkStart w:id="313" w:name="_Toc19624"/>
      <w:bookmarkStart w:id="314" w:name="_Toc3156"/>
      <w:r>
        <w:rPr>
          <w:rFonts w:hint="eastAsia"/>
          <w:color w:val="auto"/>
          <w:highlight w:val="none"/>
        </w:rPr>
        <w:t>远程配置</w:t>
      </w:r>
      <w:bookmarkEnd w:id="310"/>
      <w:bookmarkEnd w:id="311"/>
      <w:bookmarkEnd w:id="312"/>
      <w:bookmarkEnd w:id="313"/>
      <w:bookmarkEnd w:id="314"/>
    </w:p>
    <w:p>
      <w:pPr>
        <w:pStyle w:val="230"/>
        <w:ind w:firstLine="420"/>
        <w:rPr>
          <w:rFonts w:ascii="Times New Roman" w:hAnsi="Times New Roman"/>
          <w:color w:val="auto"/>
          <w:highlight w:val="none"/>
        </w:rPr>
      </w:pPr>
      <w:r>
        <w:rPr>
          <w:rFonts w:ascii="Times New Roman" w:hAnsi="Times New Roman"/>
          <w:color w:val="auto"/>
          <w:highlight w:val="none"/>
        </w:rPr>
        <w:t>微型智能电流传感器宜支持远程配置。</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315" w:name="_Toc25983"/>
      <w:bookmarkStart w:id="316" w:name="_Toc23607"/>
      <w:bookmarkStart w:id="317" w:name="_Toc2939"/>
      <w:bookmarkStart w:id="318" w:name="_Toc14321"/>
      <w:bookmarkStart w:id="319" w:name="_Toc14090"/>
      <w:r>
        <w:rPr>
          <w:rFonts w:hint="eastAsia"/>
          <w:color w:val="auto"/>
          <w:highlight w:val="none"/>
        </w:rPr>
        <w:t>对时功能</w:t>
      </w:r>
      <w:bookmarkEnd w:id="315"/>
      <w:bookmarkEnd w:id="316"/>
      <w:bookmarkEnd w:id="317"/>
      <w:bookmarkEnd w:id="318"/>
      <w:bookmarkEnd w:id="319"/>
    </w:p>
    <w:p>
      <w:pPr>
        <w:pStyle w:val="230"/>
        <w:ind w:firstLine="420"/>
        <w:rPr>
          <w:rFonts w:ascii="Times New Roman" w:hAnsi="Times New Roman"/>
          <w:color w:val="auto"/>
          <w:highlight w:val="none"/>
        </w:rPr>
      </w:pPr>
      <w:r>
        <w:rPr>
          <w:rFonts w:ascii="Times New Roman" w:hAnsi="Times New Roman"/>
          <w:color w:val="auto"/>
          <w:highlight w:val="none"/>
        </w:rPr>
        <w:t>微型智能电流传感器宜支持对时功能，可接收授时设备的时间信息对内部时钟进行校时，对时误差小于等于10</w:t>
      </w:r>
      <w:r>
        <w:rPr>
          <w:rFonts w:hint="eastAsia" w:ascii="Times New Roman" w:hAnsi="Times New Roman" w:eastAsia="宋体"/>
          <w:color w:val="auto"/>
          <w:highlight w:val="none"/>
        </w:rPr>
        <w:t xml:space="preserve"> </w:t>
      </w:r>
      <w:r>
        <w:rPr>
          <w:rFonts w:ascii="Times New Roman" w:hAnsi="Times New Roman"/>
          <w:color w:val="auto"/>
          <w:highlight w:val="none"/>
        </w:rPr>
        <w:t>μs。</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320" w:name="_Toc2993"/>
      <w:bookmarkStart w:id="321" w:name="_Toc28429"/>
      <w:bookmarkStart w:id="322" w:name="_Toc24432"/>
      <w:bookmarkStart w:id="323" w:name="_Toc14929"/>
      <w:bookmarkStart w:id="324" w:name="_Toc32119"/>
      <w:r>
        <w:rPr>
          <w:rFonts w:hint="eastAsia"/>
          <w:color w:val="auto"/>
          <w:highlight w:val="none"/>
        </w:rPr>
        <w:t>故障录波</w:t>
      </w:r>
      <w:bookmarkEnd w:id="320"/>
      <w:bookmarkEnd w:id="321"/>
      <w:bookmarkEnd w:id="322"/>
      <w:bookmarkEnd w:id="323"/>
      <w:bookmarkEnd w:id="324"/>
    </w:p>
    <w:p>
      <w:pPr>
        <w:pStyle w:val="230"/>
        <w:ind w:firstLine="420"/>
        <w:rPr>
          <w:rFonts w:hAnsi="宋体" w:eastAsia="宋体" w:cs="宋体"/>
          <w:color w:val="auto"/>
          <w:highlight w:val="none"/>
        </w:rPr>
      </w:pPr>
      <w:r>
        <w:rPr>
          <w:rFonts w:hint="eastAsia" w:hAnsi="宋体" w:eastAsia="宋体" w:cs="宋体"/>
          <w:color w:val="auto"/>
          <w:highlight w:val="none"/>
        </w:rPr>
        <w:t>微型智能电流传感器宜具备故障录波功能，记录方式根据设置的触发前、后记录周波数记录事件全过程（包括触发前、事件期间、事件后），对于持续时间较长（大于总记录周波数的时间长度）的事件，宜在事件开始和结束时刻进行波形记录，在事件期间进行有效值记录。</w:t>
      </w:r>
    </w:p>
    <w:p>
      <w:pPr>
        <w:pStyle w:val="230"/>
        <w:ind w:firstLine="420"/>
        <w:rPr>
          <w:rFonts w:hAnsi="宋体" w:eastAsia="宋体" w:cs="宋体"/>
          <w:color w:val="auto"/>
          <w:highlight w:val="none"/>
        </w:rPr>
      </w:pPr>
      <w:r>
        <w:rPr>
          <w:rFonts w:hint="eastAsia" w:hAnsi="宋体" w:eastAsia="宋体" w:cs="宋体"/>
          <w:color w:val="auto"/>
          <w:highlight w:val="none"/>
        </w:rPr>
        <w:t>故障录波数据以</w:t>
      </w:r>
      <w:r>
        <w:rPr>
          <w:rFonts w:ascii="Times New Roman" w:hAnsi="Times New Roman"/>
          <w:color w:val="auto"/>
          <w:highlight w:val="none"/>
        </w:rPr>
        <w:t>GB/T 22386</w:t>
      </w:r>
      <w:r>
        <w:rPr>
          <w:rFonts w:hint="eastAsia" w:hAnsi="宋体" w:eastAsia="宋体" w:cs="宋体"/>
          <w:color w:val="auto"/>
          <w:highlight w:val="none"/>
        </w:rPr>
        <w:t>规定的</w:t>
      </w:r>
      <w:r>
        <w:rPr>
          <w:rFonts w:ascii="Times New Roman" w:hAnsi="Times New Roman"/>
          <w:color w:val="auto"/>
          <w:highlight w:val="none"/>
        </w:rPr>
        <w:t>COMTRADE</w:t>
      </w:r>
      <w:r>
        <w:rPr>
          <w:rFonts w:hint="eastAsia" w:hAnsi="宋体" w:eastAsia="宋体" w:cs="宋体"/>
          <w:color w:val="auto"/>
          <w:highlight w:val="none"/>
        </w:rPr>
        <w:t>文件形式存储。</w:t>
      </w:r>
    </w:p>
    <w:p>
      <w:pPr>
        <w:pStyle w:val="104"/>
        <w:spacing w:before="312" w:after="312"/>
        <w:rPr>
          <w:rFonts w:ascii="Times New Roman"/>
          <w:color w:val="auto"/>
          <w:highlight w:val="none"/>
        </w:rPr>
      </w:pPr>
      <w:bookmarkStart w:id="325" w:name="_Toc12456"/>
      <w:bookmarkStart w:id="326" w:name="_Toc11464"/>
      <w:bookmarkStart w:id="327" w:name="_Toc27632"/>
      <w:bookmarkStart w:id="328" w:name="_Toc10340"/>
      <w:bookmarkStart w:id="329" w:name="_Toc25139"/>
      <w:r>
        <w:rPr>
          <w:rFonts w:ascii="Times New Roman"/>
          <w:color w:val="auto"/>
          <w:highlight w:val="none"/>
        </w:rPr>
        <w:t>试验</w:t>
      </w:r>
      <w:bookmarkEnd w:id="325"/>
      <w:bookmarkEnd w:id="326"/>
      <w:bookmarkEnd w:id="327"/>
      <w:bookmarkEnd w:id="328"/>
      <w:r>
        <w:rPr>
          <w:rFonts w:hint="eastAsia" w:ascii="Times New Roman"/>
          <w:color w:val="auto"/>
          <w:highlight w:val="none"/>
          <w:lang w:eastAsia="zh-CN"/>
        </w:rPr>
        <w:t>方法</w:t>
      </w:r>
      <w:bookmarkEnd w:id="329"/>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330" w:name="_Toc29237"/>
      <w:bookmarkStart w:id="331" w:name="_Toc17303"/>
      <w:bookmarkStart w:id="332" w:name="_Toc29143"/>
      <w:bookmarkStart w:id="333" w:name="_Toc20297"/>
      <w:bookmarkStart w:id="334" w:name="_Toc10471"/>
      <w:r>
        <w:rPr>
          <w:rFonts w:hint="eastAsia"/>
          <w:color w:val="auto"/>
          <w:highlight w:val="none"/>
        </w:rPr>
        <w:t>试验环境条件</w:t>
      </w:r>
      <w:bookmarkEnd w:id="330"/>
      <w:bookmarkEnd w:id="331"/>
      <w:bookmarkEnd w:id="332"/>
      <w:bookmarkEnd w:id="333"/>
      <w:bookmarkEnd w:id="334"/>
    </w:p>
    <w:p>
      <w:pPr>
        <w:pStyle w:val="65"/>
        <w:spacing w:before="156" w:after="156"/>
        <w:rPr>
          <w:color w:val="auto"/>
          <w:highlight w:val="none"/>
        </w:rPr>
      </w:pPr>
      <w:bookmarkStart w:id="335" w:name="_Toc1137"/>
      <w:r>
        <w:rPr>
          <w:rStyle w:val="239"/>
          <w:rFonts w:ascii="Times New Roman"/>
          <w:color w:val="auto"/>
          <w:highlight w:val="none"/>
        </w:rPr>
        <w:t>环境温度</w:t>
      </w:r>
      <w:bookmarkEnd w:id="335"/>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+15</w:t>
      </w:r>
      <w:r>
        <w:rPr>
          <w:rFonts w:hint="eastAsia" w:ascii="Times New Roman" w:hAnsi="Times New Roman"/>
          <w:color w:val="auto"/>
          <w:szCs w:val="32"/>
          <w:highlight w:val="none"/>
        </w:rPr>
        <w:t xml:space="preserve"> </w:t>
      </w:r>
      <w:r>
        <w:rPr>
          <w:rFonts w:ascii="Times New Roman" w:hAnsi="Times New Roman"/>
          <w:color w:val="auto"/>
          <w:szCs w:val="32"/>
          <w:highlight w:val="none"/>
        </w:rPr>
        <w:t>℃ ~ +35</w:t>
      </w:r>
      <w:r>
        <w:rPr>
          <w:rFonts w:hint="eastAsia" w:ascii="Times New Roman" w:hAnsi="Times New Roman"/>
          <w:color w:val="auto"/>
          <w:szCs w:val="32"/>
          <w:highlight w:val="none"/>
        </w:rPr>
        <w:t xml:space="preserve"> </w:t>
      </w:r>
      <w:r>
        <w:rPr>
          <w:rFonts w:ascii="Times New Roman" w:hAnsi="Times New Roman"/>
          <w:color w:val="auto"/>
          <w:szCs w:val="32"/>
          <w:highlight w:val="none"/>
        </w:rPr>
        <w:t>℃。</w:t>
      </w:r>
    </w:p>
    <w:p>
      <w:pPr>
        <w:pStyle w:val="65"/>
        <w:spacing w:before="156" w:after="156"/>
        <w:rPr>
          <w:color w:val="auto"/>
          <w:highlight w:val="none"/>
        </w:rPr>
      </w:pPr>
      <w:bookmarkStart w:id="336" w:name="_Toc6892"/>
      <w:r>
        <w:rPr>
          <w:rStyle w:val="239"/>
          <w:rFonts w:ascii="Times New Roman"/>
          <w:color w:val="auto"/>
          <w:highlight w:val="none"/>
        </w:rPr>
        <w:t>相对湿度</w:t>
      </w:r>
      <w:bookmarkEnd w:id="336"/>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45% ~ 75%。</w:t>
      </w:r>
    </w:p>
    <w:p>
      <w:pPr>
        <w:pStyle w:val="65"/>
        <w:spacing w:before="156" w:after="156"/>
        <w:rPr>
          <w:color w:val="auto"/>
          <w:highlight w:val="none"/>
        </w:rPr>
      </w:pPr>
      <w:bookmarkStart w:id="337" w:name="_Toc31116"/>
      <w:r>
        <w:rPr>
          <w:rStyle w:val="239"/>
          <w:rFonts w:ascii="Times New Roman"/>
          <w:color w:val="auto"/>
          <w:highlight w:val="none"/>
        </w:rPr>
        <w:t>大气压力</w:t>
      </w:r>
      <w:bookmarkEnd w:id="337"/>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86</w:t>
      </w:r>
      <w:r>
        <w:rPr>
          <w:rFonts w:hint="eastAsia" w:ascii="Times New Roman" w:hAnsi="Times New Roman"/>
          <w:color w:val="auto"/>
          <w:szCs w:val="32"/>
          <w:highlight w:val="none"/>
        </w:rPr>
        <w:t xml:space="preserve"> </w:t>
      </w:r>
      <w:r>
        <w:rPr>
          <w:rFonts w:ascii="Times New Roman" w:hAnsi="Times New Roman"/>
          <w:color w:val="auto"/>
          <w:szCs w:val="32"/>
          <w:highlight w:val="none"/>
        </w:rPr>
        <w:t>kPa ~ 106</w:t>
      </w:r>
      <w:r>
        <w:rPr>
          <w:rFonts w:hint="eastAsia" w:ascii="Times New Roman" w:hAnsi="Times New Roman"/>
          <w:color w:val="auto"/>
          <w:szCs w:val="32"/>
          <w:highlight w:val="none"/>
        </w:rPr>
        <w:t xml:space="preserve"> </w:t>
      </w:r>
      <w:r>
        <w:rPr>
          <w:rFonts w:ascii="Times New Roman" w:hAnsi="Times New Roman"/>
          <w:color w:val="auto"/>
          <w:szCs w:val="32"/>
          <w:highlight w:val="none"/>
        </w:rPr>
        <w:t>kPa。</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338" w:name="_Toc22898"/>
      <w:bookmarkStart w:id="339" w:name="_Toc454"/>
      <w:bookmarkStart w:id="340" w:name="_Toc16117"/>
      <w:bookmarkStart w:id="341" w:name="_Toc15073"/>
      <w:bookmarkStart w:id="342" w:name="_Toc24385"/>
      <w:r>
        <w:rPr>
          <w:rFonts w:hint="eastAsia"/>
          <w:color w:val="auto"/>
          <w:highlight w:val="none"/>
        </w:rPr>
        <w:t>测试</w:t>
      </w:r>
      <w:bookmarkEnd w:id="338"/>
      <w:bookmarkEnd w:id="339"/>
      <w:bookmarkEnd w:id="340"/>
      <w:bookmarkEnd w:id="341"/>
      <w:r>
        <w:rPr>
          <w:rFonts w:hint="eastAsia"/>
          <w:color w:val="auto"/>
          <w:highlight w:val="none"/>
        </w:rPr>
        <w:t>方法</w:t>
      </w:r>
      <w:bookmarkEnd w:id="342"/>
    </w:p>
    <w:p>
      <w:pPr>
        <w:pStyle w:val="65"/>
        <w:spacing w:before="156" w:after="156"/>
        <w:rPr>
          <w:color w:val="auto"/>
          <w:highlight w:val="none"/>
        </w:rPr>
      </w:pPr>
      <w:bookmarkStart w:id="343" w:name="_Toc20905"/>
      <w:r>
        <w:rPr>
          <w:rStyle w:val="239"/>
          <w:rFonts w:ascii="Times New Roman"/>
          <w:color w:val="auto"/>
          <w:highlight w:val="none"/>
        </w:rPr>
        <w:t>比对法</w:t>
      </w:r>
      <w:bookmarkEnd w:id="343"/>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采用图5所示方案进行测试，方法如下：</w:t>
      </w:r>
    </w:p>
    <w:p>
      <w:pPr>
        <w:numPr>
          <w:ilvl w:val="0"/>
          <w:numId w:val="40"/>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对交流或直流模拟信号源进行预设；</w:t>
      </w:r>
    </w:p>
    <w:p>
      <w:pPr>
        <w:numPr>
          <w:ilvl w:val="0"/>
          <w:numId w:val="40"/>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被检微型智能电流传感器采样模拟信号，并将最终的计算值上传测试分析系统；</w:t>
      </w:r>
    </w:p>
    <w:p>
      <w:pPr>
        <w:numPr>
          <w:ilvl w:val="0"/>
          <w:numId w:val="40"/>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信号源基准值测试仪测量模拟信号并计算基准值，其误差应小</w:t>
      </w:r>
      <w:r>
        <w:rPr>
          <w:rFonts w:hint="eastAsia" w:ascii="Times New Roman" w:hAnsi="Times New Roman"/>
          <w:color w:val="auto"/>
          <w:szCs w:val="32"/>
          <w:highlight w:val="none"/>
          <w:lang w:eastAsia="zh-CN"/>
        </w:rPr>
        <w:t>于被检传感器允许误差限值的</w:t>
      </w:r>
      <w:r>
        <w:rPr>
          <w:rFonts w:hint="eastAsia" w:ascii="Times New Roman" w:hAnsi="Times New Roman"/>
          <w:color w:val="auto"/>
          <w:szCs w:val="32"/>
          <w:highlight w:val="none"/>
          <w:lang w:val="en-US" w:eastAsia="zh-CN"/>
        </w:rPr>
        <w:t>1/3</w:t>
      </w:r>
      <w:bookmarkStart w:id="425" w:name="_GoBack"/>
      <w:bookmarkEnd w:id="425"/>
      <w:r>
        <w:rPr>
          <w:rFonts w:ascii="Times New Roman" w:hAnsi="Times New Roman"/>
          <w:color w:val="auto"/>
          <w:szCs w:val="32"/>
          <w:highlight w:val="none"/>
        </w:rPr>
        <w:t>；</w:t>
      </w:r>
    </w:p>
    <w:p>
      <w:pPr>
        <w:numPr>
          <w:ilvl w:val="0"/>
          <w:numId w:val="40"/>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测试分析系统计算微型智能电流传感器误差。</w:t>
      </w:r>
    </w:p>
    <w:p>
      <w:pPr>
        <w:pStyle w:val="230"/>
        <w:ind w:firstLine="0" w:firstLineChars="0"/>
        <w:jc w:val="center"/>
        <w:rPr>
          <w:rFonts w:ascii="Times New Roman" w:hAnsi="Times New Roman"/>
          <w:color w:val="auto"/>
          <w:highlight w:val="none"/>
        </w:rPr>
      </w:pPr>
      <w:r>
        <w:rPr>
          <w:rFonts w:ascii="Times New Roman" w:hAnsi="Times New Roman"/>
          <w:color w:val="auto"/>
          <w:highlight w:val="none"/>
        </w:rPr>
        <w:object>
          <v:shape id="_x0000_i1029" o:spt="75" type="#_x0000_t75" style="height:197pt;width:293pt;" o:ole="t" filled="f" o:preferrelative="t" stroked="f" coordsize="21600,21600">
            <v:path/>
            <v:fill on="f" focussize="0,0"/>
            <v:stroke on="f" joinstyle="miter"/>
            <v:imagedata r:id="rId24" o:title=""/>
            <o:lock v:ext="edit" aspectratio="t"/>
            <w10:wrap type="none"/>
            <w10:anchorlock/>
          </v:shape>
          <o:OLEObject Type="Embed" ProgID="Visio.Drawing.15" ShapeID="_x0000_i1029" DrawAspect="Content" ObjectID="_1468075729" r:id="rId23">
            <o:LockedField>false</o:LockedField>
          </o:OLEObject>
        </w:object>
      </w:r>
    </w:p>
    <w:p>
      <w:pPr>
        <w:pStyle w:val="114"/>
        <w:spacing w:before="156" w:after="156"/>
        <w:rPr>
          <w:color w:val="auto"/>
          <w:highlight w:val="none"/>
        </w:rPr>
      </w:pPr>
      <w:r>
        <w:rPr>
          <w:color w:val="auto"/>
          <w:highlight w:val="none"/>
        </w:rPr>
        <w:t>比对法测试系统</w:t>
      </w:r>
    </w:p>
    <w:p>
      <w:pPr>
        <w:pStyle w:val="65"/>
        <w:spacing w:before="156" w:after="156"/>
        <w:rPr>
          <w:color w:val="auto"/>
          <w:highlight w:val="none"/>
        </w:rPr>
      </w:pPr>
      <w:bookmarkStart w:id="344" w:name="_Toc7882"/>
      <w:r>
        <w:rPr>
          <w:rStyle w:val="239"/>
          <w:rFonts w:ascii="Times New Roman"/>
          <w:color w:val="auto"/>
          <w:highlight w:val="none"/>
        </w:rPr>
        <w:t>标准源法</w:t>
      </w:r>
      <w:bookmarkEnd w:id="344"/>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采用图6所示方案进行测试，方法如下：</w:t>
      </w:r>
    </w:p>
    <w:p>
      <w:pPr>
        <w:numPr>
          <w:ilvl w:val="0"/>
          <w:numId w:val="41"/>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对交流或直流标准信号源模拟信号进行预设；</w:t>
      </w:r>
    </w:p>
    <w:p>
      <w:pPr>
        <w:numPr>
          <w:ilvl w:val="0"/>
          <w:numId w:val="41"/>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被检微型智能电流传感器采样模拟信号，并将最终的计算值上传测试分析系统；</w:t>
      </w:r>
    </w:p>
    <w:p>
      <w:pPr>
        <w:numPr>
          <w:ilvl w:val="0"/>
          <w:numId w:val="41"/>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测试分析系统计算微型智能电流传感器误差。</w:t>
      </w:r>
    </w:p>
    <w:p>
      <w:pPr>
        <w:pStyle w:val="230"/>
        <w:ind w:firstLine="0" w:firstLineChars="0"/>
        <w:jc w:val="center"/>
        <w:rPr>
          <w:rFonts w:ascii="Times New Roman" w:hAnsi="Times New Roman"/>
          <w:color w:val="auto"/>
          <w:highlight w:val="none"/>
        </w:rPr>
      </w:pPr>
      <w:r>
        <w:rPr>
          <w:rFonts w:ascii="Times New Roman" w:hAnsi="Times New Roman"/>
          <w:color w:val="auto"/>
          <w:highlight w:val="none"/>
        </w:rPr>
        <w:object>
          <v:shape id="_x0000_i1030" o:spt="75" type="#_x0000_t75" style="height:179.15pt;width:262.35pt;" o:ole="t" filled="f" o:preferrelative="t" stroked="f" coordsize="21600,21600">
            <v:path/>
            <v:fill on="f" focussize="0,0"/>
            <v:stroke on="f" joinstyle="miter"/>
            <v:imagedata r:id="rId26" o:title=""/>
            <o:lock v:ext="edit" aspectratio="t"/>
            <w10:wrap type="none"/>
            <w10:anchorlock/>
          </v:shape>
          <o:OLEObject Type="Embed" ProgID="Visio.Drawing.15" ShapeID="_x0000_i1030" DrawAspect="Content" ObjectID="_1468075730" r:id="rId25">
            <o:LockedField>false</o:LockedField>
          </o:OLEObject>
        </w:object>
      </w:r>
    </w:p>
    <w:p>
      <w:pPr>
        <w:pStyle w:val="114"/>
        <w:spacing w:before="156" w:after="156"/>
        <w:rPr>
          <w:color w:val="auto"/>
          <w:highlight w:val="none"/>
        </w:rPr>
      </w:pPr>
      <w:r>
        <w:rPr>
          <w:color w:val="auto"/>
          <w:highlight w:val="none"/>
        </w:rPr>
        <w:t>标准源法测试系统</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345" w:name="_Toc15450"/>
      <w:bookmarkStart w:id="346" w:name="_Toc29661"/>
      <w:bookmarkStart w:id="347" w:name="_Toc3148"/>
      <w:bookmarkStart w:id="348" w:name="_Toc5475"/>
      <w:bookmarkStart w:id="349" w:name="_Toc8512"/>
      <w:r>
        <w:rPr>
          <w:rFonts w:hint="eastAsia"/>
          <w:color w:val="auto"/>
          <w:highlight w:val="none"/>
        </w:rPr>
        <w:t>外观结构检查</w:t>
      </w:r>
      <w:bookmarkEnd w:id="345"/>
      <w:bookmarkEnd w:id="346"/>
      <w:bookmarkEnd w:id="347"/>
      <w:bookmarkEnd w:id="348"/>
      <w:bookmarkEnd w:id="349"/>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微型智能电流传感器的外观应无明显损伤、无锈斑；零部件无松动和脱落；标志应清晰、完整、正确。</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350" w:name="_Toc4642"/>
      <w:bookmarkStart w:id="351" w:name="_Toc21357"/>
      <w:bookmarkStart w:id="352" w:name="_Toc22760"/>
      <w:bookmarkStart w:id="353" w:name="_Toc30316"/>
      <w:bookmarkStart w:id="354" w:name="_Toc24270"/>
      <w:r>
        <w:rPr>
          <w:rFonts w:hint="eastAsia"/>
          <w:color w:val="auto"/>
          <w:highlight w:val="none"/>
        </w:rPr>
        <w:t>性能试验</w:t>
      </w:r>
      <w:bookmarkEnd w:id="350"/>
      <w:bookmarkEnd w:id="351"/>
      <w:bookmarkEnd w:id="352"/>
      <w:bookmarkEnd w:id="353"/>
      <w:bookmarkEnd w:id="354"/>
    </w:p>
    <w:p>
      <w:pPr>
        <w:pStyle w:val="65"/>
        <w:spacing w:before="156" w:after="156"/>
        <w:rPr>
          <w:color w:val="auto"/>
          <w:highlight w:val="none"/>
        </w:rPr>
      </w:pPr>
      <w:bookmarkStart w:id="355" w:name="_Toc25265"/>
      <w:r>
        <w:rPr>
          <w:rStyle w:val="239"/>
          <w:rFonts w:ascii="Times New Roman"/>
          <w:color w:val="auto"/>
          <w:highlight w:val="none"/>
        </w:rPr>
        <w:t>准确级及误差限值</w:t>
      </w:r>
      <w:bookmarkEnd w:id="355"/>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为验证是否符合6.2的要求，准确度试验应在规定额定负荷范围的最高值和最低值下按照表3所列的每一电流值分别进行。</w:t>
      </w:r>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为验证是否符合表4所列的复合误差限值，应采用直接法试验，以实际正弦波的额定准确限值进行测试。</w:t>
      </w:r>
    </w:p>
    <w:p>
      <w:pPr>
        <w:pStyle w:val="65"/>
        <w:spacing w:before="156" w:after="156"/>
        <w:rPr>
          <w:color w:val="auto"/>
          <w:highlight w:val="none"/>
        </w:rPr>
      </w:pPr>
      <w:bookmarkStart w:id="356" w:name="_Toc21003"/>
      <w:r>
        <w:rPr>
          <w:rStyle w:val="239"/>
          <w:rFonts w:ascii="Times New Roman"/>
          <w:color w:val="auto"/>
          <w:highlight w:val="none"/>
        </w:rPr>
        <w:t>线性度</w:t>
      </w:r>
      <w:bookmarkEnd w:id="356"/>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在微型智能电流传感器标称的额定一次电流值范围内均布取m个（除另有规定外，通常取m=5~11）校准点（含额定一次电流值），从校准点下限开始，按规定的校准点施加额定频率的电流，待测量稳定后，读取微型智能电流传感器的输出值，一直到测量范围的上限为止。</w:t>
      </w:r>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除另有规定外，按照GB/T 18459中A2提供的独立线性度方法作为传感器的参比工作直线，按照GB/T 18459中3.8.7规定的方法按下式计算传感器的线性度：</w:t>
      </w:r>
    </w:p>
    <w:p>
      <w:pPr>
        <w:pStyle w:val="113"/>
        <w:rPr>
          <w:color w:val="auto"/>
          <w:highlight w:val="none"/>
        </w:rPr>
      </w:pPr>
      <w:r>
        <w:rPr>
          <w:color w:val="auto"/>
          <w:highlight w:val="none"/>
        </w:rPr>
        <w:tab/>
      </w:r>
      <w:r>
        <w:rPr>
          <w:color w:val="auto"/>
          <w:position w:val="-26"/>
          <w:highlight w:val="none"/>
        </w:rPr>
        <w:object>
          <v:shape id="_x0000_i1031" o:spt="75" type="#_x0000_t75" style="height:31.25pt;width:84.3pt;" o:ole="t" filled="f" o:preferrelative="t" stroked="f" coordsize="21600,21600">
            <v:path/>
            <v:fill on="f" focussize="0,0"/>
            <v:stroke on="f" joinstyle="miter"/>
            <v:imagedata r:id="rId28" o:title=""/>
            <o:lock v:ext="edit" aspectratio="t"/>
            <w10:wrap type="none"/>
            <w10:anchorlock/>
          </v:shape>
          <o:OLEObject Type="Embed" ProgID="Equation.DSMT4" ShapeID="_x0000_i1031" DrawAspect="Content" ObjectID="_1468075731" r:id="rId27">
            <o:LockedField>false</o:LockedField>
          </o:OLEObject>
        </w:object>
      </w:r>
      <w:r>
        <w:rPr>
          <w:rFonts w:ascii="微软雅黑" w:hAnsi="微软雅黑" w:eastAsia="微软雅黑"/>
          <w:color w:val="auto"/>
          <w:highlight w:val="none"/>
        </w:rPr>
        <w:tab/>
      </w:r>
      <w:r>
        <w:rPr>
          <w:color w:val="auto"/>
          <w:highlight w:val="none"/>
        </w:rPr>
        <w:t>(</w:t>
      </w:r>
      <w:r>
        <w:rPr>
          <w:color w:val="auto"/>
          <w:highlight w:val="none"/>
        </w:rPr>
        <w:fldChar w:fldCharType="begin"/>
      </w:r>
      <w:r>
        <w:rPr>
          <w:color w:val="auto"/>
          <w:highlight w:val="none"/>
        </w:rPr>
        <w:instrText xml:space="preserve"> AUTONUM </w:instrText>
      </w:r>
      <w:r>
        <w:rPr>
          <w:color w:val="auto"/>
          <w:highlight w:val="none"/>
        </w:rPr>
        <w:fldChar w:fldCharType="end"/>
      </w:r>
      <w:r>
        <w:rPr>
          <w:color w:val="auto"/>
          <w:highlight w:val="none"/>
        </w:rPr>
        <w:t>)</w:t>
      </w:r>
    </w:p>
    <w:p>
      <w:pPr>
        <w:pStyle w:val="55"/>
        <w:rPr>
          <w:rFonts w:ascii="Times New Roman" w:hAnsi="Times New Roman"/>
          <w:color w:val="auto"/>
          <w:kern w:val="21"/>
          <w:sz w:val="21"/>
          <w:szCs w:val="32"/>
          <w:highlight w:val="none"/>
        </w:rPr>
      </w:pPr>
      <w:r>
        <w:rPr>
          <w:rFonts w:hint="eastAsia"/>
          <w:color w:val="auto"/>
          <w:highlight w:val="none"/>
        </w:rPr>
        <w:t>式中：</w:t>
      </w:r>
    </w:p>
    <w:p>
      <w:pPr>
        <w:keepNext w:val="0"/>
        <w:keepLines w:val="0"/>
        <w:pageBreakBefore w:val="0"/>
        <w:widowControl w:val="0"/>
        <w:tabs>
          <w:tab w:val="left" w:pos="630"/>
        </w:tabs>
        <w:kinsoku/>
        <w:wordWrap/>
        <w:overflowPunct/>
        <w:topLinePunct w:val="0"/>
        <w:autoSpaceDE/>
        <w:autoSpaceDN/>
        <w:bidi w:val="0"/>
        <w:adjustRightInd/>
        <w:snapToGrid/>
        <w:ind w:firstLine="420" w:firstLineChars="200"/>
        <w:textAlignment w:val="auto"/>
        <w:rPr>
          <w:rFonts w:ascii="Times New Roman" w:hAnsi="Times New Roman"/>
          <w:color w:val="auto"/>
          <w:kern w:val="21"/>
          <w:sz w:val="21"/>
          <w:szCs w:val="32"/>
          <w:highlight w:val="none"/>
        </w:rPr>
      </w:pPr>
      <w:r>
        <w:rPr>
          <w:rFonts w:ascii="Times New Roman" w:hAnsi="Times New Roman"/>
          <w:color w:val="auto"/>
          <w:kern w:val="21"/>
          <w:sz w:val="21"/>
          <w:szCs w:val="32"/>
          <w:highlight w:val="none"/>
        </w:rPr>
        <w:object>
          <v:shape id="_x0000_i1032" o:spt="75" type="#_x0000_t75" style="height:15.05pt;width:11.15pt;" o:ole="t" filled="f" o:preferrelative="t" stroked="f" coordsize="21600,21600">
            <v:path/>
            <v:fill on="f" focussize="0,0"/>
            <v:stroke on="f" joinstyle="miter"/>
            <v:imagedata r:id="rId30" o:title=""/>
            <o:lock v:ext="edit" aspectratio="t"/>
            <w10:wrap type="none"/>
            <w10:anchorlock/>
          </v:shape>
          <o:OLEObject Type="Embed" ProgID="Equation.DSMT4" ShapeID="_x0000_i1032" DrawAspect="Content" ObjectID="_1468075732" r:id="rId29">
            <o:LockedField>false</o:LockedField>
          </o:OLEObject>
        </w:object>
      </w:r>
      <w:r>
        <w:rPr>
          <w:rFonts w:ascii="宋体" w:hAnsi="Times New Roman"/>
          <w:color w:val="auto"/>
          <w:kern w:val="21"/>
          <w:sz w:val="21"/>
          <w:szCs w:val="20"/>
          <w:highlight w:val="none"/>
        </w:rPr>
        <w:t>——</w:t>
      </w:r>
      <w:r>
        <w:rPr>
          <w:rFonts w:ascii="Times New Roman" w:hAnsi="Times New Roman"/>
          <w:color w:val="auto"/>
          <w:kern w:val="21"/>
          <w:sz w:val="21"/>
          <w:szCs w:val="32"/>
          <w:highlight w:val="none"/>
        </w:rPr>
        <w:t>微型智能电流传感器的线性度</w:t>
      </w:r>
      <w:r>
        <w:rPr>
          <w:rFonts w:hint="eastAsia" w:ascii="Times New Roman" w:hAnsi="Times New Roman"/>
          <w:color w:val="auto"/>
          <w:kern w:val="21"/>
          <w:sz w:val="21"/>
          <w:szCs w:val="32"/>
          <w:highlight w:val="none"/>
        </w:rPr>
        <w:t>；</w:t>
      </w:r>
    </w:p>
    <w:p>
      <w:pPr>
        <w:keepNext w:val="0"/>
        <w:keepLines w:val="0"/>
        <w:pageBreakBefore w:val="0"/>
        <w:widowControl w:val="0"/>
        <w:kinsoku/>
        <w:wordWrap/>
        <w:overflowPunct/>
        <w:topLinePunct w:val="0"/>
        <w:autoSpaceDE/>
        <w:autoSpaceDN/>
        <w:bidi w:val="0"/>
        <w:adjustRightInd/>
        <w:snapToGrid/>
        <w:ind w:firstLine="40" w:firstLineChars="0"/>
        <w:textAlignment w:val="auto"/>
        <w:rPr>
          <w:rFonts w:ascii="Times New Roman" w:hAnsi="Times New Roman"/>
          <w:color w:val="auto"/>
          <w:kern w:val="21"/>
          <w:sz w:val="21"/>
          <w:szCs w:val="32"/>
          <w:highlight w:val="none"/>
        </w:rPr>
      </w:pPr>
      <w:r>
        <w:rPr>
          <w:rFonts w:ascii="Times New Roman" w:hAnsi="Times New Roman"/>
          <w:color w:val="auto"/>
          <w:kern w:val="21"/>
          <w:sz w:val="21"/>
          <w:szCs w:val="32"/>
          <w:highlight w:val="none"/>
        </w:rPr>
        <w:object>
          <v:shape id="_x0000_i1033" o:spt="75" type="#_x0000_t75" style="height:15.65pt;width:30.7pt;" o:ole="t" filled="f" o:preferrelative="t" stroked="f" coordsize="21600,21600">
            <v:path/>
            <v:fill on="f" focussize="0,0"/>
            <v:stroke on="f" joinstyle="miter"/>
            <v:imagedata r:id="rId32" o:title=""/>
            <o:lock v:ext="edit" aspectratio="t"/>
            <w10:wrap type="none"/>
            <w10:anchorlock/>
          </v:shape>
          <o:OLEObject Type="Embed" ProgID="Equation.DSMT4" ShapeID="_x0000_i1033" DrawAspect="Content" ObjectID="_1468075733" r:id="rId31">
            <o:LockedField>false</o:LockedField>
          </o:OLEObject>
        </w:object>
      </w:r>
      <w:r>
        <w:rPr>
          <w:rFonts w:ascii="Times New Roman" w:hAnsi="Times New Roman"/>
          <w:color w:val="auto"/>
          <w:kern w:val="21"/>
          <w:sz w:val="21"/>
          <w:szCs w:val="32"/>
          <w:highlight w:val="none"/>
        </w:rPr>
        <w:t>——微型智能电流传感器的实际特性曲线对参比直线的最大偏差；</w:t>
      </w:r>
    </w:p>
    <w:p>
      <w:pPr>
        <w:keepNext w:val="0"/>
        <w:keepLines w:val="0"/>
        <w:pageBreakBefore w:val="0"/>
        <w:widowControl w:val="0"/>
        <w:tabs>
          <w:tab w:val="left" w:leader="underscore" w:pos="840"/>
        </w:tabs>
        <w:kinsoku/>
        <w:wordWrap/>
        <w:overflowPunct/>
        <w:topLinePunct w:val="0"/>
        <w:autoSpaceDE/>
        <w:autoSpaceDN/>
        <w:bidi w:val="0"/>
        <w:adjustRightInd w:val="0"/>
        <w:snapToGrid/>
        <w:ind w:firstLine="340" w:firstLineChars="0"/>
        <w:textAlignment w:val="auto"/>
        <w:rPr>
          <w:rFonts w:ascii="Times New Roman" w:hAnsi="Times New Roman"/>
          <w:color w:val="auto"/>
          <w:kern w:val="21"/>
          <w:sz w:val="21"/>
          <w:highlight w:val="none"/>
        </w:rPr>
      </w:pPr>
      <w:r>
        <w:rPr>
          <w:rFonts w:ascii="Times New Roman" w:hAnsi="Times New Roman"/>
          <w:color w:val="auto"/>
          <w:kern w:val="21"/>
          <w:sz w:val="21"/>
          <w:szCs w:val="32"/>
          <w:highlight w:val="none"/>
        </w:rPr>
        <w:object>
          <v:shape id="_x0000_i1034" o:spt="75" type="#_x0000_t75" style="height:15.05pt;width:15.65pt;" o:ole="t" filled="f" o:preferrelative="t" stroked="f" coordsize="21600,21600">
            <v:path/>
            <v:fill on="f" focussize="0,0"/>
            <v:stroke on="f" joinstyle="miter"/>
            <v:imagedata r:id="rId34" o:title=""/>
            <o:lock v:ext="edit" aspectratio="t"/>
            <w10:wrap type="none"/>
            <w10:anchorlock/>
          </v:shape>
          <o:OLEObject Type="Embed" ProgID="Equation.DSMT4" ShapeID="_x0000_i1034" DrawAspect="Content" ObjectID="_1468075734" r:id="rId33">
            <o:LockedField>false</o:LockedField>
          </o:OLEObject>
        </w:object>
      </w:r>
      <w:r>
        <w:rPr>
          <w:rFonts w:ascii="宋体" w:hAnsi="Times New Roman"/>
          <w:color w:val="auto"/>
          <w:kern w:val="21"/>
          <w:sz w:val="21"/>
          <w:szCs w:val="20"/>
          <w:highlight w:val="none"/>
        </w:rPr>
        <w:t>——</w:t>
      </w:r>
      <w:r>
        <w:rPr>
          <w:rFonts w:ascii="Times New Roman" w:hAnsi="Times New Roman"/>
          <w:color w:val="auto"/>
          <w:kern w:val="21"/>
          <w:sz w:val="21"/>
          <w:szCs w:val="32"/>
          <w:highlight w:val="none"/>
        </w:rPr>
        <w:t>微型智能电流传感器的满量程输出</w:t>
      </w:r>
      <w:r>
        <w:rPr>
          <w:rFonts w:hint="eastAsia" w:ascii="Times New Roman" w:hAnsi="Times New Roman"/>
          <w:color w:val="auto"/>
          <w:kern w:val="21"/>
          <w:sz w:val="21"/>
          <w:szCs w:val="32"/>
          <w:highlight w:val="none"/>
        </w:rPr>
        <w:t>。</w:t>
      </w:r>
    </w:p>
    <w:p>
      <w:pPr>
        <w:pStyle w:val="65"/>
        <w:keepNext w:val="0"/>
        <w:keepLines w:val="0"/>
        <w:pageBreakBefore w:val="0"/>
        <w:widowControl w:val="0"/>
        <w:tabs>
          <w:tab w:val="left" w:pos="0"/>
        </w:tabs>
        <w:kinsoku/>
        <w:wordWrap/>
        <w:overflowPunct/>
        <w:topLinePunct w:val="0"/>
        <w:autoSpaceDE/>
        <w:autoSpaceDN/>
        <w:bidi w:val="0"/>
        <w:adjustRightInd/>
        <w:snapToGrid/>
        <w:spacing w:before="156" w:after="156"/>
        <w:textAlignment w:val="auto"/>
        <w:rPr>
          <w:color w:val="auto"/>
          <w:highlight w:val="none"/>
        </w:rPr>
      </w:pPr>
      <w:bookmarkStart w:id="357" w:name="_Toc23548"/>
      <w:r>
        <w:rPr>
          <w:rStyle w:val="239"/>
          <w:rFonts w:ascii="Times New Roman"/>
          <w:color w:val="auto"/>
          <w:highlight w:val="none"/>
        </w:rPr>
        <w:t>重复性</w:t>
      </w:r>
      <w:bookmarkEnd w:id="357"/>
    </w:p>
    <w:p>
      <w:pPr>
        <w:pStyle w:val="243"/>
        <w:spacing w:line="300" w:lineRule="auto"/>
        <w:rPr>
          <w:color w:val="auto"/>
          <w:szCs w:val="32"/>
          <w:highlight w:val="none"/>
        </w:rPr>
      </w:pPr>
      <w:r>
        <w:rPr>
          <w:color w:val="auto"/>
          <w:szCs w:val="32"/>
          <w:highlight w:val="none"/>
        </w:rPr>
        <w:t>在微型智能电流传感器标称的额定一次电流值范围内均布取m个（除另有规定外，通常取m=5~11）校准点（含额定一次电流值），从校准点下限开始，按规定的校准点施加额定频率的电流，待测量稳定后，读取微型智能电流传感器的输出值，一直到校准点的上限为止。然后从校准点的上限开始，按照原校准点顺序回校（称反行程）。正、反行程各n（除另有规定外，取n=3）次。</w:t>
      </w:r>
    </w:p>
    <w:p>
      <w:pPr>
        <w:pStyle w:val="243"/>
        <w:spacing w:line="300" w:lineRule="auto"/>
        <w:rPr>
          <w:color w:val="auto"/>
          <w:szCs w:val="32"/>
          <w:highlight w:val="none"/>
        </w:rPr>
      </w:pPr>
      <w:r>
        <w:rPr>
          <w:color w:val="auto"/>
          <w:szCs w:val="32"/>
          <w:highlight w:val="none"/>
        </w:rPr>
        <w:t>采用贝塞尔公式分别计算每个校准点上正、反行程子样标准偏差。</w:t>
      </w:r>
    </w:p>
    <w:p>
      <w:pPr>
        <w:pStyle w:val="243"/>
        <w:spacing w:line="300" w:lineRule="auto"/>
        <w:rPr>
          <w:color w:val="auto"/>
          <w:szCs w:val="32"/>
          <w:highlight w:val="none"/>
        </w:rPr>
      </w:pPr>
      <w:r>
        <w:rPr>
          <w:color w:val="auto"/>
          <w:szCs w:val="32"/>
          <w:highlight w:val="none"/>
        </w:rPr>
        <w:t>正行程子样标准偏差按下式计算：</w:t>
      </w:r>
    </w:p>
    <w:p>
      <w:pPr>
        <w:pStyle w:val="113"/>
        <w:rPr>
          <w:color w:val="auto"/>
          <w:highlight w:val="none"/>
        </w:rPr>
      </w:pPr>
      <w:r>
        <w:rPr>
          <w:color w:val="auto"/>
          <w:highlight w:val="none"/>
        </w:rPr>
        <w:tab/>
      </w:r>
      <w:r>
        <w:rPr>
          <w:color w:val="auto"/>
          <w:position w:val="-28"/>
          <w:highlight w:val="none"/>
        </w:rPr>
        <w:object>
          <v:shape id="_x0000_i1035" o:spt="75" type="#_x0000_t75" style="height:32.95pt;width:111.05pt;" o:ole="t" filled="f" o:preferrelative="t" stroked="f" coordsize="21600,21600">
            <v:path/>
            <v:fill on="f" focussize="0,0"/>
            <v:stroke on="f" joinstyle="miter"/>
            <v:imagedata r:id="rId36" o:title=""/>
            <o:lock v:ext="edit" aspectratio="t"/>
            <w10:wrap type="none"/>
            <w10:anchorlock/>
          </v:shape>
          <o:OLEObject Type="Embed" ProgID="Equation.DSMT4" ShapeID="_x0000_i1035" DrawAspect="Content" ObjectID="_1468075735" r:id="rId35">
            <o:LockedField>false</o:LockedField>
          </o:OLEObject>
        </w:object>
      </w:r>
      <w:r>
        <w:rPr>
          <w:rFonts w:ascii="微软雅黑" w:hAnsi="微软雅黑" w:eastAsia="微软雅黑"/>
          <w:color w:val="auto"/>
          <w:highlight w:val="none"/>
        </w:rPr>
        <w:tab/>
      </w:r>
      <w:r>
        <w:rPr>
          <w:color w:val="auto"/>
          <w:highlight w:val="none"/>
        </w:rPr>
        <w:t>(</w:t>
      </w:r>
      <w:r>
        <w:rPr>
          <w:rFonts w:hint="eastAsia"/>
          <w:color w:val="auto"/>
          <w:highlight w:val="none"/>
          <w:lang w:val="en-US" w:eastAsia="zh-CN"/>
        </w:rPr>
        <w:t>2</w:t>
      </w:r>
      <w:r>
        <w:rPr>
          <w:color w:val="auto"/>
          <w:highlight w:val="none"/>
        </w:rPr>
        <w:t>)</w:t>
      </w:r>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式中：</w:t>
      </w:r>
    </w:p>
    <w:p>
      <w:pPr>
        <w:adjustRightInd/>
        <w:spacing w:line="312" w:lineRule="exact"/>
        <w:ind w:firstLine="420" w:firstLineChars="200"/>
        <w:textAlignment w:val="center"/>
        <w:rPr>
          <w:rFonts w:ascii="Times New Roman" w:hAnsi="Times New Roman"/>
          <w:color w:val="auto"/>
          <w:szCs w:val="32"/>
          <w:highlight w:val="none"/>
        </w:rPr>
      </w:pPr>
      <w:r>
        <w:rPr>
          <w:rFonts w:ascii="Times New Roman" w:hAnsi="Times New Roman"/>
          <w:color w:val="auto"/>
          <w:szCs w:val="32"/>
          <w:highlight w:val="none"/>
        </w:rPr>
        <w:object>
          <v:shape id="_x0000_i1036" o:spt="75" type="#_x0000_t75" style="height:15.05pt;width:15.05pt;" o:ole="t" filled="f" o:preferrelative="t" stroked="f" coordsize="21600,21600">
            <v:path/>
            <v:fill on="f" focussize="0,0"/>
            <v:stroke on="f" joinstyle="miter"/>
            <v:imagedata r:id="rId38" o:title=""/>
            <o:lock v:ext="edit" aspectratio="t"/>
            <w10:wrap type="none"/>
            <w10:anchorlock/>
          </v:shape>
          <o:OLEObject Type="Embed" ProgID="Equation.DSMT4" ShapeID="_x0000_i1036" DrawAspect="Content" ObjectID="_1468075736" r:id="rId37">
            <o:LockedField>false</o:LockedField>
          </o:OLEObject>
        </w:object>
      </w:r>
      <w:r>
        <w:rPr>
          <w:rFonts w:ascii="Times New Roman" w:hAnsi="Times New Roman"/>
          <w:color w:val="auto"/>
          <w:szCs w:val="32"/>
          <w:highlight w:val="none"/>
        </w:rPr>
        <w:t>——正行程第i个校准点子样标准差（i=1,2,…m）；</w:t>
      </w:r>
    </w:p>
    <w:p>
      <w:pPr>
        <w:adjustRightInd/>
        <w:spacing w:line="312" w:lineRule="exact"/>
        <w:ind w:firstLine="420" w:firstLineChars="200"/>
        <w:textAlignment w:val="center"/>
        <w:rPr>
          <w:rFonts w:ascii="Times New Roman" w:hAnsi="Times New Roman"/>
          <w:color w:val="auto"/>
          <w:szCs w:val="32"/>
          <w:highlight w:val="none"/>
        </w:rPr>
      </w:pPr>
      <w:r>
        <w:rPr>
          <w:rFonts w:ascii="Times New Roman" w:hAnsi="Times New Roman"/>
          <w:color w:val="auto"/>
          <w:szCs w:val="32"/>
          <w:highlight w:val="none"/>
        </w:rPr>
        <w:object>
          <v:shape id="_x0000_i1037" o:spt="75" type="#_x0000_t75" style="height:15.65pt;width:15.65pt;" o:ole="t" filled="f" o:preferrelative="t" stroked="f" coordsize="21600,21600">
            <v:path/>
            <v:fill on="f" focussize="0,0"/>
            <v:stroke on="f" joinstyle="miter"/>
            <v:imagedata r:id="rId40" o:title=""/>
            <o:lock v:ext="edit" aspectratio="t"/>
            <w10:wrap type="none"/>
            <w10:anchorlock/>
          </v:shape>
          <o:OLEObject Type="Embed" ProgID="Equation.DSMT4" ShapeID="_x0000_i1037" DrawAspect="Content" ObjectID="_1468075737" r:id="rId39">
            <o:LockedField>false</o:LockedField>
          </o:OLEObject>
        </w:object>
      </w:r>
      <w:r>
        <w:rPr>
          <w:rFonts w:ascii="Times New Roman" w:hAnsi="Times New Roman"/>
          <w:color w:val="auto"/>
          <w:szCs w:val="32"/>
          <w:highlight w:val="none"/>
        </w:rPr>
        <w:t>——正行程第i个校准点第j次的测量值子样标准差（i=1,2,…m；j=1,2,…n）；</w:t>
      </w:r>
    </w:p>
    <w:p>
      <w:pPr>
        <w:adjustRightInd/>
        <w:spacing w:line="312" w:lineRule="exact"/>
        <w:ind w:firstLine="420" w:firstLineChars="200"/>
        <w:textAlignment w:val="center"/>
        <w:rPr>
          <w:rFonts w:ascii="Times New Roman" w:hAnsi="Times New Roman"/>
          <w:color w:val="auto"/>
          <w:szCs w:val="32"/>
          <w:highlight w:val="none"/>
        </w:rPr>
      </w:pPr>
      <w:r>
        <w:rPr>
          <w:rFonts w:ascii="Times New Roman" w:hAnsi="Times New Roman"/>
          <w:color w:val="auto"/>
          <w:szCs w:val="32"/>
          <w:highlight w:val="none"/>
        </w:rPr>
        <w:object>
          <v:shape id="_x0000_i1038" o:spt="75" type="#_x0000_t75" style="height:15.65pt;width:15.05pt;" o:ole="t" filled="f" o:preferrelative="t" stroked="f" coordsize="21600,21600">
            <v:path/>
            <v:fill on="f" focussize="0,0"/>
            <v:stroke on="f" joinstyle="miter"/>
            <v:imagedata r:id="rId42" o:title=""/>
            <o:lock v:ext="edit" aspectratio="t"/>
            <w10:wrap type="none"/>
            <w10:anchorlock/>
          </v:shape>
          <o:OLEObject Type="Embed" ProgID="Equation.DSMT4" ShapeID="_x0000_i1038" DrawAspect="Content" ObjectID="_1468075738" r:id="rId41">
            <o:LockedField>false</o:LockedField>
          </o:OLEObject>
        </w:object>
      </w:r>
      <w:r>
        <w:rPr>
          <w:rFonts w:ascii="Times New Roman" w:hAnsi="Times New Roman"/>
          <w:color w:val="auto"/>
          <w:szCs w:val="32"/>
          <w:highlight w:val="none"/>
        </w:rPr>
        <w:t>——第i个校准点处正行程测量值的平均值（i=1,2,…m）；</w:t>
      </w:r>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反行程子样标准差按下式计算：</w:t>
      </w:r>
    </w:p>
    <w:p>
      <w:pPr>
        <w:pStyle w:val="113"/>
        <w:rPr>
          <w:color w:val="auto"/>
          <w:highlight w:val="none"/>
        </w:rPr>
      </w:pPr>
      <w:r>
        <w:rPr>
          <w:color w:val="auto"/>
          <w:highlight w:val="none"/>
        </w:rPr>
        <w:tab/>
      </w:r>
      <w:r>
        <w:rPr>
          <w:color w:val="auto"/>
          <w:position w:val="-28"/>
          <w:highlight w:val="none"/>
        </w:rPr>
        <w:object>
          <v:shape id="_x0000_i1039" o:spt="75" type="#_x0000_t75" style="height:32.95pt;width:112.75pt;" o:ole="t" filled="f" o:preferrelative="t" stroked="f" coordsize="21600,21600">
            <v:path/>
            <v:fill on="f" focussize="0,0"/>
            <v:stroke on="f" joinstyle="miter"/>
            <v:imagedata r:id="rId44" o:title=""/>
            <o:lock v:ext="edit" aspectratio="t"/>
            <w10:wrap type="none"/>
            <w10:anchorlock/>
          </v:shape>
          <o:OLEObject Type="Embed" ProgID="Equation.DSMT4" ShapeID="_x0000_i1039" DrawAspect="Content" ObjectID="_1468075739" r:id="rId43">
            <o:LockedField>false</o:LockedField>
          </o:OLEObject>
        </w:object>
      </w:r>
      <w:r>
        <w:rPr>
          <w:rFonts w:ascii="微软雅黑" w:hAnsi="微软雅黑" w:eastAsia="微软雅黑"/>
          <w:color w:val="auto"/>
          <w:highlight w:val="none"/>
        </w:rPr>
        <w:tab/>
      </w:r>
      <w:r>
        <w:rPr>
          <w:color w:val="auto"/>
          <w:highlight w:val="none"/>
        </w:rPr>
        <w:t>(</w:t>
      </w:r>
      <w:r>
        <w:rPr>
          <w:rFonts w:hint="eastAsia"/>
          <w:color w:val="auto"/>
          <w:highlight w:val="none"/>
          <w:lang w:val="en-US" w:eastAsia="zh-CN"/>
        </w:rPr>
        <w:t>3</w:t>
      </w:r>
      <w:r>
        <w:rPr>
          <w:color w:val="auto"/>
          <w:highlight w:val="none"/>
        </w:rPr>
        <w:t>)</w:t>
      </w:r>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式中：</w:t>
      </w:r>
    </w:p>
    <w:p>
      <w:pPr>
        <w:adjustRightInd/>
        <w:spacing w:line="312" w:lineRule="exact"/>
        <w:ind w:firstLine="420" w:firstLineChars="200"/>
        <w:rPr>
          <w:rFonts w:ascii="Times New Roman" w:hAnsi="Times New Roman"/>
          <w:color w:val="auto"/>
          <w:szCs w:val="32"/>
          <w:highlight w:val="none"/>
        </w:rPr>
      </w:pPr>
      <w:r>
        <w:rPr>
          <w:rFonts w:ascii="Times New Roman" w:hAnsi="Times New Roman"/>
          <w:color w:val="auto"/>
          <w:position w:val="-10"/>
          <w:szCs w:val="32"/>
          <w:highlight w:val="none"/>
        </w:rPr>
        <w:object>
          <v:shape id="_x0000_i1040" o:spt="75" type="#_x0000_t75" style="height:15.05pt;width:15.65pt;" o:ole="t" filled="f" o:preferrelative="t" stroked="f" coordsize="21600,21600">
            <v:path/>
            <v:fill on="f" focussize="0,0"/>
            <v:stroke on="f" joinstyle="miter"/>
            <v:imagedata r:id="rId46" o:title=""/>
            <o:lock v:ext="edit" aspectratio="t"/>
            <w10:wrap type="none"/>
            <w10:anchorlock/>
          </v:shape>
          <o:OLEObject Type="Embed" ProgID="Equation.DSMT4" ShapeID="_x0000_i1040" DrawAspect="Content" ObjectID="_1468075740" r:id="rId45">
            <o:LockedField>false</o:LockedField>
          </o:OLEObject>
        </w:object>
      </w:r>
      <w:r>
        <w:rPr>
          <w:rFonts w:ascii="Times New Roman" w:hAnsi="Times New Roman"/>
          <w:color w:val="auto"/>
          <w:szCs w:val="32"/>
          <w:highlight w:val="none"/>
        </w:rPr>
        <w:t>——反行程第i个校准点子样标准差（i=1,2,…m）；</w:t>
      </w:r>
    </w:p>
    <w:p>
      <w:pPr>
        <w:adjustRightInd/>
        <w:spacing w:line="312" w:lineRule="exact"/>
        <w:ind w:firstLine="420" w:firstLineChars="200"/>
        <w:rPr>
          <w:rFonts w:ascii="Times New Roman" w:hAnsi="Times New Roman"/>
          <w:color w:val="auto"/>
          <w:szCs w:val="32"/>
          <w:highlight w:val="none"/>
        </w:rPr>
      </w:pPr>
      <w:r>
        <w:rPr>
          <w:rFonts w:ascii="Times New Roman" w:hAnsi="Times New Roman"/>
          <w:color w:val="auto"/>
          <w:szCs w:val="32"/>
          <w:highlight w:val="none"/>
        </w:rPr>
        <w:object>
          <v:shape id="_x0000_i1041" o:spt="75" type="#_x0000_t75" style="height:15.65pt;width:15.65pt;" o:ole="t" filled="f" o:preferrelative="t" stroked="f" coordsize="21600,21600">
            <v:path/>
            <v:fill on="f" focussize="0,0"/>
            <v:stroke on="f" joinstyle="miter"/>
            <v:imagedata r:id="rId48" o:title=""/>
            <o:lock v:ext="edit" aspectratio="t"/>
            <w10:wrap type="none"/>
            <w10:anchorlock/>
          </v:shape>
          <o:OLEObject Type="Embed" ProgID="Equation.DSMT4" ShapeID="_x0000_i1041" DrawAspect="Content" ObjectID="_1468075741" r:id="rId47">
            <o:LockedField>false</o:LockedField>
          </o:OLEObject>
        </w:object>
      </w:r>
      <w:r>
        <w:rPr>
          <w:rFonts w:ascii="Times New Roman" w:hAnsi="Times New Roman"/>
          <w:color w:val="auto"/>
          <w:szCs w:val="32"/>
          <w:highlight w:val="none"/>
        </w:rPr>
        <w:t>——反行程第i个校准点第j次的测量值子样标准差（i=1,2,…m；j=1,2,…n）；</w:t>
      </w:r>
    </w:p>
    <w:p>
      <w:pPr>
        <w:adjustRightInd/>
        <w:spacing w:line="312" w:lineRule="exact"/>
        <w:ind w:firstLine="420" w:firstLineChars="200"/>
        <w:rPr>
          <w:rFonts w:ascii="Times New Roman" w:hAnsi="Times New Roman"/>
          <w:color w:val="auto"/>
          <w:szCs w:val="32"/>
          <w:highlight w:val="none"/>
        </w:rPr>
      </w:pPr>
      <w:r>
        <w:rPr>
          <w:rFonts w:ascii="Times New Roman" w:hAnsi="Times New Roman"/>
          <w:color w:val="auto"/>
          <w:szCs w:val="32"/>
          <w:highlight w:val="none"/>
        </w:rPr>
        <w:object>
          <v:shape id="_x0000_i1042" o:spt="75" type="#_x0000_t75" style="height:15.65pt;width:15.05pt;" o:ole="t" filled="f" o:preferrelative="t" stroked="f" coordsize="21600,21600">
            <v:path/>
            <v:fill on="f" focussize="0,0"/>
            <v:stroke on="f" joinstyle="miter"/>
            <v:imagedata r:id="rId50" o:title=""/>
            <o:lock v:ext="edit" aspectratio="t"/>
            <w10:wrap type="none"/>
            <w10:anchorlock/>
          </v:shape>
          <o:OLEObject Type="Embed" ProgID="Equation.DSMT4" ShapeID="_x0000_i1042" DrawAspect="Content" ObjectID="_1468075742" r:id="rId49">
            <o:LockedField>false</o:LockedField>
          </o:OLEObject>
        </w:object>
      </w:r>
      <w:r>
        <w:rPr>
          <w:rFonts w:ascii="Times New Roman" w:hAnsi="Times New Roman"/>
          <w:color w:val="auto"/>
          <w:szCs w:val="32"/>
          <w:highlight w:val="none"/>
        </w:rPr>
        <w:t>——第i个校准点处反行程测量值的平均值（i=1,2,…m）；</w:t>
      </w:r>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微型智能电流传感器的子样标准偏差按下式计算：</w:t>
      </w:r>
    </w:p>
    <w:p>
      <w:pPr>
        <w:pStyle w:val="113"/>
        <w:rPr>
          <w:color w:val="auto"/>
          <w:highlight w:val="none"/>
        </w:rPr>
      </w:pPr>
      <w:r>
        <w:rPr>
          <w:color w:val="auto"/>
          <w:highlight w:val="none"/>
        </w:rPr>
        <w:tab/>
      </w:r>
      <w:r>
        <w:rPr>
          <w:color w:val="auto"/>
          <w:position w:val="-28"/>
          <w:highlight w:val="none"/>
        </w:rPr>
        <w:object>
          <v:shape id="_x0000_i1043" o:spt="75" type="#_x0000_t75" style="height:34.05pt;width:111.05pt;" o:ole="t" filled="f" o:preferrelative="t" stroked="f" coordsize="21600,21600">
            <v:path/>
            <v:fill on="f" focussize="0,0"/>
            <v:stroke on="f" joinstyle="miter"/>
            <v:imagedata r:id="rId52" o:title=""/>
            <o:lock v:ext="edit" aspectratio="t"/>
            <w10:wrap type="none"/>
            <w10:anchorlock/>
          </v:shape>
          <o:OLEObject Type="Embed" ProgID="Equation.DSMT4" ShapeID="_x0000_i1043" DrawAspect="Content" ObjectID="_1468075743" r:id="rId51">
            <o:LockedField>false</o:LockedField>
          </o:OLEObject>
        </w:object>
      </w:r>
      <w:r>
        <w:rPr>
          <w:rFonts w:ascii="微软雅黑" w:hAnsi="微软雅黑" w:eastAsia="微软雅黑"/>
          <w:color w:val="auto"/>
          <w:highlight w:val="none"/>
        </w:rPr>
        <w:tab/>
      </w:r>
      <w:r>
        <w:rPr>
          <w:color w:val="auto"/>
          <w:highlight w:val="none"/>
        </w:rPr>
        <w:t>(</w:t>
      </w:r>
      <w:r>
        <w:rPr>
          <w:rFonts w:hint="eastAsia"/>
          <w:color w:val="auto"/>
          <w:highlight w:val="none"/>
          <w:lang w:val="en-US" w:eastAsia="zh-CN"/>
        </w:rPr>
        <w:t>4</w:t>
      </w:r>
      <w:r>
        <w:rPr>
          <w:color w:val="auto"/>
          <w:highlight w:val="none"/>
        </w:rPr>
        <w:t>)</w:t>
      </w:r>
    </w:p>
    <w:p>
      <w:pPr>
        <w:spacing w:line="240" w:lineRule="auto"/>
        <w:ind w:firstLine="420" w:firstLineChars="200"/>
        <w:rPr>
          <w:rFonts w:ascii="Times New Roman" w:hAnsi="Times New Roman"/>
          <w:color w:val="auto"/>
          <w:szCs w:val="32"/>
          <w:highlight w:val="none"/>
        </w:rPr>
      </w:pPr>
      <w:r>
        <w:rPr>
          <w:rFonts w:ascii="Times New Roman" w:hAnsi="Times New Roman"/>
          <w:color w:val="auto"/>
          <w:szCs w:val="32"/>
          <w:highlight w:val="none"/>
        </w:rPr>
        <w:t>式中：</w:t>
      </w:r>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object>
          <v:shape id="_x0000_i1044" o:spt="75" type="#_x0000_t75" style="height:11.15pt;width:9.5pt;" o:ole="t" filled="f" o:preferrelative="t" stroked="f" coordsize="21600,21600">
            <v:path/>
            <v:fill on="f" focussize="0,0"/>
            <v:stroke on="f" joinstyle="miter"/>
            <v:imagedata r:id="rId54" o:title=""/>
            <o:lock v:ext="edit" aspectratio="t"/>
            <w10:wrap type="none"/>
            <w10:anchorlock/>
          </v:shape>
          <o:OLEObject Type="Embed" ProgID="Equation.DSMT4" ShapeID="_x0000_i1044" DrawAspect="Content" ObjectID="_1468075744" r:id="rId53">
            <o:LockedField>false</o:LockedField>
          </o:OLEObject>
        </w:object>
      </w:r>
      <w:r>
        <w:rPr>
          <w:rFonts w:ascii="Times New Roman" w:hAnsi="Times New Roman"/>
          <w:color w:val="auto"/>
          <w:szCs w:val="32"/>
          <w:highlight w:val="none"/>
        </w:rPr>
        <w:t>——微型智能电流传感器的子样标准偏差。</w:t>
      </w:r>
    </w:p>
    <w:p>
      <w:pPr>
        <w:spacing w:line="240" w:lineRule="auto"/>
        <w:ind w:firstLine="420" w:firstLineChars="200"/>
        <w:rPr>
          <w:rFonts w:ascii="Times New Roman" w:hAnsi="Times New Roman"/>
          <w:color w:val="auto"/>
          <w:szCs w:val="32"/>
          <w:highlight w:val="none"/>
        </w:rPr>
      </w:pPr>
      <w:r>
        <w:rPr>
          <w:rFonts w:ascii="Times New Roman" w:hAnsi="Times New Roman"/>
          <w:color w:val="auto"/>
          <w:szCs w:val="32"/>
          <w:highlight w:val="none"/>
        </w:rPr>
        <w:t>则重复性按下式计算：</w:t>
      </w:r>
    </w:p>
    <w:p>
      <w:pPr>
        <w:pStyle w:val="113"/>
        <w:rPr>
          <w:color w:val="auto"/>
          <w:highlight w:val="none"/>
        </w:rPr>
      </w:pPr>
      <w:r>
        <w:rPr>
          <w:color w:val="auto"/>
          <w:highlight w:val="none"/>
        </w:rPr>
        <w:tab/>
      </w:r>
      <w:r>
        <w:rPr>
          <w:color w:val="auto"/>
          <w:position w:val="-26"/>
          <w:highlight w:val="none"/>
        </w:rPr>
        <w:object>
          <v:shape id="_x0000_i1045" o:spt="75" type="#_x0000_t75" style="height:30.15pt;width:69.2pt;" o:ole="t" filled="f" o:preferrelative="t" stroked="f" coordsize="21600,21600">
            <v:path/>
            <v:fill on="f" focussize="0,0"/>
            <v:stroke on="f" joinstyle="miter"/>
            <v:imagedata r:id="rId56" o:title=""/>
            <o:lock v:ext="edit" aspectratio="t"/>
            <w10:wrap type="none"/>
            <w10:anchorlock/>
          </v:shape>
          <o:OLEObject Type="Embed" ProgID="Equation.DSMT4" ShapeID="_x0000_i1045" DrawAspect="Content" ObjectID="_1468075745" r:id="rId55">
            <o:LockedField>false</o:LockedField>
          </o:OLEObject>
        </w:object>
      </w:r>
      <w:r>
        <w:rPr>
          <w:rFonts w:ascii="微软雅黑" w:hAnsi="微软雅黑" w:eastAsia="微软雅黑"/>
          <w:color w:val="auto"/>
          <w:highlight w:val="none"/>
        </w:rPr>
        <w:tab/>
      </w:r>
      <w:r>
        <w:rPr>
          <w:color w:val="auto"/>
          <w:highlight w:val="none"/>
        </w:rPr>
        <w:t>(</w:t>
      </w:r>
      <w:r>
        <w:rPr>
          <w:rFonts w:hint="eastAsia"/>
          <w:color w:val="auto"/>
          <w:highlight w:val="none"/>
          <w:lang w:val="en-US" w:eastAsia="zh-CN"/>
        </w:rPr>
        <w:t>5</w:t>
      </w:r>
      <w:r>
        <w:rPr>
          <w:color w:val="auto"/>
          <w:highlight w:val="none"/>
        </w:rPr>
        <w:t>)</w:t>
      </w:r>
    </w:p>
    <w:p>
      <w:pPr>
        <w:pStyle w:val="55"/>
        <w:ind w:firstLine="420"/>
        <w:rPr>
          <w:rFonts w:hint="eastAsia"/>
          <w:color w:val="auto"/>
          <w:highlight w:val="none"/>
        </w:rPr>
      </w:pPr>
      <w:r>
        <w:rPr>
          <w:rFonts w:hint="eastAsia"/>
          <w:color w:val="auto"/>
          <w:highlight w:val="none"/>
        </w:rPr>
        <w:t>式中：</w:t>
      </w:r>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object>
          <v:shape id="_x0000_i1046" o:spt="75" type="#_x0000_t75" style="height:15.05pt;width:12.85pt;" o:ole="t" filled="f" o:preferrelative="t" stroked="f" coordsize="21600,21600">
            <v:path/>
            <v:fill on="f" focussize="0,0"/>
            <v:stroke on="f" joinstyle="miter"/>
            <v:imagedata r:id="rId58" o:title=""/>
            <o:lock v:ext="edit" aspectratio="t"/>
            <w10:wrap type="none"/>
            <w10:anchorlock/>
          </v:shape>
          <o:OLEObject Type="Embed" ProgID="Equation.DSMT4" ShapeID="_x0000_i1046" DrawAspect="Content" ObjectID="_1468075746" r:id="rId57">
            <o:LockedField>false</o:LockedField>
          </o:OLEObject>
        </w:object>
      </w:r>
      <w:r>
        <w:rPr>
          <w:rFonts w:ascii="Times New Roman" w:hAnsi="Times New Roman"/>
          <w:color w:val="auto"/>
          <w:szCs w:val="32"/>
          <w:highlight w:val="none"/>
        </w:rPr>
        <w:t>——微型智能电流传感器的重复性；</w:t>
      </w:r>
    </w:p>
    <w:p>
      <w:pPr>
        <w:keepNext w:val="0"/>
        <w:keepLines w:val="0"/>
        <w:pageBreakBefore w:val="0"/>
        <w:widowControl w:val="0"/>
        <w:kinsoku/>
        <w:wordWrap/>
        <w:overflowPunct/>
        <w:topLinePunct w:val="0"/>
        <w:autoSpaceDE/>
        <w:autoSpaceDN/>
        <w:bidi w:val="0"/>
        <w:adjustRightInd w:val="0"/>
        <w:snapToGrid/>
        <w:ind w:firstLine="369" w:firstLineChars="0"/>
        <w:textAlignment w:val="auto"/>
        <w:rPr>
          <w:rFonts w:ascii="Times New Roman" w:hAnsi="Times New Roman"/>
          <w:color w:val="auto"/>
          <w:szCs w:val="32"/>
          <w:highlight w:val="none"/>
        </w:rPr>
      </w:pPr>
      <w:r>
        <w:rPr>
          <w:rFonts w:ascii="Times New Roman" w:hAnsi="Times New Roman"/>
          <w:color w:val="auto"/>
          <w:szCs w:val="32"/>
          <w:highlight w:val="none"/>
        </w:rPr>
        <w:object>
          <v:shape id="_x0000_i1047" o:spt="75" type="#_x0000_t75" style="height:15.05pt;width:15.65pt;" o:ole="t" filled="f" o:preferrelative="t" stroked="f" coordsize="21600,21600">
            <v:path/>
            <v:fill on="f" focussize="0,0"/>
            <v:stroke on="f" joinstyle="miter"/>
            <v:imagedata r:id="rId34" o:title=""/>
            <o:lock v:ext="edit" aspectratio="t"/>
            <w10:wrap type="none"/>
            <w10:anchorlock/>
          </v:shape>
          <o:OLEObject Type="Embed" ProgID="Equation.DSMT4" ShapeID="_x0000_i1047" DrawAspect="Content" ObjectID="_1468075747" r:id="rId59">
            <o:LockedField>false</o:LockedField>
          </o:OLEObject>
        </w:object>
      </w:r>
      <w:r>
        <w:rPr>
          <w:rFonts w:ascii="Times New Roman" w:hAnsi="Times New Roman"/>
          <w:color w:val="auto"/>
          <w:szCs w:val="32"/>
          <w:highlight w:val="none"/>
        </w:rPr>
        <w:t>——微型智能电流传感器的满量程输出。</w:t>
      </w:r>
    </w:p>
    <w:p>
      <w:pPr>
        <w:pStyle w:val="65"/>
        <w:spacing w:before="156" w:after="156"/>
        <w:rPr>
          <w:color w:val="auto"/>
          <w:highlight w:val="none"/>
        </w:rPr>
      </w:pPr>
      <w:bookmarkStart w:id="358" w:name="_Toc23198"/>
      <w:r>
        <w:rPr>
          <w:rStyle w:val="239"/>
          <w:rFonts w:ascii="Times New Roman"/>
          <w:color w:val="auto"/>
          <w:highlight w:val="none"/>
        </w:rPr>
        <w:t>零点输出</w:t>
      </w:r>
      <w:bookmarkEnd w:id="358"/>
    </w:p>
    <w:p>
      <w:pPr>
        <w:pStyle w:val="243"/>
        <w:spacing w:line="300" w:lineRule="auto"/>
        <w:rPr>
          <w:color w:val="auto"/>
          <w:szCs w:val="32"/>
          <w:highlight w:val="none"/>
        </w:rPr>
      </w:pPr>
      <w:r>
        <w:rPr>
          <w:color w:val="auto"/>
          <w:szCs w:val="32"/>
          <w:highlight w:val="none"/>
        </w:rPr>
        <w:t>在25℃环境下，将被测电流置零，在时间上间隔</w:t>
      </w:r>
      <w:r>
        <w:rPr>
          <w:color w:val="auto"/>
          <w:szCs w:val="32"/>
          <w:highlight w:val="none"/>
        </w:rPr>
        <w:object>
          <v:shape id="_x0000_i1048" o:spt="75" type="#_x0000_t75" style="height:11.15pt;width:12.85pt;" o:ole="t" filled="f" o:preferrelative="t" stroked="f" coordsize="21600,21600">
            <v:path/>
            <v:fill on="f" focussize="0,0"/>
            <v:stroke on="f" joinstyle="miter"/>
            <v:imagedata r:id="rId61" o:title=""/>
            <o:lock v:ext="edit" aspectratio="t"/>
            <w10:wrap type="none"/>
            <w10:anchorlock/>
          </v:shape>
          <o:OLEObject Type="Embed" ProgID="Equation.DSMT4" ShapeID="_x0000_i1048" DrawAspect="Content" ObjectID="_1468075748" r:id="rId60">
            <o:LockedField>false</o:LockedField>
          </o:OLEObject>
        </w:object>
      </w:r>
      <w:r>
        <w:rPr>
          <w:color w:val="auto"/>
          <w:szCs w:val="32"/>
          <w:highlight w:val="none"/>
        </w:rPr>
        <w:t>（除另有规定外，通常取</w:t>
      </w:r>
      <w:r>
        <w:rPr>
          <w:color w:val="auto"/>
          <w:szCs w:val="32"/>
          <w:highlight w:val="none"/>
        </w:rPr>
        <w:object>
          <v:shape id="_x0000_i1049" o:spt="75" type="#_x0000_t75" style="height:12.85pt;width:44.1pt;" o:ole="t" filled="f" o:preferrelative="t" stroked="f" coordsize="21600,21600">
            <v:path/>
            <v:fill on="f" focussize="0,0"/>
            <v:stroke on="f" joinstyle="miter"/>
            <v:imagedata r:id="rId63" o:title=""/>
            <o:lock v:ext="edit" aspectratio="t"/>
            <w10:wrap type="none"/>
            <w10:anchorlock/>
          </v:shape>
          <o:OLEObject Type="Embed" ProgID="Equation.DSMT4" ShapeID="_x0000_i1049" DrawAspect="Content" ObjectID="_1468075749" r:id="rId62">
            <o:LockedField>false</o:LockedField>
          </o:OLEObject>
        </w:object>
      </w:r>
      <w:r>
        <w:rPr>
          <w:color w:val="auto"/>
          <w:szCs w:val="32"/>
          <w:highlight w:val="none"/>
        </w:rPr>
        <w:t>），分别读取m个（除另有规定外，通常取m=5~11）零点输出值。</w:t>
      </w:r>
    </w:p>
    <w:p>
      <w:pPr>
        <w:pStyle w:val="243"/>
        <w:spacing w:line="300" w:lineRule="auto"/>
        <w:rPr>
          <w:color w:val="auto"/>
          <w:szCs w:val="32"/>
          <w:highlight w:val="none"/>
        </w:rPr>
      </w:pPr>
      <w:r>
        <w:rPr>
          <w:color w:val="auto"/>
          <w:szCs w:val="32"/>
          <w:highlight w:val="none"/>
        </w:rPr>
        <w:t>微型智能电流传感器的零点输出按下式计算：</w:t>
      </w:r>
    </w:p>
    <w:p>
      <w:pPr>
        <w:pStyle w:val="113"/>
        <w:rPr>
          <w:color w:val="auto"/>
          <w:highlight w:val="none"/>
        </w:rPr>
      </w:pPr>
      <w:r>
        <w:rPr>
          <w:color w:val="auto"/>
          <w:highlight w:val="none"/>
        </w:rPr>
        <w:tab/>
      </w:r>
      <w:r>
        <w:rPr>
          <w:color w:val="auto"/>
          <w:position w:val="-26"/>
          <w:highlight w:val="none"/>
        </w:rPr>
        <w:object>
          <v:shape id="_x0000_i1050" o:spt="75" type="#_x0000_t75" style="height:31.25pt;width:79.8pt;" o:ole="t" filled="f" o:preferrelative="t" stroked="f" coordsize="21600,21600">
            <v:path/>
            <v:fill on="f" focussize="0,0"/>
            <v:stroke on="f" joinstyle="miter"/>
            <v:imagedata r:id="rId65" o:title=""/>
            <o:lock v:ext="edit" aspectratio="t"/>
            <w10:wrap type="none"/>
            <w10:anchorlock/>
          </v:shape>
          <o:OLEObject Type="Embed" ProgID="Equation.DSMT4" ShapeID="_x0000_i1050" DrawAspect="Content" ObjectID="_1468075750" r:id="rId64">
            <o:LockedField>false</o:LockedField>
          </o:OLEObject>
        </w:object>
      </w:r>
      <w:r>
        <w:rPr>
          <w:rFonts w:ascii="微软雅黑" w:hAnsi="微软雅黑" w:eastAsia="微软雅黑"/>
          <w:color w:val="auto"/>
          <w:highlight w:val="none"/>
        </w:rPr>
        <w:tab/>
      </w:r>
      <w:r>
        <w:rPr>
          <w:color w:val="auto"/>
          <w:highlight w:val="none"/>
        </w:rPr>
        <w:t>(</w:t>
      </w:r>
      <w:r>
        <w:rPr>
          <w:rFonts w:hint="eastAsia"/>
          <w:color w:val="auto"/>
          <w:highlight w:val="none"/>
          <w:lang w:val="en-US" w:eastAsia="zh-CN"/>
        </w:rPr>
        <w:t>6</w:t>
      </w:r>
      <w:r>
        <w:rPr>
          <w:color w:val="auto"/>
          <w:highlight w:val="none"/>
        </w:rPr>
        <w:t>)</w:t>
      </w:r>
    </w:p>
    <w:p>
      <w:pPr>
        <w:pStyle w:val="55"/>
        <w:ind w:firstLine="420"/>
        <w:rPr>
          <w:rFonts w:hint="eastAsia"/>
          <w:color w:val="auto"/>
          <w:highlight w:val="none"/>
        </w:rPr>
      </w:pPr>
      <w:r>
        <w:rPr>
          <w:rFonts w:hint="eastAsia"/>
          <w:color w:val="auto"/>
          <w:highlight w:val="none"/>
        </w:rPr>
        <w:t>式中：</w:t>
      </w:r>
    </w:p>
    <w:p>
      <w:pPr>
        <w:pStyle w:val="243"/>
        <w:spacing w:line="300" w:lineRule="auto"/>
        <w:rPr>
          <w:color w:val="auto"/>
          <w:szCs w:val="32"/>
          <w:highlight w:val="none"/>
        </w:rPr>
      </w:pPr>
      <w:r>
        <w:rPr>
          <w:color w:val="auto"/>
          <w:szCs w:val="32"/>
          <w:highlight w:val="none"/>
        </w:rPr>
        <w:object>
          <v:shape id="_x0000_i1051" o:spt="75" type="#_x0000_t75" style="height:15.05pt;width:15.05pt;" o:ole="t" filled="f" o:preferrelative="t" stroked="f" coordsize="21600,21600">
            <v:path/>
            <v:fill on="f" focussize="0,0"/>
            <v:stroke on="f" joinstyle="miter"/>
            <v:imagedata r:id="rId67" o:title=""/>
            <o:lock v:ext="edit" aspectratio="t"/>
            <w10:wrap type="none"/>
            <w10:anchorlock/>
          </v:shape>
          <o:OLEObject Type="Embed" ProgID="Equation.DSMT4" ShapeID="_x0000_i1051" DrawAspect="Content" ObjectID="_1468075751" r:id="rId66">
            <o:LockedField>false</o:LockedField>
          </o:OLEObject>
        </w:object>
      </w:r>
      <w:r>
        <w:rPr>
          <w:color w:val="auto"/>
          <w:szCs w:val="32"/>
          <w:highlight w:val="none"/>
        </w:rPr>
        <w:t>——微型智能电流传感器的零点输出；</w:t>
      </w:r>
    </w:p>
    <w:p>
      <w:pPr>
        <w:pStyle w:val="243"/>
        <w:keepNext w:val="0"/>
        <w:keepLines w:val="0"/>
        <w:pageBreakBefore w:val="0"/>
        <w:widowControl w:val="0"/>
        <w:kinsoku/>
        <w:wordWrap/>
        <w:overflowPunct/>
        <w:topLinePunct w:val="0"/>
        <w:autoSpaceDE/>
        <w:autoSpaceDN/>
        <w:bidi w:val="0"/>
        <w:adjustRightInd w:val="0"/>
        <w:snapToGrid/>
        <w:spacing w:line="300" w:lineRule="auto"/>
        <w:ind w:firstLine="300" w:firstLineChars="0"/>
        <w:textAlignment w:val="center"/>
        <w:rPr>
          <w:color w:val="auto"/>
          <w:szCs w:val="32"/>
          <w:highlight w:val="none"/>
        </w:rPr>
      </w:pPr>
      <w:r>
        <w:rPr>
          <w:color w:val="auto"/>
          <w:szCs w:val="32"/>
          <w:highlight w:val="none"/>
        </w:rPr>
        <w:object>
          <v:shape id="_x0000_i1052" o:spt="75" type="#_x0000_t75" style="height:15.05pt;width:21.2pt;" o:ole="t" filled="f" o:preferrelative="t" stroked="f" coordsize="21600,21600">
            <v:path/>
            <v:fill on="f" focussize="0,0"/>
            <v:stroke on="f" joinstyle="miter"/>
            <v:imagedata r:id="rId69" o:title=""/>
            <o:lock v:ext="edit" aspectratio="t"/>
            <w10:wrap type="none"/>
            <w10:anchorlock/>
          </v:shape>
          <o:OLEObject Type="Embed" ProgID="Equation.DSMT4" ShapeID="_x0000_i1052" DrawAspect="Content" ObjectID="_1468075752" r:id="rId68">
            <o:LockedField>false</o:LockedField>
          </o:OLEObject>
        </w:object>
      </w:r>
      <w:r>
        <w:rPr>
          <w:color w:val="auto"/>
          <w:szCs w:val="32"/>
          <w:highlight w:val="none"/>
        </w:rPr>
        <w:t>——微型智能电流传感器的最大零点输出；</w:t>
      </w:r>
    </w:p>
    <w:p>
      <w:pPr>
        <w:pStyle w:val="243"/>
        <w:keepNext w:val="0"/>
        <w:keepLines w:val="0"/>
        <w:pageBreakBefore w:val="0"/>
        <w:widowControl w:val="0"/>
        <w:kinsoku/>
        <w:wordWrap/>
        <w:overflowPunct/>
        <w:topLinePunct w:val="0"/>
        <w:autoSpaceDE/>
        <w:autoSpaceDN/>
        <w:bidi w:val="0"/>
        <w:adjustRightInd w:val="0"/>
        <w:snapToGrid/>
        <w:spacing w:line="300" w:lineRule="auto"/>
        <w:ind w:firstLine="414" w:firstLineChars="0"/>
        <w:textAlignment w:val="center"/>
        <w:rPr>
          <w:color w:val="auto"/>
          <w:szCs w:val="32"/>
          <w:highlight w:val="none"/>
        </w:rPr>
      </w:pPr>
      <w:r>
        <w:rPr>
          <w:color w:val="auto"/>
          <w:szCs w:val="32"/>
          <w:highlight w:val="none"/>
        </w:rPr>
        <w:object>
          <v:shape id="_x0000_i1053" o:spt="75" type="#_x0000_t75" style="height:15.05pt;width:15.65pt;" o:ole="t" filled="f" o:preferrelative="t" stroked="f" coordsize="21600,21600">
            <v:path/>
            <v:fill on="f" focussize="0,0"/>
            <v:stroke on="f" joinstyle="miter"/>
            <v:imagedata r:id="rId34" o:title=""/>
            <o:lock v:ext="edit" aspectratio="t"/>
            <w10:wrap type="none"/>
            <w10:anchorlock/>
          </v:shape>
          <o:OLEObject Type="Embed" ProgID="Equation.DSMT4" ShapeID="_x0000_i1053" DrawAspect="Content" ObjectID="_1468075753" r:id="rId70">
            <o:LockedField>false</o:LockedField>
          </o:OLEObject>
        </w:object>
      </w:r>
      <w:r>
        <w:rPr>
          <w:color w:val="auto"/>
          <w:szCs w:val="32"/>
          <w:highlight w:val="none"/>
        </w:rPr>
        <w:t>——微型智能电流传感器的满量程输出。</w:t>
      </w:r>
    </w:p>
    <w:p>
      <w:pPr>
        <w:pStyle w:val="65"/>
        <w:spacing w:before="156" w:after="156"/>
        <w:rPr>
          <w:color w:val="auto"/>
          <w:highlight w:val="none"/>
        </w:rPr>
      </w:pPr>
      <w:bookmarkStart w:id="359" w:name="_Toc23560"/>
      <w:r>
        <w:rPr>
          <w:rStyle w:val="239"/>
          <w:rFonts w:ascii="Times New Roman"/>
          <w:color w:val="auto"/>
          <w:highlight w:val="none"/>
        </w:rPr>
        <w:t>分辨力</w:t>
      </w:r>
      <w:bookmarkEnd w:id="359"/>
    </w:p>
    <w:p>
      <w:pPr>
        <w:pStyle w:val="243"/>
        <w:adjustRightInd/>
        <w:spacing w:line="300" w:lineRule="auto"/>
        <w:rPr>
          <w:color w:val="auto"/>
          <w:szCs w:val="32"/>
          <w:highlight w:val="none"/>
        </w:rPr>
      </w:pPr>
      <w:r>
        <w:rPr>
          <w:color w:val="auto"/>
          <w:szCs w:val="32"/>
          <w:highlight w:val="none"/>
        </w:rPr>
        <w:t>根据标称的测量范围，调整被测电流，施加电流</w:t>
      </w:r>
      <w:r>
        <w:rPr>
          <w:color w:val="auto"/>
          <w:szCs w:val="32"/>
          <w:highlight w:val="none"/>
        </w:rPr>
        <w:object>
          <v:shape id="_x0000_i1054" o:spt="75" type="#_x0000_t75" style="height:11.15pt;width:15.05pt;" o:ole="t" filled="f" o:preferrelative="t" stroked="f" coordsize="21600,21600">
            <v:path/>
            <v:fill on="f" focussize="0,0"/>
            <v:stroke on="f" joinstyle="miter"/>
            <v:imagedata r:id="rId72" o:title=""/>
            <o:lock v:ext="edit" aspectratio="t"/>
            <w10:wrap type="none"/>
            <w10:anchorlock/>
          </v:shape>
          <o:OLEObject Type="Embed" ProgID="Equation.DSMT4" ShapeID="_x0000_i1054" DrawAspect="Content" ObjectID="_1468075754" r:id="rId71">
            <o:LockedField>false</o:LockedField>
          </o:OLEObject>
        </w:object>
      </w:r>
      <w:r>
        <w:rPr>
          <w:color w:val="auto"/>
          <w:szCs w:val="32"/>
          <w:highlight w:val="none"/>
        </w:rPr>
        <w:t>（应为规定的分辨力数值），读取输出值</w:t>
      </w:r>
      <w:r>
        <w:rPr>
          <w:color w:val="auto"/>
          <w:szCs w:val="32"/>
          <w:highlight w:val="none"/>
        </w:rPr>
        <w:object>
          <v:shape id="_x0000_i1055" o:spt="75" type="#_x0000_t75" style="height:15.05pt;width:9.5pt;" o:ole="t" filled="f" o:preferrelative="t" stroked="f" coordsize="21600,21600">
            <v:path/>
            <v:fill on="f" focussize="0,0"/>
            <v:stroke on="f" joinstyle="miter"/>
            <v:imagedata r:id="rId74" o:title=""/>
            <o:lock v:ext="edit" aspectratio="t"/>
            <w10:wrap type="none"/>
            <w10:anchorlock/>
          </v:shape>
          <o:OLEObject Type="Embed" ProgID="Equation.DSMT4" ShapeID="_x0000_i1055" DrawAspect="Content" ObjectID="_1468075755" r:id="rId73">
            <o:LockedField>false</o:LockedField>
          </o:OLEObject>
        </w:object>
      </w:r>
      <w:r>
        <w:rPr>
          <w:color w:val="auto"/>
          <w:szCs w:val="32"/>
          <w:highlight w:val="none"/>
        </w:rPr>
        <w:t>，将电流增大到</w:t>
      </w:r>
      <w:r>
        <w:rPr>
          <w:color w:val="auto"/>
          <w:szCs w:val="32"/>
          <w:highlight w:val="none"/>
        </w:rPr>
        <w:object>
          <v:shape id="_x0000_i1056" o:spt="75" type="#_x0000_t75" style="height:11.15pt;width:20.1pt;" o:ole="t" filled="f" o:preferrelative="t" stroked="f" coordsize="21600,21600">
            <v:path/>
            <v:fill on="f" focussize="0,0"/>
            <v:stroke on="f" joinstyle="miter"/>
            <v:imagedata r:id="rId76" o:title=""/>
            <o:lock v:ext="edit" aspectratio="t"/>
            <w10:wrap type="none"/>
            <w10:anchorlock/>
          </v:shape>
          <o:OLEObject Type="Embed" ProgID="Equation.DSMT4" ShapeID="_x0000_i1056" DrawAspect="Content" ObjectID="_1468075756" r:id="rId75">
            <o:LockedField>false</o:LockedField>
          </o:OLEObject>
        </w:object>
      </w:r>
      <w:r>
        <w:rPr>
          <w:color w:val="auto"/>
          <w:szCs w:val="32"/>
          <w:highlight w:val="none"/>
        </w:rPr>
        <w:t>，读取输出值</w:t>
      </w:r>
      <w:r>
        <w:rPr>
          <w:color w:val="auto"/>
          <w:szCs w:val="32"/>
          <w:highlight w:val="none"/>
        </w:rPr>
        <w:object>
          <v:shape id="_x0000_i1057" o:spt="75" type="#_x0000_t75" style="height:15.05pt;width:11.15pt;" o:ole="t" filled="f" o:preferrelative="t" stroked="f" coordsize="21600,21600">
            <v:path/>
            <v:fill on="f" focussize="0,0"/>
            <v:stroke on="f" joinstyle="miter"/>
            <v:imagedata r:id="rId78" o:title=""/>
            <o:lock v:ext="edit" aspectratio="t"/>
            <w10:wrap type="none"/>
            <w10:anchorlock/>
          </v:shape>
          <o:OLEObject Type="Embed" ProgID="Equation.DSMT4" ShapeID="_x0000_i1057" DrawAspect="Content" ObjectID="_1468075757" r:id="rId77">
            <o:LockedField>false</o:LockedField>
          </o:OLEObject>
        </w:object>
      </w:r>
      <w:r>
        <w:rPr>
          <w:color w:val="auto"/>
          <w:szCs w:val="32"/>
          <w:highlight w:val="none"/>
        </w:rPr>
        <w:t>，将电流减小到0，读取输出值</w:t>
      </w:r>
      <w:r>
        <w:rPr>
          <w:color w:val="auto"/>
          <w:szCs w:val="32"/>
          <w:highlight w:val="none"/>
        </w:rPr>
        <w:object>
          <v:shape id="_x0000_i1058" o:spt="75" type="#_x0000_t75" style="height:15.05pt;width:11.15pt;" o:ole="t" filled="f" o:preferrelative="t" stroked="f" coordsize="21600,21600">
            <v:path/>
            <v:fill on="f" focussize="0,0"/>
            <v:stroke on="f" joinstyle="miter"/>
            <v:imagedata r:id="rId80" o:title=""/>
            <o:lock v:ext="edit" aspectratio="t"/>
            <w10:wrap type="none"/>
            <w10:anchorlock/>
          </v:shape>
          <o:OLEObject Type="Embed" ProgID="Equation.DSMT4" ShapeID="_x0000_i1058" DrawAspect="Content" ObjectID="_1468075758" r:id="rId79">
            <o:LockedField>false</o:LockedField>
          </o:OLEObject>
        </w:object>
      </w:r>
      <w:r>
        <w:rPr>
          <w:color w:val="auto"/>
          <w:szCs w:val="32"/>
          <w:highlight w:val="none"/>
        </w:rPr>
        <w:t>。</w:t>
      </w:r>
    </w:p>
    <w:p>
      <w:pPr>
        <w:pStyle w:val="243"/>
        <w:adjustRightInd/>
        <w:spacing w:line="300" w:lineRule="auto"/>
        <w:rPr>
          <w:color w:val="auto"/>
          <w:szCs w:val="32"/>
          <w:highlight w:val="none"/>
        </w:rPr>
      </w:pPr>
      <w:r>
        <w:rPr>
          <w:color w:val="auto"/>
          <w:szCs w:val="32"/>
          <w:highlight w:val="none"/>
        </w:rPr>
        <w:t>应满足：</w:t>
      </w:r>
      <w:r>
        <w:rPr>
          <w:color w:val="auto"/>
          <w:szCs w:val="32"/>
          <w:highlight w:val="none"/>
        </w:rPr>
        <w:object>
          <v:shape id="_x0000_i1059" o:spt="75" type="#_x0000_t75" style="height:15.05pt;width:48.55pt;" o:ole="t" filled="f" o:preferrelative="t" stroked="f" coordsize="21600,21600">
            <v:path/>
            <v:fill on="f" focussize="0,0"/>
            <v:stroke on="f" joinstyle="miter"/>
            <v:imagedata r:id="rId82" o:title=""/>
            <o:lock v:ext="edit" aspectratio="t"/>
            <w10:wrap type="none"/>
            <w10:anchorlock/>
          </v:shape>
          <o:OLEObject Type="Embed" ProgID="Equation.DSMT4" ShapeID="_x0000_i1059" DrawAspect="Content" ObjectID="_1468075759" r:id="rId81">
            <o:LockedField>false</o:LockedField>
          </o:OLEObject>
        </w:object>
      </w:r>
      <w:r>
        <w:rPr>
          <w:color w:val="auto"/>
          <w:szCs w:val="32"/>
          <w:highlight w:val="none"/>
        </w:rPr>
        <w:t>，则分辨力为</w:t>
      </w:r>
      <w:r>
        <w:rPr>
          <w:color w:val="auto"/>
          <w:szCs w:val="32"/>
          <w:highlight w:val="none"/>
        </w:rPr>
        <w:object>
          <v:shape id="_x0000_i1060" o:spt="75" type="#_x0000_t75" style="height:11.15pt;width:15.05pt;" o:ole="t" filled="f" o:preferrelative="t" stroked="f" coordsize="21600,21600">
            <v:path/>
            <v:fill on="f" focussize="0,0"/>
            <v:stroke on="f" joinstyle="miter"/>
            <v:imagedata r:id="rId72" o:title=""/>
            <o:lock v:ext="edit" aspectratio="t"/>
            <w10:wrap type="none"/>
            <w10:anchorlock/>
          </v:shape>
          <o:OLEObject Type="Embed" ProgID="Equation.DSMT4" ShapeID="_x0000_i1060" DrawAspect="Content" ObjectID="_1468075760" r:id="rId83">
            <o:LockedField>false</o:LockedField>
          </o:OLEObject>
        </w:object>
      </w:r>
      <w:r>
        <w:rPr>
          <w:color w:val="auto"/>
          <w:szCs w:val="32"/>
          <w:highlight w:val="none"/>
        </w:rPr>
        <w:t>。</w:t>
      </w:r>
    </w:p>
    <w:p>
      <w:pPr>
        <w:pStyle w:val="65"/>
        <w:spacing w:before="156" w:after="156"/>
        <w:rPr>
          <w:color w:val="auto"/>
          <w:highlight w:val="none"/>
        </w:rPr>
      </w:pPr>
      <w:bookmarkStart w:id="360" w:name="_Toc10182"/>
      <w:r>
        <w:rPr>
          <w:rStyle w:val="239"/>
          <w:rFonts w:ascii="Times New Roman"/>
          <w:color w:val="auto"/>
          <w:highlight w:val="none"/>
        </w:rPr>
        <w:t>温度漂移</w:t>
      </w:r>
      <w:bookmarkEnd w:id="360"/>
    </w:p>
    <w:p>
      <w:pPr>
        <w:pStyle w:val="243"/>
        <w:spacing w:line="300" w:lineRule="auto"/>
        <w:rPr>
          <w:color w:val="auto"/>
          <w:szCs w:val="32"/>
          <w:highlight w:val="none"/>
        </w:rPr>
      </w:pPr>
      <w:r>
        <w:rPr>
          <w:color w:val="auto"/>
          <w:szCs w:val="32"/>
          <w:highlight w:val="none"/>
        </w:rPr>
        <w:t>除另有规定外，微型智能电流传感器放入高低温实验箱内，分别在室温、上限工作温度（温度偏差</w:t>
      </w:r>
      <w:r>
        <w:rPr>
          <w:color w:val="auto"/>
          <w:szCs w:val="32"/>
          <w:highlight w:val="none"/>
        </w:rPr>
        <w:object>
          <v:shape id="_x0000_i1061" o:spt="75" type="#_x0000_t75" style="height:11.15pt;width:11.15pt;" o:ole="t" filled="f" o:preferrelative="t" stroked="f" coordsize="21600,21600">
            <v:path/>
            <v:fill on="f" focussize="0,0"/>
            <v:stroke on="f" joinstyle="miter"/>
            <v:imagedata r:id="rId85" o:title=""/>
            <o:lock v:ext="edit" aspectratio="t"/>
            <w10:wrap type="none"/>
            <w10:anchorlock/>
          </v:shape>
          <o:OLEObject Type="Embed" ProgID="Equation.DSMT4" ShapeID="_x0000_i1061" DrawAspect="Content" ObjectID="_1468075761" r:id="rId84">
            <o:LockedField>false</o:LockedField>
          </o:OLEObject>
        </w:object>
      </w:r>
      <w:r>
        <w:rPr>
          <w:color w:val="auto"/>
          <w:szCs w:val="32"/>
          <w:highlight w:val="none"/>
        </w:rPr>
        <w:t>2</w:t>
      </w:r>
      <w:r>
        <w:rPr>
          <w:rFonts w:hint="eastAsia"/>
          <w:color w:val="auto"/>
          <w:szCs w:val="32"/>
          <w:highlight w:val="none"/>
        </w:rPr>
        <w:t xml:space="preserve"> </w:t>
      </w:r>
      <w:r>
        <w:rPr>
          <w:color w:val="auto"/>
          <w:szCs w:val="32"/>
          <w:highlight w:val="none"/>
        </w:rPr>
        <w:t>℃）、下限工作温度（温度偏差</w:t>
      </w:r>
      <w:r>
        <w:rPr>
          <w:color w:val="auto"/>
          <w:szCs w:val="32"/>
          <w:highlight w:val="none"/>
        </w:rPr>
        <w:object>
          <v:shape id="_x0000_i1062" o:spt="75" type="#_x0000_t75" style="height:11.15pt;width:11.15pt;" o:ole="t" filled="f" o:preferrelative="t" stroked="f" coordsize="21600,21600">
            <v:path/>
            <v:fill on="f" focussize="0,0"/>
            <v:stroke on="f" joinstyle="miter"/>
            <v:imagedata r:id="rId85" o:title=""/>
            <o:lock v:ext="edit" aspectratio="t"/>
            <w10:wrap type="none"/>
            <w10:anchorlock/>
          </v:shape>
          <o:OLEObject Type="Embed" ProgID="Equation.DSMT4" ShapeID="_x0000_i1062" DrawAspect="Content" ObjectID="_1468075762" r:id="rId86">
            <o:LockedField>false</o:LockedField>
          </o:OLEObject>
        </w:object>
      </w:r>
      <w:r>
        <w:rPr>
          <w:color w:val="auto"/>
          <w:szCs w:val="32"/>
          <w:highlight w:val="none"/>
        </w:rPr>
        <w:t>2</w:t>
      </w:r>
      <w:r>
        <w:rPr>
          <w:rFonts w:hint="eastAsia"/>
          <w:color w:val="auto"/>
          <w:szCs w:val="32"/>
          <w:highlight w:val="none"/>
        </w:rPr>
        <w:t xml:space="preserve"> </w:t>
      </w:r>
      <w:r>
        <w:rPr>
          <w:color w:val="auto"/>
          <w:szCs w:val="32"/>
          <w:highlight w:val="none"/>
        </w:rPr>
        <w:t>℃）保温，直至微型智能电流传感器温度稳定，记录上述温度时额定电流下的输出值。取两者最大值作为温度漂移值，温度漂移计算公式如下：</w:t>
      </w:r>
    </w:p>
    <w:p>
      <w:pPr>
        <w:pStyle w:val="113"/>
        <w:rPr>
          <w:color w:val="auto"/>
          <w:highlight w:val="none"/>
        </w:rPr>
      </w:pPr>
      <w:r>
        <w:rPr>
          <w:color w:val="auto"/>
          <w:highlight w:val="none"/>
        </w:rPr>
        <w:tab/>
      </w:r>
      <w:r>
        <w:rPr>
          <w:color w:val="auto"/>
          <w:position w:val="-30"/>
          <w:highlight w:val="none"/>
        </w:rPr>
        <w:object>
          <v:shape id="_x0000_i1063" o:spt="75" type="#_x0000_t75" style="height:34.05pt;width:117.2pt;" o:ole="t" filled="f" o:preferrelative="t" stroked="f" coordsize="21600,21600">
            <v:path/>
            <v:fill on="f" focussize="0,0"/>
            <v:stroke on="f" joinstyle="miter"/>
            <v:imagedata r:id="rId88" o:title=""/>
            <o:lock v:ext="edit" aspectratio="t"/>
            <w10:wrap type="none"/>
            <w10:anchorlock/>
          </v:shape>
          <o:OLEObject Type="Embed" ProgID="Equation.DSMT4" ShapeID="_x0000_i1063" DrawAspect="Content" ObjectID="_1468075763" r:id="rId87">
            <o:LockedField>false</o:LockedField>
          </o:OLEObject>
        </w:object>
      </w:r>
      <w:r>
        <w:rPr>
          <w:rFonts w:ascii="微软雅黑" w:hAnsi="微软雅黑" w:eastAsia="微软雅黑"/>
          <w:color w:val="auto"/>
          <w:highlight w:val="none"/>
        </w:rPr>
        <w:tab/>
      </w:r>
      <w:r>
        <w:rPr>
          <w:color w:val="auto"/>
          <w:highlight w:val="none"/>
        </w:rPr>
        <w:t>(</w:t>
      </w:r>
      <w:r>
        <w:rPr>
          <w:rFonts w:hint="eastAsia"/>
          <w:color w:val="auto"/>
          <w:highlight w:val="none"/>
          <w:lang w:val="en-US" w:eastAsia="zh-CN"/>
        </w:rPr>
        <w:t>7</w:t>
      </w:r>
      <w:r>
        <w:rPr>
          <w:color w:val="auto"/>
          <w:highlight w:val="none"/>
        </w:rPr>
        <w:t>)</w:t>
      </w:r>
    </w:p>
    <w:p>
      <w:pPr>
        <w:pStyle w:val="55"/>
        <w:ind w:firstLine="420"/>
        <w:rPr>
          <w:rFonts w:hint="eastAsia"/>
          <w:color w:val="auto"/>
          <w:highlight w:val="none"/>
        </w:rPr>
      </w:pPr>
      <w:r>
        <w:rPr>
          <w:rFonts w:hint="eastAsia"/>
          <w:color w:val="auto"/>
          <w:highlight w:val="none"/>
        </w:rPr>
        <w:t>式中：</w:t>
      </w:r>
    </w:p>
    <w:p>
      <w:pPr>
        <w:pStyle w:val="243"/>
        <w:adjustRightInd/>
        <w:spacing w:line="312" w:lineRule="exact"/>
        <w:rPr>
          <w:rFonts w:hint="eastAsia" w:eastAsia="宋体"/>
          <w:color w:val="auto"/>
          <w:szCs w:val="32"/>
          <w:highlight w:val="none"/>
          <w:lang w:eastAsia="zh-CN"/>
        </w:rPr>
      </w:pPr>
      <w:r>
        <w:rPr>
          <w:color w:val="auto"/>
          <w:szCs w:val="32"/>
          <w:highlight w:val="none"/>
        </w:rPr>
        <w:object>
          <v:shape id="_x0000_i1064" o:spt="75" type="#_x0000_t75" style="height:11.15pt;width:11.15pt;" o:ole="t" filled="f" o:preferrelative="t" stroked="f" coordsize="21600,21600">
            <v:path/>
            <v:fill on="f" focussize="0,0"/>
            <v:stroke on="f" joinstyle="miter"/>
            <v:imagedata r:id="rId90" o:title=""/>
            <o:lock v:ext="edit" aspectratio="t"/>
            <w10:wrap type="none"/>
            <w10:anchorlock/>
          </v:shape>
          <o:OLEObject Type="Embed" ProgID="Equation.DSMT4" ShapeID="_x0000_i1064" DrawAspect="Content" ObjectID="_1468075764" r:id="rId89">
            <o:LockedField>false</o:LockedField>
          </o:OLEObject>
        </w:object>
      </w:r>
      <w:r>
        <w:rPr>
          <w:color w:val="auto"/>
          <w:szCs w:val="32"/>
          <w:highlight w:val="none"/>
        </w:rPr>
        <w:t>——温度漂移值</w:t>
      </w:r>
      <w:r>
        <w:rPr>
          <w:rFonts w:hint="eastAsia"/>
          <w:color w:val="auto"/>
          <w:szCs w:val="32"/>
          <w:highlight w:val="none"/>
          <w:lang w:eastAsia="zh-CN"/>
        </w:rPr>
        <w:t>；</w:t>
      </w:r>
    </w:p>
    <w:p>
      <w:pPr>
        <w:pStyle w:val="243"/>
        <w:adjustRightInd/>
        <w:spacing w:line="312" w:lineRule="exact"/>
        <w:rPr>
          <w:rFonts w:hint="eastAsia" w:eastAsia="宋体"/>
          <w:color w:val="auto"/>
          <w:szCs w:val="32"/>
          <w:highlight w:val="none"/>
          <w:lang w:eastAsia="zh-CN"/>
        </w:rPr>
      </w:pPr>
      <w:r>
        <w:rPr>
          <w:color w:val="auto"/>
          <w:szCs w:val="32"/>
          <w:highlight w:val="none"/>
        </w:rPr>
        <w:object>
          <v:shape id="_x0000_i1065" o:spt="75" type="#_x0000_t75" style="height:17.3pt;width:11.15pt;" o:ole="t" filled="f" o:preferrelative="t" stroked="f" coordsize="21600,21600">
            <v:path/>
            <v:fill on="f" focussize="0,0"/>
            <v:stroke on="f" joinstyle="miter"/>
            <v:imagedata r:id="rId92" o:title=""/>
            <o:lock v:ext="edit" aspectratio="t"/>
            <w10:wrap type="none"/>
            <w10:anchorlock/>
          </v:shape>
          <o:OLEObject Type="Embed" ProgID="Equation.DSMT4" ShapeID="_x0000_i1065" DrawAspect="Content" ObjectID="_1468075765" r:id="rId91">
            <o:LockedField>false</o:LockedField>
          </o:OLEObject>
        </w:object>
      </w:r>
      <w:r>
        <w:rPr>
          <w:color w:val="auto"/>
          <w:szCs w:val="32"/>
          <w:highlight w:val="none"/>
        </w:rPr>
        <w:t>——室温</w:t>
      </w:r>
      <w:r>
        <w:rPr>
          <w:rFonts w:hint="eastAsia"/>
          <w:color w:val="auto"/>
          <w:szCs w:val="32"/>
          <w:highlight w:val="none"/>
          <w:lang w:eastAsia="zh-CN"/>
        </w:rPr>
        <w:t>；</w:t>
      </w:r>
    </w:p>
    <w:p>
      <w:pPr>
        <w:pStyle w:val="243"/>
        <w:keepNext w:val="0"/>
        <w:keepLines w:val="0"/>
        <w:pageBreakBefore w:val="0"/>
        <w:widowControl w:val="0"/>
        <w:kinsoku/>
        <w:wordWrap/>
        <w:overflowPunct/>
        <w:topLinePunct w:val="0"/>
        <w:autoSpaceDE/>
        <w:autoSpaceDN/>
        <w:bidi w:val="0"/>
        <w:adjustRightInd/>
        <w:snapToGrid/>
        <w:spacing w:line="312" w:lineRule="exact"/>
        <w:ind w:firstLine="397" w:firstLineChars="0"/>
        <w:textAlignment w:val="center"/>
        <w:rPr>
          <w:rFonts w:hint="eastAsia" w:eastAsia="宋体"/>
          <w:color w:val="auto"/>
          <w:szCs w:val="32"/>
          <w:highlight w:val="none"/>
          <w:lang w:eastAsia="zh-CN"/>
        </w:rPr>
      </w:pPr>
      <w:r>
        <w:rPr>
          <w:color w:val="auto"/>
          <w:szCs w:val="32"/>
          <w:highlight w:val="none"/>
        </w:rPr>
        <w:object>
          <v:shape id="_x0000_i1066" o:spt="75" type="#_x0000_t75" style="height:17.3pt;width:12.85pt;" o:ole="t" filled="f" o:preferrelative="t" stroked="f" coordsize="21600,21600">
            <v:path/>
            <v:fill on="f" focussize="0,0"/>
            <v:stroke on="f" joinstyle="miter"/>
            <v:imagedata r:id="rId94" o:title=""/>
            <o:lock v:ext="edit" aspectratio="t"/>
            <w10:wrap type="none"/>
            <w10:anchorlock/>
          </v:shape>
          <o:OLEObject Type="Embed" ProgID="Equation.DSMT4" ShapeID="_x0000_i1066" DrawAspect="Content" ObjectID="_1468075766" r:id="rId93">
            <o:LockedField>false</o:LockedField>
          </o:OLEObject>
        </w:object>
      </w:r>
      <w:r>
        <w:rPr>
          <w:color w:val="auto"/>
          <w:szCs w:val="32"/>
          <w:highlight w:val="none"/>
        </w:rPr>
        <w:t>——为上限工作温度或下限工作温度</w:t>
      </w:r>
      <w:r>
        <w:rPr>
          <w:rFonts w:hint="eastAsia"/>
          <w:color w:val="auto"/>
          <w:szCs w:val="32"/>
          <w:highlight w:val="none"/>
          <w:lang w:eastAsia="zh-CN"/>
        </w:rPr>
        <w:t>；</w:t>
      </w:r>
    </w:p>
    <w:p>
      <w:pPr>
        <w:pStyle w:val="243"/>
        <w:keepNext w:val="0"/>
        <w:keepLines w:val="0"/>
        <w:pageBreakBefore w:val="0"/>
        <w:widowControl w:val="0"/>
        <w:kinsoku/>
        <w:wordWrap/>
        <w:overflowPunct/>
        <w:topLinePunct w:val="0"/>
        <w:autoSpaceDE/>
        <w:autoSpaceDN/>
        <w:bidi w:val="0"/>
        <w:adjustRightInd/>
        <w:snapToGrid/>
        <w:spacing w:line="312" w:lineRule="exact"/>
        <w:ind w:firstLine="119" w:firstLineChars="0"/>
        <w:textAlignment w:val="center"/>
        <w:rPr>
          <w:color w:val="auto"/>
          <w:szCs w:val="32"/>
          <w:highlight w:val="none"/>
        </w:rPr>
      </w:pPr>
      <w:r>
        <w:rPr>
          <w:color w:val="auto"/>
          <w:szCs w:val="32"/>
          <w:highlight w:val="none"/>
        </w:rPr>
        <w:object>
          <v:shape id="_x0000_i1067" o:spt="75" type="#_x0000_t75" style="height:17.3pt;width:26.8pt;" o:ole="t" filled="f" o:preferrelative="t" stroked="f" coordsize="21600,21600">
            <v:path/>
            <v:fill on="f" focussize="0,0"/>
            <v:stroke on="f" joinstyle="miter"/>
            <v:imagedata r:id="rId96" o:title=""/>
            <o:lock v:ext="edit" aspectratio="t"/>
            <w10:wrap type="none"/>
            <w10:anchorlock/>
          </v:shape>
          <o:OLEObject Type="Embed" ProgID="Equation.DSMT4" ShapeID="_x0000_i1067" DrawAspect="Content" ObjectID="_1468075767" r:id="rId95">
            <o:LockedField>false</o:LockedField>
          </o:OLEObject>
        </w:object>
      </w:r>
      <w:r>
        <w:rPr>
          <w:color w:val="auto"/>
          <w:szCs w:val="32"/>
          <w:highlight w:val="none"/>
        </w:rPr>
        <w:t>——室温下施加额定电流时的输出值；</w:t>
      </w:r>
    </w:p>
    <w:p>
      <w:pPr>
        <w:pStyle w:val="243"/>
        <w:keepNext w:val="0"/>
        <w:keepLines w:val="0"/>
        <w:pageBreakBefore w:val="0"/>
        <w:widowControl w:val="0"/>
        <w:kinsoku/>
        <w:wordWrap/>
        <w:overflowPunct/>
        <w:topLinePunct w:val="0"/>
        <w:autoSpaceDE/>
        <w:autoSpaceDN/>
        <w:bidi w:val="0"/>
        <w:adjustRightInd/>
        <w:snapToGrid/>
        <w:spacing w:line="312" w:lineRule="exact"/>
        <w:ind w:firstLine="119" w:firstLineChars="0"/>
        <w:textAlignment w:val="center"/>
        <w:rPr>
          <w:color w:val="auto"/>
          <w:szCs w:val="32"/>
          <w:highlight w:val="none"/>
        </w:rPr>
      </w:pPr>
      <w:r>
        <w:rPr>
          <w:color w:val="auto"/>
          <w:szCs w:val="32"/>
          <w:highlight w:val="none"/>
        </w:rPr>
        <w:object>
          <v:shape id="_x0000_i1068" o:spt="75" type="#_x0000_t75" style="height:17.3pt;width:27.9pt;" o:ole="t" filled="f" o:preferrelative="t" stroked="f" coordsize="21600,21600">
            <v:path/>
            <v:fill on="f" focussize="0,0"/>
            <v:stroke on="f" joinstyle="miter"/>
            <v:imagedata r:id="rId98" o:title=""/>
            <o:lock v:ext="edit" aspectratio="t"/>
            <w10:wrap type="none"/>
            <w10:anchorlock/>
          </v:shape>
          <o:OLEObject Type="Embed" ProgID="Equation.DSMT4" ShapeID="_x0000_i1068" DrawAspect="Content" ObjectID="_1468075768" r:id="rId97">
            <o:LockedField>false</o:LockedField>
          </o:OLEObject>
        </w:object>
      </w:r>
      <w:r>
        <w:rPr>
          <w:color w:val="auto"/>
          <w:szCs w:val="32"/>
          <w:highlight w:val="none"/>
        </w:rPr>
        <w:t>——上限工作温度或下限工作温度下施加额定电流时的输出值；</w:t>
      </w:r>
    </w:p>
    <w:p>
      <w:pPr>
        <w:pStyle w:val="243"/>
        <w:keepNext w:val="0"/>
        <w:keepLines w:val="0"/>
        <w:pageBreakBefore w:val="0"/>
        <w:widowControl w:val="0"/>
        <w:kinsoku/>
        <w:wordWrap/>
        <w:overflowPunct/>
        <w:topLinePunct w:val="0"/>
        <w:autoSpaceDE/>
        <w:autoSpaceDN/>
        <w:bidi w:val="0"/>
        <w:adjustRightInd/>
        <w:snapToGrid/>
        <w:spacing w:line="312" w:lineRule="exact"/>
        <w:ind w:firstLine="380" w:firstLineChars="0"/>
        <w:textAlignment w:val="center"/>
        <w:rPr>
          <w:color w:val="auto"/>
          <w:szCs w:val="32"/>
          <w:highlight w:val="none"/>
        </w:rPr>
      </w:pPr>
      <w:r>
        <w:rPr>
          <w:color w:val="auto"/>
          <w:szCs w:val="32"/>
          <w:highlight w:val="none"/>
        </w:rPr>
        <w:object>
          <v:shape id="_x0000_i1069" o:spt="75" type="#_x0000_t75" style="height:17.3pt;width:15.05pt;" o:ole="t" filled="f" o:preferrelative="t" stroked="f" coordsize="21600,21600">
            <v:path/>
            <v:fill on="f" focussize="0,0"/>
            <v:stroke on="f" joinstyle="miter"/>
            <v:imagedata r:id="rId100" o:title=""/>
            <o:lock v:ext="edit" aspectratio="t"/>
            <w10:wrap type="none"/>
            <w10:anchorlock/>
          </v:shape>
          <o:OLEObject Type="Embed" ProgID="Equation.DSMT4" ShapeID="_x0000_i1069" DrawAspect="Content" ObjectID="_1468075769" r:id="rId99">
            <o:LockedField>false</o:LockedField>
          </o:OLEObject>
        </w:object>
      </w:r>
      <w:r>
        <w:rPr>
          <w:color w:val="auto"/>
          <w:szCs w:val="32"/>
          <w:highlight w:val="none"/>
        </w:rPr>
        <w:t>——额定电流值。</w:t>
      </w:r>
    </w:p>
    <w:p>
      <w:pPr>
        <w:pStyle w:val="65"/>
        <w:spacing w:before="156" w:after="156"/>
        <w:rPr>
          <w:color w:val="auto"/>
          <w:highlight w:val="none"/>
        </w:rPr>
      </w:pPr>
      <w:bookmarkStart w:id="361" w:name="_Toc15561"/>
      <w:r>
        <w:rPr>
          <w:rStyle w:val="239"/>
          <w:rFonts w:ascii="Times New Roman"/>
          <w:color w:val="auto"/>
          <w:highlight w:val="none"/>
        </w:rPr>
        <w:t>供电电源测试</w:t>
      </w:r>
      <w:bookmarkEnd w:id="361"/>
    </w:p>
    <w:p>
      <w:pPr>
        <w:pStyle w:val="243"/>
        <w:spacing w:line="300" w:lineRule="auto"/>
        <w:rPr>
          <w:color w:val="auto"/>
          <w:szCs w:val="32"/>
          <w:highlight w:val="none"/>
        </w:rPr>
      </w:pPr>
      <w:r>
        <w:rPr>
          <w:color w:val="auto"/>
          <w:szCs w:val="32"/>
          <w:highlight w:val="none"/>
        </w:rPr>
        <w:t>测试应在风速≤0.5</w:t>
      </w:r>
      <w:r>
        <w:rPr>
          <w:rFonts w:hint="eastAsia"/>
          <w:color w:val="auto"/>
          <w:szCs w:val="32"/>
          <w:highlight w:val="none"/>
        </w:rPr>
        <w:t xml:space="preserve"> </w:t>
      </w:r>
      <w:r>
        <w:rPr>
          <w:color w:val="auto"/>
          <w:szCs w:val="32"/>
          <w:highlight w:val="none"/>
        </w:rPr>
        <w:t>m/s的空间内进行。整个测试过程中，环境温度应控制在（23±5）℃。测试方法的目的是在一个持续或有限的时长内确定供电电源可支撑传感器正常工作。</w:t>
      </w:r>
    </w:p>
    <w:p>
      <w:pPr>
        <w:pStyle w:val="243"/>
        <w:spacing w:line="300" w:lineRule="auto"/>
        <w:rPr>
          <w:color w:val="auto"/>
          <w:szCs w:val="32"/>
          <w:highlight w:val="none"/>
        </w:rPr>
      </w:pPr>
      <w:r>
        <w:rPr>
          <w:color w:val="auto"/>
          <w:szCs w:val="32"/>
          <w:highlight w:val="none"/>
        </w:rPr>
        <w:t>进行传感器如下供电电源测试：</w:t>
      </w:r>
    </w:p>
    <w:p>
      <w:pPr>
        <w:pStyle w:val="243"/>
        <w:spacing w:line="300" w:lineRule="auto"/>
        <w:rPr>
          <w:color w:val="auto"/>
          <w:szCs w:val="32"/>
          <w:highlight w:val="none"/>
        </w:rPr>
      </w:pPr>
      <w:r>
        <w:rPr>
          <w:color w:val="auto"/>
          <w:szCs w:val="32"/>
          <w:highlight w:val="none"/>
        </w:rPr>
        <w:t>将微型传感器接入被测导线，卸下传感器备用电池或备用电池输出为终止电压（将电池置于无作用状态），设置被测导线电流为1.5</w:t>
      </w:r>
      <w:r>
        <w:rPr>
          <w:rFonts w:hint="eastAsia"/>
          <w:color w:val="auto"/>
          <w:szCs w:val="32"/>
          <w:highlight w:val="none"/>
        </w:rPr>
        <w:t xml:space="preserve"> </w:t>
      </w:r>
      <w:r>
        <w:rPr>
          <w:color w:val="auto"/>
          <w:szCs w:val="32"/>
          <w:highlight w:val="none"/>
        </w:rPr>
        <w:t>A，传感器数据采集上传周期为10</w:t>
      </w:r>
      <w:r>
        <w:rPr>
          <w:rFonts w:hint="eastAsia"/>
          <w:color w:val="auto"/>
          <w:szCs w:val="32"/>
          <w:highlight w:val="none"/>
        </w:rPr>
        <w:t xml:space="preserve"> </w:t>
      </w:r>
      <w:r>
        <w:rPr>
          <w:color w:val="auto"/>
          <w:szCs w:val="32"/>
          <w:highlight w:val="none"/>
        </w:rPr>
        <w:t>s，从观察到第一个传感器数据开始，测试时间不少于30</w:t>
      </w:r>
      <w:r>
        <w:rPr>
          <w:rFonts w:hint="eastAsia"/>
          <w:color w:val="auto"/>
          <w:szCs w:val="32"/>
          <w:highlight w:val="none"/>
        </w:rPr>
        <w:t xml:space="preserve"> </w:t>
      </w:r>
      <w:r>
        <w:rPr>
          <w:color w:val="auto"/>
          <w:szCs w:val="32"/>
          <w:highlight w:val="none"/>
        </w:rPr>
        <w:t>min，应能观察到传感器按照设置的数据采集上传周期电流数据。</w:t>
      </w:r>
    </w:p>
    <w:p>
      <w:pPr>
        <w:pStyle w:val="65"/>
        <w:spacing w:before="156" w:after="156"/>
        <w:rPr>
          <w:color w:val="auto"/>
          <w:highlight w:val="none"/>
        </w:rPr>
      </w:pPr>
      <w:bookmarkStart w:id="362" w:name="_Toc7294"/>
      <w:r>
        <w:rPr>
          <w:rStyle w:val="239"/>
          <w:rFonts w:ascii="Times New Roman"/>
          <w:color w:val="auto"/>
          <w:highlight w:val="none"/>
        </w:rPr>
        <w:t>响应时间</w:t>
      </w:r>
      <w:bookmarkEnd w:id="362"/>
    </w:p>
    <w:p>
      <w:pPr>
        <w:pStyle w:val="243"/>
        <w:spacing w:line="300" w:lineRule="auto"/>
        <w:rPr>
          <w:color w:val="auto"/>
          <w:szCs w:val="32"/>
          <w:highlight w:val="none"/>
        </w:rPr>
      </w:pPr>
      <w:r>
        <w:rPr>
          <w:color w:val="auto"/>
          <w:szCs w:val="32"/>
          <w:highlight w:val="none"/>
        </w:rPr>
        <w:t>输入额定电流、无谐波分量、对称测试信号。以额定幅值的10％阶跃变化，装置输出幅值的跃变时刻（达到阶跃量的90％）的延时应不超过30</w:t>
      </w:r>
      <w:r>
        <w:rPr>
          <w:rFonts w:hint="eastAsia"/>
          <w:color w:val="auto"/>
          <w:szCs w:val="32"/>
          <w:highlight w:val="none"/>
        </w:rPr>
        <w:t xml:space="preserve"> </w:t>
      </w:r>
      <w:r>
        <w:rPr>
          <w:color w:val="auto"/>
          <w:szCs w:val="32"/>
          <w:highlight w:val="none"/>
        </w:rPr>
        <w:t>ms。</w:t>
      </w:r>
    </w:p>
    <w:p>
      <w:pPr>
        <w:pStyle w:val="65"/>
        <w:spacing w:before="156" w:after="156"/>
        <w:rPr>
          <w:color w:val="auto"/>
          <w:highlight w:val="none"/>
        </w:rPr>
      </w:pPr>
      <w:bookmarkStart w:id="363" w:name="_Toc19156"/>
      <w:r>
        <w:rPr>
          <w:rStyle w:val="239"/>
          <w:rFonts w:ascii="Times New Roman"/>
          <w:color w:val="auto"/>
          <w:highlight w:val="none"/>
        </w:rPr>
        <w:t>通信功能</w:t>
      </w:r>
      <w:bookmarkEnd w:id="363"/>
    </w:p>
    <w:p>
      <w:pPr>
        <w:numPr>
          <w:ilvl w:val="0"/>
          <w:numId w:val="42"/>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应能将电流、频率等数据和微型智能电流传感器的状态信息传送到主站；</w:t>
      </w:r>
    </w:p>
    <w:p>
      <w:pPr>
        <w:numPr>
          <w:ilvl w:val="0"/>
          <w:numId w:val="42"/>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宜支持远程修改参数定值，支持远程固件升级。</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364" w:name="_Toc24275"/>
      <w:bookmarkStart w:id="365" w:name="_Toc28474"/>
      <w:bookmarkStart w:id="366" w:name="_Toc21314"/>
      <w:bookmarkStart w:id="367" w:name="_Toc78"/>
      <w:bookmarkStart w:id="368" w:name="_Toc17272"/>
      <w:r>
        <w:rPr>
          <w:rFonts w:hint="eastAsia"/>
          <w:color w:val="auto"/>
          <w:highlight w:val="none"/>
        </w:rPr>
        <w:t>环境试验</w:t>
      </w:r>
      <w:bookmarkEnd w:id="364"/>
      <w:bookmarkEnd w:id="365"/>
      <w:bookmarkEnd w:id="366"/>
      <w:bookmarkEnd w:id="367"/>
      <w:bookmarkEnd w:id="368"/>
    </w:p>
    <w:p>
      <w:pPr>
        <w:pStyle w:val="65"/>
        <w:spacing w:before="156" w:after="156"/>
        <w:rPr>
          <w:color w:val="auto"/>
          <w:highlight w:val="none"/>
        </w:rPr>
      </w:pPr>
      <w:bookmarkStart w:id="369" w:name="_Toc6756"/>
      <w:r>
        <w:rPr>
          <w:rStyle w:val="239"/>
          <w:rFonts w:ascii="Times New Roman"/>
          <w:color w:val="auto"/>
          <w:highlight w:val="none"/>
        </w:rPr>
        <w:t>高温试验</w:t>
      </w:r>
      <w:bookmarkEnd w:id="369"/>
    </w:p>
    <w:p>
      <w:pPr>
        <w:pStyle w:val="243"/>
        <w:spacing w:line="300" w:lineRule="auto"/>
        <w:rPr>
          <w:color w:val="auto"/>
          <w:szCs w:val="32"/>
          <w:highlight w:val="none"/>
        </w:rPr>
      </w:pPr>
      <w:r>
        <w:rPr>
          <w:color w:val="auto"/>
          <w:szCs w:val="32"/>
          <w:highlight w:val="none"/>
        </w:rPr>
        <w:t>参照GB/T 2423.2中规定的试验方法对微型智能电流传感器进行85</w:t>
      </w:r>
      <w:r>
        <w:rPr>
          <w:rFonts w:hint="eastAsia"/>
          <w:color w:val="auto"/>
          <w:szCs w:val="32"/>
          <w:highlight w:val="none"/>
        </w:rPr>
        <w:t xml:space="preserve"> </w:t>
      </w:r>
      <w:r>
        <w:rPr>
          <w:color w:val="auto"/>
          <w:szCs w:val="32"/>
          <w:highlight w:val="none"/>
        </w:rPr>
        <w:t>℃高温2</w:t>
      </w:r>
      <w:r>
        <w:rPr>
          <w:rFonts w:hint="eastAsia"/>
          <w:color w:val="auto"/>
          <w:szCs w:val="32"/>
          <w:highlight w:val="none"/>
        </w:rPr>
        <w:t xml:space="preserve"> </w:t>
      </w:r>
      <w:r>
        <w:rPr>
          <w:color w:val="auto"/>
          <w:szCs w:val="32"/>
          <w:highlight w:val="none"/>
        </w:rPr>
        <w:t>h的试验，试验结束后在标准环境条件下进行恢复，恢复时间应足够使温度达到稳定，至少1</w:t>
      </w:r>
      <w:r>
        <w:rPr>
          <w:rFonts w:hint="eastAsia"/>
          <w:color w:val="auto"/>
          <w:szCs w:val="32"/>
          <w:highlight w:val="none"/>
        </w:rPr>
        <w:t xml:space="preserve"> </w:t>
      </w:r>
      <w:r>
        <w:rPr>
          <w:color w:val="auto"/>
          <w:szCs w:val="32"/>
          <w:highlight w:val="none"/>
        </w:rPr>
        <w:t>h。应满足6.12的要求。</w:t>
      </w:r>
    </w:p>
    <w:p>
      <w:pPr>
        <w:pStyle w:val="65"/>
        <w:spacing w:before="156" w:after="156"/>
        <w:rPr>
          <w:color w:val="auto"/>
          <w:highlight w:val="none"/>
        </w:rPr>
      </w:pPr>
      <w:bookmarkStart w:id="370" w:name="_Toc4904"/>
      <w:r>
        <w:rPr>
          <w:rStyle w:val="239"/>
          <w:rFonts w:ascii="Times New Roman"/>
          <w:color w:val="auto"/>
          <w:highlight w:val="none"/>
        </w:rPr>
        <w:t>低温试验</w:t>
      </w:r>
      <w:bookmarkEnd w:id="370"/>
    </w:p>
    <w:p>
      <w:pPr>
        <w:pStyle w:val="243"/>
        <w:spacing w:line="300" w:lineRule="auto"/>
        <w:rPr>
          <w:color w:val="auto"/>
          <w:szCs w:val="32"/>
          <w:highlight w:val="none"/>
        </w:rPr>
      </w:pPr>
      <w:r>
        <w:rPr>
          <w:color w:val="auto"/>
          <w:szCs w:val="32"/>
          <w:highlight w:val="none"/>
        </w:rPr>
        <w:t>参照GB/T 2423.1中规定的试验方法对微型智能电流传感器进行-40</w:t>
      </w:r>
      <w:r>
        <w:rPr>
          <w:rFonts w:hint="eastAsia"/>
          <w:color w:val="auto"/>
          <w:szCs w:val="32"/>
          <w:highlight w:val="none"/>
        </w:rPr>
        <w:t xml:space="preserve"> </w:t>
      </w:r>
      <w:r>
        <w:rPr>
          <w:color w:val="auto"/>
          <w:szCs w:val="32"/>
          <w:highlight w:val="none"/>
        </w:rPr>
        <w:t>℃低温2</w:t>
      </w:r>
      <w:r>
        <w:rPr>
          <w:rFonts w:hint="eastAsia"/>
          <w:color w:val="auto"/>
          <w:szCs w:val="32"/>
          <w:highlight w:val="none"/>
        </w:rPr>
        <w:t xml:space="preserve"> </w:t>
      </w:r>
      <w:r>
        <w:rPr>
          <w:color w:val="auto"/>
          <w:szCs w:val="32"/>
          <w:highlight w:val="none"/>
        </w:rPr>
        <w:t>h的试验，试验结束后在标准环境条件下进行恢复，恢复时间应足够使温度达到稳定，至少1</w:t>
      </w:r>
      <w:r>
        <w:rPr>
          <w:rFonts w:hint="eastAsia"/>
          <w:color w:val="auto"/>
          <w:szCs w:val="32"/>
          <w:highlight w:val="none"/>
        </w:rPr>
        <w:t xml:space="preserve"> </w:t>
      </w:r>
      <w:r>
        <w:rPr>
          <w:color w:val="auto"/>
          <w:szCs w:val="32"/>
          <w:highlight w:val="none"/>
        </w:rPr>
        <w:t>h。应满足6.12的要求。</w:t>
      </w:r>
    </w:p>
    <w:p>
      <w:pPr>
        <w:pStyle w:val="65"/>
        <w:spacing w:before="156" w:after="156"/>
        <w:rPr>
          <w:color w:val="auto"/>
          <w:highlight w:val="none"/>
        </w:rPr>
      </w:pPr>
      <w:bookmarkStart w:id="371" w:name="_Toc19698"/>
      <w:r>
        <w:rPr>
          <w:rStyle w:val="239"/>
          <w:rFonts w:ascii="Times New Roman"/>
          <w:color w:val="auto"/>
          <w:highlight w:val="none"/>
        </w:rPr>
        <w:t>高温高湿试验</w:t>
      </w:r>
      <w:bookmarkEnd w:id="371"/>
    </w:p>
    <w:p>
      <w:pPr>
        <w:pStyle w:val="243"/>
        <w:spacing w:line="300" w:lineRule="auto"/>
        <w:rPr>
          <w:color w:val="auto"/>
          <w:szCs w:val="32"/>
          <w:highlight w:val="none"/>
        </w:rPr>
      </w:pPr>
      <w:r>
        <w:rPr>
          <w:color w:val="auto"/>
          <w:szCs w:val="32"/>
          <w:highlight w:val="none"/>
        </w:rPr>
        <w:t>参照GB/T 2423.3中规定的试验方法对微型智能电流传感器进行85</w:t>
      </w:r>
      <w:r>
        <w:rPr>
          <w:rFonts w:hint="eastAsia"/>
          <w:color w:val="auto"/>
          <w:szCs w:val="32"/>
          <w:highlight w:val="none"/>
        </w:rPr>
        <w:t xml:space="preserve"> </w:t>
      </w:r>
      <w:r>
        <w:rPr>
          <w:color w:val="auto"/>
          <w:szCs w:val="32"/>
          <w:highlight w:val="none"/>
        </w:rPr>
        <w:t>℃高温、85%</w:t>
      </w:r>
      <w:r>
        <w:rPr>
          <w:rFonts w:hint="eastAsia"/>
          <w:color w:val="auto"/>
          <w:szCs w:val="32"/>
          <w:highlight w:val="none"/>
        </w:rPr>
        <w:t xml:space="preserve"> </w:t>
      </w:r>
      <w:r>
        <w:rPr>
          <w:color w:val="auto"/>
          <w:szCs w:val="32"/>
          <w:highlight w:val="none"/>
        </w:rPr>
        <w:t>RH湿度24</w:t>
      </w:r>
      <w:r>
        <w:rPr>
          <w:rFonts w:hint="eastAsia"/>
          <w:color w:val="auto"/>
          <w:szCs w:val="32"/>
          <w:highlight w:val="none"/>
        </w:rPr>
        <w:t xml:space="preserve"> </w:t>
      </w:r>
      <w:r>
        <w:rPr>
          <w:color w:val="auto"/>
          <w:szCs w:val="32"/>
          <w:highlight w:val="none"/>
        </w:rPr>
        <w:t>h的试验，试验结束后在标准环境条件下进行恢复，恢复时间应足够使温度达到稳定，至少1</w:t>
      </w:r>
      <w:r>
        <w:rPr>
          <w:rFonts w:hint="eastAsia"/>
          <w:color w:val="auto"/>
          <w:szCs w:val="32"/>
          <w:highlight w:val="none"/>
        </w:rPr>
        <w:t xml:space="preserve"> </w:t>
      </w:r>
      <w:r>
        <w:rPr>
          <w:color w:val="auto"/>
          <w:szCs w:val="32"/>
          <w:highlight w:val="none"/>
        </w:rPr>
        <w:t>h。试验结束后在常温下静置4</w:t>
      </w:r>
      <w:r>
        <w:rPr>
          <w:rFonts w:hint="eastAsia"/>
          <w:color w:val="auto"/>
          <w:szCs w:val="32"/>
          <w:highlight w:val="none"/>
        </w:rPr>
        <w:t xml:space="preserve"> </w:t>
      </w:r>
      <w:r>
        <w:rPr>
          <w:color w:val="auto"/>
          <w:szCs w:val="32"/>
          <w:highlight w:val="none"/>
        </w:rPr>
        <w:t>h测量误差，应满足6.12的要求。</w:t>
      </w:r>
    </w:p>
    <w:p>
      <w:pPr>
        <w:pStyle w:val="65"/>
        <w:spacing w:before="156" w:after="156"/>
        <w:rPr>
          <w:color w:val="auto"/>
          <w:highlight w:val="none"/>
        </w:rPr>
      </w:pPr>
      <w:bookmarkStart w:id="372" w:name="_Toc25605"/>
      <w:r>
        <w:rPr>
          <w:rStyle w:val="239"/>
          <w:rFonts w:ascii="Times New Roman"/>
          <w:color w:val="auto"/>
          <w:highlight w:val="none"/>
        </w:rPr>
        <w:t>高温高湿试验</w:t>
      </w:r>
      <w:bookmarkEnd w:id="372"/>
    </w:p>
    <w:p>
      <w:pPr>
        <w:pStyle w:val="243"/>
        <w:spacing w:line="300" w:lineRule="auto"/>
        <w:rPr>
          <w:color w:val="auto"/>
          <w:szCs w:val="32"/>
          <w:highlight w:val="none"/>
        </w:rPr>
      </w:pPr>
      <w:r>
        <w:rPr>
          <w:color w:val="auto"/>
          <w:szCs w:val="32"/>
          <w:highlight w:val="none"/>
        </w:rPr>
        <w:t>参照GB/T 2423.22中规定的试验方法，试验应在下列条件下进行：</w:t>
      </w:r>
    </w:p>
    <w:p>
      <w:pPr>
        <w:numPr>
          <w:ilvl w:val="0"/>
          <w:numId w:val="43"/>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低温：-40℃持续30</w:t>
      </w:r>
      <w:r>
        <w:rPr>
          <w:rFonts w:hint="eastAsia" w:ascii="Times New Roman" w:hAnsi="Times New Roman"/>
          <w:color w:val="auto"/>
          <w:szCs w:val="32"/>
          <w:highlight w:val="none"/>
        </w:rPr>
        <w:t xml:space="preserve"> </w:t>
      </w:r>
      <w:r>
        <w:rPr>
          <w:rFonts w:ascii="Times New Roman" w:hAnsi="Times New Roman"/>
          <w:color w:val="auto"/>
          <w:szCs w:val="32"/>
          <w:highlight w:val="none"/>
        </w:rPr>
        <w:t>min；</w:t>
      </w:r>
    </w:p>
    <w:p>
      <w:pPr>
        <w:numPr>
          <w:ilvl w:val="0"/>
          <w:numId w:val="43"/>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高温：85℃持续30</w:t>
      </w:r>
      <w:r>
        <w:rPr>
          <w:rFonts w:hint="eastAsia" w:ascii="Times New Roman" w:hAnsi="Times New Roman"/>
          <w:color w:val="auto"/>
          <w:szCs w:val="32"/>
          <w:highlight w:val="none"/>
        </w:rPr>
        <w:t xml:space="preserve"> </w:t>
      </w:r>
      <w:r>
        <w:rPr>
          <w:rFonts w:ascii="Times New Roman" w:hAnsi="Times New Roman"/>
          <w:color w:val="auto"/>
          <w:szCs w:val="32"/>
          <w:highlight w:val="none"/>
        </w:rPr>
        <w:t>min；</w:t>
      </w:r>
    </w:p>
    <w:p>
      <w:pPr>
        <w:numPr>
          <w:ilvl w:val="0"/>
          <w:numId w:val="43"/>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温度转换时间：2</w:t>
      </w:r>
      <w:r>
        <w:rPr>
          <w:rFonts w:hint="eastAsia" w:ascii="Times New Roman" w:hAnsi="Times New Roman"/>
          <w:color w:val="auto"/>
          <w:szCs w:val="32"/>
          <w:highlight w:val="none"/>
        </w:rPr>
        <w:t xml:space="preserve"> </w:t>
      </w:r>
      <w:r>
        <w:rPr>
          <w:rFonts w:ascii="Times New Roman" w:hAnsi="Times New Roman"/>
          <w:color w:val="auto"/>
          <w:szCs w:val="32"/>
          <w:highlight w:val="none"/>
        </w:rPr>
        <w:t>min～3</w:t>
      </w:r>
      <w:r>
        <w:rPr>
          <w:rFonts w:hint="eastAsia" w:ascii="Times New Roman" w:hAnsi="Times New Roman"/>
          <w:color w:val="auto"/>
          <w:szCs w:val="32"/>
          <w:highlight w:val="none"/>
        </w:rPr>
        <w:t xml:space="preserve"> </w:t>
      </w:r>
      <w:r>
        <w:rPr>
          <w:rFonts w:ascii="Times New Roman" w:hAnsi="Times New Roman"/>
          <w:color w:val="auto"/>
          <w:szCs w:val="32"/>
          <w:highlight w:val="none"/>
        </w:rPr>
        <w:t>min；</w:t>
      </w:r>
    </w:p>
    <w:p>
      <w:pPr>
        <w:numPr>
          <w:ilvl w:val="0"/>
          <w:numId w:val="43"/>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循环周期数：5。</w:t>
      </w:r>
    </w:p>
    <w:p>
      <w:pPr>
        <w:pStyle w:val="243"/>
        <w:spacing w:line="300" w:lineRule="auto"/>
        <w:rPr>
          <w:color w:val="auto"/>
          <w:szCs w:val="32"/>
          <w:highlight w:val="none"/>
        </w:rPr>
      </w:pPr>
      <w:r>
        <w:rPr>
          <w:color w:val="auto"/>
          <w:szCs w:val="32"/>
          <w:highlight w:val="none"/>
        </w:rPr>
        <w:t>试验后恢复16</w:t>
      </w:r>
      <w:r>
        <w:rPr>
          <w:rFonts w:hint="eastAsia"/>
          <w:color w:val="auto"/>
          <w:szCs w:val="32"/>
          <w:highlight w:val="none"/>
        </w:rPr>
        <w:t xml:space="preserve"> </w:t>
      </w:r>
      <w:r>
        <w:rPr>
          <w:color w:val="auto"/>
          <w:szCs w:val="32"/>
          <w:highlight w:val="none"/>
        </w:rPr>
        <w:t>h，应满足6.12的规定。</w:t>
      </w:r>
    </w:p>
    <w:p>
      <w:pPr>
        <w:pStyle w:val="65"/>
        <w:spacing w:before="156" w:after="156"/>
        <w:rPr>
          <w:color w:val="auto"/>
          <w:highlight w:val="none"/>
        </w:rPr>
      </w:pPr>
      <w:bookmarkStart w:id="373" w:name="_Toc32612"/>
      <w:r>
        <w:rPr>
          <w:rStyle w:val="239"/>
          <w:rFonts w:ascii="Times New Roman"/>
          <w:color w:val="auto"/>
          <w:highlight w:val="none"/>
        </w:rPr>
        <w:t>振动</w:t>
      </w:r>
      <w:bookmarkEnd w:id="373"/>
    </w:p>
    <w:p>
      <w:pPr>
        <w:pStyle w:val="243"/>
        <w:spacing w:line="300" w:lineRule="auto"/>
        <w:rPr>
          <w:color w:val="auto"/>
          <w:szCs w:val="32"/>
          <w:highlight w:val="none"/>
        </w:rPr>
      </w:pPr>
      <w:r>
        <w:rPr>
          <w:color w:val="auto"/>
          <w:szCs w:val="32"/>
          <w:highlight w:val="none"/>
        </w:rPr>
        <w:t>参照GB/T 2423.10中规定的试验方法，试验应在下列条件下进行：</w:t>
      </w:r>
    </w:p>
    <w:p>
      <w:pPr>
        <w:numPr>
          <w:ilvl w:val="0"/>
          <w:numId w:val="44"/>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扫频振动：频率范围为10</w:t>
      </w:r>
      <w:r>
        <w:rPr>
          <w:rFonts w:hint="eastAsia" w:ascii="Times New Roman" w:hAnsi="Times New Roman"/>
          <w:color w:val="auto"/>
          <w:szCs w:val="32"/>
          <w:highlight w:val="none"/>
        </w:rPr>
        <w:t xml:space="preserve"> </w:t>
      </w:r>
      <w:r>
        <w:rPr>
          <w:rFonts w:ascii="Times New Roman" w:hAnsi="Times New Roman"/>
          <w:color w:val="auto"/>
          <w:szCs w:val="32"/>
          <w:highlight w:val="none"/>
        </w:rPr>
        <w:t>Hz～150</w:t>
      </w:r>
      <w:r>
        <w:rPr>
          <w:rFonts w:hint="eastAsia" w:ascii="Times New Roman" w:hAnsi="Times New Roman"/>
          <w:color w:val="auto"/>
          <w:szCs w:val="32"/>
          <w:highlight w:val="none"/>
        </w:rPr>
        <w:t xml:space="preserve"> </w:t>
      </w:r>
      <w:r>
        <w:rPr>
          <w:rFonts w:ascii="Times New Roman" w:hAnsi="Times New Roman"/>
          <w:color w:val="auto"/>
          <w:szCs w:val="32"/>
          <w:highlight w:val="none"/>
        </w:rPr>
        <w:t>Hz，每个坐标轴20个扫频周期；</w:t>
      </w:r>
    </w:p>
    <w:p>
      <w:pPr>
        <w:numPr>
          <w:ilvl w:val="0"/>
          <w:numId w:val="44"/>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在固定的频率比进行振动试验，持续30</w:t>
      </w:r>
      <w:r>
        <w:rPr>
          <w:rFonts w:hint="eastAsia" w:ascii="Times New Roman" w:hAnsi="Times New Roman"/>
          <w:color w:val="auto"/>
          <w:szCs w:val="32"/>
          <w:highlight w:val="none"/>
        </w:rPr>
        <w:t xml:space="preserve"> </w:t>
      </w:r>
      <w:r>
        <w:rPr>
          <w:rFonts w:ascii="Times New Roman" w:hAnsi="Times New Roman"/>
          <w:color w:val="auto"/>
          <w:szCs w:val="32"/>
          <w:highlight w:val="none"/>
        </w:rPr>
        <w:t>min；</w:t>
      </w:r>
    </w:p>
    <w:p>
      <w:pPr>
        <w:numPr>
          <w:ilvl w:val="0"/>
          <w:numId w:val="44"/>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户内设备：幅度10</w:t>
      </w:r>
      <w:r>
        <w:rPr>
          <w:rFonts w:hint="eastAsia" w:ascii="Times New Roman" w:hAnsi="Times New Roman"/>
          <w:color w:val="auto"/>
          <w:szCs w:val="32"/>
          <w:highlight w:val="none"/>
        </w:rPr>
        <w:t xml:space="preserve"> </w:t>
      </w:r>
      <w:r>
        <w:rPr>
          <w:rFonts w:ascii="Times New Roman" w:hAnsi="Times New Roman"/>
          <w:color w:val="auto"/>
          <w:szCs w:val="32"/>
          <w:highlight w:val="none"/>
        </w:rPr>
        <w:t>m/s</w:t>
      </w:r>
      <w:r>
        <w:rPr>
          <w:rFonts w:ascii="Times New Roman" w:hAnsi="Times New Roman"/>
          <w:color w:val="auto"/>
          <w:szCs w:val="32"/>
          <w:highlight w:val="none"/>
          <w:vertAlign w:val="superscript"/>
        </w:rPr>
        <w:t>2</w:t>
      </w:r>
      <w:r>
        <w:rPr>
          <w:rFonts w:ascii="Times New Roman" w:hAnsi="Times New Roman"/>
          <w:color w:val="auto"/>
          <w:szCs w:val="32"/>
          <w:highlight w:val="none"/>
        </w:rPr>
        <w:t>；</w:t>
      </w:r>
    </w:p>
    <w:p>
      <w:pPr>
        <w:numPr>
          <w:ilvl w:val="0"/>
          <w:numId w:val="44"/>
        </w:numPr>
        <w:tabs>
          <w:tab w:val="left" w:pos="840"/>
          <w:tab w:val="clear" w:pos="2860"/>
        </w:tabs>
        <w:ind w:left="840"/>
        <w:rPr>
          <w:rFonts w:ascii="Times New Roman" w:hAnsi="Times New Roman"/>
          <w:color w:val="auto"/>
          <w:szCs w:val="32"/>
          <w:highlight w:val="none"/>
        </w:rPr>
      </w:pPr>
      <w:r>
        <w:rPr>
          <w:rFonts w:ascii="Times New Roman" w:hAnsi="Times New Roman"/>
          <w:color w:val="auto"/>
          <w:szCs w:val="32"/>
          <w:highlight w:val="none"/>
        </w:rPr>
        <w:t>户外设备：幅度20m/s</w:t>
      </w:r>
      <w:r>
        <w:rPr>
          <w:rFonts w:ascii="Times New Roman" w:hAnsi="Times New Roman"/>
          <w:color w:val="auto"/>
          <w:szCs w:val="32"/>
          <w:highlight w:val="none"/>
          <w:vertAlign w:val="superscript"/>
        </w:rPr>
        <w:t>2</w:t>
      </w:r>
      <w:r>
        <w:rPr>
          <w:rFonts w:ascii="Times New Roman" w:hAnsi="Times New Roman"/>
          <w:color w:val="auto"/>
          <w:szCs w:val="32"/>
          <w:highlight w:val="none"/>
        </w:rPr>
        <w:t>。</w:t>
      </w:r>
    </w:p>
    <w:p>
      <w:pPr>
        <w:pStyle w:val="243"/>
        <w:spacing w:line="300" w:lineRule="auto"/>
        <w:rPr>
          <w:color w:val="auto"/>
          <w:szCs w:val="32"/>
          <w:highlight w:val="none"/>
        </w:rPr>
      </w:pPr>
      <w:r>
        <w:rPr>
          <w:color w:val="auto"/>
          <w:szCs w:val="32"/>
          <w:highlight w:val="none"/>
        </w:rPr>
        <w:t>试验后恢复16</w:t>
      </w:r>
      <w:r>
        <w:rPr>
          <w:rFonts w:hint="eastAsia"/>
          <w:color w:val="auto"/>
          <w:szCs w:val="32"/>
          <w:highlight w:val="none"/>
        </w:rPr>
        <w:t xml:space="preserve"> </w:t>
      </w:r>
      <w:r>
        <w:rPr>
          <w:color w:val="auto"/>
          <w:szCs w:val="32"/>
          <w:highlight w:val="none"/>
        </w:rPr>
        <w:t>h，应满足6.13的规定。</w:t>
      </w:r>
    </w:p>
    <w:p>
      <w:pPr>
        <w:pStyle w:val="65"/>
        <w:spacing w:before="156" w:after="156"/>
        <w:rPr>
          <w:color w:val="auto"/>
          <w:highlight w:val="none"/>
        </w:rPr>
      </w:pPr>
      <w:bookmarkStart w:id="374" w:name="_Toc16815"/>
      <w:r>
        <w:rPr>
          <w:rStyle w:val="239"/>
          <w:rFonts w:ascii="Times New Roman"/>
          <w:color w:val="auto"/>
          <w:highlight w:val="none"/>
        </w:rPr>
        <w:t>防尘</w:t>
      </w:r>
      <w:bookmarkEnd w:id="374"/>
    </w:p>
    <w:p>
      <w:pPr>
        <w:pStyle w:val="243"/>
        <w:spacing w:line="300" w:lineRule="auto"/>
        <w:rPr>
          <w:color w:val="auto"/>
          <w:szCs w:val="32"/>
          <w:highlight w:val="none"/>
        </w:rPr>
      </w:pPr>
      <w:r>
        <w:rPr>
          <w:color w:val="auto"/>
          <w:szCs w:val="32"/>
          <w:highlight w:val="none"/>
        </w:rPr>
        <w:t>参照GB/T 2423.37中规定的试验方法，进行IP5级防尘试验。</w:t>
      </w:r>
    </w:p>
    <w:p>
      <w:pPr>
        <w:pStyle w:val="243"/>
        <w:spacing w:line="300" w:lineRule="auto"/>
        <w:rPr>
          <w:color w:val="auto"/>
          <w:szCs w:val="32"/>
          <w:highlight w:val="none"/>
        </w:rPr>
      </w:pPr>
      <w:r>
        <w:rPr>
          <w:color w:val="auto"/>
          <w:szCs w:val="32"/>
          <w:highlight w:val="none"/>
        </w:rPr>
        <w:t>试验后恢复16</w:t>
      </w:r>
      <w:r>
        <w:rPr>
          <w:rFonts w:hint="eastAsia"/>
          <w:color w:val="auto"/>
          <w:szCs w:val="32"/>
          <w:highlight w:val="none"/>
        </w:rPr>
        <w:t xml:space="preserve"> </w:t>
      </w:r>
      <w:r>
        <w:rPr>
          <w:color w:val="auto"/>
          <w:szCs w:val="32"/>
          <w:highlight w:val="none"/>
        </w:rPr>
        <w:t>h，应满足6.14的规定。</w:t>
      </w:r>
    </w:p>
    <w:p>
      <w:pPr>
        <w:pStyle w:val="65"/>
        <w:spacing w:before="156" w:after="156"/>
        <w:rPr>
          <w:color w:val="auto"/>
          <w:highlight w:val="none"/>
        </w:rPr>
      </w:pPr>
      <w:bookmarkStart w:id="375" w:name="_Toc23302"/>
      <w:r>
        <w:rPr>
          <w:rStyle w:val="239"/>
          <w:rFonts w:ascii="Times New Roman"/>
          <w:color w:val="auto"/>
          <w:highlight w:val="none"/>
        </w:rPr>
        <w:t>防水</w:t>
      </w:r>
      <w:bookmarkEnd w:id="375"/>
    </w:p>
    <w:p>
      <w:pPr>
        <w:pStyle w:val="243"/>
        <w:spacing w:line="300" w:lineRule="auto"/>
        <w:rPr>
          <w:color w:val="auto"/>
          <w:szCs w:val="32"/>
          <w:highlight w:val="none"/>
        </w:rPr>
      </w:pPr>
      <w:r>
        <w:rPr>
          <w:color w:val="auto"/>
          <w:szCs w:val="32"/>
          <w:highlight w:val="none"/>
        </w:rPr>
        <w:t>参照GB/T 2423.38中规定的试验方法，进行IPX0级防水试验。</w:t>
      </w:r>
    </w:p>
    <w:p>
      <w:pPr>
        <w:pStyle w:val="243"/>
        <w:spacing w:line="300" w:lineRule="auto"/>
        <w:rPr>
          <w:color w:val="auto"/>
          <w:szCs w:val="32"/>
          <w:highlight w:val="none"/>
        </w:rPr>
      </w:pPr>
      <w:r>
        <w:rPr>
          <w:color w:val="auto"/>
          <w:szCs w:val="32"/>
          <w:highlight w:val="none"/>
        </w:rPr>
        <w:t>试验后恢复16</w:t>
      </w:r>
      <w:r>
        <w:rPr>
          <w:rFonts w:hint="eastAsia"/>
          <w:color w:val="auto"/>
          <w:szCs w:val="32"/>
          <w:highlight w:val="none"/>
        </w:rPr>
        <w:t xml:space="preserve"> </w:t>
      </w:r>
      <w:r>
        <w:rPr>
          <w:color w:val="auto"/>
          <w:szCs w:val="32"/>
          <w:highlight w:val="none"/>
        </w:rPr>
        <w:t>h，应满足6.14的规定。</w:t>
      </w:r>
    </w:p>
    <w:p>
      <w:pPr>
        <w:pStyle w:val="65"/>
        <w:spacing w:before="156" w:after="156"/>
        <w:rPr>
          <w:color w:val="auto"/>
          <w:highlight w:val="none"/>
        </w:rPr>
      </w:pPr>
      <w:bookmarkStart w:id="376" w:name="_Toc22030"/>
      <w:r>
        <w:rPr>
          <w:rStyle w:val="239"/>
          <w:rFonts w:ascii="Times New Roman"/>
          <w:color w:val="auto"/>
          <w:highlight w:val="none"/>
        </w:rPr>
        <w:t>盐雾防护</w:t>
      </w:r>
      <w:bookmarkEnd w:id="376"/>
    </w:p>
    <w:p>
      <w:pPr>
        <w:pStyle w:val="243"/>
        <w:spacing w:line="300" w:lineRule="auto"/>
        <w:rPr>
          <w:color w:val="auto"/>
          <w:szCs w:val="32"/>
          <w:highlight w:val="none"/>
        </w:rPr>
      </w:pPr>
      <w:r>
        <w:rPr>
          <w:color w:val="auto"/>
          <w:szCs w:val="32"/>
          <w:highlight w:val="none"/>
        </w:rPr>
        <w:t>参照GB/T 10125中规定的中性盐雾试验要求执行。</w:t>
      </w:r>
    </w:p>
    <w:p>
      <w:pPr>
        <w:pStyle w:val="243"/>
        <w:spacing w:line="300" w:lineRule="auto"/>
        <w:rPr>
          <w:color w:val="auto"/>
          <w:szCs w:val="32"/>
          <w:highlight w:val="none"/>
        </w:rPr>
      </w:pPr>
      <w:r>
        <w:rPr>
          <w:color w:val="auto"/>
          <w:szCs w:val="32"/>
          <w:highlight w:val="none"/>
        </w:rPr>
        <w:t>试验时间72</w:t>
      </w:r>
      <w:r>
        <w:rPr>
          <w:rFonts w:hint="eastAsia"/>
          <w:color w:val="auto"/>
          <w:szCs w:val="32"/>
          <w:highlight w:val="none"/>
        </w:rPr>
        <w:t xml:space="preserve"> </w:t>
      </w:r>
      <w:r>
        <w:rPr>
          <w:color w:val="auto"/>
          <w:szCs w:val="32"/>
          <w:highlight w:val="none"/>
        </w:rPr>
        <w:t>h</w:t>
      </w:r>
      <w:r>
        <w:rPr>
          <w:rFonts w:hint="eastAsia"/>
          <w:color w:val="auto"/>
          <w:szCs w:val="32"/>
          <w:highlight w:val="none"/>
        </w:rPr>
        <w:t>，</w:t>
      </w:r>
      <w:r>
        <w:rPr>
          <w:color w:val="auto"/>
          <w:szCs w:val="32"/>
          <w:highlight w:val="none"/>
        </w:rPr>
        <w:t>试验后恢复1</w:t>
      </w:r>
      <w:r>
        <w:rPr>
          <w:rFonts w:hint="eastAsia"/>
          <w:color w:val="auto"/>
          <w:szCs w:val="32"/>
          <w:highlight w:val="none"/>
        </w:rPr>
        <w:t xml:space="preserve"> </w:t>
      </w:r>
      <w:r>
        <w:rPr>
          <w:color w:val="auto"/>
          <w:szCs w:val="32"/>
          <w:highlight w:val="none"/>
        </w:rPr>
        <w:t>h，应满足条款11的评价要求。</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377" w:name="_Toc8817"/>
      <w:bookmarkStart w:id="378" w:name="_Toc30749"/>
      <w:bookmarkStart w:id="379" w:name="_Toc870"/>
      <w:bookmarkStart w:id="380" w:name="_Toc5534"/>
      <w:bookmarkStart w:id="381" w:name="_Toc1451"/>
      <w:r>
        <w:rPr>
          <w:rFonts w:hint="eastAsia"/>
          <w:color w:val="auto"/>
          <w:highlight w:val="none"/>
        </w:rPr>
        <w:t>电磁兼容试验</w:t>
      </w:r>
      <w:bookmarkEnd w:id="377"/>
      <w:bookmarkEnd w:id="378"/>
      <w:bookmarkEnd w:id="379"/>
      <w:bookmarkEnd w:id="380"/>
      <w:bookmarkEnd w:id="381"/>
    </w:p>
    <w:p>
      <w:pPr>
        <w:ind w:firstLine="420" w:firstLineChars="200"/>
        <w:rPr>
          <w:rFonts w:ascii="Times New Roman" w:hAnsi="Times New Roman"/>
          <w:color w:val="auto"/>
          <w:szCs w:val="32"/>
          <w:highlight w:val="none"/>
        </w:rPr>
      </w:pPr>
      <w:r>
        <w:rPr>
          <w:rFonts w:ascii="Times New Roman" w:hAnsi="Times New Roman"/>
          <w:color w:val="auto"/>
          <w:szCs w:val="32"/>
          <w:highlight w:val="none"/>
        </w:rPr>
        <w:t>本条款定义的试验项目，包括各个项目的试验水平和评价准则仅适用于有源电子器件。如果微型智能电流传感器设计为不含有源电子器件，此条款中的试验不再适用。</w:t>
      </w:r>
    </w:p>
    <w:p>
      <w:pPr>
        <w:pStyle w:val="112"/>
        <w:spacing w:before="156" w:after="156"/>
        <w:rPr>
          <w:color w:val="auto"/>
          <w:highlight w:val="none"/>
        </w:rPr>
      </w:pPr>
      <w:r>
        <w:rPr>
          <w:color w:val="auto"/>
          <w:highlight w:val="none"/>
        </w:rPr>
        <w:t>抗扰度要求和试验</w:t>
      </w:r>
    </w:p>
    <w:tbl>
      <w:tblPr>
        <w:tblStyle w:val="26"/>
        <w:tblW w:w="956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3302"/>
        <w:gridCol w:w="2545"/>
        <w:gridCol w:w="2274"/>
        <w:gridCol w:w="144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302" w:type="dxa"/>
            <w:tcBorders>
              <w:top w:val="single" w:color="auto" w:sz="8" w:space="0"/>
              <w:bottom w:val="single" w:color="auto" w:sz="8" w:space="0"/>
            </w:tcBorders>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试验</w:t>
            </w:r>
          </w:p>
        </w:tc>
        <w:tc>
          <w:tcPr>
            <w:tcW w:w="2545" w:type="dxa"/>
            <w:tcBorders>
              <w:top w:val="single" w:color="auto" w:sz="8" w:space="0"/>
              <w:bottom w:val="single" w:color="auto" w:sz="8" w:space="0"/>
            </w:tcBorders>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引用标准</w:t>
            </w:r>
          </w:p>
        </w:tc>
        <w:tc>
          <w:tcPr>
            <w:tcW w:w="2274" w:type="dxa"/>
            <w:tcBorders>
              <w:top w:val="single" w:color="auto" w:sz="8" w:space="0"/>
              <w:bottom w:val="single" w:color="auto" w:sz="8" w:space="0"/>
            </w:tcBorders>
            <w:shd w:val="clear" w:color="auto" w:fill="auto"/>
            <w:vAlign w:val="center"/>
          </w:tcPr>
          <w:p>
            <w:pPr>
              <w:spacing w:line="240" w:lineRule="auto"/>
              <w:jc w:val="center"/>
              <w:rPr>
                <w:rFonts w:ascii="Times New Roman" w:hAnsi="Times New Roman"/>
                <w:color w:val="auto"/>
                <w:sz w:val="18"/>
                <w:highlight w:val="none"/>
              </w:rPr>
            </w:pPr>
            <w:r>
              <w:rPr>
                <w:rFonts w:hint="eastAsia" w:ascii="Times New Roman" w:hAnsi="Times New Roman"/>
                <w:color w:val="auto"/>
                <w:sz w:val="18"/>
                <w:highlight w:val="none"/>
              </w:rPr>
              <w:t>试</w:t>
            </w:r>
            <w:r>
              <w:rPr>
                <w:rFonts w:ascii="Times New Roman" w:hAnsi="Times New Roman"/>
                <w:color w:val="auto"/>
                <w:sz w:val="18"/>
                <w:highlight w:val="none"/>
              </w:rPr>
              <w:t>验水平</w:t>
            </w:r>
          </w:p>
        </w:tc>
        <w:tc>
          <w:tcPr>
            <w:tcW w:w="1445" w:type="dxa"/>
            <w:tcBorders>
              <w:top w:val="single" w:color="auto" w:sz="8" w:space="0"/>
              <w:bottom w:val="single" w:color="auto" w:sz="8" w:space="0"/>
            </w:tcBorders>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评价准则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302" w:type="dxa"/>
            <w:tcBorders>
              <w:top w:val="single" w:color="auto" w:sz="8" w:space="0"/>
            </w:tcBorders>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静电放电抗扰度</w:t>
            </w:r>
          </w:p>
        </w:tc>
        <w:tc>
          <w:tcPr>
            <w:tcW w:w="2545" w:type="dxa"/>
            <w:tcBorders>
              <w:top w:val="single" w:color="auto" w:sz="8" w:space="0"/>
            </w:tcBorders>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GB/T 17626.2</w:t>
            </w:r>
          </w:p>
        </w:tc>
        <w:tc>
          <w:tcPr>
            <w:tcW w:w="2274" w:type="dxa"/>
            <w:tcBorders>
              <w:top w:val="single" w:color="auto" w:sz="8" w:space="0"/>
            </w:tcBorders>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3</w:t>
            </w:r>
          </w:p>
        </w:tc>
        <w:tc>
          <w:tcPr>
            <w:tcW w:w="1445" w:type="dxa"/>
            <w:tcBorders>
              <w:top w:val="single" w:color="auto" w:sz="8" w:space="0"/>
            </w:tcBorders>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302"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射频电磁场辐射抗扰度</w:t>
            </w:r>
          </w:p>
        </w:tc>
        <w:tc>
          <w:tcPr>
            <w:tcW w:w="25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GB/T 17626.3</w:t>
            </w:r>
          </w:p>
        </w:tc>
        <w:tc>
          <w:tcPr>
            <w:tcW w:w="2274"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3</w:t>
            </w:r>
          </w:p>
        </w:tc>
        <w:tc>
          <w:tcPr>
            <w:tcW w:w="14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302"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电快速瞬变脉冲群抗扰度</w:t>
            </w:r>
          </w:p>
        </w:tc>
        <w:tc>
          <w:tcPr>
            <w:tcW w:w="25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GB/T 17626.4</w:t>
            </w:r>
          </w:p>
        </w:tc>
        <w:tc>
          <w:tcPr>
            <w:tcW w:w="2274"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4</w:t>
            </w:r>
          </w:p>
        </w:tc>
        <w:tc>
          <w:tcPr>
            <w:tcW w:w="14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302"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浪涌抗扰度</w:t>
            </w:r>
          </w:p>
        </w:tc>
        <w:tc>
          <w:tcPr>
            <w:tcW w:w="25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GB/T 17626.5</w:t>
            </w:r>
          </w:p>
        </w:tc>
        <w:tc>
          <w:tcPr>
            <w:tcW w:w="2274"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4</w:t>
            </w:r>
          </w:p>
        </w:tc>
        <w:tc>
          <w:tcPr>
            <w:tcW w:w="14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302"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射频场感应的传导骚扰度</w:t>
            </w:r>
          </w:p>
        </w:tc>
        <w:tc>
          <w:tcPr>
            <w:tcW w:w="25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GB/T 17626.6</w:t>
            </w:r>
          </w:p>
        </w:tc>
        <w:tc>
          <w:tcPr>
            <w:tcW w:w="2274"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3</w:t>
            </w:r>
          </w:p>
        </w:tc>
        <w:tc>
          <w:tcPr>
            <w:tcW w:w="14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302"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工频磁场抗扰度</w:t>
            </w:r>
          </w:p>
        </w:tc>
        <w:tc>
          <w:tcPr>
            <w:tcW w:w="25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GB/T 17626.8</w:t>
            </w:r>
          </w:p>
        </w:tc>
        <w:tc>
          <w:tcPr>
            <w:tcW w:w="2274"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5</w:t>
            </w:r>
          </w:p>
        </w:tc>
        <w:tc>
          <w:tcPr>
            <w:tcW w:w="14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302"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脉冲磁场抗扰度</w:t>
            </w:r>
          </w:p>
        </w:tc>
        <w:tc>
          <w:tcPr>
            <w:tcW w:w="25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GB/T 17626.9</w:t>
            </w:r>
          </w:p>
        </w:tc>
        <w:tc>
          <w:tcPr>
            <w:tcW w:w="2274"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5</w:t>
            </w:r>
          </w:p>
        </w:tc>
        <w:tc>
          <w:tcPr>
            <w:tcW w:w="14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302"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阻尼振荡磁场抗扰度</w:t>
            </w:r>
          </w:p>
        </w:tc>
        <w:tc>
          <w:tcPr>
            <w:tcW w:w="25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GB/T 17626.10</w:t>
            </w:r>
          </w:p>
        </w:tc>
        <w:tc>
          <w:tcPr>
            <w:tcW w:w="2274"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5</w:t>
            </w:r>
          </w:p>
        </w:tc>
        <w:tc>
          <w:tcPr>
            <w:tcW w:w="14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302"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电压慢变化</w:t>
            </w:r>
          </w:p>
        </w:tc>
        <w:tc>
          <w:tcPr>
            <w:tcW w:w="25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GB/T 17626.11</w:t>
            </w:r>
          </w:p>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、GB/T 17626.29</w:t>
            </w:r>
          </w:p>
        </w:tc>
        <w:tc>
          <w:tcPr>
            <w:tcW w:w="2274"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交流电源+10%～-20%，直流电源+20%～-20%</w:t>
            </w:r>
          </w:p>
        </w:tc>
        <w:tc>
          <w:tcPr>
            <w:tcW w:w="14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302"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电压暂降和短时中断</w:t>
            </w:r>
          </w:p>
        </w:tc>
        <w:tc>
          <w:tcPr>
            <w:tcW w:w="25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GB/T 17626.11、GB/T 17626.29</w:t>
            </w:r>
          </w:p>
        </w:tc>
        <w:tc>
          <w:tcPr>
            <w:tcW w:w="2274"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交流电源30%暂降×0.1</w:t>
            </w:r>
            <w:r>
              <w:rPr>
                <w:rFonts w:hint="eastAsia" w:ascii="Times New Roman" w:hAnsi="Times New Roman"/>
                <w:color w:val="auto"/>
                <w:sz w:val="18"/>
                <w:highlight w:val="none"/>
              </w:rPr>
              <w:t xml:space="preserve"> </w:t>
            </w:r>
            <w:r>
              <w:rPr>
                <w:rFonts w:ascii="Times New Roman" w:hAnsi="Times New Roman"/>
                <w:color w:val="auto"/>
                <w:sz w:val="18"/>
                <w:highlight w:val="none"/>
              </w:rPr>
              <w:t>s中断0.02</w:t>
            </w:r>
            <w:r>
              <w:rPr>
                <w:rFonts w:hint="eastAsia" w:ascii="Times New Roman" w:hAnsi="Times New Roman"/>
                <w:color w:val="auto"/>
                <w:sz w:val="18"/>
                <w:highlight w:val="none"/>
              </w:rPr>
              <w:t xml:space="preserve"> </w:t>
            </w:r>
            <w:r>
              <w:rPr>
                <w:rFonts w:ascii="Times New Roman" w:hAnsi="Times New Roman"/>
                <w:color w:val="auto"/>
                <w:sz w:val="18"/>
                <w:highlight w:val="none"/>
              </w:rPr>
              <w:t>s，直流电源50%暂降×0.1</w:t>
            </w:r>
            <w:r>
              <w:rPr>
                <w:rFonts w:hint="eastAsia" w:ascii="Times New Roman" w:hAnsi="Times New Roman"/>
                <w:color w:val="auto"/>
                <w:sz w:val="18"/>
                <w:highlight w:val="none"/>
              </w:rPr>
              <w:t xml:space="preserve"> </w:t>
            </w:r>
            <w:r>
              <w:rPr>
                <w:rFonts w:ascii="Times New Roman" w:hAnsi="Times New Roman"/>
                <w:color w:val="auto"/>
                <w:sz w:val="18"/>
                <w:highlight w:val="none"/>
              </w:rPr>
              <w:t>s，中断0.05</w:t>
            </w:r>
            <w:r>
              <w:rPr>
                <w:rFonts w:hint="eastAsia" w:ascii="Times New Roman" w:hAnsi="Times New Roman"/>
                <w:color w:val="auto"/>
                <w:sz w:val="18"/>
                <w:highlight w:val="none"/>
              </w:rPr>
              <w:t xml:space="preserve"> </w:t>
            </w:r>
            <w:r>
              <w:rPr>
                <w:rFonts w:ascii="Times New Roman" w:hAnsi="Times New Roman"/>
                <w:color w:val="auto"/>
                <w:sz w:val="18"/>
                <w:highlight w:val="none"/>
              </w:rPr>
              <w:t>s</w:t>
            </w:r>
          </w:p>
        </w:tc>
        <w:tc>
          <w:tcPr>
            <w:tcW w:w="14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302"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谐波和谐间波骚扰</w:t>
            </w:r>
          </w:p>
        </w:tc>
        <w:tc>
          <w:tcPr>
            <w:tcW w:w="25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GB/T 17626.13</w:t>
            </w:r>
          </w:p>
        </w:tc>
        <w:tc>
          <w:tcPr>
            <w:tcW w:w="2274"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2</w:t>
            </w:r>
          </w:p>
        </w:tc>
        <w:tc>
          <w:tcPr>
            <w:tcW w:w="14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302"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共模传导骚扰抗扰度</w:t>
            </w:r>
          </w:p>
        </w:tc>
        <w:tc>
          <w:tcPr>
            <w:tcW w:w="25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GB/T 17626.16</w:t>
            </w:r>
          </w:p>
        </w:tc>
        <w:tc>
          <w:tcPr>
            <w:tcW w:w="2274"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4</w:t>
            </w:r>
          </w:p>
        </w:tc>
        <w:tc>
          <w:tcPr>
            <w:tcW w:w="14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302"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振荡波抗扰度</w:t>
            </w:r>
          </w:p>
        </w:tc>
        <w:tc>
          <w:tcPr>
            <w:tcW w:w="25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GB/T 17626.18</w:t>
            </w:r>
          </w:p>
        </w:tc>
        <w:tc>
          <w:tcPr>
            <w:tcW w:w="2274"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3</w:t>
            </w:r>
          </w:p>
        </w:tc>
        <w:tc>
          <w:tcPr>
            <w:tcW w:w="1445" w:type="dxa"/>
            <w:shd w:val="clear" w:color="auto" w:fill="auto"/>
            <w:vAlign w:val="center"/>
          </w:tcPr>
          <w:p>
            <w:pPr>
              <w:spacing w:line="240" w:lineRule="auto"/>
              <w:jc w:val="center"/>
              <w:rPr>
                <w:rFonts w:ascii="Times New Roman" w:hAnsi="Times New Roman"/>
                <w:color w:val="auto"/>
                <w:sz w:val="18"/>
                <w:highlight w:val="none"/>
              </w:rPr>
            </w:pPr>
            <w:r>
              <w:rPr>
                <w:rFonts w:ascii="Times New Roman" w:hAnsi="Times New Roman"/>
                <w:color w:val="auto"/>
                <w:sz w:val="18"/>
                <w:highlight w:val="none"/>
              </w:rPr>
              <w:t>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566" w:type="dxa"/>
            <w:gridSpan w:val="4"/>
            <w:tcBorders>
              <w:bottom w:val="single" w:color="auto" w:sz="4" w:space="0"/>
            </w:tcBorders>
            <w:shd w:val="clear" w:color="auto" w:fill="auto"/>
            <w:vAlign w:val="center"/>
          </w:tcPr>
          <w:p>
            <w:pPr>
              <w:pStyle w:val="231"/>
              <w:numPr>
                <w:ilvl w:val="1"/>
                <w:numId w:val="45"/>
              </w:numPr>
              <w:spacing w:before="156" w:after="156"/>
              <w:rPr>
                <w:rFonts w:ascii="Times New Roman" w:hAnsi="Times New Roman"/>
                <w:color w:val="auto"/>
                <w:highlight w:val="none"/>
              </w:rPr>
            </w:pPr>
            <w:r>
              <w:rPr>
                <w:rFonts w:ascii="Times New Roman" w:hAnsi="Times New Roman"/>
                <w:color w:val="auto"/>
                <w:highlight w:val="none"/>
              </w:rPr>
              <w:t>A—满足准确度规范限值以内的正常性能。</w:t>
            </w:r>
          </w:p>
          <w:p>
            <w:pPr>
              <w:pStyle w:val="231"/>
              <w:numPr>
                <w:ilvl w:val="1"/>
                <w:numId w:val="45"/>
              </w:numPr>
              <w:spacing w:before="156" w:after="156"/>
              <w:rPr>
                <w:rFonts w:ascii="Times New Roman" w:hAnsi="Times New Roman"/>
                <w:color w:val="auto"/>
                <w:highlight w:val="none"/>
              </w:rPr>
            </w:pPr>
            <w:r>
              <w:rPr>
                <w:rFonts w:ascii="Times New Roman" w:hAnsi="Times New Roman"/>
                <w:color w:val="auto"/>
                <w:highlight w:val="none"/>
              </w:rPr>
              <w:t>B—允许与保护无关或自恢复的自诊断无关的测量性能暂时下降，不允许复位或重新启动。对于保护用微型智能电流传感器，不允许性能下降造成保护装置误动。</w:t>
            </w:r>
          </w:p>
          <w:p>
            <w:pPr>
              <w:pStyle w:val="231"/>
              <w:numPr>
                <w:ilvl w:val="1"/>
                <w:numId w:val="45"/>
              </w:numPr>
              <w:spacing w:before="156" w:after="156"/>
              <w:rPr>
                <w:rFonts w:ascii="Times New Roman" w:hAnsi="Times New Roman"/>
                <w:color w:val="auto"/>
                <w:highlight w:val="none"/>
              </w:rPr>
            </w:pPr>
            <w:r>
              <w:rPr>
                <w:rFonts w:ascii="Times New Roman" w:hAnsi="Times New Roman"/>
                <w:color w:val="auto"/>
                <w:highlight w:val="none"/>
              </w:rPr>
              <w:t>无外接电源接口或者通信接口的传感器，以下测试项目不适用：电快速瞬变脉冲群抗扰度、浪涌抗扰度、射频场感应的传导骚扰度、电压慢变化、电压暂降和短时中断、谐波和谐间波骚扰、共模传导骚扰抗扰度。</w:t>
            </w:r>
          </w:p>
        </w:tc>
      </w:tr>
    </w:tbl>
    <w:p>
      <w:pPr>
        <w:pStyle w:val="65"/>
        <w:spacing w:before="156" w:after="156"/>
        <w:rPr>
          <w:color w:val="auto"/>
          <w:highlight w:val="none"/>
        </w:rPr>
      </w:pPr>
      <w:bookmarkStart w:id="382" w:name="_Toc6333"/>
      <w:r>
        <w:rPr>
          <w:rStyle w:val="239"/>
          <w:rFonts w:ascii="Times New Roman"/>
          <w:color w:val="auto"/>
          <w:highlight w:val="none"/>
        </w:rPr>
        <w:t>静电放电抗扰度</w:t>
      </w:r>
      <w:bookmarkEnd w:id="382"/>
    </w:p>
    <w:p>
      <w:pPr>
        <w:pStyle w:val="243"/>
        <w:spacing w:line="300" w:lineRule="auto"/>
        <w:rPr>
          <w:color w:val="auto"/>
          <w:szCs w:val="32"/>
          <w:highlight w:val="none"/>
        </w:rPr>
      </w:pPr>
      <w:r>
        <w:rPr>
          <w:color w:val="auto"/>
          <w:szCs w:val="32"/>
          <w:highlight w:val="none"/>
        </w:rPr>
        <w:t>参照GB/T 17626.2的试验程序进行。静电放电仅施加于被试设备的物理边界（外壳），试验水平为3级。允许与保护无关或自恢复的自诊断无关的测量性能暂时下降，不允许复位或重新启动。对于保护用微型智能电流传感器，不允许性能下降造成保护装置误动。</w:t>
      </w:r>
    </w:p>
    <w:p>
      <w:pPr>
        <w:pStyle w:val="65"/>
        <w:spacing w:before="156" w:after="156"/>
        <w:rPr>
          <w:color w:val="auto"/>
          <w:highlight w:val="none"/>
        </w:rPr>
      </w:pPr>
      <w:bookmarkStart w:id="383" w:name="_Toc23178"/>
      <w:r>
        <w:rPr>
          <w:rStyle w:val="239"/>
          <w:rFonts w:ascii="Times New Roman"/>
          <w:color w:val="auto"/>
          <w:highlight w:val="none"/>
        </w:rPr>
        <w:t>射频电磁场辐射抗扰度</w:t>
      </w:r>
      <w:bookmarkEnd w:id="383"/>
    </w:p>
    <w:p>
      <w:pPr>
        <w:pStyle w:val="243"/>
        <w:spacing w:line="300" w:lineRule="auto"/>
        <w:rPr>
          <w:color w:val="auto"/>
          <w:szCs w:val="32"/>
          <w:highlight w:val="none"/>
        </w:rPr>
      </w:pPr>
      <w:r>
        <w:rPr>
          <w:color w:val="auto"/>
          <w:szCs w:val="32"/>
          <w:highlight w:val="none"/>
        </w:rPr>
        <w:t>参照GB/T 17626.3的试验程序进行。试验水平为3级（10</w:t>
      </w:r>
      <w:r>
        <w:rPr>
          <w:rFonts w:hint="eastAsia"/>
          <w:color w:val="auto"/>
          <w:szCs w:val="32"/>
          <w:highlight w:val="none"/>
        </w:rPr>
        <w:t xml:space="preserve"> </w:t>
      </w:r>
      <w:r>
        <w:rPr>
          <w:color w:val="auto"/>
          <w:szCs w:val="32"/>
          <w:highlight w:val="none"/>
        </w:rPr>
        <w:t>V/m场强）。要求满足准确度规范限值以内的正常性能。</w:t>
      </w:r>
    </w:p>
    <w:p>
      <w:pPr>
        <w:pStyle w:val="65"/>
        <w:spacing w:before="156" w:after="156"/>
        <w:rPr>
          <w:color w:val="auto"/>
          <w:highlight w:val="none"/>
        </w:rPr>
      </w:pPr>
      <w:bookmarkStart w:id="384" w:name="_Toc18437"/>
      <w:r>
        <w:rPr>
          <w:rStyle w:val="239"/>
          <w:rFonts w:ascii="Times New Roman"/>
          <w:color w:val="auto"/>
          <w:highlight w:val="none"/>
        </w:rPr>
        <w:t>电快速瞬变脉冲群抗扰度</w:t>
      </w:r>
      <w:bookmarkEnd w:id="384"/>
    </w:p>
    <w:p>
      <w:pPr>
        <w:pStyle w:val="243"/>
        <w:spacing w:line="300" w:lineRule="auto"/>
        <w:rPr>
          <w:color w:val="auto"/>
          <w:szCs w:val="32"/>
          <w:highlight w:val="none"/>
        </w:rPr>
      </w:pPr>
      <w:r>
        <w:rPr>
          <w:color w:val="auto"/>
          <w:szCs w:val="32"/>
          <w:highlight w:val="none"/>
        </w:rPr>
        <w:t>参照GB/T 17626.4的试验程序进行。试验时，对传感器输入端口采用耦合/去耦合网络。试验水平按4级（其电源端口的试验电压为4</w:t>
      </w:r>
      <w:r>
        <w:rPr>
          <w:rFonts w:hint="eastAsia"/>
          <w:color w:val="auto"/>
          <w:szCs w:val="32"/>
          <w:highlight w:val="none"/>
        </w:rPr>
        <w:t xml:space="preserve"> </w:t>
      </w:r>
      <w:r>
        <w:rPr>
          <w:color w:val="auto"/>
          <w:szCs w:val="32"/>
          <w:highlight w:val="none"/>
        </w:rPr>
        <w:t>kV，重复率为5</w:t>
      </w:r>
      <w:r>
        <w:rPr>
          <w:rFonts w:hint="eastAsia"/>
          <w:color w:val="auto"/>
          <w:szCs w:val="32"/>
          <w:highlight w:val="none"/>
        </w:rPr>
        <w:t xml:space="preserve"> </w:t>
      </w:r>
      <w:r>
        <w:rPr>
          <w:color w:val="auto"/>
          <w:szCs w:val="32"/>
          <w:highlight w:val="none"/>
        </w:rPr>
        <w:t>kHz）。允许与保护无关或自恢复的自诊断无关的测量性能暂时下降，不允许复位或重新启动。对于保护用微型智能电流传感器，不允许性能下降造成保护装置误动。</w:t>
      </w:r>
    </w:p>
    <w:p>
      <w:pPr>
        <w:pStyle w:val="65"/>
        <w:spacing w:before="156" w:after="156"/>
        <w:rPr>
          <w:color w:val="auto"/>
          <w:highlight w:val="none"/>
        </w:rPr>
      </w:pPr>
      <w:bookmarkStart w:id="385" w:name="_Toc13721"/>
      <w:r>
        <w:rPr>
          <w:rStyle w:val="239"/>
          <w:rFonts w:ascii="Times New Roman"/>
          <w:color w:val="auto"/>
          <w:highlight w:val="none"/>
        </w:rPr>
        <w:t>浪涌抗扰度</w:t>
      </w:r>
      <w:bookmarkEnd w:id="385"/>
    </w:p>
    <w:p>
      <w:pPr>
        <w:pStyle w:val="243"/>
        <w:spacing w:line="300" w:lineRule="auto"/>
        <w:rPr>
          <w:color w:val="auto"/>
          <w:szCs w:val="32"/>
          <w:highlight w:val="none"/>
        </w:rPr>
      </w:pPr>
      <w:r>
        <w:rPr>
          <w:color w:val="auto"/>
          <w:szCs w:val="32"/>
          <w:highlight w:val="none"/>
        </w:rPr>
        <w:t>参照GB/T 17626.5的试验程序进行。试验发生器采用标准1.2/50</w:t>
      </w:r>
      <w:r>
        <w:rPr>
          <w:rFonts w:hint="eastAsia"/>
          <w:color w:val="auto"/>
          <w:szCs w:val="32"/>
          <w:highlight w:val="none"/>
        </w:rPr>
        <w:t xml:space="preserve"> </w:t>
      </w:r>
      <w:r>
        <w:rPr>
          <w:color w:val="auto"/>
          <w:szCs w:val="32"/>
          <w:highlight w:val="none"/>
        </w:rPr>
        <w:t>us电压波（开路）和8/20</w:t>
      </w:r>
      <w:r>
        <w:rPr>
          <w:rFonts w:hint="eastAsia"/>
          <w:color w:val="auto"/>
          <w:szCs w:val="32"/>
          <w:highlight w:val="none"/>
        </w:rPr>
        <w:t xml:space="preserve"> </w:t>
      </w:r>
      <w:r>
        <w:rPr>
          <w:color w:val="auto"/>
          <w:szCs w:val="32"/>
          <w:highlight w:val="none"/>
        </w:rPr>
        <w:t>us电流波（短路）的组合波（混合式）发生器。试验水平按4级（4</w:t>
      </w:r>
      <w:r>
        <w:rPr>
          <w:rFonts w:hint="eastAsia"/>
          <w:color w:val="auto"/>
          <w:szCs w:val="32"/>
          <w:highlight w:val="none"/>
        </w:rPr>
        <w:t xml:space="preserve"> </w:t>
      </w:r>
      <w:r>
        <w:rPr>
          <w:color w:val="auto"/>
          <w:szCs w:val="32"/>
          <w:highlight w:val="none"/>
        </w:rPr>
        <w:t>kV线-地，2</w:t>
      </w:r>
      <w:r>
        <w:rPr>
          <w:rFonts w:hint="eastAsia"/>
          <w:color w:val="auto"/>
          <w:szCs w:val="32"/>
          <w:highlight w:val="none"/>
        </w:rPr>
        <w:t xml:space="preserve"> </w:t>
      </w:r>
      <w:r>
        <w:rPr>
          <w:color w:val="auto"/>
          <w:szCs w:val="32"/>
          <w:highlight w:val="none"/>
        </w:rPr>
        <w:t>kV线-线）实施。允许与保护无关或自恢复的自诊断无关的测量性能暂时下降，不允许复位或重新启动。对于保护用微型智能电流传感器，不允许性能下降造成保护装置误动。</w:t>
      </w:r>
    </w:p>
    <w:p>
      <w:pPr>
        <w:pStyle w:val="65"/>
        <w:spacing w:before="156" w:after="156"/>
        <w:rPr>
          <w:color w:val="auto"/>
          <w:highlight w:val="none"/>
        </w:rPr>
      </w:pPr>
      <w:bookmarkStart w:id="386" w:name="_Toc7873"/>
      <w:r>
        <w:rPr>
          <w:rStyle w:val="239"/>
          <w:rFonts w:ascii="Times New Roman"/>
          <w:color w:val="auto"/>
          <w:highlight w:val="none"/>
        </w:rPr>
        <w:t>射频场感应的传导骚扰度（150</w:t>
      </w:r>
      <w:r>
        <w:rPr>
          <w:rStyle w:val="239"/>
          <w:rFonts w:hint="eastAsia" w:ascii="Times New Roman"/>
          <w:color w:val="auto"/>
          <w:highlight w:val="none"/>
        </w:rPr>
        <w:t xml:space="preserve"> </w:t>
      </w:r>
      <w:r>
        <w:rPr>
          <w:rStyle w:val="239"/>
          <w:rFonts w:ascii="Times New Roman"/>
          <w:color w:val="auto"/>
          <w:highlight w:val="none"/>
        </w:rPr>
        <w:t>kHz～80</w:t>
      </w:r>
      <w:r>
        <w:rPr>
          <w:rStyle w:val="239"/>
          <w:rFonts w:hint="eastAsia" w:ascii="Times New Roman"/>
          <w:color w:val="auto"/>
          <w:highlight w:val="none"/>
        </w:rPr>
        <w:t xml:space="preserve"> </w:t>
      </w:r>
      <w:r>
        <w:rPr>
          <w:rStyle w:val="239"/>
          <w:rFonts w:ascii="Times New Roman"/>
          <w:color w:val="auto"/>
          <w:highlight w:val="none"/>
        </w:rPr>
        <w:t>MHz）</w:t>
      </w:r>
      <w:bookmarkEnd w:id="386"/>
    </w:p>
    <w:p>
      <w:pPr>
        <w:pStyle w:val="243"/>
        <w:spacing w:line="300" w:lineRule="auto"/>
        <w:rPr>
          <w:color w:val="auto"/>
          <w:szCs w:val="32"/>
          <w:highlight w:val="none"/>
        </w:rPr>
      </w:pPr>
      <w:r>
        <w:rPr>
          <w:color w:val="auto"/>
          <w:szCs w:val="32"/>
          <w:highlight w:val="none"/>
        </w:rPr>
        <w:t>参照GB/T 17626.6的试验程序进行。试验水平为3级。要求满足准确度规范限值以内的正常性能。</w:t>
      </w:r>
    </w:p>
    <w:p>
      <w:pPr>
        <w:pStyle w:val="65"/>
        <w:spacing w:before="156" w:after="156"/>
        <w:rPr>
          <w:color w:val="auto"/>
          <w:highlight w:val="none"/>
        </w:rPr>
      </w:pPr>
      <w:bookmarkStart w:id="387" w:name="_Toc4558"/>
      <w:r>
        <w:rPr>
          <w:rStyle w:val="239"/>
          <w:rFonts w:ascii="Times New Roman"/>
          <w:color w:val="auto"/>
          <w:highlight w:val="none"/>
        </w:rPr>
        <w:t>工频磁场抗扰度</w:t>
      </w:r>
      <w:bookmarkEnd w:id="387"/>
    </w:p>
    <w:p>
      <w:pPr>
        <w:pStyle w:val="243"/>
        <w:spacing w:line="300" w:lineRule="auto"/>
        <w:rPr>
          <w:color w:val="auto"/>
          <w:szCs w:val="32"/>
          <w:highlight w:val="none"/>
        </w:rPr>
      </w:pPr>
      <w:r>
        <w:rPr>
          <w:color w:val="auto"/>
          <w:szCs w:val="32"/>
          <w:highlight w:val="none"/>
        </w:rPr>
        <w:t>参照GB/T 17626.8的试验程序进行。试验水平为5级（100</w:t>
      </w:r>
      <w:r>
        <w:rPr>
          <w:rFonts w:hint="eastAsia"/>
          <w:color w:val="auto"/>
          <w:szCs w:val="32"/>
          <w:highlight w:val="none"/>
        </w:rPr>
        <w:t xml:space="preserve"> </w:t>
      </w:r>
      <w:r>
        <w:rPr>
          <w:color w:val="auto"/>
          <w:szCs w:val="32"/>
          <w:highlight w:val="none"/>
        </w:rPr>
        <w:t>A/m×1</w:t>
      </w:r>
      <w:r>
        <w:rPr>
          <w:rFonts w:hint="eastAsia"/>
          <w:color w:val="auto"/>
          <w:szCs w:val="32"/>
          <w:highlight w:val="none"/>
        </w:rPr>
        <w:t xml:space="preserve"> </w:t>
      </w:r>
      <w:r>
        <w:rPr>
          <w:color w:val="auto"/>
          <w:szCs w:val="32"/>
          <w:highlight w:val="none"/>
        </w:rPr>
        <w:t>min和1000</w:t>
      </w:r>
      <w:r>
        <w:rPr>
          <w:rFonts w:hint="eastAsia"/>
          <w:color w:val="auto"/>
          <w:szCs w:val="32"/>
          <w:highlight w:val="none"/>
        </w:rPr>
        <w:t xml:space="preserve"> </w:t>
      </w:r>
      <w:r>
        <w:rPr>
          <w:color w:val="auto"/>
          <w:szCs w:val="32"/>
          <w:highlight w:val="none"/>
        </w:rPr>
        <w:t>A/m×1</w:t>
      </w:r>
      <w:r>
        <w:rPr>
          <w:rFonts w:hint="eastAsia"/>
          <w:color w:val="auto"/>
          <w:szCs w:val="32"/>
          <w:highlight w:val="none"/>
        </w:rPr>
        <w:t xml:space="preserve"> </w:t>
      </w:r>
      <w:r>
        <w:rPr>
          <w:color w:val="auto"/>
          <w:szCs w:val="32"/>
          <w:highlight w:val="none"/>
        </w:rPr>
        <w:t>s）。要求满足准确度规范限值以内的正常性能。</w:t>
      </w:r>
    </w:p>
    <w:p>
      <w:pPr>
        <w:pStyle w:val="65"/>
        <w:spacing w:before="156" w:after="156"/>
        <w:rPr>
          <w:color w:val="auto"/>
          <w:highlight w:val="none"/>
        </w:rPr>
      </w:pPr>
      <w:bookmarkStart w:id="388" w:name="_Toc8325"/>
      <w:r>
        <w:rPr>
          <w:rStyle w:val="239"/>
          <w:rFonts w:ascii="Times New Roman"/>
          <w:color w:val="auto"/>
          <w:highlight w:val="none"/>
        </w:rPr>
        <w:t>脉冲磁场抗扰度</w:t>
      </w:r>
      <w:bookmarkEnd w:id="388"/>
    </w:p>
    <w:p>
      <w:pPr>
        <w:pStyle w:val="243"/>
        <w:spacing w:line="300" w:lineRule="auto"/>
        <w:rPr>
          <w:color w:val="auto"/>
          <w:szCs w:val="32"/>
          <w:highlight w:val="none"/>
        </w:rPr>
      </w:pPr>
      <w:r>
        <w:rPr>
          <w:color w:val="auto"/>
          <w:szCs w:val="32"/>
          <w:highlight w:val="none"/>
        </w:rPr>
        <w:t>参照GB/T 17626.9的试验程序进行。试验水平为5级（1000</w:t>
      </w:r>
      <w:r>
        <w:rPr>
          <w:rFonts w:hint="eastAsia"/>
          <w:color w:val="auto"/>
          <w:szCs w:val="32"/>
          <w:highlight w:val="none"/>
        </w:rPr>
        <w:t xml:space="preserve"> </w:t>
      </w:r>
      <w:r>
        <w:rPr>
          <w:color w:val="auto"/>
          <w:szCs w:val="32"/>
          <w:highlight w:val="none"/>
        </w:rPr>
        <w:t>A/m峰值）。允许与保护无关或自恢复的自诊断无关的测量性能暂时下降，不允许复位或重新启动。对于保护用微型智能电流传感器，不允许性能下降造成保护装置误动。</w:t>
      </w:r>
    </w:p>
    <w:p>
      <w:pPr>
        <w:pStyle w:val="65"/>
        <w:spacing w:before="156" w:after="156"/>
        <w:rPr>
          <w:color w:val="auto"/>
          <w:highlight w:val="none"/>
        </w:rPr>
      </w:pPr>
      <w:bookmarkStart w:id="389" w:name="_Toc8825"/>
      <w:r>
        <w:rPr>
          <w:rStyle w:val="239"/>
          <w:rFonts w:ascii="Times New Roman"/>
          <w:color w:val="auto"/>
          <w:highlight w:val="none"/>
        </w:rPr>
        <w:t>阻尼振荡磁场抗扰度</w:t>
      </w:r>
      <w:bookmarkEnd w:id="389"/>
    </w:p>
    <w:p>
      <w:pPr>
        <w:pStyle w:val="243"/>
        <w:spacing w:line="300" w:lineRule="auto"/>
        <w:rPr>
          <w:color w:val="auto"/>
          <w:szCs w:val="32"/>
          <w:highlight w:val="none"/>
        </w:rPr>
      </w:pPr>
      <w:r>
        <w:rPr>
          <w:color w:val="auto"/>
          <w:szCs w:val="32"/>
          <w:highlight w:val="none"/>
        </w:rPr>
        <w:t>参照GB/T 17626.</w:t>
      </w:r>
      <w:r>
        <w:rPr>
          <w:rFonts w:hint="eastAsia"/>
          <w:color w:val="auto"/>
          <w:szCs w:val="32"/>
          <w:highlight w:val="none"/>
          <w:lang w:val="en-US" w:eastAsia="zh-CN"/>
        </w:rPr>
        <w:t>10</w:t>
      </w:r>
      <w:r>
        <w:rPr>
          <w:color w:val="auto"/>
          <w:szCs w:val="32"/>
          <w:highlight w:val="none"/>
        </w:rPr>
        <w:t>的试验程序进行。试验水平为5级（1000</w:t>
      </w:r>
      <w:r>
        <w:rPr>
          <w:rFonts w:hint="eastAsia"/>
          <w:color w:val="auto"/>
          <w:szCs w:val="32"/>
          <w:highlight w:val="none"/>
        </w:rPr>
        <w:t xml:space="preserve"> </w:t>
      </w:r>
      <w:r>
        <w:rPr>
          <w:color w:val="auto"/>
          <w:szCs w:val="32"/>
          <w:highlight w:val="none"/>
        </w:rPr>
        <w:t>A/m峰值）。允许与保护无关或自恢复的自诊断无关的测量性能暂时下降，不允许复位或重新启动。对于保护用微型智能电流传感器，不允许性能下降造成保护装置误动。</w:t>
      </w:r>
    </w:p>
    <w:p>
      <w:pPr>
        <w:pStyle w:val="65"/>
        <w:spacing w:before="156" w:after="156"/>
        <w:rPr>
          <w:color w:val="auto"/>
          <w:highlight w:val="none"/>
        </w:rPr>
      </w:pPr>
      <w:bookmarkStart w:id="390" w:name="_Toc8519"/>
      <w:r>
        <w:rPr>
          <w:rStyle w:val="239"/>
          <w:rFonts w:ascii="Times New Roman"/>
          <w:color w:val="auto"/>
          <w:highlight w:val="none"/>
        </w:rPr>
        <w:t>电压慢变化</w:t>
      </w:r>
      <w:bookmarkEnd w:id="390"/>
    </w:p>
    <w:p>
      <w:pPr>
        <w:pStyle w:val="243"/>
        <w:spacing w:line="300" w:lineRule="auto"/>
        <w:rPr>
          <w:color w:val="auto"/>
          <w:szCs w:val="32"/>
          <w:highlight w:val="none"/>
        </w:rPr>
      </w:pPr>
      <w:r>
        <w:rPr>
          <w:color w:val="auto"/>
          <w:szCs w:val="32"/>
          <w:highlight w:val="none"/>
        </w:rPr>
        <w:t>试验程序应为，交流电源按GB/T 17626.11，直流电源按GB/T 17626.29规定。所用电压波动范围，交流电源为其标称电压的+10%～-20%，直流电压为其标称电压的+20%～-20%。要求满足准确度规范限值以内的正常性能。</w:t>
      </w:r>
    </w:p>
    <w:p>
      <w:pPr>
        <w:pStyle w:val="65"/>
        <w:spacing w:before="156" w:after="156"/>
        <w:rPr>
          <w:color w:val="auto"/>
          <w:highlight w:val="none"/>
        </w:rPr>
      </w:pPr>
      <w:bookmarkStart w:id="391" w:name="_Toc10763"/>
      <w:r>
        <w:rPr>
          <w:rStyle w:val="239"/>
          <w:rFonts w:ascii="Times New Roman"/>
          <w:color w:val="auto"/>
          <w:highlight w:val="none"/>
        </w:rPr>
        <w:t>电压暂降和短时中断</w:t>
      </w:r>
      <w:bookmarkEnd w:id="391"/>
    </w:p>
    <w:p>
      <w:pPr>
        <w:pStyle w:val="243"/>
        <w:spacing w:line="300" w:lineRule="auto"/>
        <w:rPr>
          <w:color w:val="auto"/>
          <w:szCs w:val="32"/>
          <w:highlight w:val="none"/>
        </w:rPr>
      </w:pPr>
      <w:r>
        <w:rPr>
          <w:color w:val="auto"/>
          <w:szCs w:val="32"/>
          <w:highlight w:val="none"/>
        </w:rPr>
        <w:t>试验程序应为，交流电源按GB/T 17626.11，直流电源按GB/T 17626.29规定。</w:t>
      </w:r>
    </w:p>
    <w:p>
      <w:pPr>
        <w:pStyle w:val="243"/>
        <w:spacing w:line="300" w:lineRule="auto"/>
        <w:rPr>
          <w:color w:val="auto"/>
          <w:szCs w:val="32"/>
          <w:highlight w:val="none"/>
        </w:rPr>
      </w:pPr>
      <w:r>
        <w:rPr>
          <w:color w:val="auto"/>
          <w:szCs w:val="32"/>
          <w:highlight w:val="none"/>
        </w:rPr>
        <w:t>交流电源试验所用电压暂降为其标称电压的30%，历时0.1</w:t>
      </w:r>
      <w:r>
        <w:rPr>
          <w:rFonts w:hint="eastAsia"/>
          <w:color w:val="auto"/>
          <w:szCs w:val="32"/>
          <w:highlight w:val="none"/>
        </w:rPr>
        <w:t xml:space="preserve"> </w:t>
      </w:r>
      <w:r>
        <w:rPr>
          <w:color w:val="auto"/>
          <w:szCs w:val="32"/>
          <w:highlight w:val="none"/>
        </w:rPr>
        <w:t>s。交流电源的电压终端试验按历时0.02s进行。</w:t>
      </w:r>
    </w:p>
    <w:p>
      <w:pPr>
        <w:pStyle w:val="243"/>
        <w:spacing w:line="300" w:lineRule="auto"/>
        <w:rPr>
          <w:color w:val="auto"/>
          <w:szCs w:val="32"/>
          <w:highlight w:val="none"/>
        </w:rPr>
      </w:pPr>
      <w:r>
        <w:rPr>
          <w:color w:val="auto"/>
          <w:szCs w:val="32"/>
          <w:highlight w:val="none"/>
        </w:rPr>
        <w:t>直流电压试验所用电压暂降为其标称电压的50%，历时0.1</w:t>
      </w:r>
      <w:r>
        <w:rPr>
          <w:rFonts w:hint="eastAsia"/>
          <w:color w:val="auto"/>
          <w:szCs w:val="32"/>
          <w:highlight w:val="none"/>
        </w:rPr>
        <w:t xml:space="preserve"> </w:t>
      </w:r>
      <w:r>
        <w:rPr>
          <w:color w:val="auto"/>
          <w:szCs w:val="32"/>
          <w:highlight w:val="none"/>
        </w:rPr>
        <w:t>s。</w:t>
      </w:r>
    </w:p>
    <w:p>
      <w:pPr>
        <w:pStyle w:val="243"/>
        <w:spacing w:line="300" w:lineRule="auto"/>
        <w:rPr>
          <w:color w:val="auto"/>
          <w:szCs w:val="32"/>
          <w:highlight w:val="none"/>
        </w:rPr>
      </w:pPr>
      <w:r>
        <w:rPr>
          <w:color w:val="auto"/>
          <w:szCs w:val="32"/>
          <w:highlight w:val="none"/>
        </w:rPr>
        <w:t>直流电压的电压中断试验按历时0.05</w:t>
      </w:r>
      <w:r>
        <w:rPr>
          <w:rFonts w:hint="eastAsia"/>
          <w:color w:val="auto"/>
          <w:szCs w:val="32"/>
          <w:highlight w:val="none"/>
        </w:rPr>
        <w:t xml:space="preserve"> </w:t>
      </w:r>
      <w:r>
        <w:rPr>
          <w:color w:val="auto"/>
          <w:szCs w:val="32"/>
          <w:highlight w:val="none"/>
        </w:rPr>
        <w:t>s（低阻抗）进行。</w:t>
      </w:r>
    </w:p>
    <w:p>
      <w:pPr>
        <w:pStyle w:val="243"/>
        <w:spacing w:line="300" w:lineRule="auto"/>
        <w:rPr>
          <w:color w:val="auto"/>
          <w:szCs w:val="32"/>
          <w:highlight w:val="none"/>
        </w:rPr>
      </w:pPr>
      <w:r>
        <w:rPr>
          <w:color w:val="auto"/>
          <w:szCs w:val="32"/>
          <w:highlight w:val="none"/>
        </w:rPr>
        <w:t>要求满足准确度规范限值以内的正常性能。</w:t>
      </w:r>
    </w:p>
    <w:p>
      <w:pPr>
        <w:pStyle w:val="65"/>
        <w:spacing w:before="156" w:after="156"/>
        <w:rPr>
          <w:color w:val="auto"/>
          <w:highlight w:val="none"/>
        </w:rPr>
      </w:pPr>
      <w:bookmarkStart w:id="392" w:name="_Toc1699"/>
      <w:r>
        <w:rPr>
          <w:rStyle w:val="239"/>
          <w:rFonts w:ascii="Times New Roman"/>
          <w:color w:val="auto"/>
          <w:highlight w:val="none"/>
        </w:rPr>
        <w:t>谐波和谐间波骚扰</w:t>
      </w:r>
      <w:bookmarkEnd w:id="392"/>
    </w:p>
    <w:p>
      <w:pPr>
        <w:pStyle w:val="243"/>
        <w:spacing w:line="300" w:lineRule="auto"/>
        <w:rPr>
          <w:color w:val="auto"/>
          <w:szCs w:val="32"/>
          <w:highlight w:val="none"/>
        </w:rPr>
      </w:pPr>
      <w:r>
        <w:rPr>
          <w:color w:val="auto"/>
          <w:szCs w:val="32"/>
          <w:highlight w:val="none"/>
        </w:rPr>
        <w:t>参照GB/T 17626.13的试验程序进行。严酷等级为2级（总谐波畸变量为10%）。要求满足准确度规范限值以内的正常性能。</w:t>
      </w:r>
    </w:p>
    <w:p>
      <w:pPr>
        <w:pStyle w:val="65"/>
        <w:spacing w:before="156" w:after="156"/>
        <w:rPr>
          <w:color w:val="auto"/>
          <w:highlight w:val="none"/>
        </w:rPr>
      </w:pPr>
      <w:bookmarkStart w:id="393" w:name="_Toc14560"/>
      <w:r>
        <w:rPr>
          <w:rStyle w:val="239"/>
          <w:rFonts w:ascii="Times New Roman"/>
          <w:color w:val="auto"/>
          <w:highlight w:val="none"/>
        </w:rPr>
        <w:t>共模传导骚扰抗扰度(0 Hz-150</w:t>
      </w:r>
      <w:r>
        <w:rPr>
          <w:rStyle w:val="239"/>
          <w:rFonts w:hint="eastAsia" w:ascii="Times New Roman"/>
          <w:color w:val="auto"/>
          <w:highlight w:val="none"/>
        </w:rPr>
        <w:t xml:space="preserve"> </w:t>
      </w:r>
      <w:r>
        <w:rPr>
          <w:rStyle w:val="239"/>
          <w:rFonts w:ascii="Times New Roman"/>
          <w:color w:val="auto"/>
          <w:highlight w:val="none"/>
        </w:rPr>
        <w:t>kHz)</w:t>
      </w:r>
      <w:bookmarkEnd w:id="393"/>
    </w:p>
    <w:p>
      <w:pPr>
        <w:pStyle w:val="243"/>
        <w:spacing w:line="300" w:lineRule="auto"/>
        <w:rPr>
          <w:color w:val="auto"/>
          <w:szCs w:val="32"/>
          <w:highlight w:val="none"/>
        </w:rPr>
      </w:pPr>
      <w:r>
        <w:rPr>
          <w:color w:val="auto"/>
          <w:szCs w:val="32"/>
          <w:highlight w:val="none"/>
        </w:rPr>
        <w:t>参照GB/T 17626.16的试验程序进行。试验水平为4级。要求满足准确度规范限值以内的正常性能。</w:t>
      </w:r>
    </w:p>
    <w:p>
      <w:pPr>
        <w:pStyle w:val="65"/>
        <w:spacing w:before="156" w:after="156"/>
        <w:rPr>
          <w:color w:val="auto"/>
          <w:highlight w:val="none"/>
        </w:rPr>
      </w:pPr>
      <w:bookmarkStart w:id="394" w:name="_Toc1033"/>
      <w:r>
        <w:rPr>
          <w:rStyle w:val="239"/>
          <w:rFonts w:ascii="Times New Roman"/>
          <w:color w:val="auto"/>
          <w:highlight w:val="none"/>
        </w:rPr>
        <w:t>振荡波抗扰度</w:t>
      </w:r>
      <w:bookmarkEnd w:id="394"/>
    </w:p>
    <w:p>
      <w:pPr>
        <w:pStyle w:val="243"/>
        <w:spacing w:line="300" w:lineRule="auto"/>
        <w:rPr>
          <w:color w:val="auto"/>
          <w:szCs w:val="32"/>
          <w:highlight w:val="none"/>
        </w:rPr>
      </w:pPr>
      <w:r>
        <w:rPr>
          <w:color w:val="auto"/>
          <w:szCs w:val="32"/>
          <w:highlight w:val="none"/>
        </w:rPr>
        <w:t>参照GB/T 17626.18的试验程序进行。试验发生器采用阻尼振荡波发生器，试验水平为3级（其电源线及信号线的试验电压为共模2.5</w:t>
      </w:r>
      <w:r>
        <w:rPr>
          <w:rFonts w:hint="eastAsia"/>
          <w:color w:val="auto"/>
          <w:szCs w:val="32"/>
          <w:highlight w:val="none"/>
        </w:rPr>
        <w:t xml:space="preserve"> </w:t>
      </w:r>
      <w:r>
        <w:rPr>
          <w:color w:val="auto"/>
          <w:szCs w:val="32"/>
          <w:highlight w:val="none"/>
        </w:rPr>
        <w:t>kV及差模1</w:t>
      </w:r>
      <w:r>
        <w:rPr>
          <w:rFonts w:hint="eastAsia"/>
          <w:color w:val="auto"/>
          <w:szCs w:val="32"/>
          <w:highlight w:val="none"/>
        </w:rPr>
        <w:t xml:space="preserve"> </w:t>
      </w:r>
      <w:r>
        <w:rPr>
          <w:color w:val="auto"/>
          <w:szCs w:val="32"/>
          <w:highlight w:val="none"/>
        </w:rPr>
        <w:t>kV，试验频率为100</w:t>
      </w:r>
      <w:r>
        <w:rPr>
          <w:rFonts w:hint="eastAsia"/>
          <w:color w:val="auto"/>
          <w:szCs w:val="32"/>
          <w:highlight w:val="none"/>
        </w:rPr>
        <w:t xml:space="preserve"> </w:t>
      </w:r>
      <w:r>
        <w:rPr>
          <w:color w:val="auto"/>
          <w:szCs w:val="32"/>
          <w:highlight w:val="none"/>
        </w:rPr>
        <w:t>kHz或1</w:t>
      </w:r>
      <w:r>
        <w:rPr>
          <w:rFonts w:hint="eastAsia"/>
          <w:color w:val="auto"/>
          <w:szCs w:val="32"/>
          <w:highlight w:val="none"/>
        </w:rPr>
        <w:t xml:space="preserve"> </w:t>
      </w:r>
      <w:r>
        <w:rPr>
          <w:color w:val="auto"/>
          <w:szCs w:val="32"/>
          <w:highlight w:val="none"/>
        </w:rPr>
        <w:t>MHz，每秒重复400次）。允许与保护无关或自恢复的自诊断无关的测量性能暂时下降，不允许复位或重新启动。对于保护用微型智能电流传感器，不允许性能下降造成保护装置误动。</w:t>
      </w:r>
    </w:p>
    <w:p>
      <w:pPr>
        <w:pStyle w:val="104"/>
        <w:spacing w:before="312" w:after="312"/>
        <w:rPr>
          <w:rFonts w:ascii="Times New Roman"/>
          <w:color w:val="auto"/>
          <w:highlight w:val="none"/>
        </w:rPr>
      </w:pPr>
      <w:bookmarkStart w:id="395" w:name="_Toc20232"/>
      <w:bookmarkStart w:id="396" w:name="_Toc5663"/>
      <w:bookmarkStart w:id="397" w:name="_Toc14297"/>
      <w:bookmarkStart w:id="398" w:name="_Toc12688"/>
      <w:bookmarkStart w:id="399" w:name="_Toc21994"/>
      <w:r>
        <w:rPr>
          <w:rFonts w:ascii="Times New Roman"/>
          <w:color w:val="auto"/>
          <w:highlight w:val="none"/>
        </w:rPr>
        <w:t>检验项目</w:t>
      </w:r>
      <w:bookmarkEnd w:id="395"/>
      <w:bookmarkEnd w:id="396"/>
      <w:bookmarkEnd w:id="397"/>
      <w:bookmarkEnd w:id="398"/>
      <w:bookmarkEnd w:id="399"/>
    </w:p>
    <w:p>
      <w:pPr>
        <w:pStyle w:val="243"/>
        <w:spacing w:line="300" w:lineRule="auto"/>
        <w:rPr>
          <w:rFonts w:hint="eastAsia" w:eastAsia="宋体"/>
          <w:color w:val="auto"/>
          <w:szCs w:val="32"/>
          <w:highlight w:val="none"/>
          <w:lang w:eastAsia="zh-CN"/>
        </w:rPr>
      </w:pPr>
      <w:r>
        <w:rPr>
          <w:color w:val="auto"/>
          <w:szCs w:val="32"/>
          <w:highlight w:val="none"/>
        </w:rPr>
        <w:t>微型智能电流传感器的检验类型包括出厂检验、型式试验和到货抽检等。检测项目如表2</w:t>
      </w:r>
      <w:r>
        <w:rPr>
          <w:rFonts w:hint="eastAsia"/>
          <w:color w:val="auto"/>
          <w:szCs w:val="32"/>
          <w:highlight w:val="none"/>
          <w:lang w:val="en-US" w:eastAsia="zh-CN"/>
        </w:rPr>
        <w:t>4</w:t>
      </w:r>
      <w:r>
        <w:rPr>
          <w:color w:val="auto"/>
          <w:szCs w:val="32"/>
          <w:highlight w:val="none"/>
        </w:rPr>
        <w:t>所示。</w:t>
      </w:r>
    </w:p>
    <w:p>
      <w:pPr>
        <w:pStyle w:val="112"/>
        <w:spacing w:before="156" w:after="156"/>
        <w:rPr>
          <w:color w:val="auto"/>
          <w:highlight w:val="none"/>
        </w:rPr>
      </w:pPr>
      <w:r>
        <w:rPr>
          <w:rFonts w:hint="eastAsia"/>
          <w:color w:val="auto"/>
          <w:highlight w:val="none"/>
          <w:lang w:eastAsia="zh-CN"/>
        </w:rPr>
        <w:t>检测项目</w:t>
      </w:r>
    </w:p>
    <w:tbl>
      <w:tblPr>
        <w:tblStyle w:val="26"/>
        <w:tblW w:w="85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736"/>
        <w:gridCol w:w="1738"/>
        <w:gridCol w:w="1108"/>
        <w:gridCol w:w="1108"/>
        <w:gridCol w:w="1109"/>
        <w:gridCol w:w="27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36" w:type="dxa"/>
            <w:tcBorders>
              <w:top w:val="single" w:color="auto" w:sz="8" w:space="0"/>
              <w:bottom w:val="single" w:color="auto" w:sz="8" w:space="0"/>
            </w:tcBorders>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序号</w:t>
            </w:r>
          </w:p>
        </w:tc>
        <w:tc>
          <w:tcPr>
            <w:tcW w:w="1738" w:type="dxa"/>
            <w:tcBorders>
              <w:top w:val="single" w:color="auto" w:sz="8" w:space="0"/>
              <w:bottom w:val="single" w:color="auto" w:sz="8" w:space="0"/>
            </w:tcBorders>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检验项目</w:t>
            </w:r>
          </w:p>
        </w:tc>
        <w:tc>
          <w:tcPr>
            <w:tcW w:w="1108" w:type="dxa"/>
            <w:tcBorders>
              <w:top w:val="single" w:color="auto" w:sz="8" w:space="0"/>
              <w:bottom w:val="single" w:color="auto" w:sz="8" w:space="0"/>
            </w:tcBorders>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出厂检验</w:t>
            </w:r>
          </w:p>
        </w:tc>
        <w:tc>
          <w:tcPr>
            <w:tcW w:w="1108" w:type="dxa"/>
            <w:tcBorders>
              <w:top w:val="single" w:color="auto" w:sz="8" w:space="0"/>
              <w:bottom w:val="single" w:color="auto" w:sz="8" w:space="0"/>
            </w:tcBorders>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型式</w:t>
            </w:r>
            <w:r>
              <w:rPr>
                <w:rFonts w:hint="eastAsia" w:ascii="Times New Roman" w:hAnsi="Times New Roman"/>
                <w:color w:val="auto"/>
                <w:sz w:val="18"/>
                <w:szCs w:val="18"/>
                <w:highlight w:val="none"/>
              </w:rPr>
              <w:t>试</w:t>
            </w:r>
            <w:r>
              <w:rPr>
                <w:rFonts w:ascii="Times New Roman" w:hAnsi="Times New Roman"/>
                <w:color w:val="auto"/>
                <w:sz w:val="18"/>
                <w:szCs w:val="18"/>
                <w:highlight w:val="none"/>
              </w:rPr>
              <w:t>验</w:t>
            </w:r>
          </w:p>
        </w:tc>
        <w:tc>
          <w:tcPr>
            <w:tcW w:w="1109" w:type="dxa"/>
            <w:tcBorders>
              <w:top w:val="single" w:color="auto" w:sz="8" w:space="0"/>
              <w:bottom w:val="single" w:color="auto" w:sz="8" w:space="0"/>
            </w:tcBorders>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到货抽检</w:t>
            </w:r>
          </w:p>
        </w:tc>
        <w:tc>
          <w:tcPr>
            <w:tcW w:w="2721" w:type="dxa"/>
            <w:tcBorders>
              <w:top w:val="single" w:color="auto" w:sz="8" w:space="0"/>
              <w:bottom w:val="single" w:color="auto" w:sz="8" w:space="0"/>
            </w:tcBorders>
            <w:shd w:val="clear" w:color="auto" w:fill="auto"/>
            <w:vAlign w:val="center"/>
          </w:tcPr>
          <w:p>
            <w:pPr>
              <w:spacing w:line="240" w:lineRule="auto"/>
              <w:jc w:val="center"/>
              <w:rPr>
                <w:rFonts w:hint="eastAsia" w:ascii="Times New Roman" w:hAnsi="Times New Roman" w:eastAsia="宋体"/>
                <w:color w:val="auto"/>
                <w:sz w:val="18"/>
                <w:szCs w:val="18"/>
                <w:highlight w:val="none"/>
                <w:lang w:eastAsia="zh-CN"/>
              </w:rPr>
            </w:pPr>
            <w:r>
              <w:rPr>
                <w:rFonts w:hint="eastAsia" w:ascii="Times New Roman" w:hAnsi="Times New Roman"/>
                <w:color w:val="auto"/>
                <w:sz w:val="18"/>
                <w:szCs w:val="18"/>
                <w:highlight w:val="none"/>
                <w:lang w:eastAsia="zh-CN"/>
              </w:rPr>
              <w:t>检验要求和方法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36" w:type="dxa"/>
            <w:tcBorders>
              <w:top w:val="single" w:color="auto" w:sz="8" w:space="0"/>
            </w:tcBorders>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1738" w:type="dxa"/>
            <w:tcBorders>
              <w:top w:val="single" w:color="auto" w:sz="8" w:space="0"/>
            </w:tcBorders>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外观结构检查</w:t>
            </w:r>
          </w:p>
        </w:tc>
        <w:tc>
          <w:tcPr>
            <w:tcW w:w="1108" w:type="dxa"/>
            <w:tcBorders>
              <w:top w:val="single" w:color="auto" w:sz="8" w:space="0"/>
            </w:tcBorders>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108" w:type="dxa"/>
            <w:tcBorders>
              <w:top w:val="single" w:color="auto" w:sz="8" w:space="0"/>
            </w:tcBorders>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109" w:type="dxa"/>
            <w:tcBorders>
              <w:top w:val="single" w:color="auto" w:sz="8" w:space="0"/>
            </w:tcBorders>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2721" w:type="dxa"/>
            <w:tcBorders>
              <w:top w:val="single" w:color="auto" w:sz="8" w:space="0"/>
            </w:tcBorders>
            <w:shd w:val="clear" w:color="auto" w:fill="auto"/>
            <w:vAlign w:val="center"/>
          </w:tcPr>
          <w:p>
            <w:pPr>
              <w:spacing w:line="240" w:lineRule="auto"/>
              <w:jc w:val="center"/>
              <w:rPr>
                <w:rFonts w:hint="default" w:ascii="Times New Roman" w:hAnsi="Times New Roman"/>
                <w:color w:val="auto"/>
                <w:sz w:val="18"/>
                <w:szCs w:val="18"/>
                <w:highlight w:val="none"/>
                <w:lang w:val="en-US"/>
              </w:rPr>
            </w:pPr>
            <w:r>
              <w:rPr>
                <w:rFonts w:ascii="Times New Roman" w:hAnsi="Times New Roman"/>
                <w:color w:val="auto"/>
                <w:sz w:val="18"/>
                <w:szCs w:val="18"/>
                <w:highlight w:val="none"/>
              </w:rPr>
              <w:t>见本文件</w:t>
            </w:r>
            <w:r>
              <w:rPr>
                <w:rFonts w:hint="eastAsia" w:ascii="Times New Roman" w:hAnsi="Times New Roman"/>
                <w:color w:val="auto"/>
                <w:sz w:val="18"/>
                <w:szCs w:val="18"/>
                <w:highlight w:val="none"/>
                <w:lang w:val="en-US" w:eastAsia="zh-CN"/>
              </w:rPr>
              <w:t>8.3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36"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173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准确级及误差限值</w:t>
            </w: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109"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2721"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见本文件6.2、</w:t>
            </w:r>
            <w:r>
              <w:rPr>
                <w:rFonts w:hint="eastAsia" w:ascii="Times New Roman" w:hAnsi="Times New Roman"/>
                <w:color w:val="auto"/>
                <w:sz w:val="18"/>
                <w:szCs w:val="18"/>
                <w:highlight w:val="none"/>
                <w:lang w:val="en-US" w:eastAsia="zh-CN"/>
              </w:rPr>
              <w:t>8</w:t>
            </w:r>
            <w:r>
              <w:rPr>
                <w:rFonts w:ascii="Times New Roman" w:hAnsi="Times New Roman"/>
                <w:color w:val="auto"/>
                <w:sz w:val="18"/>
                <w:szCs w:val="18"/>
                <w:highlight w:val="none"/>
              </w:rPr>
              <w:t>.4.1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36"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173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线性度</w:t>
            </w: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109" w:type="dxa"/>
            <w:shd w:val="clear" w:color="auto" w:fill="auto"/>
            <w:vAlign w:val="center"/>
          </w:tcPr>
          <w:p>
            <w:pPr>
              <w:spacing w:line="240" w:lineRule="auto"/>
              <w:jc w:val="center"/>
              <w:rPr>
                <w:rFonts w:ascii="Times New Roman" w:hAnsi="Times New Roman"/>
                <w:color w:val="auto"/>
                <w:sz w:val="18"/>
                <w:szCs w:val="18"/>
                <w:highlight w:val="none"/>
              </w:rPr>
            </w:pPr>
          </w:p>
        </w:tc>
        <w:tc>
          <w:tcPr>
            <w:tcW w:w="2721"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见本文件6.3、</w:t>
            </w:r>
            <w:r>
              <w:rPr>
                <w:rFonts w:hint="eastAsia" w:ascii="Times New Roman" w:hAnsi="Times New Roman"/>
                <w:color w:val="auto"/>
                <w:sz w:val="18"/>
                <w:szCs w:val="18"/>
                <w:highlight w:val="none"/>
                <w:lang w:val="en-US" w:eastAsia="zh-CN"/>
              </w:rPr>
              <w:t>8</w:t>
            </w:r>
            <w:r>
              <w:rPr>
                <w:rFonts w:ascii="Times New Roman" w:hAnsi="Times New Roman"/>
                <w:color w:val="auto"/>
                <w:sz w:val="18"/>
                <w:szCs w:val="18"/>
                <w:highlight w:val="none"/>
              </w:rPr>
              <w:t>.4.2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36"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173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重复性</w:t>
            </w: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109" w:type="dxa"/>
            <w:shd w:val="clear" w:color="auto" w:fill="auto"/>
            <w:vAlign w:val="center"/>
          </w:tcPr>
          <w:p>
            <w:pPr>
              <w:spacing w:line="240" w:lineRule="auto"/>
              <w:jc w:val="center"/>
              <w:rPr>
                <w:rFonts w:ascii="Times New Roman" w:hAnsi="Times New Roman"/>
                <w:color w:val="auto"/>
                <w:sz w:val="18"/>
                <w:szCs w:val="18"/>
                <w:highlight w:val="none"/>
              </w:rPr>
            </w:pPr>
          </w:p>
        </w:tc>
        <w:tc>
          <w:tcPr>
            <w:tcW w:w="2721"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见本文件6.4、</w:t>
            </w:r>
            <w:r>
              <w:rPr>
                <w:rFonts w:hint="eastAsia" w:ascii="Times New Roman" w:hAnsi="Times New Roman"/>
                <w:color w:val="auto"/>
                <w:sz w:val="18"/>
                <w:szCs w:val="18"/>
                <w:highlight w:val="none"/>
                <w:lang w:val="en-US" w:eastAsia="zh-CN"/>
              </w:rPr>
              <w:t>8</w:t>
            </w:r>
            <w:r>
              <w:rPr>
                <w:rFonts w:ascii="Times New Roman" w:hAnsi="Times New Roman"/>
                <w:color w:val="auto"/>
                <w:sz w:val="18"/>
                <w:szCs w:val="18"/>
                <w:highlight w:val="none"/>
              </w:rPr>
              <w:t>.4.3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36"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173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分辨力</w:t>
            </w: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109" w:type="dxa"/>
            <w:shd w:val="clear" w:color="auto" w:fill="auto"/>
            <w:vAlign w:val="center"/>
          </w:tcPr>
          <w:p>
            <w:pPr>
              <w:spacing w:line="240" w:lineRule="auto"/>
              <w:jc w:val="center"/>
              <w:rPr>
                <w:rFonts w:ascii="Times New Roman" w:hAnsi="Times New Roman"/>
                <w:color w:val="auto"/>
                <w:sz w:val="18"/>
                <w:szCs w:val="18"/>
                <w:highlight w:val="none"/>
              </w:rPr>
            </w:pPr>
          </w:p>
        </w:tc>
        <w:tc>
          <w:tcPr>
            <w:tcW w:w="2721"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见本文件6.5、</w:t>
            </w:r>
            <w:r>
              <w:rPr>
                <w:rFonts w:hint="eastAsia" w:ascii="Times New Roman" w:hAnsi="Times New Roman"/>
                <w:color w:val="auto"/>
                <w:sz w:val="18"/>
                <w:szCs w:val="18"/>
                <w:highlight w:val="none"/>
                <w:lang w:val="en-US" w:eastAsia="zh-CN"/>
              </w:rPr>
              <w:t>8</w:t>
            </w:r>
            <w:r>
              <w:rPr>
                <w:rFonts w:ascii="Times New Roman" w:hAnsi="Times New Roman"/>
                <w:color w:val="auto"/>
                <w:sz w:val="18"/>
                <w:szCs w:val="18"/>
                <w:highlight w:val="none"/>
              </w:rPr>
              <w:t>.4.5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36"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173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零点输出</w:t>
            </w: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109" w:type="dxa"/>
            <w:shd w:val="clear" w:color="auto" w:fill="auto"/>
            <w:vAlign w:val="center"/>
          </w:tcPr>
          <w:p>
            <w:pPr>
              <w:spacing w:line="240" w:lineRule="auto"/>
              <w:jc w:val="center"/>
              <w:rPr>
                <w:rFonts w:ascii="Times New Roman" w:hAnsi="Times New Roman"/>
                <w:color w:val="auto"/>
                <w:sz w:val="18"/>
                <w:szCs w:val="18"/>
                <w:highlight w:val="none"/>
              </w:rPr>
            </w:pPr>
          </w:p>
        </w:tc>
        <w:tc>
          <w:tcPr>
            <w:tcW w:w="2721"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见本文件6.6、</w:t>
            </w:r>
            <w:r>
              <w:rPr>
                <w:rFonts w:hint="eastAsia" w:ascii="Times New Roman" w:hAnsi="Times New Roman"/>
                <w:color w:val="auto"/>
                <w:sz w:val="18"/>
                <w:szCs w:val="18"/>
                <w:highlight w:val="none"/>
                <w:lang w:val="en-US" w:eastAsia="zh-CN"/>
              </w:rPr>
              <w:t>8</w:t>
            </w:r>
            <w:r>
              <w:rPr>
                <w:rFonts w:ascii="Times New Roman" w:hAnsi="Times New Roman"/>
                <w:color w:val="auto"/>
                <w:sz w:val="18"/>
                <w:szCs w:val="18"/>
                <w:highlight w:val="none"/>
              </w:rPr>
              <w:t>.4.4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36"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7</w:t>
            </w:r>
          </w:p>
        </w:tc>
        <w:tc>
          <w:tcPr>
            <w:tcW w:w="173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温度漂移</w:t>
            </w: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109" w:type="dxa"/>
            <w:shd w:val="clear" w:color="auto" w:fill="auto"/>
            <w:vAlign w:val="center"/>
          </w:tcPr>
          <w:p>
            <w:pPr>
              <w:spacing w:line="240" w:lineRule="auto"/>
              <w:jc w:val="center"/>
              <w:rPr>
                <w:rFonts w:ascii="Times New Roman" w:hAnsi="Times New Roman"/>
                <w:color w:val="auto"/>
                <w:sz w:val="18"/>
                <w:szCs w:val="18"/>
                <w:highlight w:val="none"/>
              </w:rPr>
            </w:pPr>
          </w:p>
        </w:tc>
        <w:tc>
          <w:tcPr>
            <w:tcW w:w="2721"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见本文件6.7、</w:t>
            </w:r>
            <w:r>
              <w:rPr>
                <w:rFonts w:hint="eastAsia" w:ascii="Times New Roman" w:hAnsi="Times New Roman"/>
                <w:color w:val="auto"/>
                <w:sz w:val="18"/>
                <w:szCs w:val="18"/>
                <w:highlight w:val="none"/>
                <w:lang w:val="en-US" w:eastAsia="zh-CN"/>
              </w:rPr>
              <w:t>8</w:t>
            </w:r>
            <w:r>
              <w:rPr>
                <w:rFonts w:ascii="Times New Roman" w:hAnsi="Times New Roman"/>
                <w:color w:val="auto"/>
                <w:sz w:val="18"/>
                <w:szCs w:val="18"/>
                <w:highlight w:val="none"/>
              </w:rPr>
              <w:t>.4.6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36"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173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响应时间</w:t>
            </w: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109" w:type="dxa"/>
            <w:shd w:val="clear" w:color="auto" w:fill="auto"/>
            <w:vAlign w:val="center"/>
          </w:tcPr>
          <w:p>
            <w:pPr>
              <w:spacing w:line="240" w:lineRule="auto"/>
              <w:jc w:val="center"/>
              <w:rPr>
                <w:rFonts w:ascii="Times New Roman" w:hAnsi="Times New Roman"/>
                <w:color w:val="auto"/>
                <w:sz w:val="18"/>
                <w:szCs w:val="18"/>
                <w:highlight w:val="none"/>
              </w:rPr>
            </w:pPr>
          </w:p>
        </w:tc>
        <w:tc>
          <w:tcPr>
            <w:tcW w:w="2721"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见本文件6.9、</w:t>
            </w:r>
            <w:r>
              <w:rPr>
                <w:rFonts w:hint="eastAsia" w:ascii="Times New Roman" w:hAnsi="Times New Roman"/>
                <w:color w:val="auto"/>
                <w:sz w:val="18"/>
                <w:szCs w:val="18"/>
                <w:highlight w:val="none"/>
                <w:lang w:val="en-US" w:eastAsia="zh-CN"/>
              </w:rPr>
              <w:t>8</w:t>
            </w:r>
            <w:r>
              <w:rPr>
                <w:rFonts w:ascii="Times New Roman" w:hAnsi="Times New Roman"/>
                <w:color w:val="auto"/>
                <w:sz w:val="18"/>
                <w:szCs w:val="18"/>
                <w:highlight w:val="none"/>
              </w:rPr>
              <w:t>.4.8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36"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9</w:t>
            </w:r>
          </w:p>
        </w:tc>
        <w:tc>
          <w:tcPr>
            <w:tcW w:w="173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通信</w:t>
            </w: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109"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2721"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见本文件6.11、</w:t>
            </w:r>
            <w:r>
              <w:rPr>
                <w:rFonts w:hint="eastAsia" w:ascii="Times New Roman" w:hAnsi="Times New Roman"/>
                <w:color w:val="auto"/>
                <w:sz w:val="18"/>
                <w:szCs w:val="18"/>
                <w:highlight w:val="none"/>
                <w:lang w:val="en-US" w:eastAsia="zh-CN"/>
              </w:rPr>
              <w:t>8</w:t>
            </w:r>
            <w:r>
              <w:rPr>
                <w:rFonts w:ascii="Times New Roman" w:hAnsi="Times New Roman"/>
                <w:color w:val="auto"/>
                <w:sz w:val="18"/>
                <w:szCs w:val="18"/>
                <w:highlight w:val="none"/>
              </w:rPr>
              <w:t>.4.9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36"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10</w:t>
            </w:r>
          </w:p>
        </w:tc>
        <w:tc>
          <w:tcPr>
            <w:tcW w:w="173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环境试验</w:t>
            </w: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109" w:type="dxa"/>
            <w:shd w:val="clear" w:color="auto" w:fill="auto"/>
            <w:vAlign w:val="center"/>
          </w:tcPr>
          <w:p>
            <w:pPr>
              <w:spacing w:line="240" w:lineRule="auto"/>
              <w:jc w:val="center"/>
              <w:rPr>
                <w:rFonts w:ascii="Times New Roman" w:hAnsi="Times New Roman"/>
                <w:color w:val="auto"/>
                <w:sz w:val="18"/>
                <w:szCs w:val="18"/>
                <w:highlight w:val="none"/>
              </w:rPr>
            </w:pPr>
          </w:p>
        </w:tc>
        <w:tc>
          <w:tcPr>
            <w:tcW w:w="2721"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见本文件6.12、6.14、</w:t>
            </w:r>
            <w:r>
              <w:rPr>
                <w:rFonts w:hint="eastAsia" w:ascii="Times New Roman" w:hAnsi="Times New Roman"/>
                <w:color w:val="auto"/>
                <w:sz w:val="18"/>
                <w:szCs w:val="18"/>
                <w:highlight w:val="none"/>
                <w:lang w:val="en-US" w:eastAsia="zh-CN"/>
              </w:rPr>
              <w:t>8</w:t>
            </w:r>
            <w:r>
              <w:rPr>
                <w:rFonts w:ascii="Times New Roman" w:hAnsi="Times New Roman"/>
                <w:color w:val="auto"/>
                <w:sz w:val="18"/>
                <w:szCs w:val="18"/>
                <w:highlight w:val="none"/>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36"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11</w:t>
            </w:r>
          </w:p>
        </w:tc>
        <w:tc>
          <w:tcPr>
            <w:tcW w:w="173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电磁兼容实验</w:t>
            </w: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p>
        </w:tc>
        <w:tc>
          <w:tcPr>
            <w:tcW w:w="1108"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109" w:type="dxa"/>
            <w:shd w:val="clear" w:color="auto" w:fill="auto"/>
            <w:vAlign w:val="center"/>
          </w:tcPr>
          <w:p>
            <w:pPr>
              <w:spacing w:line="240" w:lineRule="auto"/>
              <w:jc w:val="center"/>
              <w:rPr>
                <w:rFonts w:ascii="Times New Roman" w:hAnsi="Times New Roman"/>
                <w:color w:val="auto"/>
                <w:sz w:val="18"/>
                <w:szCs w:val="18"/>
                <w:highlight w:val="none"/>
              </w:rPr>
            </w:pPr>
          </w:p>
        </w:tc>
        <w:tc>
          <w:tcPr>
            <w:tcW w:w="2721" w:type="dxa"/>
            <w:shd w:val="clear" w:color="auto" w:fill="auto"/>
            <w:vAlign w:val="center"/>
          </w:tcPr>
          <w:p>
            <w:pPr>
              <w:spacing w:line="240" w:lineRule="auto"/>
              <w:jc w:val="center"/>
              <w:rPr>
                <w:rFonts w:ascii="Times New Roman" w:hAnsi="Times New Roman"/>
                <w:color w:val="auto"/>
                <w:sz w:val="18"/>
                <w:szCs w:val="18"/>
                <w:highlight w:val="none"/>
              </w:rPr>
            </w:pPr>
            <w:r>
              <w:rPr>
                <w:rFonts w:ascii="Times New Roman" w:hAnsi="Times New Roman"/>
                <w:color w:val="auto"/>
                <w:sz w:val="18"/>
                <w:szCs w:val="18"/>
                <w:highlight w:val="none"/>
              </w:rPr>
              <w:t>见本文件</w:t>
            </w:r>
            <w:r>
              <w:rPr>
                <w:rFonts w:hint="eastAsia" w:ascii="Times New Roman" w:hAnsi="Times New Roman"/>
                <w:color w:val="auto"/>
                <w:sz w:val="18"/>
                <w:szCs w:val="18"/>
                <w:highlight w:val="none"/>
                <w:lang w:val="en-US" w:eastAsia="zh-CN"/>
              </w:rPr>
              <w:t>8</w:t>
            </w:r>
            <w:r>
              <w:rPr>
                <w:rFonts w:ascii="Times New Roman" w:hAnsi="Times New Roman"/>
                <w:color w:val="auto"/>
                <w:sz w:val="18"/>
                <w:szCs w:val="18"/>
                <w:highlight w:val="none"/>
              </w:rPr>
              <w:t>.6</w:t>
            </w:r>
          </w:p>
        </w:tc>
      </w:tr>
      <w:bookmarkEnd w:id="25"/>
    </w:tbl>
    <w:p>
      <w:pPr>
        <w:pStyle w:val="104"/>
        <w:spacing w:before="312" w:after="312"/>
        <w:rPr>
          <w:rFonts w:ascii="Times New Roman"/>
          <w:color w:val="auto"/>
          <w:highlight w:val="none"/>
        </w:rPr>
      </w:pPr>
      <w:bookmarkStart w:id="400" w:name="_Toc16894"/>
      <w:bookmarkStart w:id="401" w:name="_Toc2530"/>
      <w:bookmarkStart w:id="402" w:name="_Toc16645"/>
      <w:bookmarkStart w:id="403" w:name="_Toc8914"/>
      <w:bookmarkStart w:id="404" w:name="_Toc10841"/>
      <w:r>
        <w:rPr>
          <w:rFonts w:ascii="Times New Roman"/>
          <w:color w:val="auto"/>
          <w:highlight w:val="none"/>
        </w:rPr>
        <w:t>标志、包装、运输及贮存条件</w:t>
      </w:r>
      <w:bookmarkEnd w:id="400"/>
      <w:bookmarkEnd w:id="401"/>
      <w:bookmarkEnd w:id="402"/>
      <w:bookmarkEnd w:id="403"/>
      <w:bookmarkEnd w:id="404"/>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405" w:name="_Toc26304"/>
      <w:bookmarkStart w:id="406" w:name="_Toc103"/>
      <w:bookmarkStart w:id="407" w:name="_Toc3873"/>
      <w:bookmarkStart w:id="408" w:name="_Toc27910"/>
      <w:bookmarkStart w:id="409" w:name="_Toc120"/>
      <w:r>
        <w:rPr>
          <w:rFonts w:hint="eastAsia"/>
          <w:color w:val="auto"/>
          <w:highlight w:val="none"/>
        </w:rPr>
        <w:t>标志</w:t>
      </w:r>
      <w:bookmarkEnd w:id="405"/>
      <w:bookmarkEnd w:id="406"/>
      <w:bookmarkEnd w:id="407"/>
      <w:bookmarkEnd w:id="408"/>
      <w:bookmarkEnd w:id="409"/>
    </w:p>
    <w:p>
      <w:pPr>
        <w:pStyle w:val="230"/>
        <w:ind w:firstLine="420"/>
        <w:rPr>
          <w:rFonts w:ascii="Times New Roman" w:hAnsi="Times New Roman"/>
          <w:color w:val="auto"/>
          <w:highlight w:val="none"/>
        </w:rPr>
      </w:pPr>
      <w:r>
        <w:rPr>
          <w:rFonts w:ascii="Times New Roman" w:hAnsi="Times New Roman"/>
          <w:color w:val="auto"/>
          <w:highlight w:val="none"/>
        </w:rPr>
        <w:t>微型智能电流传感器的标志应至少包含型号、额定一次电流及最大电流、准确级等内容，所标识内容应与器件手册一致。</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410" w:name="_Toc9247"/>
      <w:bookmarkStart w:id="411" w:name="_Toc4310"/>
      <w:bookmarkStart w:id="412" w:name="_Toc22400"/>
      <w:bookmarkStart w:id="413" w:name="_Toc24511"/>
      <w:bookmarkStart w:id="414" w:name="_Toc28424"/>
      <w:r>
        <w:rPr>
          <w:rFonts w:hint="eastAsia"/>
          <w:color w:val="auto"/>
          <w:highlight w:val="none"/>
        </w:rPr>
        <w:t>包装</w:t>
      </w:r>
      <w:bookmarkEnd w:id="410"/>
      <w:bookmarkEnd w:id="411"/>
      <w:bookmarkEnd w:id="412"/>
      <w:bookmarkEnd w:id="413"/>
      <w:bookmarkEnd w:id="414"/>
    </w:p>
    <w:p>
      <w:pPr>
        <w:pStyle w:val="230"/>
        <w:ind w:firstLine="420"/>
        <w:rPr>
          <w:rFonts w:ascii="Times New Roman" w:hAnsi="Times New Roman"/>
          <w:color w:val="auto"/>
          <w:highlight w:val="none"/>
        </w:rPr>
      </w:pPr>
      <w:r>
        <w:rPr>
          <w:rFonts w:ascii="Times New Roman" w:hAnsi="Times New Roman"/>
          <w:color w:val="auto"/>
          <w:highlight w:val="none"/>
        </w:rPr>
        <w:t>产品包装应根据微型智能电流传感器的性质、特点和储运条件进行包装设计。包装箱应标示有制造厂名称、产品名称、产品型号、检验日期、生产周期和包装数量。包装箱外应印刷或贴有 “怕湿”等运输标志。包装箱外印刷或贴的标识不可因运输条件和自然条件而褪色、脱落。包装箱应符合防潮、防尘、防震的要求，包装向内应有装箱清单、产品合格证、附件及相关随机文件。</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415" w:name="_Toc8511"/>
      <w:bookmarkStart w:id="416" w:name="_Toc26743"/>
      <w:bookmarkStart w:id="417" w:name="_Toc1152"/>
      <w:bookmarkStart w:id="418" w:name="_Toc15891"/>
      <w:bookmarkStart w:id="419" w:name="_Toc22702"/>
      <w:r>
        <w:rPr>
          <w:rFonts w:hint="eastAsia"/>
          <w:color w:val="auto"/>
          <w:highlight w:val="none"/>
        </w:rPr>
        <w:t>运输</w:t>
      </w:r>
      <w:bookmarkEnd w:id="415"/>
      <w:bookmarkEnd w:id="416"/>
      <w:bookmarkEnd w:id="417"/>
      <w:bookmarkEnd w:id="418"/>
      <w:bookmarkEnd w:id="419"/>
    </w:p>
    <w:p>
      <w:pPr>
        <w:pStyle w:val="230"/>
        <w:ind w:firstLine="420"/>
        <w:rPr>
          <w:rFonts w:ascii="Times New Roman" w:hAnsi="Times New Roman"/>
          <w:color w:val="auto"/>
          <w:highlight w:val="none"/>
        </w:rPr>
      </w:pPr>
      <w:r>
        <w:rPr>
          <w:rFonts w:ascii="Times New Roman" w:hAnsi="Times New Roman"/>
          <w:color w:val="auto"/>
          <w:highlight w:val="none"/>
        </w:rPr>
        <w:t>除非另有规定，允许用任何运输工具运输，在运输过程中应避免雨淋、撞击和靠近酸、碱等腐蚀性物质。</w:t>
      </w:r>
    </w:p>
    <w:p>
      <w:pPr>
        <w:pStyle w:val="234"/>
        <w:keepNext w:val="0"/>
        <w:keepLines w:val="0"/>
        <w:pageBreakBefore w:val="0"/>
        <w:widowControl/>
        <w:numPr>
          <w:ilvl w:val="2"/>
          <w:numId w:val="2"/>
        </w:numPr>
        <w:kinsoku/>
        <w:wordWrap/>
        <w:overflowPunct/>
        <w:topLinePunct w:val="0"/>
        <w:autoSpaceDE/>
        <w:autoSpaceDN/>
        <w:bidi w:val="0"/>
        <w:adjustRightInd/>
        <w:snapToGrid/>
        <w:spacing w:before="156" w:after="156"/>
        <w:textAlignment w:val="auto"/>
        <w:outlineLvl w:val="1"/>
        <w:rPr>
          <w:rFonts w:hint="eastAsia"/>
          <w:color w:val="auto"/>
          <w:highlight w:val="none"/>
        </w:rPr>
      </w:pPr>
      <w:bookmarkStart w:id="420" w:name="_Toc21913"/>
      <w:bookmarkStart w:id="421" w:name="_Toc10421"/>
      <w:bookmarkStart w:id="422" w:name="_Toc27355"/>
      <w:bookmarkStart w:id="423" w:name="_Toc7884"/>
      <w:bookmarkStart w:id="424" w:name="_Toc14508"/>
      <w:r>
        <w:rPr>
          <w:rFonts w:hint="eastAsia"/>
          <w:color w:val="auto"/>
          <w:highlight w:val="none"/>
        </w:rPr>
        <w:t>贮存</w:t>
      </w:r>
      <w:bookmarkEnd w:id="420"/>
      <w:bookmarkEnd w:id="421"/>
      <w:bookmarkEnd w:id="422"/>
      <w:bookmarkEnd w:id="423"/>
      <w:bookmarkEnd w:id="424"/>
    </w:p>
    <w:p>
      <w:pPr>
        <w:pStyle w:val="230"/>
        <w:ind w:firstLine="420"/>
        <w:rPr>
          <w:rFonts w:hint="eastAsia" w:ascii="Times New Roman" w:hAnsi="Times New Roman"/>
        </w:rPr>
      </w:pPr>
      <w:r>
        <w:rPr>
          <w:rFonts w:hint="eastAsia" w:hAnsi="宋体" w:eastAsia="宋体" w:cs="宋体"/>
          <w:color w:val="auto"/>
          <w:highlight w:val="none"/>
        </w:rPr>
        <w:t>包装完好的微型智能电流传感器的贮存温度要求为</w:t>
      </w:r>
      <w:r>
        <w:rPr>
          <w:rFonts w:ascii="Times New Roman" w:hAnsi="Times New Roman"/>
          <w:color w:val="auto"/>
          <w:highlight w:val="none"/>
        </w:rPr>
        <w:t>18</w:t>
      </w:r>
      <w:r>
        <w:rPr>
          <w:rFonts w:hint="eastAsia" w:ascii="Times New Roman" w:hAnsi="Times New Roman" w:eastAsia="宋体"/>
          <w:color w:val="auto"/>
          <w:highlight w:val="none"/>
        </w:rPr>
        <w:t xml:space="preserve"> </w:t>
      </w:r>
      <w:r>
        <w:rPr>
          <w:rFonts w:ascii="Times New Roman" w:hAnsi="Times New Roman"/>
          <w:color w:val="auto"/>
          <w:highlight w:val="none"/>
        </w:rPr>
        <w:t>℃</w:t>
      </w:r>
      <w:r>
        <w:rPr>
          <w:rFonts w:hint="eastAsia" w:hAnsi="宋体" w:eastAsia="宋体" w:cs="宋体"/>
          <w:color w:val="auto"/>
          <w:highlight w:val="none"/>
        </w:rPr>
        <w:t>～</w:t>
      </w:r>
      <w:r>
        <w:rPr>
          <w:rFonts w:ascii="Times New Roman" w:hAnsi="Times New Roman"/>
          <w:color w:val="auto"/>
          <w:highlight w:val="none"/>
        </w:rPr>
        <w:t>28</w:t>
      </w:r>
      <w:r>
        <w:rPr>
          <w:rFonts w:hint="eastAsia" w:ascii="Times New Roman" w:hAnsi="Times New Roman" w:eastAsia="宋体"/>
          <w:color w:val="auto"/>
          <w:highlight w:val="none"/>
        </w:rPr>
        <w:t xml:space="preserve"> </w:t>
      </w:r>
      <w:r>
        <w:rPr>
          <w:rFonts w:ascii="Times New Roman" w:hAnsi="Times New Roman"/>
          <w:color w:val="auto"/>
          <w:highlight w:val="none"/>
        </w:rPr>
        <w:t>℃</w:t>
      </w:r>
      <w:r>
        <w:rPr>
          <w:rFonts w:hint="eastAsia" w:hAnsi="宋体" w:eastAsia="宋体" w:cs="宋体"/>
          <w:color w:val="auto"/>
          <w:highlight w:val="none"/>
        </w:rPr>
        <w:t>、相对湿度＜</w:t>
      </w:r>
      <w:r>
        <w:rPr>
          <w:rFonts w:ascii="Times New Roman" w:hAnsi="Times New Roman"/>
          <w:color w:val="auto"/>
          <w:highlight w:val="none"/>
        </w:rPr>
        <w:t>60%</w:t>
      </w:r>
      <w:r>
        <w:rPr>
          <w:rFonts w:hint="eastAsia" w:hAnsi="宋体" w:eastAsia="宋体" w:cs="宋体"/>
          <w:color w:val="auto"/>
          <w:highlight w:val="none"/>
        </w:rPr>
        <w:t>、大气压力为</w:t>
      </w:r>
      <w:r>
        <w:rPr>
          <w:rFonts w:ascii="Times New Roman" w:hAnsi="Times New Roman"/>
          <w:color w:val="auto"/>
          <w:highlight w:val="none"/>
        </w:rPr>
        <w:t>86</w:t>
      </w:r>
      <w:r>
        <w:rPr>
          <w:rFonts w:hint="eastAsia" w:ascii="Times New Roman" w:hAnsi="Times New Roman" w:eastAsia="宋体"/>
          <w:color w:val="auto"/>
          <w:highlight w:val="none"/>
        </w:rPr>
        <w:t xml:space="preserve"> </w:t>
      </w:r>
      <w:r>
        <w:rPr>
          <w:rFonts w:ascii="Times New Roman" w:hAnsi="Times New Roman"/>
          <w:color w:val="auto"/>
          <w:highlight w:val="none"/>
        </w:rPr>
        <w:t>kPa</w:t>
      </w:r>
      <w:r>
        <w:rPr>
          <w:rFonts w:hint="eastAsia" w:hAnsi="宋体" w:eastAsia="宋体" w:cs="宋体"/>
          <w:color w:val="auto"/>
          <w:highlight w:val="none"/>
        </w:rPr>
        <w:t>～</w:t>
      </w:r>
      <w:r>
        <w:rPr>
          <w:rFonts w:ascii="Times New Roman" w:hAnsi="Times New Roman"/>
          <w:color w:val="auto"/>
          <w:highlight w:val="none"/>
        </w:rPr>
        <w:t>106</w:t>
      </w:r>
      <w:r>
        <w:rPr>
          <w:rFonts w:hint="eastAsia" w:ascii="Times New Roman" w:hAnsi="Times New Roman" w:eastAsia="宋体"/>
          <w:color w:val="auto"/>
          <w:highlight w:val="none"/>
        </w:rPr>
        <w:t xml:space="preserve"> </w:t>
      </w:r>
      <w:r>
        <w:rPr>
          <w:rFonts w:ascii="Times New Roman" w:hAnsi="Times New Roman"/>
          <w:color w:val="auto"/>
          <w:highlight w:val="none"/>
        </w:rPr>
        <w:t>kPa</w:t>
      </w:r>
      <w:r>
        <w:rPr>
          <w:rFonts w:hint="eastAsia" w:hAnsi="宋体" w:eastAsia="宋体" w:cs="宋体"/>
          <w:color w:val="auto"/>
          <w:highlight w:val="none"/>
        </w:rPr>
        <w:t>、通风，且在无腐蚀性</w:t>
      </w:r>
      <w:r>
        <w:rPr>
          <w:rFonts w:hint="eastAsia" w:hAnsi="宋体" w:eastAsia="宋体" w:cs="宋体"/>
        </w:rPr>
        <w:t>气体的仓库中贮存。</w:t>
      </w: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D83B88"/>
    <w:multiLevelType w:val="multilevel"/>
    <w:tmpl w:val="95D83B88"/>
    <w:lvl w:ilvl="0" w:tentative="0">
      <w:start w:val="1"/>
      <w:numFmt w:val="lowerLetter"/>
      <w:lvlText w:val="%1)"/>
      <w:lvlJc w:val="left"/>
      <w:pPr>
        <w:tabs>
          <w:tab w:val="left" w:pos="2860"/>
        </w:tabs>
        <w:ind w:left="2860"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C6278A61"/>
    <w:multiLevelType w:val="multilevel"/>
    <w:tmpl w:val="C6278A61"/>
    <w:lvl w:ilvl="0" w:tentative="0">
      <w:start w:val="1"/>
      <w:numFmt w:val="lowerLetter"/>
      <w:lvlText w:val="%1)"/>
      <w:lvlJc w:val="left"/>
      <w:pPr>
        <w:tabs>
          <w:tab w:val="left" w:pos="2860"/>
        </w:tabs>
        <w:ind w:left="2860"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CEA47FCD"/>
    <w:multiLevelType w:val="multilevel"/>
    <w:tmpl w:val="CEA47FCD"/>
    <w:lvl w:ilvl="0" w:tentative="0">
      <w:start w:val="1"/>
      <w:numFmt w:val="lowerLetter"/>
      <w:lvlText w:val="%1)"/>
      <w:lvlJc w:val="left"/>
      <w:pPr>
        <w:tabs>
          <w:tab w:val="left" w:pos="2860"/>
        </w:tabs>
        <w:ind w:left="2860"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DA17250D"/>
    <w:multiLevelType w:val="multilevel"/>
    <w:tmpl w:val="DA17250D"/>
    <w:lvl w:ilvl="0" w:tentative="0">
      <w:start w:val="1"/>
      <w:numFmt w:val="lowerLetter"/>
      <w:lvlText w:val="%1)"/>
      <w:lvlJc w:val="left"/>
      <w:pPr>
        <w:tabs>
          <w:tab w:val="left" w:pos="2860"/>
        </w:tabs>
        <w:ind w:left="2860"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DF224270"/>
    <w:multiLevelType w:val="multilevel"/>
    <w:tmpl w:val="DF224270"/>
    <w:lvl w:ilvl="0" w:tentative="0">
      <w:start w:val="1"/>
      <w:numFmt w:val="lowerLetter"/>
      <w:lvlText w:val="%1)"/>
      <w:lvlJc w:val="left"/>
      <w:pPr>
        <w:tabs>
          <w:tab w:val="left" w:pos="2860"/>
        </w:tabs>
        <w:ind w:left="2860"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E89153BC"/>
    <w:multiLevelType w:val="multilevel"/>
    <w:tmpl w:val="E89153BC"/>
    <w:lvl w:ilvl="0" w:tentative="0">
      <w:start w:val="1"/>
      <w:numFmt w:val="lowerLetter"/>
      <w:lvlText w:val="%1)"/>
      <w:lvlJc w:val="left"/>
      <w:pPr>
        <w:tabs>
          <w:tab w:val="left" w:pos="2860"/>
        </w:tabs>
        <w:ind w:left="2860"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EF2BCE2A"/>
    <w:multiLevelType w:val="multilevel"/>
    <w:tmpl w:val="EF2BCE2A"/>
    <w:lvl w:ilvl="0" w:tentative="0">
      <w:start w:val="1"/>
      <w:numFmt w:val="decimal"/>
      <w:pStyle w:val="232"/>
      <w:lvlText w:val="%1——"/>
      <w:lvlJc w:val="left"/>
      <w:pPr>
        <w:tabs>
          <w:tab w:val="left" w:pos="1140"/>
        </w:tabs>
        <w:ind w:left="840" w:hanging="420"/>
      </w:pPr>
      <w:rPr>
        <w:rFonts w:hint="eastAsia" w:ascii="宋体" w:hAnsi="宋体" w:eastAsia="宋体" w:cs="宋体"/>
      </w:rPr>
    </w:lvl>
    <w:lvl w:ilvl="1" w:tentative="0">
      <w:start w:val="1"/>
      <w:numFmt w:val="decimal"/>
      <w:pStyle w:val="231"/>
      <w:lvlText w:val="注:%2"/>
      <w:lvlJc w:val="left"/>
      <w:pPr>
        <w:tabs>
          <w:tab w:val="left" w:pos="920"/>
        </w:tabs>
        <w:ind w:left="920" w:hanging="500"/>
      </w:pPr>
      <w:rPr>
        <w:rFonts w:hint="default" w:ascii="宋体" w:hAnsi="宋体" w:eastAsia="宋体" w:cs="宋体"/>
        <w:b w:val="0"/>
        <w:bCs w:val="0"/>
        <w:i w:val="0"/>
        <w:iCs w:val="0"/>
        <w:caps w:val="0"/>
        <w:smallCaps w:val="0"/>
        <w:strike w:val="0"/>
        <w:dstrike w:val="0"/>
        <w:color w:val="auto"/>
        <w:spacing w:val="0"/>
        <w:w w:val="100"/>
        <w:kern w:val="2"/>
        <w:position w:val="0"/>
        <w:sz w:val="18"/>
        <w:u w:val="none"/>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7">
    <w:nsid w:val="F385101E"/>
    <w:multiLevelType w:val="multilevel"/>
    <w:tmpl w:val="F385101E"/>
    <w:lvl w:ilvl="0" w:tentative="0">
      <w:start w:val="1"/>
      <w:numFmt w:val="lowerLetter"/>
      <w:lvlText w:val="%1)"/>
      <w:lvlJc w:val="left"/>
      <w:pPr>
        <w:tabs>
          <w:tab w:val="left" w:pos="2860"/>
        </w:tabs>
        <w:ind w:left="2860"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9">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1">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
    <w:nsid w:val="096BD6D1"/>
    <w:multiLevelType w:val="multilevel"/>
    <w:tmpl w:val="096BD6D1"/>
    <w:lvl w:ilvl="0" w:tentative="0">
      <w:start w:val="1"/>
      <w:numFmt w:val="lowerLetter"/>
      <w:lvlText w:val="%1)"/>
      <w:lvlJc w:val="left"/>
      <w:pPr>
        <w:tabs>
          <w:tab w:val="left" w:pos="2860"/>
        </w:tabs>
        <w:ind w:left="2860"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4">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6">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8">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9">
    <w:nsid w:val="21ED3345"/>
    <w:multiLevelType w:val="multilevel"/>
    <w:tmpl w:val="21ED3345"/>
    <w:lvl w:ilvl="0" w:tentative="0">
      <w:start w:val="1"/>
      <w:numFmt w:val="lowerLetter"/>
      <w:lvlText w:val="%1)"/>
      <w:lvlJc w:val="left"/>
      <w:pPr>
        <w:tabs>
          <w:tab w:val="left" w:pos="1575"/>
        </w:tabs>
        <w:ind w:left="1575" w:hanging="420"/>
      </w:pPr>
      <w:rPr>
        <w:rFonts w:hint="default" w:ascii="Times New Roman" w:hAnsi="Times New Roman"/>
      </w:rPr>
    </w:lvl>
    <w:lvl w:ilvl="1" w:tentative="0">
      <w:start w:val="1"/>
      <w:numFmt w:val="decimal"/>
      <w:lvlText w:val="%2)"/>
      <w:lvlJc w:val="left"/>
      <w:pPr>
        <w:tabs>
          <w:tab w:val="left" w:pos="1200"/>
        </w:tabs>
        <w:ind w:left="1200" w:hanging="360"/>
      </w:pPr>
      <w:rPr>
        <w:rFonts w:hint="default" w:ascii="Times New Roman" w:hAnsi="Times New Roman" w:cs="Times New Roman"/>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2">
    <w:nsid w:val="3EABC602"/>
    <w:multiLevelType w:val="multilevel"/>
    <w:tmpl w:val="3EABC602"/>
    <w:lvl w:ilvl="0" w:tentative="0">
      <w:start w:val="1"/>
      <w:numFmt w:val="lowerLetter"/>
      <w:lvlText w:val="%1)"/>
      <w:lvlJc w:val="left"/>
      <w:pPr>
        <w:tabs>
          <w:tab w:val="left" w:pos="2860"/>
        </w:tabs>
        <w:ind w:left="2860"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pStyle w:val="237"/>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3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5">
    <w:nsid w:val="6873C2C5"/>
    <w:multiLevelType w:val="multilevel"/>
    <w:tmpl w:val="6873C2C5"/>
    <w:lvl w:ilvl="0" w:tentative="0">
      <w:start w:val="1"/>
      <w:numFmt w:val="lowerLetter"/>
      <w:lvlText w:val="%1)"/>
      <w:lvlJc w:val="left"/>
      <w:pPr>
        <w:tabs>
          <w:tab w:val="left" w:pos="2860"/>
        </w:tabs>
        <w:ind w:left="2860"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3">
    <w:nsid w:val="788553D0"/>
    <w:multiLevelType w:val="multilevel"/>
    <w:tmpl w:val="788553D0"/>
    <w:lvl w:ilvl="0" w:tentative="0">
      <w:start w:val="1"/>
      <w:numFmt w:val="lowerLetter"/>
      <w:lvlText w:val="%1)"/>
      <w:lvlJc w:val="left"/>
      <w:pPr>
        <w:tabs>
          <w:tab w:val="left" w:pos="2860"/>
        </w:tabs>
        <w:ind w:left="2860"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39"/>
  </w:num>
  <w:num w:numId="3">
    <w:abstractNumId w:val="14"/>
  </w:num>
  <w:num w:numId="4">
    <w:abstractNumId w:val="34"/>
  </w:num>
  <w:num w:numId="5">
    <w:abstractNumId w:val="29"/>
  </w:num>
  <w:num w:numId="6">
    <w:abstractNumId w:val="24"/>
  </w:num>
  <w:num w:numId="7">
    <w:abstractNumId w:val="17"/>
  </w:num>
  <w:num w:numId="8">
    <w:abstractNumId w:val="11"/>
  </w:num>
  <w:num w:numId="9">
    <w:abstractNumId w:val="18"/>
  </w:num>
  <w:num w:numId="10">
    <w:abstractNumId w:val="27"/>
  </w:num>
  <w:num w:numId="11">
    <w:abstractNumId w:val="37"/>
  </w:num>
  <w:num w:numId="12">
    <w:abstractNumId w:val="21"/>
  </w:num>
  <w:num w:numId="13">
    <w:abstractNumId w:val="23"/>
  </w:num>
  <w:num w:numId="14">
    <w:abstractNumId w:val="16"/>
  </w:num>
  <w:num w:numId="15">
    <w:abstractNumId w:val="30"/>
  </w:num>
  <w:num w:numId="16">
    <w:abstractNumId w:val="32"/>
  </w:num>
  <w:num w:numId="17">
    <w:abstractNumId w:val="28"/>
  </w:num>
  <w:num w:numId="18">
    <w:abstractNumId w:val="41"/>
  </w:num>
  <w:num w:numId="19">
    <w:abstractNumId w:val="26"/>
  </w:num>
  <w:num w:numId="20">
    <w:abstractNumId w:val="9"/>
  </w:num>
  <w:num w:numId="21">
    <w:abstractNumId w:val="20"/>
  </w:num>
  <w:num w:numId="22">
    <w:abstractNumId w:val="42"/>
  </w:num>
  <w:num w:numId="23">
    <w:abstractNumId w:val="31"/>
  </w:num>
  <w:num w:numId="24">
    <w:abstractNumId w:val="15"/>
  </w:num>
  <w:num w:numId="25">
    <w:abstractNumId w:val="38"/>
  </w:num>
  <w:num w:numId="26">
    <w:abstractNumId w:val="40"/>
  </w:num>
  <w:num w:numId="27">
    <w:abstractNumId w:val="10"/>
  </w:num>
  <w:num w:numId="28">
    <w:abstractNumId w:val="13"/>
  </w:num>
  <w:num w:numId="29">
    <w:abstractNumId w:val="25"/>
  </w:num>
  <w:num w:numId="30">
    <w:abstractNumId w:val="36"/>
  </w:num>
  <w:num w:numId="31">
    <w:abstractNumId w:val="33"/>
  </w:num>
  <w:num w:numId="32">
    <w:abstractNumId w:val="6"/>
  </w:num>
  <w:num w:numId="33">
    <w:abstractNumId w:val="43"/>
  </w:num>
  <w:num w:numId="34">
    <w:abstractNumId w:val="3"/>
  </w:num>
  <w:num w:numId="35">
    <w:abstractNumId w:val="35"/>
  </w:num>
  <w:num w:numId="36">
    <w:abstractNumId w:val="4"/>
  </w:num>
  <w:num w:numId="37">
    <w:abstractNumId w:val="22"/>
  </w:num>
  <w:num w:numId="38">
    <w:abstractNumId w:val="12"/>
  </w:num>
  <w:num w:numId="39">
    <w:abstractNumId w:val="19"/>
  </w:num>
  <w:num w:numId="40">
    <w:abstractNumId w:val="7"/>
  </w:num>
  <w:num w:numId="41">
    <w:abstractNumId w:val="0"/>
  </w:num>
  <w:num w:numId="42">
    <w:abstractNumId w:val="1"/>
  </w:num>
  <w:num w:numId="43">
    <w:abstractNumId w:val="5"/>
  </w:num>
  <w:num w:numId="44">
    <w:abstractNumId w:val="2"/>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AES" w:cryptAlgorithmClass="hash" w:cryptAlgorithmType="typeAny" w:cryptAlgorithmSid="14" w:cryptSpinCount="100000" w:hash="ytcR2sLqG5iZ0iBnhquH4SWxLwAVVstPwJqFrYVaKNtHKt4Ac3gLDdHbxe3B3fUI/qMt7Vop0mDY/Cab7PlBww==" w:salt="67dCv6DNFffK1k3yahRjs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B6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0A48"/>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018"/>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377"/>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6C3F"/>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E74"/>
    <w:rsid w:val="00533D04"/>
    <w:rsid w:val="00534804"/>
    <w:rsid w:val="00534BDF"/>
    <w:rsid w:val="005354EA"/>
    <w:rsid w:val="0053585F"/>
    <w:rsid w:val="00535EC4"/>
    <w:rsid w:val="00535ED9"/>
    <w:rsid w:val="0053692B"/>
    <w:rsid w:val="00541853"/>
    <w:rsid w:val="0054368B"/>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2B8A"/>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4C0E"/>
    <w:rsid w:val="006F6284"/>
    <w:rsid w:val="007002C5"/>
    <w:rsid w:val="00703822"/>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1673"/>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9E2"/>
    <w:rsid w:val="007C1E8B"/>
    <w:rsid w:val="007C2D89"/>
    <w:rsid w:val="007C4593"/>
    <w:rsid w:val="007C5309"/>
    <w:rsid w:val="007C6069"/>
    <w:rsid w:val="007D06C4"/>
    <w:rsid w:val="007D1352"/>
    <w:rsid w:val="007D2508"/>
    <w:rsid w:val="007D346A"/>
    <w:rsid w:val="007D6518"/>
    <w:rsid w:val="007D76BD"/>
    <w:rsid w:val="007E0BF1"/>
    <w:rsid w:val="007F0007"/>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0563"/>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B67"/>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32A5"/>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975DC"/>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16F"/>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1F0"/>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7F06"/>
    <w:rsid w:val="00DD00FF"/>
    <w:rsid w:val="00DD0619"/>
    <w:rsid w:val="00DD07FB"/>
    <w:rsid w:val="00DD25C6"/>
    <w:rsid w:val="00DD4B4F"/>
    <w:rsid w:val="00DD4FE5"/>
    <w:rsid w:val="00DD54B0"/>
    <w:rsid w:val="00DD57EE"/>
    <w:rsid w:val="00DD6BCC"/>
    <w:rsid w:val="00DE0A4B"/>
    <w:rsid w:val="00DE2410"/>
    <w:rsid w:val="00DE2939"/>
    <w:rsid w:val="00DE6E81"/>
    <w:rsid w:val="00DE703F"/>
    <w:rsid w:val="00DE7595"/>
    <w:rsid w:val="00DF1961"/>
    <w:rsid w:val="00DF35F5"/>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46A3"/>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8A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0FFD"/>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9FB"/>
    <w:rsid w:val="00FF730C"/>
    <w:rsid w:val="00FF73F4"/>
    <w:rsid w:val="00FF7CE4"/>
    <w:rsid w:val="00FF7E39"/>
    <w:rsid w:val="01780AE5"/>
    <w:rsid w:val="037168E2"/>
    <w:rsid w:val="060F7831"/>
    <w:rsid w:val="0F024F3B"/>
    <w:rsid w:val="15C71EA0"/>
    <w:rsid w:val="16EC01AC"/>
    <w:rsid w:val="19CF0489"/>
    <w:rsid w:val="1C1B0F6D"/>
    <w:rsid w:val="1EE40C75"/>
    <w:rsid w:val="22BE4F7D"/>
    <w:rsid w:val="2A0E410E"/>
    <w:rsid w:val="2B141521"/>
    <w:rsid w:val="2CB26C1B"/>
    <w:rsid w:val="30C84DF0"/>
    <w:rsid w:val="34A21421"/>
    <w:rsid w:val="35B20725"/>
    <w:rsid w:val="39DD5580"/>
    <w:rsid w:val="3C704CF9"/>
    <w:rsid w:val="4048025E"/>
    <w:rsid w:val="51191ADE"/>
    <w:rsid w:val="5A912B69"/>
    <w:rsid w:val="5AA73C9E"/>
    <w:rsid w:val="5D224AD9"/>
    <w:rsid w:val="5FB26EB0"/>
    <w:rsid w:val="602E2D02"/>
    <w:rsid w:val="60AB0F96"/>
    <w:rsid w:val="650867D8"/>
    <w:rsid w:val="69780F27"/>
    <w:rsid w:val="6F5D4894"/>
    <w:rsid w:val="726938E1"/>
    <w:rsid w:val="7E213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qFormat/>
    <w:uiPriority w:val="0"/>
    <w:pPr>
      <w:autoSpaceDE w:val="0"/>
      <w:autoSpaceDN w:val="0"/>
      <w:ind w:firstLine="200" w:firstLineChars="200"/>
      <w:jc w:val="both"/>
    </w:pPr>
    <w:rPr>
      <w:rFonts w:ascii="宋体" w:hAnsi="Calibri" w:eastAsia="Calibri" w:cs="Times New Roman"/>
      <w:sz w:val="21"/>
      <w:lang w:val="en-US" w:eastAsia="zh-CN" w:bidi="ar-SA"/>
    </w:rPr>
  </w:style>
  <w:style w:type="paragraph" w:customStyle="1" w:styleId="231">
    <w:name w:val="注×："/>
    <w:qFormat/>
    <w:uiPriority w:val="0"/>
    <w:pPr>
      <w:widowControl w:val="0"/>
      <w:numPr>
        <w:ilvl w:val="1"/>
        <w:numId w:val="32"/>
      </w:numPr>
      <w:tabs>
        <w:tab w:val="left" w:pos="630"/>
      </w:tabs>
      <w:autoSpaceDE w:val="0"/>
      <w:autoSpaceDN w:val="0"/>
      <w:jc w:val="both"/>
    </w:pPr>
    <w:rPr>
      <w:rFonts w:ascii="宋体" w:hAnsi="Calibri" w:eastAsia="Calibri" w:cs="Times New Roman"/>
      <w:sz w:val="18"/>
      <w:lang w:val="en-US" w:eastAsia="zh-CN" w:bidi="ar-SA"/>
    </w:rPr>
  </w:style>
  <w:style w:type="paragraph" w:customStyle="1" w:styleId="232">
    <w:name w:val="列项——（一级）"/>
    <w:qFormat/>
    <w:uiPriority w:val="0"/>
    <w:pPr>
      <w:widowControl w:val="0"/>
      <w:numPr>
        <w:ilvl w:val="0"/>
        <w:numId w:val="32"/>
      </w:numPr>
      <w:tabs>
        <w:tab w:val="left" w:pos="854"/>
      </w:tabs>
      <w:jc w:val="both"/>
    </w:pPr>
    <w:rPr>
      <w:rFonts w:ascii="宋体" w:hAnsi="Calibri" w:eastAsia="Calibri" w:cs="Times New Roman"/>
      <w:sz w:val="21"/>
      <w:lang w:val="en-US" w:eastAsia="zh-CN" w:bidi="ar-SA"/>
    </w:rPr>
  </w:style>
  <w:style w:type="paragraph" w:customStyle="1" w:styleId="233">
    <w:name w:val="前言、引言标题"/>
    <w:next w:val="1"/>
    <w:qFormat/>
    <w:uiPriority w:val="0"/>
    <w:pPr>
      <w:shd w:val="clear" w:color="FFFFFF" w:fill="FFFFFF"/>
      <w:spacing w:before="640" w:after="560"/>
      <w:jc w:val="center"/>
      <w:outlineLvl w:val="0"/>
    </w:pPr>
    <w:rPr>
      <w:rFonts w:ascii="黑体" w:hAnsi="Calibri" w:eastAsia="黑体" w:cs="Times New Roman"/>
      <w:sz w:val="32"/>
      <w:lang w:val="en-US" w:eastAsia="zh-CN" w:bidi="ar-SA"/>
    </w:rPr>
  </w:style>
  <w:style w:type="paragraph" w:customStyle="1" w:styleId="234">
    <w:name w:val="一级条标题"/>
    <w:next w:val="230"/>
    <w:qFormat/>
    <w:uiPriority w:val="0"/>
    <w:pPr>
      <w:spacing w:before="50" w:beforeLines="50" w:after="50" w:afterLines="50"/>
      <w:outlineLvl w:val="2"/>
    </w:pPr>
    <w:rPr>
      <w:rFonts w:ascii="Times New Roman" w:hAnsi="Times New Roman" w:eastAsia="黑体" w:cs="Times New Roman"/>
      <w:sz w:val="21"/>
      <w:lang w:val="en-US" w:eastAsia="zh-CN" w:bidi="ar-SA"/>
    </w:rPr>
  </w:style>
  <w:style w:type="paragraph" w:customStyle="1" w:styleId="235">
    <w:name w:val="章标题"/>
    <w:next w:val="230"/>
    <w:qFormat/>
    <w:uiPriority w:val="0"/>
    <w:pPr>
      <w:spacing w:before="50" w:beforeLines="50" w:after="50" w:afterLines="50"/>
      <w:jc w:val="both"/>
      <w:outlineLvl w:val="1"/>
    </w:pPr>
    <w:rPr>
      <w:rFonts w:ascii="黑体" w:hAnsi="Calibri" w:eastAsia="黑体" w:cs="Times New Roman"/>
      <w:sz w:val="21"/>
      <w:lang w:val="en-US" w:eastAsia="zh-CN" w:bidi="ar-SA"/>
    </w:rPr>
  </w:style>
  <w:style w:type="paragraph" w:customStyle="1" w:styleId="236">
    <w:name w:val="正文图标题"/>
    <w:next w:val="230"/>
    <w:qFormat/>
    <w:uiPriority w:val="0"/>
    <w:pPr>
      <w:jc w:val="center"/>
    </w:pPr>
    <w:rPr>
      <w:rFonts w:ascii="黑体" w:hAnsi="Calibri" w:eastAsia="黑体" w:cs="Times New Roman"/>
      <w:sz w:val="21"/>
      <w:lang w:val="en-US" w:eastAsia="zh-CN" w:bidi="ar-SA"/>
    </w:rPr>
  </w:style>
  <w:style w:type="paragraph" w:customStyle="1" w:styleId="237">
    <w:name w:val="样式 章标题 + 段前: 1 行 段后: 1 行"/>
    <w:basedOn w:val="235"/>
    <w:qFormat/>
    <w:uiPriority w:val="0"/>
    <w:pPr>
      <w:numPr>
        <w:ilvl w:val="1"/>
        <w:numId w:val="23"/>
      </w:numPr>
      <w:spacing w:before="100" w:beforeLines="100" w:after="100" w:afterLines="100"/>
    </w:pPr>
    <w:rPr>
      <w:rFonts w:hAnsi="黑体" w:cs="宋体"/>
    </w:rPr>
  </w:style>
  <w:style w:type="paragraph" w:customStyle="1" w:styleId="238">
    <w:name w:val="样式 二级条标题 + 宋体"/>
    <w:basedOn w:val="1"/>
    <w:qFormat/>
    <w:uiPriority w:val="0"/>
    <w:pPr>
      <w:widowControl/>
      <w:adjustRightInd/>
      <w:spacing w:before="50" w:beforeLines="50" w:after="50" w:afterLines="50" w:line="300" w:lineRule="exact"/>
      <w:jc w:val="left"/>
      <w:outlineLvl w:val="3"/>
    </w:pPr>
    <w:rPr>
      <w:rFonts w:ascii="宋体" w:hAnsi="宋体" w:eastAsia="黑体"/>
      <w:color w:val="000000"/>
      <w:kern w:val="0"/>
      <w:szCs w:val="20"/>
    </w:rPr>
  </w:style>
  <w:style w:type="character" w:customStyle="1" w:styleId="239">
    <w:name w:val="样式 样式 二级条标题 + 宋体 Char + (中文) 宋体 黑色"/>
    <w:qFormat/>
    <w:uiPriority w:val="0"/>
    <w:rPr>
      <w:rFonts w:ascii="宋体" w:hAnsi="宋体" w:eastAsia="黑体"/>
      <w:color w:val="000000"/>
      <w:kern w:val="0"/>
      <w:sz w:val="21"/>
      <w:lang w:val="en-US" w:eastAsia="zh-CN" w:bidi="ar-SA"/>
    </w:rPr>
  </w:style>
  <w:style w:type="paragraph" w:customStyle="1" w:styleId="240">
    <w:name w:val="正文表标题"/>
    <w:next w:val="230"/>
    <w:qFormat/>
    <w:uiPriority w:val="0"/>
    <w:pPr>
      <w:jc w:val="center"/>
    </w:pPr>
    <w:rPr>
      <w:rFonts w:ascii="黑体" w:hAnsi="Calibri" w:eastAsia="黑体" w:cs="Times New Roman"/>
      <w:sz w:val="21"/>
      <w:lang w:val="en-US" w:eastAsia="zh-CN" w:bidi="ar-SA"/>
    </w:rPr>
  </w:style>
  <w:style w:type="paragraph" w:customStyle="1" w:styleId="241">
    <w:name w:val="列表段落1"/>
    <w:basedOn w:val="1"/>
    <w:qFormat/>
    <w:uiPriority w:val="34"/>
    <w:pPr>
      <w:ind w:firstLine="420" w:firstLineChars="200"/>
    </w:pPr>
  </w:style>
  <w:style w:type="character" w:customStyle="1" w:styleId="242">
    <w:name w:val="样式 样式 二级条标题 + 宋体 Char + (中文) 宋体"/>
    <w:qFormat/>
    <w:uiPriority w:val="0"/>
    <w:rPr>
      <w:rFonts w:ascii="宋体" w:hAnsi="宋体" w:eastAsia="黑体"/>
      <w:kern w:val="0"/>
      <w:sz w:val="21"/>
      <w:lang w:val="en-US" w:eastAsia="zh-CN" w:bidi="ar-SA"/>
    </w:rPr>
  </w:style>
  <w:style w:type="paragraph" w:customStyle="1" w:styleId="243">
    <w:name w:val="列出段落1"/>
    <w:basedOn w:val="1"/>
    <w:qFormat/>
    <w:uiPriority w:val="34"/>
    <w:pPr>
      <w:ind w:firstLine="420" w:firstLineChars="200"/>
      <w:textAlignment w:val="center"/>
    </w:pPr>
    <w:rPr>
      <w:rFonts w:ascii="Times New Roman" w:hAnsi="Times New Roman"/>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9.bin"/><Relationship Id="rId98" Type="http://schemas.openxmlformats.org/officeDocument/2006/relationships/image" Target="media/image42.wmf"/><Relationship Id="rId97" Type="http://schemas.openxmlformats.org/officeDocument/2006/relationships/oleObject" Target="embeddings/oleObject38.bin"/><Relationship Id="rId96" Type="http://schemas.openxmlformats.org/officeDocument/2006/relationships/image" Target="media/image41.wmf"/><Relationship Id="rId95" Type="http://schemas.openxmlformats.org/officeDocument/2006/relationships/oleObject" Target="embeddings/oleObject37.bin"/><Relationship Id="rId94" Type="http://schemas.openxmlformats.org/officeDocument/2006/relationships/image" Target="media/image40.wmf"/><Relationship Id="rId93" Type="http://schemas.openxmlformats.org/officeDocument/2006/relationships/oleObject" Target="embeddings/oleObject36.bin"/><Relationship Id="rId92" Type="http://schemas.openxmlformats.org/officeDocument/2006/relationships/image" Target="media/image39.wmf"/><Relationship Id="rId91" Type="http://schemas.openxmlformats.org/officeDocument/2006/relationships/oleObject" Target="embeddings/oleObject35.bin"/><Relationship Id="rId90" Type="http://schemas.openxmlformats.org/officeDocument/2006/relationships/image" Target="media/image38.wmf"/><Relationship Id="rId9" Type="http://schemas.openxmlformats.org/officeDocument/2006/relationships/header" Target="header3.xml"/><Relationship Id="rId89" Type="http://schemas.openxmlformats.org/officeDocument/2006/relationships/oleObject" Target="embeddings/oleObject34.bin"/><Relationship Id="rId88" Type="http://schemas.openxmlformats.org/officeDocument/2006/relationships/image" Target="media/image37.wmf"/><Relationship Id="rId87" Type="http://schemas.openxmlformats.org/officeDocument/2006/relationships/oleObject" Target="embeddings/oleObject33.bin"/><Relationship Id="rId86" Type="http://schemas.openxmlformats.org/officeDocument/2006/relationships/oleObject" Target="embeddings/oleObject32.bin"/><Relationship Id="rId85" Type="http://schemas.openxmlformats.org/officeDocument/2006/relationships/image" Target="media/image36.wmf"/><Relationship Id="rId84" Type="http://schemas.openxmlformats.org/officeDocument/2006/relationships/oleObject" Target="embeddings/oleObject31.bin"/><Relationship Id="rId83" Type="http://schemas.openxmlformats.org/officeDocument/2006/relationships/oleObject" Target="embeddings/oleObject30.bin"/><Relationship Id="rId82" Type="http://schemas.openxmlformats.org/officeDocument/2006/relationships/image" Target="media/image35.wmf"/><Relationship Id="rId81" Type="http://schemas.openxmlformats.org/officeDocument/2006/relationships/oleObject" Target="embeddings/oleObject29.bin"/><Relationship Id="rId80" Type="http://schemas.openxmlformats.org/officeDocument/2006/relationships/image" Target="media/image34.wmf"/><Relationship Id="rId8" Type="http://schemas.openxmlformats.org/officeDocument/2006/relationships/footer" Target="footer2.xml"/><Relationship Id="rId79" Type="http://schemas.openxmlformats.org/officeDocument/2006/relationships/oleObject" Target="embeddings/oleObject28.bin"/><Relationship Id="rId78" Type="http://schemas.openxmlformats.org/officeDocument/2006/relationships/image" Target="media/image33.wmf"/><Relationship Id="rId77" Type="http://schemas.openxmlformats.org/officeDocument/2006/relationships/oleObject" Target="embeddings/oleObject27.bin"/><Relationship Id="rId76" Type="http://schemas.openxmlformats.org/officeDocument/2006/relationships/image" Target="media/image32.wmf"/><Relationship Id="rId75" Type="http://schemas.openxmlformats.org/officeDocument/2006/relationships/oleObject" Target="embeddings/oleObject26.bin"/><Relationship Id="rId74" Type="http://schemas.openxmlformats.org/officeDocument/2006/relationships/image" Target="media/image31.wmf"/><Relationship Id="rId73" Type="http://schemas.openxmlformats.org/officeDocument/2006/relationships/oleObject" Target="embeddings/oleObject25.bin"/><Relationship Id="rId72" Type="http://schemas.openxmlformats.org/officeDocument/2006/relationships/image" Target="media/image30.wmf"/><Relationship Id="rId71" Type="http://schemas.openxmlformats.org/officeDocument/2006/relationships/oleObject" Target="embeddings/oleObject24.bin"/><Relationship Id="rId70" Type="http://schemas.openxmlformats.org/officeDocument/2006/relationships/oleObject" Target="embeddings/oleObject23.bin"/><Relationship Id="rId7" Type="http://schemas.openxmlformats.org/officeDocument/2006/relationships/footer" Target="footer1.xml"/><Relationship Id="rId69" Type="http://schemas.openxmlformats.org/officeDocument/2006/relationships/image" Target="media/image29.wmf"/><Relationship Id="rId68" Type="http://schemas.openxmlformats.org/officeDocument/2006/relationships/oleObject" Target="embeddings/oleObject22.bin"/><Relationship Id="rId67" Type="http://schemas.openxmlformats.org/officeDocument/2006/relationships/image" Target="media/image28.wmf"/><Relationship Id="rId66" Type="http://schemas.openxmlformats.org/officeDocument/2006/relationships/oleObject" Target="embeddings/oleObject21.bin"/><Relationship Id="rId65" Type="http://schemas.openxmlformats.org/officeDocument/2006/relationships/image" Target="media/image27.wmf"/><Relationship Id="rId64" Type="http://schemas.openxmlformats.org/officeDocument/2006/relationships/oleObject" Target="embeddings/oleObject20.bin"/><Relationship Id="rId63" Type="http://schemas.openxmlformats.org/officeDocument/2006/relationships/image" Target="media/image26.wmf"/><Relationship Id="rId62" Type="http://schemas.openxmlformats.org/officeDocument/2006/relationships/oleObject" Target="embeddings/oleObject19.bin"/><Relationship Id="rId61" Type="http://schemas.openxmlformats.org/officeDocument/2006/relationships/image" Target="media/image25.wmf"/><Relationship Id="rId60" Type="http://schemas.openxmlformats.org/officeDocument/2006/relationships/oleObject" Target="embeddings/oleObject18.bin"/><Relationship Id="rId6" Type="http://schemas.openxmlformats.org/officeDocument/2006/relationships/header" Target="header2.xml"/><Relationship Id="rId59" Type="http://schemas.openxmlformats.org/officeDocument/2006/relationships/oleObject" Target="embeddings/oleObject17.bin"/><Relationship Id="rId58" Type="http://schemas.openxmlformats.org/officeDocument/2006/relationships/image" Target="media/image24.wmf"/><Relationship Id="rId57" Type="http://schemas.openxmlformats.org/officeDocument/2006/relationships/oleObject" Target="embeddings/oleObject16.bin"/><Relationship Id="rId56" Type="http://schemas.openxmlformats.org/officeDocument/2006/relationships/image" Target="media/image23.wmf"/><Relationship Id="rId55" Type="http://schemas.openxmlformats.org/officeDocument/2006/relationships/oleObject" Target="embeddings/oleObject15.bin"/><Relationship Id="rId54" Type="http://schemas.openxmlformats.org/officeDocument/2006/relationships/image" Target="media/image22.wmf"/><Relationship Id="rId53" Type="http://schemas.openxmlformats.org/officeDocument/2006/relationships/oleObject" Target="embeddings/oleObject14.bin"/><Relationship Id="rId52" Type="http://schemas.openxmlformats.org/officeDocument/2006/relationships/image" Target="media/image21.wmf"/><Relationship Id="rId51" Type="http://schemas.openxmlformats.org/officeDocument/2006/relationships/oleObject" Target="embeddings/oleObject13.bin"/><Relationship Id="rId50" Type="http://schemas.openxmlformats.org/officeDocument/2006/relationships/image" Target="media/image20.wmf"/><Relationship Id="rId5" Type="http://schemas.openxmlformats.org/officeDocument/2006/relationships/header" Target="header1.xml"/><Relationship Id="rId49" Type="http://schemas.openxmlformats.org/officeDocument/2006/relationships/oleObject" Target="embeddings/oleObject12.bin"/><Relationship Id="rId48" Type="http://schemas.openxmlformats.org/officeDocument/2006/relationships/image" Target="media/image19.wmf"/><Relationship Id="rId47" Type="http://schemas.openxmlformats.org/officeDocument/2006/relationships/oleObject" Target="embeddings/oleObject11.bin"/><Relationship Id="rId46" Type="http://schemas.openxmlformats.org/officeDocument/2006/relationships/image" Target="media/image18.wmf"/><Relationship Id="rId45" Type="http://schemas.openxmlformats.org/officeDocument/2006/relationships/oleObject" Target="embeddings/oleObject10.bin"/><Relationship Id="rId44" Type="http://schemas.openxmlformats.org/officeDocument/2006/relationships/image" Target="media/image17.wmf"/><Relationship Id="rId43" Type="http://schemas.openxmlformats.org/officeDocument/2006/relationships/oleObject" Target="embeddings/oleObject9.bin"/><Relationship Id="rId42" Type="http://schemas.openxmlformats.org/officeDocument/2006/relationships/image" Target="media/image16.wmf"/><Relationship Id="rId41" Type="http://schemas.openxmlformats.org/officeDocument/2006/relationships/oleObject" Target="embeddings/oleObject8.bin"/><Relationship Id="rId40" Type="http://schemas.openxmlformats.org/officeDocument/2006/relationships/image" Target="media/image15.wmf"/><Relationship Id="rId4" Type="http://schemas.openxmlformats.org/officeDocument/2006/relationships/endnotes" Target="endnotes.xml"/><Relationship Id="rId39" Type="http://schemas.openxmlformats.org/officeDocument/2006/relationships/oleObject" Target="embeddings/oleObject7.bin"/><Relationship Id="rId38" Type="http://schemas.openxmlformats.org/officeDocument/2006/relationships/image" Target="media/image14.wmf"/><Relationship Id="rId37" Type="http://schemas.openxmlformats.org/officeDocument/2006/relationships/oleObject" Target="embeddings/oleObject6.bin"/><Relationship Id="rId36" Type="http://schemas.openxmlformats.org/officeDocument/2006/relationships/image" Target="media/image13.wmf"/><Relationship Id="rId35" Type="http://schemas.openxmlformats.org/officeDocument/2006/relationships/oleObject" Target="embeddings/oleObject5.bin"/><Relationship Id="rId34" Type="http://schemas.openxmlformats.org/officeDocument/2006/relationships/image" Target="media/image12.wmf"/><Relationship Id="rId33" Type="http://schemas.openxmlformats.org/officeDocument/2006/relationships/oleObject" Target="embeddings/oleObject4.bin"/><Relationship Id="rId32" Type="http://schemas.openxmlformats.org/officeDocument/2006/relationships/image" Target="media/image11.wmf"/><Relationship Id="rId31" Type="http://schemas.openxmlformats.org/officeDocument/2006/relationships/oleObject" Target="embeddings/oleObject3.bin"/><Relationship Id="rId30" Type="http://schemas.openxmlformats.org/officeDocument/2006/relationships/image" Target="media/image10.wmf"/><Relationship Id="rId3" Type="http://schemas.openxmlformats.org/officeDocument/2006/relationships/footnotes" Target="footnotes.xml"/><Relationship Id="rId29" Type="http://schemas.openxmlformats.org/officeDocument/2006/relationships/oleObject" Target="embeddings/oleObject2.bin"/><Relationship Id="rId28" Type="http://schemas.openxmlformats.org/officeDocument/2006/relationships/image" Target="media/image9.wmf"/><Relationship Id="rId27" Type="http://schemas.openxmlformats.org/officeDocument/2006/relationships/oleObject" Target="embeddings/oleObject1.bin"/><Relationship Id="rId26" Type="http://schemas.openxmlformats.org/officeDocument/2006/relationships/image" Target="media/image8.emf"/><Relationship Id="rId25" Type="http://schemas.openxmlformats.org/officeDocument/2006/relationships/package" Target="embeddings/Microsoft_Visio___6.vsdx"/><Relationship Id="rId24" Type="http://schemas.openxmlformats.org/officeDocument/2006/relationships/image" Target="media/image7.emf"/><Relationship Id="rId23" Type="http://schemas.openxmlformats.org/officeDocument/2006/relationships/package" Target="embeddings/Microsoft_Visio___5.vsdx"/><Relationship Id="rId22" Type="http://schemas.openxmlformats.org/officeDocument/2006/relationships/image" Target="media/image6.emf"/><Relationship Id="rId21" Type="http://schemas.openxmlformats.org/officeDocument/2006/relationships/package" Target="embeddings/Microsoft_Visio___4.vsdx"/><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package" Target="embeddings/Microsoft_Visio___3.vsdx"/><Relationship Id="rId18" Type="http://schemas.openxmlformats.org/officeDocument/2006/relationships/image" Target="media/image4.emf"/><Relationship Id="rId17" Type="http://schemas.openxmlformats.org/officeDocument/2006/relationships/package" Target="embeddings/Microsoft_Visio___2.vsdx"/><Relationship Id="rId16" Type="http://schemas.openxmlformats.org/officeDocument/2006/relationships/image" Target="media/image3.emf"/><Relationship Id="rId15" Type="http://schemas.openxmlformats.org/officeDocument/2006/relationships/package" Target="embeddings/Microsoft_Visio___1.vsdx"/><Relationship Id="rId14" Type="http://schemas.openxmlformats.org/officeDocument/2006/relationships/image" Target="media/image2.emf"/><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5" Type="http://schemas.openxmlformats.org/officeDocument/2006/relationships/glossaryDocument" Target="glossary/document.xml"/><Relationship Id="rId104" Type="http://schemas.openxmlformats.org/officeDocument/2006/relationships/fontTable" Target="fontTable.xml"/><Relationship Id="rId103" Type="http://schemas.openxmlformats.org/officeDocument/2006/relationships/customXml" Target="../customXml/item2.xml"/><Relationship Id="rId102" Type="http://schemas.openxmlformats.org/officeDocument/2006/relationships/numbering" Target="numbering.xml"/><Relationship Id="rId101" Type="http://schemas.openxmlformats.org/officeDocument/2006/relationships/customXml" Target="../customXml/item1.xml"/><Relationship Id="rId100" Type="http://schemas.openxmlformats.org/officeDocument/2006/relationships/image" Target="media/image43.wmf"/><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0371625C5B441B29298A67CB5AFC0AB"/>
        <w:style w:val=""/>
        <w:category>
          <w:name w:val="常规"/>
          <w:gallery w:val="placeholder"/>
        </w:category>
        <w:types>
          <w:type w:val="bbPlcHdr"/>
        </w:types>
        <w:behaviors>
          <w:behavior w:val="content"/>
        </w:behaviors>
        <w:description w:val=""/>
        <w:guid w:val="{52F54AED-A616-4643-9A7D-C9FF5352884A}"/>
      </w:docPartPr>
      <w:docPartBody>
        <w:p>
          <w:pPr>
            <w:pStyle w:val="5"/>
          </w:pPr>
          <w:r>
            <w:rPr>
              <w:rStyle w:val="4"/>
              <w:rFonts w:hint="eastAsia"/>
            </w:rPr>
            <w:t>单击或点击此处输入文字。</w:t>
          </w:r>
        </w:p>
      </w:docPartBody>
    </w:docPart>
    <w:docPart>
      <w:docPartPr>
        <w:name w:val="ABDD956548744B79953E6CFAA62A28D5"/>
        <w:style w:val=""/>
        <w:category>
          <w:name w:val="常规"/>
          <w:gallery w:val="placeholder"/>
        </w:category>
        <w:types>
          <w:type w:val="bbPlcHdr"/>
        </w:types>
        <w:behaviors>
          <w:behavior w:val="content"/>
        </w:behaviors>
        <w:description w:val=""/>
        <w:guid w:val="{BADE489B-B338-4727-B9B8-F1F20AF148C3}"/>
      </w:docPartPr>
      <w:docPartBody>
        <w:p>
          <w:pPr>
            <w:pStyle w:val="6"/>
          </w:pPr>
          <w:r>
            <w:rPr>
              <w:rStyle w:val="4"/>
              <w:rFonts w:hint="eastAsia"/>
            </w:rPr>
            <w:t>选择一项。</w:t>
          </w:r>
        </w:p>
      </w:docPartBody>
    </w:docPart>
    <w:docPart>
      <w:docPartPr>
        <w:name w:val="4041ED49A8534187A9379E4EF3C32BDD"/>
        <w:style w:val=""/>
        <w:category>
          <w:name w:val="常规"/>
          <w:gallery w:val="placeholder"/>
        </w:category>
        <w:types>
          <w:type w:val="bbPlcHdr"/>
        </w:types>
        <w:behaviors>
          <w:behavior w:val="content"/>
        </w:behaviors>
        <w:description w:val=""/>
        <w:guid w:val="{202E09C9-F552-40A4-A19F-4783AB78AF93}"/>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C42"/>
    <w:rsid w:val="00346C42"/>
    <w:rsid w:val="00586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0371625C5B441B29298A67CB5AFC0A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BDD956548744B79953E6CFAA62A28D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041ED49A8534187A9379E4EF3C32BDD"/>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28</Pages>
  <Words>9469</Words>
  <Characters>11838</Characters>
  <Lines>1973</Lines>
  <Paragraphs>1775</Paragraphs>
  <TotalTime>0</TotalTime>
  <ScaleCrop>false</ScaleCrop>
  <LinksUpToDate>false</LinksUpToDate>
  <CharactersWithSpaces>19532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2023-04-04T07:35:00Z</dcterms:created>
  <dc:creator>张维</dc:creator>
  <dc:description>&lt;config cover="true" show_menu="true" version="1.0.0" doctype="SDKXY"&gt;_x000d_
&lt;/config&gt;</dc:description>
  <cp:lastModifiedBy>莫枝阅</cp:lastModifiedBy>
  <cp:lastPrinted>2020-08-30T10:00:00Z</cp:lastPrinted>
  <dcterms:modified xsi:type="dcterms:W3CDTF">2023-06-05T01:37:33Z</dcterms:modified>
  <dc:title>地方标准</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2052-11.8.2.11718</vt:lpwstr>
  </property>
  <property fmtid="{D5CDD505-2E9C-101B-9397-08002B2CF9AE}" pid="15" name="ICV">
    <vt:lpwstr>21972423D1E746C3A047C202197E82A6</vt:lpwstr>
  </property>
</Properties>
</file>