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ascii="黑体" w:hAnsi="黑体" w:eastAsia="黑体"/>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ascii="黑体" w:hAnsi="黑体" w:eastAsia="黑体"/>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ascii="黑体" w:hAnsi="黑体" w:eastAsia="黑体"/>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before="157" w:beforeLines="50" w:line="720" w:lineRule="auto"/>
        <w:jc w:val="center"/>
        <w:textAlignment w:val="auto"/>
        <w:rPr>
          <w:rFonts w:ascii="黑体" w:hAnsi="黑体" w:eastAsia="黑体"/>
          <w:color w:val="auto"/>
          <w:sz w:val="36"/>
          <w:szCs w:val="36"/>
          <w:highlight w:val="none"/>
        </w:rPr>
      </w:pPr>
      <w:r>
        <w:rPr>
          <w:rFonts w:hint="eastAsia" w:ascii="黑体" w:hAnsi="黑体" w:eastAsia="黑体"/>
          <w:color w:val="auto"/>
          <w:sz w:val="36"/>
          <w:szCs w:val="36"/>
          <w:highlight w:val="none"/>
        </w:rPr>
        <w:t>广西地方标准《微型智能电流传感器技术规范》</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黑体" w:hAnsi="黑体" w:eastAsia="黑体"/>
          <w:color w:val="auto"/>
          <w:sz w:val="36"/>
          <w:szCs w:val="36"/>
          <w:highlight w:val="none"/>
        </w:rPr>
      </w:pPr>
      <w:r>
        <w:rPr>
          <w:rFonts w:hint="eastAsia" w:ascii="黑体" w:hAnsi="黑体" w:eastAsia="黑体"/>
          <w:color w:val="auto"/>
          <w:sz w:val="36"/>
          <w:szCs w:val="36"/>
          <w:highlight w:val="none"/>
        </w:rPr>
        <w:t>编制说明</w:t>
      </w:r>
    </w:p>
    <w:p>
      <w:pPr>
        <w:spacing w:line="560" w:lineRule="exact"/>
        <w:jc w:val="center"/>
        <w:rPr>
          <w:rFonts w:ascii="仿宋" w:hAnsi="仿宋" w:eastAsia="仿宋"/>
          <w:color w:val="auto"/>
          <w:sz w:val="28"/>
          <w:szCs w:val="28"/>
          <w:highlight w:val="none"/>
        </w:rPr>
      </w:pPr>
      <w:r>
        <w:rPr>
          <w:rFonts w:ascii="仿宋" w:hAnsi="仿宋" w:eastAsia="仿宋"/>
          <w:color w:val="auto"/>
          <w:sz w:val="28"/>
          <w:szCs w:val="28"/>
          <w:highlight w:val="none"/>
        </w:rPr>
        <w:t xml:space="preserve"> </w:t>
      </w:r>
    </w:p>
    <w:p>
      <w:pPr>
        <w:spacing w:line="560" w:lineRule="exact"/>
        <w:jc w:val="center"/>
        <w:rPr>
          <w:rFonts w:ascii="仿宋" w:hAnsi="仿宋" w:eastAsia="仿宋"/>
          <w:color w:val="auto"/>
          <w:sz w:val="28"/>
          <w:szCs w:val="28"/>
          <w:highlight w:val="none"/>
        </w:rPr>
      </w:pPr>
    </w:p>
    <w:p>
      <w:pPr>
        <w:spacing w:line="560" w:lineRule="exact"/>
        <w:jc w:val="both"/>
        <w:rPr>
          <w:rFonts w:ascii="仿宋" w:hAnsi="仿宋" w:eastAsia="仿宋"/>
          <w:color w:val="auto"/>
          <w:sz w:val="28"/>
          <w:szCs w:val="28"/>
          <w:highlight w:val="none"/>
        </w:rPr>
      </w:pPr>
    </w:p>
    <w:p>
      <w:pPr>
        <w:spacing w:line="560" w:lineRule="exact"/>
        <w:jc w:val="center"/>
        <w:rPr>
          <w:rFonts w:ascii="仿宋" w:hAnsi="仿宋" w:eastAsia="仿宋"/>
          <w:color w:val="auto"/>
          <w:sz w:val="28"/>
          <w:szCs w:val="28"/>
          <w:highlight w:val="none"/>
        </w:rPr>
      </w:pPr>
    </w:p>
    <w:p>
      <w:pPr>
        <w:spacing w:line="560" w:lineRule="exact"/>
        <w:jc w:val="center"/>
        <w:rPr>
          <w:rFonts w:ascii="仿宋" w:hAnsi="仿宋" w:eastAsia="仿宋"/>
          <w:color w:val="auto"/>
          <w:sz w:val="28"/>
          <w:szCs w:val="28"/>
          <w:highlight w:val="none"/>
        </w:rPr>
      </w:pPr>
    </w:p>
    <w:p>
      <w:pPr>
        <w:spacing w:line="560" w:lineRule="exact"/>
        <w:jc w:val="center"/>
        <w:rPr>
          <w:rFonts w:ascii="仿宋" w:hAnsi="仿宋" w:eastAsia="仿宋"/>
          <w:color w:val="auto"/>
          <w:sz w:val="28"/>
          <w:szCs w:val="28"/>
          <w:highlight w:val="none"/>
        </w:rPr>
      </w:pPr>
    </w:p>
    <w:p>
      <w:pPr>
        <w:spacing w:line="560" w:lineRule="exact"/>
        <w:jc w:val="center"/>
        <w:rPr>
          <w:rFonts w:ascii="仿宋" w:hAnsi="仿宋" w:eastAsia="仿宋"/>
          <w:color w:val="auto"/>
          <w:sz w:val="28"/>
          <w:szCs w:val="28"/>
          <w:highlight w:val="none"/>
        </w:rPr>
      </w:pPr>
    </w:p>
    <w:p>
      <w:pPr>
        <w:spacing w:line="560" w:lineRule="exact"/>
        <w:jc w:val="center"/>
        <w:rPr>
          <w:rFonts w:ascii="仿宋" w:hAnsi="仿宋" w:eastAsia="仿宋"/>
          <w:color w:val="auto"/>
          <w:sz w:val="28"/>
          <w:szCs w:val="28"/>
          <w:highlight w:val="none"/>
        </w:rPr>
      </w:pPr>
    </w:p>
    <w:p>
      <w:pPr>
        <w:spacing w:line="560" w:lineRule="exact"/>
        <w:jc w:val="center"/>
        <w:rPr>
          <w:rFonts w:ascii="仿宋" w:hAnsi="仿宋" w:eastAsia="仿宋"/>
          <w:color w:val="auto"/>
          <w:sz w:val="28"/>
          <w:szCs w:val="28"/>
          <w:highlight w:val="none"/>
        </w:rPr>
      </w:pPr>
    </w:p>
    <w:p>
      <w:pPr>
        <w:pStyle w:val="2"/>
        <w:rPr>
          <w:rFonts w:ascii="仿宋" w:hAnsi="仿宋" w:eastAsia="仿宋"/>
          <w:color w:val="auto"/>
          <w:sz w:val="28"/>
          <w:szCs w:val="28"/>
          <w:highlight w:val="none"/>
        </w:rPr>
      </w:pPr>
    </w:p>
    <w:p>
      <w:pPr>
        <w:pStyle w:val="3"/>
        <w:outlineLvl w:val="9"/>
        <w:rPr>
          <w:highlight w:val="none"/>
        </w:rPr>
      </w:pPr>
    </w:p>
    <w:p>
      <w:pPr>
        <w:spacing w:line="560" w:lineRule="exact"/>
        <w:jc w:val="center"/>
        <w:rPr>
          <w:rFonts w:ascii="仿宋" w:hAnsi="仿宋" w:eastAsia="仿宋"/>
          <w:color w:val="auto"/>
          <w:sz w:val="28"/>
          <w:szCs w:val="28"/>
          <w:highlight w:val="none"/>
        </w:rPr>
      </w:pPr>
    </w:p>
    <w:p>
      <w:pPr>
        <w:spacing w:line="560" w:lineRule="exact"/>
        <w:jc w:val="center"/>
        <w:rPr>
          <w:rFonts w:ascii="仿宋" w:hAnsi="仿宋" w:eastAsia="仿宋"/>
          <w:color w:val="auto"/>
          <w:sz w:val="28"/>
          <w:szCs w:val="28"/>
          <w:highlight w:val="none"/>
        </w:rPr>
      </w:pPr>
    </w:p>
    <w:p>
      <w:pPr>
        <w:spacing w:line="560" w:lineRule="exact"/>
        <w:ind w:firstLine="560" w:firstLineChars="200"/>
        <w:jc w:val="center"/>
        <w:rPr>
          <w:rFonts w:ascii="仿宋" w:hAnsi="仿宋" w:eastAsia="仿宋"/>
          <w:color w:val="auto"/>
          <w:sz w:val="28"/>
          <w:szCs w:val="28"/>
          <w:highlight w:val="none"/>
        </w:rPr>
      </w:pPr>
      <w:r>
        <w:rPr>
          <w:rFonts w:hint="eastAsia" w:ascii="仿宋" w:hAnsi="仿宋" w:eastAsia="仿宋"/>
          <w:color w:val="auto"/>
          <w:sz w:val="28"/>
          <w:szCs w:val="28"/>
          <w:highlight w:val="none"/>
          <w:lang w:eastAsia="zh-CN"/>
        </w:rPr>
        <w:t>标准</w:t>
      </w:r>
      <w:r>
        <w:rPr>
          <w:rFonts w:ascii="仿宋" w:hAnsi="仿宋" w:eastAsia="仿宋"/>
          <w:color w:val="auto"/>
          <w:sz w:val="28"/>
          <w:szCs w:val="28"/>
          <w:highlight w:val="none"/>
        </w:rPr>
        <w:t>编制工作组</w:t>
      </w:r>
    </w:p>
    <w:p>
      <w:pPr>
        <w:spacing w:line="560" w:lineRule="exact"/>
        <w:ind w:firstLine="560" w:firstLineChars="200"/>
        <w:jc w:val="center"/>
        <w:rPr>
          <w:rFonts w:ascii="仿宋" w:hAnsi="仿宋" w:eastAsia="仿宋"/>
          <w:color w:val="auto"/>
          <w:sz w:val="28"/>
          <w:szCs w:val="28"/>
          <w:highlight w:val="none"/>
        </w:rPr>
      </w:pPr>
      <w:r>
        <w:rPr>
          <w:rFonts w:ascii="仿宋" w:hAnsi="仿宋" w:eastAsia="仿宋"/>
          <w:color w:val="auto"/>
          <w:sz w:val="28"/>
          <w:szCs w:val="28"/>
          <w:highlight w:val="none"/>
        </w:rPr>
        <w:t xml:space="preserve">  202</w:t>
      </w:r>
      <w:r>
        <w:rPr>
          <w:rFonts w:hint="eastAsia" w:ascii="仿宋" w:hAnsi="仿宋" w:eastAsia="仿宋"/>
          <w:color w:val="auto"/>
          <w:sz w:val="28"/>
          <w:szCs w:val="28"/>
          <w:highlight w:val="none"/>
          <w:lang w:val="en-US" w:eastAsia="zh-CN"/>
        </w:rPr>
        <w:t>3</w:t>
      </w:r>
      <w:r>
        <w:rPr>
          <w:rFonts w:ascii="仿宋" w:hAnsi="仿宋" w:eastAsia="仿宋"/>
          <w:color w:val="auto"/>
          <w:sz w:val="28"/>
          <w:szCs w:val="28"/>
          <w:highlight w:val="none"/>
        </w:rPr>
        <w:t>年</w:t>
      </w:r>
      <w:r>
        <w:rPr>
          <w:rFonts w:hint="eastAsia" w:ascii="仿宋" w:hAnsi="仿宋" w:eastAsia="仿宋"/>
          <w:color w:val="auto"/>
          <w:sz w:val="28"/>
          <w:szCs w:val="28"/>
          <w:highlight w:val="none"/>
          <w:lang w:val="en-US" w:eastAsia="zh-CN"/>
        </w:rPr>
        <w:t>5</w:t>
      </w:r>
      <w:r>
        <w:rPr>
          <w:rFonts w:ascii="仿宋" w:hAnsi="仿宋" w:eastAsia="仿宋"/>
          <w:color w:val="auto"/>
          <w:sz w:val="28"/>
          <w:szCs w:val="28"/>
          <w:highlight w:val="none"/>
        </w:rPr>
        <w:t>月</w:t>
      </w:r>
      <w:r>
        <w:rPr>
          <w:rFonts w:hint="eastAsia" w:ascii="仿宋" w:hAnsi="仿宋" w:eastAsia="仿宋"/>
          <w:color w:val="auto"/>
          <w:sz w:val="28"/>
          <w:szCs w:val="28"/>
          <w:highlight w:val="none"/>
          <w:lang w:val="en-US" w:eastAsia="zh-CN"/>
        </w:rPr>
        <w:t>15</w:t>
      </w:r>
      <w:r>
        <w:rPr>
          <w:rFonts w:hint="eastAsia" w:ascii="仿宋" w:hAnsi="仿宋" w:eastAsia="仿宋"/>
          <w:color w:val="auto"/>
          <w:sz w:val="28"/>
          <w:szCs w:val="28"/>
          <w:highlight w:val="none"/>
        </w:rPr>
        <w:t>日</w:t>
      </w:r>
    </w:p>
    <w:p>
      <w:pPr>
        <w:pStyle w:val="2"/>
        <w:rPr>
          <w:highlight w:val="none"/>
        </w:rPr>
        <w:sectPr>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2"/>
          <w:highlight w:val="none"/>
          <w:lang w:val="en-US" w:eastAsia="zh-CN" w:bidi="ar-SA"/>
        </w:rPr>
        <w:id w:val="147459467"/>
        <w15:color w:val="DBDBDB"/>
        <w:docPartObj>
          <w:docPartGallery w:val="Table of Contents"/>
          <w:docPartUnique/>
        </w:docPartObj>
      </w:sdtPr>
      <w:sdtEndPr>
        <w:rPr>
          <w:rFonts w:asciiTheme="majorHAnsi" w:hAnsiTheme="majorHAnsi" w:eastAsiaTheme="majorEastAsia" w:cstheme="majorBidi"/>
          <w:b/>
          <w:bCs/>
          <w:kern w:val="2"/>
          <w:sz w:val="32"/>
          <w:szCs w:val="32"/>
          <w:highlight w:val="none"/>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highlight w:val="none"/>
            </w:rPr>
          </w:pPr>
          <w:r>
            <w:rPr>
              <w:rFonts w:ascii="宋体" w:hAnsi="宋体" w:eastAsia="宋体"/>
              <w:sz w:val="28"/>
              <w:szCs w:val="32"/>
              <w:highlight w:val="none"/>
            </w:rPr>
            <w:t>目</w:t>
          </w:r>
          <w:r>
            <w:rPr>
              <w:rFonts w:hint="eastAsia" w:ascii="宋体" w:hAnsi="宋体" w:eastAsia="宋体"/>
              <w:sz w:val="28"/>
              <w:szCs w:val="32"/>
              <w:highlight w:val="none"/>
              <w:lang w:val="en-US" w:eastAsia="zh-CN"/>
            </w:rPr>
            <w:t xml:space="preserve"> </w:t>
          </w:r>
          <w:r>
            <w:rPr>
              <w:rFonts w:ascii="宋体" w:hAnsi="宋体" w:eastAsia="宋体"/>
              <w:sz w:val="28"/>
              <w:szCs w:val="32"/>
              <w:highlight w:val="none"/>
            </w:rPr>
            <w:t>录</w:t>
          </w:r>
        </w:p>
        <w:p>
          <w:pPr>
            <w:pStyle w:val="7"/>
            <w:tabs>
              <w:tab w:val="right" w:leader="dot" w:pos="8306"/>
            </w:tabs>
          </w:pPr>
          <w:r>
            <w:rPr>
              <w:highlight w:val="none"/>
            </w:rPr>
            <w:fldChar w:fldCharType="begin"/>
          </w:r>
          <w:r>
            <w:rPr>
              <w:highlight w:val="none"/>
            </w:rPr>
            <w:instrText xml:space="preserve">TOC \o "1-2" \h \u </w:instrText>
          </w:r>
          <w:r>
            <w:rPr>
              <w:highlight w:val="none"/>
            </w:rPr>
            <w:fldChar w:fldCharType="separate"/>
          </w:r>
          <w:r>
            <w:rPr>
              <w:highlight w:val="none"/>
            </w:rPr>
            <w:fldChar w:fldCharType="begin"/>
          </w:r>
          <w:r>
            <w:rPr>
              <w:highlight w:val="none"/>
            </w:rPr>
            <w:instrText xml:space="preserve"> HYPERLINK \l _Toc15442 </w:instrText>
          </w:r>
          <w:r>
            <w:rPr>
              <w:highlight w:val="none"/>
            </w:rPr>
            <w:fldChar w:fldCharType="separate"/>
          </w:r>
          <w:r>
            <w:rPr>
              <w:rFonts w:hint="eastAsia" w:ascii="黑体" w:hAnsi="黑体" w:eastAsia="黑体"/>
              <w:szCs w:val="28"/>
              <w:highlight w:val="none"/>
            </w:rPr>
            <w:t>一、任务来源</w:t>
          </w:r>
          <w:r>
            <w:rPr>
              <w:rFonts w:hint="eastAsia" w:ascii="黑体" w:hAnsi="黑体" w:eastAsia="黑体"/>
              <w:szCs w:val="28"/>
              <w:highlight w:val="none"/>
              <w:lang w:eastAsia="zh-CN"/>
            </w:rPr>
            <w:t>、</w:t>
          </w:r>
          <w:r>
            <w:rPr>
              <w:rFonts w:hint="eastAsia" w:ascii="黑体" w:hAnsi="黑体" w:eastAsia="黑体"/>
              <w:szCs w:val="28"/>
              <w:highlight w:val="none"/>
            </w:rPr>
            <w:t>起草单位</w:t>
          </w:r>
          <w:r>
            <w:rPr>
              <w:rFonts w:hint="eastAsia" w:ascii="黑体" w:hAnsi="黑体" w:eastAsia="黑体"/>
              <w:szCs w:val="28"/>
              <w:highlight w:val="none"/>
              <w:lang w:eastAsia="zh-CN"/>
            </w:rPr>
            <w:t>和主要起草人</w:t>
          </w:r>
          <w:r>
            <w:tab/>
          </w:r>
          <w:r>
            <w:fldChar w:fldCharType="begin"/>
          </w:r>
          <w:r>
            <w:instrText xml:space="preserve"> PAGEREF _Toc15442 \h </w:instrText>
          </w:r>
          <w:r>
            <w:fldChar w:fldCharType="separate"/>
          </w:r>
          <w:r>
            <w:t>1</w:t>
          </w:r>
          <w:r>
            <w:fldChar w:fldCharType="end"/>
          </w:r>
          <w:r>
            <w:rPr>
              <w:highlight w:val="none"/>
            </w:rPr>
            <w:fldChar w:fldCharType="end"/>
          </w:r>
        </w:p>
        <w:p>
          <w:pPr>
            <w:pStyle w:val="7"/>
            <w:tabs>
              <w:tab w:val="right" w:leader="dot" w:pos="8306"/>
            </w:tabs>
          </w:pPr>
          <w:r>
            <w:rPr>
              <w:highlight w:val="none"/>
            </w:rPr>
            <w:fldChar w:fldCharType="begin"/>
          </w:r>
          <w:r>
            <w:rPr>
              <w:highlight w:val="none"/>
            </w:rPr>
            <w:instrText xml:space="preserve"> HYPERLINK \l _Toc21521 </w:instrText>
          </w:r>
          <w:r>
            <w:rPr>
              <w:highlight w:val="none"/>
            </w:rPr>
            <w:fldChar w:fldCharType="separate"/>
          </w:r>
          <w:r>
            <w:rPr>
              <w:rFonts w:hint="eastAsia" w:ascii="黑体" w:hAnsi="黑体" w:eastAsia="黑体" w:cs="仿宋_GB2312"/>
              <w:szCs w:val="28"/>
              <w:highlight w:val="none"/>
            </w:rPr>
            <w:t>二、制定标准的必要性和意义</w:t>
          </w:r>
          <w:r>
            <w:tab/>
          </w:r>
          <w:r>
            <w:fldChar w:fldCharType="begin"/>
          </w:r>
          <w:r>
            <w:instrText xml:space="preserve"> PAGEREF _Toc21521 \h </w:instrText>
          </w:r>
          <w:r>
            <w:fldChar w:fldCharType="separate"/>
          </w:r>
          <w:r>
            <w:t>3</w:t>
          </w:r>
          <w:r>
            <w:fldChar w:fldCharType="end"/>
          </w:r>
          <w:r>
            <w:rPr>
              <w:highlight w:val="none"/>
            </w:rPr>
            <w:fldChar w:fldCharType="end"/>
          </w:r>
        </w:p>
        <w:p>
          <w:pPr>
            <w:pStyle w:val="7"/>
            <w:tabs>
              <w:tab w:val="right" w:leader="dot" w:pos="8306"/>
            </w:tabs>
          </w:pPr>
          <w:r>
            <w:rPr>
              <w:highlight w:val="none"/>
            </w:rPr>
            <w:fldChar w:fldCharType="begin"/>
          </w:r>
          <w:r>
            <w:rPr>
              <w:highlight w:val="none"/>
            </w:rPr>
            <w:instrText xml:space="preserve"> HYPERLINK \l _Toc12708 </w:instrText>
          </w:r>
          <w:r>
            <w:rPr>
              <w:highlight w:val="none"/>
            </w:rPr>
            <w:fldChar w:fldCharType="separate"/>
          </w:r>
          <w:r>
            <w:rPr>
              <w:rFonts w:hint="eastAsia" w:ascii="黑体" w:hAnsi="黑体" w:eastAsia="黑体" w:cs="黑体"/>
              <w:bCs/>
              <w:szCs w:val="28"/>
              <w:highlight w:val="none"/>
            </w:rPr>
            <w:t>三、主要起草过程</w:t>
          </w:r>
          <w:r>
            <w:tab/>
          </w:r>
          <w:r>
            <w:fldChar w:fldCharType="begin"/>
          </w:r>
          <w:r>
            <w:instrText xml:space="preserve"> PAGEREF _Toc12708 \h </w:instrText>
          </w:r>
          <w:r>
            <w:fldChar w:fldCharType="separate"/>
          </w:r>
          <w:r>
            <w:t>4</w:t>
          </w:r>
          <w:r>
            <w:fldChar w:fldCharType="end"/>
          </w:r>
          <w:r>
            <w:rPr>
              <w:highlight w:val="none"/>
            </w:rPr>
            <w:fldChar w:fldCharType="end"/>
          </w:r>
        </w:p>
        <w:p>
          <w:pPr>
            <w:pStyle w:val="8"/>
            <w:tabs>
              <w:tab w:val="right" w:leader="dot" w:pos="8306"/>
            </w:tabs>
          </w:pPr>
          <w:r>
            <w:rPr>
              <w:highlight w:val="none"/>
            </w:rPr>
            <w:fldChar w:fldCharType="begin"/>
          </w:r>
          <w:r>
            <w:rPr>
              <w:highlight w:val="none"/>
            </w:rPr>
            <w:instrText xml:space="preserve"> HYPERLINK \l _Toc27944 </w:instrText>
          </w:r>
          <w:r>
            <w:rPr>
              <w:highlight w:val="none"/>
            </w:rPr>
            <w:fldChar w:fldCharType="separate"/>
          </w:r>
          <w:r>
            <w:rPr>
              <w:rFonts w:hint="eastAsia" w:ascii="黑体" w:hAnsi="黑体" w:eastAsia="黑体" w:cs="黑体"/>
              <w:bCs/>
              <w:szCs w:val="28"/>
              <w:highlight w:val="none"/>
              <w:lang w:eastAsia="zh-CN"/>
            </w:rPr>
            <w:t>（一）成立标准编制工作小组</w:t>
          </w:r>
          <w:r>
            <w:tab/>
          </w:r>
          <w:r>
            <w:fldChar w:fldCharType="begin"/>
          </w:r>
          <w:r>
            <w:instrText xml:space="preserve"> PAGEREF _Toc27944 \h </w:instrText>
          </w:r>
          <w:r>
            <w:fldChar w:fldCharType="separate"/>
          </w:r>
          <w:r>
            <w:t>4</w:t>
          </w:r>
          <w:r>
            <w:fldChar w:fldCharType="end"/>
          </w:r>
          <w:r>
            <w:rPr>
              <w:highlight w:val="none"/>
            </w:rPr>
            <w:fldChar w:fldCharType="end"/>
          </w:r>
        </w:p>
        <w:p>
          <w:pPr>
            <w:pStyle w:val="8"/>
            <w:tabs>
              <w:tab w:val="right" w:leader="dot" w:pos="8306"/>
            </w:tabs>
          </w:pPr>
          <w:r>
            <w:rPr>
              <w:highlight w:val="none"/>
            </w:rPr>
            <w:fldChar w:fldCharType="begin"/>
          </w:r>
          <w:r>
            <w:rPr>
              <w:highlight w:val="none"/>
            </w:rPr>
            <w:instrText xml:space="preserve"> HYPERLINK \l _Toc13780 </w:instrText>
          </w:r>
          <w:r>
            <w:rPr>
              <w:highlight w:val="none"/>
            </w:rPr>
            <w:fldChar w:fldCharType="separate"/>
          </w:r>
          <w:r>
            <w:rPr>
              <w:rFonts w:hint="eastAsia" w:ascii="黑体" w:hAnsi="黑体" w:eastAsia="黑体" w:cs="黑体"/>
              <w:bCs/>
              <w:szCs w:val="28"/>
              <w:highlight w:val="none"/>
              <w:lang w:eastAsia="zh-CN"/>
            </w:rPr>
            <w:t>（二）收集整理文献资料</w:t>
          </w:r>
          <w:r>
            <w:tab/>
          </w:r>
          <w:r>
            <w:fldChar w:fldCharType="begin"/>
          </w:r>
          <w:r>
            <w:instrText xml:space="preserve"> PAGEREF _Toc13780 \h </w:instrText>
          </w:r>
          <w:r>
            <w:fldChar w:fldCharType="separate"/>
          </w:r>
          <w:r>
            <w:t>5</w:t>
          </w:r>
          <w:r>
            <w:fldChar w:fldCharType="end"/>
          </w:r>
          <w:r>
            <w:rPr>
              <w:highlight w:val="none"/>
            </w:rPr>
            <w:fldChar w:fldCharType="end"/>
          </w:r>
        </w:p>
        <w:p>
          <w:pPr>
            <w:pStyle w:val="8"/>
            <w:tabs>
              <w:tab w:val="right" w:leader="dot" w:pos="8306"/>
            </w:tabs>
          </w:pPr>
          <w:r>
            <w:rPr>
              <w:highlight w:val="none"/>
            </w:rPr>
            <w:fldChar w:fldCharType="begin"/>
          </w:r>
          <w:r>
            <w:rPr>
              <w:highlight w:val="none"/>
            </w:rPr>
            <w:instrText xml:space="preserve"> HYPERLINK \l _Toc16982 </w:instrText>
          </w:r>
          <w:r>
            <w:rPr>
              <w:highlight w:val="none"/>
            </w:rPr>
            <w:fldChar w:fldCharType="separate"/>
          </w:r>
          <w:r>
            <w:rPr>
              <w:rFonts w:hint="eastAsia" w:ascii="黑体" w:hAnsi="黑体" w:eastAsia="黑体" w:cs="黑体"/>
              <w:bCs/>
              <w:szCs w:val="28"/>
              <w:highlight w:val="none"/>
              <w:lang w:eastAsia="zh-CN"/>
            </w:rPr>
            <w:t>（三）实地调研及现场应用</w:t>
          </w:r>
          <w:r>
            <w:tab/>
          </w:r>
          <w:r>
            <w:fldChar w:fldCharType="begin"/>
          </w:r>
          <w:r>
            <w:instrText xml:space="preserve"> PAGEREF _Toc16982 \h </w:instrText>
          </w:r>
          <w:r>
            <w:fldChar w:fldCharType="separate"/>
          </w:r>
          <w:r>
            <w:t>6</w:t>
          </w:r>
          <w:r>
            <w:fldChar w:fldCharType="end"/>
          </w:r>
          <w:r>
            <w:rPr>
              <w:highlight w:val="none"/>
            </w:rPr>
            <w:fldChar w:fldCharType="end"/>
          </w:r>
        </w:p>
        <w:p>
          <w:pPr>
            <w:pStyle w:val="8"/>
            <w:tabs>
              <w:tab w:val="right" w:leader="dot" w:pos="8306"/>
            </w:tabs>
          </w:pPr>
          <w:r>
            <w:rPr>
              <w:highlight w:val="none"/>
            </w:rPr>
            <w:fldChar w:fldCharType="begin"/>
          </w:r>
          <w:r>
            <w:rPr>
              <w:highlight w:val="none"/>
            </w:rPr>
            <w:instrText xml:space="preserve"> HYPERLINK \l _Toc8363 </w:instrText>
          </w:r>
          <w:r>
            <w:rPr>
              <w:highlight w:val="none"/>
            </w:rPr>
            <w:fldChar w:fldCharType="separate"/>
          </w:r>
          <w:r>
            <w:rPr>
              <w:rFonts w:hint="eastAsia" w:ascii="黑体" w:hAnsi="黑体" w:eastAsia="黑体" w:cs="黑体"/>
              <w:bCs/>
              <w:szCs w:val="28"/>
              <w:highlight w:val="none"/>
              <w:lang w:eastAsia="zh-CN"/>
            </w:rPr>
            <w:t>（四）确定标准主体内容，形成征求意见稿</w:t>
          </w:r>
          <w:r>
            <w:tab/>
          </w:r>
          <w:r>
            <w:fldChar w:fldCharType="begin"/>
          </w:r>
          <w:r>
            <w:instrText xml:space="preserve"> PAGEREF _Toc8363 \h </w:instrText>
          </w:r>
          <w:r>
            <w:fldChar w:fldCharType="separate"/>
          </w:r>
          <w:r>
            <w:t>7</w:t>
          </w:r>
          <w:r>
            <w:fldChar w:fldCharType="end"/>
          </w:r>
          <w:r>
            <w:rPr>
              <w:highlight w:val="none"/>
            </w:rPr>
            <w:fldChar w:fldCharType="end"/>
          </w:r>
        </w:p>
        <w:p>
          <w:pPr>
            <w:pStyle w:val="7"/>
            <w:tabs>
              <w:tab w:val="right" w:leader="dot" w:pos="8306"/>
            </w:tabs>
          </w:pPr>
          <w:r>
            <w:rPr>
              <w:highlight w:val="none"/>
            </w:rPr>
            <w:fldChar w:fldCharType="begin"/>
          </w:r>
          <w:r>
            <w:rPr>
              <w:highlight w:val="none"/>
            </w:rPr>
            <w:instrText xml:space="preserve"> HYPERLINK \l _Toc5069 </w:instrText>
          </w:r>
          <w:r>
            <w:rPr>
              <w:highlight w:val="none"/>
            </w:rPr>
            <w:fldChar w:fldCharType="separate"/>
          </w:r>
          <w:r>
            <w:rPr>
              <w:rFonts w:hint="eastAsia" w:ascii="黑体" w:hAnsi="黑体" w:eastAsia="黑体" w:cs="黑体"/>
              <w:bCs/>
              <w:szCs w:val="28"/>
              <w:highlight w:val="none"/>
            </w:rPr>
            <w:t>四、制定标准的原则和依据</w:t>
          </w:r>
          <w:r>
            <w:tab/>
          </w:r>
          <w:r>
            <w:fldChar w:fldCharType="begin"/>
          </w:r>
          <w:r>
            <w:instrText xml:space="preserve"> PAGEREF _Toc5069 \h </w:instrText>
          </w:r>
          <w:r>
            <w:fldChar w:fldCharType="separate"/>
          </w:r>
          <w:r>
            <w:t>8</w:t>
          </w:r>
          <w:r>
            <w:fldChar w:fldCharType="end"/>
          </w:r>
          <w:r>
            <w:rPr>
              <w:highlight w:val="none"/>
            </w:rPr>
            <w:fldChar w:fldCharType="end"/>
          </w:r>
        </w:p>
        <w:p>
          <w:pPr>
            <w:pStyle w:val="8"/>
            <w:tabs>
              <w:tab w:val="right" w:leader="dot" w:pos="8306"/>
            </w:tabs>
          </w:pPr>
          <w:r>
            <w:rPr>
              <w:highlight w:val="none"/>
            </w:rPr>
            <w:fldChar w:fldCharType="begin"/>
          </w:r>
          <w:r>
            <w:rPr>
              <w:highlight w:val="none"/>
            </w:rPr>
            <w:instrText xml:space="preserve"> HYPERLINK \l _Toc759 </w:instrText>
          </w:r>
          <w:r>
            <w:rPr>
              <w:highlight w:val="none"/>
            </w:rPr>
            <w:fldChar w:fldCharType="separate"/>
          </w:r>
          <w:r>
            <w:rPr>
              <w:rFonts w:hint="eastAsia" w:ascii="黑体" w:hAnsi="黑体" w:eastAsia="黑体" w:cs="黑体"/>
              <w:bCs/>
              <w:szCs w:val="28"/>
              <w:highlight w:val="none"/>
              <w:lang w:eastAsia="zh-CN"/>
            </w:rPr>
            <w:t>（一）科学性原则</w:t>
          </w:r>
          <w:r>
            <w:tab/>
          </w:r>
          <w:r>
            <w:fldChar w:fldCharType="begin"/>
          </w:r>
          <w:r>
            <w:instrText xml:space="preserve"> PAGEREF _Toc759 \h </w:instrText>
          </w:r>
          <w:r>
            <w:fldChar w:fldCharType="separate"/>
          </w:r>
          <w:r>
            <w:t>8</w:t>
          </w:r>
          <w:r>
            <w:fldChar w:fldCharType="end"/>
          </w:r>
          <w:r>
            <w:rPr>
              <w:highlight w:val="none"/>
            </w:rPr>
            <w:fldChar w:fldCharType="end"/>
          </w:r>
        </w:p>
        <w:p>
          <w:pPr>
            <w:pStyle w:val="8"/>
            <w:tabs>
              <w:tab w:val="right" w:leader="dot" w:pos="8306"/>
            </w:tabs>
          </w:pPr>
          <w:r>
            <w:rPr>
              <w:highlight w:val="none"/>
            </w:rPr>
            <w:fldChar w:fldCharType="begin"/>
          </w:r>
          <w:r>
            <w:rPr>
              <w:highlight w:val="none"/>
            </w:rPr>
            <w:instrText xml:space="preserve"> HYPERLINK \l _Toc17144 </w:instrText>
          </w:r>
          <w:r>
            <w:rPr>
              <w:highlight w:val="none"/>
            </w:rPr>
            <w:fldChar w:fldCharType="separate"/>
          </w:r>
          <w:r>
            <w:rPr>
              <w:rFonts w:hint="eastAsia" w:ascii="黑体" w:hAnsi="黑体" w:eastAsia="黑体" w:cs="黑体"/>
              <w:bCs/>
              <w:szCs w:val="28"/>
              <w:highlight w:val="none"/>
              <w:lang w:eastAsia="zh-CN"/>
            </w:rPr>
            <w:t>（二）承接性原则</w:t>
          </w:r>
          <w:r>
            <w:tab/>
          </w:r>
          <w:r>
            <w:fldChar w:fldCharType="begin"/>
          </w:r>
          <w:r>
            <w:instrText xml:space="preserve"> PAGEREF _Toc17144 \h </w:instrText>
          </w:r>
          <w:r>
            <w:fldChar w:fldCharType="separate"/>
          </w:r>
          <w:r>
            <w:t>8</w:t>
          </w:r>
          <w:r>
            <w:fldChar w:fldCharType="end"/>
          </w:r>
          <w:r>
            <w:rPr>
              <w:highlight w:val="none"/>
            </w:rPr>
            <w:fldChar w:fldCharType="end"/>
          </w:r>
        </w:p>
        <w:p>
          <w:pPr>
            <w:pStyle w:val="8"/>
            <w:tabs>
              <w:tab w:val="right" w:leader="dot" w:pos="8306"/>
            </w:tabs>
          </w:pPr>
          <w:r>
            <w:rPr>
              <w:highlight w:val="none"/>
            </w:rPr>
            <w:fldChar w:fldCharType="begin"/>
          </w:r>
          <w:r>
            <w:rPr>
              <w:highlight w:val="none"/>
            </w:rPr>
            <w:instrText xml:space="preserve"> HYPERLINK \l _Toc25830 </w:instrText>
          </w:r>
          <w:r>
            <w:rPr>
              <w:highlight w:val="none"/>
            </w:rPr>
            <w:fldChar w:fldCharType="separate"/>
          </w:r>
          <w:r>
            <w:rPr>
              <w:rFonts w:hint="eastAsia" w:ascii="黑体" w:hAnsi="黑体" w:eastAsia="黑体" w:cs="黑体"/>
              <w:bCs/>
              <w:szCs w:val="28"/>
              <w:highlight w:val="none"/>
              <w:lang w:eastAsia="zh-CN"/>
            </w:rPr>
            <w:t>（三）可操作性原则</w:t>
          </w:r>
          <w:r>
            <w:tab/>
          </w:r>
          <w:r>
            <w:fldChar w:fldCharType="begin"/>
          </w:r>
          <w:r>
            <w:instrText xml:space="preserve"> PAGEREF _Toc25830 \h </w:instrText>
          </w:r>
          <w:r>
            <w:fldChar w:fldCharType="separate"/>
          </w:r>
          <w:r>
            <w:t>8</w:t>
          </w:r>
          <w:r>
            <w:fldChar w:fldCharType="end"/>
          </w:r>
          <w:r>
            <w:rPr>
              <w:highlight w:val="none"/>
            </w:rPr>
            <w:fldChar w:fldCharType="end"/>
          </w:r>
        </w:p>
        <w:p>
          <w:pPr>
            <w:pStyle w:val="7"/>
            <w:tabs>
              <w:tab w:val="right" w:leader="dot" w:pos="8306"/>
            </w:tabs>
          </w:pPr>
          <w:r>
            <w:rPr>
              <w:highlight w:val="none"/>
            </w:rPr>
            <w:fldChar w:fldCharType="begin"/>
          </w:r>
          <w:r>
            <w:rPr>
              <w:highlight w:val="none"/>
            </w:rPr>
            <w:instrText xml:space="preserve"> HYPERLINK \l _Toc31228 </w:instrText>
          </w:r>
          <w:r>
            <w:rPr>
              <w:highlight w:val="none"/>
            </w:rPr>
            <w:fldChar w:fldCharType="separate"/>
          </w:r>
          <w:r>
            <w:rPr>
              <w:rFonts w:hint="eastAsia" w:ascii="黑体" w:hAnsi="黑体" w:eastAsia="黑体"/>
              <w:szCs w:val="28"/>
              <w:highlight w:val="none"/>
              <w:lang w:eastAsia="zh-CN"/>
            </w:rPr>
            <w:t>五</w:t>
          </w:r>
          <w:r>
            <w:rPr>
              <w:rFonts w:hint="eastAsia" w:ascii="黑体" w:hAnsi="黑体" w:eastAsia="黑体"/>
              <w:szCs w:val="28"/>
              <w:highlight w:val="none"/>
            </w:rPr>
            <w:t>、</w:t>
          </w:r>
          <w:r>
            <w:rPr>
              <w:rFonts w:hint="eastAsia" w:ascii="黑体" w:hAnsi="黑体" w:eastAsia="黑体"/>
              <w:szCs w:val="28"/>
              <w:highlight w:val="none"/>
              <w:lang w:eastAsia="zh-CN"/>
            </w:rPr>
            <w:t>与现行</w:t>
          </w:r>
          <w:r>
            <w:rPr>
              <w:rFonts w:hint="eastAsia" w:ascii="黑体" w:hAnsi="黑体" w:eastAsia="黑体"/>
              <w:szCs w:val="28"/>
              <w:highlight w:val="none"/>
            </w:rPr>
            <w:t>法律</w:t>
          </w:r>
          <w:r>
            <w:rPr>
              <w:rFonts w:hint="eastAsia" w:ascii="黑体" w:hAnsi="黑体" w:eastAsia="黑体"/>
              <w:szCs w:val="28"/>
              <w:highlight w:val="none"/>
              <w:lang w:eastAsia="zh-CN"/>
            </w:rPr>
            <w:t>、</w:t>
          </w:r>
          <w:r>
            <w:rPr>
              <w:rFonts w:hint="eastAsia" w:ascii="黑体" w:hAnsi="黑体" w:eastAsia="黑体"/>
              <w:szCs w:val="28"/>
              <w:highlight w:val="none"/>
            </w:rPr>
            <w:t>法规</w:t>
          </w:r>
          <w:r>
            <w:rPr>
              <w:rFonts w:hint="eastAsia" w:ascii="黑体" w:hAnsi="黑体" w:eastAsia="黑体"/>
              <w:szCs w:val="28"/>
              <w:highlight w:val="none"/>
              <w:lang w:eastAsia="zh-CN"/>
            </w:rPr>
            <w:t>的关系</w:t>
          </w:r>
          <w:r>
            <w:rPr>
              <w:rFonts w:hint="eastAsia" w:ascii="黑体" w:hAnsi="黑体" w:eastAsia="黑体"/>
              <w:szCs w:val="28"/>
              <w:highlight w:val="none"/>
            </w:rPr>
            <w:t>和</w:t>
          </w:r>
          <w:r>
            <w:rPr>
              <w:rFonts w:hint="eastAsia" w:ascii="黑体" w:hAnsi="黑体" w:eastAsia="黑体"/>
              <w:szCs w:val="28"/>
              <w:highlight w:val="none"/>
              <w:lang w:eastAsia="zh-CN"/>
            </w:rPr>
            <w:t>相关</w:t>
          </w:r>
          <w:r>
            <w:rPr>
              <w:rFonts w:hint="eastAsia" w:ascii="黑体" w:hAnsi="黑体" w:eastAsia="黑体"/>
              <w:szCs w:val="28"/>
              <w:highlight w:val="none"/>
            </w:rPr>
            <w:t>标准</w:t>
          </w:r>
          <w:r>
            <w:rPr>
              <w:rFonts w:hint="eastAsia" w:ascii="黑体" w:hAnsi="黑体" w:eastAsia="黑体"/>
              <w:szCs w:val="28"/>
              <w:highlight w:val="none"/>
              <w:lang w:eastAsia="zh-CN"/>
            </w:rPr>
            <w:t>的协调情况</w:t>
          </w:r>
          <w:r>
            <w:tab/>
          </w:r>
          <w:r>
            <w:fldChar w:fldCharType="begin"/>
          </w:r>
          <w:r>
            <w:instrText xml:space="preserve"> PAGEREF _Toc31228 \h </w:instrText>
          </w:r>
          <w:r>
            <w:fldChar w:fldCharType="separate"/>
          </w:r>
          <w:r>
            <w:t>9</w:t>
          </w:r>
          <w:r>
            <w:fldChar w:fldCharType="end"/>
          </w:r>
          <w:r>
            <w:rPr>
              <w:highlight w:val="none"/>
            </w:rPr>
            <w:fldChar w:fldCharType="end"/>
          </w:r>
        </w:p>
        <w:p>
          <w:pPr>
            <w:pStyle w:val="7"/>
            <w:tabs>
              <w:tab w:val="right" w:leader="dot" w:pos="8306"/>
            </w:tabs>
          </w:pPr>
          <w:r>
            <w:rPr>
              <w:highlight w:val="none"/>
            </w:rPr>
            <w:fldChar w:fldCharType="begin"/>
          </w:r>
          <w:r>
            <w:rPr>
              <w:highlight w:val="none"/>
            </w:rPr>
            <w:instrText xml:space="preserve"> HYPERLINK \l _Toc10252 </w:instrText>
          </w:r>
          <w:r>
            <w:rPr>
              <w:highlight w:val="none"/>
            </w:rPr>
            <w:fldChar w:fldCharType="separate"/>
          </w:r>
          <w:r>
            <w:rPr>
              <w:rFonts w:hint="eastAsia" w:ascii="黑体" w:hAnsi="黑体" w:eastAsia="黑体" w:cs="宋体"/>
              <w:kern w:val="0"/>
              <w:szCs w:val="28"/>
              <w:highlight w:val="none"/>
              <w:lang w:eastAsia="zh-CN"/>
            </w:rPr>
            <w:t>六、</w:t>
          </w:r>
          <w:r>
            <w:rPr>
              <w:rFonts w:hint="eastAsia" w:ascii="黑体" w:hAnsi="黑体" w:eastAsia="黑体" w:cs="宋体"/>
              <w:kern w:val="0"/>
              <w:szCs w:val="28"/>
              <w:highlight w:val="none"/>
            </w:rPr>
            <w:t>标准主要内容</w:t>
          </w:r>
          <w:r>
            <w:rPr>
              <w:rFonts w:hint="eastAsia" w:ascii="黑体" w:hAnsi="黑体" w:eastAsia="黑体" w:cs="宋体"/>
              <w:kern w:val="0"/>
              <w:szCs w:val="28"/>
              <w:highlight w:val="none"/>
              <w:lang w:eastAsia="zh-CN"/>
            </w:rPr>
            <w:t>及条款说明</w:t>
          </w:r>
          <w:r>
            <w:tab/>
          </w:r>
          <w:r>
            <w:fldChar w:fldCharType="begin"/>
          </w:r>
          <w:r>
            <w:instrText xml:space="preserve"> PAGEREF _Toc10252 \h </w:instrText>
          </w:r>
          <w:r>
            <w:fldChar w:fldCharType="separate"/>
          </w:r>
          <w:r>
            <w:t>9</w:t>
          </w:r>
          <w:r>
            <w:fldChar w:fldCharType="end"/>
          </w:r>
          <w:r>
            <w:rPr>
              <w:highlight w:val="none"/>
            </w:rPr>
            <w:fldChar w:fldCharType="end"/>
          </w:r>
        </w:p>
        <w:p>
          <w:pPr>
            <w:pStyle w:val="8"/>
            <w:tabs>
              <w:tab w:val="right" w:leader="dot" w:pos="8306"/>
            </w:tabs>
          </w:pPr>
          <w:r>
            <w:rPr>
              <w:highlight w:val="none"/>
            </w:rPr>
            <w:fldChar w:fldCharType="begin"/>
          </w:r>
          <w:r>
            <w:rPr>
              <w:highlight w:val="none"/>
            </w:rPr>
            <w:instrText xml:space="preserve"> HYPERLINK \l _Toc31762 </w:instrText>
          </w:r>
          <w:r>
            <w:rPr>
              <w:highlight w:val="none"/>
            </w:rPr>
            <w:fldChar w:fldCharType="separate"/>
          </w:r>
          <w:r>
            <w:rPr>
              <w:rFonts w:hint="eastAsia" w:ascii="黑体" w:hAnsi="黑体" w:eastAsia="黑体" w:cs="黑体"/>
              <w:bCs/>
              <w:szCs w:val="28"/>
              <w:highlight w:val="none"/>
              <w:lang w:val="en-US" w:eastAsia="zh-CN"/>
            </w:rPr>
            <w:t>（一）主要内容</w:t>
          </w:r>
          <w:r>
            <w:tab/>
          </w:r>
          <w:r>
            <w:fldChar w:fldCharType="begin"/>
          </w:r>
          <w:r>
            <w:instrText xml:space="preserve"> PAGEREF _Toc31762 \h </w:instrText>
          </w:r>
          <w:r>
            <w:fldChar w:fldCharType="separate"/>
          </w:r>
          <w:r>
            <w:t>9</w:t>
          </w:r>
          <w:r>
            <w:fldChar w:fldCharType="end"/>
          </w:r>
          <w:r>
            <w:rPr>
              <w:highlight w:val="none"/>
            </w:rPr>
            <w:fldChar w:fldCharType="end"/>
          </w:r>
        </w:p>
        <w:p>
          <w:pPr>
            <w:pStyle w:val="8"/>
            <w:tabs>
              <w:tab w:val="right" w:leader="dot" w:pos="8306"/>
            </w:tabs>
          </w:pPr>
          <w:r>
            <w:rPr>
              <w:highlight w:val="none"/>
            </w:rPr>
            <w:fldChar w:fldCharType="begin"/>
          </w:r>
          <w:r>
            <w:rPr>
              <w:highlight w:val="none"/>
            </w:rPr>
            <w:instrText xml:space="preserve"> HYPERLINK \l _Toc13009 </w:instrText>
          </w:r>
          <w:r>
            <w:rPr>
              <w:highlight w:val="none"/>
            </w:rPr>
            <w:fldChar w:fldCharType="separate"/>
          </w:r>
          <w:r>
            <w:rPr>
              <w:rFonts w:hint="eastAsia" w:ascii="黑体" w:hAnsi="黑体" w:eastAsia="黑体" w:cs="黑体"/>
              <w:bCs/>
              <w:szCs w:val="28"/>
              <w:highlight w:val="none"/>
              <w:lang w:val="en-US" w:eastAsia="zh-CN"/>
            </w:rPr>
            <w:t>（二）条款说明</w:t>
          </w:r>
          <w:r>
            <w:tab/>
          </w:r>
          <w:r>
            <w:fldChar w:fldCharType="begin"/>
          </w:r>
          <w:r>
            <w:instrText xml:space="preserve"> PAGEREF _Toc13009 \h </w:instrText>
          </w:r>
          <w:r>
            <w:fldChar w:fldCharType="separate"/>
          </w:r>
          <w:r>
            <w:t>11</w:t>
          </w:r>
          <w:r>
            <w:fldChar w:fldCharType="end"/>
          </w:r>
          <w:r>
            <w:rPr>
              <w:highlight w:val="none"/>
            </w:rPr>
            <w:fldChar w:fldCharType="end"/>
          </w:r>
        </w:p>
        <w:p>
          <w:pPr>
            <w:pStyle w:val="8"/>
            <w:tabs>
              <w:tab w:val="right" w:leader="dot" w:pos="8306"/>
            </w:tabs>
          </w:pPr>
          <w:r>
            <w:rPr>
              <w:highlight w:val="none"/>
            </w:rPr>
            <w:fldChar w:fldCharType="begin"/>
          </w:r>
          <w:r>
            <w:rPr>
              <w:highlight w:val="none"/>
            </w:rPr>
            <w:instrText xml:space="preserve"> HYPERLINK \l _Toc19917 </w:instrText>
          </w:r>
          <w:r>
            <w:rPr>
              <w:highlight w:val="none"/>
            </w:rPr>
            <w:fldChar w:fldCharType="separate"/>
          </w:r>
          <w:r>
            <w:rPr>
              <w:rFonts w:hint="eastAsia" w:ascii="黑体" w:hAnsi="黑体" w:eastAsia="黑体" w:cs="黑体"/>
              <w:bCs/>
              <w:szCs w:val="28"/>
              <w:highlight w:val="none"/>
              <w:lang w:val="en-US" w:eastAsia="zh-CN"/>
            </w:rPr>
            <w:t>（三）</w:t>
          </w:r>
          <w:r>
            <w:rPr>
              <w:rFonts w:hint="default" w:ascii="黑体" w:hAnsi="黑体" w:eastAsia="黑体" w:cs="黑体"/>
              <w:bCs/>
              <w:szCs w:val="28"/>
              <w:highlight w:val="none"/>
              <w:lang w:val="en-US" w:eastAsia="zh-CN"/>
            </w:rPr>
            <w:t>主要技术指标、参数、试验验证的论述</w:t>
          </w:r>
          <w:r>
            <w:tab/>
          </w:r>
          <w:r>
            <w:fldChar w:fldCharType="begin"/>
          </w:r>
          <w:r>
            <w:instrText xml:space="preserve"> PAGEREF _Toc19917 \h </w:instrText>
          </w:r>
          <w:r>
            <w:fldChar w:fldCharType="separate"/>
          </w:r>
          <w:r>
            <w:t>12</w:t>
          </w:r>
          <w:r>
            <w:fldChar w:fldCharType="end"/>
          </w:r>
          <w:r>
            <w:rPr>
              <w:highlight w:val="none"/>
            </w:rPr>
            <w:fldChar w:fldCharType="end"/>
          </w:r>
        </w:p>
        <w:p>
          <w:pPr>
            <w:pStyle w:val="7"/>
            <w:tabs>
              <w:tab w:val="right" w:leader="dot" w:pos="8306"/>
            </w:tabs>
          </w:pPr>
          <w:r>
            <w:rPr>
              <w:highlight w:val="none"/>
            </w:rPr>
            <w:fldChar w:fldCharType="begin"/>
          </w:r>
          <w:r>
            <w:rPr>
              <w:highlight w:val="none"/>
            </w:rPr>
            <w:instrText xml:space="preserve"> HYPERLINK \l _Toc30749 </w:instrText>
          </w:r>
          <w:r>
            <w:rPr>
              <w:highlight w:val="none"/>
            </w:rPr>
            <w:fldChar w:fldCharType="separate"/>
          </w:r>
          <w:r>
            <w:rPr>
              <w:rFonts w:hint="eastAsia" w:ascii="黑体" w:hAnsi="黑体" w:eastAsia="黑体"/>
              <w:szCs w:val="28"/>
              <w:highlight w:val="none"/>
              <w:lang w:eastAsia="zh-CN"/>
            </w:rPr>
            <w:t>七</w:t>
          </w:r>
          <w:r>
            <w:rPr>
              <w:rFonts w:hint="eastAsia" w:ascii="黑体" w:hAnsi="黑体" w:eastAsia="黑体"/>
              <w:szCs w:val="28"/>
              <w:highlight w:val="none"/>
            </w:rPr>
            <w:t>、重大分歧意见的处理经过和依据</w:t>
          </w:r>
          <w:r>
            <w:tab/>
          </w:r>
          <w:r>
            <w:fldChar w:fldCharType="begin"/>
          </w:r>
          <w:r>
            <w:instrText xml:space="preserve"> PAGEREF _Toc30749 \h </w:instrText>
          </w:r>
          <w:r>
            <w:fldChar w:fldCharType="separate"/>
          </w:r>
          <w:r>
            <w:t>14</w:t>
          </w:r>
          <w:r>
            <w:fldChar w:fldCharType="end"/>
          </w:r>
          <w:r>
            <w:rPr>
              <w:highlight w:val="none"/>
            </w:rPr>
            <w:fldChar w:fldCharType="end"/>
          </w:r>
        </w:p>
        <w:p>
          <w:pPr>
            <w:pStyle w:val="7"/>
            <w:tabs>
              <w:tab w:val="right" w:leader="dot" w:pos="8306"/>
            </w:tabs>
          </w:pPr>
          <w:r>
            <w:rPr>
              <w:highlight w:val="none"/>
            </w:rPr>
            <w:fldChar w:fldCharType="begin"/>
          </w:r>
          <w:r>
            <w:rPr>
              <w:highlight w:val="none"/>
            </w:rPr>
            <w:instrText xml:space="preserve"> HYPERLINK \l _Toc7316 </w:instrText>
          </w:r>
          <w:r>
            <w:rPr>
              <w:highlight w:val="none"/>
            </w:rPr>
            <w:fldChar w:fldCharType="separate"/>
          </w:r>
          <w:r>
            <w:rPr>
              <w:rFonts w:hint="eastAsia" w:ascii="黑体" w:hAnsi="黑体" w:eastAsia="黑体"/>
              <w:szCs w:val="28"/>
              <w:highlight w:val="none"/>
              <w:lang w:eastAsia="zh-CN"/>
            </w:rPr>
            <w:t>八</w:t>
          </w:r>
          <w:r>
            <w:rPr>
              <w:rFonts w:hint="eastAsia" w:ascii="黑体" w:hAnsi="黑体" w:eastAsia="黑体"/>
              <w:szCs w:val="28"/>
              <w:highlight w:val="none"/>
            </w:rPr>
            <w:t>、本标准的实施</w:t>
          </w:r>
          <w:r>
            <w:rPr>
              <w:rFonts w:hint="eastAsia" w:ascii="黑体" w:hAnsi="黑体" w:eastAsia="黑体"/>
              <w:szCs w:val="28"/>
              <w:highlight w:val="none"/>
              <w:lang w:eastAsia="zh-CN"/>
            </w:rPr>
            <w:t>措施</w:t>
          </w:r>
          <w:r>
            <w:tab/>
          </w:r>
          <w:r>
            <w:fldChar w:fldCharType="begin"/>
          </w:r>
          <w:r>
            <w:instrText xml:space="preserve"> PAGEREF _Toc7316 \h </w:instrText>
          </w:r>
          <w:r>
            <w:fldChar w:fldCharType="separate"/>
          </w:r>
          <w:r>
            <w:t>14</w:t>
          </w:r>
          <w:r>
            <w:fldChar w:fldCharType="end"/>
          </w:r>
          <w:r>
            <w:rPr>
              <w:highlight w:val="none"/>
            </w:rPr>
            <w:fldChar w:fldCharType="end"/>
          </w:r>
        </w:p>
        <w:p>
          <w:pPr>
            <w:pStyle w:val="7"/>
            <w:tabs>
              <w:tab w:val="right" w:leader="dot" w:pos="8306"/>
            </w:tabs>
          </w:pPr>
          <w:r>
            <w:rPr>
              <w:highlight w:val="none"/>
            </w:rPr>
            <w:fldChar w:fldCharType="begin"/>
          </w:r>
          <w:r>
            <w:rPr>
              <w:highlight w:val="none"/>
            </w:rPr>
            <w:instrText xml:space="preserve"> HYPERLINK \l _Toc17775 </w:instrText>
          </w:r>
          <w:r>
            <w:rPr>
              <w:highlight w:val="none"/>
            </w:rPr>
            <w:fldChar w:fldCharType="separate"/>
          </w:r>
          <w:r>
            <w:rPr>
              <w:rFonts w:hint="eastAsia" w:ascii="黑体" w:hAnsi="黑体" w:eastAsia="黑体"/>
              <w:szCs w:val="28"/>
              <w:highlight w:val="none"/>
              <w:lang w:eastAsia="zh-CN"/>
            </w:rPr>
            <w:t>九、其他应当说明的事项</w:t>
          </w:r>
          <w:r>
            <w:tab/>
          </w:r>
          <w:r>
            <w:fldChar w:fldCharType="begin"/>
          </w:r>
          <w:r>
            <w:instrText xml:space="preserve"> PAGEREF _Toc17775 \h </w:instrText>
          </w:r>
          <w:r>
            <w:fldChar w:fldCharType="separate"/>
          </w:r>
          <w:r>
            <w:t>14</w:t>
          </w:r>
          <w:r>
            <w:fldChar w:fldCharType="end"/>
          </w:r>
          <w:r>
            <w:rPr>
              <w:highlight w:val="none"/>
            </w:rPr>
            <w:fldChar w:fldCharType="end"/>
          </w:r>
        </w:p>
        <w:p>
          <w:pPr>
            <w:pStyle w:val="3"/>
            <w:keepNext w:val="0"/>
            <w:keepLines w:val="0"/>
            <w:pageBreakBefore w:val="0"/>
            <w:widowControl w:val="0"/>
            <w:kinsoku/>
            <w:wordWrap/>
            <w:overflowPunct/>
            <w:topLinePunct w:val="0"/>
            <w:autoSpaceDE/>
            <w:autoSpaceDN/>
            <w:bidi w:val="0"/>
            <w:adjustRightInd/>
            <w:snapToGrid/>
            <w:spacing w:line="240" w:lineRule="auto"/>
            <w:textAlignment w:val="auto"/>
            <w:outlineLvl w:val="9"/>
            <w:rPr>
              <w:highlight w:val="none"/>
            </w:rPr>
            <w:sectPr>
              <w:pgSz w:w="11906" w:h="16838"/>
              <w:pgMar w:top="1440" w:right="1800" w:bottom="1440" w:left="1800" w:header="851" w:footer="992" w:gutter="0"/>
              <w:cols w:space="425" w:num="1"/>
              <w:docGrid w:type="lines" w:linePitch="312" w:charSpace="0"/>
            </w:sectPr>
          </w:pPr>
          <w:r>
            <w:rPr>
              <w:highlight w:val="none"/>
            </w:rPr>
            <w:fldChar w:fldCharType="end"/>
          </w:r>
        </w:p>
      </w:sdtContent>
    </w:sdt>
    <w:p>
      <w:pPr>
        <w:keepNext w:val="0"/>
        <w:keepLines w:val="0"/>
        <w:pageBreakBefore w:val="0"/>
        <w:widowControl w:val="0"/>
        <w:kinsoku/>
        <w:wordWrap/>
        <w:overflowPunct/>
        <w:topLinePunct w:val="0"/>
        <w:autoSpaceDE/>
        <w:autoSpaceDN/>
        <w:bidi w:val="0"/>
        <w:adjustRightInd/>
        <w:snapToGrid/>
        <w:spacing w:before="313" w:beforeLines="100" w:line="560" w:lineRule="exact"/>
        <w:jc w:val="left"/>
        <w:textAlignment w:val="auto"/>
        <w:outlineLvl w:val="0"/>
        <w:rPr>
          <w:rFonts w:hint="eastAsia" w:ascii="黑体" w:hAnsi="黑体" w:eastAsia="黑体"/>
          <w:color w:val="auto"/>
          <w:sz w:val="28"/>
          <w:szCs w:val="28"/>
          <w:highlight w:val="none"/>
          <w:lang w:eastAsia="zh-CN"/>
        </w:rPr>
      </w:pPr>
      <w:bookmarkStart w:id="0" w:name="_Toc15442"/>
      <w:r>
        <w:rPr>
          <w:rFonts w:hint="eastAsia" w:ascii="黑体" w:hAnsi="黑体" w:eastAsia="黑体"/>
          <w:color w:val="auto"/>
          <w:sz w:val="28"/>
          <w:szCs w:val="28"/>
          <w:highlight w:val="none"/>
        </w:rPr>
        <w:t>一、任务来源</w:t>
      </w:r>
      <w:r>
        <w:rPr>
          <w:rFonts w:hint="eastAsia" w:ascii="黑体" w:hAnsi="黑体" w:eastAsia="黑体"/>
          <w:color w:val="auto"/>
          <w:sz w:val="28"/>
          <w:szCs w:val="28"/>
          <w:highlight w:val="none"/>
          <w:lang w:eastAsia="zh-CN"/>
        </w:rPr>
        <w:t>、</w:t>
      </w:r>
      <w:r>
        <w:rPr>
          <w:rFonts w:hint="eastAsia" w:ascii="黑体" w:hAnsi="黑体" w:eastAsia="黑体"/>
          <w:color w:val="auto"/>
          <w:sz w:val="28"/>
          <w:szCs w:val="28"/>
          <w:highlight w:val="none"/>
        </w:rPr>
        <w:t>起草单位</w:t>
      </w:r>
      <w:r>
        <w:rPr>
          <w:rFonts w:hint="eastAsia" w:ascii="黑体" w:hAnsi="黑体" w:eastAsia="黑体"/>
          <w:color w:val="auto"/>
          <w:sz w:val="28"/>
          <w:szCs w:val="28"/>
          <w:highlight w:val="none"/>
          <w:lang w:eastAsia="zh-CN"/>
        </w:rPr>
        <w:t>和主要起草人</w:t>
      </w:r>
      <w:bookmarkEnd w:id="0"/>
    </w:p>
    <w:p>
      <w:pPr>
        <w:spacing w:line="560" w:lineRule="exact"/>
        <w:ind w:firstLine="560" w:firstLineChars="200"/>
        <w:jc w:val="left"/>
        <w:rPr>
          <w:rFonts w:hint="eastAsia" w:ascii="仿宋" w:hAnsi="仿宋" w:eastAsia="仿宋" w:cs="仿宋_GB2312"/>
          <w:color w:val="auto"/>
          <w:sz w:val="28"/>
          <w:szCs w:val="28"/>
          <w:highlight w:val="none"/>
        </w:rPr>
      </w:pPr>
      <w:r>
        <w:rPr>
          <w:rFonts w:hint="eastAsia" w:ascii="仿宋" w:hAnsi="仿宋" w:eastAsia="仿宋"/>
          <w:color w:val="auto"/>
          <w:sz w:val="28"/>
          <w:szCs w:val="28"/>
          <w:highlight w:val="none"/>
        </w:rPr>
        <w:t>根据《广西壮族自治区市场监督管理局关于下达2</w:t>
      </w:r>
      <w:r>
        <w:rPr>
          <w:rFonts w:ascii="仿宋" w:hAnsi="仿宋" w:eastAsia="仿宋"/>
          <w:color w:val="auto"/>
          <w:sz w:val="28"/>
          <w:szCs w:val="28"/>
          <w:highlight w:val="none"/>
        </w:rPr>
        <w:t>021</w:t>
      </w:r>
      <w:r>
        <w:rPr>
          <w:rFonts w:hint="eastAsia" w:ascii="仿宋" w:hAnsi="仿宋" w:eastAsia="仿宋"/>
          <w:color w:val="auto"/>
          <w:sz w:val="28"/>
          <w:szCs w:val="28"/>
          <w:highlight w:val="none"/>
        </w:rPr>
        <w:t>年第二批广西地方标准制修订项目计划的通知》</w:t>
      </w:r>
      <w:r>
        <w:rPr>
          <w:rFonts w:hint="eastAsia" w:ascii="仿宋" w:hAnsi="仿宋" w:eastAsia="仿宋" w:cs="仿宋_GB2312"/>
          <w:color w:val="auto"/>
          <w:sz w:val="28"/>
          <w:szCs w:val="28"/>
          <w:highlight w:val="none"/>
        </w:rPr>
        <w:t>（桂市监函〔20</w:t>
      </w:r>
      <w:r>
        <w:rPr>
          <w:rFonts w:ascii="仿宋" w:hAnsi="仿宋" w:eastAsia="仿宋" w:cs="仿宋_GB2312"/>
          <w:color w:val="auto"/>
          <w:sz w:val="28"/>
          <w:szCs w:val="28"/>
          <w:highlight w:val="none"/>
        </w:rPr>
        <w:t>21</w:t>
      </w:r>
      <w:r>
        <w:rPr>
          <w:rFonts w:hint="eastAsia" w:ascii="仿宋" w:hAnsi="仿宋" w:eastAsia="仿宋" w:cs="仿宋_GB2312"/>
          <w:color w:val="auto"/>
          <w:sz w:val="28"/>
          <w:szCs w:val="28"/>
          <w:highlight w:val="none"/>
        </w:rPr>
        <w:t>〕</w:t>
      </w:r>
      <w:r>
        <w:rPr>
          <w:rFonts w:ascii="仿宋" w:hAnsi="仿宋" w:eastAsia="仿宋" w:cs="仿宋_GB2312"/>
          <w:color w:val="auto"/>
          <w:sz w:val="28"/>
          <w:szCs w:val="28"/>
          <w:highlight w:val="none"/>
        </w:rPr>
        <w:t>2199</w:t>
      </w:r>
      <w:r>
        <w:rPr>
          <w:rFonts w:hint="eastAsia" w:ascii="仿宋" w:hAnsi="仿宋" w:eastAsia="仿宋" w:cs="仿宋_GB2312"/>
          <w:color w:val="auto"/>
          <w:sz w:val="28"/>
          <w:szCs w:val="28"/>
          <w:highlight w:val="none"/>
        </w:rPr>
        <w:t>号），由广西壮族自治区工业和信息化厅提出，广西电网有限责任公司电力科学研究院</w:t>
      </w:r>
      <w:bookmarkStart w:id="29" w:name="_GoBack"/>
      <w:bookmarkEnd w:id="29"/>
      <w:r>
        <w:rPr>
          <w:rFonts w:hint="eastAsia" w:ascii="仿宋" w:hAnsi="仿宋" w:eastAsia="仿宋" w:cs="仿宋_GB2312"/>
          <w:color w:val="auto"/>
          <w:sz w:val="28"/>
          <w:szCs w:val="28"/>
          <w:highlight w:val="none"/>
        </w:rPr>
        <w:t>等单位共同起草编制</w:t>
      </w:r>
      <w:r>
        <w:rPr>
          <w:rFonts w:hint="eastAsia" w:ascii="仿宋" w:hAnsi="仿宋" w:eastAsia="仿宋" w:cs="仿宋_GB2312"/>
          <w:color w:val="auto"/>
          <w:sz w:val="28"/>
          <w:szCs w:val="28"/>
          <w:highlight w:val="none"/>
          <w:lang w:eastAsia="zh-CN"/>
        </w:rPr>
        <w:t>了</w:t>
      </w:r>
      <w:r>
        <w:rPr>
          <w:rFonts w:hint="eastAsia" w:ascii="仿宋" w:hAnsi="仿宋" w:eastAsia="仿宋" w:cs="仿宋_GB2312"/>
          <w:color w:val="auto"/>
          <w:sz w:val="28"/>
          <w:szCs w:val="28"/>
          <w:highlight w:val="none"/>
        </w:rPr>
        <w:t>广西地方标准《微型智能电流传感器技术规范》。</w:t>
      </w:r>
    </w:p>
    <w:p>
      <w:pPr>
        <w:spacing w:line="560" w:lineRule="exact"/>
        <w:ind w:firstLine="560" w:firstLineChars="200"/>
        <w:rPr>
          <w:rFonts w:hint="eastAsia" w:ascii="仿宋" w:hAnsi="仿宋" w:eastAsia="仿宋" w:cs="仿宋_GB2312"/>
          <w:b/>
          <w:color w:val="auto"/>
          <w:sz w:val="28"/>
          <w:szCs w:val="28"/>
          <w:highlight w:val="none"/>
        </w:rPr>
      </w:pPr>
      <w:r>
        <w:rPr>
          <w:rFonts w:hint="eastAsia" w:ascii="仿宋" w:hAnsi="仿宋" w:eastAsia="仿宋" w:cs="仿宋_GB2312"/>
          <w:color w:val="auto"/>
          <w:sz w:val="28"/>
          <w:szCs w:val="28"/>
          <w:highlight w:val="none"/>
        </w:rPr>
        <w:t>项目下达后，根据项目任务要求，</w:t>
      </w:r>
      <w:r>
        <w:rPr>
          <w:rFonts w:hint="eastAsia" w:ascii="仿宋" w:hAnsi="仿宋" w:eastAsia="仿宋" w:cs="仿宋_GB2312"/>
          <w:color w:val="auto"/>
          <w:sz w:val="28"/>
          <w:szCs w:val="28"/>
          <w:highlight w:val="none"/>
          <w:lang w:eastAsia="zh-CN"/>
        </w:rPr>
        <w:t>主要起草单位</w:t>
      </w:r>
      <w:r>
        <w:rPr>
          <w:rFonts w:hint="eastAsia" w:ascii="仿宋" w:hAnsi="仿宋" w:eastAsia="仿宋" w:cs="仿宋_GB2312"/>
          <w:color w:val="auto"/>
          <w:sz w:val="28"/>
          <w:szCs w:val="28"/>
          <w:highlight w:val="none"/>
        </w:rPr>
        <w:t>组织技术骨干成立标准编制工作组，</w:t>
      </w:r>
      <w:r>
        <w:rPr>
          <w:rFonts w:hint="eastAsia" w:ascii="仿宋" w:hAnsi="仿宋" w:eastAsia="仿宋" w:cs="仿宋_GB2312"/>
          <w:color w:val="auto"/>
          <w:sz w:val="28"/>
          <w:szCs w:val="28"/>
          <w:highlight w:val="none"/>
          <w:lang w:eastAsia="zh-CN"/>
        </w:rPr>
        <w:t>工作组</w:t>
      </w:r>
      <w:r>
        <w:rPr>
          <w:rFonts w:hint="eastAsia" w:ascii="仿宋" w:hAnsi="仿宋" w:eastAsia="仿宋" w:cs="仿宋_GB2312"/>
          <w:color w:val="auto"/>
          <w:sz w:val="28"/>
          <w:szCs w:val="28"/>
          <w:highlight w:val="none"/>
        </w:rPr>
        <w:t>成员深度参与了微型智能电流传感器的研发工作，</w:t>
      </w:r>
      <w:r>
        <w:rPr>
          <w:rFonts w:hint="eastAsia" w:ascii="仿宋" w:hAnsi="仿宋" w:eastAsia="仿宋" w:cs="仿宋_GB2312"/>
          <w:color w:val="auto"/>
          <w:sz w:val="28"/>
          <w:szCs w:val="28"/>
          <w:highlight w:val="none"/>
          <w:lang w:eastAsia="zh-CN"/>
        </w:rPr>
        <w:t>熟悉掌握</w:t>
      </w:r>
      <w:r>
        <w:rPr>
          <w:rFonts w:hint="eastAsia" w:ascii="仿宋" w:hAnsi="仿宋" w:eastAsia="仿宋" w:cs="仿宋_GB2312"/>
          <w:color w:val="auto"/>
          <w:sz w:val="28"/>
          <w:szCs w:val="28"/>
          <w:highlight w:val="none"/>
        </w:rPr>
        <w:t>其技术原理、装置功能</w:t>
      </w:r>
      <w:r>
        <w:rPr>
          <w:rFonts w:hint="eastAsia" w:ascii="仿宋" w:hAnsi="仿宋" w:eastAsia="仿宋" w:cs="仿宋_GB2312"/>
          <w:color w:val="auto"/>
          <w:sz w:val="28"/>
          <w:szCs w:val="28"/>
          <w:highlight w:val="none"/>
          <w:lang w:eastAsia="zh-CN"/>
        </w:rPr>
        <w:t>和</w:t>
      </w:r>
      <w:r>
        <w:rPr>
          <w:rFonts w:hint="eastAsia" w:ascii="仿宋" w:hAnsi="仿宋" w:eastAsia="仿宋" w:cs="仿宋_GB2312"/>
          <w:color w:val="auto"/>
          <w:sz w:val="28"/>
          <w:szCs w:val="28"/>
          <w:highlight w:val="none"/>
        </w:rPr>
        <w:t>性能</w:t>
      </w:r>
      <w:r>
        <w:rPr>
          <w:rFonts w:hint="eastAsia" w:ascii="仿宋" w:hAnsi="仿宋" w:eastAsia="仿宋" w:cs="仿宋_GB2312"/>
          <w:color w:val="auto"/>
          <w:sz w:val="28"/>
          <w:szCs w:val="28"/>
          <w:highlight w:val="none"/>
          <w:lang w:eastAsia="zh-CN"/>
        </w:rPr>
        <w:t>，具备丰富的现场应用</w:t>
      </w:r>
      <w:r>
        <w:rPr>
          <w:rFonts w:hint="eastAsia" w:ascii="仿宋" w:hAnsi="仿宋" w:eastAsia="仿宋" w:cs="仿宋_GB2312"/>
          <w:color w:val="auto"/>
          <w:sz w:val="28"/>
          <w:szCs w:val="28"/>
          <w:highlight w:val="none"/>
        </w:rPr>
        <w:t>实践经验，熟悉标准编制相关规定。工作组明确了内部分工及责任落实，</w:t>
      </w:r>
      <w:r>
        <w:rPr>
          <w:rFonts w:hint="eastAsia" w:ascii="仿宋" w:hAnsi="仿宋" w:eastAsia="仿宋"/>
          <w:color w:val="auto"/>
          <w:sz w:val="28"/>
          <w:szCs w:val="28"/>
          <w:highlight w:val="none"/>
        </w:rPr>
        <w:t>标准主要起草人及其分工任务见表1。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ascii="仿宋" w:hAnsi="仿宋" w:eastAsia="仿宋"/>
          <w:b/>
          <w:color w:val="auto"/>
          <w:sz w:val="24"/>
          <w:szCs w:val="24"/>
          <w:highlight w:val="none"/>
        </w:rPr>
      </w:pPr>
      <w:r>
        <w:rPr>
          <w:rFonts w:hint="eastAsia" w:ascii="仿宋" w:hAnsi="仿宋" w:eastAsia="仿宋" w:cs="仿宋_GB2312"/>
          <w:b/>
          <w:color w:val="auto"/>
          <w:sz w:val="24"/>
          <w:szCs w:val="24"/>
          <w:highlight w:val="none"/>
        </w:rPr>
        <w:t>表1  标准</w:t>
      </w:r>
      <w:r>
        <w:rPr>
          <w:rFonts w:hint="eastAsia" w:ascii="仿宋" w:hAnsi="仿宋" w:eastAsia="仿宋"/>
          <w:b/>
          <w:color w:val="auto"/>
          <w:sz w:val="24"/>
          <w:szCs w:val="24"/>
          <w:highlight w:val="none"/>
        </w:rPr>
        <w:t>主要起草人及其分工任务</w:t>
      </w:r>
    </w:p>
    <w:tbl>
      <w:tblPr>
        <w:tblStyle w:val="10"/>
        <w:tblW w:w="89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2637"/>
        <w:gridCol w:w="1475"/>
        <w:gridCol w:w="1238"/>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blHeader/>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b/>
                <w:bCs/>
                <w:color w:val="auto"/>
                <w:sz w:val="24"/>
                <w:szCs w:val="24"/>
                <w:highlight w:val="none"/>
              </w:rPr>
            </w:pPr>
            <w:r>
              <w:rPr>
                <w:rFonts w:ascii="仿宋" w:hAnsi="仿宋" w:eastAsia="仿宋"/>
                <w:b/>
                <w:bCs/>
                <w:color w:val="auto"/>
                <w:sz w:val="24"/>
                <w:szCs w:val="24"/>
                <w:highlight w:val="none"/>
              </w:rPr>
              <w:t>姓  名</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b/>
                <w:bCs/>
                <w:color w:val="auto"/>
                <w:sz w:val="24"/>
                <w:szCs w:val="24"/>
                <w:highlight w:val="none"/>
                <w:lang w:eastAsia="zh-CN"/>
              </w:rPr>
            </w:pPr>
            <w:r>
              <w:rPr>
                <w:rFonts w:hint="eastAsia" w:ascii="仿宋" w:hAnsi="仿宋" w:eastAsia="仿宋"/>
                <w:b/>
                <w:bCs/>
                <w:color w:val="auto"/>
                <w:sz w:val="24"/>
                <w:szCs w:val="24"/>
                <w:highlight w:val="none"/>
                <w:lang w:eastAsia="zh-CN"/>
              </w:rPr>
              <w:t>工作单位</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b/>
                <w:bCs/>
                <w:color w:val="auto"/>
                <w:sz w:val="24"/>
                <w:szCs w:val="24"/>
                <w:highlight w:val="none"/>
              </w:rPr>
            </w:pPr>
            <w:r>
              <w:rPr>
                <w:rFonts w:ascii="仿宋" w:hAnsi="仿宋" w:eastAsia="仿宋"/>
                <w:b/>
                <w:bCs/>
                <w:color w:val="auto"/>
                <w:sz w:val="24"/>
                <w:szCs w:val="24"/>
                <w:highlight w:val="none"/>
              </w:rPr>
              <w:t>职称</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b/>
                <w:bCs/>
                <w:color w:val="auto"/>
                <w:sz w:val="24"/>
                <w:szCs w:val="24"/>
                <w:highlight w:val="none"/>
              </w:rPr>
            </w:pPr>
            <w:r>
              <w:rPr>
                <w:rFonts w:ascii="仿宋" w:hAnsi="仿宋" w:eastAsia="仿宋"/>
                <w:b/>
                <w:bCs/>
                <w:color w:val="auto"/>
                <w:sz w:val="24"/>
                <w:szCs w:val="24"/>
                <w:highlight w:val="none"/>
              </w:rPr>
              <w:t>专  业</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b/>
                <w:bCs/>
                <w:color w:val="auto"/>
                <w:sz w:val="24"/>
                <w:szCs w:val="24"/>
                <w:highlight w:val="none"/>
              </w:rPr>
            </w:pPr>
            <w:r>
              <w:rPr>
                <w:rFonts w:hint="eastAsia" w:ascii="仿宋" w:hAnsi="仿宋" w:eastAsia="仿宋"/>
                <w:b/>
                <w:bCs/>
                <w:color w:val="auto"/>
                <w:sz w:val="24"/>
                <w:szCs w:val="24"/>
                <w:highlight w:val="none"/>
              </w:rPr>
              <w:t>主要负责工作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周柯</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lang w:eastAsia="zh-CN"/>
              </w:rPr>
            </w:pPr>
            <w:r>
              <w:rPr>
                <w:rFonts w:hint="eastAsia" w:ascii="仿宋" w:hAnsi="仿宋" w:eastAsia="仿宋"/>
                <w:color w:val="auto"/>
                <w:sz w:val="24"/>
                <w:szCs w:val="24"/>
                <w:highlight w:val="none"/>
                <w:lang w:eastAsia="zh-CN"/>
              </w:rPr>
              <w:t>广西电网有限责任公司电力科学研究院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adjustRightInd w:val="0"/>
              <w:snapToGrid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olor w:val="auto"/>
                <w:sz w:val="24"/>
                <w:szCs w:val="24"/>
                <w:highlight w:val="none"/>
              </w:rPr>
              <w:t>教授级</w:t>
            </w:r>
          </w:p>
          <w:p>
            <w:pPr>
              <w:keepNext w:val="0"/>
              <w:keepLines w:val="0"/>
              <w:pageBreakBefore w:val="0"/>
              <w:widowControl w:val="0"/>
              <w:kinsoku/>
              <w:wordWrap/>
              <w:overflowPunct/>
              <w:topLinePunct w:val="0"/>
              <w:bidi w:val="0"/>
              <w:adjustRightInd w:val="0"/>
              <w:snapToGrid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主持本项标准编制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lang w:eastAsia="zh-CN"/>
              </w:rPr>
            </w:pPr>
            <w:r>
              <w:rPr>
                <w:rFonts w:hint="eastAsia" w:ascii="仿宋" w:hAnsi="仿宋" w:eastAsia="仿宋"/>
                <w:color w:val="auto"/>
                <w:sz w:val="24"/>
                <w:szCs w:val="24"/>
                <w:highlight w:val="none"/>
                <w:lang w:eastAsia="zh-CN"/>
              </w:rPr>
              <w:t>蒙恩</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广西电网有限责任公司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1</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3</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金庆忍</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广西电网有限责任公司电力科学研究院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主要编写6-7章内容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lang w:eastAsia="zh-CN"/>
              </w:rPr>
              <w:t>胡军</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lang w:eastAsia="zh-CN"/>
              </w:rPr>
            </w:pPr>
            <w:r>
              <w:rPr>
                <w:rFonts w:hint="eastAsia" w:ascii="仿宋" w:hAnsi="仿宋" w:eastAsia="仿宋"/>
                <w:color w:val="auto"/>
                <w:sz w:val="24"/>
                <w:szCs w:val="24"/>
                <w:highlight w:val="none"/>
                <w:lang w:eastAsia="zh-CN"/>
              </w:rPr>
              <w:t>清华大学</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lang w:eastAsia="zh-CN"/>
              </w:rPr>
            </w:pPr>
            <w:r>
              <w:rPr>
                <w:rFonts w:hint="eastAsia" w:ascii="仿宋" w:hAnsi="仿宋" w:eastAsia="仿宋"/>
                <w:color w:val="auto"/>
                <w:sz w:val="24"/>
                <w:szCs w:val="24"/>
                <w:highlight w:val="none"/>
                <w:lang w:eastAsia="zh-CN"/>
              </w:rPr>
              <w:t>教授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4</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5</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黄建华</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广西工业设计集团有限公司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1</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3</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王晓明</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广西电网有限责任公司电力科学研究院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8</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9</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田兵</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s="仿宋_GB2312"/>
                <w:color w:val="auto"/>
                <w:sz w:val="24"/>
                <w:szCs w:val="24"/>
                <w:highlight w:val="none"/>
              </w:rPr>
              <w:t>南方电网数字电网研究院有限公司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eastAsia="zh-CN"/>
              </w:rPr>
              <w:t>第</w:t>
            </w:r>
            <w:r>
              <w:rPr>
                <w:rFonts w:hint="eastAsia" w:ascii="仿宋" w:hAnsi="仿宋" w:eastAsia="仿宋" w:cs="宋体"/>
                <w:color w:val="auto"/>
                <w:kern w:val="0"/>
                <w:sz w:val="24"/>
                <w:szCs w:val="24"/>
                <w:highlight w:val="none"/>
                <w:lang w:val="en-US" w:eastAsia="zh-CN"/>
              </w:rPr>
              <w:t>10</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奉斌</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广西电网有限责任公司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4</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5</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巫聪云</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广西电网有限责任公司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主要编写1-3章内容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莫枝阅</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olor w:val="auto"/>
                <w:sz w:val="24"/>
                <w:szCs w:val="24"/>
                <w:highlight w:val="none"/>
                <w:lang w:eastAsia="zh-CN"/>
              </w:rPr>
              <w:t>广西电网有限责任公司电力科学研究院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b/>
                <w:bCs/>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6</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7</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孙宏棣</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s="仿宋_GB2312"/>
                <w:color w:val="auto"/>
                <w:sz w:val="24"/>
                <w:szCs w:val="24"/>
                <w:highlight w:val="none"/>
              </w:rPr>
              <w:t>南方电网数字电网研究院有限公司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eastAsia="zh-CN"/>
              </w:rPr>
              <w:t>第</w:t>
            </w:r>
            <w:r>
              <w:rPr>
                <w:rFonts w:hint="eastAsia" w:ascii="仿宋" w:hAnsi="仿宋" w:eastAsia="仿宋" w:cs="宋体"/>
                <w:color w:val="auto"/>
                <w:kern w:val="0"/>
                <w:sz w:val="24"/>
                <w:szCs w:val="24"/>
                <w:highlight w:val="none"/>
                <w:lang w:val="en-US" w:eastAsia="zh-CN"/>
              </w:rPr>
              <w:t>10</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吴艳萍</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olor w:val="auto"/>
                <w:sz w:val="24"/>
                <w:szCs w:val="24"/>
                <w:highlight w:val="none"/>
              </w:rPr>
              <w:t>广西工业设计集团有限公司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b/>
                <w:bCs/>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主要编写4-5章内容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吴丽芳</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olor w:val="auto"/>
                <w:sz w:val="24"/>
                <w:szCs w:val="24"/>
                <w:highlight w:val="none"/>
                <w:lang w:eastAsia="zh-CN"/>
              </w:rPr>
              <w:t>广西电网有限责任公司电力科学研究院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b/>
                <w:bCs/>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4</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5</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宋益</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olor w:val="auto"/>
                <w:sz w:val="24"/>
                <w:szCs w:val="24"/>
                <w:highlight w:val="none"/>
                <w:lang w:eastAsia="zh-CN"/>
              </w:rPr>
              <w:t>广西电网有限责任公司电力科学研究院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主要编写8-9章内容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黄新迪</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olor w:val="auto"/>
                <w:sz w:val="24"/>
                <w:szCs w:val="24"/>
                <w:highlight w:val="none"/>
              </w:rPr>
              <w:t>广西壮族自治区计量检测研究院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b/>
                <w:bCs/>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eastAsia="zh-CN"/>
              </w:rPr>
              <w:t>第</w:t>
            </w:r>
            <w:r>
              <w:rPr>
                <w:rFonts w:hint="eastAsia" w:ascii="仿宋" w:hAnsi="仿宋" w:eastAsia="仿宋" w:cs="宋体"/>
                <w:color w:val="auto"/>
                <w:kern w:val="0"/>
                <w:sz w:val="24"/>
                <w:szCs w:val="24"/>
                <w:highlight w:val="none"/>
                <w:lang w:val="en-US" w:eastAsia="zh-CN"/>
              </w:rPr>
              <w:t>10</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lang w:eastAsia="zh-CN"/>
              </w:rPr>
            </w:pPr>
            <w:r>
              <w:rPr>
                <w:rFonts w:hint="eastAsia" w:ascii="仿宋" w:hAnsi="仿宋" w:eastAsia="仿宋"/>
                <w:color w:val="auto"/>
                <w:sz w:val="24"/>
                <w:szCs w:val="24"/>
                <w:highlight w:val="none"/>
                <w:lang w:eastAsia="zh-CN"/>
              </w:rPr>
              <w:t>刘喆</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广西电网有限责任公司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1</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3</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秦丽文</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olor w:val="auto"/>
                <w:sz w:val="24"/>
                <w:szCs w:val="24"/>
                <w:highlight w:val="none"/>
                <w:lang w:eastAsia="zh-CN"/>
              </w:rPr>
              <w:t>广西电网有限责任公司电力科学研究院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主要编写8-9章内容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卢柏桦</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广西电网有限责任公司电力科学研究院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助理</w:t>
            </w:r>
            <w:r>
              <w:rPr>
                <w:rFonts w:hint="eastAsia" w:ascii="仿宋" w:hAnsi="仿宋" w:eastAsia="仿宋"/>
                <w:color w:val="auto"/>
                <w:sz w:val="24"/>
                <w:szCs w:val="24"/>
                <w:highlight w:val="none"/>
              </w:rPr>
              <w:t>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主要编写6-7章内容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覃思</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广西电网有限责任公司电力科学研究院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讲</w:t>
            </w:r>
            <w:r>
              <w:rPr>
                <w:rFonts w:hint="eastAsia" w:ascii="仿宋" w:hAnsi="仿宋" w:eastAsia="仿宋"/>
                <w:color w:val="auto"/>
                <w:sz w:val="24"/>
                <w:szCs w:val="24"/>
                <w:highlight w:val="none"/>
              </w:rPr>
              <w:t>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主要编写6-7章内容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王愚</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广西电网有限责任公司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主要编写8-9章内容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lang w:eastAsia="zh-CN"/>
              </w:rPr>
            </w:pPr>
            <w:r>
              <w:rPr>
                <w:rFonts w:hint="eastAsia" w:ascii="仿宋" w:hAnsi="仿宋" w:eastAsia="仿宋" w:cstheme="minorBidi"/>
                <w:color w:val="auto"/>
                <w:kern w:val="2"/>
                <w:sz w:val="24"/>
                <w:szCs w:val="24"/>
                <w:highlight w:val="none"/>
                <w:lang w:val="en-US" w:eastAsia="zh-CN" w:bidi="ar-SA"/>
              </w:rPr>
              <w:t>俞小勇</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广西电网有限责任公司电力科学研究院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高级工程师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b/>
                <w:bCs/>
                <w:color w:val="auto"/>
                <w:kern w:val="2"/>
                <w:sz w:val="24"/>
                <w:szCs w:val="24"/>
                <w:highlight w:val="none"/>
                <w:lang w:val="en-US" w:eastAsia="zh-CN" w:bidi="ar-SA"/>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lang w:val="en-US" w:eastAsia="zh-CN"/>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8</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9</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伍红文</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olor w:val="auto"/>
                <w:sz w:val="24"/>
                <w:szCs w:val="24"/>
                <w:highlight w:val="none"/>
                <w:lang w:eastAsia="zh-CN"/>
              </w:rPr>
              <w:t>广西电网有限责任公司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8</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9</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国家栋</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olor w:val="auto"/>
                <w:sz w:val="24"/>
                <w:szCs w:val="24"/>
                <w:highlight w:val="none"/>
              </w:rPr>
              <w:t>广西电网能源科技有限责任公司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eastAsia="zh-CN"/>
              </w:rPr>
              <w:t>第</w:t>
            </w:r>
            <w:r>
              <w:rPr>
                <w:rFonts w:hint="eastAsia" w:ascii="仿宋" w:hAnsi="仿宋" w:eastAsia="仿宋" w:cs="宋体"/>
                <w:color w:val="auto"/>
                <w:kern w:val="0"/>
                <w:sz w:val="24"/>
                <w:szCs w:val="24"/>
                <w:highlight w:val="none"/>
              </w:rPr>
              <w:t>10章内容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rPr>
              <w:t>李文伟</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olor w:val="auto"/>
                <w:sz w:val="24"/>
                <w:szCs w:val="24"/>
                <w:highlight w:val="none"/>
                <w:lang w:eastAsia="zh-CN"/>
              </w:rPr>
              <w:t>广西电网有限责任公司</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6</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7</w:t>
            </w:r>
            <w:r>
              <w:rPr>
                <w:rFonts w:hint="eastAsia" w:ascii="仿宋" w:hAnsi="仿宋" w:eastAsia="仿宋" w:cs="宋体"/>
                <w:color w:val="auto"/>
                <w:kern w:val="0"/>
                <w:sz w:val="24"/>
                <w:szCs w:val="24"/>
                <w:highlight w:val="none"/>
              </w:rPr>
              <w:t>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szCs w:val="24"/>
                <w:highlight w:val="none"/>
                <w:lang w:eastAsia="zh-CN"/>
              </w:rPr>
              <w:t>廖文涛</w:t>
            </w:r>
          </w:p>
        </w:tc>
        <w:tc>
          <w:tcPr>
            <w:tcW w:w="26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hint="eastAsia" w:ascii="仿宋" w:hAnsi="仿宋" w:eastAsia="仿宋"/>
                <w:color w:val="auto"/>
                <w:sz w:val="24"/>
                <w:szCs w:val="24"/>
                <w:highlight w:val="none"/>
              </w:rPr>
            </w:pPr>
            <w:r>
              <w:rPr>
                <w:rFonts w:hint="eastAsia" w:ascii="仿宋" w:hAnsi="仿宋" w:eastAsia="仿宋"/>
                <w:color w:val="auto"/>
                <w:sz w:val="24"/>
                <w:szCs w:val="24"/>
                <w:highlight w:val="none"/>
                <w:lang w:eastAsia="zh-CN"/>
              </w:rPr>
              <w:t>广西电网有限责任公司电力科学研究院</w:t>
            </w:r>
          </w:p>
        </w:tc>
        <w:tc>
          <w:tcPr>
            <w:tcW w:w="14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lang w:eastAsia="zh-CN"/>
              </w:rPr>
              <w:t>助理</w:t>
            </w:r>
            <w:r>
              <w:rPr>
                <w:rFonts w:hint="eastAsia" w:ascii="仿宋" w:hAnsi="仿宋" w:eastAsia="仿宋"/>
                <w:color w:val="auto"/>
                <w:sz w:val="24"/>
                <w:szCs w:val="24"/>
                <w:highlight w:val="none"/>
              </w:rPr>
              <w:t>工程师</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exact"/>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电气工程</w:t>
            </w:r>
          </w:p>
        </w:tc>
        <w:tc>
          <w:tcPr>
            <w:tcW w:w="24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exact"/>
              <w:jc w:val="center"/>
              <w:textAlignment w:val="auto"/>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主要编写</w:t>
            </w:r>
            <w:r>
              <w:rPr>
                <w:rFonts w:hint="eastAsia" w:ascii="仿宋" w:hAnsi="仿宋" w:eastAsia="仿宋" w:cs="宋体"/>
                <w:color w:val="auto"/>
                <w:kern w:val="0"/>
                <w:sz w:val="24"/>
                <w:szCs w:val="24"/>
                <w:highlight w:val="none"/>
                <w:lang w:val="en-US" w:eastAsia="zh-CN"/>
              </w:rPr>
              <w:t>6</w:t>
            </w:r>
            <w:r>
              <w:rPr>
                <w:rFonts w:hint="eastAsia" w:ascii="仿宋" w:hAnsi="仿宋" w:eastAsia="仿宋" w:cs="宋体"/>
                <w:color w:val="auto"/>
                <w:kern w:val="0"/>
                <w:sz w:val="24"/>
                <w:szCs w:val="24"/>
                <w:highlight w:val="none"/>
              </w:rPr>
              <w:t>-</w:t>
            </w:r>
            <w:r>
              <w:rPr>
                <w:rFonts w:hint="eastAsia" w:ascii="仿宋" w:hAnsi="仿宋" w:eastAsia="仿宋" w:cs="宋体"/>
                <w:color w:val="auto"/>
                <w:kern w:val="0"/>
                <w:sz w:val="24"/>
                <w:szCs w:val="24"/>
                <w:highlight w:val="none"/>
                <w:lang w:val="en-US" w:eastAsia="zh-CN"/>
              </w:rPr>
              <w:t>7</w:t>
            </w:r>
            <w:r>
              <w:rPr>
                <w:rFonts w:hint="eastAsia" w:ascii="仿宋" w:hAnsi="仿宋" w:eastAsia="仿宋" w:cs="宋体"/>
                <w:color w:val="auto"/>
                <w:kern w:val="0"/>
                <w:sz w:val="24"/>
                <w:szCs w:val="24"/>
                <w:highlight w:val="none"/>
              </w:rPr>
              <w:t>章内容</w:t>
            </w:r>
          </w:p>
        </w:tc>
      </w:tr>
    </w:tbl>
    <w:p>
      <w:pPr>
        <w:spacing w:line="560" w:lineRule="exact"/>
        <w:ind w:firstLine="560" w:firstLineChars="200"/>
        <w:jc w:val="left"/>
        <w:rPr>
          <w:rFonts w:hint="eastAsia" w:ascii="仿宋" w:hAnsi="仿宋" w:eastAsia="仿宋" w:cs="仿宋_GB2312"/>
          <w:color w:val="auto"/>
          <w:sz w:val="28"/>
          <w:szCs w:val="2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0"/>
        <w:rPr>
          <w:rFonts w:ascii="仿宋" w:hAnsi="仿宋" w:eastAsia="仿宋" w:cs="仿宋_GB2312"/>
          <w:b/>
          <w:color w:val="auto"/>
          <w:sz w:val="28"/>
          <w:szCs w:val="28"/>
          <w:highlight w:val="none"/>
        </w:rPr>
      </w:pPr>
      <w:bookmarkStart w:id="1" w:name="_Toc21521"/>
      <w:r>
        <w:rPr>
          <w:rFonts w:hint="eastAsia" w:ascii="黑体" w:hAnsi="黑体" w:eastAsia="黑体" w:cs="仿宋_GB2312"/>
          <w:color w:val="auto"/>
          <w:sz w:val="28"/>
          <w:szCs w:val="28"/>
          <w:highlight w:val="none"/>
        </w:rPr>
        <w:t>二、制定标准的必要性和意义</w:t>
      </w:r>
      <w:bookmarkEnd w:id="1"/>
    </w:p>
    <w:p>
      <w:pPr>
        <w:spacing w:line="560" w:lineRule="exact"/>
        <w:ind w:firstLine="560" w:firstLineChars="200"/>
        <w:jc w:val="lef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广西壮族自治区政府工作报告指出“十四五”重点任务之一就是要“推动互联网、物联网规模化应用，加快传统基础设施和公共服务设施数字化转型，建成绿色智能电网，有力推动数字广西建设”。广西电网公司深入贯彻落实自治区政府工作报告指示精神，积极践行《广西绿色智能电网建设三年行动方案（2020—2022年）》，加快推进电网数字化转型，加大数字电网建设力度，提升电网智能化水平，推动广西经济社会高质量发展。其中，智能传感技术是广西数字化转型发展的基石，随着数字电网、工业物联网建设的不断推进，智能传感器将实现海量部署、规模化应用。</w:t>
      </w:r>
    </w:p>
    <w:p>
      <w:pPr>
        <w:spacing w:line="560" w:lineRule="exact"/>
        <w:ind w:firstLine="560" w:firstLineChars="200"/>
        <w:jc w:val="left"/>
        <w:rPr>
          <w:rFonts w:hint="eastAsia" w:ascii="仿宋" w:hAnsi="仿宋" w:eastAsia="仿宋" w:cs="Times New Roman"/>
          <w:color w:val="auto"/>
          <w:sz w:val="28"/>
          <w:szCs w:val="28"/>
          <w:highlight w:val="none"/>
        </w:rPr>
      </w:pPr>
      <w:r>
        <w:rPr>
          <w:rFonts w:hint="eastAsia" w:ascii="仿宋" w:hAnsi="仿宋" w:eastAsia="仿宋" w:cs="仿宋_GB2312"/>
          <w:color w:val="auto"/>
          <w:sz w:val="28"/>
          <w:szCs w:val="28"/>
          <w:highlight w:val="none"/>
          <w:lang w:eastAsia="zh-CN"/>
        </w:rPr>
        <w:t>而现阶段</w:t>
      </w:r>
      <w:r>
        <w:rPr>
          <w:rFonts w:hint="eastAsia" w:ascii="仿宋" w:hAnsi="仿宋" w:eastAsia="仿宋" w:cs="仿宋_GB2312"/>
          <w:color w:val="auto"/>
          <w:sz w:val="28"/>
          <w:szCs w:val="28"/>
          <w:highlight w:val="none"/>
        </w:rPr>
        <w:t>电力系统的电流测量设备存在体积大、成本高、需停电安装</w:t>
      </w:r>
      <w:r>
        <w:rPr>
          <w:rFonts w:ascii="仿宋" w:hAnsi="仿宋" w:eastAsia="仿宋" w:cs="仿宋_GB2312"/>
          <w:color w:val="auto"/>
          <w:sz w:val="28"/>
          <w:szCs w:val="28"/>
          <w:highlight w:val="none"/>
        </w:rPr>
        <w:t>/拆除/检测、难以海量部署、无法物联等痛点问题，无法满足电力系统数字化和智能化的需求</w:t>
      </w:r>
      <w:r>
        <w:rPr>
          <w:rFonts w:hint="eastAsia" w:ascii="仿宋" w:hAnsi="仿宋" w:eastAsia="仿宋" w:cs="仿宋_GB2312"/>
          <w:color w:val="auto"/>
          <w:sz w:val="28"/>
          <w:szCs w:val="28"/>
          <w:highlight w:val="none"/>
          <w:lang w:eastAsia="zh-CN"/>
        </w:rPr>
        <w:t>。针对上述问题，项目团队</w:t>
      </w:r>
      <w:r>
        <w:rPr>
          <w:rFonts w:hint="eastAsia" w:ascii="仿宋" w:hAnsi="仿宋" w:eastAsia="仿宋" w:cs="仿宋_GB2312"/>
          <w:color w:val="auto"/>
          <w:sz w:val="28"/>
          <w:szCs w:val="28"/>
          <w:highlight w:val="none"/>
        </w:rPr>
        <w:t>依托国家工信部、</w:t>
      </w:r>
      <w:r>
        <w:rPr>
          <w:rFonts w:hint="eastAsia" w:ascii="仿宋" w:hAnsi="仿宋" w:eastAsia="仿宋" w:cs="仿宋_GB2312"/>
          <w:color w:val="auto"/>
          <w:sz w:val="28"/>
          <w:szCs w:val="28"/>
          <w:highlight w:val="none"/>
          <w:lang w:eastAsia="zh-CN"/>
        </w:rPr>
        <w:t>国资委、</w:t>
      </w:r>
      <w:r>
        <w:rPr>
          <w:rFonts w:hint="eastAsia" w:ascii="仿宋" w:hAnsi="仿宋" w:eastAsia="仿宋" w:cs="仿宋_GB2312"/>
          <w:color w:val="auto"/>
          <w:sz w:val="28"/>
          <w:szCs w:val="28"/>
          <w:highlight w:val="none"/>
        </w:rPr>
        <w:t>自治区、</w:t>
      </w:r>
      <w:r>
        <w:rPr>
          <w:rFonts w:hint="eastAsia" w:ascii="仿宋" w:hAnsi="仿宋" w:eastAsia="仿宋" w:cs="仿宋_GB2312"/>
          <w:color w:val="auto"/>
          <w:sz w:val="28"/>
          <w:szCs w:val="28"/>
          <w:highlight w:val="none"/>
          <w:lang w:eastAsia="zh-CN"/>
        </w:rPr>
        <w:t>南方电网公司</w:t>
      </w:r>
      <w:r>
        <w:rPr>
          <w:rFonts w:hint="eastAsia" w:ascii="仿宋" w:hAnsi="仿宋" w:eastAsia="仿宋" w:cs="仿宋_GB2312"/>
          <w:color w:val="auto"/>
          <w:sz w:val="28"/>
          <w:szCs w:val="28"/>
          <w:highlight w:val="none"/>
        </w:rPr>
        <w:t>的多项课题，</w:t>
      </w:r>
      <w:r>
        <w:rPr>
          <w:rFonts w:hint="eastAsia" w:ascii="仿宋" w:hAnsi="仿宋" w:eastAsia="仿宋" w:cs="Times New Roman"/>
          <w:color w:val="auto"/>
          <w:sz w:val="28"/>
          <w:szCs w:val="28"/>
          <w:highlight w:val="none"/>
          <w:lang w:eastAsia="zh-CN"/>
        </w:rPr>
        <w:t>研制了世界领先的微型智能电流传感器，开创了用厘米级芯片化传感器替代米级传统型互感器的电力微型智能传感技术新方向，推动了配电网电流从互感器模拟测量向芯片数字化测量的跨越式发展。</w:t>
      </w:r>
      <w:r>
        <w:rPr>
          <w:rFonts w:hint="eastAsia" w:ascii="仿宋" w:hAnsi="仿宋" w:eastAsia="仿宋" w:cs="Times New Roman"/>
          <w:color w:val="auto"/>
          <w:sz w:val="28"/>
          <w:szCs w:val="28"/>
          <w:highlight w:val="none"/>
        </w:rPr>
        <w:t>与传统电流互感器相比，成本降低1个数量级，体积降低2~3个数量级，且具备无线通信、非停电安装、一贴即用、海量部署等重大优势，具有广阔的物联网产业化前景。</w:t>
      </w:r>
      <w:r>
        <w:rPr>
          <w:rFonts w:hint="eastAsia" w:ascii="仿宋" w:hAnsi="仿宋" w:eastAsia="仿宋" w:cs="Times New Roman"/>
          <w:color w:val="auto"/>
          <w:sz w:val="28"/>
          <w:szCs w:val="28"/>
          <w:highlight w:val="none"/>
          <w:lang w:eastAsia="zh-CN"/>
        </w:rPr>
        <w:t>并且</w:t>
      </w:r>
      <w:r>
        <w:rPr>
          <w:rFonts w:hint="eastAsia" w:ascii="仿宋" w:hAnsi="仿宋" w:eastAsia="仿宋" w:cs="Times New Roman"/>
          <w:color w:val="auto"/>
          <w:sz w:val="28"/>
          <w:szCs w:val="28"/>
          <w:highlight w:val="none"/>
        </w:rPr>
        <w:t>自治区高度重视微型智能电流传感器的研发应用及产业化工作，批准了广西重点研发计划“面向物联网的微型智能电流传感器研发”项目，由广西电网公司牵头实施。目前研制</w:t>
      </w:r>
      <w:r>
        <w:rPr>
          <w:rFonts w:hint="eastAsia" w:ascii="仿宋" w:hAnsi="仿宋" w:eastAsia="仿宋" w:cs="Times New Roman"/>
          <w:color w:val="auto"/>
          <w:sz w:val="28"/>
          <w:szCs w:val="28"/>
          <w:highlight w:val="none"/>
          <w:lang w:eastAsia="zh-CN"/>
        </w:rPr>
        <w:t>的</w:t>
      </w:r>
      <w:r>
        <w:rPr>
          <w:rFonts w:hint="eastAsia" w:ascii="仿宋" w:hAnsi="仿宋" w:eastAsia="仿宋" w:cs="Times New Roman"/>
          <w:color w:val="auto"/>
          <w:sz w:val="28"/>
          <w:szCs w:val="28"/>
          <w:highlight w:val="none"/>
        </w:rPr>
        <w:t>微型智能电流传感器</w:t>
      </w:r>
      <w:r>
        <w:rPr>
          <w:rFonts w:hint="eastAsia" w:ascii="仿宋" w:hAnsi="仿宋" w:eastAsia="仿宋" w:cs="Times New Roman"/>
          <w:color w:val="auto"/>
          <w:sz w:val="28"/>
          <w:szCs w:val="28"/>
          <w:highlight w:val="none"/>
          <w:lang w:eastAsia="zh-CN"/>
        </w:rPr>
        <w:t>已</w:t>
      </w:r>
      <w:r>
        <w:rPr>
          <w:rFonts w:hint="eastAsia" w:ascii="仿宋" w:hAnsi="仿宋" w:eastAsia="仿宋" w:cs="Times New Roman"/>
          <w:color w:val="auto"/>
          <w:sz w:val="28"/>
          <w:szCs w:val="28"/>
          <w:highlight w:val="none"/>
        </w:rPr>
        <w:t>在南宁、</w:t>
      </w:r>
      <w:r>
        <w:rPr>
          <w:rFonts w:hint="eastAsia" w:ascii="仿宋" w:hAnsi="仿宋" w:eastAsia="仿宋" w:cs="Times New Roman"/>
          <w:color w:val="auto"/>
          <w:sz w:val="28"/>
          <w:szCs w:val="28"/>
          <w:highlight w:val="none"/>
          <w:lang w:eastAsia="zh-CN"/>
        </w:rPr>
        <w:t>梧州、桂林、</w:t>
      </w:r>
      <w:r>
        <w:rPr>
          <w:rFonts w:hint="eastAsia" w:ascii="仿宋" w:hAnsi="仿宋" w:eastAsia="仿宋" w:cs="Times New Roman"/>
          <w:color w:val="auto"/>
          <w:sz w:val="28"/>
          <w:szCs w:val="28"/>
          <w:highlight w:val="none"/>
        </w:rPr>
        <w:t>广州</w:t>
      </w:r>
      <w:r>
        <w:rPr>
          <w:rFonts w:hint="eastAsia" w:ascii="仿宋" w:hAnsi="仿宋" w:eastAsia="仿宋" w:cs="Times New Roman"/>
          <w:color w:val="auto"/>
          <w:sz w:val="28"/>
          <w:szCs w:val="28"/>
          <w:highlight w:val="none"/>
          <w:lang w:eastAsia="zh-CN"/>
        </w:rPr>
        <w:t>、贵阳</w:t>
      </w:r>
      <w:r>
        <w:rPr>
          <w:rFonts w:hint="eastAsia" w:ascii="仿宋" w:hAnsi="仿宋" w:eastAsia="仿宋" w:cs="Times New Roman"/>
          <w:color w:val="auto"/>
          <w:sz w:val="28"/>
          <w:szCs w:val="28"/>
          <w:highlight w:val="none"/>
        </w:rPr>
        <w:t>等</w:t>
      </w:r>
      <w:r>
        <w:rPr>
          <w:rFonts w:hint="eastAsia" w:ascii="仿宋" w:hAnsi="仿宋" w:eastAsia="仿宋" w:cs="Times New Roman"/>
          <w:color w:val="auto"/>
          <w:sz w:val="28"/>
          <w:szCs w:val="28"/>
          <w:highlight w:val="none"/>
          <w:lang w:eastAsia="zh-CN"/>
        </w:rPr>
        <w:t>多</w:t>
      </w:r>
      <w:r>
        <w:rPr>
          <w:rFonts w:hint="eastAsia" w:ascii="仿宋" w:hAnsi="仿宋" w:eastAsia="仿宋" w:cs="Times New Roman"/>
          <w:color w:val="auto"/>
          <w:sz w:val="28"/>
          <w:szCs w:val="28"/>
          <w:highlight w:val="none"/>
        </w:rPr>
        <w:t>地实现了工程应用。</w:t>
      </w:r>
      <w:r>
        <w:rPr>
          <w:rFonts w:hint="eastAsia" w:ascii="仿宋" w:hAnsi="仿宋" w:eastAsia="仿宋" w:cs="Times New Roman"/>
          <w:color w:val="auto"/>
          <w:sz w:val="28"/>
          <w:szCs w:val="28"/>
          <w:highlight w:val="none"/>
          <w:lang w:eastAsia="zh-CN"/>
        </w:rPr>
        <w:t>其中</w:t>
      </w:r>
      <w:r>
        <w:rPr>
          <w:rFonts w:hint="eastAsia" w:ascii="仿宋" w:hAnsi="仿宋" w:eastAsia="仿宋" w:cs="Times New Roman"/>
          <w:color w:val="auto"/>
          <w:sz w:val="28"/>
          <w:szCs w:val="28"/>
          <w:highlight w:val="none"/>
        </w:rPr>
        <w:t>在南宁荔园山庄、会展中心、区党委配电房、星湖小区等重要保供电场所应用1500余套。联合广西壮族自治区计量检测研究院</w:t>
      </w:r>
      <w:r>
        <w:rPr>
          <w:rFonts w:hint="eastAsia" w:ascii="仿宋" w:hAnsi="仿宋" w:eastAsia="仿宋" w:cs="Times New Roman"/>
          <w:color w:val="auto"/>
          <w:sz w:val="28"/>
          <w:szCs w:val="28"/>
          <w:highlight w:val="none"/>
          <w:lang w:eastAsia="zh-CN"/>
        </w:rPr>
        <w:t>、广西工业设计集团有限公司</w:t>
      </w:r>
      <w:r>
        <w:rPr>
          <w:rFonts w:hint="eastAsia" w:ascii="仿宋" w:hAnsi="仿宋" w:eastAsia="仿宋" w:cs="Times New Roman"/>
          <w:color w:val="auto"/>
          <w:sz w:val="28"/>
          <w:szCs w:val="28"/>
          <w:highlight w:val="none"/>
        </w:rPr>
        <w:t>等单位，将项目成果纳入工业电气、建筑电气等低压配电工程典型设计，并作为典型装置在低压配电系统设计中优先推荐。</w:t>
      </w:r>
    </w:p>
    <w:p>
      <w:pPr>
        <w:spacing w:line="560" w:lineRule="exact"/>
        <w:ind w:firstLine="560" w:firstLineChars="200"/>
        <w:jc w:val="lef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随着数字电网、工业物联网建设的不断推进，微型智能电流传感器将在智能电网、</w:t>
      </w:r>
      <w:r>
        <w:rPr>
          <w:rFonts w:hint="eastAsia" w:ascii="仿宋" w:hAnsi="仿宋" w:eastAsia="仿宋" w:cs="Times New Roman"/>
          <w:color w:val="auto"/>
          <w:sz w:val="28"/>
          <w:szCs w:val="28"/>
          <w:highlight w:val="none"/>
          <w:lang w:eastAsia="zh-CN"/>
        </w:rPr>
        <w:t>智慧安全用电</w:t>
      </w:r>
      <w:r>
        <w:rPr>
          <w:rFonts w:hint="eastAsia" w:ascii="仿宋" w:hAnsi="仿宋" w:eastAsia="仿宋" w:cs="Times New Roman"/>
          <w:color w:val="auto"/>
          <w:sz w:val="28"/>
          <w:szCs w:val="28"/>
          <w:highlight w:val="none"/>
        </w:rPr>
        <w:t>、工矿企业、电动汽车</w:t>
      </w:r>
      <w:r>
        <w:rPr>
          <w:rFonts w:hint="eastAsia" w:ascii="仿宋" w:hAnsi="仿宋" w:eastAsia="仿宋" w:cs="Times New Roman"/>
          <w:color w:val="auto"/>
          <w:sz w:val="28"/>
          <w:szCs w:val="28"/>
          <w:highlight w:val="none"/>
          <w:lang w:eastAsia="zh-CN"/>
        </w:rPr>
        <w:t>、智能楼宇</w:t>
      </w:r>
      <w:r>
        <w:rPr>
          <w:rFonts w:hint="eastAsia" w:ascii="仿宋" w:hAnsi="仿宋" w:eastAsia="仿宋" w:cs="Times New Roman"/>
          <w:color w:val="auto"/>
          <w:sz w:val="28"/>
          <w:szCs w:val="28"/>
          <w:highlight w:val="none"/>
        </w:rPr>
        <w:t>等社会经济发展众多领域中海量部署和规模化应用。“十四五”期间，广西电网公司计划在电网内外多个领域</w:t>
      </w:r>
      <w:r>
        <w:rPr>
          <w:rFonts w:hint="eastAsia" w:ascii="仿宋" w:hAnsi="仿宋" w:eastAsia="仿宋" w:cs="Times New Roman"/>
          <w:color w:val="auto"/>
          <w:sz w:val="28"/>
          <w:szCs w:val="28"/>
          <w:highlight w:val="none"/>
          <w:lang w:eastAsia="zh-CN"/>
        </w:rPr>
        <w:t>进一步扩大应用规模</w:t>
      </w:r>
      <w:r>
        <w:rPr>
          <w:rFonts w:hint="eastAsia" w:ascii="仿宋" w:hAnsi="仿宋" w:eastAsia="仿宋" w:cs="Times New Roman"/>
          <w:color w:val="auto"/>
          <w:sz w:val="28"/>
          <w:szCs w:val="28"/>
          <w:highlight w:val="none"/>
        </w:rPr>
        <w:t>，将有力推动研发、生产、测试、应用等上下游产业全链条快速发展，</w:t>
      </w:r>
      <w:r>
        <w:rPr>
          <w:rFonts w:hint="eastAsia" w:ascii="Times New Roman" w:hAnsi="Times New Roman" w:eastAsia="仿宋_GB2312" w:cs="Times New Roman"/>
          <w:color w:val="auto"/>
          <w:sz w:val="28"/>
          <w:szCs w:val="28"/>
          <w:highlight w:val="none"/>
          <w:lang w:val="en-US" w:eastAsia="zh-CN"/>
        </w:rPr>
        <w:t>但目前国内外尚无该产品的技术标准，</w:t>
      </w:r>
      <w:r>
        <w:rPr>
          <w:rFonts w:hint="eastAsia" w:ascii="仿宋" w:hAnsi="仿宋" w:eastAsia="仿宋" w:cs="Times New Roman"/>
          <w:color w:val="auto"/>
          <w:sz w:val="28"/>
          <w:szCs w:val="28"/>
          <w:highlight w:val="none"/>
        </w:rPr>
        <w:t>制定广西地方标准</w:t>
      </w:r>
      <w:r>
        <w:rPr>
          <w:rFonts w:hint="eastAsia" w:ascii="仿宋" w:hAnsi="仿宋" w:eastAsia="仿宋" w:cs="仿宋_GB2312"/>
          <w:color w:val="auto"/>
          <w:sz w:val="28"/>
          <w:szCs w:val="28"/>
          <w:highlight w:val="none"/>
        </w:rPr>
        <w:t>《微型智能电流传感器技术规范》</w:t>
      </w:r>
      <w:r>
        <w:rPr>
          <w:rFonts w:hint="eastAsia" w:ascii="仿宋" w:hAnsi="仿宋" w:eastAsia="仿宋" w:cs="仿宋_GB2312"/>
          <w:color w:val="auto"/>
          <w:sz w:val="28"/>
          <w:szCs w:val="28"/>
          <w:highlight w:val="none"/>
          <w:lang w:eastAsia="zh-CN"/>
        </w:rPr>
        <w:t>，能够有效</w:t>
      </w:r>
      <w:r>
        <w:rPr>
          <w:rFonts w:hint="default" w:ascii="Times New Roman" w:hAnsi="Times New Roman" w:eastAsia="仿宋_GB2312" w:cs="Times New Roman"/>
          <w:color w:val="auto"/>
          <w:sz w:val="28"/>
          <w:szCs w:val="28"/>
          <w:highlight w:val="none"/>
          <w:lang w:val="en-US" w:eastAsia="zh-CN"/>
        </w:rPr>
        <w:t>规范</w:t>
      </w:r>
      <w:r>
        <w:rPr>
          <w:rFonts w:hint="eastAsia" w:ascii="仿宋" w:hAnsi="仿宋" w:eastAsia="仿宋" w:cs="Times New Roman"/>
          <w:color w:val="auto"/>
          <w:sz w:val="28"/>
          <w:szCs w:val="28"/>
          <w:highlight w:val="none"/>
        </w:rPr>
        <w:t>微型智能电流传感器</w:t>
      </w:r>
      <w:r>
        <w:rPr>
          <w:rFonts w:hint="default" w:ascii="Times New Roman" w:hAnsi="Times New Roman" w:eastAsia="仿宋_GB2312" w:cs="Times New Roman"/>
          <w:color w:val="auto"/>
          <w:sz w:val="28"/>
          <w:szCs w:val="28"/>
          <w:highlight w:val="none"/>
          <w:lang w:val="en-US" w:eastAsia="zh-CN"/>
        </w:rPr>
        <w:t>的</w:t>
      </w:r>
      <w:r>
        <w:rPr>
          <w:rFonts w:hint="eastAsia" w:ascii="Times New Roman" w:hAnsi="Times New Roman" w:eastAsia="仿宋_GB2312" w:cs="Times New Roman"/>
          <w:color w:val="auto"/>
          <w:sz w:val="28"/>
          <w:szCs w:val="28"/>
          <w:highlight w:val="none"/>
          <w:lang w:val="en-US" w:eastAsia="zh-CN"/>
        </w:rPr>
        <w:t>安装、运维、试验、检测等工作</w:t>
      </w:r>
      <w:r>
        <w:rPr>
          <w:rFonts w:hint="default" w:ascii="Times New Roman" w:hAnsi="Times New Roman" w:eastAsia="仿宋_GB2312" w:cs="Times New Roman"/>
          <w:color w:val="auto"/>
          <w:sz w:val="28"/>
          <w:szCs w:val="28"/>
          <w:highlight w:val="none"/>
          <w:lang w:val="en-US" w:eastAsia="zh-CN"/>
        </w:rPr>
        <w:t>，</w:t>
      </w:r>
      <w:r>
        <w:rPr>
          <w:rFonts w:hint="eastAsia" w:ascii="仿宋" w:hAnsi="仿宋" w:eastAsia="仿宋" w:cs="Times New Roman"/>
          <w:color w:val="auto"/>
          <w:sz w:val="28"/>
          <w:szCs w:val="28"/>
          <w:highlight w:val="none"/>
        </w:rPr>
        <w:t>支撑微型智能电流传感器</w:t>
      </w:r>
      <w:r>
        <w:rPr>
          <w:rFonts w:hint="eastAsia" w:ascii="仿宋" w:hAnsi="仿宋" w:eastAsia="仿宋" w:cs="Times New Roman"/>
          <w:color w:val="auto"/>
          <w:sz w:val="28"/>
          <w:szCs w:val="28"/>
          <w:highlight w:val="none"/>
          <w:lang w:eastAsia="zh-CN"/>
        </w:rPr>
        <w:t>在广西实现</w:t>
      </w:r>
      <w:r>
        <w:rPr>
          <w:rFonts w:hint="eastAsia" w:ascii="仿宋" w:hAnsi="仿宋" w:eastAsia="仿宋" w:cs="Times New Roman"/>
          <w:color w:val="auto"/>
          <w:sz w:val="28"/>
          <w:szCs w:val="28"/>
          <w:highlight w:val="none"/>
        </w:rPr>
        <w:t>产业化，</w:t>
      </w:r>
      <w:r>
        <w:rPr>
          <w:rFonts w:hint="eastAsia" w:ascii="仿宋" w:hAnsi="仿宋" w:eastAsia="仿宋" w:cs="Times New Roman"/>
          <w:color w:val="auto"/>
          <w:sz w:val="28"/>
          <w:szCs w:val="28"/>
          <w:highlight w:val="none"/>
          <w:lang w:eastAsia="zh-CN"/>
        </w:rPr>
        <w:t>有效</w:t>
      </w:r>
      <w:r>
        <w:rPr>
          <w:rFonts w:hint="eastAsia" w:ascii="仿宋" w:hAnsi="仿宋" w:eastAsia="仿宋" w:cs="Times New Roman"/>
          <w:color w:val="auto"/>
          <w:sz w:val="28"/>
          <w:szCs w:val="28"/>
          <w:highlight w:val="none"/>
        </w:rPr>
        <w:t>促进产业高端化、智能化，</w:t>
      </w:r>
      <w:r>
        <w:rPr>
          <w:rFonts w:hint="eastAsia" w:ascii="仿宋" w:hAnsi="仿宋" w:eastAsia="仿宋" w:cs="Times New Roman"/>
          <w:color w:val="auto"/>
          <w:sz w:val="28"/>
          <w:szCs w:val="28"/>
          <w:highlight w:val="none"/>
          <w:lang w:eastAsia="zh-CN"/>
        </w:rPr>
        <w:t>有力</w:t>
      </w:r>
      <w:r>
        <w:rPr>
          <w:rFonts w:hint="eastAsia" w:ascii="仿宋" w:hAnsi="仿宋" w:eastAsia="仿宋" w:cs="Times New Roman"/>
          <w:color w:val="auto"/>
          <w:sz w:val="28"/>
          <w:szCs w:val="28"/>
          <w:highlight w:val="none"/>
        </w:rPr>
        <w:t>推动广西智能制造产业振兴</w:t>
      </w:r>
      <w:r>
        <w:rPr>
          <w:rFonts w:hint="eastAsia" w:ascii="仿宋" w:hAnsi="仿宋" w:eastAsia="仿宋" w:cs="Times New Roman"/>
          <w:color w:val="auto"/>
          <w:sz w:val="28"/>
          <w:szCs w:val="28"/>
          <w:highlight w:val="none"/>
          <w:lang w:eastAsia="zh-CN"/>
        </w:rPr>
        <w:t>和社会经济高质量快速发展</w:t>
      </w:r>
      <w:r>
        <w:rPr>
          <w:rFonts w:hint="eastAsia" w:ascii="仿宋" w:hAnsi="仿宋" w:eastAsia="仿宋" w:cs="Times New Roman"/>
          <w:color w:val="auto"/>
          <w:sz w:val="28"/>
          <w:szCs w:val="28"/>
          <w:highlight w:val="none"/>
        </w:rPr>
        <w:t>。</w:t>
      </w:r>
    </w:p>
    <w:p>
      <w:pPr>
        <w:spacing w:line="560" w:lineRule="exact"/>
        <w:outlineLvl w:val="0"/>
        <w:rPr>
          <w:rFonts w:ascii="黑体" w:hAnsi="黑体" w:eastAsia="黑体" w:cs="黑体"/>
          <w:bCs/>
          <w:color w:val="auto"/>
          <w:sz w:val="28"/>
          <w:szCs w:val="28"/>
          <w:highlight w:val="none"/>
        </w:rPr>
      </w:pPr>
      <w:bookmarkStart w:id="2" w:name="_Toc12708"/>
      <w:r>
        <w:rPr>
          <w:rFonts w:hint="eastAsia" w:ascii="黑体" w:hAnsi="黑体" w:eastAsia="黑体" w:cs="黑体"/>
          <w:bCs/>
          <w:color w:val="auto"/>
          <w:sz w:val="28"/>
          <w:szCs w:val="28"/>
          <w:highlight w:val="none"/>
        </w:rPr>
        <w:t>三、主要起草过程</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黑体" w:hAnsi="黑体" w:eastAsia="黑体" w:cs="黑体"/>
          <w:bCs/>
          <w:color w:val="auto"/>
          <w:sz w:val="28"/>
          <w:szCs w:val="28"/>
          <w:highlight w:val="none"/>
          <w:lang w:eastAsia="zh-CN"/>
        </w:rPr>
      </w:pPr>
      <w:bookmarkStart w:id="3" w:name="_Toc27944"/>
      <w:r>
        <w:rPr>
          <w:rFonts w:hint="eastAsia" w:ascii="黑体" w:hAnsi="黑体" w:eastAsia="黑体" w:cs="黑体"/>
          <w:bCs/>
          <w:color w:val="auto"/>
          <w:sz w:val="28"/>
          <w:szCs w:val="28"/>
          <w:highlight w:val="none"/>
          <w:lang w:eastAsia="zh-CN"/>
        </w:rPr>
        <w:t>（一）成立标准编制工作小组</w:t>
      </w:r>
      <w:bookmarkEnd w:id="3"/>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广西地方标准《微型智能电流传感器技术规范》项目任务下达后，主要起草单位成立了编制工作小组，并就标准研制工作进行任务分工。广西电网有限责任公司电力科学研究院负责主持标准编制，负责项目立项、大纲制定、技术指导、进度控制、报批以及配套经费、现场测试实施等任务；广西电网有限责任公司电力科学研究院、南方电网数字电网研究院有限公司、广西电网有限责任公司、清华大学、广西壮族自治区计量检测研究院、广西工业设计集团有限公司、广西电网能源科技有限责任公司</w:t>
      </w:r>
      <w:r>
        <w:rPr>
          <w:rFonts w:hint="eastAsia" w:ascii="仿宋" w:hAnsi="仿宋" w:eastAsia="仿宋"/>
          <w:color w:val="auto"/>
          <w:sz w:val="28"/>
          <w:szCs w:val="28"/>
          <w:highlight w:val="none"/>
          <w:lang w:eastAsia="zh-CN"/>
        </w:rPr>
        <w:t>分别</w:t>
      </w:r>
      <w:r>
        <w:rPr>
          <w:rFonts w:hint="eastAsia" w:ascii="仿宋" w:hAnsi="仿宋" w:eastAsia="仿宋"/>
          <w:color w:val="auto"/>
          <w:sz w:val="28"/>
          <w:szCs w:val="28"/>
          <w:highlight w:val="none"/>
        </w:rPr>
        <w:t>负责《微型智能电流传感器技术规范》</w:t>
      </w:r>
      <w:r>
        <w:rPr>
          <w:rFonts w:hint="eastAsia" w:ascii="仿宋" w:hAnsi="仿宋" w:eastAsia="仿宋"/>
          <w:color w:val="auto"/>
          <w:sz w:val="28"/>
          <w:szCs w:val="28"/>
          <w:highlight w:val="none"/>
          <w:lang w:eastAsia="zh-CN"/>
        </w:rPr>
        <w:t>相关</w:t>
      </w:r>
      <w:r>
        <w:rPr>
          <w:rFonts w:ascii="仿宋" w:hAnsi="仿宋" w:eastAsia="仿宋"/>
          <w:color w:val="auto"/>
          <w:sz w:val="28"/>
          <w:szCs w:val="28"/>
          <w:highlight w:val="none"/>
        </w:rPr>
        <w:t>章节内容编写</w:t>
      </w:r>
      <w:r>
        <w:rPr>
          <w:rFonts w:hint="eastAsia" w:ascii="仿宋" w:hAnsi="仿宋" w:eastAsia="仿宋"/>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黑体" w:hAnsi="黑体" w:eastAsia="黑体" w:cs="黑体"/>
          <w:bCs/>
          <w:color w:val="auto"/>
          <w:sz w:val="28"/>
          <w:szCs w:val="28"/>
          <w:highlight w:val="none"/>
          <w:lang w:eastAsia="zh-CN"/>
        </w:rPr>
      </w:pPr>
      <w:bookmarkStart w:id="4" w:name="_Toc13780"/>
      <w:r>
        <w:rPr>
          <w:rFonts w:hint="eastAsia" w:ascii="黑体" w:hAnsi="黑体" w:eastAsia="黑体" w:cs="黑体"/>
          <w:bCs/>
          <w:color w:val="auto"/>
          <w:sz w:val="28"/>
          <w:szCs w:val="28"/>
          <w:highlight w:val="none"/>
          <w:lang w:eastAsia="zh-CN"/>
        </w:rPr>
        <w:t>（二）收集整理文献资料</w:t>
      </w:r>
      <w:bookmarkEnd w:id="4"/>
    </w:p>
    <w:p>
      <w:pPr>
        <w:spacing w:line="560" w:lineRule="exact"/>
        <w:ind w:firstLine="42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lang w:eastAsia="zh-CN"/>
        </w:rPr>
        <w:t>本标准拟参考现有国标、行标、地标等标准进行编制，工作组主要收集</w:t>
      </w:r>
      <w:r>
        <w:rPr>
          <w:rFonts w:hint="eastAsia" w:ascii="仿宋" w:hAnsi="仿宋" w:eastAsia="仿宋" w:cs="仿宋_GB2312"/>
          <w:color w:val="auto"/>
          <w:sz w:val="28"/>
          <w:szCs w:val="28"/>
          <w:highlight w:val="none"/>
        </w:rPr>
        <w:t>了</w:t>
      </w:r>
      <w:r>
        <w:rPr>
          <w:rFonts w:ascii="仿宋" w:hAnsi="仿宋" w:eastAsia="仿宋" w:cs="Times New Roman"/>
          <w:color w:val="auto"/>
          <w:sz w:val="28"/>
          <w:szCs w:val="28"/>
          <w:highlight w:val="none"/>
        </w:rPr>
        <w:t>智能传感器、电流互感器、电力物联网、电磁兼容等相关</w:t>
      </w:r>
      <w:r>
        <w:rPr>
          <w:rFonts w:hint="eastAsia" w:ascii="仿宋" w:hAnsi="仿宋" w:eastAsia="仿宋" w:cs="Times New Roman"/>
          <w:color w:val="auto"/>
          <w:sz w:val="28"/>
          <w:szCs w:val="28"/>
          <w:highlight w:val="none"/>
        </w:rPr>
        <w:t>技术</w:t>
      </w:r>
      <w:r>
        <w:rPr>
          <w:rFonts w:ascii="仿宋" w:hAnsi="仿宋" w:eastAsia="仿宋" w:cs="Times New Roman"/>
          <w:color w:val="auto"/>
          <w:sz w:val="28"/>
          <w:szCs w:val="28"/>
          <w:highlight w:val="none"/>
        </w:rPr>
        <w:t>标准</w:t>
      </w:r>
      <w:r>
        <w:rPr>
          <w:rFonts w:hint="eastAsia" w:ascii="仿宋" w:hAnsi="仿宋" w:eastAsia="仿宋" w:cs="仿宋_GB2312"/>
          <w:color w:val="auto"/>
          <w:sz w:val="28"/>
          <w:szCs w:val="28"/>
          <w:highlight w:val="none"/>
        </w:rPr>
        <w:t>，主要有：</w:t>
      </w:r>
    </w:p>
    <w:p>
      <w:pPr>
        <w:spacing w:line="560" w:lineRule="exact"/>
        <w:ind w:firstLine="560" w:firstLineChars="20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GB/T 7665 传感器通用术语</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GB/T 20840.2 互感器 第 2 部分：电流互感器的补充技术要求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GB/T 20840.8 互感器 第 8 部分：电子式电流互感器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GB/T 33905.1 智能传感器 第 1 部分：总则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GB/T 33905.2 智能传感器 第 2 部分：物联网应用行规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GB/T 33905.3 智能传感器 第 3 部分：术语</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GB/T 33905.4 智能传感器 第 4 部分：性能评定方法</w:t>
      </w:r>
    </w:p>
    <w:p>
      <w:pPr>
        <w:keepNext w:val="0"/>
        <w:keepLines w:val="0"/>
        <w:pageBreakBefore w:val="0"/>
        <w:widowControl w:val="0"/>
        <w:kinsoku/>
        <w:wordWrap/>
        <w:overflowPunct/>
        <w:topLinePunct w:val="0"/>
        <w:autoSpaceDE/>
        <w:autoSpaceDN/>
        <w:bidi w:val="0"/>
        <w:adjustRightInd/>
        <w:snapToGrid/>
        <w:spacing w:line="520" w:lineRule="exact"/>
        <w:ind w:left="559" w:leftChars="266" w:firstLine="0" w:firstLineChars="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GB/T 33905.5 智能传感器 第 5 部分：检查和例行试验方法DL/T 725 电力用电流互感器使用技术规范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DL/T 1732 电力物联网传感器信息模型规范</w:t>
      </w:r>
    </w:p>
    <w:p>
      <w:pPr>
        <w:pStyle w:val="18"/>
        <w:keepNext w:val="0"/>
        <w:keepLines w:val="0"/>
        <w:pageBreakBefore w:val="0"/>
        <w:widowControl w:val="0"/>
        <w:kinsoku/>
        <w:wordWrap/>
        <w:overflowPunct/>
        <w:topLinePunct w:val="0"/>
        <w:autoSpaceDE/>
        <w:autoSpaceDN/>
        <w:bidi w:val="0"/>
        <w:adjustRightInd/>
        <w:snapToGrid/>
        <w:spacing w:after="0" w:line="520" w:lineRule="exact"/>
        <w:ind w:firstLine="560" w:firstLineChars="200"/>
        <w:rPr>
          <w:rFonts w:ascii="仿宋" w:hAnsi="仿宋" w:eastAsia="仿宋"/>
          <w:color w:val="auto"/>
          <w:sz w:val="28"/>
          <w:szCs w:val="28"/>
          <w:highlight w:val="none"/>
        </w:rPr>
      </w:pPr>
      <w:r>
        <w:rPr>
          <w:rFonts w:ascii="仿宋" w:hAnsi="仿宋" w:eastAsia="仿宋"/>
          <w:color w:val="auto"/>
          <w:sz w:val="28"/>
          <w:szCs w:val="28"/>
          <w:highlight w:val="none"/>
        </w:rPr>
        <w:t>GB/T 17626.3 电磁兼容 试验和测量技术 射频电磁场辐射抗扰度试验</w:t>
      </w:r>
    </w:p>
    <w:p>
      <w:pPr>
        <w:pStyle w:val="18"/>
        <w:keepNext w:val="0"/>
        <w:keepLines w:val="0"/>
        <w:pageBreakBefore w:val="0"/>
        <w:widowControl w:val="0"/>
        <w:kinsoku/>
        <w:wordWrap/>
        <w:overflowPunct/>
        <w:topLinePunct w:val="0"/>
        <w:autoSpaceDE/>
        <w:autoSpaceDN/>
        <w:bidi w:val="0"/>
        <w:adjustRightInd/>
        <w:snapToGrid/>
        <w:spacing w:after="0" w:line="520" w:lineRule="exact"/>
        <w:ind w:firstLine="560" w:firstLineChars="200"/>
        <w:rPr>
          <w:rFonts w:ascii="仿宋" w:hAnsi="仿宋" w:eastAsia="仿宋"/>
          <w:color w:val="auto"/>
          <w:sz w:val="28"/>
          <w:szCs w:val="28"/>
          <w:highlight w:val="none"/>
        </w:rPr>
      </w:pPr>
      <w:r>
        <w:rPr>
          <w:rFonts w:ascii="仿宋" w:hAnsi="仿宋" w:eastAsia="仿宋"/>
          <w:color w:val="auto"/>
          <w:sz w:val="28"/>
          <w:szCs w:val="28"/>
          <w:highlight w:val="none"/>
        </w:rPr>
        <w:t>GB/T 17626.4 电磁兼容 试验和测量技术 电快速瞬变脉冲群抗扰度试验</w:t>
      </w:r>
    </w:p>
    <w:p>
      <w:pPr>
        <w:pStyle w:val="18"/>
        <w:keepNext w:val="0"/>
        <w:keepLines w:val="0"/>
        <w:pageBreakBefore w:val="0"/>
        <w:widowControl w:val="0"/>
        <w:kinsoku/>
        <w:wordWrap/>
        <w:overflowPunct/>
        <w:topLinePunct w:val="0"/>
        <w:autoSpaceDE/>
        <w:autoSpaceDN/>
        <w:bidi w:val="0"/>
        <w:adjustRightInd/>
        <w:snapToGrid/>
        <w:spacing w:after="0" w:line="520" w:lineRule="exact"/>
        <w:ind w:firstLine="560" w:firstLineChars="200"/>
        <w:rPr>
          <w:rFonts w:ascii="仿宋" w:hAnsi="仿宋" w:eastAsia="仿宋"/>
          <w:color w:val="auto"/>
          <w:sz w:val="28"/>
          <w:szCs w:val="28"/>
          <w:highlight w:val="none"/>
        </w:rPr>
      </w:pPr>
      <w:r>
        <w:rPr>
          <w:rFonts w:ascii="仿宋" w:hAnsi="仿宋" w:eastAsia="仿宋"/>
          <w:color w:val="auto"/>
          <w:sz w:val="28"/>
          <w:szCs w:val="28"/>
          <w:highlight w:val="none"/>
        </w:rPr>
        <w:t>GB/T 17626.5 电磁兼容 试验和测量技术 浪涌（冲击）抗扰度试验</w:t>
      </w:r>
    </w:p>
    <w:p>
      <w:pPr>
        <w:pStyle w:val="18"/>
        <w:keepNext w:val="0"/>
        <w:keepLines w:val="0"/>
        <w:pageBreakBefore w:val="0"/>
        <w:widowControl w:val="0"/>
        <w:kinsoku/>
        <w:wordWrap/>
        <w:overflowPunct/>
        <w:topLinePunct w:val="0"/>
        <w:autoSpaceDE/>
        <w:autoSpaceDN/>
        <w:bidi w:val="0"/>
        <w:adjustRightInd/>
        <w:snapToGrid/>
        <w:spacing w:after="0" w:line="520" w:lineRule="exact"/>
        <w:ind w:firstLine="560" w:firstLineChars="200"/>
        <w:rPr>
          <w:rFonts w:ascii="仿宋" w:hAnsi="仿宋" w:eastAsia="仿宋"/>
          <w:color w:val="auto"/>
          <w:sz w:val="28"/>
          <w:szCs w:val="28"/>
          <w:highlight w:val="none"/>
        </w:rPr>
      </w:pPr>
      <w:r>
        <w:rPr>
          <w:rFonts w:ascii="仿宋" w:hAnsi="仿宋" w:eastAsia="仿宋"/>
          <w:color w:val="auto"/>
          <w:sz w:val="28"/>
          <w:szCs w:val="28"/>
          <w:highlight w:val="none"/>
        </w:rPr>
        <w:t>GB/T 17626.6 电磁兼容 试验和测量技术 射频场感应的传导骚扰度试验</w:t>
      </w:r>
    </w:p>
    <w:p>
      <w:pPr>
        <w:pStyle w:val="18"/>
        <w:keepNext w:val="0"/>
        <w:keepLines w:val="0"/>
        <w:pageBreakBefore w:val="0"/>
        <w:widowControl w:val="0"/>
        <w:kinsoku/>
        <w:wordWrap/>
        <w:overflowPunct/>
        <w:topLinePunct w:val="0"/>
        <w:autoSpaceDE/>
        <w:autoSpaceDN/>
        <w:bidi w:val="0"/>
        <w:adjustRightInd/>
        <w:snapToGrid/>
        <w:spacing w:after="0" w:line="520" w:lineRule="exact"/>
        <w:ind w:firstLine="560" w:firstLineChars="200"/>
        <w:rPr>
          <w:rFonts w:ascii="仿宋" w:hAnsi="仿宋" w:eastAsia="仿宋"/>
          <w:color w:val="auto"/>
          <w:sz w:val="28"/>
          <w:szCs w:val="28"/>
          <w:highlight w:val="none"/>
        </w:rPr>
      </w:pPr>
      <w:r>
        <w:rPr>
          <w:rFonts w:ascii="仿宋" w:hAnsi="仿宋" w:eastAsia="仿宋"/>
          <w:color w:val="auto"/>
          <w:sz w:val="28"/>
          <w:szCs w:val="28"/>
          <w:highlight w:val="none"/>
        </w:rPr>
        <w:t>GB/T 17626.8 电磁兼容 试验和测量技术 工频磁场抗扰度试验</w:t>
      </w:r>
    </w:p>
    <w:p>
      <w:pPr>
        <w:pStyle w:val="18"/>
        <w:keepNext w:val="0"/>
        <w:keepLines w:val="0"/>
        <w:pageBreakBefore w:val="0"/>
        <w:widowControl w:val="0"/>
        <w:kinsoku/>
        <w:wordWrap/>
        <w:overflowPunct/>
        <w:topLinePunct w:val="0"/>
        <w:autoSpaceDE/>
        <w:autoSpaceDN/>
        <w:bidi w:val="0"/>
        <w:adjustRightInd/>
        <w:snapToGrid/>
        <w:spacing w:after="0" w:line="520" w:lineRule="exact"/>
        <w:ind w:firstLine="560" w:firstLineChars="200"/>
        <w:rPr>
          <w:rFonts w:ascii="仿宋" w:hAnsi="仿宋" w:eastAsia="仿宋"/>
          <w:color w:val="auto"/>
          <w:sz w:val="28"/>
          <w:szCs w:val="28"/>
          <w:highlight w:val="none"/>
        </w:rPr>
      </w:pPr>
      <w:r>
        <w:rPr>
          <w:rFonts w:ascii="仿宋" w:hAnsi="仿宋" w:eastAsia="仿宋"/>
          <w:color w:val="auto"/>
          <w:sz w:val="28"/>
          <w:szCs w:val="28"/>
          <w:highlight w:val="none"/>
        </w:rPr>
        <w:t>GB/T 17626.9 电磁兼容 试验和测量技术 脉冲磁场抗扰度试验</w:t>
      </w:r>
    </w:p>
    <w:p>
      <w:pPr>
        <w:pStyle w:val="18"/>
        <w:keepNext w:val="0"/>
        <w:keepLines w:val="0"/>
        <w:pageBreakBefore w:val="0"/>
        <w:widowControl w:val="0"/>
        <w:kinsoku/>
        <w:wordWrap/>
        <w:overflowPunct/>
        <w:topLinePunct w:val="0"/>
        <w:autoSpaceDE/>
        <w:autoSpaceDN/>
        <w:bidi w:val="0"/>
        <w:adjustRightInd/>
        <w:snapToGrid/>
        <w:spacing w:after="0" w:line="520" w:lineRule="exact"/>
        <w:ind w:firstLine="560" w:firstLineChars="200"/>
        <w:rPr>
          <w:rFonts w:ascii="仿宋" w:hAnsi="仿宋" w:eastAsia="仿宋"/>
          <w:color w:val="auto"/>
          <w:sz w:val="28"/>
          <w:szCs w:val="28"/>
          <w:highlight w:val="none"/>
        </w:rPr>
      </w:pPr>
      <w:r>
        <w:rPr>
          <w:rFonts w:ascii="仿宋" w:hAnsi="仿宋" w:eastAsia="仿宋"/>
          <w:color w:val="auto"/>
          <w:sz w:val="28"/>
          <w:szCs w:val="28"/>
          <w:highlight w:val="none"/>
        </w:rPr>
        <w:t>GB/T 17626.10 电磁兼容 试验和测量技术 阻尼震荡磁场抗扰度试验</w:t>
      </w:r>
    </w:p>
    <w:p>
      <w:pPr>
        <w:pStyle w:val="18"/>
        <w:keepNext w:val="0"/>
        <w:keepLines w:val="0"/>
        <w:pageBreakBefore w:val="0"/>
        <w:widowControl w:val="0"/>
        <w:kinsoku/>
        <w:wordWrap/>
        <w:overflowPunct/>
        <w:topLinePunct w:val="0"/>
        <w:autoSpaceDE/>
        <w:autoSpaceDN/>
        <w:bidi w:val="0"/>
        <w:adjustRightInd/>
        <w:snapToGrid/>
        <w:spacing w:after="0" w:line="520" w:lineRule="exact"/>
        <w:ind w:firstLine="560" w:firstLineChars="200"/>
        <w:rPr>
          <w:rFonts w:ascii="仿宋" w:hAnsi="仿宋" w:eastAsia="仿宋"/>
          <w:color w:val="auto"/>
          <w:sz w:val="28"/>
          <w:szCs w:val="28"/>
          <w:highlight w:val="none"/>
        </w:rPr>
      </w:pPr>
      <w:r>
        <w:rPr>
          <w:rFonts w:ascii="仿宋" w:hAnsi="仿宋" w:eastAsia="仿宋"/>
          <w:color w:val="auto"/>
          <w:sz w:val="28"/>
          <w:szCs w:val="28"/>
          <w:highlight w:val="none"/>
        </w:rPr>
        <w:t>GB/T 17626.11 电磁兼容 试验和测量技术 电压暂降、短时中断和电压变化的抗扰度试验</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rPr>
          <w:rFonts w:ascii="仿宋" w:hAnsi="仿宋" w:eastAsia="仿宋" w:cs="Times New Roman"/>
          <w:color w:val="auto"/>
          <w:sz w:val="28"/>
          <w:szCs w:val="28"/>
          <w:highlight w:val="none"/>
        </w:rPr>
      </w:pPr>
      <w:r>
        <w:rPr>
          <w:rFonts w:ascii="仿宋" w:hAnsi="仿宋" w:eastAsia="仿宋" w:cs="Times New Roman"/>
          <w:color w:val="auto"/>
          <w:sz w:val="28"/>
          <w:szCs w:val="28"/>
          <w:highlight w:val="none"/>
        </w:rPr>
        <w:t>GB/T 17626.13 电磁兼容 试验和测量技术 交流电源端口谐波、谐间波及电网信号的低频抗扰度试验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黑体" w:hAnsi="黑体" w:eastAsia="黑体" w:cs="黑体"/>
          <w:bCs/>
          <w:color w:val="auto"/>
          <w:sz w:val="28"/>
          <w:szCs w:val="28"/>
          <w:highlight w:val="none"/>
          <w:lang w:eastAsia="zh-CN"/>
        </w:rPr>
      </w:pPr>
      <w:bookmarkStart w:id="5" w:name="_Toc16982"/>
      <w:r>
        <w:rPr>
          <w:rFonts w:hint="eastAsia" w:ascii="黑体" w:hAnsi="黑体" w:eastAsia="黑体" w:cs="黑体"/>
          <w:bCs/>
          <w:color w:val="auto"/>
          <w:sz w:val="28"/>
          <w:szCs w:val="28"/>
          <w:highlight w:val="none"/>
          <w:lang w:eastAsia="zh-CN"/>
        </w:rPr>
        <w:t>（三）实地调研及现场应用</w:t>
      </w:r>
      <w:bookmarkEnd w:id="5"/>
    </w:p>
    <w:p>
      <w:pPr>
        <w:pStyle w:val="18"/>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01" w:firstLineChars="0"/>
        <w:jc w:val="both"/>
        <w:textAlignment w:val="baseline"/>
        <w:outlineLvl w:val="9"/>
        <w:rPr>
          <w:rFonts w:ascii="仿宋" w:hAnsi="仿宋" w:eastAsia="仿宋"/>
          <w:color w:val="auto"/>
          <w:sz w:val="28"/>
          <w:szCs w:val="28"/>
          <w:highlight w:val="none"/>
        </w:rPr>
      </w:pPr>
      <w:r>
        <w:rPr>
          <w:rFonts w:hint="eastAsia" w:ascii="仿宋" w:hAnsi="仿宋" w:eastAsia="仿宋"/>
          <w:color w:val="auto"/>
          <w:sz w:val="28"/>
          <w:szCs w:val="28"/>
          <w:highlight w:val="none"/>
          <w:lang w:eastAsia="zh-CN"/>
        </w:rPr>
        <w:t>项目团队</w:t>
      </w:r>
      <w:r>
        <w:rPr>
          <w:rFonts w:ascii="仿宋" w:hAnsi="仿宋" w:eastAsia="仿宋"/>
          <w:color w:val="auto"/>
          <w:sz w:val="28"/>
          <w:szCs w:val="28"/>
          <w:highlight w:val="none"/>
        </w:rPr>
        <w:t>在智能电流传感相关领域</w:t>
      </w:r>
      <w:r>
        <w:rPr>
          <w:rFonts w:hint="eastAsia" w:ascii="仿宋" w:hAnsi="仿宋" w:eastAsia="仿宋"/>
          <w:color w:val="auto"/>
          <w:sz w:val="28"/>
          <w:szCs w:val="28"/>
          <w:highlight w:val="none"/>
        </w:rPr>
        <w:t>开展</w:t>
      </w:r>
      <w:r>
        <w:rPr>
          <w:rFonts w:ascii="仿宋" w:hAnsi="仿宋" w:eastAsia="仿宋"/>
          <w:color w:val="auto"/>
          <w:sz w:val="28"/>
          <w:szCs w:val="28"/>
          <w:highlight w:val="none"/>
        </w:rPr>
        <w:t>了一系列的研究</w:t>
      </w:r>
      <w:r>
        <w:rPr>
          <w:rFonts w:hint="eastAsia" w:ascii="仿宋" w:hAnsi="仿宋" w:eastAsia="仿宋"/>
          <w:color w:val="auto"/>
          <w:sz w:val="28"/>
          <w:szCs w:val="28"/>
          <w:highlight w:val="none"/>
        </w:rPr>
        <w:t>工作</w:t>
      </w:r>
      <w:r>
        <w:rPr>
          <w:rFonts w:ascii="仿宋" w:hAnsi="仿宋" w:eastAsia="仿宋"/>
          <w:color w:val="auto"/>
          <w:sz w:val="28"/>
          <w:szCs w:val="28"/>
          <w:highlight w:val="none"/>
        </w:rPr>
        <w:t>，成功研制出具有</w:t>
      </w:r>
      <w:r>
        <w:rPr>
          <w:rFonts w:hint="eastAsia" w:ascii="仿宋" w:hAnsi="仿宋" w:eastAsia="仿宋"/>
          <w:color w:val="auto"/>
          <w:sz w:val="28"/>
          <w:szCs w:val="28"/>
          <w:highlight w:val="none"/>
        </w:rPr>
        <w:t>完全</w:t>
      </w:r>
      <w:r>
        <w:rPr>
          <w:rFonts w:ascii="仿宋" w:hAnsi="仿宋" w:eastAsia="仿宋"/>
          <w:color w:val="auto"/>
          <w:sz w:val="28"/>
          <w:szCs w:val="28"/>
          <w:highlight w:val="none"/>
        </w:rPr>
        <w:t>自主知识产权的微型智能电流传感器</w:t>
      </w:r>
      <w:r>
        <w:rPr>
          <w:rFonts w:hint="eastAsia" w:ascii="仿宋" w:hAnsi="仿宋" w:eastAsia="仿宋"/>
          <w:color w:val="auto"/>
          <w:sz w:val="28"/>
          <w:szCs w:val="28"/>
          <w:highlight w:val="none"/>
        </w:rPr>
        <w:t>，实现了技术世界领先。</w:t>
      </w:r>
      <w:r>
        <w:rPr>
          <w:rFonts w:hint="eastAsia" w:ascii="仿宋" w:hAnsi="仿宋" w:eastAsia="仿宋"/>
          <w:color w:val="auto"/>
          <w:sz w:val="28"/>
          <w:szCs w:val="28"/>
          <w:highlight w:val="none"/>
          <w:lang w:eastAsia="zh-CN"/>
        </w:rPr>
        <w:t>起草单位联合</w:t>
      </w:r>
      <w:r>
        <w:rPr>
          <w:rFonts w:hint="eastAsia" w:ascii="仿宋" w:hAnsi="仿宋" w:eastAsia="仿宋"/>
          <w:color w:val="auto"/>
          <w:sz w:val="28"/>
          <w:szCs w:val="28"/>
          <w:highlight w:val="none"/>
        </w:rPr>
        <w:t>南宁市应急局</w:t>
      </w:r>
      <w:r>
        <w:rPr>
          <w:rFonts w:hint="eastAsia" w:ascii="仿宋" w:hAnsi="仿宋" w:eastAsia="仿宋"/>
          <w:color w:val="auto"/>
          <w:sz w:val="28"/>
          <w:szCs w:val="28"/>
          <w:highlight w:val="none"/>
          <w:lang w:eastAsia="zh-CN"/>
        </w:rPr>
        <w:t>等单位前往南宁轨道交通、南宁百货大楼、广西中医药大学第一附属医院、皇氏集团华南乳品公司等多地开展智慧安全用电现场调研。</w:t>
      </w:r>
      <w:r>
        <w:rPr>
          <w:rFonts w:ascii="仿宋" w:hAnsi="仿宋" w:eastAsia="仿宋"/>
          <w:color w:val="auto"/>
          <w:sz w:val="28"/>
          <w:szCs w:val="28"/>
          <w:highlight w:val="none"/>
        </w:rPr>
        <w:t>第三方测试</w:t>
      </w:r>
      <w:r>
        <w:rPr>
          <w:rFonts w:hint="eastAsia" w:ascii="仿宋" w:hAnsi="仿宋" w:eastAsia="仿宋"/>
          <w:color w:val="auto"/>
          <w:sz w:val="28"/>
          <w:szCs w:val="28"/>
          <w:highlight w:val="none"/>
        </w:rPr>
        <w:t>结果</w:t>
      </w:r>
      <w:r>
        <w:rPr>
          <w:rFonts w:ascii="仿宋" w:hAnsi="仿宋" w:eastAsia="仿宋"/>
          <w:color w:val="auto"/>
          <w:sz w:val="28"/>
          <w:szCs w:val="28"/>
          <w:highlight w:val="none"/>
        </w:rPr>
        <w:t>及现场</w:t>
      </w:r>
      <w:r>
        <w:rPr>
          <w:rFonts w:hint="eastAsia" w:ascii="仿宋" w:hAnsi="仿宋" w:eastAsia="仿宋"/>
          <w:color w:val="auto"/>
          <w:sz w:val="28"/>
          <w:szCs w:val="28"/>
          <w:highlight w:val="none"/>
          <w:lang w:eastAsia="zh-CN"/>
        </w:rPr>
        <w:t>调研</w:t>
      </w:r>
      <w:r>
        <w:rPr>
          <w:rFonts w:ascii="仿宋" w:hAnsi="仿宋" w:eastAsia="仿宋"/>
          <w:color w:val="auto"/>
          <w:sz w:val="28"/>
          <w:szCs w:val="28"/>
          <w:highlight w:val="none"/>
        </w:rPr>
        <w:t>情况表明，微型智能电流传感器在</w:t>
      </w:r>
      <w:r>
        <w:rPr>
          <w:rFonts w:hint="eastAsia" w:ascii="仿宋" w:hAnsi="仿宋" w:eastAsia="仿宋"/>
          <w:color w:val="auto"/>
          <w:sz w:val="28"/>
          <w:szCs w:val="28"/>
          <w:highlight w:val="none"/>
        </w:rPr>
        <w:t>精度、量程、体积、频率范围、自取能等指标均实现了对国内外主流技术的超越</w:t>
      </w:r>
      <w:r>
        <w:rPr>
          <w:rFonts w:ascii="仿宋" w:hAnsi="仿宋" w:eastAsia="仿宋"/>
          <w:color w:val="auto"/>
          <w:sz w:val="28"/>
          <w:szCs w:val="28"/>
          <w:highlight w:val="none"/>
        </w:rPr>
        <w:t>（详见表</w:t>
      </w:r>
      <w:r>
        <w:rPr>
          <w:rFonts w:hint="eastAsia" w:ascii="仿宋" w:hAnsi="仿宋" w:eastAsia="仿宋"/>
          <w:color w:val="auto"/>
          <w:sz w:val="28"/>
          <w:szCs w:val="28"/>
          <w:highlight w:val="none"/>
          <w:lang w:val="en-US" w:eastAsia="zh-CN"/>
        </w:rPr>
        <w:t>2</w:t>
      </w:r>
      <w:r>
        <w:rPr>
          <w:rFonts w:ascii="仿宋" w:hAnsi="仿宋" w:eastAsia="仿宋"/>
          <w:color w:val="auto"/>
          <w:sz w:val="28"/>
          <w:szCs w:val="28"/>
          <w:highlight w:val="none"/>
        </w:rPr>
        <w:t>）。</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黑体" w:hAnsi="黑体" w:eastAsia="黑体"/>
          <w:color w:val="auto"/>
          <w:sz w:val="24"/>
          <w:szCs w:val="24"/>
          <w:highlight w:val="none"/>
        </w:rPr>
      </w:pPr>
      <w:r>
        <w:rPr>
          <w:rFonts w:ascii="黑体" w:hAnsi="黑体" w:eastAsia="黑体"/>
          <w:color w:val="auto"/>
          <w:sz w:val="24"/>
          <w:szCs w:val="24"/>
          <w:highlight w:val="none"/>
        </w:rPr>
        <w:t>表</w:t>
      </w:r>
      <w:r>
        <w:rPr>
          <w:rFonts w:hint="eastAsia" w:ascii="黑体" w:hAnsi="黑体" w:eastAsia="黑体"/>
          <w:color w:val="auto"/>
          <w:sz w:val="24"/>
          <w:szCs w:val="24"/>
          <w:highlight w:val="none"/>
          <w:lang w:val="en-US" w:eastAsia="zh-CN"/>
        </w:rPr>
        <w:t>2</w:t>
      </w:r>
      <w:r>
        <w:rPr>
          <w:rFonts w:ascii="黑体" w:hAnsi="黑体" w:eastAsia="黑体"/>
          <w:color w:val="auto"/>
          <w:sz w:val="24"/>
          <w:szCs w:val="24"/>
          <w:highlight w:val="none"/>
        </w:rPr>
        <w:t xml:space="preserve"> 核心指标对比</w:t>
      </w:r>
    </w:p>
    <w:tbl>
      <w:tblPr>
        <w:tblStyle w:val="11"/>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2591"/>
        <w:gridCol w:w="2154"/>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rPr>
        <w:tc>
          <w:tcPr>
            <w:tcW w:w="1390" w:type="dxa"/>
            <w:vAlign w:val="center"/>
          </w:tcPr>
          <w:p>
            <w:pPr>
              <w:pStyle w:val="18"/>
              <w:spacing w:after="0" w:line="420" w:lineRule="exact"/>
              <w:jc w:val="center"/>
              <w:rPr>
                <w:rFonts w:hint="eastAsia" w:ascii="仿宋" w:hAnsi="仿宋" w:eastAsia="仿宋"/>
                <w:b/>
                <w:bCs/>
                <w:color w:val="auto"/>
                <w:kern w:val="0"/>
                <w:sz w:val="24"/>
                <w:szCs w:val="24"/>
                <w:highlight w:val="none"/>
                <w:lang w:eastAsia="zh-CN"/>
              </w:rPr>
            </w:pPr>
            <w:r>
              <w:rPr>
                <w:rFonts w:hint="eastAsia" w:ascii="仿宋" w:hAnsi="仿宋" w:eastAsia="仿宋"/>
                <w:b/>
                <w:bCs/>
                <w:color w:val="auto"/>
                <w:kern w:val="0"/>
                <w:sz w:val="24"/>
                <w:szCs w:val="24"/>
                <w:highlight w:val="none"/>
                <w:lang w:eastAsia="zh-CN"/>
              </w:rPr>
              <w:t>核心指标</w:t>
            </w:r>
          </w:p>
        </w:tc>
        <w:tc>
          <w:tcPr>
            <w:tcW w:w="2591" w:type="dxa"/>
            <w:vAlign w:val="center"/>
          </w:tcPr>
          <w:p>
            <w:pPr>
              <w:pStyle w:val="18"/>
              <w:spacing w:after="0" w:line="420" w:lineRule="exact"/>
              <w:jc w:val="center"/>
              <w:rPr>
                <w:rFonts w:ascii="仿宋" w:hAnsi="仿宋" w:eastAsia="仿宋"/>
                <w:b/>
                <w:bCs/>
                <w:color w:val="auto"/>
                <w:kern w:val="0"/>
                <w:sz w:val="24"/>
                <w:szCs w:val="24"/>
                <w:highlight w:val="none"/>
              </w:rPr>
            </w:pPr>
            <w:r>
              <w:rPr>
                <w:rFonts w:ascii="仿宋" w:hAnsi="仿宋" w:eastAsia="仿宋"/>
                <w:b/>
                <w:bCs/>
                <w:color w:val="auto"/>
                <w:kern w:val="0"/>
                <w:sz w:val="24"/>
                <w:szCs w:val="24"/>
                <w:highlight w:val="none"/>
              </w:rPr>
              <w:t>微型智能电流传感器</w:t>
            </w:r>
          </w:p>
        </w:tc>
        <w:tc>
          <w:tcPr>
            <w:tcW w:w="2154" w:type="dxa"/>
            <w:vAlign w:val="center"/>
          </w:tcPr>
          <w:p>
            <w:pPr>
              <w:pStyle w:val="18"/>
              <w:spacing w:after="0" w:line="420" w:lineRule="exact"/>
              <w:jc w:val="center"/>
              <w:rPr>
                <w:rFonts w:ascii="仿宋" w:hAnsi="仿宋" w:eastAsia="仿宋"/>
                <w:b/>
                <w:bCs/>
                <w:color w:val="auto"/>
                <w:kern w:val="0"/>
                <w:sz w:val="24"/>
                <w:szCs w:val="24"/>
                <w:highlight w:val="none"/>
              </w:rPr>
            </w:pPr>
            <w:r>
              <w:rPr>
                <w:rFonts w:ascii="仿宋" w:hAnsi="仿宋" w:eastAsia="仿宋"/>
                <w:b/>
                <w:bCs/>
                <w:color w:val="auto"/>
                <w:kern w:val="0"/>
                <w:sz w:val="24"/>
                <w:szCs w:val="24"/>
                <w:highlight w:val="none"/>
              </w:rPr>
              <w:t>现有主流设备</w:t>
            </w:r>
          </w:p>
        </w:tc>
        <w:tc>
          <w:tcPr>
            <w:tcW w:w="2161" w:type="dxa"/>
            <w:vAlign w:val="center"/>
          </w:tcPr>
          <w:p>
            <w:pPr>
              <w:pStyle w:val="18"/>
              <w:spacing w:after="0" w:line="420" w:lineRule="exact"/>
              <w:jc w:val="center"/>
              <w:rPr>
                <w:rFonts w:hint="eastAsia" w:ascii="仿宋" w:hAnsi="仿宋" w:eastAsia="仿宋"/>
                <w:b/>
                <w:bCs/>
                <w:color w:val="auto"/>
                <w:kern w:val="0"/>
                <w:sz w:val="24"/>
                <w:szCs w:val="24"/>
                <w:highlight w:val="none"/>
                <w:lang w:eastAsia="zh-CN"/>
              </w:rPr>
            </w:pPr>
            <w:r>
              <w:rPr>
                <w:rFonts w:hint="eastAsia" w:ascii="仿宋" w:hAnsi="仿宋" w:eastAsia="仿宋"/>
                <w:b/>
                <w:bCs/>
                <w:color w:val="auto"/>
                <w:kern w:val="0"/>
                <w:sz w:val="24"/>
                <w:szCs w:val="24"/>
                <w:highlight w:val="none"/>
                <w:lang w:eastAsia="zh-CN"/>
              </w:rPr>
              <w:t>比对结果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390"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outlineLvl w:val="9"/>
              <w:rPr>
                <w:rFonts w:hint="eastAsia" w:ascii="仿宋" w:hAnsi="仿宋" w:eastAsia="仿宋"/>
                <w:color w:val="auto"/>
                <w:kern w:val="2"/>
                <w:sz w:val="24"/>
                <w:szCs w:val="24"/>
                <w:highlight w:val="none"/>
                <w:lang w:val="en-US" w:eastAsia="zh-CN"/>
              </w:rPr>
            </w:pPr>
            <w:r>
              <w:rPr>
                <w:rFonts w:hint="default" w:ascii="仿宋" w:hAnsi="仿宋" w:eastAsia="仿宋"/>
                <w:color w:val="auto"/>
                <w:kern w:val="2"/>
                <w:sz w:val="24"/>
                <w:szCs w:val="24"/>
                <w:highlight w:val="none"/>
              </w:rPr>
              <w:t>技术架构</w:t>
            </w:r>
          </w:p>
        </w:tc>
        <w:tc>
          <w:tcPr>
            <w:tcW w:w="2591"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outlineLvl w:val="9"/>
              <w:rPr>
                <w:rFonts w:hint="default" w:ascii="仿宋" w:hAnsi="仿宋" w:eastAsia="仿宋"/>
                <w:color w:val="auto"/>
                <w:kern w:val="2"/>
                <w:sz w:val="24"/>
                <w:szCs w:val="24"/>
                <w:highlight w:val="none"/>
                <w:lang w:val="en-US" w:eastAsia="zh-CN"/>
              </w:rPr>
            </w:pPr>
            <w:r>
              <w:rPr>
                <w:rFonts w:hint="default" w:ascii="仿宋" w:hAnsi="仿宋" w:eastAsia="仿宋"/>
                <w:color w:val="auto"/>
                <w:kern w:val="2"/>
                <w:sz w:val="24"/>
                <w:szCs w:val="24"/>
                <w:highlight w:val="none"/>
              </w:rPr>
              <w:t>非侵入式、芯片化、等电位架构（微型化、厘米级）</w:t>
            </w:r>
          </w:p>
        </w:tc>
        <w:tc>
          <w:tcPr>
            <w:tcW w:w="2154"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outlineLvl w:val="9"/>
              <w:rPr>
                <w:rFonts w:hint="default" w:ascii="仿宋" w:hAnsi="仿宋" w:eastAsia="仿宋"/>
                <w:color w:val="auto"/>
                <w:kern w:val="2"/>
                <w:sz w:val="24"/>
                <w:szCs w:val="24"/>
                <w:highlight w:val="none"/>
              </w:rPr>
            </w:pPr>
            <w:r>
              <w:rPr>
                <w:rFonts w:hint="default" w:ascii="仿宋" w:hAnsi="仿宋" w:eastAsia="仿宋"/>
                <w:color w:val="auto"/>
                <w:kern w:val="2"/>
                <w:sz w:val="24"/>
                <w:szCs w:val="24"/>
                <w:highlight w:val="none"/>
              </w:rPr>
              <w:t>侵入式、互感器、油气绝缘结构</w:t>
            </w:r>
          </w:p>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outlineLvl w:val="9"/>
              <w:rPr>
                <w:rFonts w:hint="default" w:ascii="仿宋" w:hAnsi="仿宋" w:eastAsia="仿宋"/>
                <w:color w:val="auto"/>
                <w:kern w:val="2"/>
                <w:sz w:val="24"/>
                <w:szCs w:val="24"/>
                <w:highlight w:val="none"/>
                <w:lang w:val="en-US" w:eastAsia="zh-CN"/>
              </w:rPr>
            </w:pPr>
            <w:r>
              <w:rPr>
                <w:rFonts w:hint="default" w:ascii="仿宋" w:hAnsi="仿宋" w:eastAsia="仿宋"/>
                <w:color w:val="auto"/>
                <w:kern w:val="2"/>
                <w:sz w:val="24"/>
                <w:szCs w:val="24"/>
                <w:highlight w:val="none"/>
              </w:rPr>
              <w:t>（体积大、米级）</w:t>
            </w:r>
          </w:p>
        </w:tc>
        <w:tc>
          <w:tcPr>
            <w:tcW w:w="2161"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outlineLvl w:val="9"/>
              <w:rPr>
                <w:rFonts w:hint="eastAsia" w:ascii="仿宋" w:hAnsi="仿宋" w:eastAsia="仿宋"/>
                <w:color w:val="auto"/>
                <w:kern w:val="2"/>
                <w:sz w:val="24"/>
                <w:szCs w:val="24"/>
                <w:highlight w:val="none"/>
                <w:lang w:eastAsia="zh-CN"/>
              </w:rPr>
            </w:pPr>
            <w:r>
              <w:rPr>
                <w:rFonts w:hint="eastAsia" w:ascii="仿宋" w:hAnsi="仿宋" w:eastAsia="仿宋"/>
                <w:color w:val="auto"/>
                <w:kern w:val="2"/>
                <w:sz w:val="24"/>
                <w:szCs w:val="24"/>
                <w:highlight w:val="none"/>
                <w:lang w:eastAsia="zh-CN"/>
              </w:rPr>
              <w:t>开创了厘米级芯片化传感器替代米级传统互感器的全新技术路线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1390"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0"/>
                <w:sz w:val="24"/>
                <w:szCs w:val="24"/>
                <w:highlight w:val="none"/>
              </w:rPr>
            </w:pPr>
            <w:r>
              <w:rPr>
                <w:rFonts w:ascii="仿宋" w:hAnsi="仿宋" w:eastAsia="仿宋"/>
                <w:color w:val="auto"/>
                <w:kern w:val="0"/>
                <w:sz w:val="24"/>
                <w:szCs w:val="24"/>
                <w:highlight w:val="none"/>
              </w:rPr>
              <w:t>精度等级</w:t>
            </w:r>
          </w:p>
        </w:tc>
        <w:tc>
          <w:tcPr>
            <w:tcW w:w="2591"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outlineLvl w:val="9"/>
              <w:rPr>
                <w:rFonts w:ascii="仿宋" w:hAnsi="仿宋" w:eastAsia="仿宋"/>
                <w:color w:val="auto"/>
                <w:kern w:val="2"/>
                <w:sz w:val="24"/>
                <w:szCs w:val="24"/>
                <w:highlight w:val="none"/>
              </w:rPr>
            </w:pPr>
            <w:r>
              <w:rPr>
                <w:rFonts w:ascii="仿宋" w:hAnsi="仿宋" w:eastAsia="仿宋"/>
                <w:color w:val="auto"/>
                <w:kern w:val="2"/>
                <w:sz w:val="24"/>
                <w:szCs w:val="24"/>
                <w:highlight w:val="none"/>
              </w:rPr>
              <w:t>0.5</w:t>
            </w:r>
            <w:r>
              <w:rPr>
                <w:rFonts w:hint="eastAsia" w:ascii="仿宋" w:hAnsi="仿宋" w:eastAsia="仿宋"/>
                <w:color w:val="auto"/>
                <w:kern w:val="2"/>
                <w:sz w:val="24"/>
                <w:szCs w:val="24"/>
                <w:highlight w:val="none"/>
                <w:lang w:val="en-US" w:eastAsia="zh-CN"/>
              </w:rPr>
              <w:t>S</w:t>
            </w:r>
            <w:r>
              <w:rPr>
                <w:rFonts w:ascii="仿宋" w:hAnsi="仿宋" w:eastAsia="仿宋"/>
                <w:color w:val="auto"/>
                <w:kern w:val="2"/>
                <w:sz w:val="24"/>
                <w:szCs w:val="24"/>
                <w:highlight w:val="none"/>
              </w:rPr>
              <w:t>级</w:t>
            </w:r>
          </w:p>
        </w:tc>
        <w:tc>
          <w:tcPr>
            <w:tcW w:w="2154"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outlineLvl w:val="9"/>
              <w:rPr>
                <w:rFonts w:ascii="仿宋" w:hAnsi="仿宋" w:eastAsia="仿宋"/>
                <w:color w:val="auto"/>
                <w:kern w:val="2"/>
                <w:sz w:val="24"/>
                <w:szCs w:val="24"/>
                <w:highlight w:val="none"/>
              </w:rPr>
            </w:pPr>
            <w:r>
              <w:rPr>
                <w:rFonts w:hint="eastAsia" w:ascii="仿宋" w:hAnsi="仿宋" w:eastAsia="仿宋"/>
                <w:color w:val="auto"/>
                <w:kern w:val="2"/>
                <w:sz w:val="24"/>
                <w:szCs w:val="24"/>
                <w:highlight w:val="none"/>
                <w:lang w:val="en-US" w:eastAsia="zh-CN"/>
              </w:rPr>
              <w:t>1</w:t>
            </w:r>
            <w:r>
              <w:rPr>
                <w:rFonts w:hint="eastAsia" w:ascii="仿宋" w:hAnsi="仿宋" w:eastAsia="仿宋"/>
                <w:color w:val="auto"/>
                <w:kern w:val="2"/>
                <w:sz w:val="24"/>
                <w:szCs w:val="24"/>
                <w:highlight w:val="none"/>
              </w:rPr>
              <w:t>～</w:t>
            </w:r>
            <w:r>
              <w:rPr>
                <w:rFonts w:hint="eastAsia" w:ascii="仿宋" w:hAnsi="仿宋" w:eastAsia="仿宋"/>
                <w:color w:val="auto"/>
                <w:kern w:val="2"/>
                <w:sz w:val="24"/>
                <w:szCs w:val="24"/>
                <w:highlight w:val="none"/>
                <w:lang w:val="en-US" w:eastAsia="zh-CN"/>
              </w:rPr>
              <w:t>2</w:t>
            </w:r>
            <w:r>
              <w:rPr>
                <w:rFonts w:ascii="仿宋" w:hAnsi="仿宋" w:eastAsia="仿宋"/>
                <w:color w:val="auto"/>
                <w:kern w:val="2"/>
                <w:sz w:val="24"/>
                <w:szCs w:val="24"/>
                <w:highlight w:val="none"/>
              </w:rPr>
              <w:t>级</w:t>
            </w:r>
          </w:p>
        </w:tc>
        <w:tc>
          <w:tcPr>
            <w:tcW w:w="2161"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outlineLvl w:val="9"/>
              <w:rPr>
                <w:rFonts w:hint="eastAsia" w:ascii="仿宋" w:hAnsi="仿宋" w:eastAsia="仿宋"/>
                <w:color w:val="auto"/>
                <w:kern w:val="2"/>
                <w:sz w:val="24"/>
                <w:szCs w:val="24"/>
                <w:highlight w:val="none"/>
                <w:lang w:val="en-US" w:eastAsia="zh-CN"/>
              </w:rPr>
            </w:pPr>
            <w:r>
              <w:rPr>
                <w:rFonts w:hint="eastAsia" w:ascii="仿宋" w:hAnsi="仿宋" w:eastAsia="仿宋"/>
                <w:color w:val="auto"/>
                <w:kern w:val="2"/>
                <w:sz w:val="24"/>
                <w:szCs w:val="24"/>
                <w:highlight w:val="none"/>
                <w:lang w:val="en-US" w:eastAsia="zh-CN"/>
              </w:rPr>
              <w:t>高精度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trPr>
        <w:tc>
          <w:tcPr>
            <w:tcW w:w="1390"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lang w:eastAsia="zh-CN"/>
              </w:rPr>
              <w:t>最大量程</w:t>
            </w:r>
          </w:p>
        </w:tc>
        <w:tc>
          <w:tcPr>
            <w:tcW w:w="2591"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2400A</w:t>
            </w:r>
          </w:p>
        </w:tc>
        <w:tc>
          <w:tcPr>
            <w:tcW w:w="2154"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lang w:val="en-US" w:eastAsia="zh-CN"/>
              </w:rPr>
              <w:t>400A</w:t>
            </w:r>
            <w:r>
              <w:rPr>
                <w:rFonts w:hint="eastAsia" w:ascii="仿宋" w:hAnsi="仿宋" w:eastAsia="仿宋"/>
                <w:color w:val="auto"/>
                <w:kern w:val="2"/>
                <w:sz w:val="24"/>
                <w:szCs w:val="24"/>
                <w:highlight w:val="none"/>
              </w:rPr>
              <w:t>～</w:t>
            </w:r>
            <w:r>
              <w:rPr>
                <w:rFonts w:hint="eastAsia" w:ascii="仿宋" w:hAnsi="仿宋" w:eastAsia="仿宋"/>
                <w:color w:val="auto"/>
                <w:kern w:val="0"/>
                <w:sz w:val="24"/>
                <w:szCs w:val="24"/>
                <w:highlight w:val="none"/>
              </w:rPr>
              <w:t>2</w:t>
            </w:r>
            <w:r>
              <w:rPr>
                <w:rFonts w:hint="eastAsia" w:ascii="仿宋" w:hAnsi="仿宋" w:eastAsia="仿宋"/>
                <w:color w:val="auto"/>
                <w:kern w:val="0"/>
                <w:sz w:val="24"/>
                <w:szCs w:val="24"/>
                <w:highlight w:val="none"/>
                <w:lang w:val="en-US" w:eastAsia="zh-CN"/>
              </w:rPr>
              <w:t>0</w:t>
            </w:r>
            <w:r>
              <w:rPr>
                <w:rFonts w:hint="eastAsia" w:ascii="仿宋" w:hAnsi="仿宋" w:eastAsia="仿宋"/>
                <w:color w:val="auto"/>
                <w:kern w:val="0"/>
                <w:sz w:val="24"/>
                <w:szCs w:val="24"/>
                <w:highlight w:val="none"/>
              </w:rPr>
              <w:t>00A</w:t>
            </w:r>
          </w:p>
        </w:tc>
        <w:tc>
          <w:tcPr>
            <w:tcW w:w="2161"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hint="eastAsia"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宽量程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rPr>
        <w:tc>
          <w:tcPr>
            <w:tcW w:w="1390"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hint="eastAsia" w:ascii="仿宋" w:hAnsi="仿宋" w:eastAsia="仿宋"/>
                <w:color w:val="auto"/>
                <w:kern w:val="0"/>
                <w:sz w:val="24"/>
                <w:szCs w:val="24"/>
                <w:highlight w:val="none"/>
                <w:lang w:eastAsia="zh-CN"/>
              </w:rPr>
            </w:pPr>
            <w:r>
              <w:rPr>
                <w:rFonts w:ascii="仿宋" w:hAnsi="仿宋" w:eastAsia="仿宋"/>
                <w:color w:val="auto"/>
                <w:kern w:val="0"/>
                <w:sz w:val="24"/>
                <w:szCs w:val="24"/>
                <w:highlight w:val="none"/>
              </w:rPr>
              <w:t>体积</w:t>
            </w:r>
          </w:p>
        </w:tc>
        <w:tc>
          <w:tcPr>
            <w:tcW w:w="2591"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lang w:eastAsia="zh-CN"/>
              </w:rPr>
              <w:t>厘米级</w:t>
            </w:r>
          </w:p>
        </w:tc>
        <w:tc>
          <w:tcPr>
            <w:tcW w:w="2154"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hint="eastAsia" w:ascii="仿宋" w:hAnsi="仿宋" w:eastAsia="仿宋"/>
                <w:color w:val="auto"/>
                <w:kern w:val="0"/>
                <w:sz w:val="24"/>
                <w:szCs w:val="24"/>
                <w:highlight w:val="none"/>
                <w:lang w:eastAsia="zh-CN"/>
              </w:rPr>
            </w:pPr>
            <w:r>
              <w:rPr>
                <w:rFonts w:ascii="仿宋" w:hAnsi="仿宋" w:eastAsia="仿宋"/>
                <w:color w:val="auto"/>
                <w:kern w:val="0"/>
                <w:sz w:val="24"/>
                <w:szCs w:val="24"/>
                <w:highlight w:val="none"/>
              </w:rPr>
              <w:t>米</w:t>
            </w:r>
            <w:r>
              <w:rPr>
                <w:rFonts w:hint="eastAsia" w:ascii="仿宋" w:hAnsi="仿宋" w:eastAsia="仿宋"/>
                <w:color w:val="auto"/>
                <w:kern w:val="0"/>
                <w:sz w:val="24"/>
                <w:szCs w:val="24"/>
                <w:highlight w:val="none"/>
                <w:lang w:eastAsia="zh-CN"/>
              </w:rPr>
              <w:t>级</w:t>
            </w:r>
          </w:p>
        </w:tc>
        <w:tc>
          <w:tcPr>
            <w:tcW w:w="2161"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outlineLvl w:val="9"/>
              <w:rPr>
                <w:rFonts w:hint="eastAsia"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eastAsia="zh-CN"/>
              </w:rPr>
              <w:t>微体积（</w:t>
            </w:r>
            <w:r>
              <w:rPr>
                <w:rFonts w:ascii="仿宋" w:hAnsi="仿宋" w:eastAsia="仿宋"/>
                <w:color w:val="auto"/>
                <w:kern w:val="0"/>
                <w:sz w:val="24"/>
                <w:szCs w:val="24"/>
                <w:highlight w:val="none"/>
              </w:rPr>
              <w:t>缩小2</w:t>
            </w:r>
            <w:r>
              <w:rPr>
                <w:rFonts w:hint="eastAsia" w:ascii="仿宋" w:hAnsi="仿宋" w:eastAsia="仿宋"/>
                <w:color w:val="auto"/>
                <w:kern w:val="2"/>
                <w:sz w:val="24"/>
                <w:szCs w:val="24"/>
                <w:highlight w:val="none"/>
              </w:rPr>
              <w:t>～</w:t>
            </w:r>
            <w:r>
              <w:rPr>
                <w:rFonts w:ascii="仿宋" w:hAnsi="仿宋" w:eastAsia="仿宋"/>
                <w:color w:val="auto"/>
                <w:kern w:val="0"/>
                <w:sz w:val="24"/>
                <w:szCs w:val="24"/>
                <w:highlight w:val="none"/>
              </w:rPr>
              <w:t>3个数量级</w:t>
            </w:r>
            <w:r>
              <w:rPr>
                <w:rFonts w:hint="eastAsia" w:ascii="仿宋" w:hAnsi="仿宋" w:eastAsia="仿宋"/>
                <w:color w:val="auto"/>
                <w:kern w:val="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1390"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0"/>
                <w:sz w:val="24"/>
                <w:szCs w:val="24"/>
                <w:highlight w:val="none"/>
              </w:rPr>
            </w:pPr>
            <w:r>
              <w:rPr>
                <w:rFonts w:ascii="仿宋" w:hAnsi="仿宋" w:eastAsia="仿宋"/>
                <w:color w:val="auto"/>
                <w:kern w:val="0"/>
                <w:sz w:val="24"/>
                <w:szCs w:val="24"/>
                <w:highlight w:val="none"/>
              </w:rPr>
              <w:t>频率范围</w:t>
            </w:r>
          </w:p>
        </w:tc>
        <w:tc>
          <w:tcPr>
            <w:tcW w:w="2591"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outlineLvl w:val="9"/>
              <w:rPr>
                <w:rFonts w:ascii="仿宋" w:hAnsi="仿宋" w:eastAsia="仿宋"/>
                <w:color w:val="auto"/>
                <w:kern w:val="2"/>
                <w:sz w:val="24"/>
                <w:szCs w:val="24"/>
                <w:highlight w:val="none"/>
              </w:rPr>
            </w:pPr>
            <w:r>
              <w:rPr>
                <w:rFonts w:ascii="仿宋" w:hAnsi="仿宋" w:eastAsia="仿宋"/>
                <w:color w:val="auto"/>
                <w:kern w:val="2"/>
                <w:sz w:val="24"/>
                <w:szCs w:val="24"/>
                <w:highlight w:val="none"/>
              </w:rPr>
              <w:t>DC</w:t>
            </w:r>
            <w:r>
              <w:rPr>
                <w:rFonts w:hint="eastAsia" w:ascii="仿宋" w:hAnsi="仿宋" w:eastAsia="仿宋"/>
                <w:color w:val="auto"/>
                <w:kern w:val="2"/>
                <w:sz w:val="24"/>
                <w:szCs w:val="24"/>
                <w:highlight w:val="none"/>
              </w:rPr>
              <w:t>～</w:t>
            </w:r>
            <w:r>
              <w:rPr>
                <w:rFonts w:ascii="仿宋" w:hAnsi="仿宋" w:eastAsia="仿宋"/>
                <w:color w:val="auto"/>
                <w:kern w:val="2"/>
                <w:sz w:val="24"/>
                <w:szCs w:val="24"/>
                <w:highlight w:val="none"/>
              </w:rPr>
              <w:t>1</w:t>
            </w:r>
            <w:r>
              <w:rPr>
                <w:rFonts w:hint="eastAsia" w:ascii="仿宋" w:hAnsi="仿宋" w:eastAsia="仿宋"/>
                <w:color w:val="auto"/>
                <w:kern w:val="2"/>
                <w:sz w:val="24"/>
                <w:szCs w:val="24"/>
                <w:highlight w:val="none"/>
                <w:lang w:val="en-US" w:eastAsia="zh-CN"/>
              </w:rPr>
              <w:t>0k</w:t>
            </w:r>
            <w:r>
              <w:rPr>
                <w:rFonts w:ascii="仿宋" w:hAnsi="仿宋" w:eastAsia="仿宋"/>
                <w:color w:val="auto"/>
                <w:kern w:val="2"/>
                <w:sz w:val="24"/>
                <w:szCs w:val="24"/>
                <w:highlight w:val="none"/>
              </w:rPr>
              <w:t>Hz</w:t>
            </w:r>
          </w:p>
        </w:tc>
        <w:tc>
          <w:tcPr>
            <w:tcW w:w="2154"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outlineLvl w:val="9"/>
              <w:rPr>
                <w:rFonts w:ascii="仿宋" w:hAnsi="仿宋" w:eastAsia="仿宋"/>
                <w:color w:val="auto"/>
                <w:kern w:val="2"/>
                <w:sz w:val="24"/>
                <w:szCs w:val="24"/>
                <w:highlight w:val="none"/>
              </w:rPr>
            </w:pPr>
            <w:r>
              <w:rPr>
                <w:rFonts w:ascii="仿宋" w:hAnsi="仿宋" w:eastAsia="仿宋"/>
                <w:color w:val="auto"/>
                <w:kern w:val="2"/>
                <w:sz w:val="24"/>
                <w:szCs w:val="24"/>
                <w:highlight w:val="none"/>
              </w:rPr>
              <w:t>45Hz</w:t>
            </w:r>
            <w:r>
              <w:rPr>
                <w:rFonts w:hint="eastAsia" w:ascii="仿宋" w:hAnsi="仿宋" w:eastAsia="仿宋"/>
                <w:color w:val="auto"/>
                <w:kern w:val="2"/>
                <w:sz w:val="24"/>
                <w:szCs w:val="24"/>
                <w:highlight w:val="none"/>
              </w:rPr>
              <w:t>～</w:t>
            </w:r>
            <w:r>
              <w:rPr>
                <w:rFonts w:ascii="仿宋" w:hAnsi="仿宋" w:eastAsia="仿宋"/>
                <w:color w:val="auto"/>
                <w:kern w:val="2"/>
                <w:sz w:val="24"/>
                <w:szCs w:val="24"/>
                <w:highlight w:val="none"/>
              </w:rPr>
              <w:t>55Hz</w:t>
            </w:r>
          </w:p>
        </w:tc>
        <w:tc>
          <w:tcPr>
            <w:tcW w:w="2161"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outlineLvl w:val="9"/>
              <w:rPr>
                <w:rFonts w:ascii="仿宋" w:hAnsi="仿宋" w:eastAsia="仿宋"/>
                <w:color w:val="auto"/>
                <w:kern w:val="2"/>
                <w:sz w:val="24"/>
                <w:szCs w:val="24"/>
                <w:highlight w:val="none"/>
              </w:rPr>
            </w:pPr>
            <w:r>
              <w:rPr>
                <w:rFonts w:ascii="仿宋" w:hAnsi="仿宋" w:eastAsia="仿宋"/>
                <w:color w:val="auto"/>
                <w:kern w:val="2"/>
                <w:sz w:val="24"/>
                <w:szCs w:val="24"/>
                <w:highlight w:val="none"/>
              </w:rPr>
              <w:t>能测量直流，交流频率高出</w:t>
            </w:r>
            <w:r>
              <w:rPr>
                <w:rFonts w:hint="eastAsia" w:ascii="仿宋" w:hAnsi="仿宋" w:eastAsia="仿宋"/>
                <w:color w:val="auto"/>
                <w:kern w:val="2"/>
                <w:sz w:val="24"/>
                <w:szCs w:val="24"/>
                <w:highlight w:val="none"/>
                <w:lang w:val="en-US" w:eastAsia="zh-CN"/>
              </w:rPr>
              <w:t>3</w:t>
            </w:r>
            <w:r>
              <w:rPr>
                <w:rFonts w:ascii="仿宋" w:hAnsi="仿宋" w:eastAsia="仿宋"/>
                <w:color w:val="auto"/>
                <w:kern w:val="2"/>
                <w:sz w:val="24"/>
                <w:szCs w:val="24"/>
                <w:highlight w:val="none"/>
              </w:rPr>
              <w:t>个数量级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1390"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lang w:eastAsia="zh-CN"/>
              </w:rPr>
              <w:t>自取能</w:t>
            </w:r>
          </w:p>
        </w:tc>
        <w:tc>
          <w:tcPr>
            <w:tcW w:w="2591"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outlineLvl w:val="9"/>
              <w:rPr>
                <w:rFonts w:ascii="仿宋" w:hAnsi="仿宋" w:eastAsia="仿宋"/>
                <w:color w:val="auto"/>
                <w:kern w:val="2"/>
                <w:sz w:val="24"/>
                <w:szCs w:val="24"/>
                <w:highlight w:val="none"/>
              </w:rPr>
            </w:pPr>
            <w:r>
              <w:rPr>
                <w:rFonts w:hint="eastAsia" w:ascii="仿宋" w:hAnsi="仿宋" w:eastAsia="仿宋"/>
                <w:color w:val="auto"/>
                <w:kern w:val="2"/>
                <w:sz w:val="24"/>
                <w:szCs w:val="24"/>
                <w:highlight w:val="none"/>
              </w:rPr>
              <w:t>微瓦级</w:t>
            </w:r>
          </w:p>
        </w:tc>
        <w:tc>
          <w:tcPr>
            <w:tcW w:w="2154"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outlineLvl w:val="9"/>
              <w:rPr>
                <w:rFonts w:ascii="仿宋" w:hAnsi="仿宋" w:eastAsia="仿宋"/>
                <w:color w:val="auto"/>
                <w:kern w:val="2"/>
                <w:sz w:val="24"/>
                <w:szCs w:val="24"/>
                <w:highlight w:val="none"/>
              </w:rPr>
            </w:pPr>
            <w:r>
              <w:rPr>
                <w:rFonts w:hint="eastAsia" w:ascii="仿宋" w:hAnsi="仿宋" w:eastAsia="仿宋"/>
                <w:color w:val="auto"/>
                <w:kern w:val="2"/>
                <w:sz w:val="24"/>
                <w:szCs w:val="24"/>
                <w:highlight w:val="none"/>
              </w:rPr>
              <w:t>毫瓦级</w:t>
            </w:r>
          </w:p>
        </w:tc>
        <w:tc>
          <w:tcPr>
            <w:tcW w:w="2161"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outlineLvl w:val="9"/>
              <w:rPr>
                <w:rFonts w:ascii="仿宋" w:hAnsi="仿宋" w:eastAsia="仿宋"/>
                <w:color w:val="auto"/>
                <w:kern w:val="2"/>
                <w:sz w:val="24"/>
                <w:szCs w:val="24"/>
                <w:highlight w:val="none"/>
              </w:rPr>
            </w:pPr>
            <w:r>
              <w:rPr>
                <w:rFonts w:ascii="仿宋" w:hAnsi="仿宋" w:eastAsia="仿宋"/>
                <w:color w:val="auto"/>
                <w:kern w:val="0"/>
                <w:sz w:val="24"/>
                <w:szCs w:val="24"/>
                <w:highlight w:val="none"/>
              </w:rPr>
              <w:t>降低1</w:t>
            </w:r>
            <w:r>
              <w:rPr>
                <w:rFonts w:hint="eastAsia" w:ascii="仿宋" w:hAnsi="仿宋" w:eastAsia="仿宋"/>
                <w:color w:val="auto"/>
                <w:kern w:val="2"/>
                <w:sz w:val="24"/>
                <w:szCs w:val="24"/>
                <w:highlight w:val="none"/>
              </w:rPr>
              <w:t>～</w:t>
            </w:r>
            <w:r>
              <w:rPr>
                <w:rFonts w:ascii="仿宋" w:hAnsi="仿宋" w:eastAsia="仿宋"/>
                <w:color w:val="auto"/>
                <w:kern w:val="0"/>
                <w:sz w:val="24"/>
                <w:szCs w:val="24"/>
                <w:highlight w:val="none"/>
              </w:rPr>
              <w:t>2个数量级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atLeast"/>
        </w:trPr>
        <w:tc>
          <w:tcPr>
            <w:tcW w:w="1390"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0"/>
                <w:sz w:val="24"/>
                <w:szCs w:val="24"/>
                <w:highlight w:val="none"/>
              </w:rPr>
            </w:pPr>
            <w:r>
              <w:rPr>
                <w:rFonts w:ascii="仿宋" w:hAnsi="仿宋" w:eastAsia="仿宋"/>
                <w:color w:val="auto"/>
                <w:kern w:val="0"/>
                <w:sz w:val="24"/>
                <w:szCs w:val="24"/>
                <w:highlight w:val="none"/>
              </w:rPr>
              <w:t>安装方式</w:t>
            </w:r>
          </w:p>
        </w:tc>
        <w:tc>
          <w:tcPr>
            <w:tcW w:w="2591"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center"/>
              <w:outlineLvl w:val="9"/>
              <w:rPr>
                <w:rFonts w:ascii="仿宋" w:hAnsi="仿宋" w:eastAsia="仿宋"/>
                <w:color w:val="auto"/>
                <w:kern w:val="0"/>
                <w:sz w:val="24"/>
                <w:szCs w:val="24"/>
                <w:highlight w:val="none"/>
              </w:rPr>
            </w:pPr>
            <w:r>
              <w:rPr>
                <w:rFonts w:ascii="仿宋" w:hAnsi="仿宋" w:eastAsia="仿宋"/>
                <w:color w:val="auto"/>
                <w:kern w:val="2"/>
                <w:sz w:val="24"/>
                <w:szCs w:val="24"/>
                <w:highlight w:val="none"/>
              </w:rPr>
              <w:t>在线安装，一贴即用</w:t>
            </w:r>
          </w:p>
        </w:tc>
        <w:tc>
          <w:tcPr>
            <w:tcW w:w="2154"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outlineLvl w:val="9"/>
              <w:rPr>
                <w:rFonts w:ascii="仿宋" w:hAnsi="仿宋" w:eastAsia="仿宋"/>
                <w:color w:val="auto"/>
                <w:kern w:val="0"/>
                <w:sz w:val="24"/>
                <w:szCs w:val="24"/>
                <w:highlight w:val="none"/>
              </w:rPr>
            </w:pPr>
            <w:r>
              <w:rPr>
                <w:rFonts w:ascii="仿宋" w:hAnsi="仿宋" w:eastAsia="仿宋"/>
                <w:color w:val="auto"/>
                <w:kern w:val="2"/>
                <w:sz w:val="24"/>
                <w:szCs w:val="24"/>
                <w:highlight w:val="none"/>
              </w:rPr>
              <w:t>专用场地，停电安装，接入终端才能使用</w:t>
            </w:r>
          </w:p>
        </w:tc>
        <w:tc>
          <w:tcPr>
            <w:tcW w:w="2161" w:type="dxa"/>
            <w:vAlign w:val="center"/>
          </w:tcPr>
          <w:p>
            <w:pPr>
              <w:pStyle w:val="9"/>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outlineLvl w:val="9"/>
              <w:rPr>
                <w:rFonts w:hint="eastAsia" w:ascii="仿宋" w:hAnsi="仿宋" w:eastAsia="仿宋"/>
                <w:color w:val="auto"/>
                <w:kern w:val="0"/>
                <w:sz w:val="24"/>
                <w:szCs w:val="24"/>
                <w:highlight w:val="none"/>
                <w:lang w:val="en-US" w:eastAsia="zh-CN"/>
              </w:rPr>
            </w:pPr>
            <w:r>
              <w:rPr>
                <w:rFonts w:ascii="仿宋" w:hAnsi="仿宋" w:eastAsia="仿宋"/>
                <w:color w:val="auto"/>
                <w:kern w:val="2"/>
                <w:sz w:val="24"/>
                <w:szCs w:val="24"/>
                <w:highlight w:val="none"/>
              </w:rPr>
              <w:t>极大地简化了安装过程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1390"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0"/>
                <w:sz w:val="24"/>
                <w:szCs w:val="24"/>
                <w:highlight w:val="none"/>
              </w:rPr>
            </w:pPr>
            <w:r>
              <w:rPr>
                <w:rFonts w:ascii="仿宋" w:hAnsi="仿宋" w:eastAsia="仿宋"/>
                <w:color w:val="auto"/>
                <w:kern w:val="0"/>
                <w:sz w:val="24"/>
                <w:szCs w:val="24"/>
                <w:highlight w:val="none"/>
              </w:rPr>
              <w:t>输出方式</w:t>
            </w:r>
          </w:p>
        </w:tc>
        <w:tc>
          <w:tcPr>
            <w:tcW w:w="2591"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0"/>
                <w:sz w:val="24"/>
                <w:szCs w:val="24"/>
                <w:highlight w:val="none"/>
              </w:rPr>
            </w:pPr>
            <w:r>
              <w:rPr>
                <w:rFonts w:ascii="仿宋" w:hAnsi="仿宋" w:eastAsia="仿宋"/>
                <w:color w:val="auto"/>
                <w:kern w:val="0"/>
                <w:sz w:val="24"/>
                <w:szCs w:val="24"/>
                <w:highlight w:val="none"/>
              </w:rPr>
              <w:t>无线数字化输出</w:t>
            </w:r>
          </w:p>
        </w:tc>
        <w:tc>
          <w:tcPr>
            <w:tcW w:w="2154"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outlineLvl w:val="9"/>
              <w:rPr>
                <w:rFonts w:ascii="仿宋" w:hAnsi="仿宋" w:eastAsia="仿宋"/>
                <w:color w:val="auto"/>
                <w:kern w:val="0"/>
                <w:sz w:val="24"/>
                <w:szCs w:val="24"/>
                <w:highlight w:val="none"/>
              </w:rPr>
            </w:pPr>
            <w:r>
              <w:rPr>
                <w:rFonts w:ascii="仿宋" w:hAnsi="仿宋" w:eastAsia="仿宋"/>
                <w:color w:val="auto"/>
                <w:kern w:val="0"/>
                <w:sz w:val="24"/>
                <w:szCs w:val="24"/>
                <w:highlight w:val="none"/>
              </w:rPr>
              <w:t>有线模拟量输出</w:t>
            </w:r>
          </w:p>
        </w:tc>
        <w:tc>
          <w:tcPr>
            <w:tcW w:w="2161"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outlineLvl w:val="9"/>
              <w:rPr>
                <w:rFonts w:ascii="仿宋" w:hAnsi="仿宋" w:eastAsia="仿宋"/>
                <w:color w:val="auto"/>
                <w:kern w:val="0"/>
                <w:sz w:val="24"/>
                <w:szCs w:val="24"/>
                <w:highlight w:val="none"/>
              </w:rPr>
            </w:pPr>
            <w:r>
              <w:rPr>
                <w:rFonts w:ascii="仿宋" w:hAnsi="仿宋" w:eastAsia="仿宋"/>
                <w:color w:val="auto"/>
                <w:kern w:val="0"/>
                <w:sz w:val="24"/>
                <w:szCs w:val="24"/>
                <w:highlight w:val="none"/>
              </w:rPr>
              <w:t>无线输出极大简化了安装调试流程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1390"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0"/>
                <w:sz w:val="24"/>
                <w:szCs w:val="24"/>
                <w:highlight w:val="none"/>
              </w:rPr>
            </w:pPr>
            <w:r>
              <w:rPr>
                <w:rFonts w:ascii="仿宋" w:hAnsi="仿宋" w:eastAsia="仿宋"/>
                <w:color w:val="auto"/>
                <w:kern w:val="0"/>
                <w:sz w:val="24"/>
                <w:szCs w:val="24"/>
                <w:highlight w:val="none"/>
              </w:rPr>
              <w:t>升级维护方式</w:t>
            </w:r>
          </w:p>
        </w:tc>
        <w:tc>
          <w:tcPr>
            <w:tcW w:w="2591"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2"/>
                <w:sz w:val="24"/>
                <w:szCs w:val="24"/>
                <w:highlight w:val="none"/>
              </w:rPr>
            </w:pPr>
            <w:r>
              <w:rPr>
                <w:rFonts w:hint="eastAsia" w:ascii="仿宋" w:hAnsi="仿宋" w:eastAsia="仿宋"/>
                <w:color w:val="auto"/>
                <w:kern w:val="0"/>
                <w:sz w:val="24"/>
                <w:szCs w:val="24"/>
                <w:highlight w:val="none"/>
              </w:rPr>
              <w:t>在线升级、远程配置</w:t>
            </w:r>
          </w:p>
        </w:tc>
        <w:tc>
          <w:tcPr>
            <w:tcW w:w="2154"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outlineLvl w:val="9"/>
              <w:rPr>
                <w:rFonts w:ascii="仿宋" w:hAnsi="仿宋" w:eastAsia="仿宋"/>
                <w:color w:val="auto"/>
                <w:kern w:val="2"/>
                <w:sz w:val="24"/>
                <w:szCs w:val="24"/>
                <w:highlight w:val="none"/>
              </w:rPr>
            </w:pPr>
            <w:r>
              <w:rPr>
                <w:rFonts w:ascii="仿宋" w:hAnsi="仿宋" w:eastAsia="仿宋"/>
                <w:color w:val="auto"/>
                <w:kern w:val="0"/>
                <w:sz w:val="24"/>
                <w:szCs w:val="24"/>
                <w:highlight w:val="none"/>
              </w:rPr>
              <w:t>无法升级，停电维护</w:t>
            </w:r>
          </w:p>
        </w:tc>
        <w:tc>
          <w:tcPr>
            <w:tcW w:w="2161"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2"/>
                <w:sz w:val="24"/>
                <w:szCs w:val="24"/>
                <w:highlight w:val="none"/>
              </w:rPr>
            </w:pPr>
            <w:r>
              <w:rPr>
                <w:rFonts w:hint="eastAsia" w:ascii="仿宋" w:hAnsi="仿宋" w:eastAsia="仿宋"/>
                <w:color w:val="auto"/>
                <w:kern w:val="0"/>
                <w:sz w:val="24"/>
                <w:szCs w:val="24"/>
                <w:highlight w:val="none"/>
              </w:rPr>
              <w:t>更换式检修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trPr>
        <w:tc>
          <w:tcPr>
            <w:tcW w:w="1390"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0"/>
                <w:sz w:val="24"/>
                <w:szCs w:val="24"/>
                <w:highlight w:val="none"/>
              </w:rPr>
            </w:pPr>
            <w:r>
              <w:rPr>
                <w:rFonts w:ascii="仿宋" w:hAnsi="仿宋" w:eastAsia="仿宋"/>
                <w:color w:val="auto"/>
                <w:kern w:val="0"/>
                <w:sz w:val="24"/>
                <w:szCs w:val="24"/>
                <w:highlight w:val="none"/>
              </w:rPr>
              <w:t>智能化功能</w:t>
            </w:r>
          </w:p>
        </w:tc>
        <w:tc>
          <w:tcPr>
            <w:tcW w:w="2591"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outlineLvl w:val="9"/>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具有自诊断、自补偿、自适应对时、电流有效值、瞬时值、谐波、序分量测量，故障录波、集成温度测量</w:t>
            </w:r>
            <w:r>
              <w:rPr>
                <w:rFonts w:hint="eastAsia" w:ascii="仿宋" w:hAnsi="仿宋" w:eastAsia="仿宋"/>
                <w:color w:val="auto"/>
                <w:kern w:val="0"/>
                <w:sz w:val="24"/>
                <w:szCs w:val="24"/>
                <w:highlight w:val="none"/>
                <w:lang w:eastAsia="zh-CN"/>
              </w:rPr>
              <w:t>等</w:t>
            </w:r>
          </w:p>
        </w:tc>
        <w:tc>
          <w:tcPr>
            <w:tcW w:w="2154"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outlineLvl w:val="9"/>
              <w:rPr>
                <w:rFonts w:ascii="仿宋" w:hAnsi="仿宋" w:eastAsia="仿宋"/>
                <w:color w:val="auto"/>
                <w:kern w:val="0"/>
                <w:sz w:val="24"/>
                <w:szCs w:val="24"/>
                <w:highlight w:val="none"/>
              </w:rPr>
            </w:pPr>
            <w:r>
              <w:rPr>
                <w:rFonts w:ascii="仿宋" w:hAnsi="仿宋" w:eastAsia="仿宋"/>
                <w:color w:val="auto"/>
                <w:kern w:val="0"/>
                <w:sz w:val="24"/>
                <w:szCs w:val="24"/>
                <w:highlight w:val="none"/>
              </w:rPr>
              <w:t>无智能和计算能力</w:t>
            </w:r>
          </w:p>
        </w:tc>
        <w:tc>
          <w:tcPr>
            <w:tcW w:w="2161" w:type="dxa"/>
            <w:vAlign w:val="center"/>
          </w:tcPr>
          <w:p>
            <w:pPr>
              <w:pStyle w:val="18"/>
              <w:keepNext w:val="0"/>
              <w:keepLines w:val="0"/>
              <w:pageBreakBefore w:val="0"/>
              <w:kinsoku/>
              <w:wordWrap/>
              <w:overflowPunct/>
              <w:topLinePunct w:val="0"/>
              <w:autoSpaceDE/>
              <w:autoSpaceDN/>
              <w:bidi w:val="0"/>
              <w:adjustRightInd/>
              <w:snapToGrid/>
              <w:spacing w:after="0" w:line="280" w:lineRule="exact"/>
              <w:ind w:left="0" w:leftChars="0" w:right="0" w:rightChars="0" w:firstLine="0" w:firstLineChars="0"/>
              <w:jc w:val="center"/>
              <w:outlineLvl w:val="9"/>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lang w:val="en-US" w:eastAsia="zh-CN"/>
              </w:rPr>
              <w:t>智能化水平高</w:t>
            </w:r>
          </w:p>
        </w:tc>
      </w:tr>
    </w:tbl>
    <w:p>
      <w:pPr>
        <w:widowControl/>
        <w:jc w:val="left"/>
        <w:rPr>
          <w:rFonts w:ascii="仿宋" w:hAnsi="仿宋" w:eastAsia="仿宋" w:cs="Times New Roman"/>
          <w:b/>
          <w:color w:val="auto"/>
          <w:sz w:val="28"/>
          <w:szCs w:val="28"/>
          <w:highlight w:val="none"/>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黑体" w:hAnsi="黑体" w:eastAsia="黑体" w:cs="黑体"/>
          <w:bCs/>
          <w:color w:val="auto"/>
          <w:sz w:val="28"/>
          <w:szCs w:val="28"/>
          <w:highlight w:val="none"/>
          <w:lang w:eastAsia="zh-CN"/>
        </w:rPr>
      </w:pPr>
      <w:bookmarkStart w:id="6" w:name="_Toc8363"/>
      <w:r>
        <w:rPr>
          <w:rFonts w:hint="eastAsia" w:ascii="黑体" w:hAnsi="黑体" w:eastAsia="黑体" w:cs="黑体"/>
          <w:bCs/>
          <w:color w:val="auto"/>
          <w:sz w:val="28"/>
          <w:szCs w:val="28"/>
          <w:highlight w:val="none"/>
          <w:lang w:eastAsia="zh-CN"/>
        </w:rPr>
        <w:t>（四）确定标准主体内容，形成征求意见稿</w:t>
      </w:r>
      <w:bookmarkEnd w:id="6"/>
    </w:p>
    <w:p>
      <w:pPr>
        <w:spacing w:line="560" w:lineRule="exact"/>
        <w:ind w:firstLine="560" w:firstLineChars="200"/>
        <w:rPr>
          <w:rFonts w:hint="eastAsia" w:ascii="仿宋" w:hAnsi="仿宋" w:eastAsia="仿宋" w:cs="仿宋_GB2312"/>
          <w:color w:val="auto"/>
          <w:sz w:val="28"/>
          <w:szCs w:val="28"/>
          <w:highlight w:val="none"/>
          <w:lang w:eastAsia="zh-CN"/>
        </w:rPr>
      </w:pPr>
      <w:r>
        <w:rPr>
          <w:rFonts w:hint="eastAsia" w:ascii="仿宋" w:hAnsi="仿宋" w:eastAsia="仿宋" w:cs="仿宋_GB2312"/>
          <w:color w:val="auto"/>
          <w:sz w:val="28"/>
          <w:szCs w:val="28"/>
          <w:highlight w:val="none"/>
        </w:rPr>
        <w:t>标准编制工作组对收集的资料进行</w:t>
      </w:r>
      <w:r>
        <w:rPr>
          <w:rFonts w:hint="eastAsia" w:ascii="仿宋" w:hAnsi="仿宋" w:eastAsia="仿宋" w:cs="仿宋_GB2312"/>
          <w:color w:val="auto"/>
          <w:sz w:val="28"/>
          <w:szCs w:val="28"/>
          <w:highlight w:val="none"/>
          <w:lang w:eastAsia="zh-CN"/>
        </w:rPr>
        <w:t>充分</w:t>
      </w:r>
      <w:r>
        <w:rPr>
          <w:rFonts w:hint="eastAsia" w:ascii="仿宋" w:hAnsi="仿宋" w:eastAsia="仿宋" w:cs="仿宋_GB2312"/>
          <w:color w:val="auto"/>
          <w:sz w:val="28"/>
          <w:szCs w:val="28"/>
          <w:highlight w:val="none"/>
        </w:rPr>
        <w:t>研究，</w:t>
      </w:r>
      <w:r>
        <w:rPr>
          <w:rFonts w:hint="eastAsia" w:ascii="仿宋" w:hAnsi="仿宋" w:eastAsia="仿宋" w:cs="仿宋_GB2312"/>
          <w:color w:val="auto"/>
          <w:sz w:val="28"/>
          <w:szCs w:val="28"/>
          <w:highlight w:val="none"/>
          <w:lang w:eastAsia="zh-CN"/>
        </w:rPr>
        <w:t>并多次</w:t>
      </w:r>
      <w:r>
        <w:rPr>
          <w:rFonts w:hint="eastAsia" w:ascii="仿宋" w:hAnsi="仿宋" w:eastAsia="仿宋" w:cs="仿宋_GB2312"/>
          <w:color w:val="auto"/>
          <w:sz w:val="28"/>
          <w:szCs w:val="28"/>
          <w:highlight w:val="none"/>
        </w:rPr>
        <w:t>召开了标准编制会议，对标准的关键性内容进行了</w:t>
      </w:r>
      <w:r>
        <w:rPr>
          <w:rFonts w:hint="eastAsia" w:ascii="仿宋" w:hAnsi="仿宋" w:eastAsia="仿宋" w:cs="仿宋_GB2312"/>
          <w:color w:val="auto"/>
          <w:sz w:val="28"/>
          <w:szCs w:val="28"/>
          <w:highlight w:val="none"/>
          <w:lang w:eastAsia="zh-CN"/>
        </w:rPr>
        <w:t>深入</w:t>
      </w:r>
      <w:r>
        <w:rPr>
          <w:rFonts w:hint="eastAsia" w:ascii="仿宋" w:hAnsi="仿宋" w:eastAsia="仿宋" w:cs="仿宋_GB2312"/>
          <w:color w:val="auto"/>
          <w:sz w:val="28"/>
          <w:szCs w:val="28"/>
          <w:highlight w:val="none"/>
        </w:rPr>
        <w:t>探讨</w:t>
      </w:r>
      <w:r>
        <w:rPr>
          <w:rFonts w:hint="eastAsia" w:ascii="仿宋" w:hAnsi="仿宋" w:eastAsia="仿宋" w:cs="仿宋_GB2312"/>
          <w:color w:val="auto"/>
          <w:sz w:val="28"/>
          <w:szCs w:val="28"/>
          <w:highlight w:val="none"/>
          <w:lang w:eastAsia="zh-CN"/>
        </w:rPr>
        <w:t>，</w:t>
      </w:r>
      <w:r>
        <w:rPr>
          <w:rFonts w:hint="eastAsia" w:ascii="仿宋" w:hAnsi="仿宋" w:eastAsia="仿宋" w:cs="仿宋_GB2312"/>
          <w:color w:val="auto"/>
          <w:sz w:val="28"/>
          <w:szCs w:val="28"/>
          <w:highlight w:val="none"/>
        </w:rPr>
        <w:t>确定</w:t>
      </w:r>
      <w:r>
        <w:rPr>
          <w:rFonts w:hint="eastAsia" w:ascii="仿宋" w:hAnsi="仿宋" w:eastAsia="仿宋" w:cs="仿宋_GB2312"/>
          <w:color w:val="auto"/>
          <w:sz w:val="28"/>
          <w:szCs w:val="28"/>
          <w:highlight w:val="none"/>
          <w:lang w:eastAsia="zh-CN"/>
        </w:rPr>
        <w:t>了</w:t>
      </w:r>
      <w:r>
        <w:rPr>
          <w:rFonts w:hint="eastAsia" w:ascii="仿宋" w:hAnsi="仿宋" w:eastAsia="仿宋" w:cs="仿宋_GB2312"/>
          <w:color w:val="auto"/>
          <w:sz w:val="28"/>
          <w:szCs w:val="28"/>
          <w:highlight w:val="none"/>
        </w:rPr>
        <w:t>标准的主体内容</w:t>
      </w:r>
      <w:r>
        <w:rPr>
          <w:rFonts w:hint="eastAsia" w:ascii="仿宋" w:hAnsi="仿宋" w:eastAsia="仿宋" w:cs="仿宋_GB2312"/>
          <w:color w:val="auto"/>
          <w:sz w:val="28"/>
          <w:szCs w:val="28"/>
          <w:highlight w:val="none"/>
          <w:lang w:eastAsia="zh-CN"/>
        </w:rPr>
        <w:t>，编制形成征求意见稿。主要编制起草过程如下：</w:t>
      </w:r>
    </w:p>
    <w:p>
      <w:pPr>
        <w:spacing w:line="560" w:lineRule="exact"/>
        <w:ind w:firstLine="560" w:firstLineChars="20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202</w:t>
      </w:r>
      <w:r>
        <w:rPr>
          <w:rFonts w:hint="eastAsia" w:ascii="仿宋" w:hAnsi="仿宋" w:eastAsia="仿宋" w:cs="仿宋_GB2312"/>
          <w:color w:val="auto"/>
          <w:sz w:val="28"/>
          <w:szCs w:val="28"/>
          <w:highlight w:val="none"/>
          <w:lang w:val="en-US" w:eastAsia="zh-CN"/>
        </w:rPr>
        <w:t>1</w:t>
      </w:r>
      <w:r>
        <w:rPr>
          <w:rFonts w:hint="eastAsia" w:ascii="仿宋" w:hAnsi="仿宋" w:eastAsia="仿宋" w:cs="仿宋_GB2312"/>
          <w:color w:val="auto"/>
          <w:sz w:val="28"/>
          <w:szCs w:val="28"/>
          <w:highlight w:val="none"/>
        </w:rPr>
        <w:t>年</w:t>
      </w:r>
      <w:r>
        <w:rPr>
          <w:rFonts w:hint="eastAsia" w:ascii="仿宋" w:hAnsi="仿宋" w:eastAsia="仿宋" w:cs="仿宋_GB2312"/>
          <w:color w:val="auto"/>
          <w:sz w:val="28"/>
          <w:szCs w:val="28"/>
          <w:highlight w:val="none"/>
          <w:lang w:val="en-US" w:eastAsia="zh-CN"/>
        </w:rPr>
        <w:t>1</w:t>
      </w:r>
      <w:r>
        <w:rPr>
          <w:rFonts w:hint="eastAsia" w:ascii="仿宋" w:hAnsi="仿宋" w:eastAsia="仿宋" w:cs="仿宋_GB2312"/>
          <w:color w:val="auto"/>
          <w:sz w:val="28"/>
          <w:szCs w:val="28"/>
          <w:highlight w:val="none"/>
        </w:rPr>
        <w:t>1月，成立标准编制工作组，</w:t>
      </w:r>
      <w:r>
        <w:rPr>
          <w:rFonts w:hint="eastAsia" w:ascii="仿宋" w:hAnsi="仿宋" w:eastAsia="仿宋" w:cs="仿宋_GB2312"/>
          <w:color w:val="auto"/>
          <w:sz w:val="28"/>
          <w:szCs w:val="28"/>
          <w:highlight w:val="none"/>
          <w:lang w:eastAsia="zh-CN"/>
        </w:rPr>
        <w:t>并组织</w:t>
      </w:r>
      <w:r>
        <w:rPr>
          <w:rFonts w:hint="eastAsia" w:ascii="仿宋" w:hAnsi="仿宋" w:eastAsia="仿宋" w:cs="仿宋_GB2312"/>
          <w:color w:val="auto"/>
          <w:sz w:val="28"/>
          <w:szCs w:val="28"/>
          <w:highlight w:val="none"/>
        </w:rPr>
        <w:t>起草人员认真学习了《中华人民共和国标准化法》</w:t>
      </w:r>
      <w:r>
        <w:rPr>
          <w:rFonts w:hint="eastAsia" w:ascii="仿宋" w:hAnsi="仿宋" w:eastAsia="仿宋" w:cs="仿宋_GB2312"/>
          <w:color w:val="auto"/>
          <w:sz w:val="28"/>
          <w:szCs w:val="28"/>
          <w:highlight w:val="none"/>
          <w:lang w:eastAsia="zh-CN"/>
        </w:rPr>
        <w:t>、</w:t>
      </w:r>
      <w:r>
        <w:rPr>
          <w:rFonts w:ascii="仿宋" w:hAnsi="仿宋" w:eastAsia="仿宋"/>
          <w:color w:val="auto"/>
          <w:sz w:val="28"/>
          <w:szCs w:val="28"/>
          <w:highlight w:val="none"/>
        </w:rPr>
        <w:t>《标准化工作导则 第1部分：标准化文件的结构和起草规则》</w:t>
      </w:r>
      <w:r>
        <w:rPr>
          <w:rFonts w:hint="eastAsia" w:ascii="仿宋" w:hAnsi="仿宋" w:eastAsia="仿宋"/>
          <w:color w:val="auto"/>
          <w:sz w:val="28"/>
          <w:szCs w:val="28"/>
          <w:highlight w:val="none"/>
          <w:lang w:eastAsia="zh-CN"/>
        </w:rPr>
        <w:t>等文件</w:t>
      </w:r>
      <w:r>
        <w:rPr>
          <w:rFonts w:hint="eastAsia" w:ascii="仿宋" w:hAnsi="仿宋" w:eastAsia="仿宋" w:cs="仿宋_GB2312"/>
          <w:color w:val="auto"/>
          <w:sz w:val="28"/>
          <w:szCs w:val="28"/>
          <w:highlight w:val="none"/>
        </w:rPr>
        <w:t>，对该标准的编写原则和主要内容等问题进行研讨。</w:t>
      </w:r>
    </w:p>
    <w:p>
      <w:pPr>
        <w:spacing w:line="560" w:lineRule="exact"/>
        <w:ind w:firstLine="560" w:firstLineChars="20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202</w:t>
      </w:r>
      <w:r>
        <w:rPr>
          <w:rFonts w:hint="eastAsia" w:ascii="仿宋" w:hAnsi="仿宋" w:eastAsia="仿宋" w:cs="仿宋_GB2312"/>
          <w:color w:val="auto"/>
          <w:sz w:val="28"/>
          <w:szCs w:val="28"/>
          <w:highlight w:val="none"/>
          <w:lang w:val="en-US" w:eastAsia="zh-CN"/>
        </w:rPr>
        <w:t>1</w:t>
      </w:r>
      <w:r>
        <w:rPr>
          <w:rFonts w:hint="eastAsia" w:ascii="仿宋" w:hAnsi="仿宋" w:eastAsia="仿宋" w:cs="仿宋_GB2312"/>
          <w:color w:val="auto"/>
          <w:sz w:val="28"/>
          <w:szCs w:val="28"/>
          <w:highlight w:val="none"/>
        </w:rPr>
        <w:t>年</w:t>
      </w:r>
      <w:r>
        <w:rPr>
          <w:rFonts w:hint="eastAsia" w:ascii="仿宋" w:hAnsi="仿宋" w:eastAsia="仿宋" w:cs="仿宋_GB2312"/>
          <w:color w:val="auto"/>
          <w:sz w:val="28"/>
          <w:szCs w:val="28"/>
          <w:highlight w:val="none"/>
          <w:lang w:val="en-US" w:eastAsia="zh-CN"/>
        </w:rPr>
        <w:t>12</w:t>
      </w:r>
      <w:r>
        <w:rPr>
          <w:rFonts w:hint="eastAsia" w:ascii="仿宋" w:hAnsi="仿宋" w:eastAsia="仿宋" w:cs="仿宋_GB2312"/>
          <w:color w:val="auto"/>
          <w:sz w:val="28"/>
          <w:szCs w:val="28"/>
          <w:highlight w:val="none"/>
        </w:rPr>
        <w:t>月，完成《微型智能电流传感器技术规范》大纲编制</w:t>
      </w:r>
      <w:r>
        <w:rPr>
          <w:rFonts w:hint="eastAsia" w:ascii="仿宋" w:hAnsi="仿宋" w:eastAsia="仿宋" w:cs="仿宋_GB2312"/>
          <w:color w:val="auto"/>
          <w:sz w:val="28"/>
          <w:szCs w:val="28"/>
          <w:highlight w:val="none"/>
          <w:lang w:eastAsia="zh-CN"/>
        </w:rPr>
        <w:t>，并组织</w:t>
      </w:r>
      <w:r>
        <w:rPr>
          <w:rFonts w:hint="eastAsia" w:ascii="仿宋" w:hAnsi="仿宋" w:eastAsia="仿宋" w:cs="仿宋_GB2312"/>
          <w:color w:val="auto"/>
          <w:sz w:val="28"/>
          <w:szCs w:val="28"/>
          <w:highlight w:val="none"/>
        </w:rPr>
        <w:t>完成《微型智能电流传感器技术规范》大纲</w:t>
      </w:r>
      <w:r>
        <w:rPr>
          <w:rFonts w:hint="eastAsia" w:ascii="仿宋" w:hAnsi="仿宋" w:eastAsia="仿宋" w:cs="仿宋_GB2312"/>
          <w:color w:val="auto"/>
          <w:sz w:val="28"/>
          <w:szCs w:val="28"/>
          <w:highlight w:val="none"/>
          <w:lang w:eastAsia="zh-CN"/>
        </w:rPr>
        <w:t>工作组内部讨论</w:t>
      </w:r>
      <w:r>
        <w:rPr>
          <w:rFonts w:hint="eastAsia" w:ascii="仿宋" w:hAnsi="仿宋" w:eastAsia="仿宋" w:cs="仿宋_GB2312"/>
          <w:color w:val="auto"/>
          <w:sz w:val="28"/>
          <w:szCs w:val="28"/>
          <w:highlight w:val="none"/>
        </w:rPr>
        <w:t>。</w:t>
      </w:r>
    </w:p>
    <w:p>
      <w:pPr>
        <w:spacing w:line="560" w:lineRule="exact"/>
        <w:ind w:firstLine="560" w:firstLineChars="20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202</w:t>
      </w:r>
      <w:r>
        <w:rPr>
          <w:rFonts w:hint="eastAsia" w:ascii="仿宋" w:hAnsi="仿宋" w:eastAsia="仿宋" w:cs="仿宋_GB2312"/>
          <w:color w:val="auto"/>
          <w:sz w:val="28"/>
          <w:szCs w:val="28"/>
          <w:highlight w:val="none"/>
          <w:lang w:val="en-US" w:eastAsia="zh-CN"/>
        </w:rPr>
        <w:t>2</w:t>
      </w:r>
      <w:r>
        <w:rPr>
          <w:rFonts w:hint="eastAsia" w:ascii="仿宋" w:hAnsi="仿宋" w:eastAsia="仿宋" w:cs="仿宋_GB2312"/>
          <w:color w:val="auto"/>
          <w:sz w:val="28"/>
          <w:szCs w:val="28"/>
          <w:highlight w:val="none"/>
        </w:rPr>
        <w:t>年</w:t>
      </w:r>
      <w:r>
        <w:rPr>
          <w:rFonts w:hint="eastAsia" w:ascii="仿宋" w:hAnsi="仿宋" w:eastAsia="仿宋" w:cs="仿宋_GB2312"/>
          <w:color w:val="auto"/>
          <w:sz w:val="28"/>
          <w:szCs w:val="28"/>
          <w:highlight w:val="none"/>
          <w:lang w:val="en-US" w:eastAsia="zh-CN"/>
        </w:rPr>
        <w:t>1</w:t>
      </w:r>
      <w:r>
        <w:rPr>
          <w:rFonts w:hint="eastAsia" w:ascii="仿宋" w:hAnsi="仿宋" w:eastAsia="仿宋" w:cs="仿宋_GB2312"/>
          <w:color w:val="auto"/>
          <w:sz w:val="28"/>
          <w:szCs w:val="28"/>
          <w:highlight w:val="none"/>
        </w:rPr>
        <w:t>月-3月，</w:t>
      </w:r>
      <w:r>
        <w:rPr>
          <w:rFonts w:hint="eastAsia" w:ascii="仿宋" w:hAnsi="仿宋" w:eastAsia="仿宋" w:cs="仿宋_GB2312"/>
          <w:color w:val="auto"/>
          <w:sz w:val="28"/>
          <w:szCs w:val="28"/>
          <w:highlight w:val="none"/>
          <w:lang w:eastAsia="zh-CN"/>
        </w:rPr>
        <w:t>根据标准大纲讨论修改意见及建议</w:t>
      </w:r>
      <w:r>
        <w:rPr>
          <w:rFonts w:hint="eastAsia" w:ascii="仿宋" w:hAnsi="仿宋" w:eastAsia="仿宋" w:cs="仿宋_GB2312"/>
          <w:color w:val="auto"/>
          <w:sz w:val="28"/>
          <w:szCs w:val="28"/>
          <w:highlight w:val="none"/>
        </w:rPr>
        <w:t>，完成《微型智能电流传感器技术规范》大纲修改及初稿编制。</w:t>
      </w:r>
    </w:p>
    <w:p>
      <w:pPr>
        <w:spacing w:line="560" w:lineRule="exact"/>
        <w:ind w:firstLine="560" w:firstLineChars="20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202</w:t>
      </w:r>
      <w:r>
        <w:rPr>
          <w:rFonts w:hint="eastAsia" w:ascii="仿宋" w:hAnsi="仿宋" w:eastAsia="仿宋" w:cs="仿宋_GB2312"/>
          <w:color w:val="auto"/>
          <w:sz w:val="28"/>
          <w:szCs w:val="28"/>
          <w:highlight w:val="none"/>
          <w:lang w:val="en-US" w:eastAsia="zh-CN"/>
        </w:rPr>
        <w:t>2</w:t>
      </w:r>
      <w:r>
        <w:rPr>
          <w:rFonts w:hint="eastAsia" w:ascii="仿宋" w:hAnsi="仿宋" w:eastAsia="仿宋" w:cs="仿宋_GB2312"/>
          <w:color w:val="auto"/>
          <w:sz w:val="28"/>
          <w:szCs w:val="28"/>
          <w:highlight w:val="none"/>
        </w:rPr>
        <w:t>年</w:t>
      </w:r>
      <w:r>
        <w:rPr>
          <w:rFonts w:hint="eastAsia" w:ascii="仿宋" w:hAnsi="仿宋" w:eastAsia="仿宋" w:cs="仿宋_GB2312"/>
          <w:color w:val="auto"/>
          <w:sz w:val="28"/>
          <w:szCs w:val="28"/>
          <w:highlight w:val="none"/>
          <w:lang w:val="en-US" w:eastAsia="zh-CN"/>
        </w:rPr>
        <w:t>4</w:t>
      </w:r>
      <w:r>
        <w:rPr>
          <w:rFonts w:hint="eastAsia" w:ascii="仿宋" w:hAnsi="仿宋" w:eastAsia="仿宋" w:cs="仿宋_GB2312"/>
          <w:color w:val="auto"/>
          <w:sz w:val="28"/>
          <w:szCs w:val="28"/>
          <w:highlight w:val="none"/>
        </w:rPr>
        <w:t>月-</w:t>
      </w:r>
      <w:r>
        <w:rPr>
          <w:rFonts w:hint="eastAsia" w:ascii="仿宋" w:hAnsi="仿宋" w:eastAsia="仿宋" w:cs="仿宋_GB2312"/>
          <w:color w:val="auto"/>
          <w:sz w:val="28"/>
          <w:szCs w:val="28"/>
          <w:highlight w:val="none"/>
          <w:lang w:val="en-US" w:eastAsia="zh-CN"/>
        </w:rPr>
        <w:t>12</w:t>
      </w:r>
      <w:r>
        <w:rPr>
          <w:rFonts w:hint="eastAsia" w:ascii="仿宋" w:hAnsi="仿宋" w:eastAsia="仿宋" w:cs="仿宋_GB2312"/>
          <w:color w:val="auto"/>
          <w:sz w:val="28"/>
          <w:szCs w:val="28"/>
          <w:highlight w:val="none"/>
        </w:rPr>
        <w:t>月，对标准的关键性内容进行了探讨</w:t>
      </w:r>
      <w:r>
        <w:rPr>
          <w:rFonts w:hint="eastAsia" w:ascii="仿宋" w:hAnsi="仿宋" w:eastAsia="仿宋" w:cs="仿宋_GB2312"/>
          <w:color w:val="auto"/>
          <w:sz w:val="28"/>
          <w:szCs w:val="28"/>
          <w:highlight w:val="none"/>
          <w:lang w:eastAsia="zh-CN"/>
        </w:rPr>
        <w:t>，对</w:t>
      </w:r>
      <w:r>
        <w:rPr>
          <w:rFonts w:hint="eastAsia" w:ascii="仿宋" w:hAnsi="仿宋" w:eastAsia="仿宋" w:cs="仿宋_GB2312"/>
          <w:color w:val="auto"/>
          <w:sz w:val="28"/>
          <w:szCs w:val="28"/>
          <w:highlight w:val="none"/>
        </w:rPr>
        <w:t>标准的主体内容</w:t>
      </w:r>
      <w:r>
        <w:rPr>
          <w:rFonts w:hint="eastAsia" w:ascii="仿宋" w:hAnsi="仿宋" w:eastAsia="仿宋" w:cs="仿宋_GB2312"/>
          <w:color w:val="auto"/>
          <w:sz w:val="28"/>
          <w:szCs w:val="28"/>
          <w:highlight w:val="none"/>
          <w:lang w:eastAsia="zh-CN"/>
        </w:rPr>
        <w:t>进行修改完善</w:t>
      </w:r>
      <w:r>
        <w:rPr>
          <w:rFonts w:hint="eastAsia" w:ascii="仿宋" w:hAnsi="仿宋" w:eastAsia="仿宋" w:cs="仿宋_GB2312"/>
          <w:color w:val="auto"/>
          <w:sz w:val="28"/>
          <w:szCs w:val="28"/>
          <w:highlight w:val="none"/>
        </w:rPr>
        <w:t>。</w:t>
      </w:r>
    </w:p>
    <w:p>
      <w:pPr>
        <w:spacing w:line="560" w:lineRule="exact"/>
        <w:ind w:firstLine="560" w:firstLineChars="20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202</w:t>
      </w:r>
      <w:r>
        <w:rPr>
          <w:rFonts w:hint="eastAsia" w:ascii="仿宋" w:hAnsi="仿宋" w:eastAsia="仿宋" w:cs="仿宋_GB2312"/>
          <w:color w:val="auto"/>
          <w:sz w:val="28"/>
          <w:szCs w:val="28"/>
          <w:highlight w:val="none"/>
          <w:lang w:val="en-US" w:eastAsia="zh-CN"/>
        </w:rPr>
        <w:t>3</w:t>
      </w:r>
      <w:r>
        <w:rPr>
          <w:rFonts w:hint="eastAsia" w:ascii="仿宋" w:hAnsi="仿宋" w:eastAsia="仿宋" w:cs="仿宋_GB2312"/>
          <w:color w:val="auto"/>
          <w:sz w:val="28"/>
          <w:szCs w:val="28"/>
          <w:highlight w:val="none"/>
        </w:rPr>
        <w:t>年</w:t>
      </w:r>
      <w:r>
        <w:rPr>
          <w:rFonts w:hint="eastAsia" w:ascii="仿宋" w:hAnsi="仿宋" w:eastAsia="仿宋" w:cs="仿宋_GB2312"/>
          <w:color w:val="auto"/>
          <w:sz w:val="28"/>
          <w:szCs w:val="28"/>
          <w:highlight w:val="none"/>
          <w:lang w:val="en-US" w:eastAsia="zh-CN"/>
        </w:rPr>
        <w:t>1</w:t>
      </w:r>
      <w:r>
        <w:rPr>
          <w:rFonts w:hint="eastAsia" w:ascii="仿宋" w:hAnsi="仿宋" w:eastAsia="仿宋" w:cs="仿宋_GB2312"/>
          <w:color w:val="auto"/>
          <w:sz w:val="28"/>
          <w:szCs w:val="28"/>
          <w:highlight w:val="none"/>
        </w:rPr>
        <w:t>月</w:t>
      </w:r>
      <w:r>
        <w:rPr>
          <w:rFonts w:hint="eastAsia" w:ascii="仿宋" w:hAnsi="仿宋" w:eastAsia="仿宋" w:cs="仿宋_GB2312"/>
          <w:color w:val="auto"/>
          <w:sz w:val="28"/>
          <w:szCs w:val="28"/>
          <w:highlight w:val="none"/>
          <w:lang w:val="en-US" w:eastAsia="zh-CN"/>
        </w:rPr>
        <w:t>-2月</w:t>
      </w:r>
      <w:r>
        <w:rPr>
          <w:rFonts w:hint="eastAsia" w:ascii="仿宋" w:hAnsi="仿宋" w:eastAsia="仿宋" w:cs="仿宋_GB2312"/>
          <w:color w:val="auto"/>
          <w:sz w:val="28"/>
          <w:szCs w:val="28"/>
          <w:highlight w:val="none"/>
        </w:rPr>
        <w:t>，</w:t>
      </w:r>
      <w:r>
        <w:rPr>
          <w:rFonts w:hint="eastAsia" w:ascii="仿宋" w:hAnsi="仿宋" w:eastAsia="仿宋" w:cs="仿宋_GB2312"/>
          <w:color w:val="auto"/>
          <w:sz w:val="28"/>
          <w:szCs w:val="28"/>
          <w:highlight w:val="none"/>
          <w:lang w:eastAsia="zh-CN"/>
        </w:rPr>
        <w:t>修改完善标准各章节内容，形成标准工作组讨论稿</w:t>
      </w:r>
      <w:r>
        <w:rPr>
          <w:rFonts w:hint="eastAsia" w:ascii="仿宋" w:hAnsi="仿宋" w:eastAsia="仿宋" w:cs="仿宋_GB2312"/>
          <w:color w:val="auto"/>
          <w:sz w:val="28"/>
          <w:szCs w:val="28"/>
          <w:highlight w:val="none"/>
        </w:rPr>
        <w:t>。</w:t>
      </w:r>
    </w:p>
    <w:p>
      <w:pPr>
        <w:spacing w:line="560" w:lineRule="exact"/>
        <w:ind w:firstLine="560" w:firstLineChars="20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202</w:t>
      </w:r>
      <w:r>
        <w:rPr>
          <w:rFonts w:hint="eastAsia" w:ascii="仿宋" w:hAnsi="仿宋" w:eastAsia="仿宋" w:cs="仿宋_GB2312"/>
          <w:color w:val="auto"/>
          <w:sz w:val="28"/>
          <w:szCs w:val="28"/>
          <w:highlight w:val="none"/>
          <w:lang w:val="en-US" w:eastAsia="zh-CN"/>
        </w:rPr>
        <w:t>3</w:t>
      </w:r>
      <w:r>
        <w:rPr>
          <w:rFonts w:hint="eastAsia" w:ascii="仿宋" w:hAnsi="仿宋" w:eastAsia="仿宋" w:cs="仿宋_GB2312"/>
          <w:color w:val="auto"/>
          <w:sz w:val="28"/>
          <w:szCs w:val="28"/>
          <w:highlight w:val="none"/>
        </w:rPr>
        <w:t>年</w:t>
      </w:r>
      <w:r>
        <w:rPr>
          <w:rFonts w:hint="eastAsia" w:ascii="仿宋" w:hAnsi="仿宋" w:eastAsia="仿宋" w:cs="仿宋_GB2312"/>
          <w:color w:val="auto"/>
          <w:sz w:val="28"/>
          <w:szCs w:val="28"/>
          <w:highlight w:val="none"/>
          <w:lang w:val="en-US" w:eastAsia="zh-CN"/>
        </w:rPr>
        <w:t>3月23日-3月30日</w:t>
      </w:r>
      <w:r>
        <w:rPr>
          <w:rFonts w:hint="eastAsia" w:ascii="仿宋" w:hAnsi="仿宋" w:eastAsia="仿宋" w:cs="仿宋_GB2312"/>
          <w:color w:val="auto"/>
          <w:sz w:val="28"/>
          <w:szCs w:val="28"/>
          <w:highlight w:val="none"/>
        </w:rPr>
        <w:t>，</w:t>
      </w:r>
      <w:r>
        <w:rPr>
          <w:rFonts w:hint="eastAsia" w:ascii="仿宋" w:hAnsi="仿宋" w:eastAsia="仿宋" w:cs="仿宋_GB2312"/>
          <w:color w:val="auto"/>
          <w:sz w:val="28"/>
          <w:szCs w:val="28"/>
          <w:highlight w:val="none"/>
          <w:lang w:eastAsia="zh-CN"/>
        </w:rPr>
        <w:t>在编制单位</w:t>
      </w:r>
      <w:r>
        <w:rPr>
          <w:rFonts w:hint="eastAsia" w:ascii="仿宋" w:hAnsi="仿宋" w:eastAsia="仿宋" w:cs="仿宋_GB2312"/>
          <w:color w:val="auto"/>
          <w:sz w:val="28"/>
          <w:szCs w:val="28"/>
          <w:highlight w:val="none"/>
        </w:rPr>
        <w:t>范围内</w:t>
      </w:r>
      <w:r>
        <w:rPr>
          <w:rFonts w:hint="eastAsia" w:ascii="仿宋" w:hAnsi="仿宋" w:eastAsia="仿宋" w:cs="仿宋_GB2312"/>
          <w:color w:val="auto"/>
          <w:sz w:val="28"/>
          <w:szCs w:val="28"/>
          <w:highlight w:val="none"/>
          <w:lang w:eastAsia="zh-CN"/>
        </w:rPr>
        <w:t>第一次</w:t>
      </w:r>
      <w:r>
        <w:rPr>
          <w:rFonts w:hint="eastAsia" w:ascii="仿宋" w:hAnsi="仿宋" w:eastAsia="仿宋" w:cs="仿宋_GB2312"/>
          <w:color w:val="auto"/>
          <w:sz w:val="28"/>
          <w:szCs w:val="28"/>
          <w:highlight w:val="none"/>
        </w:rPr>
        <w:t>征求意见，根据征求意见修改完善标准。</w:t>
      </w:r>
    </w:p>
    <w:p>
      <w:pPr>
        <w:spacing w:line="560" w:lineRule="exact"/>
        <w:ind w:firstLine="560" w:firstLineChars="20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202</w:t>
      </w:r>
      <w:r>
        <w:rPr>
          <w:rFonts w:hint="eastAsia" w:ascii="仿宋" w:hAnsi="仿宋" w:eastAsia="仿宋" w:cs="仿宋_GB2312"/>
          <w:color w:val="auto"/>
          <w:sz w:val="28"/>
          <w:szCs w:val="28"/>
          <w:highlight w:val="none"/>
          <w:lang w:val="en-US" w:eastAsia="zh-CN"/>
        </w:rPr>
        <w:t>3</w:t>
      </w:r>
      <w:r>
        <w:rPr>
          <w:rFonts w:hint="eastAsia" w:ascii="仿宋" w:hAnsi="仿宋" w:eastAsia="仿宋" w:cs="仿宋_GB2312"/>
          <w:color w:val="auto"/>
          <w:sz w:val="28"/>
          <w:szCs w:val="28"/>
          <w:highlight w:val="none"/>
        </w:rPr>
        <w:t>年</w:t>
      </w:r>
      <w:r>
        <w:rPr>
          <w:rFonts w:hint="eastAsia" w:ascii="仿宋" w:hAnsi="仿宋" w:eastAsia="仿宋" w:cs="仿宋_GB2312"/>
          <w:color w:val="auto"/>
          <w:sz w:val="28"/>
          <w:szCs w:val="28"/>
          <w:highlight w:val="none"/>
          <w:lang w:val="en-US" w:eastAsia="zh-CN"/>
        </w:rPr>
        <w:t>3</w:t>
      </w:r>
      <w:r>
        <w:rPr>
          <w:rFonts w:hint="eastAsia" w:ascii="仿宋" w:hAnsi="仿宋" w:eastAsia="仿宋" w:cs="仿宋_GB2312"/>
          <w:color w:val="auto"/>
          <w:sz w:val="28"/>
          <w:szCs w:val="28"/>
          <w:highlight w:val="none"/>
        </w:rPr>
        <w:t>月</w:t>
      </w:r>
      <w:r>
        <w:rPr>
          <w:rFonts w:hint="eastAsia" w:ascii="仿宋" w:hAnsi="仿宋" w:eastAsia="仿宋" w:cs="仿宋_GB2312"/>
          <w:color w:val="auto"/>
          <w:sz w:val="28"/>
          <w:szCs w:val="28"/>
          <w:highlight w:val="none"/>
          <w:lang w:val="en-US" w:eastAsia="zh-CN"/>
        </w:rPr>
        <w:t>31日</w:t>
      </w:r>
      <w:r>
        <w:rPr>
          <w:rFonts w:hint="eastAsia" w:ascii="仿宋" w:hAnsi="仿宋" w:eastAsia="仿宋" w:cs="仿宋_GB2312"/>
          <w:color w:val="auto"/>
          <w:sz w:val="28"/>
          <w:szCs w:val="28"/>
          <w:highlight w:val="none"/>
        </w:rPr>
        <w:t>，</w:t>
      </w:r>
      <w:r>
        <w:rPr>
          <w:rFonts w:hint="eastAsia" w:ascii="仿宋" w:hAnsi="仿宋" w:eastAsia="仿宋" w:cs="仿宋_GB2312"/>
          <w:color w:val="auto"/>
          <w:sz w:val="28"/>
          <w:szCs w:val="28"/>
          <w:highlight w:val="none"/>
          <w:lang w:eastAsia="zh-CN"/>
        </w:rPr>
        <w:t>组织相关领域专家对标准初稿进行评审；</w:t>
      </w:r>
      <w:r>
        <w:rPr>
          <w:rFonts w:hint="eastAsia" w:ascii="仿宋" w:hAnsi="仿宋" w:eastAsia="仿宋" w:cs="仿宋_GB2312"/>
          <w:color w:val="auto"/>
          <w:sz w:val="28"/>
          <w:szCs w:val="28"/>
          <w:highlight w:val="none"/>
          <w:lang w:val="en-US" w:eastAsia="zh-CN"/>
        </w:rPr>
        <w:t>2023年4月，</w:t>
      </w:r>
      <w:r>
        <w:rPr>
          <w:rFonts w:hint="eastAsia" w:ascii="仿宋" w:hAnsi="仿宋" w:eastAsia="仿宋" w:cs="仿宋_GB2312"/>
          <w:color w:val="auto"/>
          <w:sz w:val="28"/>
          <w:szCs w:val="28"/>
          <w:highlight w:val="none"/>
          <w:lang w:eastAsia="zh-CN"/>
        </w:rPr>
        <w:t>按专家评审意见修改完善标准</w:t>
      </w:r>
      <w:r>
        <w:rPr>
          <w:rFonts w:hint="eastAsia" w:ascii="仿宋" w:hAnsi="仿宋" w:eastAsia="仿宋" w:cs="仿宋_GB2312"/>
          <w:color w:val="auto"/>
          <w:sz w:val="28"/>
          <w:szCs w:val="28"/>
          <w:highlight w:val="none"/>
        </w:rPr>
        <w:t>。</w:t>
      </w:r>
    </w:p>
    <w:p>
      <w:pPr>
        <w:spacing w:line="560" w:lineRule="exact"/>
        <w:ind w:firstLine="560"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202</w:t>
      </w:r>
      <w:r>
        <w:rPr>
          <w:rFonts w:hint="eastAsia" w:ascii="仿宋" w:hAnsi="仿宋" w:eastAsia="仿宋" w:cs="仿宋_GB2312"/>
          <w:color w:val="auto"/>
          <w:sz w:val="28"/>
          <w:szCs w:val="28"/>
          <w:highlight w:val="none"/>
          <w:lang w:val="en-US" w:eastAsia="zh-CN"/>
        </w:rPr>
        <w:t>3</w:t>
      </w:r>
      <w:r>
        <w:rPr>
          <w:rFonts w:hint="eastAsia" w:ascii="仿宋" w:hAnsi="仿宋" w:eastAsia="仿宋" w:cs="仿宋_GB2312"/>
          <w:color w:val="auto"/>
          <w:sz w:val="28"/>
          <w:szCs w:val="28"/>
          <w:highlight w:val="none"/>
        </w:rPr>
        <w:t>年</w:t>
      </w:r>
      <w:r>
        <w:rPr>
          <w:rFonts w:hint="eastAsia" w:ascii="仿宋" w:hAnsi="仿宋" w:eastAsia="仿宋" w:cs="仿宋_GB2312"/>
          <w:color w:val="auto"/>
          <w:sz w:val="28"/>
          <w:szCs w:val="28"/>
          <w:highlight w:val="none"/>
          <w:lang w:val="en-US" w:eastAsia="zh-CN"/>
        </w:rPr>
        <w:t>5月</w:t>
      </w:r>
      <w:r>
        <w:rPr>
          <w:rFonts w:hint="eastAsia" w:ascii="仿宋" w:hAnsi="仿宋" w:eastAsia="仿宋" w:cs="仿宋_GB2312"/>
          <w:color w:val="auto"/>
          <w:sz w:val="28"/>
          <w:szCs w:val="28"/>
          <w:highlight w:val="none"/>
        </w:rPr>
        <w:t>，</w:t>
      </w:r>
      <w:r>
        <w:rPr>
          <w:rFonts w:hint="eastAsia" w:ascii="仿宋" w:hAnsi="仿宋" w:eastAsia="仿宋" w:cs="仿宋_GB2312"/>
          <w:color w:val="auto"/>
          <w:sz w:val="28"/>
          <w:szCs w:val="28"/>
          <w:highlight w:val="none"/>
          <w:lang w:eastAsia="zh-CN"/>
        </w:rPr>
        <w:t>在编制单位</w:t>
      </w:r>
      <w:r>
        <w:rPr>
          <w:rFonts w:hint="eastAsia" w:ascii="仿宋" w:hAnsi="仿宋" w:eastAsia="仿宋" w:cs="仿宋_GB2312"/>
          <w:color w:val="auto"/>
          <w:sz w:val="28"/>
          <w:szCs w:val="28"/>
          <w:highlight w:val="none"/>
        </w:rPr>
        <w:t>范围内</w:t>
      </w:r>
      <w:r>
        <w:rPr>
          <w:rFonts w:hint="eastAsia" w:ascii="仿宋" w:hAnsi="仿宋" w:eastAsia="仿宋" w:cs="仿宋_GB2312"/>
          <w:color w:val="auto"/>
          <w:sz w:val="28"/>
          <w:szCs w:val="28"/>
          <w:highlight w:val="none"/>
          <w:lang w:eastAsia="zh-CN"/>
        </w:rPr>
        <w:t>第二次</w:t>
      </w:r>
      <w:r>
        <w:rPr>
          <w:rFonts w:hint="eastAsia" w:ascii="仿宋" w:hAnsi="仿宋" w:eastAsia="仿宋" w:cs="仿宋_GB2312"/>
          <w:color w:val="auto"/>
          <w:sz w:val="28"/>
          <w:szCs w:val="28"/>
          <w:highlight w:val="none"/>
        </w:rPr>
        <w:t>征求意见，根据征求意见修改完善标准</w:t>
      </w:r>
      <w:r>
        <w:rPr>
          <w:rFonts w:hint="eastAsia" w:ascii="仿宋" w:hAnsi="仿宋" w:eastAsia="仿宋" w:cs="仿宋_GB2312"/>
          <w:color w:val="auto"/>
          <w:sz w:val="28"/>
          <w:szCs w:val="28"/>
          <w:highlight w:val="none"/>
          <w:lang w:eastAsia="zh-CN"/>
        </w:rPr>
        <w:t>，</w:t>
      </w:r>
      <w:r>
        <w:rPr>
          <w:rFonts w:hint="eastAsia" w:ascii="仿宋" w:hAnsi="仿宋" w:eastAsia="仿宋" w:cs="仿宋_GB2312"/>
          <w:color w:val="auto"/>
          <w:sz w:val="28"/>
          <w:szCs w:val="28"/>
          <w:highlight w:val="none"/>
        </w:rPr>
        <w:t>形成标准</w:t>
      </w:r>
      <w:r>
        <w:rPr>
          <w:rFonts w:hint="eastAsia" w:ascii="仿宋" w:hAnsi="仿宋" w:eastAsia="仿宋" w:cs="仿宋_GB2312"/>
          <w:color w:val="auto"/>
          <w:sz w:val="28"/>
          <w:szCs w:val="28"/>
          <w:highlight w:val="none"/>
          <w:lang w:eastAsia="zh-CN"/>
        </w:rPr>
        <w:t>征求意见稿</w:t>
      </w:r>
      <w:r>
        <w:rPr>
          <w:rFonts w:hint="eastAsia" w:ascii="仿宋" w:hAnsi="仿宋" w:eastAsia="仿宋" w:cs="仿宋_GB2312"/>
          <w:color w:val="auto"/>
          <w:sz w:val="28"/>
          <w:szCs w:val="28"/>
          <w:highlight w:val="none"/>
        </w:rPr>
        <w:t>。</w:t>
      </w:r>
    </w:p>
    <w:p>
      <w:pPr>
        <w:spacing w:line="560" w:lineRule="exact"/>
        <w:ind w:firstLine="560" w:firstLineChars="200"/>
        <w:rPr>
          <w:rFonts w:ascii="仿宋" w:hAnsi="仿宋" w:eastAsia="仿宋" w:cs="仿宋_GB2312"/>
          <w:color w:val="auto"/>
          <w:sz w:val="28"/>
          <w:szCs w:val="28"/>
          <w:highlight w:val="none"/>
        </w:rPr>
      </w:pPr>
    </w:p>
    <w:p>
      <w:pPr>
        <w:spacing w:line="560" w:lineRule="exact"/>
        <w:outlineLvl w:val="0"/>
        <w:rPr>
          <w:rFonts w:ascii="黑体" w:hAnsi="黑体" w:eastAsia="黑体" w:cs="黑体"/>
          <w:bCs/>
          <w:color w:val="auto"/>
          <w:sz w:val="28"/>
          <w:szCs w:val="28"/>
          <w:highlight w:val="none"/>
        </w:rPr>
      </w:pPr>
      <w:bookmarkStart w:id="7" w:name="_Toc5069"/>
      <w:bookmarkStart w:id="8" w:name="_Toc55233631"/>
      <w:bookmarkStart w:id="9" w:name="_Toc12273"/>
      <w:r>
        <w:rPr>
          <w:rFonts w:hint="eastAsia" w:ascii="黑体" w:hAnsi="黑体" w:eastAsia="黑体" w:cs="黑体"/>
          <w:bCs/>
          <w:color w:val="auto"/>
          <w:sz w:val="28"/>
          <w:szCs w:val="28"/>
          <w:highlight w:val="none"/>
        </w:rPr>
        <w:t>四、制定标准的原则和依据</w:t>
      </w:r>
      <w:bookmarkEnd w:id="7"/>
    </w:p>
    <w:bookmarkEnd w:id="8"/>
    <w:bookmarkEnd w:id="9"/>
    <w:p>
      <w:pPr>
        <w:spacing w:line="560" w:lineRule="exact"/>
        <w:ind w:firstLine="560" w:firstLineChars="200"/>
        <w:rPr>
          <w:rFonts w:ascii="仿宋" w:hAnsi="仿宋" w:eastAsia="仿宋" w:cs="宋体"/>
          <w:color w:val="auto"/>
          <w:kern w:val="0"/>
          <w:sz w:val="28"/>
          <w:szCs w:val="28"/>
          <w:highlight w:val="none"/>
        </w:rPr>
      </w:pPr>
      <w:r>
        <w:rPr>
          <w:rFonts w:hint="eastAsia" w:ascii="仿宋" w:hAnsi="仿宋" w:eastAsia="仿宋" w:cs="宋体"/>
          <w:color w:val="auto"/>
          <w:kern w:val="0"/>
          <w:sz w:val="28"/>
          <w:szCs w:val="28"/>
          <w:highlight w:val="none"/>
        </w:rPr>
        <w:t>本标准</w:t>
      </w:r>
      <w:r>
        <w:rPr>
          <w:rFonts w:hint="eastAsia" w:ascii="仿宋" w:hAnsi="仿宋" w:eastAsia="仿宋" w:cs="宋体"/>
          <w:color w:val="auto"/>
          <w:kern w:val="0"/>
          <w:sz w:val="28"/>
          <w:szCs w:val="28"/>
          <w:highlight w:val="none"/>
          <w:lang w:eastAsia="zh-CN"/>
        </w:rPr>
        <w:t>依据</w:t>
      </w:r>
      <w:r>
        <w:rPr>
          <w:rFonts w:hint="eastAsia" w:ascii="仿宋" w:hAnsi="仿宋" w:eastAsia="仿宋" w:cs="宋体"/>
          <w:color w:val="auto"/>
          <w:kern w:val="0"/>
          <w:sz w:val="28"/>
          <w:szCs w:val="28"/>
          <w:highlight w:val="none"/>
        </w:rPr>
        <w:t>国家、行业和广西壮族自治区现行有关标准的规定</w:t>
      </w:r>
      <w:r>
        <w:rPr>
          <w:rFonts w:hint="eastAsia" w:ascii="仿宋" w:hAnsi="仿宋" w:eastAsia="仿宋" w:cs="宋体"/>
          <w:color w:val="auto"/>
          <w:kern w:val="0"/>
          <w:sz w:val="28"/>
          <w:szCs w:val="28"/>
          <w:highlight w:val="none"/>
          <w:lang w:eastAsia="zh-CN"/>
        </w:rPr>
        <w:t>进行编制，</w:t>
      </w:r>
      <w:r>
        <w:rPr>
          <w:rFonts w:hint="eastAsia" w:ascii="仿宋" w:hAnsi="仿宋" w:eastAsia="仿宋" w:cs="宋体"/>
          <w:color w:val="auto"/>
          <w:kern w:val="0"/>
          <w:sz w:val="28"/>
          <w:szCs w:val="28"/>
          <w:highlight w:val="none"/>
        </w:rPr>
        <w:t>遵循以下基本原则：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1"/>
        <w:rPr>
          <w:rFonts w:hint="eastAsia" w:ascii="黑体" w:hAnsi="黑体" w:eastAsia="黑体" w:cs="黑体"/>
          <w:bCs/>
          <w:color w:val="auto"/>
          <w:sz w:val="28"/>
          <w:szCs w:val="28"/>
          <w:highlight w:val="none"/>
          <w:lang w:eastAsia="zh-CN"/>
        </w:rPr>
      </w:pPr>
      <w:bookmarkStart w:id="10" w:name="_Toc759"/>
      <w:r>
        <w:rPr>
          <w:rFonts w:hint="eastAsia" w:ascii="黑体" w:hAnsi="黑体" w:eastAsia="黑体" w:cs="黑体"/>
          <w:bCs/>
          <w:color w:val="auto"/>
          <w:sz w:val="28"/>
          <w:szCs w:val="28"/>
          <w:highlight w:val="none"/>
          <w:lang w:eastAsia="zh-CN"/>
        </w:rPr>
        <w:t>（一）科学性原则</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宋体"/>
          <w:color w:val="auto"/>
          <w:kern w:val="0"/>
          <w:sz w:val="28"/>
          <w:szCs w:val="28"/>
          <w:highlight w:val="none"/>
        </w:rPr>
      </w:pPr>
      <w:r>
        <w:rPr>
          <w:rFonts w:hint="eastAsia" w:ascii="仿宋" w:hAnsi="仿宋" w:eastAsia="仿宋" w:cs="宋体"/>
          <w:color w:val="auto"/>
          <w:kern w:val="0"/>
          <w:sz w:val="28"/>
          <w:szCs w:val="28"/>
          <w:highlight w:val="none"/>
        </w:rPr>
        <w:t>本标准分析了国内</w:t>
      </w:r>
      <w:r>
        <w:rPr>
          <w:rFonts w:ascii="仿宋" w:hAnsi="仿宋" w:eastAsia="仿宋" w:cs="Times New Roman"/>
          <w:color w:val="auto"/>
          <w:sz w:val="28"/>
          <w:szCs w:val="28"/>
          <w:highlight w:val="none"/>
        </w:rPr>
        <w:t>微型智能电流传感器</w:t>
      </w:r>
      <w:r>
        <w:rPr>
          <w:rFonts w:hint="eastAsia" w:ascii="仿宋" w:hAnsi="仿宋" w:eastAsia="仿宋" w:cs="宋体"/>
          <w:color w:val="auto"/>
          <w:kern w:val="0"/>
          <w:sz w:val="28"/>
          <w:szCs w:val="28"/>
          <w:highlight w:val="none"/>
        </w:rPr>
        <w:t>现状和特点，</w:t>
      </w:r>
      <w:r>
        <w:rPr>
          <w:rFonts w:hint="eastAsia" w:ascii="仿宋" w:hAnsi="仿宋" w:eastAsia="仿宋" w:cs="宋体"/>
          <w:color w:val="auto"/>
          <w:kern w:val="0"/>
          <w:sz w:val="28"/>
          <w:szCs w:val="28"/>
          <w:highlight w:val="none"/>
          <w:lang w:eastAsia="zh-CN"/>
        </w:rPr>
        <w:t>并结合</w:t>
      </w:r>
      <w:r>
        <w:rPr>
          <w:rFonts w:ascii="仿宋" w:hAnsi="仿宋" w:eastAsia="仿宋" w:cs="Times New Roman"/>
          <w:color w:val="auto"/>
          <w:sz w:val="28"/>
          <w:szCs w:val="28"/>
          <w:highlight w:val="none"/>
        </w:rPr>
        <w:t>微型智能电流传感器</w:t>
      </w:r>
      <w:r>
        <w:rPr>
          <w:rFonts w:hint="eastAsia" w:ascii="仿宋" w:hAnsi="仿宋" w:eastAsia="仿宋" w:cs="Times New Roman"/>
          <w:color w:val="auto"/>
          <w:sz w:val="28"/>
          <w:szCs w:val="28"/>
          <w:highlight w:val="none"/>
          <w:lang w:eastAsia="zh-CN"/>
        </w:rPr>
        <w:t>工程</w:t>
      </w:r>
      <w:r>
        <w:rPr>
          <w:rFonts w:hint="eastAsia" w:ascii="仿宋" w:hAnsi="仿宋" w:eastAsia="仿宋" w:cs="宋体"/>
          <w:color w:val="auto"/>
          <w:kern w:val="0"/>
          <w:sz w:val="28"/>
          <w:szCs w:val="28"/>
          <w:highlight w:val="none"/>
        </w:rPr>
        <w:t>应用的</w:t>
      </w:r>
      <w:r>
        <w:rPr>
          <w:rFonts w:hint="eastAsia" w:ascii="仿宋" w:hAnsi="仿宋" w:eastAsia="仿宋" w:cs="宋体"/>
          <w:color w:val="auto"/>
          <w:kern w:val="0"/>
          <w:sz w:val="28"/>
          <w:szCs w:val="28"/>
          <w:highlight w:val="none"/>
          <w:lang w:eastAsia="zh-CN"/>
        </w:rPr>
        <w:t>现场数据，提出标准的编制内容和框架</w:t>
      </w:r>
      <w:r>
        <w:rPr>
          <w:rFonts w:hint="eastAsia" w:ascii="仿宋" w:hAnsi="仿宋" w:eastAsia="仿宋" w:cs="宋体"/>
          <w:color w:val="auto"/>
          <w:kern w:val="0"/>
          <w:sz w:val="28"/>
          <w:szCs w:val="28"/>
          <w:highlight w:val="none"/>
        </w:rPr>
        <w:t>，</w:t>
      </w:r>
      <w:r>
        <w:rPr>
          <w:rFonts w:hint="eastAsia" w:ascii="仿宋" w:hAnsi="仿宋" w:eastAsia="仿宋" w:cs="宋体"/>
          <w:color w:val="auto"/>
          <w:kern w:val="0"/>
          <w:sz w:val="28"/>
          <w:szCs w:val="28"/>
          <w:highlight w:val="none"/>
          <w:lang w:eastAsia="zh-CN"/>
        </w:rPr>
        <w:t>标准内容和各项指标具有充分的</w:t>
      </w:r>
      <w:r>
        <w:rPr>
          <w:rFonts w:hint="eastAsia" w:ascii="仿宋" w:hAnsi="仿宋" w:eastAsia="仿宋" w:cs="宋体"/>
          <w:color w:val="auto"/>
          <w:kern w:val="0"/>
          <w:sz w:val="28"/>
          <w:szCs w:val="28"/>
          <w:highlight w:val="none"/>
        </w:rPr>
        <w:t>科学</w:t>
      </w:r>
      <w:r>
        <w:rPr>
          <w:rFonts w:hint="eastAsia" w:ascii="仿宋" w:hAnsi="仿宋" w:eastAsia="仿宋" w:cs="宋体"/>
          <w:color w:val="auto"/>
          <w:kern w:val="0"/>
          <w:sz w:val="28"/>
          <w:szCs w:val="28"/>
          <w:highlight w:val="none"/>
          <w:lang w:eastAsia="zh-CN"/>
        </w:rPr>
        <w:t>性和</w:t>
      </w:r>
      <w:r>
        <w:rPr>
          <w:rFonts w:hint="eastAsia" w:ascii="仿宋" w:hAnsi="仿宋" w:eastAsia="仿宋" w:cs="宋体"/>
          <w:color w:val="auto"/>
          <w:kern w:val="0"/>
          <w:sz w:val="28"/>
          <w:szCs w:val="28"/>
          <w:highlight w:val="none"/>
        </w:rPr>
        <w:t>实用</w:t>
      </w:r>
      <w:r>
        <w:rPr>
          <w:rFonts w:hint="eastAsia" w:ascii="仿宋" w:hAnsi="仿宋" w:eastAsia="仿宋" w:cs="宋体"/>
          <w:color w:val="auto"/>
          <w:kern w:val="0"/>
          <w:sz w:val="28"/>
          <w:szCs w:val="28"/>
          <w:highlight w:val="none"/>
          <w:lang w:eastAsia="zh-CN"/>
        </w:rPr>
        <w:t>性</w:t>
      </w:r>
      <w:r>
        <w:rPr>
          <w:rFonts w:hint="eastAsia" w:ascii="仿宋" w:hAnsi="仿宋" w:eastAsia="仿宋" w:cs="宋体"/>
          <w:color w:val="auto"/>
          <w:kern w:val="0"/>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1"/>
        <w:rPr>
          <w:rFonts w:hint="eastAsia" w:ascii="黑体" w:hAnsi="黑体" w:eastAsia="黑体" w:cs="黑体"/>
          <w:bCs/>
          <w:color w:val="auto"/>
          <w:sz w:val="28"/>
          <w:szCs w:val="28"/>
          <w:highlight w:val="none"/>
          <w:lang w:eastAsia="zh-CN"/>
        </w:rPr>
      </w:pPr>
      <w:bookmarkStart w:id="11" w:name="_Toc17144"/>
      <w:r>
        <w:rPr>
          <w:rFonts w:hint="eastAsia" w:ascii="黑体" w:hAnsi="黑体" w:eastAsia="黑体" w:cs="黑体"/>
          <w:bCs/>
          <w:color w:val="auto"/>
          <w:sz w:val="28"/>
          <w:szCs w:val="28"/>
          <w:highlight w:val="none"/>
          <w:lang w:eastAsia="zh-CN"/>
        </w:rPr>
        <w:t>（二）承接性原则</w:t>
      </w:r>
      <w:bookmarkEnd w:id="11"/>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宋体"/>
          <w:color w:val="auto"/>
          <w:kern w:val="0"/>
          <w:sz w:val="28"/>
          <w:szCs w:val="28"/>
          <w:highlight w:val="none"/>
        </w:rPr>
      </w:pPr>
      <w:r>
        <w:rPr>
          <w:rFonts w:hint="eastAsia" w:ascii="仿宋" w:hAnsi="仿宋" w:eastAsia="仿宋" w:cs="宋体"/>
          <w:color w:val="auto"/>
          <w:kern w:val="0"/>
          <w:sz w:val="28"/>
          <w:szCs w:val="28"/>
          <w:highlight w:val="none"/>
        </w:rPr>
        <w:t>本标准术语、符号、条文尽量与相应国家、国际、行业和地方标准的规定内容相一致，条文未出现自相矛盾的地方。标准技术内容与国家、国际、行业和地方标准兼容，未出现冲突，保证了一致性。标准技术内容中引用其他标准时，已明确指出所引用标准的内容或名称，增强了标准的可读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1"/>
        <w:rPr>
          <w:rFonts w:hint="eastAsia" w:ascii="黑体" w:hAnsi="黑体" w:eastAsia="黑体" w:cs="黑体"/>
          <w:bCs/>
          <w:color w:val="auto"/>
          <w:sz w:val="28"/>
          <w:szCs w:val="28"/>
          <w:highlight w:val="none"/>
          <w:lang w:eastAsia="zh-CN"/>
        </w:rPr>
      </w:pPr>
      <w:bookmarkStart w:id="12" w:name="_Toc25830"/>
      <w:r>
        <w:rPr>
          <w:rFonts w:hint="eastAsia" w:ascii="黑体" w:hAnsi="黑体" w:eastAsia="黑体" w:cs="黑体"/>
          <w:bCs/>
          <w:color w:val="auto"/>
          <w:sz w:val="28"/>
          <w:szCs w:val="28"/>
          <w:highlight w:val="none"/>
          <w:lang w:eastAsia="zh-CN"/>
        </w:rPr>
        <w:t>（三）可操作性原则</w:t>
      </w:r>
      <w:bookmarkEnd w:id="12"/>
    </w:p>
    <w:p>
      <w:pPr>
        <w:spacing w:line="560" w:lineRule="exact"/>
        <w:ind w:firstLine="560" w:firstLineChars="200"/>
        <w:rPr>
          <w:rFonts w:ascii="仿宋" w:hAnsi="仿宋" w:eastAsia="仿宋" w:cs="宋体"/>
          <w:color w:val="auto"/>
          <w:kern w:val="0"/>
          <w:sz w:val="28"/>
          <w:szCs w:val="28"/>
          <w:highlight w:val="none"/>
        </w:rPr>
      </w:pPr>
      <w:r>
        <w:rPr>
          <w:rFonts w:hint="eastAsia" w:ascii="仿宋" w:hAnsi="仿宋" w:eastAsia="仿宋" w:cs="宋体"/>
          <w:color w:val="auto"/>
          <w:kern w:val="0"/>
          <w:sz w:val="28"/>
          <w:szCs w:val="28"/>
          <w:highlight w:val="none"/>
        </w:rPr>
        <w:t>本标准的起草充分调研</w:t>
      </w:r>
      <w:r>
        <w:rPr>
          <w:rFonts w:ascii="仿宋" w:hAnsi="仿宋" w:eastAsia="仿宋" w:cs="Times New Roman"/>
          <w:color w:val="auto"/>
          <w:sz w:val="28"/>
          <w:szCs w:val="28"/>
          <w:highlight w:val="none"/>
        </w:rPr>
        <w:t>微型智能电流传感器</w:t>
      </w:r>
      <w:r>
        <w:rPr>
          <w:rFonts w:hint="eastAsia" w:ascii="仿宋" w:hAnsi="仿宋" w:eastAsia="仿宋" w:cs="宋体"/>
          <w:color w:val="auto"/>
          <w:kern w:val="0"/>
          <w:sz w:val="28"/>
          <w:szCs w:val="28"/>
          <w:highlight w:val="none"/>
        </w:rPr>
        <w:t>标准的应用现状，征求了相关领域的专家意见。编写组在此基础上进过反复讨论和修改，编制此标准。标准内容针对性强，可操作性高，易于推广。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hint="eastAsia" w:ascii="黑体" w:hAnsi="黑体" w:eastAsia="黑体"/>
          <w:color w:val="auto"/>
          <w:sz w:val="28"/>
          <w:szCs w:val="28"/>
          <w:highlight w:val="none"/>
          <w:lang w:eastAsia="zh-CN"/>
        </w:rPr>
      </w:pPr>
      <w:bookmarkStart w:id="13" w:name="_Toc31228"/>
      <w:r>
        <w:rPr>
          <w:rFonts w:hint="eastAsia" w:ascii="黑体" w:hAnsi="黑体" w:eastAsia="黑体"/>
          <w:color w:val="auto"/>
          <w:sz w:val="28"/>
          <w:szCs w:val="28"/>
          <w:highlight w:val="none"/>
          <w:lang w:eastAsia="zh-CN"/>
        </w:rPr>
        <w:t>五</w:t>
      </w:r>
      <w:r>
        <w:rPr>
          <w:rFonts w:hint="eastAsia" w:ascii="黑体" w:hAnsi="黑体" w:eastAsia="黑体"/>
          <w:color w:val="auto"/>
          <w:sz w:val="28"/>
          <w:szCs w:val="28"/>
          <w:highlight w:val="none"/>
        </w:rPr>
        <w:t>、</w:t>
      </w:r>
      <w:r>
        <w:rPr>
          <w:rFonts w:hint="eastAsia" w:ascii="黑体" w:hAnsi="黑体" w:eastAsia="黑体"/>
          <w:color w:val="auto"/>
          <w:sz w:val="28"/>
          <w:szCs w:val="28"/>
          <w:highlight w:val="none"/>
          <w:lang w:eastAsia="zh-CN"/>
        </w:rPr>
        <w:t>与现行</w:t>
      </w:r>
      <w:r>
        <w:rPr>
          <w:rFonts w:hint="eastAsia" w:ascii="黑体" w:hAnsi="黑体" w:eastAsia="黑体"/>
          <w:color w:val="auto"/>
          <w:sz w:val="28"/>
          <w:szCs w:val="28"/>
          <w:highlight w:val="none"/>
        </w:rPr>
        <w:t>法律</w:t>
      </w:r>
      <w:r>
        <w:rPr>
          <w:rFonts w:hint="eastAsia" w:ascii="黑体" w:hAnsi="黑体" w:eastAsia="黑体"/>
          <w:color w:val="auto"/>
          <w:sz w:val="28"/>
          <w:szCs w:val="28"/>
          <w:highlight w:val="none"/>
          <w:lang w:eastAsia="zh-CN"/>
        </w:rPr>
        <w:t>、</w:t>
      </w:r>
      <w:r>
        <w:rPr>
          <w:rFonts w:hint="eastAsia" w:ascii="黑体" w:hAnsi="黑体" w:eastAsia="黑体"/>
          <w:color w:val="auto"/>
          <w:sz w:val="28"/>
          <w:szCs w:val="28"/>
          <w:highlight w:val="none"/>
        </w:rPr>
        <w:t>法规</w:t>
      </w:r>
      <w:r>
        <w:rPr>
          <w:rFonts w:hint="eastAsia" w:ascii="黑体" w:hAnsi="黑体" w:eastAsia="黑体"/>
          <w:color w:val="auto"/>
          <w:sz w:val="28"/>
          <w:szCs w:val="28"/>
          <w:highlight w:val="none"/>
          <w:lang w:eastAsia="zh-CN"/>
        </w:rPr>
        <w:t>的关系</w:t>
      </w:r>
      <w:r>
        <w:rPr>
          <w:rFonts w:hint="eastAsia" w:ascii="黑体" w:hAnsi="黑体" w:eastAsia="黑体"/>
          <w:color w:val="auto"/>
          <w:sz w:val="28"/>
          <w:szCs w:val="28"/>
          <w:highlight w:val="none"/>
        </w:rPr>
        <w:t>和</w:t>
      </w:r>
      <w:r>
        <w:rPr>
          <w:rFonts w:hint="eastAsia" w:ascii="黑体" w:hAnsi="黑体" w:eastAsia="黑体"/>
          <w:color w:val="auto"/>
          <w:sz w:val="28"/>
          <w:szCs w:val="28"/>
          <w:highlight w:val="none"/>
          <w:lang w:eastAsia="zh-CN"/>
        </w:rPr>
        <w:t>相关</w:t>
      </w:r>
      <w:r>
        <w:rPr>
          <w:rFonts w:hint="eastAsia" w:ascii="黑体" w:hAnsi="黑体" w:eastAsia="黑体"/>
          <w:color w:val="auto"/>
          <w:sz w:val="28"/>
          <w:szCs w:val="28"/>
          <w:highlight w:val="none"/>
        </w:rPr>
        <w:t>标准</w:t>
      </w:r>
      <w:r>
        <w:rPr>
          <w:rFonts w:hint="eastAsia" w:ascii="黑体" w:hAnsi="黑体" w:eastAsia="黑体"/>
          <w:color w:val="auto"/>
          <w:sz w:val="28"/>
          <w:szCs w:val="28"/>
          <w:highlight w:val="none"/>
          <w:lang w:eastAsia="zh-CN"/>
        </w:rPr>
        <w:t>的协调情况</w:t>
      </w:r>
      <w:bookmarkEnd w:id="13"/>
    </w:p>
    <w:p>
      <w:pPr>
        <w:spacing w:line="560" w:lineRule="exact"/>
        <w:ind w:firstLine="560" w:firstLineChars="200"/>
        <w:rPr>
          <w:rFonts w:hint="eastAsia" w:ascii="仿宋" w:hAnsi="仿宋" w:eastAsia="仿宋"/>
          <w:color w:val="auto"/>
          <w:sz w:val="28"/>
          <w:szCs w:val="28"/>
          <w:highlight w:val="none"/>
          <w:lang w:eastAsia="zh-CN"/>
        </w:rPr>
      </w:pPr>
      <w:r>
        <w:rPr>
          <w:rFonts w:hint="eastAsia" w:ascii="仿宋" w:hAnsi="仿宋" w:eastAsia="仿宋"/>
          <w:color w:val="auto"/>
          <w:sz w:val="28"/>
          <w:szCs w:val="28"/>
          <w:highlight w:val="none"/>
          <w:lang w:eastAsia="zh-CN"/>
        </w:rPr>
        <w:t>本标准的编制依据</w:t>
      </w:r>
      <w:r>
        <w:rPr>
          <w:rFonts w:ascii="仿宋" w:hAnsi="仿宋" w:eastAsia="仿宋"/>
          <w:color w:val="auto"/>
          <w:sz w:val="28"/>
          <w:szCs w:val="28"/>
          <w:highlight w:val="none"/>
        </w:rPr>
        <w:t>现行有效的</w:t>
      </w:r>
      <w:r>
        <w:rPr>
          <w:rFonts w:hint="eastAsia" w:ascii="仿宋" w:hAnsi="仿宋" w:eastAsia="仿宋"/>
          <w:color w:val="auto"/>
          <w:sz w:val="28"/>
          <w:szCs w:val="28"/>
          <w:highlight w:val="none"/>
          <w:lang w:eastAsia="zh-CN"/>
        </w:rPr>
        <w:t>法律、法规和标准，</w:t>
      </w:r>
      <w:r>
        <w:rPr>
          <w:rFonts w:hint="eastAsia" w:ascii="仿宋" w:hAnsi="仿宋" w:eastAsia="仿宋" w:cs="宋体"/>
          <w:color w:val="auto"/>
          <w:kern w:val="0"/>
          <w:sz w:val="28"/>
          <w:szCs w:val="28"/>
          <w:highlight w:val="none"/>
          <w:lang w:eastAsia="zh-CN"/>
        </w:rPr>
        <w:t>参考了《GB/T 7665 传感器通用术语》、《GB/T 33905.1 智能传感器 第1部分：总则》、《GB/T 20840.2  互感器 第2部分：电流互感器的补充技术要求》等标准，</w:t>
      </w:r>
      <w:r>
        <w:rPr>
          <w:rFonts w:hint="eastAsia" w:ascii="仿宋" w:hAnsi="仿宋" w:eastAsia="仿宋"/>
          <w:color w:val="auto"/>
          <w:sz w:val="28"/>
          <w:szCs w:val="28"/>
          <w:highlight w:val="none"/>
          <w:lang w:eastAsia="zh-CN"/>
        </w:rPr>
        <w:t>在内容上</w:t>
      </w:r>
      <w:r>
        <w:rPr>
          <w:rFonts w:ascii="仿宋" w:hAnsi="仿宋" w:eastAsia="仿宋"/>
          <w:color w:val="auto"/>
          <w:sz w:val="28"/>
          <w:szCs w:val="28"/>
          <w:highlight w:val="none"/>
        </w:rPr>
        <w:t>与</w:t>
      </w:r>
      <w:r>
        <w:rPr>
          <w:rFonts w:hint="eastAsia" w:ascii="仿宋" w:hAnsi="仿宋" w:eastAsia="仿宋"/>
          <w:color w:val="auto"/>
          <w:sz w:val="28"/>
          <w:szCs w:val="28"/>
          <w:highlight w:val="none"/>
          <w:lang w:eastAsia="zh-CN"/>
        </w:rPr>
        <w:t>这些文件中的规定不存在矛盾，内容协调一致</w:t>
      </w:r>
      <w:r>
        <w:rPr>
          <w:rFonts w:ascii="仿宋" w:hAnsi="仿宋" w:eastAsia="仿宋"/>
          <w:color w:val="auto"/>
          <w:sz w:val="28"/>
          <w:szCs w:val="28"/>
          <w:highlight w:val="none"/>
        </w:rPr>
        <w:t>。</w:t>
      </w:r>
      <w:r>
        <w:rPr>
          <w:rFonts w:hint="eastAsia" w:ascii="仿宋" w:hAnsi="仿宋" w:eastAsia="仿宋"/>
          <w:color w:val="auto"/>
          <w:sz w:val="28"/>
          <w:szCs w:val="28"/>
          <w:highlight w:val="none"/>
          <w:lang w:eastAsia="zh-CN"/>
        </w:rPr>
        <w:t>本标准内容和各项指标不低于国家强制性标准和国家推荐性标准。</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outlineLvl w:val="0"/>
        <w:rPr>
          <w:rFonts w:ascii="黑体" w:hAnsi="黑体" w:eastAsia="黑体" w:cs="宋体"/>
          <w:color w:val="auto"/>
          <w:kern w:val="0"/>
          <w:sz w:val="28"/>
          <w:szCs w:val="28"/>
          <w:highlight w:val="none"/>
        </w:rPr>
      </w:pPr>
      <w:bookmarkStart w:id="14" w:name="_Toc10252"/>
      <w:r>
        <w:rPr>
          <w:rFonts w:hint="eastAsia" w:ascii="黑体" w:hAnsi="黑体" w:eastAsia="黑体" w:cs="宋体"/>
          <w:color w:val="auto"/>
          <w:kern w:val="0"/>
          <w:sz w:val="28"/>
          <w:szCs w:val="28"/>
          <w:highlight w:val="none"/>
          <w:lang w:eastAsia="zh-CN"/>
        </w:rPr>
        <w:t>六、</w:t>
      </w:r>
      <w:r>
        <w:rPr>
          <w:rFonts w:hint="eastAsia" w:ascii="黑体" w:hAnsi="黑体" w:eastAsia="黑体" w:cs="宋体"/>
          <w:color w:val="auto"/>
          <w:kern w:val="0"/>
          <w:sz w:val="28"/>
          <w:szCs w:val="28"/>
          <w:highlight w:val="none"/>
        </w:rPr>
        <w:t>标准主要内容</w:t>
      </w:r>
      <w:r>
        <w:rPr>
          <w:rFonts w:hint="eastAsia" w:ascii="黑体" w:hAnsi="黑体" w:eastAsia="黑体" w:cs="宋体"/>
          <w:color w:val="auto"/>
          <w:kern w:val="0"/>
          <w:sz w:val="28"/>
          <w:szCs w:val="28"/>
          <w:highlight w:val="none"/>
          <w:lang w:eastAsia="zh-CN"/>
        </w:rPr>
        <w:t>及条款说明</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1"/>
        <w:rPr>
          <w:rFonts w:hint="eastAsia" w:ascii="黑体" w:hAnsi="黑体" w:eastAsia="黑体" w:cs="黑体"/>
          <w:bCs/>
          <w:color w:val="auto"/>
          <w:sz w:val="28"/>
          <w:szCs w:val="28"/>
          <w:highlight w:val="none"/>
          <w:lang w:val="en-US" w:eastAsia="zh-CN"/>
        </w:rPr>
      </w:pPr>
      <w:bookmarkStart w:id="15" w:name="_Toc31762"/>
      <w:r>
        <w:rPr>
          <w:rFonts w:hint="eastAsia" w:ascii="黑体" w:hAnsi="黑体" w:eastAsia="黑体" w:cs="黑体"/>
          <w:bCs/>
          <w:color w:val="auto"/>
          <w:sz w:val="28"/>
          <w:szCs w:val="28"/>
          <w:highlight w:val="none"/>
          <w:lang w:val="en-US" w:eastAsia="zh-CN"/>
        </w:rPr>
        <w:t>（一）主要内容</w:t>
      </w:r>
      <w:bookmarkEnd w:id="15"/>
    </w:p>
    <w:p>
      <w:pPr>
        <w:pStyle w:val="18"/>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textAlignment w:val="baseline"/>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olor w:val="auto"/>
          <w:sz w:val="28"/>
          <w:szCs w:val="28"/>
          <w:highlight w:val="none"/>
        </w:rPr>
        <w:t>本文件按照</w:t>
      </w:r>
      <w:r>
        <w:rPr>
          <w:rFonts w:ascii="仿宋" w:hAnsi="仿宋" w:eastAsia="仿宋"/>
          <w:color w:val="auto"/>
          <w:sz w:val="28"/>
          <w:szCs w:val="28"/>
          <w:highlight w:val="none"/>
        </w:rPr>
        <w:t>GB/T 1.1—2020《标准化工作导则  第1部分：标准化文件的结构和起草规则》的规定起草。</w:t>
      </w:r>
      <w:r>
        <w:rPr>
          <w:rFonts w:hint="eastAsia" w:ascii="仿宋" w:hAnsi="仿宋" w:eastAsia="仿宋" w:cs="仿宋"/>
          <w:b w:val="0"/>
          <w:bCs w:val="0"/>
          <w:color w:val="auto"/>
          <w:kern w:val="2"/>
          <w:sz w:val="28"/>
          <w:szCs w:val="28"/>
          <w:highlight w:val="none"/>
          <w:lang w:val="en-US" w:eastAsia="zh-CN" w:bidi="ar-SA"/>
        </w:rPr>
        <w:t>以国家及行业的有关标准、规范、导则为基础，在微型智能电流传感器的术语和标识，功能、结构和性能要求，使用安装及运输条件，试验方法与试验规则等方面做了相关的技术规定。本标准共分10章，分别是：</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 范围</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2 规范性引用文件</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 术语和定义</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3.1 传感器</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3.2 智能传感器</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3.3 微传感器</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3.4 微型智能电流传感器</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3.5 线性度</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3.6 重复性</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3.7 分辨力</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3.8 零点输出</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3.9 温度漂移</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3.10 功耗</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3.11 响应时间</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4 微型智能电流传感器原理及组成</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5 正常使用条件</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5.1 系统运行条件</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5.2 温度范围</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5.3 湿度范围</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5.4 大气压力</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 技术要求</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6.1 通用额定值</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6.2 准确级及误差限值</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6.3 线性度</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6.4 重复性</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6.5 分辨力</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6.6 零点输出</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6.7 温度漂移</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6.8 供电电源</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6.9 响应时间</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6.10 采样频率</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6.11 通信要求</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6.12 环境适应性</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6.13 机械性能要求</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6.14 防护要求</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6.15 安装方式</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 智能化</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7.1 自诊断</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7.2 自补偿</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7.3 自适应</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7.4 信息存储和记忆</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7.5 掉电保护</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7.6 停电上报</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7.7 在线升级</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7.8 远程配置</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7.9 对时功能</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7.10 故障录波</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 试验方法</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8.1 试验环境条件</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8.2 测试方法</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8.3 外观结构检查</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8.4 性能试验</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8.5 环境试验</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560"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8.6 电磁兼容试验</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9 检验项目</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10 标志、包装、运输及贮存条件</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10.1 标志</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10.2 包装</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10.3 运输</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48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10.4 贮存</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1"/>
        <w:rPr>
          <w:rFonts w:hint="eastAsia" w:ascii="黑体" w:hAnsi="黑体" w:eastAsia="黑体" w:cs="黑体"/>
          <w:bCs/>
          <w:color w:val="auto"/>
          <w:sz w:val="28"/>
          <w:szCs w:val="28"/>
          <w:highlight w:val="none"/>
          <w:lang w:val="en-US" w:eastAsia="zh-CN"/>
        </w:rPr>
      </w:pPr>
      <w:bookmarkStart w:id="16" w:name="_Toc13009"/>
      <w:r>
        <w:rPr>
          <w:rFonts w:hint="eastAsia" w:ascii="黑体" w:hAnsi="黑体" w:eastAsia="黑体" w:cs="黑体"/>
          <w:bCs/>
          <w:color w:val="auto"/>
          <w:sz w:val="28"/>
          <w:szCs w:val="28"/>
          <w:highlight w:val="none"/>
          <w:lang w:val="en-US" w:eastAsia="zh-CN"/>
        </w:rPr>
        <w:t>（二）条款说明</w:t>
      </w:r>
      <w:bookmarkEnd w:id="16"/>
    </w:p>
    <w:p>
      <w:pPr>
        <w:pStyle w:val="18"/>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textAlignment w:val="baseline"/>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第1章 范围。明确本标准适用于设计、制造、安装、试验与采购等范围。</w:t>
      </w:r>
    </w:p>
    <w:p>
      <w:pPr>
        <w:pStyle w:val="18"/>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textAlignment w:val="baseline"/>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第2章 规范性引用文件。明确本标准相关引用文件。</w:t>
      </w:r>
    </w:p>
    <w:p>
      <w:pPr>
        <w:pStyle w:val="18"/>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textAlignment w:val="baseline"/>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第3章 术语和定义。确立和定义适用于本标准的相关术语。</w:t>
      </w:r>
    </w:p>
    <w:p>
      <w:pPr>
        <w:pStyle w:val="18"/>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textAlignment w:val="baseline"/>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第4章 微型智能电流传感器原理及组成。对微型智能电流传感器的基本原理和组成结构的一般要求进行描述。</w:t>
      </w:r>
    </w:p>
    <w:p>
      <w:pPr>
        <w:pStyle w:val="18"/>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textAlignment w:val="baseline"/>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第5章 正常使用条件。主要针对微型智能电流传感器的系统运行条件、温度范围、湿度范围、大气压力等使用条件进行具体规定。</w:t>
      </w:r>
    </w:p>
    <w:p>
      <w:pPr>
        <w:pStyle w:val="18"/>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textAlignment w:val="baseline"/>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第6章 技术要求。主要针电流传感器的各项功能及技术要求进行具体规定。</w:t>
      </w:r>
    </w:p>
    <w:p>
      <w:pPr>
        <w:pStyle w:val="18"/>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textAlignment w:val="baseline"/>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第7章 智能化。主要针对传感器智能化部分各项功能及技术要求进行具体规定。</w:t>
      </w:r>
    </w:p>
    <w:p>
      <w:pPr>
        <w:pStyle w:val="18"/>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textAlignment w:val="baseline"/>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第8章 试验方法。对微型智能电流传感器的试验条件及性能试验、环境试验和电磁兼容试验等进行具体规定。</w:t>
      </w:r>
    </w:p>
    <w:p>
      <w:pPr>
        <w:pStyle w:val="18"/>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textAlignment w:val="baseline"/>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kern w:val="2"/>
          <w:sz w:val="28"/>
          <w:szCs w:val="28"/>
          <w:highlight w:val="none"/>
          <w:lang w:val="en-US" w:eastAsia="zh-CN" w:bidi="ar-SA"/>
        </w:rPr>
        <w:t xml:space="preserve">第9章 </w:t>
      </w:r>
      <w:r>
        <w:rPr>
          <w:rFonts w:hint="eastAsia" w:ascii="仿宋" w:hAnsi="仿宋" w:eastAsia="仿宋" w:cs="仿宋"/>
          <w:b w:val="0"/>
          <w:bCs w:val="0"/>
          <w:color w:val="auto"/>
          <w:sz w:val="28"/>
          <w:szCs w:val="28"/>
          <w:highlight w:val="none"/>
          <w:lang w:val="en-US" w:eastAsia="zh-CN"/>
        </w:rPr>
        <w:t>检验项目。</w:t>
      </w:r>
      <w:r>
        <w:rPr>
          <w:rFonts w:hint="eastAsia" w:ascii="仿宋" w:hAnsi="仿宋" w:eastAsia="仿宋" w:cs="仿宋"/>
          <w:b w:val="0"/>
          <w:bCs w:val="0"/>
          <w:color w:val="auto"/>
          <w:kern w:val="2"/>
          <w:sz w:val="28"/>
          <w:szCs w:val="28"/>
          <w:highlight w:val="none"/>
          <w:lang w:val="en-US" w:eastAsia="zh-CN" w:bidi="ar-SA"/>
        </w:rPr>
        <w:t>对微型智能电流传感器的</w:t>
      </w:r>
      <w:r>
        <w:rPr>
          <w:rFonts w:hint="eastAsia" w:ascii="仿宋" w:hAnsi="仿宋" w:eastAsia="仿宋" w:cs="仿宋"/>
          <w:b w:val="0"/>
          <w:bCs w:val="0"/>
          <w:color w:val="auto"/>
          <w:sz w:val="28"/>
          <w:szCs w:val="28"/>
          <w:highlight w:val="none"/>
        </w:rPr>
        <w:t>检验类型</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出厂检验、型式试验和到货抽检等</w:t>
      </w:r>
      <w:r>
        <w:rPr>
          <w:rFonts w:hint="eastAsia" w:ascii="仿宋" w:hAnsi="仿宋" w:eastAsia="仿宋" w:cs="仿宋"/>
          <w:b w:val="0"/>
          <w:bCs w:val="0"/>
          <w:color w:val="auto"/>
          <w:sz w:val="28"/>
          <w:szCs w:val="28"/>
          <w:highlight w:val="none"/>
          <w:lang w:eastAsia="zh-CN"/>
        </w:rPr>
        <w:t>）对应的检验项目进行具体规定。</w:t>
      </w:r>
    </w:p>
    <w:p>
      <w:pPr>
        <w:pStyle w:val="18"/>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textAlignment w:val="baseline"/>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第10章 标志、包装、运输及贮存条件。对微型智能电流传感器的研发、生产、运输、应用过程进行补充要求。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1"/>
        <w:rPr>
          <w:rFonts w:hint="default" w:ascii="黑体" w:hAnsi="黑体" w:eastAsia="黑体" w:cs="黑体"/>
          <w:bCs/>
          <w:color w:val="auto"/>
          <w:sz w:val="28"/>
          <w:szCs w:val="28"/>
          <w:highlight w:val="none"/>
          <w:lang w:val="en-US" w:eastAsia="zh-CN"/>
        </w:rPr>
      </w:pPr>
      <w:bookmarkStart w:id="17" w:name="_Toc19917"/>
      <w:r>
        <w:rPr>
          <w:rFonts w:hint="eastAsia" w:ascii="黑体" w:hAnsi="黑体" w:eastAsia="黑体" w:cs="黑体"/>
          <w:bCs/>
          <w:color w:val="auto"/>
          <w:sz w:val="28"/>
          <w:szCs w:val="28"/>
          <w:highlight w:val="none"/>
          <w:lang w:val="en-US" w:eastAsia="zh-CN"/>
        </w:rPr>
        <w:t>（三）</w:t>
      </w:r>
      <w:r>
        <w:rPr>
          <w:rFonts w:hint="default" w:ascii="黑体" w:hAnsi="黑体" w:eastAsia="黑体" w:cs="黑体"/>
          <w:bCs/>
          <w:color w:val="auto"/>
          <w:sz w:val="28"/>
          <w:szCs w:val="28"/>
          <w:highlight w:val="none"/>
          <w:lang w:val="en-US" w:eastAsia="zh-CN"/>
        </w:rPr>
        <w:t>主要技术指标、参数、试验验证的论述</w:t>
      </w:r>
      <w:bookmarkEnd w:id="17"/>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eastAsia="仿宋" w:cs="Times New Roman"/>
          <w:b w:val="0"/>
          <w:bCs w:val="0"/>
          <w:sz w:val="28"/>
          <w:szCs w:val="28"/>
          <w:lang w:val="en-US" w:eastAsia="zh-CN"/>
        </w:rPr>
      </w:pPr>
      <w:r>
        <w:rPr>
          <w:rFonts w:hint="eastAsia" w:ascii="Times New Roman" w:hAnsi="Times New Roman" w:eastAsia="仿宋" w:cs="Times New Roman"/>
          <w:b w:val="0"/>
          <w:bCs w:val="0"/>
          <w:sz w:val="28"/>
          <w:szCs w:val="28"/>
          <w:lang w:val="en-US" w:eastAsia="zh-CN"/>
        </w:rPr>
        <w:t>1.</w:t>
      </w:r>
      <w:r>
        <w:rPr>
          <w:rFonts w:hint="default" w:ascii="Times New Roman" w:hAnsi="Times New Roman" w:eastAsia="仿宋" w:cs="Times New Roman"/>
          <w:b w:val="0"/>
          <w:bCs w:val="0"/>
          <w:sz w:val="28"/>
          <w:szCs w:val="28"/>
          <w:lang w:val="en-US" w:eastAsia="zh-CN"/>
        </w:rPr>
        <w:t>系统运行条件</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本标准系统工作电压的确定，主要依据来源于微型智能电流传感器应用场景为配电台区变压器高压进线和低压出线，而我国中低压配电系统电压等级范围为220V~35kV。</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本标准湿度范围的确定，主要依据来源于GB20840.1-2010 互感器 第1部分 通用技术要求。</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eastAsia="仿宋" w:cs="Times New Roman"/>
          <w:b w:val="0"/>
          <w:bCs w:val="0"/>
          <w:sz w:val="28"/>
          <w:szCs w:val="28"/>
          <w:lang w:val="en-US" w:eastAsia="zh-CN"/>
        </w:rPr>
      </w:pPr>
      <w:r>
        <w:rPr>
          <w:rFonts w:hint="eastAsia" w:ascii="Times New Roman" w:hAnsi="Times New Roman" w:eastAsia="仿宋" w:cs="Times New Roman"/>
          <w:b w:val="0"/>
          <w:bCs w:val="0"/>
          <w:sz w:val="28"/>
          <w:szCs w:val="28"/>
          <w:lang w:val="en-US" w:eastAsia="zh-CN"/>
        </w:rPr>
        <w:t>2.</w:t>
      </w:r>
      <w:r>
        <w:rPr>
          <w:rFonts w:hint="default" w:ascii="Times New Roman" w:hAnsi="Times New Roman" w:eastAsia="仿宋" w:cs="Times New Roman"/>
          <w:b w:val="0"/>
          <w:bCs w:val="0"/>
          <w:sz w:val="28"/>
          <w:szCs w:val="28"/>
          <w:lang w:val="en-US" w:eastAsia="zh-CN"/>
        </w:rPr>
        <w:t>温度范围</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本标准传感器的工作温度的确定，主要是考虑组成智能传感器的关键器件的工作温度要求，包括主控芯片、传感元件等。目前，工业级MCU的工作温度为-40℃~85℃，因此装置的极限工作温度确定为-40℃~85℃。考虑到广西地区的极端最低气温不低于-10℃，并留足裕量，将规定工作温度定为-20℃~85℃。</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eastAsia="仿宋" w:cs="Times New Roman"/>
          <w:b w:val="0"/>
          <w:bCs w:val="0"/>
          <w:sz w:val="28"/>
          <w:szCs w:val="28"/>
          <w:lang w:val="en-US" w:eastAsia="zh-CN"/>
        </w:rPr>
      </w:pPr>
      <w:r>
        <w:rPr>
          <w:rFonts w:hint="eastAsia" w:ascii="Times New Roman" w:hAnsi="Times New Roman" w:eastAsia="仿宋" w:cs="Times New Roman"/>
          <w:b w:val="0"/>
          <w:bCs w:val="0"/>
          <w:sz w:val="28"/>
          <w:szCs w:val="28"/>
          <w:lang w:val="en-US" w:eastAsia="zh-CN"/>
        </w:rPr>
        <w:t>3.</w:t>
      </w:r>
      <w:r>
        <w:rPr>
          <w:rFonts w:hint="default" w:ascii="Times New Roman" w:hAnsi="Times New Roman" w:eastAsia="仿宋" w:cs="Times New Roman"/>
          <w:b w:val="0"/>
          <w:bCs w:val="0"/>
          <w:sz w:val="28"/>
          <w:szCs w:val="28"/>
          <w:lang w:val="en-US" w:eastAsia="zh-CN"/>
        </w:rPr>
        <w:t>通用额定值</w:t>
      </w:r>
    </w:p>
    <w:p>
      <w:pPr>
        <w:keepNext w:val="0"/>
        <w:keepLines w:val="0"/>
        <w:pageBreakBefore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本标准额定一次电流的标准值、额定扩大一次电流系数的标准值、短时电流额定值等指标的确定，其依据来源于GB 20840.2-2014 互感器 第2部分电流互感器的补充技术要求和GBT 20840[1].8-2007 互感器 第8部分：电子式电流互感器。</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eastAsia="仿宋" w:cs="Times New Roman"/>
          <w:b w:val="0"/>
          <w:bCs w:val="0"/>
          <w:sz w:val="28"/>
          <w:szCs w:val="28"/>
          <w:lang w:val="en-US" w:eastAsia="zh-CN"/>
        </w:rPr>
      </w:pPr>
      <w:r>
        <w:rPr>
          <w:rFonts w:hint="eastAsia" w:ascii="Times New Roman" w:hAnsi="Times New Roman" w:eastAsia="仿宋" w:cs="Times New Roman"/>
          <w:b w:val="0"/>
          <w:bCs w:val="0"/>
          <w:sz w:val="28"/>
          <w:szCs w:val="28"/>
          <w:lang w:val="en-US" w:eastAsia="zh-CN"/>
        </w:rPr>
        <w:t>4.</w:t>
      </w:r>
      <w:r>
        <w:rPr>
          <w:rFonts w:hint="default" w:ascii="Times New Roman" w:hAnsi="Times New Roman" w:eastAsia="仿宋" w:cs="Times New Roman"/>
          <w:b w:val="0"/>
          <w:bCs w:val="0"/>
          <w:sz w:val="28"/>
          <w:szCs w:val="28"/>
          <w:lang w:val="en-US" w:eastAsia="zh-CN"/>
        </w:rPr>
        <w:t>准确级及误差限值</w:t>
      </w:r>
    </w:p>
    <w:p>
      <w:pPr>
        <w:keepNext w:val="0"/>
        <w:keepLines w:val="0"/>
        <w:pageBreakBefore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本标准准确级及误差限值的确定，其依据来源于GB 20840.2-2014 互感器 第2部分电流互感器的补充技术要求和GBT 20840[1].8-2007 互感器 第8部分：电子式电流互感器。</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eastAsia="仿宋" w:cs="Times New Roman"/>
          <w:b w:val="0"/>
          <w:bCs w:val="0"/>
          <w:sz w:val="28"/>
          <w:szCs w:val="28"/>
          <w:lang w:val="en-US" w:eastAsia="zh-CN"/>
        </w:rPr>
      </w:pPr>
      <w:r>
        <w:rPr>
          <w:rFonts w:hint="eastAsia" w:ascii="Times New Roman" w:hAnsi="Times New Roman" w:eastAsia="仿宋" w:cs="Times New Roman"/>
          <w:b w:val="0"/>
          <w:bCs w:val="0"/>
          <w:sz w:val="28"/>
          <w:szCs w:val="28"/>
          <w:lang w:val="en-US" w:eastAsia="zh-CN"/>
        </w:rPr>
        <w:t>5.</w:t>
      </w:r>
      <w:r>
        <w:rPr>
          <w:rFonts w:hint="default" w:ascii="Times New Roman" w:hAnsi="Times New Roman" w:eastAsia="仿宋" w:cs="Times New Roman"/>
          <w:b w:val="0"/>
          <w:bCs w:val="0"/>
          <w:sz w:val="28"/>
          <w:szCs w:val="28"/>
          <w:lang w:val="en-US" w:eastAsia="zh-CN"/>
        </w:rPr>
        <w:t>零点输出</w:t>
      </w:r>
    </w:p>
    <w:p>
      <w:pPr>
        <w:keepNext w:val="0"/>
        <w:keepLines w:val="0"/>
        <w:pageBreakBefore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本标准零点输出的确定，其依据来源于微型智能电流传感器试验测试数据，并考虑测试样本的有限性，留足一定的裕量。</w:t>
      </w:r>
    </w:p>
    <w:p>
      <w:pPr>
        <w:keepNext w:val="0"/>
        <w:keepLines w:val="0"/>
        <w:pageBreakBefore w:val="0"/>
        <w:kinsoku/>
        <w:wordWrap/>
        <w:overflowPunct/>
        <w:topLinePunct w:val="0"/>
        <w:autoSpaceDE/>
        <w:autoSpaceDN/>
        <w:bidi w:val="0"/>
        <w:adjustRightInd/>
        <w:snapToGrid/>
        <w:ind w:firstLine="480" w:firstLineChars="200"/>
        <w:jc w:val="center"/>
        <w:textAlignment w:val="auto"/>
        <w:rPr>
          <w:rFonts w:hint="default" w:ascii="Times New Roman" w:hAnsi="Times New Roman" w:eastAsia="仿宋" w:cs="Times New Roman"/>
          <w:b w:val="0"/>
          <w:bCs w:val="0"/>
          <w:i w:val="0"/>
          <w:iCs w:val="0"/>
          <w:sz w:val="24"/>
          <w:szCs w:val="24"/>
          <w:lang w:val="en-US" w:eastAsia="zh-CN"/>
        </w:rPr>
      </w:pPr>
      <w:r>
        <w:rPr>
          <w:rFonts w:hint="default" w:ascii="Times New Roman" w:hAnsi="Times New Roman" w:eastAsia="仿宋" w:cs="Times New Roman"/>
          <w:b w:val="0"/>
          <w:bCs w:val="0"/>
          <w:i w:val="0"/>
          <w:iCs w:val="0"/>
          <w:sz w:val="24"/>
          <w:szCs w:val="24"/>
          <w:lang w:val="en-US" w:eastAsia="zh-CN"/>
        </w:rPr>
        <w:t>表 微型智能电流传感器零点漂移测试数据。</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1330"/>
        <w:gridCol w:w="1330"/>
        <w:gridCol w:w="1409"/>
        <w:gridCol w:w="1251"/>
        <w:gridCol w:w="1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385" w:type="dxa"/>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sz w:val="24"/>
                <w:szCs w:val="24"/>
                <w:lang w:val="en-US" w:eastAsia="zh-CN"/>
              </w:rPr>
              <w:t>测量</w:t>
            </w:r>
            <w:r>
              <w:rPr>
                <w:rFonts w:hint="default" w:ascii="Times New Roman" w:hAnsi="Times New Roman" w:eastAsia="仿宋" w:cs="Times New Roman"/>
                <w:b w:val="0"/>
                <w:bCs w:val="0"/>
                <w:i w:val="0"/>
                <w:iCs w:val="0"/>
                <w:sz w:val="24"/>
                <w:szCs w:val="24"/>
              </w:rPr>
              <w:t>次数</w:t>
            </w:r>
          </w:p>
        </w:tc>
        <w:tc>
          <w:tcPr>
            <w:tcW w:w="1330" w:type="dxa"/>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sz w:val="24"/>
                <w:szCs w:val="24"/>
              </w:rPr>
              <w:t>1</w:t>
            </w:r>
          </w:p>
        </w:tc>
        <w:tc>
          <w:tcPr>
            <w:tcW w:w="1330" w:type="dxa"/>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sz w:val="24"/>
                <w:szCs w:val="24"/>
              </w:rPr>
              <w:t>2</w:t>
            </w:r>
          </w:p>
        </w:tc>
        <w:tc>
          <w:tcPr>
            <w:tcW w:w="1409" w:type="dxa"/>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sz w:val="24"/>
                <w:szCs w:val="24"/>
              </w:rPr>
              <w:t>3</w:t>
            </w:r>
          </w:p>
        </w:tc>
        <w:tc>
          <w:tcPr>
            <w:tcW w:w="1251" w:type="dxa"/>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sz w:val="24"/>
                <w:szCs w:val="24"/>
              </w:rPr>
              <w:t>4</w:t>
            </w:r>
          </w:p>
        </w:tc>
        <w:tc>
          <w:tcPr>
            <w:tcW w:w="1332" w:type="dxa"/>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385" w:type="dxa"/>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sz w:val="24"/>
                <w:szCs w:val="24"/>
              </w:rPr>
              <w:t>显示值（A）</w:t>
            </w:r>
          </w:p>
        </w:tc>
        <w:tc>
          <w:tcPr>
            <w:tcW w:w="133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color w:val="000000"/>
                <w:kern w:val="0"/>
                <w:sz w:val="24"/>
                <w:szCs w:val="24"/>
                <w:u w:val="none"/>
                <w:lang w:val="en-US" w:eastAsia="zh-CN" w:bidi="ar"/>
              </w:rPr>
              <w:t>0.58</w:t>
            </w:r>
          </w:p>
        </w:tc>
        <w:tc>
          <w:tcPr>
            <w:tcW w:w="133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color w:val="000000"/>
                <w:kern w:val="0"/>
                <w:sz w:val="24"/>
                <w:szCs w:val="24"/>
                <w:u w:val="none"/>
                <w:lang w:val="en-US" w:eastAsia="zh-CN" w:bidi="ar"/>
              </w:rPr>
              <w:t>1.02</w:t>
            </w:r>
          </w:p>
        </w:tc>
        <w:tc>
          <w:tcPr>
            <w:tcW w:w="14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color w:val="000000"/>
                <w:kern w:val="0"/>
                <w:sz w:val="24"/>
                <w:szCs w:val="24"/>
                <w:u w:val="none"/>
                <w:lang w:val="en-US" w:eastAsia="zh-CN" w:bidi="ar"/>
              </w:rPr>
              <w:t>0.77</w:t>
            </w:r>
          </w:p>
        </w:tc>
        <w:tc>
          <w:tcPr>
            <w:tcW w:w="1251"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color w:val="000000"/>
                <w:kern w:val="0"/>
                <w:sz w:val="24"/>
                <w:szCs w:val="24"/>
                <w:u w:val="none"/>
                <w:lang w:val="en-US" w:eastAsia="zh-CN" w:bidi="ar"/>
              </w:rPr>
              <w:t>0.16</w:t>
            </w:r>
          </w:p>
        </w:tc>
        <w:tc>
          <w:tcPr>
            <w:tcW w:w="1332"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color w:val="000000"/>
                <w:kern w:val="0"/>
                <w:sz w:val="24"/>
                <w:szCs w:val="24"/>
                <w:u w:val="none"/>
                <w:lang w:val="en-US" w:eastAsia="zh-CN" w:bidi="ar"/>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8037" w:type="dxa"/>
            <w:gridSpan w:val="6"/>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val="0"/>
                <w:bCs w:val="0"/>
                <w:i w:val="0"/>
                <w:iCs w:val="0"/>
                <w:sz w:val="24"/>
                <w:szCs w:val="24"/>
              </w:rPr>
            </w:pPr>
            <w:r>
              <w:rPr>
                <w:rFonts w:hint="default" w:ascii="Times New Roman" w:hAnsi="Times New Roman" w:eastAsia="仿宋" w:cs="Times New Roman"/>
                <w:b w:val="0"/>
                <w:bCs w:val="0"/>
                <w:i w:val="0"/>
                <w:iCs w:val="0"/>
                <w:sz w:val="24"/>
                <w:szCs w:val="24"/>
              </w:rPr>
              <w:t>根据公式计算得出</w:t>
            </w:r>
            <w:r>
              <w:rPr>
                <w:rFonts w:hint="default" w:ascii="Times New Roman" w:hAnsi="Times New Roman" w:eastAsia="仿宋" w:cs="Times New Roman"/>
                <w:b w:val="0"/>
                <w:bCs w:val="0"/>
                <w:i w:val="0"/>
                <w:iCs w:val="0"/>
                <w:position w:val="-12"/>
                <w:sz w:val="24"/>
                <w:szCs w:val="24"/>
              </w:rPr>
              <w:object>
                <v:shape id="_x0000_i1025" o:spt="75" type="#_x0000_t75" style="height:18pt;width:16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default" w:ascii="Times New Roman" w:hAnsi="Times New Roman" w:eastAsia="仿宋" w:cs="Times New Roman"/>
                <w:b w:val="0"/>
                <w:bCs w:val="0"/>
                <w:i w:val="0"/>
                <w:iCs w:val="0"/>
                <w:sz w:val="24"/>
                <w:szCs w:val="24"/>
              </w:rPr>
              <w:t>=</w:t>
            </w:r>
            <w:r>
              <w:rPr>
                <w:rFonts w:hint="default" w:ascii="Times New Roman" w:hAnsi="Times New Roman" w:eastAsia="仿宋" w:cs="Times New Roman"/>
                <w:b w:val="0"/>
                <w:bCs w:val="0"/>
                <w:i w:val="0"/>
                <w:iCs w:val="0"/>
                <w:sz w:val="24"/>
                <w:szCs w:val="24"/>
                <w:u w:val="single"/>
              </w:rPr>
              <w:t xml:space="preserve"> </w:t>
            </w:r>
            <w:r>
              <w:rPr>
                <w:rFonts w:hint="default" w:ascii="Times New Roman" w:hAnsi="Times New Roman" w:eastAsia="仿宋" w:cs="Times New Roman"/>
                <w:b w:val="0"/>
                <w:bCs w:val="0"/>
                <w:i w:val="0"/>
                <w:iCs w:val="0"/>
                <w:sz w:val="24"/>
                <w:szCs w:val="24"/>
                <w:u w:val="single"/>
                <w:lang w:val="en-US" w:eastAsia="zh-CN"/>
              </w:rPr>
              <w:t>0.06%</w:t>
            </w:r>
            <w:r>
              <w:rPr>
                <w:rFonts w:hint="default" w:ascii="Times New Roman" w:hAnsi="Times New Roman" w:eastAsia="仿宋" w:cs="Times New Roman"/>
                <w:b w:val="0"/>
                <w:bCs w:val="0"/>
                <w:i w:val="0"/>
                <w:iCs w:val="0"/>
                <w:sz w:val="24"/>
                <w:szCs w:val="24"/>
                <w:u w:val="single"/>
              </w:rPr>
              <w:t xml:space="preserve"> </w:t>
            </w:r>
            <w:r>
              <w:rPr>
                <w:rFonts w:hint="default" w:ascii="Times New Roman" w:hAnsi="Times New Roman" w:eastAsia="仿宋" w:cs="Times New Roman"/>
                <w:b w:val="0"/>
                <w:bCs w:val="0"/>
                <w:i w:val="0"/>
                <w:iCs w:val="0"/>
                <w:sz w:val="24"/>
                <w:szCs w:val="24"/>
              </w:rPr>
              <w:t>。</w:t>
            </w:r>
          </w:p>
        </w:tc>
      </w:tr>
    </w:tbl>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eastAsia="仿宋" w:cs="Times New Roman"/>
          <w:b w:val="0"/>
          <w:bCs w:val="0"/>
          <w:sz w:val="28"/>
          <w:szCs w:val="28"/>
          <w:lang w:val="en-US" w:eastAsia="zh-CN"/>
        </w:rPr>
      </w:pPr>
      <w:bookmarkStart w:id="18" w:name="_Toc20602"/>
      <w:bookmarkStart w:id="19" w:name="_Toc19770"/>
      <w:bookmarkStart w:id="20" w:name="_Toc29058"/>
      <w:bookmarkStart w:id="21" w:name="_Toc11016"/>
      <w:r>
        <w:rPr>
          <w:rFonts w:hint="eastAsia" w:ascii="Times New Roman" w:hAnsi="Times New Roman" w:eastAsia="仿宋" w:cs="Times New Roman"/>
          <w:b w:val="0"/>
          <w:bCs w:val="0"/>
          <w:sz w:val="28"/>
          <w:szCs w:val="28"/>
          <w:lang w:val="en-US" w:eastAsia="zh-CN"/>
        </w:rPr>
        <w:t>6.</w:t>
      </w:r>
      <w:r>
        <w:rPr>
          <w:rFonts w:hint="default" w:ascii="Times New Roman" w:hAnsi="Times New Roman" w:eastAsia="仿宋" w:cs="Times New Roman"/>
          <w:b w:val="0"/>
          <w:bCs w:val="0"/>
          <w:sz w:val="28"/>
          <w:szCs w:val="28"/>
          <w:lang w:val="en-US" w:eastAsia="zh-CN"/>
        </w:rPr>
        <w:t>供电电源</w:t>
      </w:r>
      <w:bookmarkEnd w:id="18"/>
      <w:bookmarkEnd w:id="19"/>
      <w:bookmarkEnd w:id="20"/>
      <w:bookmarkEnd w:id="21"/>
    </w:p>
    <w:p>
      <w:pPr>
        <w:pStyle w:val="2"/>
        <w:keepNext w:val="0"/>
        <w:keepLines w:val="0"/>
        <w:pageBreakBefore w:val="0"/>
        <w:widowControl w:val="0"/>
        <w:kinsoku/>
        <w:wordWrap/>
        <w:overflowPunct/>
        <w:topLinePunct w:val="0"/>
        <w:autoSpaceDE/>
        <w:autoSpaceDN/>
        <w:bidi w:val="0"/>
        <w:adjustRightInd/>
        <w:snapToGrid/>
        <w:spacing w:after="0"/>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本标准供电电源的启动电流指标确定，其依据来源于微型智能电流传感器试验测试数据。</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eastAsia="仿宋" w:cs="Times New Roman"/>
          <w:b w:val="0"/>
          <w:bCs w:val="0"/>
          <w:sz w:val="28"/>
          <w:szCs w:val="28"/>
          <w:lang w:val="en-US" w:eastAsia="zh-CN"/>
        </w:rPr>
      </w:pPr>
      <w:bookmarkStart w:id="22" w:name="_Toc29143"/>
      <w:bookmarkStart w:id="23" w:name="_Toc20297"/>
      <w:bookmarkStart w:id="24" w:name="_Toc17303"/>
      <w:bookmarkStart w:id="25" w:name="_Toc29237"/>
      <w:r>
        <w:rPr>
          <w:rFonts w:hint="eastAsia" w:ascii="Times New Roman" w:hAnsi="Times New Roman" w:eastAsia="仿宋" w:cs="Times New Roman"/>
          <w:b w:val="0"/>
          <w:bCs w:val="0"/>
          <w:sz w:val="28"/>
          <w:szCs w:val="28"/>
          <w:lang w:val="en-US" w:eastAsia="zh-CN"/>
        </w:rPr>
        <w:t>7.</w:t>
      </w:r>
      <w:r>
        <w:rPr>
          <w:rFonts w:hint="default" w:ascii="Times New Roman" w:hAnsi="Times New Roman" w:eastAsia="仿宋" w:cs="Times New Roman"/>
          <w:b w:val="0"/>
          <w:bCs w:val="0"/>
          <w:sz w:val="28"/>
          <w:szCs w:val="28"/>
          <w:lang w:val="en-US" w:eastAsia="zh-CN"/>
        </w:rPr>
        <w:t>试验环境条件</w:t>
      </w:r>
      <w:bookmarkEnd w:id="22"/>
      <w:bookmarkEnd w:id="23"/>
      <w:bookmarkEnd w:id="24"/>
      <w:bookmarkEnd w:id="25"/>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本标准试验环境条件的确定，其依据来源于GBT 33905.5-2017 智能传感器 第5部分：检查和例行试验方法和GB/T 35732-2017 配电自动化智能终端技术规范所给出的检测条件。所参考的标准推荐试验温度分别为+15℃~+25℃、+10℃~+30℃，本标准考虑南方地区气温偏高，取+15℃~+35℃。相对湿度和大气压力指标与两份标准相同。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ascii="黑体" w:hAnsi="黑体" w:eastAsia="黑体"/>
          <w:color w:val="auto"/>
          <w:sz w:val="28"/>
          <w:szCs w:val="28"/>
          <w:highlight w:val="none"/>
        </w:rPr>
      </w:pPr>
      <w:bookmarkStart w:id="26" w:name="_Toc30749"/>
      <w:r>
        <w:rPr>
          <w:rFonts w:hint="eastAsia" w:ascii="黑体" w:hAnsi="黑体" w:eastAsia="黑体"/>
          <w:color w:val="auto"/>
          <w:sz w:val="28"/>
          <w:szCs w:val="28"/>
          <w:highlight w:val="none"/>
          <w:lang w:eastAsia="zh-CN"/>
        </w:rPr>
        <w:t>七</w:t>
      </w:r>
      <w:r>
        <w:rPr>
          <w:rFonts w:hint="eastAsia" w:ascii="黑体" w:hAnsi="黑体" w:eastAsia="黑体"/>
          <w:color w:val="auto"/>
          <w:sz w:val="28"/>
          <w:szCs w:val="28"/>
          <w:highlight w:val="none"/>
        </w:rPr>
        <w:t>、重大分歧意见的处理经过和依据</w:t>
      </w:r>
      <w:bookmarkEnd w:id="26"/>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本标准</w:t>
      </w:r>
      <w:r>
        <w:rPr>
          <w:rFonts w:hint="eastAsia" w:ascii="仿宋" w:hAnsi="仿宋" w:eastAsia="仿宋"/>
          <w:color w:val="auto"/>
          <w:sz w:val="28"/>
          <w:szCs w:val="28"/>
          <w:highlight w:val="none"/>
          <w:lang w:eastAsia="zh-CN"/>
        </w:rPr>
        <w:t>制定</w:t>
      </w:r>
      <w:r>
        <w:rPr>
          <w:rFonts w:hint="eastAsia" w:ascii="仿宋" w:hAnsi="仿宋" w:eastAsia="仿宋"/>
          <w:color w:val="auto"/>
          <w:sz w:val="28"/>
          <w:szCs w:val="28"/>
          <w:highlight w:val="none"/>
        </w:rPr>
        <w:t>过程无重大分歧意见。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ascii="黑体" w:hAnsi="黑体" w:eastAsia="黑体"/>
          <w:color w:val="auto"/>
          <w:sz w:val="28"/>
          <w:szCs w:val="28"/>
          <w:highlight w:val="none"/>
        </w:rPr>
      </w:pPr>
      <w:bookmarkStart w:id="27" w:name="_Toc7316"/>
      <w:r>
        <w:rPr>
          <w:rFonts w:hint="eastAsia" w:ascii="黑体" w:hAnsi="黑体" w:eastAsia="黑体"/>
          <w:color w:val="auto"/>
          <w:sz w:val="28"/>
          <w:szCs w:val="28"/>
          <w:highlight w:val="none"/>
          <w:lang w:eastAsia="zh-CN"/>
        </w:rPr>
        <w:t>八</w:t>
      </w:r>
      <w:r>
        <w:rPr>
          <w:rFonts w:hint="eastAsia" w:ascii="黑体" w:hAnsi="黑体" w:eastAsia="黑体"/>
          <w:color w:val="auto"/>
          <w:sz w:val="28"/>
          <w:szCs w:val="28"/>
          <w:highlight w:val="none"/>
        </w:rPr>
        <w:t>、本标准的实施</w:t>
      </w:r>
      <w:r>
        <w:rPr>
          <w:rFonts w:hint="eastAsia" w:ascii="黑体" w:hAnsi="黑体" w:eastAsia="黑体"/>
          <w:color w:val="auto"/>
          <w:sz w:val="28"/>
          <w:szCs w:val="28"/>
          <w:highlight w:val="none"/>
          <w:lang w:eastAsia="zh-CN"/>
        </w:rPr>
        <w:t>措施</w:t>
      </w:r>
      <w:bookmarkEnd w:id="27"/>
    </w:p>
    <w:p>
      <w:pPr>
        <w:spacing w:line="560" w:lineRule="exact"/>
        <w:ind w:firstLine="560" w:firstLineChars="200"/>
        <w:rPr>
          <w:rFonts w:hint="eastAsia" w:ascii="仿宋" w:hAnsi="仿宋" w:eastAsia="仿宋"/>
          <w:color w:val="auto"/>
          <w:sz w:val="28"/>
          <w:szCs w:val="28"/>
          <w:highlight w:val="none"/>
          <w:lang w:eastAsia="zh-CN"/>
        </w:rPr>
      </w:pPr>
      <w:r>
        <w:rPr>
          <w:rFonts w:hint="eastAsia" w:ascii="仿宋" w:hAnsi="仿宋" w:eastAsia="仿宋"/>
          <w:color w:val="auto"/>
          <w:sz w:val="28"/>
          <w:szCs w:val="28"/>
          <w:highlight w:val="none"/>
        </w:rPr>
        <w:t>建议本标准作为推荐性标准发布。本标准发布后，建议由起草单位对供用电企业、设计院所、相关厂家等单位的设计、制造、安装、试验和应用技术人员进行宣贯培训，提高标准的实施率和贡献率</w:t>
      </w:r>
      <w:r>
        <w:rPr>
          <w:rFonts w:hint="eastAsia" w:ascii="仿宋" w:hAnsi="仿宋" w:eastAsia="仿宋"/>
          <w:color w:val="auto"/>
          <w:sz w:val="28"/>
          <w:szCs w:val="28"/>
          <w:highlight w:val="none"/>
          <w:lang w:eastAsia="zh-CN"/>
        </w:rPr>
        <w:t>。</w:t>
      </w:r>
    </w:p>
    <w:p>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标准实施前，应开展足够的宣传贯彻活动，使</w:t>
      </w:r>
      <w:r>
        <w:rPr>
          <w:rFonts w:hint="eastAsia" w:ascii="仿宋" w:hAnsi="仿宋" w:eastAsia="仿宋"/>
          <w:color w:val="auto"/>
          <w:sz w:val="28"/>
          <w:szCs w:val="28"/>
          <w:highlight w:val="none"/>
          <w:lang w:eastAsia="zh-CN"/>
        </w:rPr>
        <w:t>本标准</w:t>
      </w:r>
      <w:r>
        <w:rPr>
          <w:rFonts w:hint="eastAsia" w:ascii="仿宋" w:hAnsi="仿宋" w:eastAsia="仿宋"/>
          <w:color w:val="auto"/>
          <w:sz w:val="28"/>
          <w:szCs w:val="28"/>
          <w:highlight w:val="none"/>
        </w:rPr>
        <w:t>参与各方及早理解、掌握标准内容，做好技术准备，积极推广应用标准，及时反映标准适用情况和效果，为标准的后续修订工作积累经验和支撑数据。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hint="eastAsia" w:ascii="黑体" w:hAnsi="黑体" w:eastAsia="黑体"/>
          <w:color w:val="auto"/>
          <w:sz w:val="28"/>
          <w:szCs w:val="28"/>
          <w:highlight w:val="none"/>
          <w:lang w:eastAsia="zh-CN"/>
        </w:rPr>
      </w:pPr>
      <w:bookmarkStart w:id="28" w:name="_Toc17775"/>
      <w:r>
        <w:rPr>
          <w:rFonts w:hint="eastAsia" w:ascii="黑体" w:hAnsi="黑体" w:eastAsia="黑体"/>
          <w:color w:val="auto"/>
          <w:sz w:val="28"/>
          <w:szCs w:val="28"/>
          <w:highlight w:val="none"/>
          <w:lang w:eastAsia="zh-CN"/>
        </w:rPr>
        <w:t>九、其他应当说明的事项</w:t>
      </w:r>
      <w:bookmarkEnd w:id="28"/>
    </w:p>
    <w:p>
      <w:pPr>
        <w:spacing w:line="560" w:lineRule="exact"/>
        <w:ind w:firstLine="560" w:firstLineChars="200"/>
        <w:rPr>
          <w:rFonts w:hint="eastAsia" w:ascii="仿宋" w:hAnsi="仿宋" w:eastAsia="仿宋"/>
          <w:color w:val="auto"/>
          <w:sz w:val="28"/>
          <w:szCs w:val="28"/>
          <w:highlight w:val="none"/>
          <w:lang w:eastAsia="zh-CN"/>
        </w:rPr>
      </w:pPr>
      <w:r>
        <w:rPr>
          <w:rFonts w:hint="eastAsia" w:ascii="仿宋" w:hAnsi="仿宋" w:eastAsia="仿宋"/>
          <w:color w:val="auto"/>
          <w:sz w:val="28"/>
          <w:szCs w:val="28"/>
          <w:highlight w:val="none"/>
          <w:lang w:eastAsia="zh-CN"/>
        </w:rPr>
        <w:t>无。</w:t>
      </w:r>
    </w:p>
    <w:p>
      <w:pPr>
        <w:spacing w:line="560" w:lineRule="exact"/>
        <w:rPr>
          <w:rFonts w:ascii="仿宋" w:hAnsi="仿宋" w:eastAsia="仿宋"/>
          <w:color w:val="auto"/>
          <w:sz w:val="28"/>
          <w:szCs w:val="28"/>
          <w:highlight w:val="none"/>
        </w:rPr>
      </w:pPr>
    </w:p>
    <w:p>
      <w:pPr>
        <w:spacing w:line="560" w:lineRule="exact"/>
        <w:rPr>
          <w:rFonts w:ascii="仿宋" w:hAnsi="仿宋" w:eastAsia="仿宋"/>
          <w:color w:val="auto"/>
          <w:sz w:val="28"/>
          <w:szCs w:val="28"/>
          <w:highlight w:val="none"/>
        </w:rPr>
      </w:pPr>
    </w:p>
    <w:p>
      <w:pPr>
        <w:spacing w:line="560" w:lineRule="exact"/>
        <w:ind w:firstLine="560" w:firstLineChars="200"/>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w:t>
      </w:r>
      <w:r>
        <w:rPr>
          <w:rFonts w:ascii="仿宋" w:hAnsi="仿宋" w:eastAsia="仿宋"/>
          <w:color w:val="auto"/>
          <w:sz w:val="28"/>
          <w:szCs w:val="28"/>
          <w:highlight w:val="none"/>
        </w:rPr>
        <w:t xml:space="preserve">          </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中宋"/>
    <w:panose1 w:val="02010600030101010101"/>
    <w:charset w:val="86"/>
    <w:family w:val="auto"/>
    <w:pitch w:val="default"/>
    <w:sig w:usb0="00000000" w:usb1="00000000" w:usb2="00000016" w:usb3="00000000" w:csb0="0004000F" w:csb1="00000000"/>
  </w:font>
  <w:font w:name="Cambria">
    <w:altName w:val="FreeSerif"/>
    <w:panose1 w:val="02040503050406030204"/>
    <w:charset w:val="00"/>
    <w:family w:val="roman"/>
    <w:pitch w:val="default"/>
    <w:sig w:usb0="00000000" w:usb1="00000000" w:usb2="00000000" w:usb3="00000000" w:csb0="2000019F" w:csb1="00000000"/>
  </w:font>
  <w:font w:name="等线 Light">
    <w:altName w:val="华文中宋"/>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等线 Light">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FreeSerif">
    <w:panose1 w:val="02020603050405020304"/>
    <w:charset w:val="00"/>
    <w:family w:val="auto"/>
    <w:pitch w:val="default"/>
    <w:sig w:usb0="E59FAFFF" w:usb1="C200FDFF" w:usb2="43501B29" w:usb3="04000043" w:csb0="600101FF" w:csb1="FFFF0000"/>
  </w:font>
  <w:font w:name="DejaVu Sans">
    <w:panose1 w:val="020B0603030804020204"/>
    <w:charset w:val="00"/>
    <w:family w:val="auto"/>
    <w:pitch w:val="default"/>
    <w:sig w:usb0="E7006EFF" w:usb1="D200FDFF" w:usb2="0A246029" w:usb3="0400200C" w:csb0="600001FF" w:csb1="DFFF0000"/>
  </w:font>
  <w:font w:name="等线">
    <w:altName w:val="汉仪仿宋S"/>
    <w:panose1 w:val="00000000000000000000"/>
    <w:charset w:val="00"/>
    <w:family w:val="auto"/>
    <w:pitch w:val="default"/>
    <w:sig w:usb0="00000000" w:usb1="00000000" w:usb2="00000000" w:usb3="00000000" w:csb0="00000000" w:csb1="0000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5A"/>
    <w:rsid w:val="00025640"/>
    <w:rsid w:val="00027B65"/>
    <w:rsid w:val="00045252"/>
    <w:rsid w:val="0009701C"/>
    <w:rsid w:val="001274E4"/>
    <w:rsid w:val="00131043"/>
    <w:rsid w:val="00196510"/>
    <w:rsid w:val="001A1420"/>
    <w:rsid w:val="001C5FA8"/>
    <w:rsid w:val="001D71E7"/>
    <w:rsid w:val="00251C4D"/>
    <w:rsid w:val="00256162"/>
    <w:rsid w:val="002A46B7"/>
    <w:rsid w:val="002E5CDD"/>
    <w:rsid w:val="002F20BE"/>
    <w:rsid w:val="002F79A5"/>
    <w:rsid w:val="003363D4"/>
    <w:rsid w:val="003508D5"/>
    <w:rsid w:val="00360631"/>
    <w:rsid w:val="0036266C"/>
    <w:rsid w:val="00364C36"/>
    <w:rsid w:val="00376320"/>
    <w:rsid w:val="003D21BF"/>
    <w:rsid w:val="003F180E"/>
    <w:rsid w:val="00494E5F"/>
    <w:rsid w:val="004950E7"/>
    <w:rsid w:val="004B3021"/>
    <w:rsid w:val="004D340B"/>
    <w:rsid w:val="00513682"/>
    <w:rsid w:val="0052785C"/>
    <w:rsid w:val="005A38FC"/>
    <w:rsid w:val="005C1C8D"/>
    <w:rsid w:val="005C2F85"/>
    <w:rsid w:val="00620B32"/>
    <w:rsid w:val="00621B5B"/>
    <w:rsid w:val="00623B76"/>
    <w:rsid w:val="00624043"/>
    <w:rsid w:val="00634C91"/>
    <w:rsid w:val="00665884"/>
    <w:rsid w:val="006F0B44"/>
    <w:rsid w:val="00727683"/>
    <w:rsid w:val="00747E94"/>
    <w:rsid w:val="007E0851"/>
    <w:rsid w:val="00874919"/>
    <w:rsid w:val="008827D1"/>
    <w:rsid w:val="00895639"/>
    <w:rsid w:val="008C36AF"/>
    <w:rsid w:val="008E1193"/>
    <w:rsid w:val="008E1762"/>
    <w:rsid w:val="00904052"/>
    <w:rsid w:val="0096425E"/>
    <w:rsid w:val="009C54F3"/>
    <w:rsid w:val="009C799C"/>
    <w:rsid w:val="009E5791"/>
    <w:rsid w:val="00A067B8"/>
    <w:rsid w:val="00A34E6C"/>
    <w:rsid w:val="00AC7578"/>
    <w:rsid w:val="00B03C23"/>
    <w:rsid w:val="00B3653F"/>
    <w:rsid w:val="00B94BBC"/>
    <w:rsid w:val="00BB2ADD"/>
    <w:rsid w:val="00BD77D0"/>
    <w:rsid w:val="00C762EE"/>
    <w:rsid w:val="00CC3F5A"/>
    <w:rsid w:val="00D47FF1"/>
    <w:rsid w:val="00D81A6B"/>
    <w:rsid w:val="00DA3B48"/>
    <w:rsid w:val="00DB3D3F"/>
    <w:rsid w:val="00E143FE"/>
    <w:rsid w:val="00EC4450"/>
    <w:rsid w:val="00EF48CC"/>
    <w:rsid w:val="00F32104"/>
    <w:rsid w:val="00F84DD8"/>
    <w:rsid w:val="00FB1AA0"/>
    <w:rsid w:val="01874D77"/>
    <w:rsid w:val="034F0AFF"/>
    <w:rsid w:val="04B8059A"/>
    <w:rsid w:val="055510B1"/>
    <w:rsid w:val="081E5212"/>
    <w:rsid w:val="08BA0844"/>
    <w:rsid w:val="09E527C8"/>
    <w:rsid w:val="0A013CAB"/>
    <w:rsid w:val="0A694B72"/>
    <w:rsid w:val="0AB55F51"/>
    <w:rsid w:val="0B3C784C"/>
    <w:rsid w:val="0BCE77CA"/>
    <w:rsid w:val="0C23087C"/>
    <w:rsid w:val="0D1A3B33"/>
    <w:rsid w:val="0D7C2A37"/>
    <w:rsid w:val="0DF33CF1"/>
    <w:rsid w:val="0EC73CBB"/>
    <w:rsid w:val="0FFA2844"/>
    <w:rsid w:val="102421D7"/>
    <w:rsid w:val="138278A7"/>
    <w:rsid w:val="138D1D96"/>
    <w:rsid w:val="14DC0B0D"/>
    <w:rsid w:val="17A056D1"/>
    <w:rsid w:val="18251D2A"/>
    <w:rsid w:val="19C43B21"/>
    <w:rsid w:val="1A8446CF"/>
    <w:rsid w:val="1C043330"/>
    <w:rsid w:val="1DE4133A"/>
    <w:rsid w:val="20A7561E"/>
    <w:rsid w:val="224A1BF4"/>
    <w:rsid w:val="22C44300"/>
    <w:rsid w:val="22E36459"/>
    <w:rsid w:val="2351035E"/>
    <w:rsid w:val="25195ED6"/>
    <w:rsid w:val="27D87767"/>
    <w:rsid w:val="28697984"/>
    <w:rsid w:val="2A251C48"/>
    <w:rsid w:val="2A9860B3"/>
    <w:rsid w:val="2B3C69B6"/>
    <w:rsid w:val="2CD84821"/>
    <w:rsid w:val="2D13666E"/>
    <w:rsid w:val="2D9E69AF"/>
    <w:rsid w:val="2DEC6BE5"/>
    <w:rsid w:val="2EF312C7"/>
    <w:rsid w:val="2F945CA6"/>
    <w:rsid w:val="303C7CAF"/>
    <w:rsid w:val="309D61F3"/>
    <w:rsid w:val="321F21D5"/>
    <w:rsid w:val="32C05358"/>
    <w:rsid w:val="32E643FC"/>
    <w:rsid w:val="333364D2"/>
    <w:rsid w:val="337A4EE9"/>
    <w:rsid w:val="33A96152"/>
    <w:rsid w:val="34E25B27"/>
    <w:rsid w:val="35052C08"/>
    <w:rsid w:val="35870935"/>
    <w:rsid w:val="35D941DE"/>
    <w:rsid w:val="383C5BD0"/>
    <w:rsid w:val="3BA076A2"/>
    <w:rsid w:val="3C1B7E9F"/>
    <w:rsid w:val="3C4B75C9"/>
    <w:rsid w:val="3D9D4D6E"/>
    <w:rsid w:val="3E7E2B8D"/>
    <w:rsid w:val="3FB720D6"/>
    <w:rsid w:val="400C2735"/>
    <w:rsid w:val="414B28E8"/>
    <w:rsid w:val="427D0E03"/>
    <w:rsid w:val="44995835"/>
    <w:rsid w:val="465C27AE"/>
    <w:rsid w:val="46773764"/>
    <w:rsid w:val="478E65B8"/>
    <w:rsid w:val="48E901B5"/>
    <w:rsid w:val="49013458"/>
    <w:rsid w:val="49EF4246"/>
    <w:rsid w:val="4A1A202A"/>
    <w:rsid w:val="4B1A5865"/>
    <w:rsid w:val="4B9B0F3F"/>
    <w:rsid w:val="4C9B2031"/>
    <w:rsid w:val="4CFD7AF5"/>
    <w:rsid w:val="4DCD0EA4"/>
    <w:rsid w:val="51560EFD"/>
    <w:rsid w:val="51622E1E"/>
    <w:rsid w:val="52FD636E"/>
    <w:rsid w:val="55EF3CFB"/>
    <w:rsid w:val="56B03F57"/>
    <w:rsid w:val="57243FF4"/>
    <w:rsid w:val="573C227B"/>
    <w:rsid w:val="577A09A6"/>
    <w:rsid w:val="57BA5121"/>
    <w:rsid w:val="591B1EEE"/>
    <w:rsid w:val="5924677F"/>
    <w:rsid w:val="594F4875"/>
    <w:rsid w:val="5B64662B"/>
    <w:rsid w:val="5D500721"/>
    <w:rsid w:val="5DD820CC"/>
    <w:rsid w:val="5E0A4580"/>
    <w:rsid w:val="5F1E01A1"/>
    <w:rsid w:val="6088506F"/>
    <w:rsid w:val="60CC7F22"/>
    <w:rsid w:val="60E02B13"/>
    <w:rsid w:val="622A0A4F"/>
    <w:rsid w:val="636972A4"/>
    <w:rsid w:val="69FA7122"/>
    <w:rsid w:val="6A8A0131"/>
    <w:rsid w:val="6B9A33AE"/>
    <w:rsid w:val="6C7A15D1"/>
    <w:rsid w:val="6D1F4C0C"/>
    <w:rsid w:val="6D750E76"/>
    <w:rsid w:val="6EDD2712"/>
    <w:rsid w:val="6FA353DF"/>
    <w:rsid w:val="6FF67CA6"/>
    <w:rsid w:val="70A82D32"/>
    <w:rsid w:val="70B87241"/>
    <w:rsid w:val="72474FE2"/>
    <w:rsid w:val="72ED7D74"/>
    <w:rsid w:val="73D969E2"/>
    <w:rsid w:val="740B56FA"/>
    <w:rsid w:val="743C39F2"/>
    <w:rsid w:val="758E26A4"/>
    <w:rsid w:val="77300FA6"/>
    <w:rsid w:val="78933027"/>
    <w:rsid w:val="79C00376"/>
    <w:rsid w:val="79EA6EB9"/>
    <w:rsid w:val="7AA821E3"/>
    <w:rsid w:val="7BE608BD"/>
    <w:rsid w:val="7C2446D2"/>
    <w:rsid w:val="7C4C347A"/>
    <w:rsid w:val="7DA911B8"/>
    <w:rsid w:val="7E137FEF"/>
    <w:rsid w:val="97FF9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next w:val="3"/>
    <w:link w:val="17"/>
    <w:qFormat/>
    <w:uiPriority w:val="0"/>
    <w:pPr>
      <w:spacing w:after="120"/>
    </w:pPr>
    <w:rPr>
      <w:rFonts w:ascii="Cambria" w:hAnsi="Cambria" w:eastAsia="宋体" w:cs="Times New Roman"/>
    </w:rPr>
  </w:style>
  <w:style w:type="paragraph" w:styleId="3">
    <w:name w:val="Title"/>
    <w:basedOn w:val="1"/>
    <w:next w:val="1"/>
    <w:link w:val="19"/>
    <w:qFormat/>
    <w:uiPriority w:val="10"/>
    <w:pPr>
      <w:spacing w:before="240" w:after="60"/>
      <w:jc w:val="center"/>
      <w:outlineLvl w:val="0"/>
    </w:pPr>
    <w:rPr>
      <w:rFonts w:asciiTheme="majorHAnsi" w:hAnsiTheme="majorHAnsi" w:eastAsiaTheme="majorEastAsia" w:cstheme="majorBidi"/>
      <w:b/>
      <w:bCs/>
      <w:sz w:val="32"/>
      <w:szCs w:val="32"/>
    </w:rPr>
  </w:style>
  <w:style w:type="paragraph" w:styleId="4">
    <w:name w:val="Date"/>
    <w:basedOn w:val="1"/>
    <w:next w:val="1"/>
    <w:link w:val="20"/>
    <w:unhideWhenUsed/>
    <w:qFormat/>
    <w:uiPriority w:val="99"/>
    <w:pPr>
      <w:ind w:left="100" w:leftChars="2500"/>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unhideWhenUsed/>
    <w:qFormat/>
    <w:uiPriority w:val="39"/>
  </w:style>
  <w:style w:type="paragraph" w:styleId="8">
    <w:name w:val="toc 2"/>
    <w:basedOn w:val="1"/>
    <w:next w:val="1"/>
    <w:semiHidden/>
    <w:unhideWhenUsed/>
    <w:qFormat/>
    <w:uiPriority w:val="39"/>
    <w:pPr>
      <w:ind w:left="420" w:leftChars="200"/>
    </w:pPr>
  </w:style>
  <w:style w:type="paragraph" w:styleId="9">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paragraph" w:customStyle="1" w:styleId="14">
    <w:name w:val="List Paragraph"/>
    <w:basedOn w:val="1"/>
    <w:qFormat/>
    <w:uiPriority w:val="34"/>
    <w:pPr>
      <w:ind w:firstLine="420" w:firstLineChars="200"/>
    </w:pPr>
  </w:style>
  <w:style w:type="character" w:customStyle="1" w:styleId="15">
    <w:name w:val="页眉 字符"/>
    <w:basedOn w:val="12"/>
    <w:link w:val="6"/>
    <w:qFormat/>
    <w:uiPriority w:val="99"/>
    <w:rPr>
      <w:sz w:val="18"/>
      <w:szCs w:val="18"/>
    </w:rPr>
  </w:style>
  <w:style w:type="character" w:customStyle="1" w:styleId="16">
    <w:name w:val="页脚 字符"/>
    <w:basedOn w:val="12"/>
    <w:link w:val="5"/>
    <w:qFormat/>
    <w:uiPriority w:val="99"/>
    <w:rPr>
      <w:sz w:val="18"/>
      <w:szCs w:val="18"/>
    </w:rPr>
  </w:style>
  <w:style w:type="character" w:customStyle="1" w:styleId="17">
    <w:name w:val="正文文本 字符"/>
    <w:basedOn w:val="12"/>
    <w:link w:val="2"/>
    <w:qFormat/>
    <w:uiPriority w:val="0"/>
    <w:rPr>
      <w:rFonts w:ascii="Cambria" w:hAnsi="Cambria" w:eastAsia="宋体" w:cs="Times New Roman"/>
      <w:b/>
      <w:bCs/>
      <w:sz w:val="32"/>
      <w:szCs w:val="32"/>
    </w:rPr>
  </w:style>
  <w:style w:type="paragraph" w:customStyle="1" w:styleId="18">
    <w:name w:val="BodyText2"/>
    <w:basedOn w:val="1"/>
    <w:qFormat/>
    <w:uiPriority w:val="0"/>
    <w:pPr>
      <w:spacing w:after="120" w:line="480" w:lineRule="auto"/>
      <w:textAlignment w:val="baseline"/>
    </w:pPr>
    <w:rPr>
      <w:rFonts w:ascii="Times New Roman" w:hAnsi="Times New Roman" w:eastAsia="宋体" w:cs="Times New Roman"/>
      <w:sz w:val="32"/>
      <w:szCs w:val="32"/>
    </w:rPr>
  </w:style>
  <w:style w:type="character" w:customStyle="1" w:styleId="19">
    <w:name w:val="标题 字符"/>
    <w:basedOn w:val="12"/>
    <w:link w:val="3"/>
    <w:qFormat/>
    <w:uiPriority w:val="10"/>
    <w:rPr>
      <w:rFonts w:asciiTheme="majorHAnsi" w:hAnsiTheme="majorHAnsi" w:eastAsiaTheme="majorEastAsia" w:cstheme="majorBidi"/>
      <w:b/>
      <w:bCs/>
      <w:sz w:val="32"/>
      <w:szCs w:val="32"/>
    </w:rPr>
  </w:style>
  <w:style w:type="character" w:customStyle="1" w:styleId="20">
    <w:name w:val="日期 字符"/>
    <w:basedOn w:val="12"/>
    <w:link w:val="4"/>
    <w:semiHidden/>
    <w:qFormat/>
    <w:uiPriority w:val="99"/>
  </w:style>
  <w:style w:type="character" w:customStyle="1" w:styleId="21">
    <w:name w:val="apple-style-span"/>
    <w:basedOn w:val="12"/>
    <w:qFormat/>
    <w:uiPriority w:val="0"/>
  </w:style>
  <w:style w:type="paragraph" w:customStyle="1" w:styleId="22">
    <w:name w:val="样式 正文 样式 四号 行距: 1.5 倍行距 首行缩进:  2 字符 + 小四 首行缩进:  2 字符"/>
    <w:basedOn w:val="1"/>
    <w:qFormat/>
    <w:uiPriority w:val="0"/>
    <w:pPr>
      <w:spacing w:line="360" w:lineRule="auto"/>
      <w:ind w:firstLine="480"/>
    </w:pPr>
    <w:rPr>
      <w:rFonts w:cs="宋体"/>
      <w:szCs w:val="20"/>
    </w:rPr>
  </w:style>
  <w:style w:type="paragraph" w:customStyle="1" w:styleId="23">
    <w:name w:val="Char Char Char Char Char Char Char Char Char"/>
    <w:basedOn w:val="1"/>
    <w:qFormat/>
    <w:uiPriority w:val="0"/>
    <w:pPr>
      <w:spacing w:line="360" w:lineRule="auto"/>
      <w:ind w:firstLine="200" w:firstLineChars="200"/>
    </w:pPr>
    <w:rPr>
      <w:rFonts w:ascii="宋体" w:hAnsi="宋体" w:cs="宋体"/>
      <w:sz w:val="24"/>
      <w:szCs w:val="24"/>
    </w:rPr>
  </w:style>
  <w:style w:type="paragraph" w:customStyle="1" w:styleId="24">
    <w:name w:val="段"/>
    <w:qFormat/>
    <w:uiPriority w:val="0"/>
    <w:pPr>
      <w:autoSpaceDE w:val="0"/>
      <w:autoSpaceDN w:val="0"/>
      <w:ind w:firstLine="200" w:firstLineChars="200"/>
      <w:jc w:val="both"/>
    </w:pPr>
    <w:rPr>
      <w:rFonts w:ascii="宋体" w:hAnsi="Calibri" w:eastAsia="Calibri" w:cs="Times New Roman"/>
      <w:sz w:val="21"/>
      <w:lang w:val="en-US" w:eastAsia="zh-CN" w:bidi="ar-SA"/>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898</Words>
  <Characters>5125</Characters>
  <Lines>42</Lines>
  <Paragraphs>12</Paragraphs>
  <TotalTime>5</TotalTime>
  <ScaleCrop>false</ScaleCrop>
  <LinksUpToDate>false</LinksUpToDate>
  <CharactersWithSpaces>6011</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2021-10-26T15:11:00Z</dcterms:created>
  <dc:creator>微软用户</dc:creator>
  <cp:lastModifiedBy>朱俊荣</cp:lastModifiedBy>
  <cp:lastPrinted>2023-03-23T16:53:00Z</cp:lastPrinted>
  <dcterms:modified xsi:type="dcterms:W3CDTF">2024-01-19T15:38:56Z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B4A5BC29C31B407E98137AA4A346D382</vt:lpwstr>
  </property>
</Properties>
</file>