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10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3301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浙江省杭州市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3301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易腐垃圾肥料化产品施用技术规范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杭州市市场监督管理局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本文件由杭州市农业农村局提出、归口并组织实施。</w:t>
      </w:r>
    </w:p>
    <w:p>
      <w:pPr>
        <w:pStyle w:val="56"/>
        <w:ind w:firstLine="420"/>
        <w:rPr>
          <w:rFonts w:hint="eastAsia"/>
        </w:rPr>
      </w:pPr>
      <w:r>
        <w:rPr>
          <w:rFonts w:hint="eastAsia"/>
        </w:rPr>
        <w:t>本文件起草单位：杭州市农业技术推广中心（杭州市植保植检中心）、浙江省农业科学院。</w:t>
      </w:r>
    </w:p>
    <w:p>
      <w:pPr>
        <w:pStyle w:val="56"/>
        <w:ind w:firstLine="420"/>
        <w:rPr>
          <w:rFonts w:hint="eastAsia"/>
        </w:rPr>
      </w:pPr>
      <w:r>
        <w:rPr>
          <w:rFonts w:hint="eastAsia"/>
        </w:rPr>
        <w:t>本文件主要起草人：商小兰、尉吉乾、姚燕来、王京文、李丹、洪春来、张琴、黄越、陈翔、袁杭杰、楼玲、杨文叶、姜铭北、徐君、徐著、张海娟。</w:t>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1BFC701DF38F4A7CBAC93F9027A3BE9F"/>
        </w:placeholder>
      </w:sdtPr>
      <w:sdtContent>
        <w:p>
          <w:pPr>
            <w:pStyle w:val="177"/>
            <w:spacing w:before="3" w:beforeLines="1" w:after="686" w:afterLines="220"/>
          </w:pPr>
          <w:bookmarkStart w:id="23" w:name="NEW_STAND_NAME"/>
          <w:r>
            <w:rPr>
              <w:rFonts w:hint="eastAsia"/>
            </w:rPr>
            <w:t>易腐垃圾肥料化产品施用技术规范</w:t>
          </w:r>
        </w:p>
      </w:sdtContent>
    </w:sdt>
    <w:bookmarkEnd w:id="23"/>
    <w:p>
      <w:pPr>
        <w:pStyle w:val="104"/>
        <w:spacing w:before="312" w:after="312"/>
      </w:pPr>
      <w:bookmarkStart w:id="24" w:name="_Toc17233325"/>
      <w:bookmarkStart w:id="25" w:name="_Toc17233333"/>
      <w:bookmarkStart w:id="26" w:name="_Toc24884218"/>
      <w:bookmarkStart w:id="27" w:name="_Toc26648465"/>
      <w:bookmarkStart w:id="28" w:name="_Toc24884211"/>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pPr>
        <w:pStyle w:val="56"/>
        <w:ind w:firstLine="420"/>
        <w:rPr>
          <w:rFonts w:hint="eastAsia"/>
        </w:rPr>
      </w:pPr>
      <w:bookmarkStart w:id="33" w:name="_Toc17233334"/>
      <w:bookmarkStart w:id="34" w:name="_Toc24884212"/>
      <w:bookmarkStart w:id="35" w:name="_Toc24884219"/>
      <w:bookmarkStart w:id="36" w:name="_Toc26648466"/>
      <w:bookmarkStart w:id="37" w:name="_Toc17233326"/>
      <w:r>
        <w:rPr>
          <w:rFonts w:hint="eastAsia"/>
        </w:rPr>
        <w:t>本文件规定了易腐垃圾肥料化产品的施用原则、施用技术要求和施用管理等内容。</w:t>
      </w:r>
    </w:p>
    <w:p>
      <w:pPr>
        <w:pStyle w:val="56"/>
        <w:ind w:firstLine="420"/>
      </w:pPr>
      <w:r>
        <w:rPr>
          <w:rFonts w:hint="eastAsia"/>
        </w:rPr>
        <w:t>本文件适用于易腐垃圾肥料化产品应用。</w:t>
      </w:r>
    </w:p>
    <w:p>
      <w:pPr>
        <w:pStyle w:val="104"/>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9E078CE77D740B48A3E1A799E7B0CE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 xml:space="preserve">GB 15618 </w:t>
      </w:r>
      <w:r>
        <w:t xml:space="preserve"> </w:t>
      </w:r>
      <w:r>
        <w:rPr>
          <w:rFonts w:hint="eastAsia"/>
        </w:rPr>
        <w:t>土壤环境质量  农用地土壤污染风险管控标准(试行)</w:t>
      </w:r>
    </w:p>
    <w:p>
      <w:pPr>
        <w:pStyle w:val="56"/>
        <w:ind w:firstLine="420"/>
      </w:pPr>
      <w:r>
        <w:rPr>
          <w:rFonts w:hint="eastAsia"/>
        </w:rPr>
        <w:t xml:space="preserve">GB 38400 </w:t>
      </w:r>
      <w:r>
        <w:t xml:space="preserve"> </w:t>
      </w:r>
      <w:r>
        <w:rPr>
          <w:rFonts w:hint="eastAsia"/>
        </w:rPr>
        <w:t>肥料中有毒有害物质的限量要求</w:t>
      </w:r>
    </w:p>
    <w:p>
      <w:pPr>
        <w:pStyle w:val="104"/>
        <w:spacing w:before="312" w:after="312"/>
      </w:pPr>
      <w:bookmarkStart w:id="42" w:name="_Toc97191425"/>
      <w:r>
        <w:rPr>
          <w:rFonts w:hint="eastAsia"/>
          <w:szCs w:val="21"/>
        </w:rPr>
        <w:t>术语和定义</w:t>
      </w:r>
      <w:bookmarkEnd w:id="42"/>
    </w:p>
    <w:sdt>
      <w:sdtPr>
        <w:id w:val="-1909835108"/>
        <w:placeholder>
          <w:docPart w:val="B99ECE623CAB47889F3288EA291ADE0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eastAsia="黑体"/>
        </w:rPr>
        <w:t xml:space="preserve">易腐垃圾 </w:t>
      </w:r>
      <w:r>
        <w:rPr>
          <w:rFonts w:ascii="黑体" w:eastAsia="黑体"/>
        </w:rPr>
        <w:t xml:space="preserve"> perishable waste</w:t>
      </w:r>
    </w:p>
    <w:p>
      <w:pPr>
        <w:pStyle w:val="56"/>
        <w:ind w:firstLine="420"/>
      </w:pPr>
      <w:r>
        <w:rPr>
          <w:rFonts w:hint="eastAsia"/>
        </w:rPr>
        <w:t>易腐烂的、含有机质的生活垃圾。包括居民日常生活产生的厨余垃圾、餐饮场所产生的餐厨垃圾和农贸市场产生的生鲜垃圾。</w:t>
      </w:r>
    </w:p>
    <w:p>
      <w:pPr>
        <w:pStyle w:val="56"/>
        <w:ind w:firstLine="420"/>
        <w:rPr>
          <w:rFonts w:hint="eastAsia"/>
        </w:rPr>
      </w:pPr>
      <w:r>
        <w:rPr>
          <w:rFonts w:hint="eastAsia"/>
        </w:rPr>
        <w:t>[来源：</w:t>
      </w:r>
      <w:r>
        <w:rPr>
          <w:rFonts w:hint="eastAsia" w:ascii="仿宋" w:hAnsi="仿宋" w:eastAsia="仿宋" w:cs="仿宋"/>
          <w:szCs w:val="21"/>
        </w:rPr>
        <w:t>DB33/T1166—2019，2.0.6</w:t>
      </w:r>
      <w:r>
        <w:rPr>
          <w:rFonts w:hint="eastAsia"/>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易腐垃圾肥料化产品 </w:t>
      </w:r>
      <w:r>
        <w:rPr>
          <w:rFonts w:ascii="黑体" w:hAnsi="黑体" w:eastAsia="黑体"/>
        </w:rPr>
        <w:t xml:space="preserve"> </w:t>
      </w:r>
      <w:r>
        <w:rPr>
          <w:rFonts w:hint="eastAsia" w:ascii="黑体" w:hAnsi="黑体" w:eastAsia="黑体"/>
        </w:rPr>
        <w:t>fertilizer transform from perishable waste</w:t>
      </w:r>
    </w:p>
    <w:p>
      <w:pPr>
        <w:pStyle w:val="56"/>
        <w:ind w:firstLine="420"/>
      </w:pPr>
      <w:r>
        <w:rPr>
          <w:rFonts w:hint="eastAsia"/>
        </w:rPr>
        <w:t>易腐垃圾经脱油降盐-好氧发酵，或经昆虫转化，或经太阳能辅助发酵，或经厌氧发酵等工艺技术形成的具有肥料特性的产品，包括有机肥料、土壤调理剂等。</w:t>
      </w:r>
    </w:p>
    <w:p>
      <w:pPr>
        <w:pStyle w:val="104"/>
        <w:spacing w:before="312" w:after="312"/>
      </w:pPr>
      <w:r>
        <w:rPr>
          <w:rFonts w:hint="eastAsia"/>
        </w:rPr>
        <w:t>施用原则</w:t>
      </w:r>
    </w:p>
    <w:p>
      <w:pPr>
        <w:pStyle w:val="105"/>
        <w:spacing w:before="156" w:after="156"/>
      </w:pPr>
      <w:r>
        <w:rPr>
          <w:rFonts w:hint="eastAsia"/>
        </w:rPr>
        <w:t>安全性</w:t>
      </w:r>
    </w:p>
    <w:p>
      <w:pPr>
        <w:pStyle w:val="56"/>
        <w:autoSpaceDE/>
        <w:autoSpaceDN/>
        <w:ind w:firstLine="420"/>
      </w:pPr>
      <w:r>
        <w:rPr>
          <w:rFonts w:hint="eastAsia"/>
        </w:rPr>
        <w:t>易腐垃圾肥料化产品中的有毒有害物质应符合G</w:t>
      </w:r>
      <w:r>
        <w:t>B 38400</w:t>
      </w:r>
      <w:r>
        <w:rPr>
          <w:rFonts w:hint="eastAsia"/>
        </w:rPr>
        <w:t>的要求，产品施用应不对环境和作物产生不良影响。</w:t>
      </w:r>
    </w:p>
    <w:p>
      <w:pPr>
        <w:pStyle w:val="105"/>
        <w:spacing w:before="156" w:after="156"/>
      </w:pPr>
      <w:r>
        <w:rPr>
          <w:rFonts w:hint="eastAsia"/>
        </w:rPr>
        <w:t>适宜性</w:t>
      </w:r>
    </w:p>
    <w:p>
      <w:pPr>
        <w:pStyle w:val="56"/>
        <w:ind w:firstLine="420"/>
      </w:pPr>
      <w:r>
        <w:rPr>
          <w:rFonts w:hint="eastAsia"/>
        </w:rPr>
        <w:t>适合在耕地（水田、旱地）、园地、林草地等土壤上施用。以餐厨垃圾为原料的肥料化产品不宜用于盐碱地区域。</w:t>
      </w:r>
    </w:p>
    <w:p>
      <w:pPr>
        <w:pStyle w:val="105"/>
        <w:spacing w:before="156" w:after="156"/>
      </w:pPr>
      <w:r>
        <w:rPr>
          <w:rFonts w:hint="eastAsia"/>
        </w:rPr>
        <w:t>合理性</w:t>
      </w:r>
    </w:p>
    <w:p>
      <w:pPr>
        <w:pStyle w:val="56"/>
        <w:ind w:firstLine="420"/>
      </w:pPr>
      <w:r>
        <w:rPr>
          <w:rFonts w:hint="eastAsia"/>
        </w:rPr>
        <w:t>易腐垃圾肥料化产品应根据作物类型、栽培模式、土壤地力、作物对营养元素的需求，单施或与其他肥料合理配施。</w:t>
      </w:r>
    </w:p>
    <w:p>
      <w:pPr>
        <w:pStyle w:val="104"/>
        <w:spacing w:before="312" w:after="312"/>
      </w:pPr>
      <w:r>
        <w:rPr>
          <w:rFonts w:hint="eastAsia"/>
        </w:rPr>
        <w:t>施用技术要求</w:t>
      </w:r>
    </w:p>
    <w:p>
      <w:pPr>
        <w:pStyle w:val="105"/>
        <w:spacing w:before="156" w:after="156"/>
      </w:pPr>
      <w:r>
        <w:rPr>
          <w:rFonts w:hint="eastAsia"/>
        </w:rPr>
        <w:t>施用方式</w:t>
      </w:r>
    </w:p>
    <w:p>
      <w:pPr>
        <w:pStyle w:val="165"/>
      </w:pPr>
      <w:r>
        <w:rPr>
          <w:rFonts w:hint="eastAsia"/>
        </w:rPr>
        <w:t>易腐垃圾肥料化产品宜作基肥施用，可采用撒施、条施和环施方式，易腐垃圾肥料化产品施用方式参照表1。</w:t>
      </w:r>
    </w:p>
    <w:p>
      <w:pPr>
        <w:pStyle w:val="112"/>
        <w:spacing w:before="156" w:after="156"/>
      </w:pPr>
      <w:r>
        <w:rPr>
          <w:rFonts w:hint="eastAsia"/>
        </w:rPr>
        <w:t>易腐垃圾肥料化产品施用方式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2268"/>
        <w:gridCol w:w="1559"/>
        <w:gridCol w:w="3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shd w:val="clear" w:color="auto" w:fill="auto"/>
            <w:vAlign w:val="center"/>
          </w:tcPr>
          <w:p>
            <w:pPr>
              <w:pStyle w:val="178"/>
              <w:rPr>
                <w:rFonts w:hint="eastAsia"/>
              </w:rPr>
            </w:pPr>
            <w:r>
              <w:rPr>
                <w:rFonts w:hint="eastAsia"/>
              </w:rPr>
              <w:t>施用方式</w:t>
            </w:r>
          </w:p>
        </w:tc>
        <w:tc>
          <w:tcPr>
            <w:tcW w:w="2268" w:type="dxa"/>
            <w:tcBorders>
              <w:top w:val="single" w:color="auto" w:sz="8" w:space="0"/>
              <w:bottom w:val="single" w:color="auto" w:sz="8" w:space="0"/>
            </w:tcBorders>
            <w:shd w:val="clear" w:color="auto" w:fill="auto"/>
          </w:tcPr>
          <w:p>
            <w:pPr>
              <w:pStyle w:val="178"/>
              <w:rPr>
                <w:rFonts w:hint="eastAsia"/>
              </w:rPr>
            </w:pPr>
            <w:r>
              <w:rPr>
                <w:rFonts w:hint="eastAsia"/>
                <w:szCs w:val="18"/>
              </w:rPr>
              <w:t>适用作物</w:t>
            </w:r>
          </w:p>
        </w:tc>
        <w:tc>
          <w:tcPr>
            <w:tcW w:w="1559" w:type="dxa"/>
            <w:tcBorders>
              <w:top w:val="single" w:color="auto" w:sz="8" w:space="0"/>
              <w:bottom w:val="single" w:color="auto" w:sz="8" w:space="0"/>
            </w:tcBorders>
            <w:shd w:val="clear" w:color="auto" w:fill="auto"/>
          </w:tcPr>
          <w:p>
            <w:pPr>
              <w:pStyle w:val="178"/>
              <w:rPr>
                <w:rFonts w:hint="eastAsia"/>
              </w:rPr>
            </w:pPr>
            <w:r>
              <w:rPr>
                <w:rFonts w:hint="eastAsia"/>
                <w:szCs w:val="18"/>
              </w:rPr>
              <w:t>土地类型</w:t>
            </w:r>
          </w:p>
        </w:tc>
        <w:tc>
          <w:tcPr>
            <w:tcW w:w="3957" w:type="dxa"/>
            <w:tcBorders>
              <w:top w:val="single" w:color="auto" w:sz="8" w:space="0"/>
              <w:bottom w:val="single" w:color="auto" w:sz="8" w:space="0"/>
            </w:tcBorders>
            <w:shd w:val="clear" w:color="auto" w:fill="auto"/>
          </w:tcPr>
          <w:p>
            <w:pPr>
              <w:pStyle w:val="178"/>
              <w:rPr>
                <w:rFonts w:hint="eastAsia"/>
              </w:rPr>
            </w:pPr>
            <w:r>
              <w:rPr>
                <w:rFonts w:hint="eastAsia"/>
                <w:szCs w:val="18"/>
              </w:rPr>
              <w:t>操作方法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shd w:val="clear" w:color="auto" w:fill="auto"/>
            <w:vAlign w:val="center"/>
          </w:tcPr>
          <w:p>
            <w:pPr>
              <w:pStyle w:val="178"/>
              <w:rPr>
                <w:rFonts w:hint="eastAsia"/>
              </w:rPr>
            </w:pPr>
            <w:r>
              <w:rPr>
                <w:rFonts w:hint="eastAsia"/>
                <w:szCs w:val="18"/>
              </w:rPr>
              <w:t>撒施</w:t>
            </w:r>
          </w:p>
        </w:tc>
        <w:tc>
          <w:tcPr>
            <w:tcW w:w="2268" w:type="dxa"/>
            <w:tcBorders>
              <w:top w:val="single" w:color="auto" w:sz="8" w:space="0"/>
            </w:tcBorders>
            <w:shd w:val="clear" w:color="auto" w:fill="auto"/>
            <w:vAlign w:val="center"/>
          </w:tcPr>
          <w:p>
            <w:pPr>
              <w:pStyle w:val="178"/>
              <w:rPr>
                <w:rFonts w:hint="eastAsia"/>
              </w:rPr>
            </w:pPr>
            <w:r>
              <w:rPr>
                <w:rFonts w:hint="eastAsia"/>
                <w:szCs w:val="18"/>
              </w:rPr>
              <w:t>大田种植作物如粮油、蔬菜等</w:t>
            </w:r>
          </w:p>
        </w:tc>
        <w:tc>
          <w:tcPr>
            <w:tcW w:w="1559" w:type="dxa"/>
            <w:tcBorders>
              <w:top w:val="single" w:color="auto" w:sz="8" w:space="0"/>
            </w:tcBorders>
            <w:shd w:val="clear" w:color="auto" w:fill="auto"/>
            <w:vAlign w:val="center"/>
          </w:tcPr>
          <w:p>
            <w:pPr>
              <w:pStyle w:val="178"/>
              <w:rPr>
                <w:rFonts w:hint="eastAsia"/>
              </w:rPr>
            </w:pPr>
            <w:r>
              <w:rPr>
                <w:rFonts w:hint="eastAsia"/>
                <w:szCs w:val="18"/>
              </w:rPr>
              <w:t>耕地</w:t>
            </w:r>
          </w:p>
        </w:tc>
        <w:tc>
          <w:tcPr>
            <w:tcW w:w="3957" w:type="dxa"/>
            <w:tcBorders>
              <w:top w:val="single" w:color="auto" w:sz="8" w:space="0"/>
            </w:tcBorders>
            <w:shd w:val="clear" w:color="auto" w:fill="auto"/>
            <w:vAlign w:val="center"/>
          </w:tcPr>
          <w:p>
            <w:pPr>
              <w:pStyle w:val="178"/>
              <w:rPr>
                <w:rFonts w:hint="eastAsia"/>
              </w:rPr>
            </w:pPr>
            <w:r>
              <w:rPr>
                <w:rFonts w:hint="eastAsia"/>
                <w:szCs w:val="18"/>
              </w:rPr>
              <w:t>翻耕前将肥料均匀撒于地表，结合翻耕将肥料翻入土中。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rPr>
                <w:rFonts w:hint="eastAsia"/>
              </w:rPr>
            </w:pPr>
            <w:r>
              <w:rPr>
                <w:rFonts w:hint="eastAsia"/>
                <w:szCs w:val="18"/>
              </w:rPr>
              <w:t>条施</w:t>
            </w:r>
          </w:p>
        </w:tc>
        <w:tc>
          <w:tcPr>
            <w:tcW w:w="2268" w:type="dxa"/>
            <w:shd w:val="clear" w:color="auto" w:fill="auto"/>
            <w:vAlign w:val="center"/>
          </w:tcPr>
          <w:p>
            <w:pPr>
              <w:pStyle w:val="178"/>
              <w:rPr>
                <w:rFonts w:hint="eastAsia"/>
              </w:rPr>
            </w:pPr>
            <w:r>
              <w:rPr>
                <w:rFonts w:hint="eastAsia"/>
                <w:szCs w:val="18"/>
              </w:rPr>
              <w:t>茶叶、花卉、果树、经济林木等</w:t>
            </w:r>
          </w:p>
        </w:tc>
        <w:tc>
          <w:tcPr>
            <w:tcW w:w="1559" w:type="dxa"/>
            <w:shd w:val="clear" w:color="auto" w:fill="auto"/>
            <w:vAlign w:val="center"/>
          </w:tcPr>
          <w:p>
            <w:pPr>
              <w:pStyle w:val="178"/>
              <w:rPr>
                <w:rFonts w:hint="eastAsia"/>
              </w:rPr>
            </w:pPr>
            <w:r>
              <w:rPr>
                <w:rFonts w:hint="eastAsia"/>
                <w:szCs w:val="18"/>
              </w:rPr>
              <w:t>园地、林地</w:t>
            </w:r>
          </w:p>
        </w:tc>
        <w:tc>
          <w:tcPr>
            <w:tcW w:w="3957" w:type="dxa"/>
            <w:shd w:val="clear" w:color="auto" w:fill="auto"/>
            <w:vAlign w:val="center"/>
          </w:tcPr>
          <w:p>
            <w:pPr>
              <w:pStyle w:val="178"/>
              <w:rPr>
                <w:rFonts w:hint="eastAsia"/>
              </w:rPr>
            </w:pPr>
            <w:r>
              <w:rPr>
                <w:rFonts w:hint="eastAsia"/>
                <w:szCs w:val="18"/>
              </w:rPr>
              <w:t>结合犁地开沟，将肥料按条状集中施于作物播种行内或已种植物行间，并覆土。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78"/>
              <w:rPr>
                <w:rFonts w:hint="eastAsia"/>
              </w:rPr>
            </w:pPr>
            <w:r>
              <w:rPr>
                <w:rFonts w:hint="eastAsia"/>
                <w:szCs w:val="18"/>
              </w:rPr>
              <w:t>环施</w:t>
            </w:r>
          </w:p>
        </w:tc>
        <w:tc>
          <w:tcPr>
            <w:tcW w:w="2268" w:type="dxa"/>
            <w:shd w:val="clear" w:color="auto" w:fill="auto"/>
            <w:vAlign w:val="center"/>
          </w:tcPr>
          <w:p>
            <w:pPr>
              <w:pStyle w:val="178"/>
              <w:rPr>
                <w:rFonts w:hint="eastAsia"/>
              </w:rPr>
            </w:pPr>
            <w:r>
              <w:rPr>
                <w:rFonts w:hint="eastAsia"/>
                <w:szCs w:val="18"/>
              </w:rPr>
              <w:t>多年生植物，如果树、经济林木等</w:t>
            </w:r>
          </w:p>
        </w:tc>
        <w:tc>
          <w:tcPr>
            <w:tcW w:w="1559" w:type="dxa"/>
            <w:shd w:val="clear" w:color="auto" w:fill="auto"/>
            <w:vAlign w:val="center"/>
          </w:tcPr>
          <w:p>
            <w:pPr>
              <w:pStyle w:val="178"/>
              <w:rPr>
                <w:rFonts w:hint="eastAsia"/>
              </w:rPr>
            </w:pPr>
            <w:r>
              <w:rPr>
                <w:rFonts w:hint="eastAsia"/>
                <w:szCs w:val="18"/>
              </w:rPr>
              <w:t>园地、林地</w:t>
            </w:r>
          </w:p>
        </w:tc>
        <w:tc>
          <w:tcPr>
            <w:tcW w:w="3957" w:type="dxa"/>
            <w:shd w:val="clear" w:color="auto" w:fill="auto"/>
            <w:vAlign w:val="center"/>
          </w:tcPr>
          <w:p>
            <w:pPr>
              <w:pStyle w:val="178"/>
              <w:rPr>
                <w:rFonts w:hint="eastAsia"/>
              </w:rPr>
            </w:pPr>
            <w:r>
              <w:rPr>
                <w:rFonts w:hint="eastAsia"/>
                <w:szCs w:val="18"/>
              </w:rPr>
              <w:t>以植物主茎为圆心，沿树冠垂直投影边缘外侧开沟，将肥料施入沟中，并覆土。</w:t>
            </w:r>
          </w:p>
        </w:tc>
      </w:tr>
    </w:tbl>
    <w:p>
      <w:pPr>
        <w:pStyle w:val="56"/>
        <w:ind w:firstLine="0" w:firstLineChars="0"/>
        <w:rPr>
          <w:rFonts w:hint="eastAsia"/>
        </w:rPr>
      </w:pPr>
    </w:p>
    <w:p>
      <w:pPr>
        <w:pStyle w:val="165"/>
      </w:pPr>
      <w:r>
        <w:rPr>
          <w:rFonts w:hint="eastAsia"/>
        </w:rPr>
        <w:t>露地施用时应避开雨天，施入后应尽快翻耕或覆土。</w:t>
      </w:r>
    </w:p>
    <w:p>
      <w:pPr>
        <w:pStyle w:val="105"/>
        <w:spacing w:before="156" w:after="156"/>
        <w:rPr>
          <w:rFonts w:hint="eastAsia"/>
        </w:rPr>
      </w:pPr>
      <w:r>
        <w:rPr>
          <w:rFonts w:hint="eastAsia"/>
        </w:rPr>
        <w:t>施用量和施用时间</w:t>
      </w:r>
    </w:p>
    <w:p>
      <w:pPr>
        <w:pStyle w:val="65"/>
        <w:spacing w:before="156" w:after="156"/>
        <w:rPr>
          <w:rFonts w:hint="eastAsia"/>
        </w:rPr>
      </w:pPr>
      <w:r>
        <w:rPr>
          <w:rFonts w:hint="eastAsia"/>
        </w:rPr>
        <w:t>耕地施用</w:t>
      </w:r>
    </w:p>
    <w:p>
      <w:pPr>
        <w:pStyle w:val="94"/>
        <w:spacing w:before="156" w:after="156"/>
        <w:rPr>
          <w:rFonts w:hint="eastAsia"/>
        </w:rPr>
      </w:pPr>
      <w:r>
        <w:rPr>
          <w:rFonts w:hint="eastAsia"/>
        </w:rPr>
        <w:t>水田</w:t>
      </w:r>
    </w:p>
    <w:p>
      <w:pPr>
        <w:pStyle w:val="56"/>
        <w:autoSpaceDE/>
        <w:autoSpaceDN/>
        <w:ind w:firstLine="420"/>
        <w:rPr>
          <w:rFonts w:hint="eastAsia"/>
        </w:rPr>
      </w:pPr>
      <w:r>
        <w:rPr>
          <w:rFonts w:hint="eastAsia"/>
        </w:rPr>
        <w:t>年施用量0.5</w:t>
      </w:r>
      <w:r>
        <w:rPr>
          <w:rFonts w:hint="eastAsia" w:hAnsi="宋体"/>
        </w:rPr>
        <w:t>～</w:t>
      </w:r>
      <w:r>
        <w:rPr>
          <w:rFonts w:hint="eastAsia"/>
        </w:rPr>
        <w:t>1.5 t/667 m</w:t>
      </w:r>
      <w:r>
        <w:rPr>
          <w:rFonts w:hint="eastAsia"/>
          <w:vertAlign w:val="superscript"/>
        </w:rPr>
        <w:t>2</w:t>
      </w:r>
      <w:r>
        <w:rPr>
          <w:rFonts w:hint="eastAsia"/>
        </w:rPr>
        <w:t>（亩），应在播种或移栽7</w:t>
      </w:r>
      <w:r>
        <w:t xml:space="preserve"> </w:t>
      </w:r>
      <w:r>
        <w:rPr>
          <w:rFonts w:hint="eastAsia"/>
        </w:rPr>
        <w:t>d前施用，施用后旋耕混匀。</w:t>
      </w:r>
    </w:p>
    <w:p>
      <w:pPr>
        <w:pStyle w:val="94"/>
        <w:spacing w:before="156" w:after="156"/>
        <w:rPr>
          <w:rFonts w:hint="eastAsia"/>
        </w:rPr>
      </w:pPr>
      <w:r>
        <w:rPr>
          <w:rFonts w:hint="eastAsia"/>
        </w:rPr>
        <w:t>旱地</w:t>
      </w:r>
    </w:p>
    <w:p>
      <w:pPr>
        <w:pStyle w:val="167"/>
      </w:pPr>
      <w:r>
        <w:rPr>
          <w:rFonts w:hint="eastAsia"/>
        </w:rPr>
        <w:t>旱地施用应根据不同土壤类型情况，合理施用，具体施用量及操作方式参照表2。</w:t>
      </w:r>
    </w:p>
    <w:p>
      <w:pPr>
        <w:pStyle w:val="112"/>
        <w:spacing w:before="156" w:after="156"/>
      </w:pPr>
      <w:r>
        <w:rPr>
          <w:rFonts w:hint="eastAsia"/>
        </w:rPr>
        <w:t>易腐垃圾肥料化产品旱地不同土壤类型施用量及操作方式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701"/>
        <w:gridCol w:w="1701"/>
        <w:gridCol w:w="45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 w:hRule="atLeast"/>
          <w:tblHeader/>
          <w:jc w:val="center"/>
        </w:trPr>
        <w:tc>
          <w:tcPr>
            <w:tcW w:w="1408" w:type="dxa"/>
            <w:vMerge w:val="restart"/>
            <w:tcBorders>
              <w:top w:val="single" w:color="auto" w:sz="8" w:space="0"/>
              <w:bottom w:val="single" w:color="auto" w:sz="4" w:space="0"/>
            </w:tcBorders>
            <w:shd w:val="clear" w:color="auto" w:fill="auto"/>
            <w:vAlign w:val="center"/>
          </w:tcPr>
          <w:p>
            <w:pPr>
              <w:pStyle w:val="178"/>
              <w:rPr>
                <w:rFonts w:hint="eastAsia"/>
              </w:rPr>
            </w:pPr>
            <w:r>
              <w:rPr>
                <w:rFonts w:hint="eastAsia"/>
              </w:rPr>
              <w:t>土壤类型</w:t>
            </w:r>
          </w:p>
        </w:tc>
        <w:tc>
          <w:tcPr>
            <w:tcW w:w="3402" w:type="dxa"/>
            <w:gridSpan w:val="2"/>
            <w:tcBorders>
              <w:top w:val="single" w:color="auto" w:sz="8" w:space="0"/>
              <w:bottom w:val="single" w:color="auto" w:sz="4" w:space="0"/>
            </w:tcBorders>
            <w:shd w:val="clear" w:color="auto" w:fill="auto"/>
            <w:vAlign w:val="center"/>
          </w:tcPr>
          <w:p>
            <w:pPr>
              <w:pStyle w:val="178"/>
              <w:rPr>
                <w:rFonts w:hint="eastAsia"/>
              </w:rPr>
            </w:pPr>
            <w:r>
              <w:rPr>
                <w:rFonts w:hint="eastAsia" w:hAnsi="宋体" w:cs="宋体"/>
                <w:szCs w:val="18"/>
              </w:rPr>
              <w:t>年施用量（</w:t>
            </w:r>
            <w:r>
              <w:rPr>
                <w:rFonts w:hint="eastAsia" w:hAnsi="宋体" w:cs="宋体"/>
                <w:color w:val="000000" w:themeColor="text1"/>
                <w:szCs w:val="18"/>
                <w14:textFill>
                  <w14:solidFill>
                    <w14:schemeClr w14:val="tx1"/>
                  </w14:solidFill>
                </w14:textFill>
              </w:rPr>
              <w:t>t/667m</w:t>
            </w:r>
            <w:r>
              <w:rPr>
                <w:rFonts w:hint="eastAsia" w:hAnsi="宋体" w:cs="宋体"/>
                <w:color w:val="000000" w:themeColor="text1"/>
                <w:szCs w:val="18"/>
                <w:vertAlign w:val="superscript"/>
                <w14:textFill>
                  <w14:solidFill>
                    <w14:schemeClr w14:val="tx1"/>
                  </w14:solidFill>
                </w14:textFill>
              </w:rPr>
              <w:t>2</w:t>
            </w:r>
            <w:r>
              <w:rPr>
                <w:rFonts w:hint="eastAsia" w:hAnsi="宋体" w:cs="宋体"/>
                <w:szCs w:val="18"/>
              </w:rPr>
              <w:t>）</w:t>
            </w:r>
          </w:p>
        </w:tc>
        <w:tc>
          <w:tcPr>
            <w:tcW w:w="4524" w:type="dxa"/>
            <w:vMerge w:val="restart"/>
            <w:tcBorders>
              <w:top w:val="single" w:color="auto" w:sz="8" w:space="0"/>
              <w:bottom w:val="single" w:color="auto" w:sz="4" w:space="0"/>
            </w:tcBorders>
            <w:shd w:val="clear" w:color="auto" w:fill="auto"/>
            <w:vAlign w:val="center"/>
          </w:tcPr>
          <w:p>
            <w:pPr>
              <w:pStyle w:val="178"/>
              <w:rPr>
                <w:rFonts w:hint="eastAsia"/>
              </w:rPr>
            </w:pPr>
            <w:r>
              <w:rPr>
                <w:rFonts w:hint="eastAsia" w:hAnsi="宋体" w:cs="宋体"/>
                <w:szCs w:val="18"/>
              </w:rPr>
              <w:t>施用时间、操作方法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2" w:hRule="atLeast"/>
          <w:tblHeader/>
          <w:jc w:val="center"/>
        </w:trPr>
        <w:tc>
          <w:tcPr>
            <w:tcW w:w="1408" w:type="dxa"/>
            <w:vMerge w:val="continue"/>
            <w:tcBorders>
              <w:top w:val="single" w:color="auto" w:sz="4" w:space="0"/>
              <w:bottom w:val="single" w:color="auto" w:sz="8" w:space="0"/>
            </w:tcBorders>
            <w:shd w:val="clear" w:color="auto" w:fill="auto"/>
            <w:vAlign w:val="center"/>
          </w:tcPr>
          <w:p>
            <w:pPr>
              <w:pStyle w:val="178"/>
              <w:rPr>
                <w:rFonts w:hint="eastAsia"/>
              </w:rPr>
            </w:pPr>
          </w:p>
        </w:tc>
        <w:tc>
          <w:tcPr>
            <w:tcW w:w="1701" w:type="dxa"/>
            <w:tcBorders>
              <w:top w:val="single" w:color="auto" w:sz="4" w:space="0"/>
              <w:bottom w:val="single" w:color="auto" w:sz="8" w:space="0"/>
            </w:tcBorders>
            <w:shd w:val="clear" w:color="auto" w:fill="auto"/>
          </w:tcPr>
          <w:p>
            <w:pPr>
              <w:pStyle w:val="178"/>
              <w:rPr>
                <w:rFonts w:hint="eastAsia"/>
              </w:rPr>
            </w:pPr>
            <w:r>
              <w:rPr>
                <w:rFonts w:hint="eastAsia" w:hAnsi="宋体" w:cs="宋体"/>
                <w:szCs w:val="18"/>
              </w:rPr>
              <w:t>露地</w:t>
            </w:r>
          </w:p>
        </w:tc>
        <w:tc>
          <w:tcPr>
            <w:tcW w:w="1701" w:type="dxa"/>
            <w:tcBorders>
              <w:top w:val="single" w:color="auto" w:sz="4" w:space="0"/>
              <w:bottom w:val="single" w:color="auto" w:sz="8" w:space="0"/>
            </w:tcBorders>
            <w:shd w:val="clear" w:color="auto" w:fill="auto"/>
          </w:tcPr>
          <w:p>
            <w:pPr>
              <w:pStyle w:val="178"/>
              <w:rPr>
                <w:rFonts w:hint="eastAsia"/>
              </w:rPr>
            </w:pPr>
            <w:r>
              <w:rPr>
                <w:rFonts w:hint="eastAsia" w:hAnsi="宋体" w:cs="宋体"/>
                <w:szCs w:val="18"/>
              </w:rPr>
              <w:t>设施</w:t>
            </w:r>
          </w:p>
        </w:tc>
        <w:tc>
          <w:tcPr>
            <w:tcW w:w="4524" w:type="dxa"/>
            <w:vMerge w:val="continue"/>
            <w:tcBorders>
              <w:top w:val="single" w:color="auto" w:sz="4" w:space="0"/>
              <w:bottom w:val="single" w:color="auto" w:sz="8" w:space="0"/>
            </w:tcBorders>
            <w:shd w:val="clear" w:color="auto" w:fill="auto"/>
            <w:vAlign w:val="center"/>
          </w:tcPr>
          <w:p>
            <w:pPr>
              <w:pStyle w:val="178"/>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shd w:val="clear" w:color="auto" w:fill="auto"/>
          </w:tcPr>
          <w:p>
            <w:pPr>
              <w:pStyle w:val="178"/>
              <w:rPr>
                <w:rFonts w:hint="eastAsia"/>
              </w:rPr>
            </w:pPr>
            <w:r>
              <w:rPr>
                <w:rFonts w:hint="eastAsia" w:hAnsi="宋体" w:cs="宋体"/>
                <w:color w:val="000000" w:themeColor="text1"/>
                <w:szCs w:val="18"/>
                <w14:textFill>
                  <w14:solidFill>
                    <w14:schemeClr w14:val="tx1"/>
                  </w14:solidFill>
                </w14:textFill>
              </w:rPr>
              <w:t>粘土</w:t>
            </w:r>
          </w:p>
        </w:tc>
        <w:tc>
          <w:tcPr>
            <w:tcW w:w="1701" w:type="dxa"/>
            <w:tcBorders>
              <w:top w:val="single" w:color="auto" w:sz="8" w:space="0"/>
            </w:tcBorders>
            <w:shd w:val="clear" w:color="auto" w:fill="auto"/>
          </w:tcPr>
          <w:p>
            <w:pPr>
              <w:pStyle w:val="178"/>
              <w:rPr>
                <w:rFonts w:hint="eastAsia"/>
              </w:rPr>
            </w:pPr>
            <w:r>
              <w:rPr>
                <w:rFonts w:hint="eastAsia" w:hAnsi="宋体" w:cs="宋体"/>
                <w:szCs w:val="18"/>
              </w:rPr>
              <w:t>2</w:t>
            </w:r>
          </w:p>
        </w:tc>
        <w:tc>
          <w:tcPr>
            <w:tcW w:w="1701" w:type="dxa"/>
            <w:tcBorders>
              <w:top w:val="single" w:color="auto" w:sz="8" w:space="0"/>
            </w:tcBorders>
            <w:shd w:val="clear" w:color="auto" w:fill="auto"/>
          </w:tcPr>
          <w:p>
            <w:pPr>
              <w:pStyle w:val="178"/>
              <w:rPr>
                <w:rFonts w:hint="eastAsia"/>
              </w:rPr>
            </w:pPr>
            <w:r>
              <w:rPr>
                <w:rFonts w:hint="eastAsia" w:hAnsi="宋体" w:cs="宋体"/>
                <w:szCs w:val="18"/>
              </w:rPr>
              <w:t>1</w:t>
            </w:r>
          </w:p>
        </w:tc>
        <w:tc>
          <w:tcPr>
            <w:tcW w:w="4524" w:type="dxa"/>
            <w:vMerge w:val="restart"/>
            <w:tcBorders>
              <w:top w:val="single" w:color="auto" w:sz="8" w:space="0"/>
            </w:tcBorders>
            <w:shd w:val="clear" w:color="auto" w:fill="auto"/>
            <w:vAlign w:val="center"/>
          </w:tcPr>
          <w:p>
            <w:pPr>
              <w:pStyle w:val="178"/>
              <w:autoSpaceDE/>
              <w:autoSpaceDN/>
              <w:rPr>
                <w:rFonts w:hint="eastAsia"/>
              </w:rPr>
            </w:pPr>
            <w:r>
              <w:rPr>
                <w:rFonts w:hint="eastAsia" w:hAnsi="宋体" w:cs="宋体"/>
                <w:color w:val="000000" w:themeColor="text1"/>
                <w:szCs w:val="18"/>
                <w14:textFill>
                  <w14:solidFill>
                    <w14:schemeClr w14:val="tx1"/>
                  </w14:solidFill>
                </w14:textFill>
              </w:rPr>
              <w:t>易腐垃圾肥料化产品应在作物播种或移栽前10 d以上作为基肥施入，施用后适量浇水，并旋耕混匀或者覆土。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shd w:val="clear" w:color="auto" w:fill="auto"/>
          </w:tcPr>
          <w:p>
            <w:pPr>
              <w:pStyle w:val="178"/>
              <w:rPr>
                <w:rFonts w:hint="eastAsia"/>
              </w:rPr>
            </w:pPr>
            <w:r>
              <w:rPr>
                <w:rFonts w:hint="eastAsia" w:hAnsi="宋体" w:cs="宋体"/>
                <w:color w:val="000000" w:themeColor="text1"/>
                <w:szCs w:val="18"/>
                <w14:textFill>
                  <w14:solidFill>
                    <w14:schemeClr w14:val="tx1"/>
                  </w14:solidFill>
                </w14:textFill>
              </w:rPr>
              <w:t>砂土</w:t>
            </w:r>
          </w:p>
        </w:tc>
        <w:tc>
          <w:tcPr>
            <w:tcW w:w="1701" w:type="dxa"/>
            <w:shd w:val="clear" w:color="auto" w:fill="auto"/>
          </w:tcPr>
          <w:p>
            <w:pPr>
              <w:pStyle w:val="178"/>
              <w:rPr>
                <w:rFonts w:hint="eastAsia"/>
              </w:rPr>
            </w:pPr>
            <w:r>
              <w:rPr>
                <w:rFonts w:hint="eastAsia" w:hAnsi="宋体" w:cs="宋体"/>
                <w:szCs w:val="18"/>
              </w:rPr>
              <w:t>1.5</w:t>
            </w:r>
          </w:p>
        </w:tc>
        <w:tc>
          <w:tcPr>
            <w:tcW w:w="1701" w:type="dxa"/>
            <w:shd w:val="clear" w:color="auto" w:fill="auto"/>
          </w:tcPr>
          <w:p>
            <w:pPr>
              <w:pStyle w:val="178"/>
              <w:rPr>
                <w:rFonts w:hint="eastAsia"/>
              </w:rPr>
            </w:pPr>
            <w:r>
              <w:rPr>
                <w:rFonts w:hint="eastAsia" w:hAnsi="宋体" w:cs="宋体"/>
                <w:szCs w:val="18"/>
              </w:rPr>
              <w:t>0.75</w:t>
            </w:r>
          </w:p>
        </w:tc>
        <w:tc>
          <w:tcPr>
            <w:tcW w:w="4524" w:type="dxa"/>
            <w:vMerge w:val="continue"/>
            <w:shd w:val="clear" w:color="auto" w:fill="auto"/>
            <w:vAlign w:val="center"/>
          </w:tcPr>
          <w:p>
            <w:pPr>
              <w:pStyle w:val="178"/>
              <w:autoSpaceDE/>
              <w:autoSpaceDN/>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shd w:val="clear" w:color="auto" w:fill="auto"/>
          </w:tcPr>
          <w:p>
            <w:pPr>
              <w:pStyle w:val="178"/>
              <w:rPr>
                <w:rFonts w:hint="eastAsia"/>
              </w:rPr>
            </w:pPr>
            <w:r>
              <w:rPr>
                <w:rFonts w:hint="eastAsia" w:hAnsi="宋体" w:cs="宋体"/>
                <w:szCs w:val="18"/>
              </w:rPr>
              <w:t>壤土</w:t>
            </w:r>
          </w:p>
        </w:tc>
        <w:tc>
          <w:tcPr>
            <w:tcW w:w="1701" w:type="dxa"/>
            <w:shd w:val="clear" w:color="auto" w:fill="auto"/>
          </w:tcPr>
          <w:p>
            <w:pPr>
              <w:pStyle w:val="178"/>
              <w:rPr>
                <w:rFonts w:hint="eastAsia"/>
              </w:rPr>
            </w:pPr>
            <w:r>
              <w:rPr>
                <w:rFonts w:hint="eastAsia" w:hAnsi="宋体" w:cs="宋体"/>
                <w:szCs w:val="18"/>
              </w:rPr>
              <w:t>1</w:t>
            </w:r>
          </w:p>
        </w:tc>
        <w:tc>
          <w:tcPr>
            <w:tcW w:w="1701" w:type="dxa"/>
            <w:shd w:val="clear" w:color="auto" w:fill="auto"/>
          </w:tcPr>
          <w:p>
            <w:pPr>
              <w:pStyle w:val="178"/>
              <w:rPr>
                <w:rFonts w:hint="eastAsia"/>
              </w:rPr>
            </w:pPr>
            <w:r>
              <w:rPr>
                <w:rFonts w:hint="eastAsia" w:hAnsi="宋体" w:cs="宋体"/>
                <w:szCs w:val="18"/>
              </w:rPr>
              <w:t>0.85</w:t>
            </w:r>
          </w:p>
        </w:tc>
        <w:tc>
          <w:tcPr>
            <w:tcW w:w="4524" w:type="dxa"/>
            <w:vMerge w:val="continue"/>
            <w:shd w:val="clear" w:color="auto" w:fill="auto"/>
            <w:vAlign w:val="center"/>
          </w:tcPr>
          <w:p>
            <w:pPr>
              <w:pStyle w:val="178"/>
              <w:autoSpaceDE/>
              <w:autoSpaceDN/>
              <w:rPr>
                <w:rFonts w:hint="eastAsia"/>
              </w:rPr>
            </w:pPr>
          </w:p>
        </w:tc>
      </w:tr>
    </w:tbl>
    <w:p>
      <w:pPr>
        <w:pStyle w:val="56"/>
        <w:ind w:firstLine="0" w:firstLineChars="0"/>
        <w:rPr>
          <w:rFonts w:hint="eastAsia"/>
        </w:rPr>
      </w:pPr>
    </w:p>
    <w:p>
      <w:pPr>
        <w:pStyle w:val="167"/>
      </w:pPr>
      <w:r>
        <w:rPr>
          <w:rFonts w:hint="eastAsia"/>
        </w:rPr>
        <w:t>新垦耕地用量</w:t>
      </w:r>
      <w:r>
        <w:t>可</w:t>
      </w:r>
      <w:r>
        <w:rPr>
          <w:rFonts w:hint="eastAsia"/>
        </w:rPr>
        <w:t>在同等情况下增加一倍</w:t>
      </w:r>
      <w:r>
        <w:t>。</w:t>
      </w:r>
    </w:p>
    <w:p>
      <w:pPr>
        <w:pStyle w:val="65"/>
        <w:spacing w:before="156" w:after="156"/>
        <w:rPr>
          <w:rFonts w:hint="eastAsia"/>
        </w:rPr>
      </w:pPr>
      <w:r>
        <w:rPr>
          <w:rFonts w:hint="eastAsia"/>
        </w:rPr>
        <w:t>园地施用</w:t>
      </w:r>
    </w:p>
    <w:p>
      <w:pPr>
        <w:pStyle w:val="56"/>
        <w:autoSpaceDE/>
        <w:autoSpaceDN/>
        <w:ind w:firstLine="420"/>
        <w:rPr>
          <w:rFonts w:hint="eastAsia"/>
        </w:rPr>
      </w:pPr>
      <w:r>
        <w:rPr>
          <w:rFonts w:hint="eastAsia"/>
        </w:rPr>
        <w:t>年均用量350 kg</w:t>
      </w:r>
      <w:r>
        <w:rPr>
          <w:rFonts w:hint="eastAsia" w:hAnsi="宋体"/>
        </w:rPr>
        <w:t>～</w:t>
      </w:r>
      <w:r>
        <w:rPr>
          <w:rFonts w:hint="eastAsia"/>
        </w:rPr>
        <w:t>700kg /667 m</w:t>
      </w:r>
      <w:r>
        <w:rPr>
          <w:rFonts w:hint="eastAsia"/>
          <w:vertAlign w:val="superscript"/>
        </w:rPr>
        <w:t>2</w:t>
      </w:r>
      <w:r>
        <w:rPr>
          <w:rFonts w:hint="eastAsia"/>
        </w:rPr>
        <w:t>（亩）为宜。</w:t>
      </w:r>
    </w:p>
    <w:p>
      <w:pPr>
        <w:pStyle w:val="65"/>
        <w:spacing w:before="156" w:after="156"/>
        <w:rPr>
          <w:rFonts w:hint="eastAsia"/>
        </w:rPr>
      </w:pPr>
      <w:r>
        <w:rPr>
          <w:rFonts w:hint="eastAsia"/>
        </w:rPr>
        <w:t>林草地施用</w:t>
      </w:r>
    </w:p>
    <w:p>
      <w:pPr>
        <w:pStyle w:val="56"/>
        <w:autoSpaceDE/>
        <w:autoSpaceDN/>
        <w:ind w:firstLine="420"/>
      </w:pPr>
      <w:r>
        <w:rPr>
          <w:rFonts w:hint="eastAsia"/>
        </w:rPr>
        <w:t>年均用量根据植物长势确定，不宜超过2 t/667 m</w:t>
      </w:r>
      <w:r>
        <w:rPr>
          <w:rFonts w:hint="eastAsia"/>
          <w:vertAlign w:val="superscript"/>
        </w:rPr>
        <w:t>2</w:t>
      </w:r>
      <w:r>
        <w:rPr>
          <w:rFonts w:hint="eastAsia"/>
        </w:rPr>
        <w:t>（亩）。</w:t>
      </w:r>
    </w:p>
    <w:p>
      <w:pPr>
        <w:pStyle w:val="104"/>
        <w:spacing w:before="312" w:after="312"/>
      </w:pPr>
      <w:r>
        <w:rPr>
          <w:rFonts w:hint="eastAsia"/>
        </w:rPr>
        <w:t>施</w:t>
      </w:r>
      <w:r>
        <w:rPr>
          <w:rFonts w:hint="eastAsia"/>
          <w:lang w:val="en-US" w:eastAsia="zh-CN"/>
        </w:rPr>
        <w:t>用</w:t>
      </w:r>
      <w:bookmarkStart w:id="46" w:name="_GoBack"/>
      <w:bookmarkEnd w:id="46"/>
      <w:r>
        <w:rPr>
          <w:rFonts w:hint="eastAsia"/>
        </w:rPr>
        <w:t>管理</w:t>
      </w:r>
    </w:p>
    <w:p>
      <w:pPr>
        <w:pStyle w:val="56"/>
        <w:autoSpaceDE/>
        <w:autoSpaceDN/>
        <w:ind w:firstLine="420"/>
      </w:pPr>
      <w:r>
        <w:t>因</w:t>
      </w:r>
      <w:r>
        <w:rPr>
          <w:rFonts w:hint="eastAsia"/>
        </w:rPr>
        <w:t>易腐垃圾肥料化施用，导致以下情形发生时，应立即停止施用，并向当地农业主管部门报告。</w:t>
      </w:r>
    </w:p>
    <w:p>
      <w:pPr>
        <w:pStyle w:val="174"/>
      </w:pPr>
      <w:r>
        <w:rPr>
          <w:rFonts w:hint="eastAsia"/>
        </w:rPr>
        <w:t>作物产量下降；</w:t>
      </w:r>
    </w:p>
    <w:p>
      <w:pPr>
        <w:pStyle w:val="174"/>
      </w:pPr>
      <w:r>
        <w:rPr>
          <w:rFonts w:hint="eastAsia"/>
        </w:rPr>
        <w:t>土壤可溶性总盐含量达到3.0 g/k</w:t>
      </w:r>
      <w:r>
        <w:t>g以上</w:t>
      </w:r>
      <w:r>
        <w:rPr>
          <w:rFonts w:hint="eastAsia"/>
        </w:rPr>
        <w:t>；</w:t>
      </w:r>
    </w:p>
    <w:p>
      <w:pPr>
        <w:pStyle w:val="174"/>
      </w:pPr>
      <w:r>
        <w:rPr>
          <w:rFonts w:hint="eastAsia"/>
        </w:rPr>
        <w:t>农产品中的重金属元素等有毒有害物质含量达到食品卫生标准所允许的最大限量值</w:t>
      </w:r>
      <w:r>
        <w:t>，或</w:t>
      </w:r>
      <w:r>
        <w:rPr>
          <w:rFonts w:hint="eastAsia"/>
        </w:rPr>
        <w:t>农田土壤筛选值</w:t>
      </w:r>
      <w:r>
        <w:t>中</w:t>
      </w:r>
      <w:r>
        <w:rPr>
          <w:rFonts w:hint="eastAsia"/>
        </w:rPr>
        <w:t>土壤重金属含量</w:t>
      </w:r>
      <w:r>
        <w:t>超过</w:t>
      </w:r>
      <w:r>
        <w:rPr>
          <w:rFonts w:hint="eastAsia"/>
        </w:rPr>
        <w:t>G</w:t>
      </w:r>
      <w:r>
        <w:t>B 15618限量值。</w:t>
      </w:r>
    </w:p>
    <w:p>
      <w:pPr>
        <w:pStyle w:val="56"/>
        <w:ind w:firstLine="0" w:firstLineChars="0"/>
        <w:rPr>
          <w:rFonts w:hint="eastAsia"/>
        </w:rPr>
      </w:pPr>
    </w:p>
    <w:bookmarkEnd w:id="22"/>
    <w:p>
      <w:pPr>
        <w:pStyle w:val="56"/>
        <w:ind w:firstLine="0" w:firstLineChars="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bookmarkStart w:id="44" w:name="BookMark6"/>
    </w:p>
    <w:p>
      <w:pPr>
        <w:pStyle w:val="63"/>
        <w:spacing w:after="156"/>
        <w:rPr>
          <w:rFonts w:hint="eastAsia"/>
        </w:rPr>
      </w:pPr>
      <w:r>
        <w:rPr>
          <w:rFonts w:hint="eastAsia"/>
          <w:spacing w:val="105"/>
        </w:rPr>
        <w:t>参考文</w:t>
      </w:r>
      <w:r>
        <w:rPr>
          <w:rFonts w:hint="eastAsia"/>
        </w:rPr>
        <w:t>献</w:t>
      </w:r>
    </w:p>
    <w:p>
      <w:pPr>
        <w:pStyle w:val="56"/>
        <w:ind w:firstLine="420"/>
        <w:rPr>
          <w:rFonts w:hint="eastAsia"/>
        </w:rPr>
      </w:pPr>
      <w:r>
        <w:rPr>
          <w:rFonts w:hint="eastAsia"/>
        </w:rPr>
        <w:t xml:space="preserve">[1] </w:t>
      </w:r>
      <w:r>
        <w:t xml:space="preserve"> </w:t>
      </w:r>
      <w:r>
        <w:rPr>
          <w:rFonts w:hint="eastAsia"/>
        </w:rPr>
        <w:t xml:space="preserve">DB33/T1166—2019 </w:t>
      </w:r>
      <w:r>
        <w:t xml:space="preserve"> </w:t>
      </w:r>
      <w:r>
        <w:rPr>
          <w:rFonts w:hint="eastAsia"/>
        </w:rPr>
        <w:t>城镇生活垃圾分类标准</w:t>
      </w:r>
    </w:p>
    <w:bookmarkEnd w:id="44"/>
    <w:p>
      <w:pPr>
        <w:pStyle w:val="56"/>
        <w:ind w:firstLine="0" w:firstLineChars="0"/>
        <w:jc w:val="center"/>
        <w:rPr>
          <w:rFonts w:hint="eastAsia"/>
        </w:rPr>
      </w:pPr>
      <w:bookmarkStart w:id="45" w:name="BookMark8"/>
      <w:r>
        <w:rPr>
          <w:rFonts w:hint="eastAsia"/>
        </w:rPr>
        <w:drawing>
          <wp:inline distT="0" distB="0" distL="0" distR="0">
            <wp:extent cx="1485900" cy="317500"/>
            <wp:effectExtent l="0" t="0" r="0" b="6350"/>
            <wp:docPr id="1682124432" name="图片 1"/>
            <wp:cNvGraphicFramePr/>
            <a:graphic xmlns:a="http://schemas.openxmlformats.org/drawingml/2006/main">
              <a:graphicData uri="http://schemas.openxmlformats.org/drawingml/2006/picture">
                <pic:pic xmlns:pic="http://schemas.openxmlformats.org/drawingml/2006/picture">
                  <pic:nvPicPr>
                    <pic:cNvPr id="1682124432"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DB3301/T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DB3301/T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DB3301/T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DB3301/T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yNjU2MjA3MDI4NjU2MjdkMTk3MTcyMWJiZGJkZWIifQ=="/>
  </w:docVars>
  <w:rsids>
    <w:rsidRoot w:val="003867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77B"/>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A39"/>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49B"/>
    <w:rsid w:val="00A0096C"/>
    <w:rsid w:val="00A01757"/>
    <w:rsid w:val="00A028C0"/>
    <w:rsid w:val="00A02BAE"/>
    <w:rsid w:val="00A03EF4"/>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2E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02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autoRedefine/>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段 Char"/>
    <w:link w:val="231"/>
    <w:autoRedefine/>
    <w:qFormat/>
    <w:uiPriority w:val="0"/>
    <w:rPr>
      <w:rFonts w:ascii="宋体"/>
      <w:sz w:val="21"/>
    </w:rPr>
  </w:style>
  <w:style w:type="paragraph" w:customStyle="1" w:styleId="231">
    <w:name w:val="段"/>
    <w:link w:val="230"/>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章标题"/>
    <w:next w:val="231"/>
    <w:link w:val="233"/>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233">
    <w:name w:val="章标题 Char"/>
    <w:link w:val="232"/>
    <w:autoRedefine/>
    <w:qFormat/>
    <w:uiPriority w:val="0"/>
    <w:rPr>
      <w:rFonts w:ascii="黑体" w:hAnsi="Times New Roman"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FC701DF38F4A7CBAC93F9027A3BE9F"/>
        <w:style w:val=""/>
        <w:category>
          <w:name w:val="常规"/>
          <w:gallery w:val="placeholder"/>
        </w:category>
        <w:types>
          <w:type w:val="bbPlcHdr"/>
        </w:types>
        <w:behaviors>
          <w:behavior w:val="content"/>
        </w:behaviors>
        <w:description w:val=""/>
        <w:guid w:val="{1A6D653C-AB20-4228-8E32-544966E39F48}"/>
      </w:docPartPr>
      <w:docPartBody>
        <w:p>
          <w:pPr>
            <w:pStyle w:val="5"/>
          </w:pPr>
          <w:r>
            <w:rPr>
              <w:rStyle w:val="4"/>
              <w:rFonts w:hint="eastAsia"/>
            </w:rPr>
            <w:t>单击或点击此处输入文字。</w:t>
          </w:r>
        </w:p>
      </w:docPartBody>
    </w:docPart>
    <w:docPart>
      <w:docPartPr>
        <w:name w:val="79E078CE77D740B48A3E1A799E7B0CEE"/>
        <w:style w:val=""/>
        <w:category>
          <w:name w:val="常规"/>
          <w:gallery w:val="placeholder"/>
        </w:category>
        <w:types>
          <w:type w:val="bbPlcHdr"/>
        </w:types>
        <w:behaviors>
          <w:behavior w:val="content"/>
        </w:behaviors>
        <w:description w:val=""/>
        <w:guid w:val="{5E5FE417-C6FC-45ED-87C9-CC1FCF1DC0E1}"/>
      </w:docPartPr>
      <w:docPartBody>
        <w:p>
          <w:pPr>
            <w:pStyle w:val="6"/>
          </w:pPr>
          <w:r>
            <w:rPr>
              <w:rStyle w:val="4"/>
              <w:rFonts w:hint="eastAsia"/>
            </w:rPr>
            <w:t>选择一项。</w:t>
          </w:r>
        </w:p>
      </w:docPartBody>
    </w:docPart>
    <w:docPart>
      <w:docPartPr>
        <w:name w:val="B99ECE623CAB47889F3288EA291ADE08"/>
        <w:style w:val=""/>
        <w:category>
          <w:name w:val="常规"/>
          <w:gallery w:val="placeholder"/>
        </w:category>
        <w:types>
          <w:type w:val="bbPlcHdr"/>
        </w:types>
        <w:behaviors>
          <w:behavior w:val="content"/>
        </w:behaviors>
        <w:description w:val=""/>
        <w:guid w:val="{02B74642-A19D-46A5-B122-5628E033CB2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E7"/>
    <w:rsid w:val="0066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1BFC701DF38F4A7CBAC93F9027A3BE9F"/>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9E078CE77D740B48A3E1A799E7B0CE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B99ECE623CAB47889F3288EA291ADE0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960</Words>
  <Characters>1202</Characters>
  <Lines>200</Lines>
  <Paragraphs>180</Paragraphs>
  <TotalTime>22</TotalTime>
  <ScaleCrop>false</ScaleCrop>
  <LinksUpToDate>false</LinksUpToDate>
  <CharactersWithSpaces>1982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2024-01-17T07:40:00Z</dcterms:created>
  <dc:creator>Administrator</dc:creator>
  <dc:description>&lt;config cover="true" show_menu="true" version="1.0.0" doctype="SDKXY"&gt;_x000d_
&lt;/config&gt;</dc:description>
  <cp:lastModifiedBy>然后</cp:lastModifiedBy>
  <cp:lastPrinted>2020-08-30T10:00:00Z</cp:lastPrinted>
  <dcterms:modified xsi:type="dcterms:W3CDTF">2024-01-18T08:31:32Z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94526B57C94548C4AC91032FA34AA939_12</vt:lpwstr>
  </property>
</Properties>
</file>