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735" w:rightChars="350"/>
        <w:rPr>
          <w:rFonts w:ascii="Times New Roman" w:hAnsi="Times New Roman" w:eastAsia="方正黑体_GBK"/>
          <w:color w:val="000000"/>
          <w:sz w:val="32"/>
          <w:szCs w:val="32"/>
        </w:rPr>
      </w:pPr>
      <w:r>
        <w:rPr>
          <w:rFonts w:ascii="Times New Roman" w:hAnsi="Times New Roman" w:eastAsia="方正黑体_GBK"/>
          <w:color w:val="000000"/>
          <w:sz w:val="32"/>
          <w:szCs w:val="32"/>
        </w:rPr>
        <w:t>附件</w:t>
      </w:r>
    </w:p>
    <w:p>
      <w:pPr>
        <w:spacing w:before="120" w:beforeLines="50" w:after="360" w:afterLines="150" w:line="600" w:lineRule="exact"/>
        <w:jc w:val="center"/>
        <w:rPr>
          <w:rFonts w:hint="eastAsia" w:ascii="Times New Roman" w:hAnsi="Times New Roman" w:eastAsia="方正小标宋_GBK"/>
          <w:bCs/>
          <w:color w:val="000000"/>
          <w:kern w:val="0"/>
          <w:sz w:val="44"/>
          <w:szCs w:val="44"/>
        </w:rPr>
      </w:pPr>
      <w:r>
        <w:rPr>
          <w:rFonts w:hint="eastAsia" w:ascii="Times New Roman" w:hAnsi="Times New Roman" w:eastAsia="方正小标宋_GBK"/>
          <w:bCs/>
          <w:color w:val="000000"/>
          <w:kern w:val="0"/>
          <w:sz w:val="44"/>
          <w:szCs w:val="44"/>
        </w:rPr>
        <w:t>2024年第1批地方标准制定项目立项计划表</w:t>
      </w:r>
    </w:p>
    <w:tbl>
      <w:tblPr>
        <w:tblStyle w:val="6"/>
        <w:tblW w:w="14332" w:type="dxa"/>
        <w:jc w:val="center"/>
        <w:tblInd w:w="0" w:type="dxa"/>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
      <w:tblGrid>
        <w:gridCol w:w="619"/>
        <w:gridCol w:w="4300"/>
        <w:gridCol w:w="3059"/>
        <w:gridCol w:w="2667"/>
        <w:gridCol w:w="2673"/>
        <w:gridCol w:w="1014"/>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blHeader/>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b/>
                <w:color w:val="000000"/>
                <w:kern w:val="0"/>
                <w:sz w:val="24"/>
                <w:szCs w:val="24"/>
              </w:rPr>
            </w:pPr>
            <w:r>
              <w:rPr>
                <w:rFonts w:hint="eastAsia" w:ascii="Times New Roman" w:hAnsi="Times New Roman" w:eastAsia="方正仿宋_GBK" w:cs="宋体"/>
                <w:b/>
                <w:color w:val="000000"/>
                <w:kern w:val="0"/>
                <w:sz w:val="24"/>
                <w:szCs w:val="24"/>
              </w:rPr>
              <w:t>序号</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b/>
                <w:color w:val="000000"/>
                <w:kern w:val="0"/>
                <w:sz w:val="24"/>
                <w:szCs w:val="24"/>
              </w:rPr>
            </w:pPr>
            <w:r>
              <w:rPr>
                <w:rFonts w:hint="eastAsia" w:ascii="Times New Roman" w:hAnsi="Times New Roman" w:eastAsia="方正仿宋_GBK" w:cs="宋体"/>
                <w:b/>
                <w:color w:val="000000"/>
                <w:kern w:val="0"/>
                <w:sz w:val="24"/>
                <w:szCs w:val="24"/>
              </w:rPr>
              <w:t>项目名称</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b/>
                <w:color w:val="000000"/>
                <w:kern w:val="0"/>
                <w:sz w:val="24"/>
                <w:szCs w:val="24"/>
              </w:rPr>
            </w:pPr>
            <w:r>
              <w:rPr>
                <w:rFonts w:hint="eastAsia" w:ascii="Times New Roman" w:hAnsi="Times New Roman" w:eastAsia="方正仿宋_GBK" w:cs="宋体"/>
                <w:b/>
                <w:color w:val="000000"/>
                <w:kern w:val="0"/>
                <w:sz w:val="24"/>
                <w:szCs w:val="24"/>
              </w:rPr>
              <w:t>承担单位</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b/>
                <w:color w:val="000000"/>
                <w:kern w:val="0"/>
                <w:sz w:val="24"/>
                <w:szCs w:val="24"/>
              </w:rPr>
            </w:pPr>
            <w:r>
              <w:rPr>
                <w:rFonts w:hint="eastAsia" w:ascii="Times New Roman" w:hAnsi="Times New Roman" w:eastAsia="方正仿宋_GBK" w:cs="宋体"/>
                <w:b/>
                <w:color w:val="000000"/>
                <w:kern w:val="0"/>
                <w:sz w:val="24"/>
                <w:szCs w:val="24"/>
              </w:rPr>
              <w:t>行业主管部门</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b/>
                <w:color w:val="000000"/>
                <w:kern w:val="0"/>
                <w:sz w:val="24"/>
                <w:szCs w:val="24"/>
              </w:rPr>
            </w:pPr>
            <w:r>
              <w:rPr>
                <w:rFonts w:hint="eastAsia" w:ascii="Times New Roman" w:hAnsi="Times New Roman" w:eastAsia="方正仿宋_GBK" w:cs="宋体"/>
                <w:b/>
                <w:color w:val="000000"/>
                <w:kern w:val="0"/>
                <w:sz w:val="24"/>
                <w:szCs w:val="24"/>
              </w:rPr>
              <w:t>归口单位</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b/>
                <w:color w:val="000000"/>
                <w:kern w:val="0"/>
                <w:sz w:val="24"/>
                <w:szCs w:val="24"/>
              </w:rPr>
            </w:pPr>
            <w:r>
              <w:rPr>
                <w:rFonts w:hint="eastAsia" w:ascii="Times New Roman" w:hAnsi="Times New Roman" w:eastAsia="方正仿宋_GBK" w:cs="宋体"/>
                <w:b/>
                <w:color w:val="000000"/>
                <w:kern w:val="0"/>
                <w:sz w:val="24"/>
                <w:szCs w:val="24"/>
              </w:rPr>
              <w:t>计划</w:t>
            </w:r>
          </w:p>
          <w:p>
            <w:pPr>
              <w:widowControl/>
              <w:spacing w:line="320" w:lineRule="exact"/>
              <w:ind w:left="-73" w:leftChars="-35" w:right="-73" w:rightChars="-35"/>
              <w:jc w:val="center"/>
              <w:rPr>
                <w:rFonts w:hint="eastAsia" w:ascii="Times New Roman" w:hAnsi="Times New Roman" w:eastAsia="方正仿宋_GBK" w:cs="宋体"/>
                <w:b/>
                <w:color w:val="000000"/>
                <w:kern w:val="0"/>
                <w:sz w:val="24"/>
                <w:szCs w:val="24"/>
              </w:rPr>
            </w:pPr>
            <w:r>
              <w:rPr>
                <w:rFonts w:hint="eastAsia" w:ascii="Times New Roman" w:hAnsi="Times New Roman" w:eastAsia="方正仿宋_GBK" w:cs="宋体"/>
                <w:b/>
                <w:color w:val="000000"/>
                <w:kern w:val="0"/>
                <w:sz w:val="24"/>
                <w:szCs w:val="24"/>
              </w:rPr>
              <w:t>周期</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能源工业互联网平台数据安全技术要求</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国网湖南省电力有限公司</w:t>
            </w:r>
          </w:p>
        </w:tc>
        <w:tc>
          <w:tcPr>
            <w:tcW w:w="2667" w:type="dxa"/>
            <w:shd w:val="clear" w:color="auto" w:fill="auto"/>
            <w:vAlign w:val="center"/>
          </w:tcPr>
          <w:p>
            <w:pPr>
              <w:widowControl/>
              <w:spacing w:line="31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中共湖南省委网络安全和信息化委员会办公室</w:t>
            </w:r>
          </w:p>
        </w:tc>
        <w:tc>
          <w:tcPr>
            <w:tcW w:w="2673" w:type="dxa"/>
            <w:shd w:val="clear" w:color="auto" w:fill="auto"/>
            <w:vAlign w:val="center"/>
          </w:tcPr>
          <w:p>
            <w:pPr>
              <w:widowControl/>
              <w:spacing w:line="31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中共湖南省委网络安全和信息化委员会办公室</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数据安全合规管理体系 要求</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湖南数据安全认证有限公司</w:t>
            </w:r>
          </w:p>
        </w:tc>
        <w:tc>
          <w:tcPr>
            <w:tcW w:w="2667" w:type="dxa"/>
            <w:shd w:val="clear" w:color="auto" w:fill="auto"/>
            <w:vAlign w:val="center"/>
          </w:tcPr>
          <w:p>
            <w:pPr>
              <w:widowControl/>
              <w:spacing w:line="31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中共湖南省委网络安全和信息化委员会办公室</w:t>
            </w:r>
          </w:p>
        </w:tc>
        <w:tc>
          <w:tcPr>
            <w:tcW w:w="2673" w:type="dxa"/>
            <w:shd w:val="clear" w:color="auto" w:fill="auto"/>
            <w:vAlign w:val="center"/>
          </w:tcPr>
          <w:p>
            <w:pPr>
              <w:widowControl/>
              <w:spacing w:line="31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中共湖南省委网络安全和信息化委员会办公室</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3</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电力物联网安全接入及检测技术要求</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国网湖南省电力有限公司</w:t>
            </w:r>
          </w:p>
        </w:tc>
        <w:tc>
          <w:tcPr>
            <w:tcW w:w="2667" w:type="dxa"/>
            <w:shd w:val="clear" w:color="auto" w:fill="auto"/>
            <w:vAlign w:val="center"/>
          </w:tcPr>
          <w:p>
            <w:pPr>
              <w:widowControl/>
              <w:spacing w:line="31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中共湖南省委网络安全和信息化委员会办公室</w:t>
            </w:r>
          </w:p>
        </w:tc>
        <w:tc>
          <w:tcPr>
            <w:tcW w:w="2673" w:type="dxa"/>
            <w:shd w:val="clear" w:color="auto" w:fill="auto"/>
            <w:vAlign w:val="center"/>
          </w:tcPr>
          <w:p>
            <w:pPr>
              <w:widowControl/>
              <w:spacing w:line="31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中共湖南省委网络安全和信息化委员会办公室</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4</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远传智能水表数据通讯安全技术规范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长沙供水有限公司</w:t>
            </w:r>
          </w:p>
        </w:tc>
        <w:tc>
          <w:tcPr>
            <w:tcW w:w="2667" w:type="dxa"/>
            <w:shd w:val="clear" w:color="auto" w:fill="auto"/>
            <w:vAlign w:val="center"/>
          </w:tcPr>
          <w:p>
            <w:pPr>
              <w:widowControl/>
              <w:spacing w:line="31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中共湖南省委网络安全和信息化委员会办公室</w:t>
            </w:r>
          </w:p>
        </w:tc>
        <w:tc>
          <w:tcPr>
            <w:tcW w:w="2673" w:type="dxa"/>
            <w:shd w:val="clear" w:color="auto" w:fill="auto"/>
            <w:vAlign w:val="center"/>
          </w:tcPr>
          <w:p>
            <w:pPr>
              <w:widowControl/>
              <w:spacing w:line="31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中共湖南省委网络安全和信息化委员会办公室</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5</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面向全流程业务的网络舆情信息分类与描述标准</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云目未来科技（湖南）责任有限公司</w:t>
            </w:r>
          </w:p>
        </w:tc>
        <w:tc>
          <w:tcPr>
            <w:tcW w:w="2667" w:type="dxa"/>
            <w:shd w:val="clear" w:color="auto" w:fill="auto"/>
            <w:vAlign w:val="center"/>
          </w:tcPr>
          <w:p>
            <w:pPr>
              <w:widowControl/>
              <w:spacing w:line="31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中共湖南省委网络安全和信息化委员会办公室</w:t>
            </w:r>
          </w:p>
        </w:tc>
        <w:tc>
          <w:tcPr>
            <w:tcW w:w="2673" w:type="dxa"/>
            <w:shd w:val="clear" w:color="auto" w:fill="auto"/>
            <w:vAlign w:val="center"/>
          </w:tcPr>
          <w:p>
            <w:pPr>
              <w:widowControl/>
              <w:spacing w:line="31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中共湖南省委网络安全和信息化委员会办公室</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6</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产业园区循环化改造减污降碳评价技术规范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湖南省循环经济研究会</w:t>
            </w:r>
          </w:p>
        </w:tc>
        <w:tc>
          <w:tcPr>
            <w:tcW w:w="2667" w:type="dxa"/>
            <w:shd w:val="clear" w:color="auto" w:fill="auto"/>
            <w:vAlign w:val="center"/>
          </w:tcPr>
          <w:p>
            <w:pPr>
              <w:widowControl/>
              <w:spacing w:line="320" w:lineRule="exact"/>
              <w:ind w:left="-105" w:leftChars="-50" w:right="-105" w:rightChars="-50"/>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湖南省发展和改革委员会</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湖南省循环经济标准化技术委员会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7</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电力电缆接地环流在线监测装置现场校验导则</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国网湖南省电力有限公司电力科学研究院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湖南省能源局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湖南省能源局</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8</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学校双重预防体系信息化系统建设指南</w:t>
            </w:r>
          </w:p>
        </w:tc>
        <w:tc>
          <w:tcPr>
            <w:tcW w:w="3059" w:type="dxa"/>
            <w:shd w:val="clear" w:color="auto" w:fill="auto"/>
            <w:vAlign w:val="center"/>
          </w:tcPr>
          <w:p>
            <w:pPr>
              <w:widowControl/>
              <w:spacing w:line="32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长沙手拉手信息技术有限公司</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湖南省教育厅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湖南省教育厅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9</w:t>
            </w:r>
          </w:p>
        </w:tc>
        <w:tc>
          <w:tcPr>
            <w:tcW w:w="4300" w:type="dxa"/>
            <w:shd w:val="clear" w:color="auto" w:fill="auto"/>
            <w:vAlign w:val="center"/>
          </w:tcPr>
          <w:p>
            <w:pPr>
              <w:widowControl/>
              <w:spacing w:line="31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学校安全风险分级管控和隐患排查治理双重预防体系建设效能评估规范</w:t>
            </w:r>
          </w:p>
        </w:tc>
        <w:tc>
          <w:tcPr>
            <w:tcW w:w="3059" w:type="dxa"/>
            <w:shd w:val="clear" w:color="auto" w:fill="auto"/>
            <w:vAlign w:val="center"/>
          </w:tcPr>
          <w:p>
            <w:pPr>
              <w:widowControl/>
              <w:spacing w:line="31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长沙手拉手信息技术有限公司</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湖南省教育厅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湖南省教育厅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10</w:t>
            </w:r>
          </w:p>
        </w:tc>
        <w:tc>
          <w:tcPr>
            <w:tcW w:w="4300" w:type="dxa"/>
            <w:shd w:val="clear" w:color="auto" w:fill="auto"/>
            <w:vAlign w:val="center"/>
          </w:tcPr>
          <w:p>
            <w:pPr>
              <w:widowControl/>
              <w:spacing w:line="31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学校安全风险分级管控和隐患排查治理双重预防体系建设通用规范</w:t>
            </w:r>
          </w:p>
        </w:tc>
        <w:tc>
          <w:tcPr>
            <w:tcW w:w="3059" w:type="dxa"/>
            <w:shd w:val="clear" w:color="auto" w:fill="auto"/>
            <w:vAlign w:val="center"/>
          </w:tcPr>
          <w:p>
            <w:pPr>
              <w:widowControl/>
              <w:spacing w:line="31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长沙手拉手信息技术有限公司</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湖南省教育厅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湖南省教育厅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11</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普通级实验用羊饲养环境及设施规范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湖南普瑞玛药物研究中心有限公司</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湖南省科学技术厅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湖南省科学技术厅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普通级实验用羊病原监测规范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湖南普瑞玛药物研究中心有限公司</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湖南省科学技术厅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湖南省科学技术厅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13</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科普基地管理与服务规范</w:t>
            </w:r>
          </w:p>
        </w:tc>
        <w:tc>
          <w:tcPr>
            <w:tcW w:w="3059" w:type="dxa"/>
            <w:shd w:val="clear" w:color="auto" w:fill="auto"/>
            <w:vAlign w:val="center"/>
          </w:tcPr>
          <w:p>
            <w:pPr>
              <w:widowControl/>
              <w:spacing w:line="32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湖南省振兴科普教育服务中心</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湖南省科学技术厅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湖南省科学技术厅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14</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生物科学科技伦理审查规范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中南大学湘雅医院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湖南省科学技术厅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湖南省科学技术厅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15</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科技伦理审查与监管平台建设指南</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长沙通诺信息科技有限责任公司</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湖南省科学技术厅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湖南省科学技术厅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16</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企业科技伦理审查规范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湖南省科学技术信息研究所</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湖南省科学技术厅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湖南省科学技术厅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17</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清洁级实验猫微生物等级与监测</w:t>
            </w:r>
          </w:p>
        </w:tc>
        <w:tc>
          <w:tcPr>
            <w:tcW w:w="3059" w:type="dxa"/>
            <w:shd w:val="clear" w:color="auto" w:fill="auto"/>
            <w:vAlign w:val="center"/>
          </w:tcPr>
          <w:p>
            <w:pPr>
              <w:widowControl/>
              <w:spacing w:line="32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湖南湃慈威生物技术有限公司</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湖南省科学技术厅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湖南省科学技术厅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18</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清洁级实验猫寄生虫学等级与监测</w:t>
            </w:r>
          </w:p>
        </w:tc>
        <w:tc>
          <w:tcPr>
            <w:tcW w:w="3059" w:type="dxa"/>
            <w:shd w:val="clear" w:color="auto" w:fill="auto"/>
            <w:vAlign w:val="center"/>
          </w:tcPr>
          <w:p>
            <w:pPr>
              <w:widowControl/>
              <w:spacing w:line="32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湖南湃慈威生物技术有限公司</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湖南省科学技术厅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湖南省科学技术厅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19</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创业导师服务规范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湖南省创客协会</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湖南省工业和信息化厅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湖南省工业和信息化厅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20</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校服号型 初中生</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湖南省服装行业协会</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湖南省工业和信息化厅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湖南省工业和信息化厅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21</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spacing w:val="-6"/>
                <w:kern w:val="0"/>
                <w:sz w:val="24"/>
                <w:szCs w:val="24"/>
              </w:rPr>
            </w:pPr>
            <w:r>
              <w:rPr>
                <w:rFonts w:hint="eastAsia" w:ascii="Times New Roman" w:hAnsi="Times New Roman" w:eastAsia="方正仿宋_GBK" w:cs="宋体"/>
                <w:color w:val="000000"/>
                <w:spacing w:val="-6"/>
                <w:kern w:val="0"/>
                <w:sz w:val="24"/>
                <w:szCs w:val="24"/>
              </w:rPr>
              <w:t>热障涂层模拟服役环境动态试验验证方法</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湖南江冶涂层技术有限公司</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湖南省工业和信息化厅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湖南省军民融合标准化技术委员会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22</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出口工程机械二手设备评估通则</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长沙市工程机械行业协会</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湖南省工业和信息化厅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湖南省工业和信息化厅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23</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出口工程机械二手设备评估服务规范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长沙市工程机械行业协会</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湖南省工业和信息化厅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湖南省工业和信息化厅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24</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磁浮车辆动力学性能验证和评价规范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中车株洲电力机车有限公司</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湖南省工业和信息化厅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湖南省新型城市轨道交通标准化技术委员会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685"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25</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汽车AEB试验技术规范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长沙立中汽车设计开发有限公司</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湖南省工业和信息化厅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湖南省新能源汽车检验检测标准化技术委员会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26</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面向工程机械混流柔性制造的智能仓储物流系统通用技术条件</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湖南中南智能装备有限公司</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湖南省工业和信息化厅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湖南智能制造标准化技术委员会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27</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常用塑料量器及特殊塑料量器校准规范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广电计量检测（湖南）有限公司</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湖南省工业和信息化厅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湖南省仪器仪表标准化技术委员会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28</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稻米中镉、铅、总砷的快速测定固体进样电热蒸发原子荧光光谱法</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长沙开元弘盛科技有限公司</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湖南省工业和信息化厅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湖南省仪器仪表标准化技术委员会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29</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半预制合成材料面层运动场地面层通用技术要求</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湖南省产商品质量检验研究院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湖南省工业和信息化厅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湖南省工业和信息化厅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30</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变电站智能巡检运维规范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湘能楚天电力科技有感公司</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湖南省工业和信息化厅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湖南省工业和信息化厅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668"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31</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居民小区有序充电设施与电网交换技术要求</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国网湖南省电力有限公司供电服务中心（计量中心）</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湖南省工业和信息化厅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湖南省工业和信息化厅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669"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32</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居民小区有序充电设施与电网交互通信协议</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国网湖南省电力有限公司供电服务中心（计量中心）</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湖南省工业和信息化厅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湖南省工业和信息化厅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669"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33</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有色金属资源回收利用减碳量评估技术指南</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湖南省循环经济研究会</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湖南省工业和信息化厅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湖南省循环经济标准化技术委员会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34</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工业企业碳管理体系实施指南</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湖南省循环经济研究会</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湖南省工业和信息化厅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湖南省循环经济标准化技术委员会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35</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产品碳足迹评价通则</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湖南柯林瀚特技术服务有限公司</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湖南省工业和信息化厅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湖南省工业和信息化厅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36</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底泥污染治理二次污染防治技术规范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湖南新九方科技有限公司</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湖南省工业和信息化厅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湖南省污染治理标准化技术委员会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37</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双桡龙舟</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湖南工艺美术职业学院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湖南省民族宗教事务委员会</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湖南省服务标准化技术委员会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38</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儿童福利机构心理健康服务规范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湖南省知绘心理健康服务发展中心</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湖南省民政厅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湖南省民政厅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39</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精神障碍社区康复服务规范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长沙市第三社会福利院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湖南省民政厅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湖南省民政厅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40</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养老机构老年人身体约束护理规范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湖南中医药大学</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湖南省民政厅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湖南省民政厅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41</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示范性街道综合养老服务中心运营管理规范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长沙民政职业技术学院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湖南省民政厅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湖南省民政厅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42</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矿产资源资产清查技术规程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湖南省地质调查所</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湖南省自然资源厅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湖南省自然资源厅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43</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全民所有农用地资源资产清查技术规程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湖南省地质调查所</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湖南省自然资源厅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湖南省自然资源厅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44</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中深层地热能钻井综合技术规范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湖南省工程地质矿山地质调查监测所</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湖南省自然资源厅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湖南省自然资源厅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45</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城镇开发边界内详细规划数据库规范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湖南省国土资源规划院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湖南省自然资源厅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湖南省自然资源厅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46</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工业企业挥发性有机物排放标准</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中国环境科学研究院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湖南省生态环境厅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湖南省生态环境厅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47</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入河排污口溯源技术指南</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湖南省环境保护科学研究院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湖南省生态环境厅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湖南省生态环境厅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48</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蓝藻水华预警监测与分级处置技术规范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湖南省生态环境监测中心</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湖南省生态环境厅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湖南省生态环境厅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49</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水生态环境管控分区划定技术指南</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湖南省生态环境事务中心</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湖南省生态环境厅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湖南省生态环境厅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50</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新污染物环境调查监测技术指南</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中国环境科学研究院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湖南省生态环境厅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湖南省生态环境厅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51</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伴生放射性矿开发利用企业辐射环境管理规范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核工业二三○研究所</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湖南省生态环境厅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湖南省生态环境厅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52</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在产企业、园区地下水污染风险监管及预警管控技术指南</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湖南中森环境科技有限公司</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湖南省生态环境厅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湖南省生态环境厅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53</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城乡客运一体化创建及运营标准</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长沙阡陌交通规划设计有限公司</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湖南省交通运输厅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湖南省交通运输厅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54</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干散货码头环保措施技术规程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湖南省交通规划勘察设计院有限公司</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湖南省交通运输厅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湖南省交通运输厅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55</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交通运输站（场）充电设施建设与运行服务规范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长沙民政职业技术学院、湖南天涛科技有限公司</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湖南省交通运输厅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湖南省交通运输厅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56</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道路运输碳排放核算方法及定额</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中南林业科技大学</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湖南省交通运输厅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湖南省交通运输厅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57</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天然沥青改性沥青路面应用技术规范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长沙理工大学</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湖南省交通运输厅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湖南省交通运输厅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58</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小流域划分规范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湖南省水利水电科学研究院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湖南省水利厅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湖南省水利厅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59</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幸福河湖建设成效评估指南</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湖南省水利水电科学研究院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湖南省水利厅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湖南省水利厅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60</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大中型水库工程标准化管理规程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湖南省水利水电科学研究院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湖南省水利厅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湖南省水利厅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61</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农村供水工程标准化管理评价规范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长沙市水质检测中心</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湖南省水利厅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湖南省水利厅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62</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浙贝母病虫害综合防控技术规程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湖南农业大学</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63</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宁乡猪品种选育标准技术规程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湖南农业大学</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651"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64</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饲料桑枝叶青贮技术规程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湖南农业大学</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651"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65</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池塘渔稻种养技术规范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湖南农业大学</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66</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油茶林下白芷间套作栽培技术规程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湖南农业大学</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651"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67</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大豆玉米带状复合种植病虫草害综合防控技术规程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湖南农业大学</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68</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外来入侵植物凤眼蓝综合防控技术规程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湖南农业大学</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651"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69</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稻田福寿螺监测技术规程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湖南农业大学</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651"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70</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湖南黄茶自动化加工技术规程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湖南农业大学</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71</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烟叶秸秆还田技术规程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湖南农业大学</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651"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72</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烟-粮协同轮作技术规程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湖南农业大学</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73</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稻鱼鳝立体种养技术规程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湖南农业大学</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651"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74</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农田生态系统生物多样性监测技术规程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湖南农业大学</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75</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牛疥螨病诊断及防治技术规程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湖南省畜牧兽医研究所</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651"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76</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荷斯坦奶牛犊牛健康养殖技术规程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湖南省畜牧兽医研究所</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651"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77</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家禽精液菌落总数控制技术规范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湖南省畜牧兽医研究所</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78</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水稻秸秆加工储藏技术规范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湖南省畜牧兽医研究所</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651"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79</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艾蒿栽培技术规程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湖南人文科技学院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80</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紫鹊界贡稻增香栽培技术规程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湖南人文科技学院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651"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81</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砧用南瓜耐低温鉴定技术规程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湖南省蔬菜研究所</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651"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82</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番茄良种繁育技术规程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湖南省蔬菜研究所</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83</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水产养殖环境中（水体、底泥）丁香酚的测定 液相色谱—串联质谱法</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湖南省水产科学研究所</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651"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84</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渔业水体中草胺膦和草甘膦及其代谢物的测定 液相色谱—串联质谱法</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湖南省水产科学研究所</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85</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鳜饲料驯化技术规程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湖南省水产科学研究所</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651"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86</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柑橘病虫害减药防控技术规程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湖南省园艺研究所</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87</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金湘玉黄桃栽培技术规程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湖南省园艺研究所</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88</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三叶木通栽培技术规程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湖南省园艺研究所</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89</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棉花生产全程机械化技术规程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湖南省棉花科学研究所</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90</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花䱻苗种繁育技术规程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湖南生物机电职业技术学院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91</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玉竹片加工技术规程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湖南省农业环境生态研究所</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92</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屠宰企业抗生素多残留快速检测法-微生物抑制法</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长沙市农产品质量监测中心</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93</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大球盖菇菌种制作技术规程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湖南省微生物研究院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94</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合方鲫2号养殖技术规程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湖南师范大学</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95</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合方鲫种质生态化保存技术规程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湖南师范大学</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96</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洞庭湖区棉花套种甜瓜栽培技术规程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常德市农林科学研究院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97</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花蜜香湖南红茶加工技术规范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湖南省茶叶研究所</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98</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湘莲连作障碍消减技术规程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湖南省植物保护研究所</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99</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汝城白毛茶种苗高效繁育技术规程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郴州市农业科学研究所</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100</w:t>
            </w:r>
          </w:p>
        </w:tc>
        <w:tc>
          <w:tcPr>
            <w:tcW w:w="4300" w:type="dxa"/>
            <w:shd w:val="clear" w:color="auto" w:fill="auto"/>
            <w:vAlign w:val="center"/>
          </w:tcPr>
          <w:p>
            <w:pPr>
              <w:widowControl/>
              <w:spacing w:line="320" w:lineRule="exact"/>
              <w:ind w:left="-105" w:leftChars="-50" w:right="-105" w:rightChars="-50"/>
              <w:jc w:val="center"/>
              <w:rPr>
                <w:rFonts w:hint="eastAsia" w:ascii="Times New Roman" w:hAnsi="Times New Roman" w:eastAsia="方正仿宋_GBK" w:cs="宋体"/>
                <w:color w:val="000000"/>
                <w:spacing w:val="-4"/>
                <w:kern w:val="0"/>
                <w:sz w:val="24"/>
                <w:szCs w:val="24"/>
              </w:rPr>
            </w:pPr>
            <w:r>
              <w:rPr>
                <w:rFonts w:hint="eastAsia" w:ascii="Times New Roman" w:hAnsi="Times New Roman" w:eastAsia="方正仿宋_GBK" w:cs="宋体"/>
                <w:color w:val="000000"/>
                <w:spacing w:val="-4"/>
                <w:kern w:val="0"/>
                <w:sz w:val="24"/>
                <w:szCs w:val="24"/>
              </w:rPr>
              <w:t>葡萄避雨栽培生产质量安全控制技术规范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郴州市农业科学研究所</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101</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低镉水稻功能叶保护技术规程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湖南省水稻研究所</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102</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第三代杂交水稻制种技术标准</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湖南杂交水稻研究中心</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103</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烟后优质晚稻栽培技术规程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湖南省水稻研究所</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104</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桑枝裂褶菌生产技术规程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湖南省蚕桑科学研究所</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105</w:t>
            </w:r>
          </w:p>
        </w:tc>
        <w:tc>
          <w:tcPr>
            <w:tcW w:w="4300" w:type="dxa"/>
            <w:shd w:val="clear" w:color="auto" w:fill="auto"/>
            <w:vAlign w:val="center"/>
          </w:tcPr>
          <w:p>
            <w:pPr>
              <w:widowControl/>
              <w:spacing w:line="320" w:lineRule="exact"/>
              <w:ind w:left="-105" w:leftChars="-50" w:right="-105" w:rightChars="-50"/>
              <w:jc w:val="center"/>
              <w:rPr>
                <w:rFonts w:hint="eastAsia" w:ascii="Times New Roman" w:hAnsi="Times New Roman" w:eastAsia="方正仿宋_GBK" w:cs="宋体"/>
                <w:color w:val="000000"/>
                <w:spacing w:val="-4"/>
                <w:kern w:val="0"/>
                <w:sz w:val="24"/>
                <w:szCs w:val="24"/>
              </w:rPr>
            </w:pPr>
            <w:r>
              <w:rPr>
                <w:rFonts w:hint="eastAsia" w:ascii="Times New Roman" w:hAnsi="Times New Roman" w:eastAsia="方正仿宋_GBK" w:cs="宋体"/>
                <w:color w:val="000000"/>
                <w:spacing w:val="-4"/>
                <w:kern w:val="0"/>
                <w:sz w:val="24"/>
                <w:szCs w:val="24"/>
              </w:rPr>
              <w:t>规模猪场猪流行性腹泻免疫防控技术规程</w:t>
            </w:r>
          </w:p>
        </w:tc>
        <w:tc>
          <w:tcPr>
            <w:tcW w:w="3059" w:type="dxa"/>
            <w:shd w:val="clear" w:color="auto" w:fill="auto"/>
            <w:vAlign w:val="center"/>
          </w:tcPr>
          <w:p>
            <w:pPr>
              <w:widowControl/>
              <w:spacing w:line="32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湖南省动物疫病预防控制中心</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106</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山银花茶加工技术规程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湖南省林业科学院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107</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紫薇栽培技术规程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湖南省林业科学院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108</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羊口疮病诊断与防治技术规程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浏阳市农业发展事务中心</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109</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牛粪发酵与有机肥生产技术规程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浏阳市农业发展事务中心</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110</w:t>
            </w:r>
          </w:p>
        </w:tc>
        <w:tc>
          <w:tcPr>
            <w:tcW w:w="4300" w:type="dxa"/>
            <w:shd w:val="clear" w:color="auto" w:fill="auto"/>
            <w:vAlign w:val="center"/>
          </w:tcPr>
          <w:p>
            <w:pPr>
              <w:widowControl/>
              <w:spacing w:line="320" w:lineRule="exact"/>
              <w:ind w:left="-105" w:leftChars="-50" w:right="-105" w:rightChars="-50"/>
              <w:jc w:val="center"/>
              <w:rPr>
                <w:rFonts w:hint="eastAsia" w:ascii="Times New Roman" w:hAnsi="Times New Roman" w:eastAsia="方正仿宋_GBK" w:cs="宋体"/>
                <w:color w:val="000000"/>
                <w:spacing w:val="-4"/>
                <w:kern w:val="0"/>
                <w:sz w:val="24"/>
                <w:szCs w:val="24"/>
              </w:rPr>
            </w:pPr>
            <w:r>
              <w:rPr>
                <w:rFonts w:hint="eastAsia" w:ascii="Times New Roman" w:hAnsi="Times New Roman" w:eastAsia="方正仿宋_GBK" w:cs="宋体"/>
                <w:color w:val="000000"/>
                <w:spacing w:val="-4"/>
                <w:kern w:val="0"/>
                <w:sz w:val="24"/>
                <w:szCs w:val="24"/>
              </w:rPr>
              <w:t>湘东黑山羊传染性胸膜肺炎防治技术规范</w:t>
            </w:r>
          </w:p>
        </w:tc>
        <w:tc>
          <w:tcPr>
            <w:tcW w:w="3059" w:type="dxa"/>
            <w:shd w:val="clear" w:color="auto" w:fill="auto"/>
            <w:vAlign w:val="center"/>
          </w:tcPr>
          <w:p>
            <w:pPr>
              <w:widowControl/>
              <w:spacing w:line="32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浏阳市动物疫病预防控制中心</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111</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规模鸡场禽流感风险评估技术规范</w:t>
            </w:r>
          </w:p>
        </w:tc>
        <w:tc>
          <w:tcPr>
            <w:tcW w:w="3059" w:type="dxa"/>
            <w:shd w:val="clear" w:color="auto" w:fill="auto"/>
            <w:vAlign w:val="center"/>
          </w:tcPr>
          <w:p>
            <w:pPr>
              <w:widowControl/>
              <w:spacing w:line="32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浏阳市动物疫病预防控制中心</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112</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稻田小龙虾-鳖轮作生态种养技术规程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长沙学院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113</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养殖大鲵配合饲料及其投喂技术规范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长沙学院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114</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鹅冷冻精液制作技术规程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湖南光大牧业科技有限公司</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115</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叶用红薯大棚越冬栽培技术规程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长沙市望城区菜玖哥种植专业合作社</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116</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规模化猪场病死猪无害化处理技术规程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衡阳市畜牧水产事务中心</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117</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羊肚菌-姬松茸轮作技术规程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湖南湘蕈生物科技有限公司</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118</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南美白对虾苗种标粗技术规程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长沙市开福区生态休闲观光农业协会</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119</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南美白对虾稻田综合种养技术规程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湖南双塘农业科技有限公司</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120</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茶叶中百菌清、克菌丹残留量的测定</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长沙海关技术中心</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121</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木本果树设施栽培通用技术规范</w:t>
            </w:r>
          </w:p>
        </w:tc>
        <w:tc>
          <w:tcPr>
            <w:tcW w:w="3059" w:type="dxa"/>
            <w:shd w:val="clear" w:color="auto" w:fill="auto"/>
            <w:vAlign w:val="center"/>
          </w:tcPr>
          <w:p>
            <w:pPr>
              <w:widowControl/>
              <w:spacing w:line="32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湖南省农业信息与工程研究所</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122</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GPL-8440顶通风大棚技术规范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湖南省食用菌协会</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123</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棉花甜糯玉米辣椒间套作轻简化栽培技术规程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常德职业技术学院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124</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三樟黄贡椒病虫害绿色防控技术规程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衡阳市蔬菜研究所</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125</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克氏原螯虾荷田生态养殖技术规程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湖南湘印康农科技发展有限公司</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126</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翘嘴红鲌池塘集约化养殖技术规程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湖南湘印康农科技发展有限公司</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127</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光伏池塘中华绒鳌蟹养殖技术规程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湖睿水产生态养殖有限公司</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湖南省农业农村厅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128</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餐饮节约管理规范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湖南童仔美食臻好餐饮管理有限公司、湖南省餐饮行业协会</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湖南省商务厅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湖南省餐饮行业协会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129</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两网融合回收体系建设规范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湖南省循环经济研究会</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湖南省商务厅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湖南省循环经济标准化技术委员会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130</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平行进口汽车标准符合性整改管理规范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岳阳职业技术学院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湖南省商务厅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湖南省商务厅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131</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供应链创新与应用示范创建规范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湖南省物流与采购联合会</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湖南省商务厅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湖南省物流标准化技术委员会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132</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母婴护理员（月嫂）服务规范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长沙市妇幼保健院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湖南省商务厅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湖南省商务厅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133</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中国-非洲经济贸易博览会场馆服务规范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长沙国际会展中心管理有限责任公司</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湖南省商务厅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湖南省商务厅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134</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工程机械出口二手机维修及再制造通用技术规范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国家建筑城建机械质量监督检验中心</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湖南省商务厅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湖南省商务厅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135</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文明旅游引导服务规范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湖南省城研产业发展中心有限公司</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湖南省文化和旅游厅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湖南省旅游标准化技术委员会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136</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非遗街区示范点创建规范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湖南省乡村文化旅游促进会</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湖南省文化和旅游厅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湖南省旅游标准化技术委员会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137</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古代漆器文物数据采集加工技术规范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湖南博物院（湖南省文物鉴定中心）</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湖南省文化和旅游厅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湖南省旅游标准化技术委员会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138</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落地自驾游服务规范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资兴市玖玖易达汽车服务有限责任公司</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湖南省文化和旅游厅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湖南省自驾旅游与露营房车标准化技术委员会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139</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公共图书馆借阅窗口人员综合能力与服务规范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湖南省少年儿童图书馆</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湖南省文化和旅游厅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湖南省旅游标准化技术委员会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140</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湖南省医学科研实验室标准建设</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中南大学湘雅医院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湖南省卫生健康委员会</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湖南省卫生健康委员会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141</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失能老年人照护需求等级评定规范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中南大学湘雅医院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湖南省卫生健康委员会</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湖南省卫生健康委员会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142</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危重早产儿袋鼠式护理管理规范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中南大学湘雅医院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湖南省卫生健康委员会</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湖南省卫生健康委员会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143</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医院不间断电源系统建设和运维安全管理指南</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中南大学湘雅三医院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湖南省卫生健康委员会</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湖南省应急管理厅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144</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非煤矿山粉尘危害专项治理工作指南</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湖南省职业病防治院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湖南省卫生健康委员会</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湖南省卫生健康委员会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145</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航空医疗救护组织与运行规范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中南大学湘雅二医院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湖南省卫生健康委员会</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湖南省卫生健康委员会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685"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146</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青少年儿童脊柱侧凸筛查工作规范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湖南省人民医院（湖南师范大学附属第一医院）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湖南省卫生健康委员会</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湖南省卫生健康委员会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147</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卫生健康行业数据分类分级保护规范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湖南省卫生健康委信息统计中心</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湖南省卫生健康委员会</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湖南省卫生健康委员会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148</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综合医院静脉治疗专科门诊建设与管理规范的制定</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中南大学湘雅二医院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湖南省卫生健康委员会</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湖南省卫生健康委员会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149</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血管通道门诊管理规范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湖南省肿瘤医院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湖南省卫生健康委员会</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湖南省卫生健康委员会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150</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康养基地 卫生规范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湖南省疾病预防控制中心</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湖南省卫生健康委员会</w:t>
            </w:r>
          </w:p>
        </w:tc>
        <w:tc>
          <w:tcPr>
            <w:tcW w:w="2673" w:type="dxa"/>
            <w:shd w:val="clear" w:color="auto" w:fill="auto"/>
            <w:vAlign w:val="center"/>
          </w:tcPr>
          <w:p>
            <w:pPr>
              <w:widowControl/>
              <w:spacing w:line="320" w:lineRule="exact"/>
              <w:ind w:left="-105" w:leftChars="-50" w:right="-105" w:rightChars="-50"/>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湖南省疾病预防控制中心</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151</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艾滋病预防工作规范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中南大学</w:t>
            </w:r>
          </w:p>
        </w:tc>
        <w:tc>
          <w:tcPr>
            <w:tcW w:w="2667" w:type="dxa"/>
            <w:shd w:val="clear" w:color="auto" w:fill="auto"/>
            <w:vAlign w:val="center"/>
          </w:tcPr>
          <w:p>
            <w:pPr>
              <w:widowControl/>
              <w:spacing w:line="320" w:lineRule="exact"/>
              <w:ind w:left="-105" w:leftChars="-50" w:right="-105" w:rightChars="-50"/>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湖南省疾病预防控制中心</w:t>
            </w:r>
          </w:p>
        </w:tc>
        <w:tc>
          <w:tcPr>
            <w:tcW w:w="2673" w:type="dxa"/>
            <w:shd w:val="clear" w:color="auto" w:fill="auto"/>
            <w:vAlign w:val="center"/>
          </w:tcPr>
          <w:p>
            <w:pPr>
              <w:widowControl/>
              <w:spacing w:line="320" w:lineRule="exact"/>
              <w:ind w:left="-105" w:leftChars="-50" w:right="-105" w:rightChars="-50"/>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湖南省疾病预防控制中心</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152</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新能源电池材料生产企业安全生产管理指南</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湖南省安全技术中心</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湖南省应急管理厅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湖南省应急管理厅</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153</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烟花爆竹 黑火药生产机械设备安全技术规范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浏阳市烟花爆竹机械协会</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湖南省应急管理厅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全国烟花爆竹标准化技术委员会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154</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烟花爆竹 爆竹生产机械设备安全技术规范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浏阳市烟花爆竹机械协会</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湖南省应急管理厅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全国烟花爆竹标准化技术委员会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155</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烟花爆竹 烟花效果件装填设备安全技术规范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浏阳市烟花爆竹机械协会</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湖南省应急管理厅</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全国烟花爆竹标准化技术委员会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156</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麻栎芽砧嫁接容器育苗技术规程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郴州市林业科学研究所</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湖南省林业局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湖南省林业标准化技术委员会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157</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箭叶淫羊藿种子育苗技术规程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湖南环境生物职业技术学院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湖南省林业局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湖南省林业标准化技术委员会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158</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山苍子培育及采收技术规程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湖南省林业科学院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湖南省林业局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湖南省林业标准化技术委员会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159</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黄柏栽培技术规程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湖南省林业科学院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湖南省林业局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湖南省林业标准化技术委员会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160</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林业废弃物资源化利用技术规程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湖南省林业科学院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湖南省林业局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湖南省林业标准化技术委员会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161</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福建青冈容器育苗技术规程</w:t>
            </w:r>
          </w:p>
        </w:tc>
        <w:tc>
          <w:tcPr>
            <w:tcW w:w="3059" w:type="dxa"/>
            <w:shd w:val="clear" w:color="auto" w:fill="auto"/>
            <w:vAlign w:val="center"/>
          </w:tcPr>
          <w:p>
            <w:pPr>
              <w:widowControl/>
              <w:spacing w:line="32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湖南省林业种苗繁育示范中心</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湖南省林业局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湖南省林业标准化技术委员会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162</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森林经营方案实施评估技术规程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湖南省青羊湖国有林场</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湖南省林业局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湖南省林业标准化技术委员会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163</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风电场植被恢复技术规程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湖南省青羊湖国有林场</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湖南省林业局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湖南省林业标准化技术委员会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164</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森林消防蓄水池建设技术规范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湖南省森林草原防火监测调度评估中心</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湖南省林业局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湖南省林业标准化技术委员会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165</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‘金丝皇菊’盆栽生产技术规程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湖南省园艺研究所</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湖南省林业局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湖南省林业标准化技术委员会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166</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幻紫鼠尾草繁育技术规程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湖南省植物园</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湖南省林业局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湖南省林业标准化技术委员会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167</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朱顶红鳞茎切片繁殖技术规程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湖南省植物园</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湖南省林业局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湖南省林业标准化技术委员会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168</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建兰（浏阳素）栽培技术规程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湖南省植物园</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湖南省林业局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湖南省林业标准化技术委员会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169</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香榧容器育苗技术规程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宁乡市林业技术推广中心</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湖南省林业局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湖南省林业标准化技术委员会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170</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金弹子实生苗繁育技术规程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永顺县巨紫荆花卉苗木专业合作社</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湖南省林业局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湖南省林业标准化技术委员会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171</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南方鲜食枣整形修剪技术规程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中南林业科技大学</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湖南省林业局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湖南省林业标准化技术委员会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172</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主推油茶品种配置技术规程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中南林业科技大学</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湖南省林业局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湖南省林业标准化技术委员会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173</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油桐芽苗砧嫁接技术规程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中南林业科技大学</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湖南省林业局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湖南省林业标准化技术委员会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174</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油茶品种分子身份证构建技术规程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中南林业科技大学</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湖南省林业局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湖南省林业标准化技术委员会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175</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地理标志产品 常德茶油</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常德市林业科学研究所</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湖南省地理标志产品标准化技术委员会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176</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风味熟制鹌鹑蛋加工技术规程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劲仔食品集团股份有限公司</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湖南省食品标准化技术委员会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177</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湘西民族菜 黄雀肉酸汤</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湘西土家族苗族自治州食品药品检验所</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湖南省服务标准化技术委员会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178</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家常湘菜  凤凰血粑鸭</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凤凰县市场监督管理局</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湖南省食品专业标准化技术委员会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179</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湘西湘南山野菜  凤凰苦荞宴</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凤凰县市场监督管理局</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湖南省食品专业标准化技术委员会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180</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地理标志产品 武陵酒</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湖南武陵酒有限公司</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湖南省地理标志产品标准化技术委员会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181</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餐饮服务现场环境与操作技术规范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长沙九域食安科技有限公司</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湖南省食品标准化技术委员会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182</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检验检测机构资质认定技术评审系列地方标准</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湖南省产商品评审中心</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183</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食品接触用复合膜袋质量安全风险管控技术规范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湖南省产商品评审中心</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湖南省食品接触材料标准化技术委员会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184</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工业产品生产许可证现场审查/检查技术规范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湖南省产商品评审中心</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185</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电线电缆质量安全风险监测技术规范</w:t>
            </w:r>
          </w:p>
        </w:tc>
        <w:tc>
          <w:tcPr>
            <w:tcW w:w="3059" w:type="dxa"/>
            <w:shd w:val="clear" w:color="auto" w:fill="auto"/>
            <w:vAlign w:val="center"/>
          </w:tcPr>
          <w:p>
            <w:pPr>
              <w:widowControl/>
              <w:spacing w:line="32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衡阳市市场监督检验检测中心</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186</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专利侵权纠纷行政裁决口头审理规范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湖南省标准化协会</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187</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经纪人服务规范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湖南省经纪人协会</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湖南省服务标准化技术委员会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188</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一次性竹吸管生产技术规程</w:t>
            </w:r>
          </w:p>
        </w:tc>
        <w:tc>
          <w:tcPr>
            <w:tcW w:w="3059" w:type="dxa"/>
            <w:shd w:val="clear" w:color="auto" w:fill="auto"/>
            <w:vAlign w:val="center"/>
          </w:tcPr>
          <w:p>
            <w:pPr>
              <w:widowControl/>
              <w:spacing w:line="30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益阳市产商品质量监督检验研究院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189</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食品包装用塑料容器生产技术规程</w:t>
            </w:r>
          </w:p>
        </w:tc>
        <w:tc>
          <w:tcPr>
            <w:tcW w:w="3059" w:type="dxa"/>
            <w:shd w:val="clear" w:color="auto" w:fill="auto"/>
            <w:vAlign w:val="center"/>
          </w:tcPr>
          <w:p>
            <w:pPr>
              <w:widowControl/>
              <w:spacing w:line="30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益阳市产商品质量监督检验研究院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190</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改性沥青中SBS含量检测</w:t>
            </w:r>
          </w:p>
        </w:tc>
        <w:tc>
          <w:tcPr>
            <w:tcW w:w="3059" w:type="dxa"/>
            <w:shd w:val="clear" w:color="auto" w:fill="auto"/>
            <w:vAlign w:val="center"/>
          </w:tcPr>
          <w:p>
            <w:pPr>
              <w:widowControl/>
              <w:spacing w:line="30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湖南湘建智科工程技术有限公司</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191</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电梯检验和检测工作现场录像技术规范</w:t>
            </w:r>
          </w:p>
        </w:tc>
        <w:tc>
          <w:tcPr>
            <w:tcW w:w="3059" w:type="dxa"/>
            <w:shd w:val="clear" w:color="auto" w:fill="auto"/>
            <w:vAlign w:val="center"/>
          </w:tcPr>
          <w:p>
            <w:pPr>
              <w:widowControl/>
              <w:spacing w:line="30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湖南省特种设备检验检测研究院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湖南省特种设备标准化技术委员会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192</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既有住宅加装电梯委托使用管理规范</w:t>
            </w:r>
          </w:p>
        </w:tc>
        <w:tc>
          <w:tcPr>
            <w:tcW w:w="3059" w:type="dxa"/>
            <w:shd w:val="clear" w:color="auto" w:fill="auto"/>
            <w:vAlign w:val="center"/>
          </w:tcPr>
          <w:p>
            <w:pPr>
              <w:widowControl/>
              <w:spacing w:line="30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湖南省特种设备检验检测研究院、株洲市住建局、株洲市市场监管局、衡阳市市场监督管理局、湖南德力通电梯有限公司</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湖南省特种设备标准化技术委员会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193</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气液两相液化石油气瓶充装管理规范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湖南省特种设备检验检测研究院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湖南省特种设备标准化技术委员会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194</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机车车辆计量结果数字化处理规范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湖南省计量检测研究院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195</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机车车辆计量数据管理规范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湖南省计量检测研究院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196</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spacing w:val="-6"/>
                <w:kern w:val="0"/>
                <w:sz w:val="24"/>
                <w:szCs w:val="24"/>
              </w:rPr>
            </w:pPr>
            <w:r>
              <w:rPr>
                <w:rFonts w:hint="eastAsia" w:ascii="Times New Roman" w:hAnsi="Times New Roman" w:eastAsia="方正仿宋_GBK" w:cs="宋体"/>
                <w:color w:val="000000"/>
                <w:spacing w:val="-6"/>
                <w:kern w:val="0"/>
                <w:sz w:val="24"/>
                <w:szCs w:val="24"/>
              </w:rPr>
              <w:t>机车车辆计量检测信息共享平台技术规范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湖南省计量检测研究院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197</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风味熟制小鱼干中镉的测定-</w:t>
            </w:r>
            <w:r>
              <w:rPr>
                <w:rFonts w:hint="eastAsia" w:ascii="Times New Roman" w:hAnsi="Times New Roman" w:eastAsia="方正仿宋_GBK" w:cs="宋体"/>
                <w:color w:val="000000"/>
                <w:kern w:val="0"/>
                <w:sz w:val="24"/>
                <w:szCs w:val="24"/>
              </w:rPr>
              <w:br w:type="textWrapping"/>
            </w:r>
            <w:r>
              <w:rPr>
                <w:rFonts w:hint="eastAsia" w:ascii="Times New Roman" w:hAnsi="Times New Roman" w:eastAsia="方正仿宋_GBK" w:cs="宋体"/>
                <w:color w:val="000000"/>
                <w:kern w:val="0"/>
                <w:sz w:val="24"/>
                <w:szCs w:val="24"/>
              </w:rPr>
              <w:t>直接进样石墨炉原子吸收光谱法</w:t>
            </w:r>
          </w:p>
        </w:tc>
        <w:tc>
          <w:tcPr>
            <w:tcW w:w="3059" w:type="dxa"/>
            <w:shd w:val="clear" w:color="auto" w:fill="auto"/>
            <w:vAlign w:val="center"/>
          </w:tcPr>
          <w:p>
            <w:pPr>
              <w:widowControl/>
              <w:spacing w:line="32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湖南省产商品质量检验研究院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湖南省食品标准化技术委员会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198</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顶空气相色谱法测定饮料中乙醇的含量</w:t>
            </w:r>
          </w:p>
        </w:tc>
        <w:tc>
          <w:tcPr>
            <w:tcW w:w="3059" w:type="dxa"/>
            <w:shd w:val="clear" w:color="auto" w:fill="auto"/>
            <w:vAlign w:val="center"/>
          </w:tcPr>
          <w:p>
            <w:pPr>
              <w:widowControl/>
              <w:spacing w:line="32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湖南省产商品质量检验研究院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湖南省食品标准化技术委员会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199</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干黄花菜的总糖测定</w:t>
            </w:r>
          </w:p>
        </w:tc>
        <w:tc>
          <w:tcPr>
            <w:tcW w:w="3059" w:type="dxa"/>
            <w:shd w:val="clear" w:color="auto" w:fill="auto"/>
            <w:vAlign w:val="center"/>
          </w:tcPr>
          <w:p>
            <w:pPr>
              <w:widowControl/>
              <w:spacing w:line="32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湖南省产商品质量检验研究院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湖南省食品标准化技术委员会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200</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车用汽油快速筛查技术规范</w:t>
            </w:r>
          </w:p>
        </w:tc>
        <w:tc>
          <w:tcPr>
            <w:tcW w:w="3059" w:type="dxa"/>
            <w:shd w:val="clear" w:color="auto" w:fill="auto"/>
            <w:vAlign w:val="center"/>
          </w:tcPr>
          <w:p>
            <w:pPr>
              <w:widowControl/>
              <w:spacing w:line="32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湖南省产商品质量检验研究院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201</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车用柴油快速筛查技术规范</w:t>
            </w:r>
          </w:p>
        </w:tc>
        <w:tc>
          <w:tcPr>
            <w:tcW w:w="3059" w:type="dxa"/>
            <w:shd w:val="clear" w:color="auto" w:fill="auto"/>
            <w:vAlign w:val="center"/>
          </w:tcPr>
          <w:p>
            <w:pPr>
              <w:widowControl/>
              <w:spacing w:line="32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湖南省产商品质量检验研究院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202</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一次性食品安全封签管理技术规范</w:t>
            </w:r>
          </w:p>
        </w:tc>
        <w:tc>
          <w:tcPr>
            <w:tcW w:w="3059" w:type="dxa"/>
            <w:shd w:val="clear" w:color="auto" w:fill="auto"/>
            <w:vAlign w:val="center"/>
          </w:tcPr>
          <w:p>
            <w:pPr>
              <w:widowControl/>
              <w:spacing w:line="32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湖南省产商品质量检验研究院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203</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湖南名品评价规范 第1部分：工业产品</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湖南省质量与标准化研究院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204</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湖南名品评价规范 第2部分：服务</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湖南省质量与标准化研究院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205</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餐饮服务鼠害防制工作规范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湖南省疾病预防控制中心</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206</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校园食材配送服务规范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湖南省产商品评审中心</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207</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学校食堂餐饮具消毒管理规范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湖南省产商品评审中心</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685"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208</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餐饮服务食品安全监管智能视频监控设施建设规范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湖南省法人大数据运维中心</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湖南省市场监督管理局</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209</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面向移动终端的影视节目母版制作规范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湖南快乐阳光互动娱乐传媒有限公司</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湖南省广播电视局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湖南省广播电视局</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210</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青少年击剑培训机构服务规范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湖南省击剑协会、娄底市宏晖青少年体育俱乐部</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湖南省体育局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湖南省体育标准化技术委员会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211</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节约型机关幼儿园建设和管理规范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湖南省人民政府直属机关第三幼儿院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湖南省机关事务管理局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湖南省机关事务管理局</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212</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周转住房运营管理规范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湖南省省直单位经济适用住房发展中心</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湖南省机关事务管理局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湖南省机关事务管理局</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213</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粮食快速检测产品验证和评价技术规范</w:t>
            </w:r>
          </w:p>
        </w:tc>
        <w:tc>
          <w:tcPr>
            <w:tcW w:w="3059" w:type="dxa"/>
            <w:shd w:val="clear" w:color="auto" w:fill="auto"/>
            <w:vAlign w:val="center"/>
          </w:tcPr>
          <w:p>
            <w:pPr>
              <w:widowControl/>
              <w:spacing w:line="32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湖南省粮油产品质量监测中心</w:t>
            </w:r>
          </w:p>
        </w:tc>
        <w:tc>
          <w:tcPr>
            <w:tcW w:w="2667" w:type="dxa"/>
            <w:shd w:val="clear" w:color="auto" w:fill="auto"/>
            <w:vAlign w:val="center"/>
          </w:tcPr>
          <w:p>
            <w:pPr>
              <w:widowControl/>
              <w:spacing w:line="320" w:lineRule="exact"/>
              <w:ind w:left="-105" w:leftChars="-50" w:right="-105" w:rightChars="-50"/>
              <w:jc w:val="center"/>
              <w:rPr>
                <w:rFonts w:hint="eastAsia" w:ascii="Times New Roman" w:hAnsi="Times New Roman" w:eastAsia="方正仿宋_GBK" w:cs="宋体"/>
                <w:color w:val="000000"/>
                <w:spacing w:val="-4"/>
                <w:kern w:val="0"/>
                <w:sz w:val="24"/>
                <w:szCs w:val="24"/>
              </w:rPr>
            </w:pPr>
            <w:r>
              <w:rPr>
                <w:rFonts w:hint="eastAsia" w:ascii="Times New Roman" w:hAnsi="Times New Roman" w:eastAsia="方正仿宋_GBK" w:cs="宋体"/>
                <w:color w:val="000000"/>
                <w:spacing w:val="-4"/>
                <w:kern w:val="0"/>
                <w:sz w:val="24"/>
                <w:szCs w:val="24"/>
              </w:rPr>
              <w:t>湖南省粮食和物资储备局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湖南省粮食和物资储备标准化技术委员会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214</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粮食快速检测实验室建设规范</w:t>
            </w:r>
          </w:p>
        </w:tc>
        <w:tc>
          <w:tcPr>
            <w:tcW w:w="3059" w:type="dxa"/>
            <w:shd w:val="clear" w:color="auto" w:fill="auto"/>
            <w:vAlign w:val="center"/>
          </w:tcPr>
          <w:p>
            <w:pPr>
              <w:widowControl/>
              <w:spacing w:line="32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湖南省粮油产品质量监测中心</w:t>
            </w:r>
          </w:p>
        </w:tc>
        <w:tc>
          <w:tcPr>
            <w:tcW w:w="2667" w:type="dxa"/>
            <w:shd w:val="clear" w:color="auto" w:fill="auto"/>
            <w:vAlign w:val="center"/>
          </w:tcPr>
          <w:p>
            <w:pPr>
              <w:widowControl/>
              <w:spacing w:line="320" w:lineRule="exact"/>
              <w:ind w:left="-105" w:leftChars="-50" w:right="-105" w:rightChars="-50"/>
              <w:jc w:val="center"/>
              <w:rPr>
                <w:rFonts w:hint="eastAsia" w:ascii="Times New Roman" w:hAnsi="Times New Roman" w:eastAsia="方正仿宋_GBK" w:cs="宋体"/>
                <w:color w:val="000000"/>
                <w:spacing w:val="-4"/>
                <w:kern w:val="0"/>
                <w:sz w:val="24"/>
                <w:szCs w:val="24"/>
              </w:rPr>
            </w:pPr>
            <w:r>
              <w:rPr>
                <w:rFonts w:hint="eastAsia" w:ascii="Times New Roman" w:hAnsi="Times New Roman" w:eastAsia="方正仿宋_GBK" w:cs="宋体"/>
                <w:color w:val="000000"/>
                <w:spacing w:val="-4"/>
                <w:kern w:val="0"/>
                <w:sz w:val="24"/>
                <w:szCs w:val="24"/>
              </w:rPr>
              <w:t>湖南省粮食和物资储备局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湖南省粮食和物资储备标准化技术委员会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215</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文物保护单位地理空间数据库技术规程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湖南省文物考古研究院（湖南省文物保护利用中心）</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湖南省文物局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湖南省文物局</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216</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12345政务服务便民热线管理与服务规范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长沙市行政审批服务局</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湖南省政务管理服务局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湖南省政务管理服务局</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217</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政务数据分类分级规范</w:t>
            </w:r>
          </w:p>
        </w:tc>
        <w:tc>
          <w:tcPr>
            <w:tcW w:w="3059" w:type="dxa"/>
            <w:shd w:val="clear" w:color="auto" w:fill="auto"/>
            <w:vAlign w:val="center"/>
          </w:tcPr>
          <w:p>
            <w:pPr>
              <w:widowControl/>
              <w:spacing w:line="32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湖南省政务服务和大数据中心</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湖南省政务管理服务局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湖南省政务管理服务局</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218</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政务服务统一受理接入标准</w:t>
            </w:r>
          </w:p>
        </w:tc>
        <w:tc>
          <w:tcPr>
            <w:tcW w:w="3059" w:type="dxa"/>
            <w:shd w:val="clear" w:color="auto" w:fill="auto"/>
            <w:vAlign w:val="center"/>
          </w:tcPr>
          <w:p>
            <w:pPr>
              <w:widowControl/>
              <w:spacing w:line="32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湖南省政务服务和大数据中心</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湖南省政务管理服务局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湖南省信息技术标准化技术委员会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219</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地震宏观观测技术标准</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湖南省地震局</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湖南省地震局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湖南省地震局</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220</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中小学防震减灾科普宣教指南</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湖南省地震局</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湖南省地震局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湖南省地震局</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221</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羊肚菌干制及贮藏技术规程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湖南省食用菌协会</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湖南省供销合作总社</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湖南省供销合作总社</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222</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大球盖菇干制及贮藏技术规程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湖南省食用菌研究所</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湖南省供销合作总社</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湖南省供销合作总社</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223</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灰树花轻简化栽培技术规程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湖南省食用菌研究所</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湖南省供销合作总社</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湖南省供销合作总社</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224</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黄金伞（硫黄磷伞）栽培技术规程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湖南省食用菌研究所</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湖南省供销合作总社</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湖南省供销合作总社</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225</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大型活动远程视频手语传译服务规范</w:t>
            </w:r>
          </w:p>
        </w:tc>
        <w:tc>
          <w:tcPr>
            <w:tcW w:w="3059" w:type="dxa"/>
            <w:shd w:val="clear" w:color="auto" w:fill="auto"/>
            <w:vAlign w:val="center"/>
          </w:tcPr>
          <w:p>
            <w:pPr>
              <w:widowControl/>
              <w:spacing w:line="32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株洲手之声信息科技有限公司</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湖南省残疾人联合会</w:t>
            </w:r>
          </w:p>
        </w:tc>
        <w:tc>
          <w:tcPr>
            <w:tcW w:w="2673" w:type="dxa"/>
            <w:shd w:val="clear" w:color="auto" w:fill="auto"/>
            <w:vAlign w:val="center"/>
          </w:tcPr>
          <w:p>
            <w:pPr>
              <w:widowControl/>
              <w:spacing w:line="30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湖南省服务标准化技术委员会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226</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残疾人友好企业建设指南</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湖南省残疾人联合会</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湖南省残疾人联合会</w:t>
            </w:r>
          </w:p>
        </w:tc>
        <w:tc>
          <w:tcPr>
            <w:tcW w:w="2673" w:type="dxa"/>
            <w:shd w:val="clear" w:color="auto" w:fill="auto"/>
            <w:vAlign w:val="center"/>
          </w:tcPr>
          <w:p>
            <w:pPr>
              <w:widowControl/>
              <w:spacing w:line="30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湖南省残疾人联合会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227</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残疾人友好社区建设指南</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湖南省残疾人联合会</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湖南省残疾人联合会</w:t>
            </w:r>
          </w:p>
        </w:tc>
        <w:tc>
          <w:tcPr>
            <w:tcW w:w="2673" w:type="dxa"/>
            <w:shd w:val="clear" w:color="auto" w:fill="auto"/>
            <w:vAlign w:val="center"/>
          </w:tcPr>
          <w:p>
            <w:pPr>
              <w:widowControl/>
              <w:spacing w:line="30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湖南省残疾人联合会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228</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残疾人友好学校建设指南</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湖南省残疾人联合会</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湖南省残疾人联合会</w:t>
            </w:r>
          </w:p>
        </w:tc>
        <w:tc>
          <w:tcPr>
            <w:tcW w:w="2673" w:type="dxa"/>
            <w:shd w:val="clear" w:color="auto" w:fill="auto"/>
            <w:vAlign w:val="center"/>
          </w:tcPr>
          <w:p>
            <w:pPr>
              <w:widowControl/>
              <w:spacing w:line="30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湖南省残疾人联合会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229</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残疾人友好医院建设指南</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湖南省残疾人联合会</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湖南省残疾人联合会</w:t>
            </w:r>
          </w:p>
        </w:tc>
        <w:tc>
          <w:tcPr>
            <w:tcW w:w="2673" w:type="dxa"/>
            <w:shd w:val="clear" w:color="auto" w:fill="auto"/>
            <w:vAlign w:val="center"/>
          </w:tcPr>
          <w:p>
            <w:pPr>
              <w:widowControl/>
              <w:spacing w:line="30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湖南省残疾人联合会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230</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公共资源交易运行监测规范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湖南省公共资源交易中心</w:t>
            </w:r>
          </w:p>
        </w:tc>
        <w:tc>
          <w:tcPr>
            <w:tcW w:w="2667" w:type="dxa"/>
            <w:shd w:val="clear" w:color="auto" w:fill="auto"/>
            <w:vAlign w:val="center"/>
          </w:tcPr>
          <w:p>
            <w:pPr>
              <w:widowControl/>
              <w:spacing w:line="320" w:lineRule="exact"/>
              <w:ind w:left="-105" w:leftChars="-50" w:right="-105" w:rightChars="-50"/>
              <w:jc w:val="center"/>
              <w:rPr>
                <w:rFonts w:hint="eastAsia" w:ascii="Times New Roman" w:hAnsi="Times New Roman" w:eastAsia="方正仿宋_GBK" w:cs="宋体"/>
                <w:color w:val="000000"/>
                <w:spacing w:val="-4"/>
                <w:kern w:val="0"/>
                <w:sz w:val="24"/>
                <w:szCs w:val="24"/>
              </w:rPr>
            </w:pPr>
            <w:r>
              <w:rPr>
                <w:rFonts w:hint="eastAsia" w:ascii="Times New Roman" w:hAnsi="Times New Roman" w:eastAsia="方正仿宋_GBK" w:cs="宋体"/>
                <w:color w:val="000000"/>
                <w:spacing w:val="-4"/>
                <w:kern w:val="0"/>
                <w:sz w:val="24"/>
                <w:szCs w:val="24"/>
              </w:rPr>
              <w:t>湖南省公共资源交易中心</w:t>
            </w:r>
          </w:p>
        </w:tc>
        <w:tc>
          <w:tcPr>
            <w:tcW w:w="2673" w:type="dxa"/>
            <w:shd w:val="clear" w:color="auto" w:fill="auto"/>
            <w:vAlign w:val="center"/>
          </w:tcPr>
          <w:p>
            <w:pPr>
              <w:widowControl/>
              <w:spacing w:line="300" w:lineRule="exact"/>
              <w:ind w:left="-105" w:leftChars="-50" w:right="-105" w:rightChars="-50"/>
              <w:jc w:val="center"/>
              <w:rPr>
                <w:rFonts w:hint="eastAsia" w:ascii="Times New Roman" w:hAnsi="Times New Roman" w:eastAsia="方正仿宋_GBK" w:cs="宋体"/>
                <w:color w:val="000000"/>
                <w:spacing w:val="-4"/>
                <w:kern w:val="0"/>
                <w:sz w:val="24"/>
                <w:szCs w:val="24"/>
              </w:rPr>
            </w:pPr>
            <w:r>
              <w:rPr>
                <w:rFonts w:hint="eastAsia" w:ascii="Times New Roman" w:hAnsi="Times New Roman" w:eastAsia="方正仿宋_GBK" w:cs="宋体"/>
                <w:color w:val="000000"/>
                <w:spacing w:val="-4"/>
                <w:kern w:val="0"/>
                <w:sz w:val="24"/>
                <w:szCs w:val="24"/>
              </w:rPr>
              <w:t>湖南省公共资源交易中心</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231</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暴雨预警信号调整规范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湖南省气象台</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湖南省气象局</w:t>
            </w:r>
          </w:p>
        </w:tc>
        <w:tc>
          <w:tcPr>
            <w:tcW w:w="2673" w:type="dxa"/>
            <w:shd w:val="clear" w:color="auto" w:fill="auto"/>
            <w:vAlign w:val="center"/>
          </w:tcPr>
          <w:p>
            <w:pPr>
              <w:widowControl/>
              <w:spacing w:line="30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湖南省气象标准化技术委员会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232</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新一代天气雷达站防雷防静检测规范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郴州市气象局</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湖南省气象局</w:t>
            </w:r>
          </w:p>
        </w:tc>
        <w:tc>
          <w:tcPr>
            <w:tcW w:w="2673" w:type="dxa"/>
            <w:shd w:val="clear" w:color="auto" w:fill="auto"/>
            <w:vAlign w:val="center"/>
          </w:tcPr>
          <w:p>
            <w:pPr>
              <w:widowControl/>
              <w:spacing w:line="30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湖南省气象标准化技术委员会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233</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气象灾害调查与风险评估 高温</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湖南省气候中心</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湖南省气象局</w:t>
            </w:r>
          </w:p>
        </w:tc>
        <w:tc>
          <w:tcPr>
            <w:tcW w:w="2673" w:type="dxa"/>
            <w:shd w:val="clear" w:color="auto" w:fill="auto"/>
            <w:vAlign w:val="center"/>
          </w:tcPr>
          <w:p>
            <w:pPr>
              <w:widowControl/>
              <w:spacing w:line="30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湖南省气象标准化技术委员会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234</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地表水水质自动监测站防雷技术规范</w:t>
            </w:r>
          </w:p>
        </w:tc>
        <w:tc>
          <w:tcPr>
            <w:tcW w:w="3059" w:type="dxa"/>
            <w:shd w:val="clear" w:color="auto" w:fill="auto"/>
            <w:vAlign w:val="center"/>
          </w:tcPr>
          <w:p>
            <w:pPr>
              <w:widowControl/>
              <w:spacing w:line="32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湖南省气象灾害防御技术中心</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湖南省气象局</w:t>
            </w:r>
          </w:p>
        </w:tc>
        <w:tc>
          <w:tcPr>
            <w:tcW w:w="2673" w:type="dxa"/>
            <w:shd w:val="clear" w:color="auto" w:fill="auto"/>
            <w:vAlign w:val="center"/>
          </w:tcPr>
          <w:p>
            <w:pPr>
              <w:widowControl/>
              <w:spacing w:line="30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湖南省气象标准化技术委员会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235</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雪灾调查与风险评估技术规范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湖南省气候中心</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湖南省气象局</w:t>
            </w:r>
          </w:p>
        </w:tc>
        <w:tc>
          <w:tcPr>
            <w:tcW w:w="2673" w:type="dxa"/>
            <w:shd w:val="clear" w:color="auto" w:fill="auto"/>
            <w:vAlign w:val="center"/>
          </w:tcPr>
          <w:p>
            <w:pPr>
              <w:widowControl/>
              <w:spacing w:line="30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湖南省气象标准化技术委员会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236</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网格地闪密度及强度修订方法</w:t>
            </w:r>
          </w:p>
        </w:tc>
        <w:tc>
          <w:tcPr>
            <w:tcW w:w="3059" w:type="dxa"/>
            <w:shd w:val="clear" w:color="auto" w:fill="auto"/>
            <w:vAlign w:val="center"/>
          </w:tcPr>
          <w:p>
            <w:pPr>
              <w:widowControl/>
              <w:spacing w:line="32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湖南省气象灾害防御技术中心</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湖南省气象局</w:t>
            </w:r>
          </w:p>
        </w:tc>
        <w:tc>
          <w:tcPr>
            <w:tcW w:w="2673" w:type="dxa"/>
            <w:shd w:val="clear" w:color="auto" w:fill="auto"/>
            <w:vAlign w:val="center"/>
          </w:tcPr>
          <w:p>
            <w:pPr>
              <w:widowControl/>
              <w:spacing w:line="30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湖南省气象标准化技术委员会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237</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通用航空机场气候可行性论证技术规范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湖南省气象服务中心</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湖南省气象局</w:t>
            </w:r>
          </w:p>
        </w:tc>
        <w:tc>
          <w:tcPr>
            <w:tcW w:w="2673" w:type="dxa"/>
            <w:shd w:val="clear" w:color="auto" w:fill="auto"/>
            <w:vAlign w:val="center"/>
          </w:tcPr>
          <w:p>
            <w:pPr>
              <w:widowControl/>
              <w:spacing w:line="30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湖南省气象标准化技术委员会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238</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保险气象服务技术规范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湖南省气象服务中心</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湖南省气象局</w:t>
            </w:r>
          </w:p>
        </w:tc>
        <w:tc>
          <w:tcPr>
            <w:tcW w:w="2673" w:type="dxa"/>
            <w:shd w:val="clear" w:color="auto" w:fill="auto"/>
            <w:vAlign w:val="center"/>
          </w:tcPr>
          <w:p>
            <w:pPr>
              <w:widowControl/>
              <w:spacing w:line="30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湖南省气象标准化技术委员会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239</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雪茄烟栽培技术规程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湖南省烟草科学研究所</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湖南省烟草专卖局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湖南省烟草专卖局</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240</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烟草耐冷性鉴定技术规程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湖南省烟草科学研究所</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湖南省烟草专卖局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湖南省烟草专卖局</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241</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烟叶生产宜机化技术规范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中国烟草总公司湖南省公司</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湖南省烟草专卖局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湖南省烟草专卖局</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242</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烟草种子质量控制规程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湖南省烟草公司永州市公司</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湖南省烟草专卖局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湖南省烟草专卖局</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243</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烟草种子供应管理规范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湖南省烟草公司永州市公司</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湖南省烟草专卖局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湖南省烟草专卖局</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244</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职业化卷烟零售户培养指南</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衡阳市烟草专卖局</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湖南省烟草专卖局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湖南省烟草专卖局</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245</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烤烟苗期病害综合防控技术规程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湖南省烟草公司湘西自治州公司</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湖南省烟草专卖局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湖南省烟草专卖局</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246</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中医智慧康养技术规范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湖南中医药高等专科学校</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湖南省中医药管理局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湖南省中医药管理局</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247</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中医智慧康养管理规范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湖南省中医药高等专科学校附属第一医院（湖南省直中医医院）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湖南省中医药管理局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湖南省中医药管理局</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248</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膝骨关节炎患者中医康复护理服务规范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常德市第一中医医院</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湖南省中医药管理局</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湖南省中医药管理局</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249</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玉米大豆带状复合种植机械化收获技术规程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湖南邦升机械检测中心</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湖南省农机事务中心</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湖南省农业机械标准化技术委员会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250</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玉米大豆带状复合种植机械化植保技术规程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湖南一田农业机械有限公司</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湖南省农机事务中心</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湖南省农业机械标准化技术委员会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251</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烟叶机械化烘烤技术规程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湖南田野现代智能装备有限公司</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湖南省农机事务中心</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湖南省农业机械标准化技术委员会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252</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生物质颗粒烤烟燃烧机作业技术规程</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湖南田野现代智能装备有限公司</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湖南省农机事务中心</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湖南省农业机械标准化技术委员会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253</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楠竹机械化丰产培育技术规范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湖南农业大学</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湖南省农机事务中心</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湖南省农业机械标准化技术委员会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254</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莲藕机械化采收技术规程</w:t>
            </w:r>
          </w:p>
        </w:tc>
        <w:tc>
          <w:tcPr>
            <w:tcW w:w="3059" w:type="dxa"/>
            <w:shd w:val="clear" w:color="auto" w:fill="auto"/>
            <w:vAlign w:val="center"/>
          </w:tcPr>
          <w:p>
            <w:pPr>
              <w:widowControl/>
              <w:spacing w:line="32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湘阴县宸宇种养农民专业合作社</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湖南省农机事务中心</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湖南省农业机械标准化技术委员会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255</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铺膜机作业技术规范</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永州市农业机械研究所</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湖南省农机事务中心</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湖南省农业机械标准化技术委员会</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256</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微型消防站建设标准</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湖南省消防救援总队</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湖南省消防救援总队</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湖南省消防救援总队</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257</w:t>
            </w:r>
          </w:p>
        </w:tc>
        <w:tc>
          <w:tcPr>
            <w:tcW w:w="4300"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公路隧道灭火救援指南</w:t>
            </w:r>
          </w:p>
        </w:tc>
        <w:tc>
          <w:tcPr>
            <w:tcW w:w="3059"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长沙理工大学</w:t>
            </w:r>
          </w:p>
        </w:tc>
        <w:tc>
          <w:tcPr>
            <w:tcW w:w="2667"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湖南省消防救援总队</w:t>
            </w:r>
          </w:p>
        </w:tc>
        <w:tc>
          <w:tcPr>
            <w:tcW w:w="2673"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湖南省消防救援总队</w:t>
            </w:r>
          </w:p>
        </w:tc>
        <w:tc>
          <w:tcPr>
            <w:tcW w:w="1014" w:type="dxa"/>
            <w:shd w:val="clear" w:color="auto" w:fill="auto"/>
            <w:vAlign w:val="center"/>
          </w:tcPr>
          <w:p>
            <w:pPr>
              <w:widowControl/>
              <w:spacing w:line="320" w:lineRule="exact"/>
              <w:ind w:left="-73" w:leftChars="-35" w:right="-73" w:rightChars="-35"/>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12个月</w:t>
            </w:r>
          </w:p>
        </w:tc>
      </w:tr>
    </w:tbl>
    <w:p>
      <w:pPr>
        <w:widowControl/>
        <w:spacing w:line="360" w:lineRule="exact"/>
        <w:ind w:left="-53" w:leftChars="-25" w:right="-53" w:rightChars="-25"/>
        <w:jc w:val="center"/>
        <w:rPr>
          <w:rFonts w:hint="eastAsia" w:ascii="Times New Roman" w:hAnsi="Times New Roman" w:eastAsia="方正仿宋_GBK" w:cs="宋体"/>
          <w:color w:val="000000"/>
          <w:kern w:val="0"/>
          <w:sz w:val="24"/>
          <w:szCs w:val="24"/>
        </w:rPr>
      </w:pPr>
    </w:p>
    <w:p>
      <w:bookmarkStart w:id="0" w:name="_GoBack"/>
      <w:bookmarkEnd w:id="0"/>
    </w:p>
    <w:sectPr>
      <w:pgSz w:w="16838" w:h="11906" w:orient="landscape"/>
      <w:pgMar w:top="1474" w:right="1474" w:bottom="1474" w:left="1474" w:header="851" w:footer="113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roma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CBE5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link w:val="4"/>
    <w:semiHidden/>
    <w:uiPriority w:val="0"/>
    <w:rPr>
      <w:rFonts w:cs="等线"/>
    </w:rPr>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4">
    <w:name w:val="Char1 Char Char Char Char Char Char"/>
    <w:basedOn w:val="1"/>
    <w:link w:val="3"/>
    <w:qFormat/>
    <w:uiPriority w:val="0"/>
    <w:rPr>
      <w:rFonts w:cs="等线"/>
    </w:rPr>
  </w:style>
  <w:style w:type="character" w:styleId="5">
    <w:name w:val="page number"/>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2024-02-23T08:32:13Z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