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7"/>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8"/>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pStyle w:val="18"/>
              <w:framePr w:wrap="notBeside" w:vAnchor="page" w:hAnchor="page" w:x="1372" w:y="568"/>
              <w:tabs>
                <w:tab w:val="clear" w:pos="4153"/>
                <w:tab w:val="clear" w:pos="8306"/>
              </w:tabs>
              <w:spacing w:line="240" w:lineRule="auto"/>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67.080.10</w:t>
            </w:r>
            <w:r>
              <w:rPr>
                <w:rFonts w:ascii="黑体" w:hAnsi="黑体" w:eastAsia="黑体"/>
                <w:sz w:val="21"/>
                <w:szCs w:val="21"/>
              </w:rPr>
              <w:fldChar w:fldCharType="end"/>
            </w:r>
            <w:bookmarkEnd w:id="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B 31</w:t>
            </w:r>
            <w:r>
              <w:rPr>
                <w:rFonts w:ascii="黑体" w:hAnsi="黑体" w:eastAsia="黑体"/>
                <w:sz w:val="21"/>
                <w:szCs w:val="21"/>
              </w:rPr>
              <w:fldChar w:fldCharType="end"/>
            </w:r>
            <w:bookmarkEnd w:id="1"/>
          </w:p>
        </w:tc>
      </w:tr>
    </w:tbl>
    <w:tbl>
      <w:tblPr>
        <w:tblStyle w:val="27"/>
        <w:tblpPr w:leftFromText="180" w:rightFromText="180" w:vertAnchor="text" w:horzAnchor="margin" w:tblpX="2683" w:tblpY="57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221" w:type="dxa"/>
        </w:tblCellMar>
      </w:tblPr>
      <w:tblGrid>
        <w:gridCol w:w="6407"/>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221" w:type="dxa"/>
          </w:tblCellMar>
        </w:tblPrEx>
        <w:tc>
          <w:tcPr>
            <w:tcW w:w="6407" w:type="dxa"/>
          </w:tcPr>
          <w:p>
            <w:pPr>
              <w:pStyle w:val="49"/>
              <w:framePr w:w="0" w:hRule="auto" w:wrap="auto" w:vAnchor="margin" w:hAnchor="text" w:xAlign="left" w:yAlign="inline"/>
              <w:rPr>
                <w:rFonts w:ascii="宋体" w:hAnsi="宋体"/>
                <w:sz w:val="28"/>
                <w:szCs w:val="28"/>
              </w:rPr>
            </w:pPr>
            <w:bookmarkStart w:id="2" w:name="_Hlk26473981"/>
            <w:r>
              <w:rPr>
                <w:rFonts w:hint="eastAsia"/>
              </w:rPr>
              <w:t>DB</w:t>
            </w:r>
            <w:r>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rPr>
                <w:rFonts w:hint="eastAsia"/>
              </w:rPr>
              <w:t>3310</w:t>
            </w:r>
            <w:r>
              <w:fldChar w:fldCharType="end"/>
            </w:r>
            <w:bookmarkEnd w:id="3"/>
          </w:p>
        </w:tc>
      </w:tr>
    </w:tbl>
    <w:p>
      <w:pPr>
        <w:pStyle w:val="50"/>
        <w:framePr w:w="9639" w:h="624" w:hRule="exact" w:hSpace="181" w:vSpace="181" w:wrap="around" w:hAnchor="page" w:x="1305" w:y="2269"/>
        <w:rPr>
          <w:rFonts w:ascii="黑体" w:hAnsi="黑体" w:eastAsia="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浙江省台州市</w:t>
      </w:r>
      <w:r>
        <w:rPr>
          <w:rFonts w:ascii="黑体" w:eastAsia="黑体"/>
          <w:b w:val="0"/>
          <w:w w:val="100"/>
          <w:sz w:val="48"/>
        </w:rPr>
        <w:fldChar w:fldCharType="end"/>
      </w:r>
      <w:bookmarkEnd w:id="4"/>
      <w:r>
        <w:rPr>
          <w:rFonts w:hint="eastAsia" w:ascii="黑体" w:hAnsi="黑体" w:eastAsia="黑体"/>
          <w:b w:val="0"/>
          <w:bCs w:val="0"/>
          <w:w w:val="100"/>
          <w:sz w:val="48"/>
          <w:szCs w:val="48"/>
        </w:rPr>
        <w:t>地方标准</w:t>
      </w:r>
    </w:p>
    <w:bookmarkEnd w:id="2"/>
    <w:p>
      <w:pPr>
        <w:pStyle w:val="195"/>
        <w:framePr/>
        <w:rPr>
          <w:lang w:val="fr-FR"/>
        </w:rPr>
      </w:pPr>
      <w:r>
        <w:rPr>
          <w:lang w:val="fr-FR"/>
        </w:rPr>
        <w:t>DB</w:t>
      </w:r>
      <w:r>
        <w:rPr>
          <w:sz w:val="15"/>
          <w:szCs w:val="15"/>
          <w:lang w:val="fr-FR"/>
        </w:rPr>
        <w:t xml:space="preserve"> </w:t>
      </w: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rFonts w:hint="eastAsia"/>
          <w:lang w:val="fr-FR"/>
        </w:rPr>
        <w:t>3310</w:t>
      </w:r>
      <w:r>
        <w:rPr>
          <w:lang w:val="fr-FR"/>
        </w:rPr>
        <w:t>/T</w:t>
      </w:r>
      <w:r>
        <w:fldChar w:fldCharType="end"/>
      </w:r>
      <w:bookmarkEnd w:id="5"/>
      <w:r>
        <w:rPr>
          <w:lang w:val="fr-FR"/>
        </w:rPr>
        <w:t xml:space="preserve"> </w:t>
      </w:r>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rPr>
          <w:lang w:val="fr-FR"/>
        </w:rPr>
        <w:t>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pPr>
        <w:pStyle w:val="196"/>
        <w:framePr/>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8"/>
    </w:p>
    <w:p>
      <w:pPr>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pPr>
        <w:pStyle w:val="50"/>
        <w:framePr w:w="9639" w:h="6976" w:hRule="exact" w:hSpace="0" w:vSpace="0" w:wrap="around" w:hAnchor="page" w:y="6408"/>
        <w:jc w:val="center"/>
        <w:rPr>
          <w:rFonts w:ascii="黑体" w:hAnsi="黑体" w:eastAsia="黑体"/>
          <w:b w:val="0"/>
          <w:bCs w:val="0"/>
          <w:w w:val="100"/>
        </w:rPr>
      </w:pPr>
    </w:p>
    <w:p>
      <w:pPr>
        <w:pStyle w:val="197"/>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Pr>
          <w:rFonts w:hint="eastAsia"/>
        </w:rPr>
        <w:t>地理标志证明商标 临海蓝莓</w:t>
      </w:r>
      <w:r>
        <w:fldChar w:fldCharType="end"/>
      </w:r>
      <w:bookmarkEnd w:id="9"/>
    </w:p>
    <w:p>
      <w:pPr>
        <w:framePr w:w="9639" w:h="6974" w:hRule="exact" w:wrap="around" w:vAnchor="page" w:hAnchor="page" w:x="1419" w:y="6408" w:anchorLock="1"/>
        <w:ind w:left="-1418"/>
      </w:pPr>
    </w:p>
    <w:p>
      <w:pPr>
        <w:pStyle w:val="125"/>
        <w:framePr w:w="9639" w:h="6974" w:hRule="exact" w:wrap="around" w:vAnchor="page" w:hAnchor="page" w:x="1419" w:y="6408" w:anchorLock="1"/>
        <w:textAlignment w:val="bottom"/>
        <w:rPr>
          <w:rFonts w:ascii="黑体" w:hAnsi="黑体" w:eastAsia="黑体"/>
          <w:szCs w:val="28"/>
        </w:rPr>
      </w:pPr>
      <w:r>
        <w:rPr>
          <w:rFonts w:ascii="黑体" w:hAnsi="黑体" w:eastAsia="黑体"/>
          <w:szCs w:val="28"/>
        </w:rPr>
        <w:fldChar w:fldCharType="begin">
          <w:ffData>
            <w:name w:val="ESTD_NAME"/>
            <w:enabled/>
            <w:calcOnExit w:val="0"/>
            <w:textInput>
              <w:default w:val="点击此处添加标准名称的英文译名"/>
            </w:textInput>
          </w:ffData>
        </w:fldChar>
      </w:r>
      <w:bookmarkStart w:id="10" w:name="ESTD_NAME"/>
      <w:r>
        <w:rPr>
          <w:rFonts w:ascii="黑体" w:hAnsi="黑体" w:eastAsia="黑体"/>
          <w:szCs w:val="28"/>
        </w:rPr>
        <w:instrText xml:space="preserve"> FORMTEXT </w:instrText>
      </w:r>
      <w:r>
        <w:rPr>
          <w:rFonts w:ascii="黑体" w:hAnsi="黑体" w:eastAsia="黑体"/>
          <w:szCs w:val="28"/>
        </w:rPr>
        <w:fldChar w:fldCharType="separate"/>
      </w:r>
      <w:r>
        <w:rPr>
          <w:rFonts w:ascii="黑体" w:hAnsi="黑体" w:eastAsia="黑体"/>
          <w:szCs w:val="28"/>
        </w:rPr>
        <w:t>Geographical indication certification trademark  Linhai blueberr</w:t>
      </w:r>
      <w:r>
        <w:rPr>
          <w:rFonts w:hint="eastAsia" w:ascii="黑体" w:hAnsi="黑体" w:eastAsia="黑体"/>
          <w:szCs w:val="28"/>
        </w:rPr>
        <w:t>y</w:t>
      </w:r>
      <w:r>
        <w:rPr>
          <w:rFonts w:ascii="黑体" w:hAnsi="黑体" w:eastAsia="黑体"/>
          <w:szCs w:val="28"/>
        </w:rPr>
        <w:fldChar w:fldCharType="end"/>
      </w:r>
      <w:bookmarkEnd w:id="10"/>
    </w:p>
    <w:p>
      <w:pPr>
        <w:framePr w:w="9639" w:h="6974" w:hRule="exact" w:wrap="around" w:vAnchor="page" w:hAnchor="page" w:x="1419" w:y="6408" w:anchorLock="1"/>
        <w:spacing w:line="760" w:lineRule="exact"/>
        <w:ind w:left="-1418"/>
      </w:pPr>
    </w:p>
    <w:p>
      <w:pPr>
        <w:pStyle w:val="125"/>
        <w:framePr w:w="9639" w:h="6974" w:hRule="exact" w:wrap="around" w:vAnchor="page" w:hAnchor="page" w:x="1419" w:y="6408" w:anchorLock="1"/>
        <w:textAlignment w:val="bottom"/>
        <w:rPr>
          <w:rFonts w:eastAsia="黑体"/>
          <w:szCs w:val="28"/>
        </w:rPr>
      </w:pPr>
    </w:p>
    <w:p>
      <w:pPr>
        <w:pStyle w:val="125"/>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6"/>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fldChar w:fldCharType="separate"/>
      </w:r>
      <w:r>
        <w:rPr>
          <w:sz w:val="24"/>
          <w:szCs w:val="28"/>
        </w:rPr>
        <w:fldChar w:fldCharType="end"/>
      </w:r>
      <w:bookmarkEnd w:id="11"/>
    </w:p>
    <w:p>
      <w:pPr>
        <w:pStyle w:val="125"/>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12"/>
    </w:p>
    <w:p>
      <w:pPr>
        <w:pStyle w:val="125"/>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fldChar w:fldCharType="separate"/>
      </w:r>
      <w:r>
        <w:rPr>
          <w:b/>
          <w:sz w:val="21"/>
          <w:szCs w:val="28"/>
        </w:rPr>
        <w:fldChar w:fldCharType="end"/>
      </w:r>
      <w:bookmarkEnd w:id="13"/>
    </w:p>
    <w:p>
      <w:pPr>
        <w:pStyle w:val="193"/>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hint="eastAsia"/>
        </w:rPr>
        <w:t>发布</w:t>
      </w:r>
    </w:p>
    <w:p>
      <w:pPr>
        <w:pStyle w:val="194"/>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9"/>
      <w:r>
        <w:rPr>
          <w:rFonts w:hint="eastAsia"/>
        </w:rPr>
        <w:t>实施</w:t>
      </w:r>
    </w:p>
    <w:p>
      <w:pPr>
        <w:pStyle w:val="151"/>
        <w:framePr w:h="584" w:hRule="exact" w:hSpace="181" w:vSpace="181" w:wrap="around" w:y="15027"/>
        <w:rPr>
          <w:rFonts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fldChar w:fldCharType="separate"/>
      </w:r>
      <w:r>
        <w:rPr>
          <w:rFonts w:hint="eastAsia" w:hAnsi="黑体"/>
          <w:w w:val="100"/>
          <w:sz w:val="28"/>
        </w:rPr>
        <w:t>台州市市场监督管理局</w:t>
      </w:r>
      <w:r>
        <w:rPr>
          <w:rFonts w:hAnsi="黑体"/>
          <w:w w:val="100"/>
          <w:sz w:val="28"/>
        </w:rPr>
        <w:fldChar w:fldCharType="end"/>
      </w:r>
      <w:bookmarkEnd w:id="20"/>
      <w:r>
        <w:rPr>
          <w:rFonts w:ascii="Times New Roman"/>
          <w:w w:val="100"/>
          <w:sz w:val="28"/>
        </w:rPr>
        <w:t>  </w:t>
      </w:r>
      <w:r>
        <w:rPr>
          <w:rStyle w:val="229"/>
          <w:rFonts w:hint="eastAsia" w:hAnsi="黑体"/>
          <w:position w:val="0"/>
        </w:rPr>
        <w:t>发</w:t>
      </w:r>
      <w:r>
        <w:rPr>
          <w:rStyle w:val="229"/>
          <w:rFonts w:hint="eastAsia" w:hAnsi="黑体"/>
          <w:spacing w:val="0"/>
          <w:position w:val="0"/>
        </w:rPr>
        <w:t>布</w:t>
      </w:r>
    </w:p>
    <w:p>
      <w:pPr>
        <w:rPr>
          <w:rFonts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338" w:right="1134" w:bottom="1021" w:left="1134" w:header="0" w:footer="0"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pPr>
        <w:pStyle w:val="91"/>
        <w:spacing w:after="468"/>
        <w:rPr>
          <w:rFonts w:hint="eastAsia"/>
        </w:rPr>
      </w:pPr>
      <w:bookmarkStart w:id="21" w:name="BookMark1"/>
      <w:r>
        <w:rPr>
          <w:rFonts w:hint="eastAsia"/>
          <w:spacing w:val="320"/>
        </w:rPr>
        <w:t>目</w:t>
      </w:r>
      <w:r>
        <w:rPr>
          <w:rFonts w:hint="eastAsia"/>
        </w:rPr>
        <w:t>次</w:t>
      </w:r>
    </w:p>
    <w:p>
      <w:pPr>
        <w:pStyle w:val="19"/>
        <w:tabs>
          <w:tab w:val="right" w:leader="dot" w:pos="9344"/>
        </w:tabs>
        <w:rPr>
          <w:rFonts w:asciiTheme="minorHAnsi" w:hAnsiTheme="minorHAnsi" w:eastAsiaTheme="minorEastAsia" w:cstheme="minorBidi"/>
          <w:szCs w:val="22"/>
          <w14:ligatures w14:val="standardContextual"/>
        </w:rPr>
      </w:pPr>
      <w:r>
        <w:fldChar w:fldCharType="begin"/>
      </w:r>
      <w:r>
        <w:instrText xml:space="preserve"> TOC \o "1-1" \h \t "标准文件_一级条标题,2,标准文件_附录一级条标题,2," </w:instrText>
      </w:r>
      <w:r>
        <w:fldChar w:fldCharType="separate"/>
      </w:r>
      <w:r>
        <w:fldChar w:fldCharType="begin"/>
      </w:r>
      <w:r>
        <w:instrText xml:space="preserve"> HYPERLINK \l "_Toc164415098" </w:instrText>
      </w:r>
      <w:r>
        <w:fldChar w:fldCharType="separate"/>
      </w:r>
      <w:r>
        <w:rPr>
          <w:rStyle w:val="32"/>
        </w:rPr>
        <w:t>前言</w:t>
      </w:r>
      <w:r>
        <w:tab/>
      </w:r>
      <w:r>
        <w:fldChar w:fldCharType="begin"/>
      </w:r>
      <w:r>
        <w:instrText xml:space="preserve"> PAGEREF _Toc164415098 \h </w:instrText>
      </w:r>
      <w:r>
        <w:fldChar w:fldCharType="separate"/>
      </w:r>
      <w:r>
        <w:t>III</w:t>
      </w:r>
      <w:r>
        <w:fldChar w:fldCharType="end"/>
      </w:r>
      <w:r>
        <w:fldChar w:fldCharType="end"/>
      </w:r>
    </w:p>
    <w:p>
      <w:pPr>
        <w:pStyle w:val="19"/>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"_Toc164415099" </w:instrText>
      </w:r>
      <w:r>
        <w:fldChar w:fldCharType="separate"/>
      </w:r>
      <w:r>
        <w:rPr>
          <w:rStyle w:val="32"/>
        </w:rPr>
        <w:t>1  范围</w:t>
      </w:r>
      <w:r>
        <w:tab/>
      </w:r>
      <w:r>
        <w:fldChar w:fldCharType="begin"/>
      </w:r>
      <w:r>
        <w:instrText xml:space="preserve"> PAGEREF _Toc164415099 \h </w:instrText>
      </w:r>
      <w:r>
        <w:fldChar w:fldCharType="separate"/>
      </w:r>
      <w:r>
        <w:t>1</w:t>
      </w:r>
      <w:r>
        <w:fldChar w:fldCharType="end"/>
      </w:r>
      <w:r>
        <w:fldChar w:fldCharType="end"/>
      </w:r>
    </w:p>
    <w:p>
      <w:pPr>
        <w:pStyle w:val="19"/>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"_Toc164415100" </w:instrText>
      </w:r>
      <w:r>
        <w:fldChar w:fldCharType="separate"/>
      </w:r>
      <w:r>
        <w:rPr>
          <w:rStyle w:val="32"/>
        </w:rPr>
        <w:t>2  规范性引用文件</w:t>
      </w:r>
      <w:r>
        <w:tab/>
      </w:r>
      <w:r>
        <w:fldChar w:fldCharType="begin"/>
      </w:r>
      <w:r>
        <w:instrText xml:space="preserve"> PAGEREF _Toc164415100 \h </w:instrText>
      </w:r>
      <w:r>
        <w:fldChar w:fldCharType="separate"/>
      </w:r>
      <w:r>
        <w:t>1</w:t>
      </w:r>
      <w:r>
        <w:fldChar w:fldCharType="end"/>
      </w:r>
      <w:r>
        <w:fldChar w:fldCharType="end"/>
      </w:r>
    </w:p>
    <w:p>
      <w:pPr>
        <w:pStyle w:val="19"/>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"_Toc164415101" </w:instrText>
      </w:r>
      <w:r>
        <w:fldChar w:fldCharType="separate"/>
      </w:r>
      <w:r>
        <w:rPr>
          <w:rStyle w:val="32"/>
        </w:rPr>
        <w:t>3  术语和定义</w:t>
      </w:r>
      <w:r>
        <w:tab/>
      </w:r>
      <w:r>
        <w:fldChar w:fldCharType="begin"/>
      </w:r>
      <w:r>
        <w:instrText xml:space="preserve"> PAGEREF _Toc164415101 \h </w:instrText>
      </w:r>
      <w:r>
        <w:fldChar w:fldCharType="separate"/>
      </w:r>
      <w:r>
        <w:t>1</w:t>
      </w:r>
      <w:r>
        <w:fldChar w:fldCharType="end"/>
      </w:r>
      <w:r>
        <w:fldChar w:fldCharType="end"/>
      </w:r>
    </w:p>
    <w:p>
      <w:pPr>
        <w:pStyle w:val="19"/>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"_Toc164415102" </w:instrText>
      </w:r>
      <w:r>
        <w:fldChar w:fldCharType="separate"/>
      </w:r>
      <w:r>
        <w:rPr>
          <w:rStyle w:val="32"/>
        </w:rPr>
        <w:t>4  地理标志证明商标保护范围</w:t>
      </w:r>
      <w:r>
        <w:tab/>
      </w:r>
      <w:r>
        <w:fldChar w:fldCharType="begin"/>
      </w:r>
      <w:r>
        <w:instrText xml:space="preserve"> PAGEREF _Toc164415102 \h </w:instrText>
      </w:r>
      <w:r>
        <w:fldChar w:fldCharType="separate"/>
      </w:r>
      <w:r>
        <w:t>2</w:t>
      </w:r>
      <w:r>
        <w:fldChar w:fldCharType="end"/>
      </w:r>
      <w:r>
        <w:fldChar w:fldCharType="end"/>
      </w:r>
    </w:p>
    <w:p>
      <w:pPr>
        <w:pStyle w:val="19"/>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"_Toc164415103" </w:instrText>
      </w:r>
      <w:r>
        <w:fldChar w:fldCharType="separate"/>
      </w:r>
      <w:r>
        <w:rPr>
          <w:rStyle w:val="32"/>
        </w:rPr>
        <w:t>5  园地选择</w:t>
      </w:r>
      <w:r>
        <w:tab/>
      </w:r>
      <w:r>
        <w:fldChar w:fldCharType="begin"/>
      </w:r>
      <w:r>
        <w:instrText xml:space="preserve"> PAGEREF _Toc164415103 \h </w:instrText>
      </w:r>
      <w:r>
        <w:fldChar w:fldCharType="separate"/>
      </w:r>
      <w:r>
        <w:t>2</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"_Toc164415104" </w:instrText>
      </w:r>
      <w:r>
        <w:fldChar w:fldCharType="separate"/>
      </w:r>
      <w:r>
        <w:rPr>
          <w:rStyle w:val="32"/>
          <w14:scene3d w14:prst="orthographicFront">
            <w14:lightRig w14:rig="threePt" w14:dir="t">
              <w14:rot w14:lat="0" w14:lon="0" w14:rev="0"/>
            </w14:lightRig>
          </w14:scene3d>
        </w:rPr>
        <w:t xml:space="preserve">5.1 </w:t>
      </w:r>
      <w:r>
        <w:rPr>
          <w:rStyle w:val="32"/>
        </w:rPr>
        <w:t xml:space="preserve"> 环境要求</w:t>
      </w:r>
      <w:r>
        <w:tab/>
      </w:r>
      <w:r>
        <w:fldChar w:fldCharType="begin"/>
      </w:r>
      <w:r>
        <w:instrText xml:space="preserve"> PAGEREF _Toc164415104 \h </w:instrText>
      </w:r>
      <w:r>
        <w:fldChar w:fldCharType="separate"/>
      </w:r>
      <w:r>
        <w:t>2</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"_Toc164415105" </w:instrText>
      </w:r>
      <w:r>
        <w:fldChar w:fldCharType="separate"/>
      </w:r>
      <w:r>
        <w:rPr>
          <w:rStyle w:val="32"/>
          <w14:scene3d w14:prst="orthographicFront">
            <w14:lightRig w14:rig="threePt" w14:dir="t">
              <w14:rot w14:lat="0" w14:lon="0" w14:rev="0"/>
            </w14:lightRig>
          </w14:scene3d>
        </w:rPr>
        <w:t xml:space="preserve">5.2 </w:t>
      </w:r>
      <w:r>
        <w:rPr>
          <w:rStyle w:val="32"/>
        </w:rPr>
        <w:t xml:space="preserve"> 土壤条件</w:t>
      </w:r>
      <w:r>
        <w:tab/>
      </w:r>
      <w:r>
        <w:fldChar w:fldCharType="begin"/>
      </w:r>
      <w:r>
        <w:instrText xml:space="preserve"> PAGEREF _Toc164415105 \h </w:instrText>
      </w:r>
      <w:r>
        <w:fldChar w:fldCharType="separate"/>
      </w:r>
      <w:r>
        <w:t>2</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"_Toc164415106" </w:instrText>
      </w:r>
      <w:r>
        <w:fldChar w:fldCharType="separate"/>
      </w:r>
      <w:r>
        <w:rPr>
          <w:rStyle w:val="32"/>
          <w14:scene3d w14:prst="orthographicFront">
            <w14:lightRig w14:rig="threePt" w14:dir="t">
              <w14:rot w14:lat="0" w14:lon="0" w14:rev="0"/>
            </w14:lightRig>
          </w14:scene3d>
        </w:rPr>
        <w:t xml:space="preserve">5.3 </w:t>
      </w:r>
      <w:r>
        <w:rPr>
          <w:rStyle w:val="32"/>
        </w:rPr>
        <w:t xml:space="preserve"> 气候条件</w:t>
      </w:r>
      <w:r>
        <w:tab/>
      </w:r>
      <w:r>
        <w:fldChar w:fldCharType="begin"/>
      </w:r>
      <w:r>
        <w:instrText xml:space="preserve"> PAGEREF _Toc164415106 \h </w:instrText>
      </w:r>
      <w:r>
        <w:fldChar w:fldCharType="separate"/>
      </w:r>
      <w:r>
        <w:t>2</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"_Toc164415107" </w:instrText>
      </w:r>
      <w:r>
        <w:fldChar w:fldCharType="separate"/>
      </w:r>
      <w:r>
        <w:rPr>
          <w:rStyle w:val="32"/>
          <w14:scene3d w14:prst="orthographicFront">
            <w14:lightRig w14:rig="threePt" w14:dir="t">
              <w14:rot w14:lat="0" w14:lon="0" w14:rev="0"/>
            </w14:lightRig>
          </w14:scene3d>
        </w:rPr>
        <w:t xml:space="preserve">5.4 </w:t>
      </w:r>
      <w:r>
        <w:rPr>
          <w:rStyle w:val="32"/>
        </w:rPr>
        <w:t xml:space="preserve"> 地形地势</w:t>
      </w:r>
      <w:r>
        <w:tab/>
      </w:r>
      <w:r>
        <w:fldChar w:fldCharType="begin"/>
      </w:r>
      <w:r>
        <w:instrText xml:space="preserve"> PAGEREF _Toc164415107 \h </w:instrText>
      </w:r>
      <w:r>
        <w:fldChar w:fldCharType="separate"/>
      </w:r>
      <w:r>
        <w:t>2</w:t>
      </w:r>
      <w:r>
        <w:fldChar w:fldCharType="end"/>
      </w:r>
      <w:r>
        <w:fldChar w:fldCharType="end"/>
      </w:r>
    </w:p>
    <w:p>
      <w:pPr>
        <w:pStyle w:val="19"/>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"_Toc164415108" </w:instrText>
      </w:r>
      <w:r>
        <w:fldChar w:fldCharType="separate"/>
      </w:r>
      <w:r>
        <w:rPr>
          <w:rStyle w:val="32"/>
        </w:rPr>
        <w:t>6  建园</w:t>
      </w:r>
      <w:r>
        <w:tab/>
      </w:r>
      <w:r>
        <w:fldChar w:fldCharType="begin"/>
      </w:r>
      <w:r>
        <w:instrText xml:space="preserve"> PAGEREF _Toc164415108 \h </w:instrText>
      </w:r>
      <w:r>
        <w:fldChar w:fldCharType="separate"/>
      </w:r>
      <w:r>
        <w:t>2</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"_Toc164415109" </w:instrText>
      </w:r>
      <w:r>
        <w:fldChar w:fldCharType="separate"/>
      </w:r>
      <w:r>
        <w:rPr>
          <w:rStyle w:val="32"/>
          <w14:scene3d w14:prst="orthographicFront">
            <w14:lightRig w14:rig="threePt" w14:dir="t">
              <w14:rot w14:lat="0" w14:lon="0" w14:rev="0"/>
            </w14:lightRig>
          </w14:scene3d>
        </w:rPr>
        <w:t xml:space="preserve">6.1 </w:t>
      </w:r>
      <w:r>
        <w:rPr>
          <w:rStyle w:val="32"/>
        </w:rPr>
        <w:t xml:space="preserve"> 园地规划</w:t>
      </w:r>
      <w:r>
        <w:tab/>
      </w:r>
      <w:r>
        <w:fldChar w:fldCharType="begin"/>
      </w:r>
      <w:r>
        <w:instrText xml:space="preserve"> PAGEREF _Toc164415109 \h </w:instrText>
      </w:r>
      <w:r>
        <w:fldChar w:fldCharType="separate"/>
      </w:r>
      <w:r>
        <w:t>2</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"_Toc164415110" </w:instrText>
      </w:r>
      <w:r>
        <w:fldChar w:fldCharType="separate"/>
      </w:r>
      <w:r>
        <w:rPr>
          <w:rStyle w:val="32"/>
          <w14:scene3d w14:prst="orthographicFront">
            <w14:lightRig w14:rig="threePt" w14:dir="t">
              <w14:rot w14:lat="0" w14:lon="0" w14:rev="0"/>
            </w14:lightRig>
          </w14:scene3d>
        </w:rPr>
        <w:t xml:space="preserve">6.2 </w:t>
      </w:r>
      <w:r>
        <w:rPr>
          <w:rStyle w:val="32"/>
        </w:rPr>
        <w:t xml:space="preserve"> 园地整理</w:t>
      </w:r>
      <w:r>
        <w:tab/>
      </w:r>
      <w:r>
        <w:fldChar w:fldCharType="begin"/>
      </w:r>
      <w:r>
        <w:instrText xml:space="preserve"> PAGEREF _Toc164415110 \h </w:instrText>
      </w:r>
      <w:r>
        <w:fldChar w:fldCharType="separate"/>
      </w:r>
      <w:r>
        <w:t>2</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"_Toc164415111" </w:instrText>
      </w:r>
      <w:r>
        <w:fldChar w:fldCharType="separate"/>
      </w:r>
      <w:r>
        <w:rPr>
          <w:rStyle w:val="32"/>
          <w14:scene3d w14:prst="orthographicFront">
            <w14:lightRig w14:rig="threePt" w14:dir="t">
              <w14:rot w14:lat="0" w14:lon="0" w14:rev="0"/>
            </w14:lightRig>
          </w14:scene3d>
        </w:rPr>
        <w:t xml:space="preserve">6.3 </w:t>
      </w:r>
      <w:r>
        <w:rPr>
          <w:rStyle w:val="32"/>
        </w:rPr>
        <w:t xml:space="preserve"> 栽植前准备</w:t>
      </w:r>
      <w:r>
        <w:tab/>
      </w:r>
      <w:r>
        <w:fldChar w:fldCharType="begin"/>
      </w:r>
      <w:r>
        <w:instrText xml:space="preserve"> PAGEREF _Toc164415111 \h </w:instrText>
      </w:r>
      <w:r>
        <w:fldChar w:fldCharType="separate"/>
      </w:r>
      <w:r>
        <w:t>2</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"_Toc164415112" </w:instrText>
      </w:r>
      <w:r>
        <w:fldChar w:fldCharType="separate"/>
      </w:r>
      <w:r>
        <w:rPr>
          <w:rStyle w:val="32"/>
          <w14:scene3d w14:prst="orthographicFront">
            <w14:lightRig w14:rig="threePt" w14:dir="t">
              <w14:rot w14:lat="0" w14:lon="0" w14:rev="0"/>
            </w14:lightRig>
          </w14:scene3d>
        </w:rPr>
        <w:t xml:space="preserve">6.4 </w:t>
      </w:r>
      <w:r>
        <w:rPr>
          <w:rStyle w:val="32"/>
        </w:rPr>
        <w:t xml:space="preserve"> 栽植</w:t>
      </w:r>
      <w:r>
        <w:tab/>
      </w:r>
      <w:r>
        <w:fldChar w:fldCharType="begin"/>
      </w:r>
      <w:r>
        <w:instrText xml:space="preserve"> PAGEREF _Toc164415112 \h </w:instrText>
      </w:r>
      <w:r>
        <w:fldChar w:fldCharType="separate"/>
      </w:r>
      <w:r>
        <w:t>3</w:t>
      </w:r>
      <w:r>
        <w:fldChar w:fldCharType="end"/>
      </w:r>
      <w:r>
        <w:fldChar w:fldCharType="end"/>
      </w:r>
    </w:p>
    <w:p>
      <w:pPr>
        <w:pStyle w:val="19"/>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"_Toc164415113" </w:instrText>
      </w:r>
      <w:r>
        <w:fldChar w:fldCharType="separate"/>
      </w:r>
      <w:r>
        <w:rPr>
          <w:rStyle w:val="32"/>
        </w:rPr>
        <w:t>7  土肥水管理</w:t>
      </w:r>
      <w:r>
        <w:tab/>
      </w:r>
      <w:r>
        <w:fldChar w:fldCharType="begin"/>
      </w:r>
      <w:r>
        <w:instrText xml:space="preserve"> PAGEREF _Toc164415113 \h </w:instrText>
      </w:r>
      <w:r>
        <w:fldChar w:fldCharType="separate"/>
      </w:r>
      <w:r>
        <w:t>3</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"_Toc164415114" </w:instrText>
      </w:r>
      <w:r>
        <w:fldChar w:fldCharType="separate"/>
      </w:r>
      <w:r>
        <w:rPr>
          <w:rStyle w:val="32"/>
          <w14:scene3d w14:prst="orthographicFront">
            <w14:lightRig w14:rig="threePt" w14:dir="t">
              <w14:rot w14:lat="0" w14:lon="0" w14:rev="0"/>
            </w14:lightRig>
          </w14:scene3d>
        </w:rPr>
        <w:t xml:space="preserve">7.1 </w:t>
      </w:r>
      <w:r>
        <w:rPr>
          <w:rStyle w:val="32"/>
        </w:rPr>
        <w:t xml:space="preserve"> 土壤管理</w:t>
      </w:r>
      <w:r>
        <w:tab/>
      </w:r>
      <w:r>
        <w:fldChar w:fldCharType="begin"/>
      </w:r>
      <w:r>
        <w:instrText xml:space="preserve"> PAGEREF _Toc164415114 \h </w:instrText>
      </w:r>
      <w:r>
        <w:fldChar w:fldCharType="separate"/>
      </w:r>
      <w:r>
        <w:t>3</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"_Toc164415115" </w:instrText>
      </w:r>
      <w:r>
        <w:fldChar w:fldCharType="separate"/>
      </w:r>
      <w:r>
        <w:rPr>
          <w:rStyle w:val="32"/>
          <w14:scene3d w14:prst="orthographicFront">
            <w14:lightRig w14:rig="threePt" w14:dir="t">
              <w14:rot w14:lat="0" w14:lon="0" w14:rev="0"/>
            </w14:lightRig>
          </w14:scene3d>
        </w:rPr>
        <w:t xml:space="preserve">7.2 </w:t>
      </w:r>
      <w:r>
        <w:rPr>
          <w:rStyle w:val="32"/>
        </w:rPr>
        <w:t xml:space="preserve"> 施肥管理</w:t>
      </w:r>
      <w:r>
        <w:tab/>
      </w:r>
      <w:r>
        <w:fldChar w:fldCharType="begin"/>
      </w:r>
      <w:r>
        <w:instrText xml:space="preserve"> PAGEREF _Toc164415115 \h </w:instrText>
      </w:r>
      <w:r>
        <w:fldChar w:fldCharType="separate"/>
      </w:r>
      <w:r>
        <w:t>3</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"_Toc164415116" </w:instrText>
      </w:r>
      <w:r>
        <w:fldChar w:fldCharType="separate"/>
      </w:r>
      <w:r>
        <w:rPr>
          <w:rStyle w:val="32"/>
          <w14:scene3d w14:prst="orthographicFront">
            <w14:lightRig w14:rig="threePt" w14:dir="t">
              <w14:rot w14:lat="0" w14:lon="0" w14:rev="0"/>
            </w14:lightRig>
          </w14:scene3d>
        </w:rPr>
        <w:t xml:space="preserve">7.3 </w:t>
      </w:r>
      <w:r>
        <w:rPr>
          <w:rStyle w:val="32"/>
        </w:rPr>
        <w:t xml:space="preserve"> 水分管理</w:t>
      </w:r>
      <w:r>
        <w:tab/>
      </w:r>
      <w:r>
        <w:fldChar w:fldCharType="begin"/>
      </w:r>
      <w:r>
        <w:instrText xml:space="preserve"> PAGEREF _Toc164415116 \h </w:instrText>
      </w:r>
      <w:r>
        <w:fldChar w:fldCharType="separate"/>
      </w:r>
      <w:r>
        <w:t>4</w:t>
      </w:r>
      <w:r>
        <w:fldChar w:fldCharType="end"/>
      </w:r>
      <w:r>
        <w:fldChar w:fldCharType="end"/>
      </w:r>
    </w:p>
    <w:p>
      <w:pPr>
        <w:pStyle w:val="19"/>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"_Toc164415117" </w:instrText>
      </w:r>
      <w:r>
        <w:fldChar w:fldCharType="separate"/>
      </w:r>
      <w:r>
        <w:rPr>
          <w:rStyle w:val="32"/>
        </w:rPr>
        <w:t>8  整形修剪</w:t>
      </w:r>
      <w:r>
        <w:tab/>
      </w:r>
      <w:r>
        <w:fldChar w:fldCharType="begin"/>
      </w:r>
      <w:r>
        <w:instrText xml:space="preserve"> PAGEREF _Toc164415117 \h </w:instrText>
      </w:r>
      <w:r>
        <w:fldChar w:fldCharType="separate"/>
      </w:r>
      <w:r>
        <w:t>4</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"_Toc164415118" </w:instrText>
      </w:r>
      <w:r>
        <w:fldChar w:fldCharType="separate"/>
      </w:r>
      <w:r>
        <w:rPr>
          <w:rStyle w:val="32"/>
          <w14:scene3d w14:prst="orthographicFront">
            <w14:lightRig w14:rig="threePt" w14:dir="t">
              <w14:rot w14:lat="0" w14:lon="0" w14:rev="0"/>
            </w14:lightRig>
          </w14:scene3d>
        </w:rPr>
        <w:t xml:space="preserve">8.1 </w:t>
      </w:r>
      <w:r>
        <w:rPr>
          <w:rStyle w:val="32"/>
        </w:rPr>
        <w:t xml:space="preserve"> 时期</w:t>
      </w:r>
      <w:r>
        <w:tab/>
      </w:r>
      <w:r>
        <w:fldChar w:fldCharType="begin"/>
      </w:r>
      <w:r>
        <w:instrText xml:space="preserve"> PAGEREF _Toc164415118 \h </w:instrText>
      </w:r>
      <w:r>
        <w:fldChar w:fldCharType="separate"/>
      </w:r>
      <w:r>
        <w:t>4</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"_Toc164415119" </w:instrText>
      </w:r>
      <w:r>
        <w:fldChar w:fldCharType="separate"/>
      </w:r>
      <w:r>
        <w:rPr>
          <w:rStyle w:val="32"/>
          <w14:scene3d w14:prst="orthographicFront">
            <w14:lightRig w14:rig="threePt" w14:dir="t">
              <w14:rot w14:lat="0" w14:lon="0" w14:rev="0"/>
            </w14:lightRig>
          </w14:scene3d>
        </w:rPr>
        <w:t xml:space="preserve">8.2 </w:t>
      </w:r>
      <w:r>
        <w:rPr>
          <w:rStyle w:val="32"/>
        </w:rPr>
        <w:t xml:space="preserve"> 方法</w:t>
      </w:r>
      <w:r>
        <w:tab/>
      </w:r>
      <w:r>
        <w:fldChar w:fldCharType="begin"/>
      </w:r>
      <w:r>
        <w:instrText xml:space="preserve"> PAGEREF _Toc164415119 \h </w:instrText>
      </w:r>
      <w:r>
        <w:fldChar w:fldCharType="separate"/>
      </w:r>
      <w:r>
        <w:t>4</w:t>
      </w:r>
      <w:r>
        <w:fldChar w:fldCharType="end"/>
      </w:r>
      <w:r>
        <w:fldChar w:fldCharType="end"/>
      </w:r>
    </w:p>
    <w:p>
      <w:pPr>
        <w:pStyle w:val="19"/>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"_Toc164415120" </w:instrText>
      </w:r>
      <w:r>
        <w:fldChar w:fldCharType="separate"/>
      </w:r>
      <w:r>
        <w:rPr>
          <w:rStyle w:val="32"/>
        </w:rPr>
        <w:t>9  花果管理</w:t>
      </w:r>
      <w:r>
        <w:tab/>
      </w:r>
      <w:r>
        <w:fldChar w:fldCharType="begin"/>
      </w:r>
      <w:r>
        <w:instrText xml:space="preserve"> PAGEREF _Toc164415120 \h </w:instrText>
      </w:r>
      <w:r>
        <w:fldChar w:fldCharType="separate"/>
      </w:r>
      <w:r>
        <w:t>5</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"_Toc164415121" </w:instrText>
      </w:r>
      <w:r>
        <w:fldChar w:fldCharType="separate"/>
      </w:r>
      <w:r>
        <w:rPr>
          <w:rStyle w:val="32"/>
          <w14:scene3d w14:prst="orthographicFront">
            <w14:lightRig w14:rig="threePt" w14:dir="t">
              <w14:rot w14:lat="0" w14:lon="0" w14:rev="0"/>
            </w14:lightRig>
          </w14:scene3d>
        </w:rPr>
        <w:t xml:space="preserve">9.1 </w:t>
      </w:r>
      <w:r>
        <w:rPr>
          <w:rStyle w:val="32"/>
        </w:rPr>
        <w:t xml:space="preserve"> 疏花疏果</w:t>
      </w:r>
      <w:r>
        <w:tab/>
      </w:r>
      <w:r>
        <w:fldChar w:fldCharType="begin"/>
      </w:r>
      <w:r>
        <w:instrText xml:space="preserve"> PAGEREF _Toc164415121 \h </w:instrText>
      </w:r>
      <w:r>
        <w:fldChar w:fldCharType="separate"/>
      </w:r>
      <w:r>
        <w:t>5</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"_Toc164415122" </w:instrText>
      </w:r>
      <w:r>
        <w:fldChar w:fldCharType="separate"/>
      </w:r>
      <w:r>
        <w:rPr>
          <w:rStyle w:val="32"/>
          <w14:scene3d w14:prst="orthographicFront">
            <w14:lightRig w14:rig="threePt" w14:dir="t">
              <w14:rot w14:lat="0" w14:lon="0" w14:rev="0"/>
            </w14:lightRig>
          </w14:scene3d>
        </w:rPr>
        <w:t xml:space="preserve">9.2 </w:t>
      </w:r>
      <w:r>
        <w:rPr>
          <w:rStyle w:val="32"/>
        </w:rPr>
        <w:t xml:space="preserve"> 辅助授粉</w:t>
      </w:r>
      <w:r>
        <w:tab/>
      </w:r>
      <w:r>
        <w:fldChar w:fldCharType="begin"/>
      </w:r>
      <w:r>
        <w:instrText xml:space="preserve"> PAGEREF _Toc164415122 \h </w:instrText>
      </w:r>
      <w:r>
        <w:fldChar w:fldCharType="separate"/>
      </w:r>
      <w:r>
        <w:t>5</w:t>
      </w:r>
      <w:r>
        <w:fldChar w:fldCharType="end"/>
      </w:r>
      <w:r>
        <w:fldChar w:fldCharType="end"/>
      </w:r>
    </w:p>
    <w:p>
      <w:pPr>
        <w:pStyle w:val="19"/>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"_Toc164415123" </w:instrText>
      </w:r>
      <w:r>
        <w:fldChar w:fldCharType="separate"/>
      </w:r>
      <w:r>
        <w:rPr>
          <w:rStyle w:val="32"/>
        </w:rPr>
        <w:t>10  病虫害防治</w:t>
      </w:r>
      <w:r>
        <w:tab/>
      </w:r>
      <w:r>
        <w:fldChar w:fldCharType="begin"/>
      </w:r>
      <w:r>
        <w:instrText xml:space="preserve"> PAGEREF _Toc164415123 \h </w:instrText>
      </w:r>
      <w:r>
        <w:fldChar w:fldCharType="separate"/>
      </w:r>
      <w:r>
        <w:t>5</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"_Toc164415124" </w:instrText>
      </w:r>
      <w:r>
        <w:fldChar w:fldCharType="separate"/>
      </w:r>
      <w:r>
        <w:rPr>
          <w:rStyle w:val="32"/>
          <w14:scene3d w14:prst="orthographicFront">
            <w14:lightRig w14:rig="threePt" w14:dir="t">
              <w14:rot w14:lat="0" w14:lon="0" w14:rev="0"/>
            </w14:lightRig>
          </w14:scene3d>
        </w:rPr>
        <w:t xml:space="preserve">10.1 </w:t>
      </w:r>
      <w:r>
        <w:rPr>
          <w:rStyle w:val="32"/>
        </w:rPr>
        <w:t xml:space="preserve"> 防治原则</w:t>
      </w:r>
      <w:r>
        <w:tab/>
      </w:r>
      <w:r>
        <w:fldChar w:fldCharType="begin"/>
      </w:r>
      <w:r>
        <w:instrText xml:space="preserve"> PAGEREF _Toc164415124 \h </w:instrText>
      </w:r>
      <w:r>
        <w:fldChar w:fldCharType="separate"/>
      </w:r>
      <w:r>
        <w:t>5</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"_Toc164415125" </w:instrText>
      </w:r>
      <w:r>
        <w:fldChar w:fldCharType="separate"/>
      </w:r>
      <w:r>
        <w:rPr>
          <w:rStyle w:val="32"/>
          <w14:scene3d w14:prst="orthographicFront">
            <w14:lightRig w14:rig="threePt" w14:dir="t">
              <w14:rot w14:lat="0" w14:lon="0" w14:rev="0"/>
            </w14:lightRig>
          </w14:scene3d>
        </w:rPr>
        <w:t xml:space="preserve">10.2 </w:t>
      </w:r>
      <w:r>
        <w:rPr>
          <w:rStyle w:val="32"/>
        </w:rPr>
        <w:t xml:space="preserve"> 防治对象</w:t>
      </w:r>
      <w:r>
        <w:tab/>
      </w:r>
      <w:r>
        <w:fldChar w:fldCharType="begin"/>
      </w:r>
      <w:r>
        <w:instrText xml:space="preserve"> PAGEREF _Toc164415125 \h </w:instrText>
      </w:r>
      <w:r>
        <w:fldChar w:fldCharType="separate"/>
      </w:r>
      <w:r>
        <w:t>5</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"_Toc164415126" </w:instrText>
      </w:r>
      <w:r>
        <w:fldChar w:fldCharType="separate"/>
      </w:r>
      <w:r>
        <w:rPr>
          <w:rStyle w:val="32"/>
          <w14:scene3d w14:prst="orthographicFront">
            <w14:lightRig w14:rig="threePt" w14:dir="t">
              <w14:rot w14:lat="0" w14:lon="0" w14:rev="0"/>
            </w14:lightRig>
          </w14:scene3d>
        </w:rPr>
        <w:t xml:space="preserve">10.3 </w:t>
      </w:r>
      <w:r>
        <w:rPr>
          <w:rStyle w:val="32"/>
        </w:rPr>
        <w:t xml:space="preserve"> 防治措施</w:t>
      </w:r>
      <w:r>
        <w:tab/>
      </w:r>
      <w:r>
        <w:fldChar w:fldCharType="begin"/>
      </w:r>
      <w:r>
        <w:instrText xml:space="preserve"> PAGEREF _Toc164415126 \h </w:instrText>
      </w:r>
      <w:r>
        <w:fldChar w:fldCharType="separate"/>
      </w:r>
      <w:r>
        <w:t>5</w:t>
      </w:r>
      <w:r>
        <w:fldChar w:fldCharType="end"/>
      </w:r>
      <w:r>
        <w:fldChar w:fldCharType="end"/>
      </w:r>
    </w:p>
    <w:p>
      <w:pPr>
        <w:pStyle w:val="19"/>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"_Toc164415127" </w:instrText>
      </w:r>
      <w:r>
        <w:fldChar w:fldCharType="separate"/>
      </w:r>
      <w:r>
        <w:rPr>
          <w:rStyle w:val="32"/>
        </w:rPr>
        <w:t>11  果实采收</w:t>
      </w:r>
      <w:r>
        <w:tab/>
      </w:r>
      <w:r>
        <w:fldChar w:fldCharType="begin"/>
      </w:r>
      <w:r>
        <w:instrText xml:space="preserve"> PAGEREF _Toc164415127 \h </w:instrText>
      </w:r>
      <w:r>
        <w:fldChar w:fldCharType="separate"/>
      </w:r>
      <w:r>
        <w:t>6</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"_Toc164415128" </w:instrText>
      </w:r>
      <w:r>
        <w:fldChar w:fldCharType="separate"/>
      </w:r>
      <w:r>
        <w:rPr>
          <w:rStyle w:val="32"/>
          <w14:scene3d w14:prst="orthographicFront">
            <w14:lightRig w14:rig="threePt" w14:dir="t">
              <w14:rot w14:lat="0" w14:lon="0" w14:rev="0"/>
            </w14:lightRig>
          </w14:scene3d>
        </w:rPr>
        <w:t xml:space="preserve">11.1 </w:t>
      </w:r>
      <w:r>
        <w:rPr>
          <w:rStyle w:val="32"/>
        </w:rPr>
        <w:t xml:space="preserve"> 采收时期</w:t>
      </w:r>
      <w:r>
        <w:tab/>
      </w:r>
      <w:r>
        <w:fldChar w:fldCharType="begin"/>
      </w:r>
      <w:r>
        <w:instrText xml:space="preserve"> PAGEREF _Toc164415128 \h </w:instrText>
      </w:r>
      <w:r>
        <w:fldChar w:fldCharType="separate"/>
      </w:r>
      <w:r>
        <w:t>6</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"_Toc164415129" </w:instrText>
      </w:r>
      <w:r>
        <w:fldChar w:fldCharType="separate"/>
      </w:r>
      <w:r>
        <w:rPr>
          <w:rStyle w:val="32"/>
          <w14:scene3d w14:prst="orthographicFront">
            <w14:lightRig w14:rig="threePt" w14:dir="t">
              <w14:rot w14:lat="0" w14:lon="0" w14:rev="0"/>
            </w14:lightRig>
          </w14:scene3d>
        </w:rPr>
        <w:t xml:space="preserve">11.2 </w:t>
      </w:r>
      <w:r>
        <w:rPr>
          <w:rStyle w:val="32"/>
        </w:rPr>
        <w:t xml:space="preserve"> 采收时间</w:t>
      </w:r>
      <w:r>
        <w:tab/>
      </w:r>
      <w:r>
        <w:fldChar w:fldCharType="begin"/>
      </w:r>
      <w:r>
        <w:instrText xml:space="preserve"> PAGEREF _Toc164415129 \h </w:instrText>
      </w:r>
      <w:r>
        <w:fldChar w:fldCharType="separate"/>
      </w:r>
      <w:r>
        <w:t>6</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"_Toc164415130" </w:instrText>
      </w:r>
      <w:r>
        <w:fldChar w:fldCharType="separate"/>
      </w:r>
      <w:r>
        <w:rPr>
          <w:rStyle w:val="32"/>
          <w14:scene3d w14:prst="orthographicFront">
            <w14:lightRig w14:rig="threePt" w14:dir="t">
              <w14:rot w14:lat="0" w14:lon="0" w14:rev="0"/>
            </w14:lightRig>
          </w14:scene3d>
        </w:rPr>
        <w:t xml:space="preserve">11.3 </w:t>
      </w:r>
      <w:r>
        <w:rPr>
          <w:rStyle w:val="32"/>
        </w:rPr>
        <w:t xml:space="preserve"> 采收方法</w:t>
      </w:r>
      <w:r>
        <w:tab/>
      </w:r>
      <w:r>
        <w:fldChar w:fldCharType="begin"/>
      </w:r>
      <w:r>
        <w:instrText xml:space="preserve"> PAGEREF _Toc164415130 \h </w:instrText>
      </w:r>
      <w:r>
        <w:fldChar w:fldCharType="separate"/>
      </w:r>
      <w:r>
        <w:t>6</w:t>
      </w:r>
      <w:r>
        <w:fldChar w:fldCharType="end"/>
      </w:r>
      <w:r>
        <w:fldChar w:fldCharType="end"/>
      </w:r>
    </w:p>
    <w:p>
      <w:pPr>
        <w:pStyle w:val="19"/>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"_Toc164415131" </w:instrText>
      </w:r>
      <w:r>
        <w:fldChar w:fldCharType="separate"/>
      </w:r>
      <w:r>
        <w:rPr>
          <w:rStyle w:val="32"/>
        </w:rPr>
        <w:t>12  质量要求</w:t>
      </w:r>
      <w:r>
        <w:tab/>
      </w:r>
      <w:r>
        <w:fldChar w:fldCharType="begin"/>
      </w:r>
      <w:r>
        <w:instrText xml:space="preserve"> PAGEREF _Toc164415131 \h </w:instrText>
      </w:r>
      <w:r>
        <w:fldChar w:fldCharType="separate"/>
      </w:r>
      <w:r>
        <w:t>6</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"_Toc164415132" </w:instrText>
      </w:r>
      <w:r>
        <w:fldChar w:fldCharType="separate"/>
      </w:r>
      <w:r>
        <w:rPr>
          <w:rStyle w:val="32"/>
          <w14:scene3d w14:prst="orthographicFront">
            <w14:lightRig w14:rig="threePt" w14:dir="t">
              <w14:rot w14:lat="0" w14:lon="0" w14:rev="0"/>
            </w14:lightRig>
          </w14:scene3d>
        </w:rPr>
        <w:t xml:space="preserve">12.1 </w:t>
      </w:r>
      <w:r>
        <w:rPr>
          <w:rStyle w:val="32"/>
        </w:rPr>
        <w:t xml:space="preserve"> 基本要求</w:t>
      </w:r>
      <w:r>
        <w:tab/>
      </w:r>
      <w:r>
        <w:fldChar w:fldCharType="begin"/>
      </w:r>
      <w:r>
        <w:instrText xml:space="preserve"> PAGEREF _Toc164415132 \h </w:instrText>
      </w:r>
      <w:r>
        <w:fldChar w:fldCharType="separate"/>
      </w:r>
      <w:r>
        <w:t>6</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"_Toc164415133" </w:instrText>
      </w:r>
      <w:r>
        <w:fldChar w:fldCharType="separate"/>
      </w:r>
      <w:r>
        <w:rPr>
          <w:rStyle w:val="32"/>
          <w14:scene3d w14:prst="orthographicFront">
            <w14:lightRig w14:rig="threePt" w14:dir="t">
              <w14:rot w14:lat="0" w14:lon="0" w14:rev="0"/>
            </w14:lightRig>
          </w14:scene3d>
        </w:rPr>
        <w:t xml:space="preserve">12.2 </w:t>
      </w:r>
      <w:r>
        <w:rPr>
          <w:rStyle w:val="32"/>
        </w:rPr>
        <w:t xml:space="preserve"> 理化要求</w:t>
      </w:r>
      <w:r>
        <w:tab/>
      </w:r>
      <w:r>
        <w:fldChar w:fldCharType="begin"/>
      </w:r>
      <w:r>
        <w:instrText xml:space="preserve"> PAGEREF _Toc164415133 \h </w:instrText>
      </w:r>
      <w:r>
        <w:fldChar w:fldCharType="separate"/>
      </w:r>
      <w:r>
        <w:t>6</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"_Toc164415134" </w:instrText>
      </w:r>
      <w:r>
        <w:fldChar w:fldCharType="separate"/>
      </w:r>
      <w:r>
        <w:rPr>
          <w:rStyle w:val="32"/>
          <w14:scene3d w14:prst="orthographicFront">
            <w14:lightRig w14:rig="threePt" w14:dir="t">
              <w14:rot w14:lat="0" w14:lon="0" w14:rev="0"/>
            </w14:lightRig>
          </w14:scene3d>
        </w:rPr>
        <w:t xml:space="preserve">12.3 </w:t>
      </w:r>
      <w:r>
        <w:rPr>
          <w:rStyle w:val="32"/>
        </w:rPr>
        <w:t xml:space="preserve"> 分级要求</w:t>
      </w:r>
      <w:r>
        <w:tab/>
      </w:r>
      <w:r>
        <w:fldChar w:fldCharType="begin"/>
      </w:r>
      <w:r>
        <w:instrText xml:space="preserve"> PAGEREF _Toc164415134 \h </w:instrText>
      </w:r>
      <w:r>
        <w:fldChar w:fldCharType="separate"/>
      </w:r>
      <w:r>
        <w:t>6</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"_Toc164415135" </w:instrText>
      </w:r>
      <w:r>
        <w:fldChar w:fldCharType="separate"/>
      </w:r>
      <w:r>
        <w:rPr>
          <w:rStyle w:val="32"/>
          <w14:scene3d w14:prst="orthographicFront">
            <w14:lightRig w14:rig="threePt" w14:dir="t">
              <w14:rot w14:lat="0" w14:lon="0" w14:rev="0"/>
            </w14:lightRig>
          </w14:scene3d>
        </w:rPr>
        <w:t xml:space="preserve">12.4 </w:t>
      </w:r>
      <w:r>
        <w:rPr>
          <w:rStyle w:val="32"/>
        </w:rPr>
        <w:t xml:space="preserve"> 规格</w:t>
      </w:r>
      <w:r>
        <w:tab/>
      </w:r>
      <w:r>
        <w:fldChar w:fldCharType="begin"/>
      </w:r>
      <w:r>
        <w:instrText xml:space="preserve"> PAGEREF _Toc164415135 \h </w:instrText>
      </w:r>
      <w:r>
        <w:fldChar w:fldCharType="separate"/>
      </w:r>
      <w:r>
        <w:t>7</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"_Toc164415136" </w:instrText>
      </w:r>
      <w:r>
        <w:fldChar w:fldCharType="separate"/>
      </w:r>
      <w:r>
        <w:rPr>
          <w:rStyle w:val="32"/>
          <w14:scene3d w14:prst="orthographicFront">
            <w14:lightRig w14:rig="threePt" w14:dir="t">
              <w14:rot w14:lat="0" w14:lon="0" w14:rev="0"/>
            </w14:lightRig>
          </w14:scene3d>
        </w:rPr>
        <w:t xml:space="preserve">12.5 </w:t>
      </w:r>
      <w:r>
        <w:rPr>
          <w:rStyle w:val="32"/>
        </w:rPr>
        <w:t xml:space="preserve"> 等级差容许度</w:t>
      </w:r>
      <w:r>
        <w:tab/>
      </w:r>
      <w:r>
        <w:fldChar w:fldCharType="begin"/>
      </w:r>
      <w:r>
        <w:instrText xml:space="preserve"> PAGEREF _Toc164415136 \h </w:instrText>
      </w:r>
      <w:r>
        <w:fldChar w:fldCharType="separate"/>
      </w:r>
      <w:r>
        <w:t>7</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"_Toc164415137" </w:instrText>
      </w:r>
      <w:r>
        <w:fldChar w:fldCharType="separate"/>
      </w:r>
      <w:r>
        <w:rPr>
          <w:rStyle w:val="32"/>
          <w14:scene3d w14:prst="orthographicFront">
            <w14:lightRig w14:rig="threePt" w14:dir="t">
              <w14:rot w14:lat="0" w14:lon="0" w14:rev="0"/>
            </w14:lightRig>
          </w14:scene3d>
        </w:rPr>
        <w:t xml:space="preserve">12.6 </w:t>
      </w:r>
      <w:r>
        <w:rPr>
          <w:rStyle w:val="32"/>
        </w:rPr>
        <w:t xml:space="preserve"> 质量安全要求</w:t>
      </w:r>
      <w:r>
        <w:tab/>
      </w:r>
      <w:r>
        <w:fldChar w:fldCharType="begin"/>
      </w:r>
      <w:r>
        <w:instrText xml:space="preserve"> PAGEREF _Toc164415137 \h </w:instrText>
      </w:r>
      <w:r>
        <w:fldChar w:fldCharType="separate"/>
      </w:r>
      <w:r>
        <w:t>7</w:t>
      </w:r>
      <w:r>
        <w:fldChar w:fldCharType="end"/>
      </w:r>
      <w:r>
        <w:fldChar w:fldCharType="end"/>
      </w:r>
    </w:p>
    <w:p>
      <w:pPr>
        <w:pStyle w:val="19"/>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"_Toc164415138" </w:instrText>
      </w:r>
      <w:r>
        <w:fldChar w:fldCharType="separate"/>
      </w:r>
      <w:r>
        <w:rPr>
          <w:rStyle w:val="32"/>
        </w:rPr>
        <w:t>13  检验方法</w:t>
      </w:r>
      <w:r>
        <w:tab/>
      </w:r>
      <w:r>
        <w:fldChar w:fldCharType="begin"/>
      </w:r>
      <w:r>
        <w:instrText xml:space="preserve"> PAGEREF _Toc164415138 \h </w:instrText>
      </w:r>
      <w:r>
        <w:fldChar w:fldCharType="separate"/>
      </w:r>
      <w:r>
        <w:t>7</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"_Toc164415139" </w:instrText>
      </w:r>
      <w:r>
        <w:fldChar w:fldCharType="separate"/>
      </w:r>
      <w:r>
        <w:rPr>
          <w:rStyle w:val="32"/>
          <w14:scene3d w14:prst="orthographicFront">
            <w14:lightRig w14:rig="threePt" w14:dir="t">
              <w14:rot w14:lat="0" w14:lon="0" w14:rev="0"/>
            </w14:lightRig>
          </w14:scene3d>
        </w:rPr>
        <w:t xml:space="preserve">13.1 </w:t>
      </w:r>
      <w:r>
        <w:rPr>
          <w:rStyle w:val="32"/>
        </w:rPr>
        <w:t xml:space="preserve"> 等级规格评定</w:t>
      </w:r>
      <w:r>
        <w:tab/>
      </w:r>
      <w:r>
        <w:fldChar w:fldCharType="begin"/>
      </w:r>
      <w:r>
        <w:instrText xml:space="preserve"> PAGEREF _Toc164415139 \h </w:instrText>
      </w:r>
      <w:r>
        <w:fldChar w:fldCharType="separate"/>
      </w:r>
      <w:r>
        <w:t>7</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"_Toc164415140" </w:instrText>
      </w:r>
      <w:r>
        <w:fldChar w:fldCharType="separate"/>
      </w:r>
      <w:r>
        <w:rPr>
          <w:rStyle w:val="32"/>
          <w14:scene3d w14:prst="orthographicFront">
            <w14:lightRig w14:rig="threePt" w14:dir="t">
              <w14:rot w14:lat="0" w14:lon="0" w14:rev="0"/>
            </w14:lightRig>
          </w14:scene3d>
        </w:rPr>
        <w:t xml:space="preserve">13.2 </w:t>
      </w:r>
      <w:r>
        <w:rPr>
          <w:rStyle w:val="32"/>
        </w:rPr>
        <w:t xml:space="preserve"> 成熟度评定</w:t>
      </w:r>
      <w:r>
        <w:tab/>
      </w:r>
      <w:r>
        <w:fldChar w:fldCharType="begin"/>
      </w:r>
      <w:r>
        <w:instrText xml:space="preserve"> PAGEREF _Toc164415140 \h </w:instrText>
      </w:r>
      <w:r>
        <w:fldChar w:fldCharType="separate"/>
      </w:r>
      <w:r>
        <w:t>7</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"_Toc164415141" </w:instrText>
      </w:r>
      <w:r>
        <w:fldChar w:fldCharType="separate"/>
      </w:r>
      <w:r>
        <w:rPr>
          <w:rStyle w:val="32"/>
          <w14:scene3d w14:prst="orthographicFront">
            <w14:lightRig w14:rig="threePt" w14:dir="t">
              <w14:rot w14:lat="0" w14:lon="0" w14:rev="0"/>
            </w14:lightRig>
          </w14:scene3d>
        </w:rPr>
        <w:t xml:space="preserve">13.3 </w:t>
      </w:r>
      <w:r>
        <w:rPr>
          <w:rStyle w:val="32"/>
        </w:rPr>
        <w:t xml:space="preserve"> 理化指标</w:t>
      </w:r>
      <w:r>
        <w:tab/>
      </w:r>
      <w:r>
        <w:fldChar w:fldCharType="begin"/>
      </w:r>
      <w:r>
        <w:instrText xml:space="preserve"> PAGEREF _Toc164415141 \h </w:instrText>
      </w:r>
      <w:r>
        <w:fldChar w:fldCharType="separate"/>
      </w:r>
      <w:r>
        <w:t>7</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"_Toc164415142" </w:instrText>
      </w:r>
      <w:r>
        <w:fldChar w:fldCharType="separate"/>
      </w:r>
      <w:r>
        <w:rPr>
          <w:rStyle w:val="32"/>
          <w14:scene3d w14:prst="orthographicFront">
            <w14:lightRig w14:rig="threePt" w14:dir="t">
              <w14:rot w14:lat="0" w14:lon="0" w14:rev="0"/>
            </w14:lightRig>
          </w14:scene3d>
        </w:rPr>
        <w:t xml:space="preserve">13.4 </w:t>
      </w:r>
      <w:r>
        <w:rPr>
          <w:rStyle w:val="32"/>
        </w:rPr>
        <w:t xml:space="preserve"> 安全指标检验</w:t>
      </w:r>
      <w:r>
        <w:tab/>
      </w:r>
      <w:r>
        <w:fldChar w:fldCharType="begin"/>
      </w:r>
      <w:r>
        <w:instrText xml:space="preserve"> PAGEREF _Toc164415142 \h </w:instrText>
      </w:r>
      <w:r>
        <w:fldChar w:fldCharType="separate"/>
      </w:r>
      <w:r>
        <w:t>8</w:t>
      </w:r>
      <w:r>
        <w:fldChar w:fldCharType="end"/>
      </w:r>
      <w:r>
        <w:fldChar w:fldCharType="end"/>
      </w:r>
    </w:p>
    <w:p>
      <w:pPr>
        <w:pStyle w:val="19"/>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"_Toc164415143" </w:instrText>
      </w:r>
      <w:r>
        <w:fldChar w:fldCharType="separate"/>
      </w:r>
      <w:r>
        <w:rPr>
          <w:rStyle w:val="32"/>
        </w:rPr>
        <w:t>14  检验规则</w:t>
      </w:r>
      <w:r>
        <w:tab/>
      </w:r>
      <w:r>
        <w:fldChar w:fldCharType="begin"/>
      </w:r>
      <w:r>
        <w:instrText xml:space="preserve"> PAGEREF _Toc164415143 \h </w:instrText>
      </w:r>
      <w:r>
        <w:fldChar w:fldCharType="separate"/>
      </w:r>
      <w:r>
        <w:t>8</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"_Toc164415144" </w:instrText>
      </w:r>
      <w:r>
        <w:fldChar w:fldCharType="separate"/>
      </w:r>
      <w:r>
        <w:rPr>
          <w:rStyle w:val="32"/>
          <w14:scene3d w14:prst="orthographicFront">
            <w14:lightRig w14:rig="threePt" w14:dir="t">
              <w14:rot w14:lat="0" w14:lon="0" w14:rev="0"/>
            </w14:lightRig>
          </w14:scene3d>
        </w:rPr>
        <w:t xml:space="preserve">14.1 </w:t>
      </w:r>
      <w:r>
        <w:rPr>
          <w:rStyle w:val="32"/>
        </w:rPr>
        <w:t xml:space="preserve"> 组批规则</w:t>
      </w:r>
      <w:r>
        <w:tab/>
      </w:r>
      <w:r>
        <w:fldChar w:fldCharType="begin"/>
      </w:r>
      <w:r>
        <w:instrText xml:space="preserve"> PAGEREF _Toc164415144 \h </w:instrText>
      </w:r>
      <w:r>
        <w:fldChar w:fldCharType="separate"/>
      </w:r>
      <w:r>
        <w:t>8</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"_Toc164415145" </w:instrText>
      </w:r>
      <w:r>
        <w:fldChar w:fldCharType="separate"/>
      </w:r>
      <w:r>
        <w:rPr>
          <w:rStyle w:val="32"/>
          <w14:scene3d w14:prst="orthographicFront">
            <w14:lightRig w14:rig="threePt" w14:dir="t">
              <w14:rot w14:lat="0" w14:lon="0" w14:rev="0"/>
            </w14:lightRig>
          </w14:scene3d>
        </w:rPr>
        <w:t xml:space="preserve">14.2 </w:t>
      </w:r>
      <w:r>
        <w:rPr>
          <w:rStyle w:val="32"/>
        </w:rPr>
        <w:t xml:space="preserve"> 抽样方法</w:t>
      </w:r>
      <w:r>
        <w:tab/>
      </w:r>
      <w:r>
        <w:fldChar w:fldCharType="begin"/>
      </w:r>
      <w:r>
        <w:instrText xml:space="preserve"> PAGEREF _Toc164415145 \h </w:instrText>
      </w:r>
      <w:r>
        <w:fldChar w:fldCharType="separate"/>
      </w:r>
      <w:r>
        <w:t>8</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"_Toc164415146" </w:instrText>
      </w:r>
      <w:r>
        <w:fldChar w:fldCharType="separate"/>
      </w:r>
      <w:r>
        <w:rPr>
          <w:rStyle w:val="32"/>
          <w14:scene3d w14:prst="orthographicFront">
            <w14:lightRig w14:rig="threePt" w14:dir="t">
              <w14:rot w14:lat="0" w14:lon="0" w14:rev="0"/>
            </w14:lightRig>
          </w14:scene3d>
        </w:rPr>
        <w:t xml:space="preserve">14.3 </w:t>
      </w:r>
      <w:r>
        <w:rPr>
          <w:rStyle w:val="32"/>
        </w:rPr>
        <w:t xml:space="preserve"> 判定规则</w:t>
      </w:r>
      <w:r>
        <w:tab/>
      </w:r>
      <w:r>
        <w:fldChar w:fldCharType="begin"/>
      </w:r>
      <w:r>
        <w:instrText xml:space="preserve"> PAGEREF _Toc164415146 \h </w:instrText>
      </w:r>
      <w:r>
        <w:fldChar w:fldCharType="separate"/>
      </w:r>
      <w:r>
        <w:t>8</w:t>
      </w:r>
      <w:r>
        <w:fldChar w:fldCharType="end"/>
      </w:r>
      <w:r>
        <w:fldChar w:fldCharType="end"/>
      </w:r>
    </w:p>
    <w:p>
      <w:pPr>
        <w:pStyle w:val="19"/>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"_Toc164415147" </w:instrText>
      </w:r>
      <w:r>
        <w:fldChar w:fldCharType="separate"/>
      </w:r>
      <w:r>
        <w:rPr>
          <w:rStyle w:val="32"/>
        </w:rPr>
        <w:t>15  包装</w:t>
      </w:r>
      <w:r>
        <w:tab/>
      </w:r>
      <w:r>
        <w:fldChar w:fldCharType="begin"/>
      </w:r>
      <w:r>
        <w:instrText xml:space="preserve"> PAGEREF _Toc164415147 \h </w:instrText>
      </w:r>
      <w:r>
        <w:fldChar w:fldCharType="separate"/>
      </w:r>
      <w:r>
        <w:t>8</w:t>
      </w:r>
      <w:r>
        <w:fldChar w:fldCharType="end"/>
      </w:r>
      <w:r>
        <w:fldChar w:fldCharType="end"/>
      </w:r>
    </w:p>
    <w:p>
      <w:pPr>
        <w:pStyle w:val="19"/>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"_Toc164415148" </w:instrText>
      </w:r>
      <w:r>
        <w:fldChar w:fldCharType="separate"/>
      </w:r>
      <w:r>
        <w:rPr>
          <w:rStyle w:val="32"/>
        </w:rPr>
        <w:t>16  标志与标签</w:t>
      </w:r>
      <w:r>
        <w:tab/>
      </w:r>
      <w:r>
        <w:fldChar w:fldCharType="begin"/>
      </w:r>
      <w:r>
        <w:instrText xml:space="preserve"> PAGEREF _Toc164415148 \h </w:instrText>
      </w:r>
      <w:r>
        <w:fldChar w:fldCharType="separate"/>
      </w:r>
      <w:r>
        <w:t>8</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"_Toc164415149" </w:instrText>
      </w:r>
      <w:r>
        <w:fldChar w:fldCharType="separate"/>
      </w:r>
      <w:r>
        <w:rPr>
          <w:rStyle w:val="32"/>
          <w14:scene3d w14:prst="orthographicFront">
            <w14:lightRig w14:rig="threePt" w14:dir="t">
              <w14:rot w14:lat="0" w14:lon="0" w14:rev="0"/>
            </w14:lightRig>
          </w14:scene3d>
        </w:rPr>
        <w:t xml:space="preserve">16.1 </w:t>
      </w:r>
      <w:r>
        <w:rPr>
          <w:rStyle w:val="32"/>
        </w:rPr>
        <w:t xml:space="preserve"> 地理标志证明商标</w:t>
      </w:r>
      <w:r>
        <w:tab/>
      </w:r>
      <w:r>
        <w:fldChar w:fldCharType="begin"/>
      </w:r>
      <w:r>
        <w:instrText xml:space="preserve"> PAGEREF _Toc164415149 \h </w:instrText>
      </w:r>
      <w:r>
        <w:fldChar w:fldCharType="separate"/>
      </w:r>
      <w:r>
        <w:t>8</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"_Toc164415150" </w:instrText>
      </w:r>
      <w:r>
        <w:fldChar w:fldCharType="separate"/>
      </w:r>
      <w:r>
        <w:rPr>
          <w:rStyle w:val="32"/>
          <w14:scene3d w14:prst="orthographicFront">
            <w14:lightRig w14:rig="threePt" w14:dir="t">
              <w14:rot w14:lat="0" w14:lon="0" w14:rev="0"/>
            </w14:lightRig>
          </w14:scene3d>
        </w:rPr>
        <w:t xml:space="preserve">16.2 </w:t>
      </w:r>
      <w:r>
        <w:rPr>
          <w:rStyle w:val="32"/>
        </w:rPr>
        <w:t xml:space="preserve"> 标签</w:t>
      </w:r>
      <w:r>
        <w:tab/>
      </w:r>
      <w:r>
        <w:fldChar w:fldCharType="begin"/>
      </w:r>
      <w:r>
        <w:instrText xml:space="preserve"> PAGEREF _Toc164415150 \h </w:instrText>
      </w:r>
      <w:r>
        <w:fldChar w:fldCharType="separate"/>
      </w:r>
      <w:r>
        <w:t>8</w:t>
      </w:r>
      <w:r>
        <w:fldChar w:fldCharType="end"/>
      </w:r>
      <w:r>
        <w:fldChar w:fldCharType="end"/>
      </w:r>
    </w:p>
    <w:p>
      <w:pPr>
        <w:pStyle w:val="19"/>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"_Toc164415151" </w:instrText>
      </w:r>
      <w:r>
        <w:fldChar w:fldCharType="separate"/>
      </w:r>
      <w:r>
        <w:rPr>
          <w:rStyle w:val="32"/>
        </w:rPr>
        <w:t>17  运输与贮存</w:t>
      </w:r>
      <w:r>
        <w:tab/>
      </w:r>
      <w:r>
        <w:fldChar w:fldCharType="begin"/>
      </w:r>
      <w:r>
        <w:instrText xml:space="preserve"> PAGEREF _Toc164415151 \h </w:instrText>
      </w:r>
      <w:r>
        <w:fldChar w:fldCharType="separate"/>
      </w:r>
      <w:r>
        <w:t>9</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"_Toc164415152" </w:instrText>
      </w:r>
      <w:r>
        <w:fldChar w:fldCharType="separate"/>
      </w:r>
      <w:r>
        <w:rPr>
          <w:rStyle w:val="32"/>
          <w14:scene3d w14:prst="orthographicFront">
            <w14:lightRig w14:rig="threePt" w14:dir="t">
              <w14:rot w14:lat="0" w14:lon="0" w14:rev="0"/>
            </w14:lightRig>
          </w14:scene3d>
        </w:rPr>
        <w:t xml:space="preserve">17.1 </w:t>
      </w:r>
      <w:r>
        <w:rPr>
          <w:rStyle w:val="32"/>
        </w:rPr>
        <w:t xml:space="preserve"> 运输</w:t>
      </w:r>
      <w:r>
        <w:tab/>
      </w:r>
      <w:r>
        <w:fldChar w:fldCharType="begin"/>
      </w:r>
      <w:r>
        <w:instrText xml:space="preserve"> PAGEREF _Toc164415152 \h </w:instrText>
      </w:r>
      <w:r>
        <w:fldChar w:fldCharType="separate"/>
      </w:r>
      <w:r>
        <w:t>9</w:t>
      </w:r>
      <w:r>
        <w:fldChar w:fldCharType="end"/>
      </w:r>
      <w:r>
        <w:fldChar w:fldCharType="end"/>
      </w:r>
    </w:p>
    <w:p>
      <w:pPr>
        <w:pStyle w:val="24"/>
        <w:rPr>
          <w:rFonts w:asciiTheme="minorHAnsi" w:hAnsiTheme="minorHAnsi" w:eastAsiaTheme="minorEastAsia" w:cstheme="minorBidi"/>
          <w:szCs w:val="22"/>
          <w14:ligatures w14:val="standardContextual"/>
        </w:rPr>
      </w:pPr>
      <w:r>
        <w:fldChar w:fldCharType="begin"/>
      </w:r>
      <w:r>
        <w:instrText xml:space="preserve"> HYPERLINK \l "_Toc164415153" </w:instrText>
      </w:r>
      <w:r>
        <w:fldChar w:fldCharType="separate"/>
      </w:r>
      <w:r>
        <w:rPr>
          <w:rStyle w:val="32"/>
          <w14:scene3d w14:prst="orthographicFront">
            <w14:lightRig w14:rig="threePt" w14:dir="t">
              <w14:rot w14:lat="0" w14:lon="0" w14:rev="0"/>
            </w14:lightRig>
          </w14:scene3d>
        </w:rPr>
        <w:t xml:space="preserve">17.2 </w:t>
      </w:r>
      <w:r>
        <w:rPr>
          <w:rStyle w:val="32"/>
        </w:rPr>
        <w:t xml:space="preserve"> 贮存</w:t>
      </w:r>
      <w:r>
        <w:tab/>
      </w:r>
      <w:r>
        <w:fldChar w:fldCharType="begin"/>
      </w:r>
      <w:r>
        <w:instrText xml:space="preserve"> PAGEREF _Toc164415153 \h </w:instrText>
      </w:r>
      <w:r>
        <w:fldChar w:fldCharType="separate"/>
      </w:r>
      <w:r>
        <w:t>9</w:t>
      </w:r>
      <w:r>
        <w:fldChar w:fldCharType="end"/>
      </w:r>
      <w:r>
        <w:fldChar w:fldCharType="end"/>
      </w:r>
    </w:p>
    <w:p>
      <w:pPr>
        <w:pStyle w:val="19"/>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"_Toc164415154" </w:instrText>
      </w:r>
      <w:r>
        <w:fldChar w:fldCharType="separate"/>
      </w:r>
      <w:r>
        <w:rPr>
          <w:rStyle w:val="32"/>
        </w:rPr>
        <w:t>附录A（规范性）  地理标志证明商标临海蓝莓保护范围图</w:t>
      </w:r>
      <w:r>
        <w:tab/>
      </w:r>
      <w:r>
        <w:fldChar w:fldCharType="begin"/>
      </w:r>
      <w:r>
        <w:instrText xml:space="preserve"> PAGEREF _Toc164415154 \h </w:instrText>
      </w:r>
      <w:r>
        <w:fldChar w:fldCharType="separate"/>
      </w:r>
      <w:r>
        <w:t>10</w:t>
      </w:r>
      <w:r>
        <w:fldChar w:fldCharType="end"/>
      </w:r>
      <w:r>
        <w:fldChar w:fldCharType="end"/>
      </w:r>
    </w:p>
    <w:p>
      <w:pPr>
        <w:pStyle w:val="91"/>
        <w:spacing w:after="468"/>
        <w:sectPr>
          <w:headerReference r:id="rId11" w:type="default"/>
          <w:footerReference r:id="rId13" w:type="default"/>
          <w:headerReference r:id="rId12" w:type="even"/>
          <w:pgSz w:w="11906" w:h="16838"/>
          <w:pgMar w:top="1928" w:right="1134" w:bottom="1134" w:left="1134" w:header="1418" w:footer="1134" w:gutter="284"/>
          <w:pgNumType w:fmt="upperRoman" w:start="1"/>
          <w:cols w:space="425" w:num="1"/>
          <w:formProt w:val="0"/>
          <w:docGrid w:type="lines" w:linePitch="312" w:charSpace="0"/>
        </w:sectPr>
      </w:pPr>
      <w:r>
        <w:fldChar w:fldCharType="end"/>
      </w:r>
    </w:p>
    <w:bookmarkEnd w:id="21"/>
    <w:p>
      <w:pPr>
        <w:pStyle w:val="89"/>
        <w:spacing w:before="900" w:after="468"/>
      </w:pPr>
      <w:bookmarkStart w:id="22" w:name="_Toc164415098"/>
      <w:bookmarkStart w:id="23" w:name="BookMark2"/>
      <w:r>
        <w:rPr>
          <w:spacing w:val="320"/>
        </w:rPr>
        <w:t>前</w:t>
      </w:r>
      <w:r>
        <w:t>言</w:t>
      </w:r>
      <w:bookmarkEnd w:id="22"/>
    </w:p>
    <w:p>
      <w:pPr>
        <w:pStyle w:val="56"/>
        <w:ind w:firstLine="420"/>
        <w:rPr>
          <w:rFonts w:hint="eastAsia"/>
        </w:rPr>
      </w:pPr>
      <w:r>
        <w:rPr>
          <w:rFonts w:hint="eastAsia"/>
        </w:rPr>
        <w:t>本文件按照GB/T 1.1—2020《标准化工作导则  第1部分：标准化文件的结构和起草规则》的规定起草。</w:t>
      </w:r>
    </w:p>
    <w:p>
      <w:pPr>
        <w:pStyle w:val="56"/>
        <w:ind w:firstLine="420"/>
      </w:pPr>
      <w:r>
        <w:rPr>
          <w:rFonts w:hint="eastAsia"/>
        </w:rPr>
        <w:t>请注意本标准的某些内容可能涉及专利。本标准的发布机构不承担识别专利的责任。</w:t>
      </w:r>
    </w:p>
    <w:p>
      <w:pPr>
        <w:pStyle w:val="56"/>
        <w:ind w:firstLine="420"/>
        <w:rPr>
          <w:rFonts w:hint="eastAsia"/>
        </w:rPr>
      </w:pPr>
      <w:r>
        <w:rPr>
          <w:rFonts w:hint="eastAsia"/>
        </w:rPr>
        <w:t>本文件由台州市农业农村局提出、归口并组织实施。</w:t>
      </w:r>
    </w:p>
    <w:p>
      <w:pPr>
        <w:pStyle w:val="56"/>
        <w:ind w:firstLine="420"/>
        <w:rPr>
          <w:rFonts w:hint="eastAsia"/>
        </w:rPr>
      </w:pPr>
      <w:r>
        <w:rPr>
          <w:rFonts w:hint="eastAsia"/>
        </w:rPr>
        <w:t>本文件起草单位：临海市特产技术推广总站、临海市蓝莓产业协会。</w:t>
      </w:r>
    </w:p>
    <w:p>
      <w:pPr>
        <w:pStyle w:val="56"/>
        <w:ind w:firstLine="420"/>
        <w:rPr>
          <w:rFonts w:hint="eastAsia"/>
        </w:rPr>
      </w:pPr>
      <w:r>
        <w:rPr>
          <w:rFonts w:hint="eastAsia"/>
        </w:rPr>
        <w:t>本文件主要起草人：朱潇婷、颜丽菊、洪小玲、高恒锦、李永杰、金国强、朱润梓、蒋芯、尤建林、邱晓莹、陈昊东、林燕、许剑锋。</w:t>
      </w:r>
    </w:p>
    <w:p>
      <w:pPr>
        <w:pStyle w:val="56"/>
        <w:ind w:firstLine="420"/>
      </w:pPr>
    </w:p>
    <w:p>
      <w:pPr>
        <w:pStyle w:val="56"/>
        <w:ind w:firstLine="420"/>
        <w:sectPr>
          <w:pgSz w:w="11906" w:h="16838"/>
          <w:pgMar w:top="1928" w:right="1134" w:bottom="1134" w:left="1134" w:header="1418" w:footer="1134" w:gutter="284"/>
          <w:pgNumType w:fmt="upperRoman"/>
          <w:cols w:space="425" w:num="1"/>
          <w:formProt w:val="0"/>
          <w:docGrid w:type="lines" w:linePitch="312" w:charSpace="0"/>
        </w:sectPr>
      </w:pPr>
    </w:p>
    <w:bookmarkEnd w:id="23"/>
    <w:p>
      <w:pPr>
        <w:spacing w:line="20" w:lineRule="exact"/>
        <w:jc w:val="center"/>
        <w:rPr>
          <w:rFonts w:ascii="黑体" w:hAnsi="黑体" w:eastAsia="黑体"/>
          <w:sz w:val="32"/>
          <w:szCs w:val="32"/>
        </w:rPr>
      </w:pPr>
      <w:bookmarkStart w:id="24" w:name="BookMark4"/>
    </w:p>
    <w:p>
      <w:pPr>
        <w:spacing w:line="20" w:lineRule="exact"/>
        <w:jc w:val="center"/>
        <w:rPr>
          <w:rFonts w:ascii="黑体" w:hAnsi="黑体" w:eastAsia="黑体"/>
          <w:sz w:val="32"/>
          <w:szCs w:val="32"/>
        </w:rPr>
      </w:pPr>
    </w:p>
    <w:sdt>
      <w:sdtPr>
        <w:tag w:val="NEW_STAND_NAME"/>
        <w:id w:val="595910757"/>
        <w:lock w:val="sdtLocked"/>
        <w:placeholder>
          <w:docPart w:val="131538D46CC04262B92FE460C992DCAA"/>
        </w:placeholder>
      </w:sdtPr>
      <w:sdtContent>
        <w:p>
          <w:pPr>
            <w:pStyle w:val="177"/>
            <w:spacing w:before="312" w:beforeLines="100" w:after="686" w:afterLines="220"/>
          </w:pPr>
          <w:bookmarkStart w:id="25" w:name="NEW_STAND_NAME"/>
          <w:r>
            <w:rPr>
              <w:rFonts w:hint="eastAsia"/>
            </w:rPr>
            <w:t>地理标志证明商标</w:t>
          </w:r>
          <w:r>
            <w:t xml:space="preserve"> 临海蓝莓</w:t>
          </w:r>
        </w:p>
      </w:sdtContent>
    </w:sdt>
    <w:bookmarkEnd w:id="25"/>
    <w:p>
      <w:pPr>
        <w:pStyle w:val="104"/>
        <w:spacing w:before="312" w:after="312"/>
      </w:pPr>
      <w:bookmarkStart w:id="26" w:name="_Toc24884218"/>
      <w:bookmarkStart w:id="27" w:name="_Toc17233325"/>
      <w:bookmarkStart w:id="28" w:name="_Toc26718930"/>
      <w:bookmarkStart w:id="29" w:name="_Toc26986771"/>
      <w:bookmarkStart w:id="30" w:name="_Toc97191423"/>
      <w:bookmarkStart w:id="31" w:name="_Toc26986530"/>
      <w:bookmarkStart w:id="32" w:name="_Toc17233333"/>
      <w:bookmarkStart w:id="33" w:name="_Toc164415099"/>
      <w:bookmarkStart w:id="34" w:name="_Toc24884211"/>
      <w:bookmarkStart w:id="35" w:name="_Toc26648465"/>
      <w:r>
        <w:rPr>
          <w:rFonts w:hint="eastAsia"/>
        </w:rPr>
        <w:t>范围</w:t>
      </w:r>
      <w:bookmarkEnd w:id="26"/>
      <w:bookmarkEnd w:id="27"/>
      <w:bookmarkEnd w:id="28"/>
      <w:bookmarkEnd w:id="29"/>
      <w:bookmarkEnd w:id="30"/>
      <w:bookmarkEnd w:id="31"/>
      <w:bookmarkEnd w:id="32"/>
      <w:bookmarkEnd w:id="33"/>
      <w:bookmarkEnd w:id="34"/>
      <w:bookmarkEnd w:id="35"/>
    </w:p>
    <w:p>
      <w:pPr>
        <w:pStyle w:val="56"/>
        <w:ind w:firstLine="420"/>
        <w:rPr>
          <w:rFonts w:hint="eastAsia"/>
        </w:rPr>
      </w:pPr>
      <w:bookmarkStart w:id="36" w:name="_Toc17233326"/>
      <w:bookmarkStart w:id="37" w:name="_Toc17233334"/>
      <w:bookmarkStart w:id="38" w:name="_Toc24884212"/>
      <w:bookmarkStart w:id="39" w:name="_Toc24884219"/>
      <w:bookmarkStart w:id="40" w:name="_Toc26648466"/>
      <w:r>
        <w:rPr>
          <w:rFonts w:hint="eastAsia"/>
        </w:rPr>
        <w:t>本文件规定了临海蓝莓的术语和定义、地理标志证明商标保护范围、园地选择、建园、土肥水管理、整形修剪、花果管理、病虫害防治、果实采收、质量要求、检验方法、检验规则、包装、标志与标签、运输与贮存等要求。</w:t>
      </w:r>
    </w:p>
    <w:p>
      <w:pPr>
        <w:pStyle w:val="56"/>
        <w:ind w:firstLine="420"/>
      </w:pPr>
      <w:r>
        <w:rPr>
          <w:rFonts w:hint="eastAsia"/>
        </w:rPr>
        <w:t>本文件适用于地理标志证明商标临海蓝莓注册划定的范围。</w:t>
      </w:r>
    </w:p>
    <w:p>
      <w:pPr>
        <w:pStyle w:val="104"/>
        <w:spacing w:before="312" w:after="312"/>
      </w:pPr>
      <w:bookmarkStart w:id="41" w:name="_Toc164415100"/>
      <w:bookmarkStart w:id="42" w:name="_Toc26718931"/>
      <w:bookmarkStart w:id="43" w:name="_Toc26986772"/>
      <w:bookmarkStart w:id="44" w:name="_Toc26986531"/>
      <w:bookmarkStart w:id="45" w:name="_Toc97191424"/>
      <w:r>
        <w:rPr>
          <w:rFonts w:hint="eastAsia"/>
        </w:rPr>
        <w:t>规范性引用文件</w:t>
      </w:r>
      <w:bookmarkEnd w:id="36"/>
      <w:bookmarkEnd w:id="37"/>
      <w:bookmarkEnd w:id="38"/>
      <w:bookmarkEnd w:id="39"/>
      <w:bookmarkEnd w:id="40"/>
      <w:bookmarkEnd w:id="41"/>
      <w:bookmarkEnd w:id="42"/>
      <w:bookmarkEnd w:id="43"/>
      <w:bookmarkEnd w:id="44"/>
      <w:bookmarkEnd w:id="45"/>
    </w:p>
    <w:sdt>
      <w:sdtPr>
        <w:rPr>
          <w:rFonts w:hint="eastAsia"/>
        </w:rPr>
        <w:id w:val="715848253"/>
        <w:placeholder>
          <w:docPart w:val="97282D82C7904029B405AE33DCA45B75"/>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56"/>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56"/>
        <w:ind w:firstLine="420"/>
        <w:rPr>
          <w:rFonts w:hint="eastAsia"/>
        </w:rPr>
      </w:pPr>
      <w:r>
        <w:rPr>
          <w:rFonts w:hint="eastAsia"/>
        </w:rPr>
        <w:t>GB/T 191  包装储运图示标志</w:t>
      </w:r>
    </w:p>
    <w:p>
      <w:pPr>
        <w:pStyle w:val="56"/>
        <w:ind w:firstLine="420"/>
        <w:rPr>
          <w:rFonts w:hint="eastAsia"/>
        </w:rPr>
      </w:pPr>
      <w:r>
        <w:rPr>
          <w:rFonts w:hint="eastAsia"/>
        </w:rPr>
        <w:t>GB 2762  食品安全国家标准 食品中污染物限量</w:t>
      </w:r>
    </w:p>
    <w:p>
      <w:pPr>
        <w:pStyle w:val="56"/>
        <w:ind w:firstLine="420"/>
        <w:rPr>
          <w:rFonts w:hint="eastAsia"/>
        </w:rPr>
      </w:pPr>
      <w:r>
        <w:rPr>
          <w:rFonts w:hint="eastAsia"/>
        </w:rPr>
        <w:t>GB 2763  食品安全国家标准 食品中农药最大残留限量</w:t>
      </w:r>
    </w:p>
    <w:p>
      <w:pPr>
        <w:pStyle w:val="56"/>
        <w:ind w:firstLine="420"/>
        <w:rPr>
          <w:rFonts w:hint="eastAsia"/>
        </w:rPr>
      </w:pPr>
      <w:r>
        <w:rPr>
          <w:rFonts w:hint="eastAsia"/>
        </w:rPr>
        <w:t>GB 5084  农田灌溉水质标准</w:t>
      </w:r>
    </w:p>
    <w:p>
      <w:pPr>
        <w:pStyle w:val="56"/>
        <w:ind w:firstLine="420"/>
        <w:rPr>
          <w:rFonts w:hint="eastAsia"/>
        </w:rPr>
      </w:pPr>
      <w:r>
        <w:rPr>
          <w:rFonts w:hint="eastAsia"/>
        </w:rPr>
        <w:t>GB 8321  农药合理使用准则</w:t>
      </w:r>
      <w:r>
        <w:rPr>
          <w:rFonts w:hint="eastAsia"/>
          <w:lang w:eastAsia="zh-CN"/>
        </w:rPr>
        <w:t>（</w:t>
      </w:r>
      <w:r>
        <w:rPr>
          <w:rFonts w:hint="eastAsia"/>
        </w:rPr>
        <w:t>所有部分</w:t>
      </w:r>
      <w:r>
        <w:rPr>
          <w:rFonts w:hint="eastAsia"/>
          <w:lang w:eastAsia="zh-CN"/>
        </w:rPr>
        <w:t>）</w:t>
      </w:r>
    </w:p>
    <w:p>
      <w:pPr>
        <w:pStyle w:val="56"/>
        <w:ind w:firstLine="420"/>
        <w:rPr>
          <w:rFonts w:hint="eastAsia"/>
        </w:rPr>
      </w:pPr>
      <w:r>
        <w:rPr>
          <w:rFonts w:hint="eastAsia"/>
        </w:rPr>
        <w:t>GB 15618  土壤环境质量 农用地土壤污染风险管控标准（试行）</w:t>
      </w:r>
    </w:p>
    <w:p>
      <w:pPr>
        <w:pStyle w:val="56"/>
        <w:ind w:firstLine="420"/>
        <w:rPr>
          <w:rFonts w:hint="eastAsia"/>
        </w:rPr>
      </w:pPr>
      <w:r>
        <w:rPr>
          <w:rFonts w:hint="eastAsia"/>
        </w:rPr>
        <w:t>GB 12456  食品安全国家标准 食品中总酸的测定</w:t>
      </w:r>
    </w:p>
    <w:p>
      <w:pPr>
        <w:pStyle w:val="56"/>
        <w:ind w:firstLine="420"/>
        <w:rPr>
          <w:rFonts w:hint="eastAsia"/>
        </w:rPr>
      </w:pPr>
      <w:r>
        <w:rPr>
          <w:rFonts w:hint="eastAsia"/>
        </w:rPr>
        <w:t>NY/T 496  肥料合理使用准则</w:t>
      </w:r>
    </w:p>
    <w:p>
      <w:pPr>
        <w:pStyle w:val="56"/>
        <w:ind w:firstLine="420"/>
        <w:rPr>
          <w:rFonts w:hint="eastAsia"/>
        </w:rPr>
      </w:pPr>
      <w:r>
        <w:rPr>
          <w:rFonts w:hint="eastAsia"/>
        </w:rPr>
        <w:t>NY/T 1778  新鲜水果包装标识 通则</w:t>
      </w:r>
    </w:p>
    <w:p>
      <w:pPr>
        <w:pStyle w:val="56"/>
        <w:ind w:firstLine="420"/>
        <w:rPr>
          <w:rFonts w:hint="eastAsia"/>
        </w:rPr>
      </w:pPr>
      <w:r>
        <w:rPr>
          <w:rFonts w:hint="eastAsia"/>
        </w:rPr>
        <w:t>NY/T 2637  水果和蔬菜可溶性固形物含量的测定 折射仪法</w:t>
      </w:r>
    </w:p>
    <w:p>
      <w:pPr>
        <w:pStyle w:val="56"/>
        <w:ind w:firstLine="420"/>
        <w:rPr>
          <w:rFonts w:hint="eastAsia"/>
        </w:rPr>
      </w:pPr>
      <w:r>
        <w:rPr>
          <w:rFonts w:hint="eastAsia"/>
        </w:rPr>
        <w:t>NY/T 3033  农产品等级规格 蓝莓</w:t>
      </w:r>
    </w:p>
    <w:p>
      <w:pPr>
        <w:pStyle w:val="56"/>
        <w:ind w:firstLine="420"/>
        <w:rPr>
          <w:rFonts w:hint="eastAsia"/>
        </w:rPr>
      </w:pPr>
      <w:r>
        <w:rPr>
          <w:rFonts w:hint="eastAsia"/>
        </w:rPr>
        <w:t>NY/T 4352  浆果类水果</w:t>
      </w:r>
      <w:r>
        <w:rPr>
          <w:rFonts w:hint="eastAsia"/>
          <w:lang w:eastAsia="zh-CN"/>
        </w:rPr>
        <w:t>中华</w:t>
      </w:r>
      <w:r>
        <w:rPr>
          <w:rFonts w:hint="eastAsia"/>
        </w:rPr>
        <w:t>青苷的测定 高效液相色谱法</w:t>
      </w:r>
    </w:p>
    <w:p>
      <w:pPr>
        <w:pStyle w:val="56"/>
        <w:ind w:firstLine="420"/>
        <w:rPr>
          <w:rFonts w:hint="eastAsia"/>
        </w:rPr>
      </w:pPr>
      <w:r>
        <w:rPr>
          <w:rFonts w:hint="eastAsia"/>
        </w:rPr>
        <w:t>NY/T 5010  无公害农产品 种植业产地环境条件</w:t>
      </w:r>
    </w:p>
    <w:p>
      <w:pPr>
        <w:pStyle w:val="56"/>
        <w:ind w:firstLine="420"/>
        <w:rPr>
          <w:rFonts w:hint="eastAsia"/>
        </w:rPr>
      </w:pPr>
      <w:r>
        <w:rPr>
          <w:rFonts w:hint="eastAsia"/>
        </w:rPr>
        <w:t>NY/T 5344.4  无公害食品 产品抽样规范 第4部分 水果</w:t>
      </w:r>
    </w:p>
    <w:p>
      <w:pPr>
        <w:pStyle w:val="56"/>
        <w:ind w:firstLine="420"/>
      </w:pPr>
      <w:r>
        <w:rPr>
          <w:rFonts w:hint="eastAsia"/>
        </w:rPr>
        <w:t>SN/T 2205  食品接触材料 纸、再生纤维类 瓦楞纸箱评价方法</w:t>
      </w:r>
    </w:p>
    <w:p>
      <w:pPr>
        <w:pStyle w:val="104"/>
        <w:spacing w:before="312" w:after="312"/>
      </w:pPr>
      <w:bookmarkStart w:id="46" w:name="_Toc164415101"/>
      <w:bookmarkStart w:id="47" w:name="_Toc97191425"/>
      <w:r>
        <w:rPr>
          <w:rFonts w:hint="eastAsia"/>
          <w:szCs w:val="21"/>
        </w:rPr>
        <w:t>术语和定义</w:t>
      </w:r>
      <w:bookmarkEnd w:id="46"/>
      <w:bookmarkEnd w:id="47"/>
    </w:p>
    <w:sdt>
      <w:sdtPr>
        <w:id w:val="-1909835108"/>
        <w:placeholder>
          <w:docPart w:val="965220524D0649CAB044960133EF8059"/>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pPr>
            <w:pStyle w:val="56"/>
            <w:ind w:firstLine="420"/>
          </w:pPr>
          <w:bookmarkStart w:id="48" w:name="_Toc26986532"/>
          <w:bookmarkEnd w:id="48"/>
          <w:r>
            <w:t>下列术语和定义适用于本文件。</w:t>
          </w:r>
        </w:p>
      </w:sdtContent>
    </w:sdt>
    <w:p>
      <w:pPr>
        <w:pStyle w:val="223"/>
        <w:ind w:left="420" w:hanging="420" w:hangingChars="200"/>
        <w:rPr>
          <w:rFonts w:ascii="黑体" w:hAnsi="黑体" w:eastAsia="黑体"/>
        </w:rPr>
      </w:pPr>
      <w:r>
        <w:rPr>
          <w:rFonts w:ascii="黑体" w:hAnsi="黑体" w:eastAsia="黑体"/>
        </w:rPr>
        <w:br w:type="textWrapping"/>
      </w:r>
      <w:r>
        <w:rPr>
          <w:rFonts w:hint="eastAsia" w:ascii="黑体" w:hAnsi="黑体" w:eastAsia="黑体"/>
        </w:rPr>
        <w:t>临海蓝莓</w:t>
      </w:r>
    </w:p>
    <w:p>
      <w:pPr>
        <w:pStyle w:val="56"/>
        <w:ind w:firstLine="420"/>
      </w:pPr>
      <w:r>
        <w:rPr>
          <w:rFonts w:hint="eastAsia"/>
        </w:rPr>
        <w:t>在临海市境内生产，且质量符合本文件要求的蓝莓，地理坐标限于国家知识产权局公布的范围。</w:t>
      </w:r>
    </w:p>
    <w:p>
      <w:pPr>
        <w:pStyle w:val="223"/>
        <w:ind w:left="420" w:hanging="420" w:hangingChars="200"/>
        <w:rPr>
          <w:rFonts w:ascii="黑体" w:hAnsi="黑体" w:eastAsia="黑体"/>
        </w:rPr>
      </w:pPr>
      <w:r>
        <w:rPr>
          <w:rFonts w:ascii="黑体" w:hAnsi="黑体" w:eastAsia="黑体"/>
        </w:rPr>
        <w:br w:type="textWrapping"/>
      </w:r>
      <w:r>
        <w:rPr>
          <w:rFonts w:hint="eastAsia" w:ascii="黑体" w:hAnsi="黑体" w:eastAsia="黑体"/>
        </w:rPr>
        <w:t>容器苗</w:t>
      </w:r>
    </w:p>
    <w:p>
      <w:pPr>
        <w:pStyle w:val="56"/>
        <w:ind w:firstLine="420"/>
      </w:pPr>
      <w:r>
        <w:rPr>
          <w:rFonts w:hint="eastAsia"/>
        </w:rPr>
        <w:t>通过繁殖生根的苗木移栽于装有配制营养土的容器中，经过一定时期管理后达到出圃规格的苗木。</w:t>
      </w:r>
    </w:p>
    <w:p>
      <w:pPr>
        <w:pStyle w:val="104"/>
        <w:spacing w:before="312" w:after="312"/>
        <w:rPr>
          <w:rFonts w:hint="eastAsia"/>
        </w:rPr>
      </w:pPr>
      <w:bookmarkStart w:id="49" w:name="_Toc164415102"/>
      <w:r>
        <w:rPr>
          <w:rFonts w:hint="eastAsia"/>
        </w:rPr>
        <w:t>地理标志证明商标保护范围</w:t>
      </w:r>
      <w:bookmarkEnd w:id="49"/>
    </w:p>
    <w:p>
      <w:pPr>
        <w:pStyle w:val="56"/>
        <w:ind w:firstLine="420"/>
        <w:rPr>
          <w:rFonts w:hint="eastAsia"/>
        </w:rPr>
      </w:pPr>
      <w:r>
        <w:rPr>
          <w:rFonts w:hint="eastAsia"/>
        </w:rPr>
        <w:t>临海蓝莓的生产地域范围限于地理坐标限于国家知识产权局公布的范围，东经120°49´～121°41´，北纬28°40´～29°04´，东临东海，南接黄岩、椒江，西连仙居，北与天台、三门相连。保护区域地理位置图见附录A。</w:t>
      </w:r>
    </w:p>
    <w:p>
      <w:pPr>
        <w:pStyle w:val="104"/>
        <w:spacing w:before="312" w:after="312"/>
        <w:rPr>
          <w:rFonts w:hint="eastAsia"/>
        </w:rPr>
      </w:pPr>
      <w:bookmarkStart w:id="50" w:name="_Toc164415103"/>
      <w:r>
        <w:rPr>
          <w:rFonts w:hint="eastAsia"/>
        </w:rPr>
        <w:t>园地选择</w:t>
      </w:r>
      <w:bookmarkEnd w:id="50"/>
    </w:p>
    <w:p>
      <w:pPr>
        <w:pStyle w:val="105"/>
        <w:spacing w:before="156" w:after="156"/>
        <w:rPr>
          <w:rFonts w:hint="eastAsia"/>
        </w:rPr>
      </w:pPr>
      <w:bookmarkStart w:id="51" w:name="_Toc164415104"/>
      <w:r>
        <w:rPr>
          <w:rFonts w:hint="eastAsia"/>
        </w:rPr>
        <w:t>环境要求</w:t>
      </w:r>
      <w:bookmarkEnd w:id="51"/>
    </w:p>
    <w:p>
      <w:pPr>
        <w:pStyle w:val="56"/>
        <w:ind w:firstLine="420"/>
        <w:rPr>
          <w:rFonts w:hint="eastAsia"/>
        </w:rPr>
      </w:pPr>
      <w:r>
        <w:rPr>
          <w:rFonts w:hint="eastAsia"/>
        </w:rPr>
        <w:t>产地环境要求应符合 NY/T 5010 的规定。</w:t>
      </w:r>
    </w:p>
    <w:p>
      <w:pPr>
        <w:pStyle w:val="105"/>
        <w:spacing w:before="156" w:after="156"/>
        <w:rPr>
          <w:rFonts w:hint="eastAsia"/>
        </w:rPr>
      </w:pPr>
      <w:bookmarkStart w:id="52" w:name="_Toc164415105"/>
      <w:r>
        <w:rPr>
          <w:rFonts w:hint="eastAsia"/>
        </w:rPr>
        <w:t>土壤条件</w:t>
      </w:r>
      <w:bookmarkEnd w:id="52"/>
      <w:r>
        <w:rPr>
          <w:rFonts w:hint="eastAsia"/>
        </w:rPr>
        <w:t xml:space="preserve"> </w:t>
      </w:r>
    </w:p>
    <w:p>
      <w:pPr>
        <w:pStyle w:val="56"/>
        <w:ind w:firstLine="420"/>
        <w:rPr>
          <w:rFonts w:hint="eastAsia"/>
        </w:rPr>
      </w:pPr>
      <w:r>
        <w:rPr>
          <w:rFonts w:hint="eastAsia"/>
        </w:rPr>
        <w:t>宜选择土层深厚，质地疏松肥沃，排水性能好的壤土或沙壤土，pH值4.5～6.0，土壤环境应符合 GB 15618 的规定。</w:t>
      </w:r>
    </w:p>
    <w:p>
      <w:pPr>
        <w:pStyle w:val="105"/>
        <w:spacing w:before="156" w:after="156"/>
        <w:rPr>
          <w:rFonts w:hint="eastAsia"/>
        </w:rPr>
      </w:pPr>
      <w:bookmarkStart w:id="53" w:name="_Toc164415106"/>
      <w:r>
        <w:rPr>
          <w:rFonts w:hint="eastAsia"/>
        </w:rPr>
        <w:t>气候条件</w:t>
      </w:r>
      <w:bookmarkEnd w:id="53"/>
    </w:p>
    <w:p>
      <w:pPr>
        <w:pStyle w:val="56"/>
        <w:ind w:firstLine="420"/>
        <w:rPr>
          <w:rFonts w:hint="eastAsia"/>
        </w:rPr>
      </w:pPr>
      <w:r>
        <w:rPr>
          <w:rFonts w:hint="eastAsia"/>
        </w:rPr>
        <w:t>应根据品种特性，选择满足品种需冷量的气候环境。</w:t>
      </w:r>
    </w:p>
    <w:p>
      <w:pPr>
        <w:pStyle w:val="105"/>
        <w:spacing w:before="156" w:after="156"/>
        <w:rPr>
          <w:rFonts w:hint="eastAsia"/>
        </w:rPr>
      </w:pPr>
      <w:bookmarkStart w:id="54" w:name="_Toc164415107"/>
      <w:r>
        <w:rPr>
          <w:rFonts w:hint="eastAsia"/>
        </w:rPr>
        <w:t>地形地势</w:t>
      </w:r>
      <w:bookmarkEnd w:id="54"/>
    </w:p>
    <w:p>
      <w:pPr>
        <w:pStyle w:val="56"/>
        <w:ind w:firstLine="420"/>
        <w:rPr>
          <w:rFonts w:hint="eastAsia"/>
        </w:rPr>
      </w:pPr>
      <w:r>
        <w:rPr>
          <w:rFonts w:hint="eastAsia"/>
        </w:rPr>
        <w:t>宜选择平地或坡度≤25°的向阳缓坡种植。</w:t>
      </w:r>
    </w:p>
    <w:p>
      <w:pPr>
        <w:pStyle w:val="104"/>
        <w:spacing w:before="312" w:after="312"/>
        <w:rPr>
          <w:rFonts w:hint="eastAsia"/>
        </w:rPr>
      </w:pPr>
      <w:bookmarkStart w:id="55" w:name="_Toc164415108"/>
      <w:r>
        <w:rPr>
          <w:rFonts w:hint="eastAsia"/>
        </w:rPr>
        <w:t>建园</w:t>
      </w:r>
      <w:bookmarkEnd w:id="55"/>
    </w:p>
    <w:p>
      <w:pPr>
        <w:pStyle w:val="105"/>
        <w:spacing w:before="156" w:after="156"/>
        <w:rPr>
          <w:rFonts w:hint="eastAsia"/>
        </w:rPr>
      </w:pPr>
      <w:bookmarkStart w:id="56" w:name="_Toc164415109"/>
      <w:r>
        <w:rPr>
          <w:rFonts w:hint="eastAsia"/>
        </w:rPr>
        <w:t>园地规划</w:t>
      </w:r>
      <w:bookmarkEnd w:id="56"/>
    </w:p>
    <w:p>
      <w:pPr>
        <w:pStyle w:val="56"/>
        <w:ind w:firstLine="420"/>
        <w:rPr>
          <w:rFonts w:hint="eastAsia"/>
        </w:rPr>
      </w:pPr>
      <w:r>
        <w:rPr>
          <w:rFonts w:hint="eastAsia"/>
        </w:rPr>
        <w:t>园地规划的内容宜包括生产道路、供电、排灌、基地设施以及用于生产管理采收包装冷藏等功能的附属建筑。</w:t>
      </w:r>
    </w:p>
    <w:p>
      <w:pPr>
        <w:pStyle w:val="105"/>
        <w:spacing w:before="156" w:after="156"/>
        <w:rPr>
          <w:rFonts w:hint="eastAsia"/>
        </w:rPr>
      </w:pPr>
      <w:bookmarkStart w:id="57" w:name="_Toc164415110"/>
      <w:r>
        <w:rPr>
          <w:rFonts w:hint="eastAsia"/>
        </w:rPr>
        <w:t>园地整理</w:t>
      </w:r>
      <w:bookmarkEnd w:id="57"/>
    </w:p>
    <w:p>
      <w:pPr>
        <w:pStyle w:val="56"/>
        <w:ind w:firstLine="420"/>
        <w:rPr>
          <w:rFonts w:hint="eastAsia"/>
        </w:rPr>
      </w:pPr>
      <w:r>
        <w:rPr>
          <w:rFonts w:hint="eastAsia"/>
        </w:rPr>
        <w:t>平地及坡度在6°以下的缓坡地直接整地作畦，坡度在6°以上的山地、丘陵，要根据坡度不同修筑宽度不同的梯田。</w:t>
      </w:r>
    </w:p>
    <w:p>
      <w:pPr>
        <w:pStyle w:val="105"/>
        <w:spacing w:before="156" w:after="156"/>
        <w:rPr>
          <w:rFonts w:hint="eastAsia"/>
        </w:rPr>
      </w:pPr>
      <w:bookmarkStart w:id="58" w:name="_Toc164415111"/>
      <w:r>
        <w:rPr>
          <w:rFonts w:hint="eastAsia"/>
        </w:rPr>
        <w:t>栽植前准备</w:t>
      </w:r>
      <w:bookmarkEnd w:id="58"/>
    </w:p>
    <w:p>
      <w:pPr>
        <w:pStyle w:val="65"/>
        <w:spacing w:before="156" w:after="156"/>
        <w:rPr>
          <w:rFonts w:hint="eastAsia"/>
        </w:rPr>
      </w:pPr>
      <w:r>
        <w:rPr>
          <w:rFonts w:hint="eastAsia"/>
        </w:rPr>
        <w:t>土壤改良</w:t>
      </w:r>
    </w:p>
    <w:p>
      <w:pPr>
        <w:pStyle w:val="56"/>
        <w:ind w:firstLine="420"/>
        <w:rPr>
          <w:rFonts w:hint="eastAsia"/>
        </w:rPr>
      </w:pPr>
      <w:r>
        <w:rPr>
          <w:rFonts w:hint="eastAsia"/>
        </w:rPr>
        <w:t>当土壤pH值＞6.0 时，应在种植前3个月～4个月前，采用酸性有机质和酸性肥料调整土壤pH值，宜施用草炭、锯木屑和树皮等酸性基质进行改良。当土壤pH值＜4.5时，应加入适量石灰调整土壤pH值。</w:t>
      </w:r>
    </w:p>
    <w:p>
      <w:pPr>
        <w:pStyle w:val="65"/>
        <w:spacing w:before="156" w:after="156"/>
        <w:rPr>
          <w:rFonts w:hint="eastAsia"/>
        </w:rPr>
      </w:pPr>
      <w:r>
        <w:rPr>
          <w:rFonts w:hint="eastAsia"/>
        </w:rPr>
        <w:t>种植密度</w:t>
      </w:r>
    </w:p>
    <w:p>
      <w:pPr>
        <w:pStyle w:val="56"/>
        <w:ind w:firstLine="420"/>
        <w:rPr>
          <w:rFonts w:hint="eastAsia"/>
        </w:rPr>
      </w:pPr>
      <w:r>
        <w:rPr>
          <w:rFonts w:hint="eastAsia"/>
        </w:rPr>
        <w:t>根据品种、树势、土壤等需要确定栽植密度，行距1.5 m～2.0 m，株距1.0 m～1.5 m。</w:t>
      </w:r>
    </w:p>
    <w:p>
      <w:pPr>
        <w:pStyle w:val="65"/>
        <w:spacing w:before="156" w:after="156"/>
        <w:rPr>
          <w:rFonts w:hint="eastAsia"/>
        </w:rPr>
      </w:pPr>
      <w:r>
        <w:rPr>
          <w:rFonts w:hint="eastAsia"/>
        </w:rPr>
        <w:t>挖定植穴（沟）</w:t>
      </w:r>
    </w:p>
    <w:p>
      <w:pPr>
        <w:pStyle w:val="56"/>
        <w:ind w:firstLine="420"/>
        <w:rPr>
          <w:rFonts w:hint="eastAsia"/>
        </w:rPr>
      </w:pPr>
      <w:r>
        <w:rPr>
          <w:rFonts w:hint="eastAsia"/>
        </w:rPr>
        <w:t>挖定植穴或定植沟，深度40 cm～50 cm，直径或宽度50 cm。或使用控根容器进行栽植。</w:t>
      </w:r>
    </w:p>
    <w:p>
      <w:pPr>
        <w:pStyle w:val="65"/>
        <w:spacing w:before="156" w:after="156"/>
        <w:rPr>
          <w:rFonts w:hint="eastAsia"/>
        </w:rPr>
      </w:pPr>
      <w:r>
        <w:rPr>
          <w:rFonts w:hint="eastAsia"/>
        </w:rPr>
        <w:t>品种选择</w:t>
      </w:r>
    </w:p>
    <w:p>
      <w:pPr>
        <w:pStyle w:val="56"/>
        <w:ind w:firstLine="420"/>
        <w:rPr>
          <w:rFonts w:hint="eastAsia"/>
        </w:rPr>
      </w:pPr>
      <w:r>
        <w:rPr>
          <w:rFonts w:hint="eastAsia"/>
        </w:rPr>
        <w:t>选择适宜南方地区栽培的蓝莓优良品种，以南高蓝莓品种为主。在同一园地至少种植同一类型、花期较为一致的2个以上品种，以利相互授粉。</w:t>
      </w:r>
    </w:p>
    <w:p>
      <w:pPr>
        <w:pStyle w:val="65"/>
        <w:spacing w:before="156" w:after="156"/>
        <w:rPr>
          <w:rFonts w:hint="eastAsia"/>
        </w:rPr>
      </w:pPr>
      <w:r>
        <w:rPr>
          <w:rFonts w:hint="eastAsia"/>
        </w:rPr>
        <w:t>苗木质量</w:t>
      </w:r>
    </w:p>
    <w:p>
      <w:pPr>
        <w:pStyle w:val="56"/>
        <w:ind w:firstLine="420"/>
        <w:rPr>
          <w:rFonts w:hint="eastAsia"/>
        </w:rPr>
      </w:pPr>
      <w:r>
        <w:rPr>
          <w:rFonts w:hint="eastAsia"/>
        </w:rPr>
        <w:t xml:space="preserve">选择植株健壮，分枝多，根系发达，无病虫害和明显伤害的1年～2年生苗，宜使用容器苗。 </w:t>
      </w:r>
    </w:p>
    <w:p>
      <w:pPr>
        <w:pStyle w:val="105"/>
        <w:spacing w:before="156" w:after="156"/>
        <w:rPr>
          <w:rFonts w:hint="eastAsia"/>
        </w:rPr>
      </w:pPr>
      <w:bookmarkStart w:id="59" w:name="_Toc164415112"/>
      <w:r>
        <w:rPr>
          <w:rFonts w:hint="eastAsia"/>
        </w:rPr>
        <w:t>栽植</w:t>
      </w:r>
      <w:bookmarkEnd w:id="59"/>
    </w:p>
    <w:p>
      <w:pPr>
        <w:pStyle w:val="65"/>
        <w:spacing w:before="156" w:after="156"/>
        <w:rPr>
          <w:rFonts w:hint="eastAsia"/>
        </w:rPr>
      </w:pPr>
      <w:r>
        <w:rPr>
          <w:rFonts w:hint="eastAsia"/>
        </w:rPr>
        <w:t>栽植时间</w:t>
      </w:r>
    </w:p>
    <w:p>
      <w:pPr>
        <w:pStyle w:val="56"/>
        <w:ind w:firstLine="420"/>
        <w:rPr>
          <w:rFonts w:hint="eastAsia"/>
        </w:rPr>
      </w:pPr>
      <w:r>
        <w:rPr>
          <w:rFonts w:hint="eastAsia"/>
        </w:rPr>
        <w:t>裸根苗宜在10月下旬到3月初芽萌动前定植。容器苗除高温干旱季节外均可种植，但以休眠期为佳。</w:t>
      </w:r>
    </w:p>
    <w:p>
      <w:pPr>
        <w:pStyle w:val="65"/>
        <w:spacing w:before="156" w:after="156"/>
        <w:rPr>
          <w:rFonts w:hint="eastAsia"/>
        </w:rPr>
      </w:pPr>
      <w:r>
        <w:rPr>
          <w:rFonts w:hint="eastAsia"/>
        </w:rPr>
        <w:t>栽植方法</w:t>
      </w:r>
    </w:p>
    <w:p>
      <w:pPr>
        <w:pStyle w:val="56"/>
        <w:ind w:firstLine="420"/>
        <w:rPr>
          <w:rFonts w:hint="eastAsia"/>
        </w:rPr>
      </w:pPr>
      <w:r>
        <w:rPr>
          <w:rFonts w:hint="eastAsia"/>
        </w:rPr>
        <w:t>栽植时应基施有机肥，并回填一部分土，苗木栽植时培土高度以高于苗木出圃土痕 2 cm～3 cm 为宜。</w:t>
      </w:r>
    </w:p>
    <w:p>
      <w:pPr>
        <w:pStyle w:val="104"/>
        <w:spacing w:before="312" w:after="312"/>
        <w:rPr>
          <w:rFonts w:hint="eastAsia"/>
        </w:rPr>
      </w:pPr>
      <w:bookmarkStart w:id="60" w:name="_Toc164415113"/>
      <w:r>
        <w:rPr>
          <w:rFonts w:hint="eastAsia"/>
        </w:rPr>
        <w:t>土肥水管理</w:t>
      </w:r>
      <w:bookmarkEnd w:id="60"/>
    </w:p>
    <w:p>
      <w:pPr>
        <w:pStyle w:val="105"/>
        <w:spacing w:before="156" w:after="156"/>
        <w:rPr>
          <w:rFonts w:hint="eastAsia"/>
        </w:rPr>
      </w:pPr>
      <w:bookmarkStart w:id="61" w:name="_Toc164415114"/>
      <w:r>
        <w:rPr>
          <w:rFonts w:hint="eastAsia"/>
        </w:rPr>
        <w:t>土壤管理</w:t>
      </w:r>
      <w:bookmarkEnd w:id="61"/>
    </w:p>
    <w:p>
      <w:pPr>
        <w:pStyle w:val="65"/>
        <w:spacing w:before="156" w:after="156"/>
        <w:rPr>
          <w:rFonts w:hint="eastAsia"/>
        </w:rPr>
      </w:pPr>
      <w:r>
        <w:rPr>
          <w:rFonts w:hint="eastAsia"/>
        </w:rPr>
        <w:t>幼年树</w:t>
      </w:r>
    </w:p>
    <w:p>
      <w:pPr>
        <w:pStyle w:val="56"/>
        <w:ind w:firstLine="420"/>
        <w:rPr>
          <w:rFonts w:hint="eastAsia"/>
        </w:rPr>
      </w:pPr>
      <w:r>
        <w:rPr>
          <w:rFonts w:hint="eastAsia"/>
        </w:rPr>
        <w:t>定植后1年～3年内，适时除草。植株两侧各50 cm保持清耕</w:t>
      </w:r>
      <w:bookmarkStart w:id="108" w:name="_GoBack"/>
      <w:bookmarkEnd w:id="108"/>
      <w:r>
        <w:rPr>
          <w:rFonts w:hint="eastAsia"/>
        </w:rPr>
        <w:t>，覆盖松针、杂草等，或全园铺设防草布。</w:t>
      </w:r>
    </w:p>
    <w:p>
      <w:pPr>
        <w:pStyle w:val="65"/>
        <w:spacing w:before="156" w:after="156"/>
        <w:rPr>
          <w:rFonts w:hint="eastAsia"/>
        </w:rPr>
      </w:pPr>
      <w:r>
        <w:rPr>
          <w:rFonts w:hint="eastAsia"/>
        </w:rPr>
        <w:t>结果树</w:t>
      </w:r>
    </w:p>
    <w:p>
      <w:pPr>
        <w:pStyle w:val="56"/>
        <w:ind w:firstLine="420"/>
        <w:rPr>
          <w:rFonts w:hint="eastAsia"/>
        </w:rPr>
      </w:pPr>
      <w:r>
        <w:rPr>
          <w:rFonts w:hint="eastAsia"/>
        </w:rPr>
        <w:t>定植3年～4年后，树冠基本形成。行内清耕或地面覆盖防草布、作物秸秆等，增施有机肥改良土壤。</w:t>
      </w:r>
    </w:p>
    <w:p>
      <w:pPr>
        <w:pStyle w:val="105"/>
        <w:spacing w:before="156" w:after="156"/>
        <w:rPr>
          <w:rFonts w:hint="eastAsia"/>
        </w:rPr>
      </w:pPr>
      <w:bookmarkStart w:id="62" w:name="_Toc164415115"/>
      <w:r>
        <w:rPr>
          <w:rFonts w:hint="eastAsia"/>
        </w:rPr>
        <w:t>施肥管理</w:t>
      </w:r>
      <w:bookmarkEnd w:id="62"/>
    </w:p>
    <w:p>
      <w:pPr>
        <w:pStyle w:val="65"/>
        <w:spacing w:before="156" w:after="156"/>
        <w:rPr>
          <w:rFonts w:hint="eastAsia"/>
        </w:rPr>
      </w:pPr>
      <w:r>
        <w:rPr>
          <w:rFonts w:hint="eastAsia"/>
        </w:rPr>
        <w:t>施肥原则</w:t>
      </w:r>
    </w:p>
    <w:p>
      <w:pPr>
        <w:pStyle w:val="56"/>
        <w:ind w:firstLine="420"/>
        <w:rPr>
          <w:rFonts w:hint="eastAsia"/>
        </w:rPr>
      </w:pPr>
      <w:r>
        <w:rPr>
          <w:rFonts w:hint="eastAsia"/>
        </w:rPr>
        <w:t>应充分满足蓝莓生长结果对各种营养元素的要求。</w:t>
      </w:r>
    </w:p>
    <w:p>
      <w:pPr>
        <w:pStyle w:val="65"/>
        <w:spacing w:before="156" w:after="156"/>
        <w:rPr>
          <w:rFonts w:hint="eastAsia"/>
        </w:rPr>
      </w:pPr>
      <w:r>
        <w:rPr>
          <w:rFonts w:hint="eastAsia"/>
        </w:rPr>
        <w:t>肥料种类</w:t>
      </w:r>
    </w:p>
    <w:p>
      <w:pPr>
        <w:pStyle w:val="56"/>
        <w:ind w:firstLine="420"/>
        <w:rPr>
          <w:rFonts w:hint="eastAsia"/>
        </w:rPr>
      </w:pPr>
      <w:r>
        <w:rPr>
          <w:rFonts w:hint="eastAsia"/>
        </w:rPr>
        <w:t>有机肥为主，平衡施肥。不应使用含氯化肥，不宜使用硝态氮。肥料选择应符合 NY/T 496的要求。</w:t>
      </w:r>
    </w:p>
    <w:p>
      <w:pPr>
        <w:pStyle w:val="65"/>
        <w:spacing w:before="156" w:after="156"/>
        <w:rPr>
          <w:rFonts w:hint="eastAsia"/>
        </w:rPr>
      </w:pPr>
      <w:r>
        <w:rPr>
          <w:rFonts w:hint="eastAsia"/>
        </w:rPr>
        <w:t>施肥时间和数量</w:t>
      </w:r>
    </w:p>
    <w:p>
      <w:pPr>
        <w:pStyle w:val="164"/>
        <w:rPr>
          <w:rFonts w:hint="eastAsia"/>
        </w:rPr>
      </w:pPr>
      <w:r>
        <w:rPr>
          <w:rFonts w:hint="eastAsia"/>
        </w:rPr>
        <w:t>幼年树从栽植至结果前，宜在每次新梢抽发前施一次肥料，视树体生长情况株施硫酸钾型复合肥10 g～30 g，适当提高氮肥比例。秋季或早春施入适量基肥。</w:t>
      </w:r>
    </w:p>
    <w:p>
      <w:pPr>
        <w:pStyle w:val="164"/>
        <w:rPr>
          <w:rFonts w:hint="eastAsia"/>
        </w:rPr>
      </w:pPr>
      <w:r>
        <w:rPr>
          <w:rFonts w:hint="eastAsia"/>
        </w:rPr>
        <w:t>结果树于9月中旬前后施入基肥，以有机肥为主，每667 m</w:t>
      </w:r>
      <w:r>
        <w:rPr>
          <w:rFonts w:hint="eastAsia"/>
          <w:vertAlign w:val="superscript"/>
        </w:rPr>
        <w:t>2</w:t>
      </w:r>
      <w:r>
        <w:rPr>
          <w:rFonts w:hint="eastAsia"/>
        </w:rPr>
        <w:t>施腐熟有机肥550 kg～650 kg或腐熟菜籽饼55 kg～65 kg。追肥以速效肥为主，每667 m2施硫酸钾型复合肥3.3 kg～6.5 kg。采用一次追肥的，宜在花后7 d ～15 d 内施入，根据需要同时施入适量的硼、铁、锰、镁等元素；采用两次追肥的，可在谢花及采收期结束时施入。有条件的果园，宜采用水肥一体化多次施入。初投产树根据树体结果量及营养状况酌减。</w:t>
      </w:r>
    </w:p>
    <w:p>
      <w:pPr>
        <w:pStyle w:val="65"/>
        <w:spacing w:before="156" w:after="156"/>
        <w:rPr>
          <w:rFonts w:hint="eastAsia"/>
        </w:rPr>
      </w:pPr>
      <w:r>
        <w:rPr>
          <w:rFonts w:hint="eastAsia"/>
        </w:rPr>
        <w:t>施肥方法</w:t>
      </w:r>
    </w:p>
    <w:p>
      <w:pPr>
        <w:pStyle w:val="94"/>
        <w:spacing w:before="156" w:after="156"/>
        <w:rPr>
          <w:rFonts w:hint="eastAsia"/>
        </w:rPr>
      </w:pPr>
      <w:r>
        <w:rPr>
          <w:rFonts w:hint="eastAsia"/>
        </w:rPr>
        <w:t xml:space="preserve">基肥 </w:t>
      </w:r>
    </w:p>
    <w:p>
      <w:pPr>
        <w:pStyle w:val="56"/>
        <w:ind w:firstLine="420"/>
        <w:rPr>
          <w:rFonts w:hint="eastAsia"/>
        </w:rPr>
      </w:pPr>
      <w:r>
        <w:rPr>
          <w:rFonts w:hint="eastAsia"/>
        </w:rPr>
        <w:t xml:space="preserve">宜采用沟施或穴施，在树冠滴水线外缘挖不连续的环状沟或穴，幼树沟穴离树干基部距离＞ 30 cm，沟穴深度 25 cm～30 cm，有机肥宜与回填的土壤混合均匀，化肥可以和有机肥一起施入。 </w:t>
      </w:r>
    </w:p>
    <w:p>
      <w:pPr>
        <w:pStyle w:val="94"/>
        <w:spacing w:before="156" w:after="156"/>
        <w:rPr>
          <w:rFonts w:hint="eastAsia"/>
        </w:rPr>
      </w:pPr>
      <w:r>
        <w:rPr>
          <w:rFonts w:hint="eastAsia"/>
        </w:rPr>
        <w:t xml:space="preserve">追肥 </w:t>
      </w:r>
    </w:p>
    <w:p>
      <w:pPr>
        <w:pStyle w:val="56"/>
        <w:ind w:firstLine="420"/>
        <w:rPr>
          <w:rFonts w:hint="eastAsia"/>
        </w:rPr>
      </w:pPr>
      <w:r>
        <w:rPr>
          <w:rFonts w:hint="eastAsia"/>
        </w:rPr>
        <w:t>宜采取撒施，结合浅耕除草混入土层，也可以叶面喷施，有条件的果园可以结合滴灌施肥。</w:t>
      </w:r>
    </w:p>
    <w:p>
      <w:pPr>
        <w:pStyle w:val="105"/>
        <w:spacing w:before="156" w:after="156"/>
        <w:rPr>
          <w:rFonts w:hint="eastAsia"/>
        </w:rPr>
      </w:pPr>
      <w:bookmarkStart w:id="63" w:name="_Toc164415116"/>
      <w:r>
        <w:rPr>
          <w:rFonts w:hint="eastAsia"/>
        </w:rPr>
        <w:t>水分管理</w:t>
      </w:r>
      <w:bookmarkEnd w:id="63"/>
    </w:p>
    <w:p>
      <w:pPr>
        <w:pStyle w:val="65"/>
        <w:spacing w:before="156" w:after="156"/>
        <w:rPr>
          <w:rFonts w:hint="eastAsia"/>
        </w:rPr>
      </w:pPr>
      <w:r>
        <w:rPr>
          <w:rFonts w:hint="eastAsia"/>
        </w:rPr>
        <w:t>排水</w:t>
      </w:r>
    </w:p>
    <w:p>
      <w:pPr>
        <w:pStyle w:val="56"/>
        <w:ind w:firstLine="420"/>
        <w:rPr>
          <w:rFonts w:hint="eastAsia"/>
        </w:rPr>
      </w:pPr>
      <w:r>
        <w:rPr>
          <w:rFonts w:hint="eastAsia"/>
        </w:rPr>
        <w:t>多雨季节应及时排水防涝。</w:t>
      </w:r>
    </w:p>
    <w:p>
      <w:pPr>
        <w:pStyle w:val="65"/>
        <w:spacing w:before="156" w:after="156"/>
        <w:rPr>
          <w:rFonts w:hint="eastAsia"/>
        </w:rPr>
      </w:pPr>
      <w:r>
        <w:rPr>
          <w:rFonts w:hint="eastAsia"/>
        </w:rPr>
        <w:t>灌溉</w:t>
      </w:r>
    </w:p>
    <w:p>
      <w:pPr>
        <w:pStyle w:val="164"/>
        <w:rPr>
          <w:rFonts w:hint="eastAsia"/>
        </w:rPr>
      </w:pPr>
      <w:r>
        <w:rPr>
          <w:rFonts w:hint="eastAsia"/>
        </w:rPr>
        <w:t>蓝莓灌溉需注意水源和水质，水源宜采用地表池塘水或水库水，对pH值偏高的深井水不宜直接灌溉。水质应符合GB 5084的规定。</w:t>
      </w:r>
    </w:p>
    <w:p>
      <w:pPr>
        <w:pStyle w:val="164"/>
        <w:rPr>
          <w:rFonts w:hint="eastAsia"/>
        </w:rPr>
      </w:pPr>
      <w:r>
        <w:rPr>
          <w:rFonts w:hint="eastAsia"/>
        </w:rPr>
        <w:t>干旱季节应及时灌溉，田间土壤保持湿润。在枝条萌芽期、枝条快速生长前期、果实膨大期应保持充足的水分供应；果实成熟期与采收前应适当控制水分供应，以提高果实品质；果实采收后，恢复最适的水分供应，使园中土壤保持湿润，秋季减少水分供应，以利于植株及时进入休眠。</w:t>
      </w:r>
    </w:p>
    <w:p>
      <w:pPr>
        <w:pStyle w:val="164"/>
        <w:rPr>
          <w:rFonts w:hint="eastAsia"/>
        </w:rPr>
      </w:pPr>
      <w:r>
        <w:rPr>
          <w:rFonts w:hint="eastAsia"/>
        </w:rPr>
        <w:t>宜采用喷滴灌设备。限根栽培的需配套灌溉设施，确保水分供应。</w:t>
      </w:r>
    </w:p>
    <w:p>
      <w:pPr>
        <w:pStyle w:val="104"/>
        <w:spacing w:before="312" w:after="312"/>
        <w:rPr>
          <w:rFonts w:hint="eastAsia"/>
        </w:rPr>
      </w:pPr>
      <w:bookmarkStart w:id="64" w:name="_Toc164415117"/>
      <w:r>
        <w:rPr>
          <w:rFonts w:hint="eastAsia"/>
        </w:rPr>
        <w:t>整形修剪</w:t>
      </w:r>
      <w:bookmarkEnd w:id="64"/>
    </w:p>
    <w:p>
      <w:pPr>
        <w:pStyle w:val="105"/>
        <w:spacing w:before="156" w:after="156"/>
        <w:rPr>
          <w:rFonts w:hint="eastAsia"/>
        </w:rPr>
      </w:pPr>
      <w:bookmarkStart w:id="65" w:name="_Toc164415118"/>
      <w:r>
        <w:rPr>
          <w:rFonts w:hint="eastAsia"/>
        </w:rPr>
        <w:t>时期</w:t>
      </w:r>
      <w:bookmarkEnd w:id="65"/>
    </w:p>
    <w:p>
      <w:pPr>
        <w:pStyle w:val="56"/>
        <w:ind w:firstLine="420"/>
        <w:rPr>
          <w:rFonts w:hint="eastAsia"/>
        </w:rPr>
      </w:pPr>
      <w:r>
        <w:rPr>
          <w:rFonts w:hint="eastAsia"/>
        </w:rPr>
        <w:t>可分为夏季修剪和冬季修剪。夏季修剪在果实采收后及时进行，冬季修剪在花芽萌动前进行。</w:t>
      </w:r>
    </w:p>
    <w:p>
      <w:pPr>
        <w:pStyle w:val="105"/>
        <w:spacing w:before="156" w:after="156"/>
        <w:rPr>
          <w:rFonts w:hint="eastAsia"/>
        </w:rPr>
      </w:pPr>
      <w:bookmarkStart w:id="66" w:name="_Toc164415119"/>
      <w:r>
        <w:rPr>
          <w:rFonts w:hint="eastAsia"/>
        </w:rPr>
        <w:t>方法</w:t>
      </w:r>
      <w:bookmarkEnd w:id="66"/>
    </w:p>
    <w:p>
      <w:pPr>
        <w:pStyle w:val="65"/>
        <w:spacing w:before="156" w:after="156"/>
        <w:rPr>
          <w:rFonts w:hint="eastAsia"/>
        </w:rPr>
      </w:pPr>
      <w:r>
        <w:rPr>
          <w:rFonts w:hint="eastAsia"/>
        </w:rPr>
        <w:t>幼年期</w:t>
      </w:r>
    </w:p>
    <w:p>
      <w:pPr>
        <w:pStyle w:val="56"/>
        <w:ind w:firstLine="420"/>
        <w:rPr>
          <w:rFonts w:hint="eastAsia"/>
        </w:rPr>
      </w:pPr>
      <w:r>
        <w:rPr>
          <w:rFonts w:hint="eastAsia"/>
        </w:rPr>
        <w:t>以扩大树冠、培养树形为目的。以去花芽为主，疏除弱小枝条。对个别徒长性枝条留30 cm～40 cm进行摘心，以促发分枝。</w:t>
      </w:r>
    </w:p>
    <w:p>
      <w:pPr>
        <w:pStyle w:val="65"/>
        <w:spacing w:before="156" w:after="156"/>
        <w:rPr>
          <w:rFonts w:hint="eastAsia"/>
        </w:rPr>
      </w:pPr>
      <w:r>
        <w:rPr>
          <w:rFonts w:hint="eastAsia"/>
        </w:rPr>
        <w:t>初投产期</w:t>
      </w:r>
    </w:p>
    <w:p>
      <w:pPr>
        <w:pStyle w:val="56"/>
        <w:ind w:firstLine="420"/>
        <w:rPr>
          <w:rFonts w:hint="eastAsia"/>
        </w:rPr>
      </w:pPr>
      <w:r>
        <w:rPr>
          <w:rFonts w:hint="eastAsia"/>
        </w:rPr>
        <w:t>以少量结果兼顾树冠扩大为原则。</w:t>
      </w:r>
    </w:p>
    <w:p>
      <w:pPr>
        <w:pStyle w:val="65"/>
        <w:spacing w:before="156" w:after="156"/>
        <w:rPr>
          <w:rFonts w:hint="eastAsia"/>
        </w:rPr>
      </w:pPr>
      <w:r>
        <w:rPr>
          <w:rFonts w:hint="eastAsia"/>
        </w:rPr>
        <w:t>成年期</w:t>
      </w:r>
    </w:p>
    <w:p>
      <w:pPr>
        <w:pStyle w:val="164"/>
        <w:rPr>
          <w:rFonts w:hint="eastAsia"/>
        </w:rPr>
      </w:pPr>
      <w:r>
        <w:rPr>
          <w:rFonts w:hint="eastAsia"/>
        </w:rPr>
        <w:t>以控制树高，改善光照条件，保持生长与结果的相对平衡为原则。</w:t>
      </w:r>
    </w:p>
    <w:p>
      <w:pPr>
        <w:pStyle w:val="164"/>
        <w:rPr>
          <w:rFonts w:hint="eastAsia"/>
        </w:rPr>
      </w:pPr>
      <w:r>
        <w:rPr>
          <w:rFonts w:hint="eastAsia"/>
        </w:rPr>
        <w:t>夏季修剪宜在采果后对灌丛内部已衰退的主枝从基部剪除，相互交叉的主枝去弱留强，疏除或短截长势过旺的枝条，删除过密枝、病弱枝以及当年结果枝上采果后的空枝。保持树体枝条高低 错落有致、树冠匀称，通风透光；冬季修剪宜根据品种和树势确定其负载量，修剪时合理选留花芽，将多余花枝以及枯枝、过密枝、细弱枝剪除，适当删除或短截旺枝。</w:t>
      </w:r>
    </w:p>
    <w:p>
      <w:pPr>
        <w:pStyle w:val="65"/>
        <w:pageBreakBefore/>
        <w:spacing w:before="156" w:after="156"/>
        <w:rPr>
          <w:rFonts w:hint="eastAsia"/>
        </w:rPr>
      </w:pPr>
      <w:r>
        <w:rPr>
          <w:rFonts w:hint="eastAsia"/>
        </w:rPr>
        <w:t>衰老期</w:t>
      </w:r>
    </w:p>
    <w:p>
      <w:pPr>
        <w:pStyle w:val="56"/>
        <w:ind w:firstLine="420"/>
        <w:rPr>
          <w:rFonts w:hint="eastAsia"/>
        </w:rPr>
      </w:pPr>
      <w:r>
        <w:rPr>
          <w:rFonts w:hint="eastAsia"/>
        </w:rPr>
        <w:t>衰老树可采用全树更新，地上部留15 cm～20 cm伐桩，或采用平茬方法更新树冠，留桩高度＜2 cm。</w:t>
      </w:r>
    </w:p>
    <w:p>
      <w:pPr>
        <w:pStyle w:val="104"/>
        <w:spacing w:before="312" w:after="312"/>
        <w:rPr>
          <w:rFonts w:hint="eastAsia"/>
        </w:rPr>
      </w:pPr>
      <w:bookmarkStart w:id="67" w:name="_Toc164415120"/>
      <w:r>
        <w:rPr>
          <w:rFonts w:hint="eastAsia"/>
        </w:rPr>
        <w:t>花果管理</w:t>
      </w:r>
      <w:bookmarkEnd w:id="67"/>
      <w:r>
        <w:rPr>
          <w:rFonts w:hint="eastAsia"/>
        </w:rPr>
        <w:t xml:space="preserve"> </w:t>
      </w:r>
    </w:p>
    <w:p>
      <w:pPr>
        <w:pStyle w:val="105"/>
        <w:spacing w:before="156" w:after="156"/>
        <w:rPr>
          <w:rFonts w:hint="eastAsia"/>
        </w:rPr>
      </w:pPr>
      <w:bookmarkStart w:id="68" w:name="_Toc164415121"/>
      <w:r>
        <w:rPr>
          <w:rFonts w:hint="eastAsia"/>
        </w:rPr>
        <w:t>疏花疏果</w:t>
      </w:r>
      <w:bookmarkEnd w:id="68"/>
      <w:r>
        <w:rPr>
          <w:rFonts w:hint="eastAsia"/>
        </w:rPr>
        <w:t xml:space="preserve"> </w:t>
      </w:r>
    </w:p>
    <w:p>
      <w:pPr>
        <w:pStyle w:val="56"/>
        <w:ind w:firstLine="420"/>
        <w:rPr>
          <w:rFonts w:hint="eastAsia"/>
        </w:rPr>
      </w:pPr>
      <w:r>
        <w:rPr>
          <w:rFonts w:hint="eastAsia"/>
        </w:rPr>
        <w:t xml:space="preserve">以疏花芽为主，疏幼果为辅。冬季修剪时根据树势，高丛类品种株产量控制在3 kg～5 kg，疏除多余花芽。花后根据坐果情况及新梢抽生情况进行复剪。疏果宜在幼果膨大之前进行。 </w:t>
      </w:r>
    </w:p>
    <w:p>
      <w:pPr>
        <w:pStyle w:val="105"/>
        <w:spacing w:before="156" w:after="156"/>
        <w:rPr>
          <w:rFonts w:hint="eastAsia"/>
        </w:rPr>
      </w:pPr>
      <w:bookmarkStart w:id="69" w:name="_Toc164415122"/>
      <w:r>
        <w:rPr>
          <w:rFonts w:hint="eastAsia"/>
        </w:rPr>
        <w:t>辅助授粉</w:t>
      </w:r>
      <w:bookmarkEnd w:id="69"/>
      <w:r>
        <w:rPr>
          <w:rFonts w:hint="eastAsia"/>
        </w:rPr>
        <w:t xml:space="preserve"> </w:t>
      </w:r>
    </w:p>
    <w:p>
      <w:pPr>
        <w:pStyle w:val="56"/>
        <w:ind w:firstLine="420"/>
        <w:rPr>
          <w:rFonts w:hint="eastAsia"/>
        </w:rPr>
      </w:pPr>
      <w:r>
        <w:rPr>
          <w:rFonts w:hint="eastAsia"/>
        </w:rPr>
        <w:t>有条件的可在花期放养蜜蜂辅助授粉。</w:t>
      </w:r>
    </w:p>
    <w:p>
      <w:pPr>
        <w:pStyle w:val="104"/>
        <w:spacing w:before="312" w:after="312"/>
        <w:rPr>
          <w:rFonts w:hint="eastAsia"/>
        </w:rPr>
      </w:pPr>
      <w:bookmarkStart w:id="70" w:name="_Toc164415123"/>
      <w:r>
        <w:rPr>
          <w:rFonts w:hint="eastAsia"/>
        </w:rPr>
        <w:t>病虫害防治</w:t>
      </w:r>
      <w:bookmarkEnd w:id="70"/>
    </w:p>
    <w:p>
      <w:pPr>
        <w:pStyle w:val="105"/>
        <w:spacing w:before="156" w:after="156"/>
        <w:rPr>
          <w:rFonts w:hint="eastAsia"/>
        </w:rPr>
      </w:pPr>
      <w:bookmarkStart w:id="71" w:name="_Toc164415124"/>
      <w:r>
        <w:rPr>
          <w:rFonts w:hint="eastAsia"/>
        </w:rPr>
        <w:t>防治原则</w:t>
      </w:r>
      <w:bookmarkEnd w:id="71"/>
    </w:p>
    <w:p>
      <w:pPr>
        <w:pStyle w:val="56"/>
        <w:ind w:firstLine="420"/>
        <w:rPr>
          <w:rFonts w:hint="eastAsia"/>
        </w:rPr>
      </w:pPr>
      <w:r>
        <w:rPr>
          <w:rFonts w:hint="eastAsia"/>
        </w:rPr>
        <w:t>根据“预防为主，综合防治”的原则，科学合理综合运用农业、物理、生物、化学防治等措施，保护利用各类天敌，保持蓝莓园内生态平衡，有效控制病虫危害，增强树体抗逆能力。</w:t>
      </w:r>
    </w:p>
    <w:p>
      <w:pPr>
        <w:pStyle w:val="105"/>
        <w:spacing w:before="156" w:after="156"/>
        <w:rPr>
          <w:rFonts w:hint="eastAsia"/>
        </w:rPr>
      </w:pPr>
      <w:bookmarkStart w:id="72" w:name="_Toc164415125"/>
      <w:r>
        <w:rPr>
          <w:rFonts w:hint="eastAsia"/>
        </w:rPr>
        <w:t>防治对象</w:t>
      </w:r>
      <w:bookmarkEnd w:id="72"/>
    </w:p>
    <w:p>
      <w:pPr>
        <w:pStyle w:val="56"/>
        <w:ind w:firstLine="420"/>
        <w:rPr>
          <w:rFonts w:hint="eastAsia"/>
        </w:rPr>
      </w:pPr>
      <w:r>
        <w:rPr>
          <w:rFonts w:hint="eastAsia"/>
        </w:rPr>
        <w:t>以灰霉病、僵果病、蓝莓果实腐烂病、茎溃疡病等病害，黑腹果蝇、金龟子、卷叶蛾、刺蛾等虫害及鸟害为主要防治对象。</w:t>
      </w:r>
    </w:p>
    <w:p>
      <w:pPr>
        <w:pStyle w:val="105"/>
        <w:spacing w:before="156" w:after="156"/>
        <w:rPr>
          <w:rFonts w:hint="eastAsia"/>
        </w:rPr>
      </w:pPr>
      <w:bookmarkStart w:id="73" w:name="_Toc164415126"/>
      <w:r>
        <w:rPr>
          <w:rFonts w:hint="eastAsia"/>
        </w:rPr>
        <w:t>防治措施</w:t>
      </w:r>
      <w:bookmarkEnd w:id="73"/>
    </w:p>
    <w:p>
      <w:pPr>
        <w:pStyle w:val="65"/>
        <w:spacing w:before="156" w:after="156"/>
        <w:rPr>
          <w:rFonts w:hint="eastAsia"/>
        </w:rPr>
      </w:pPr>
      <w:r>
        <w:rPr>
          <w:rFonts w:hint="eastAsia"/>
        </w:rPr>
        <w:t>农业防治</w:t>
      </w:r>
    </w:p>
    <w:p>
      <w:pPr>
        <w:pStyle w:val="56"/>
        <w:ind w:firstLine="420"/>
        <w:rPr>
          <w:rFonts w:hint="eastAsia"/>
        </w:rPr>
      </w:pPr>
      <w:r>
        <w:rPr>
          <w:rFonts w:hint="eastAsia"/>
        </w:rPr>
        <w:t>选用当地适宜的优良品种；控制植株适当密度，采取翻土、修剪、控梢、清园等措施，减少病虫源，控制病虫害发生；加强栽培管理，增强树势，提高树体自身抗病虫能力。</w:t>
      </w:r>
    </w:p>
    <w:p>
      <w:pPr>
        <w:pStyle w:val="65"/>
        <w:spacing w:before="156" w:after="156"/>
        <w:rPr>
          <w:rFonts w:hint="eastAsia"/>
        </w:rPr>
      </w:pPr>
      <w:r>
        <w:rPr>
          <w:rFonts w:hint="eastAsia"/>
        </w:rPr>
        <w:t>物理防治</w:t>
      </w:r>
    </w:p>
    <w:p>
      <w:pPr>
        <w:pStyle w:val="56"/>
        <w:ind w:firstLine="420"/>
        <w:rPr>
          <w:rFonts w:hint="eastAsia"/>
        </w:rPr>
      </w:pPr>
      <w:r>
        <w:rPr>
          <w:rFonts w:hint="eastAsia"/>
        </w:rPr>
        <w:t>采用防虫网隔离害虫及鸟；采用频振式杀虫灯、黑光灯诱杀刺蛾、金龟子等害虫；用糖、酒、醋、水混合液中加入农药诱杀果蝇等。人工捕捉天牛、蚱蝉、金龟子等害虫。</w:t>
      </w:r>
    </w:p>
    <w:p>
      <w:pPr>
        <w:pStyle w:val="65"/>
        <w:spacing w:before="156" w:after="156"/>
        <w:rPr>
          <w:rFonts w:hint="eastAsia"/>
        </w:rPr>
      </w:pPr>
      <w:r>
        <w:rPr>
          <w:rFonts w:hint="eastAsia"/>
        </w:rPr>
        <w:t xml:space="preserve">生物防治 </w:t>
      </w:r>
    </w:p>
    <w:p>
      <w:pPr>
        <w:pStyle w:val="56"/>
        <w:ind w:firstLine="420"/>
        <w:rPr>
          <w:rFonts w:hint="eastAsia"/>
        </w:rPr>
      </w:pPr>
      <w:r>
        <w:rPr>
          <w:rFonts w:hint="eastAsia"/>
        </w:rPr>
        <w:t>保护和利用当地主要的有益生物，合理使用生物制剂防治虫害。用信息素诱杀害虫。</w:t>
      </w:r>
    </w:p>
    <w:p>
      <w:pPr>
        <w:pStyle w:val="65"/>
        <w:spacing w:before="156" w:after="156"/>
        <w:rPr>
          <w:rFonts w:hint="eastAsia"/>
        </w:rPr>
      </w:pPr>
      <w:r>
        <w:rPr>
          <w:rFonts w:hint="eastAsia"/>
        </w:rPr>
        <w:t xml:space="preserve">化学防治 </w:t>
      </w:r>
    </w:p>
    <w:p>
      <w:pPr>
        <w:pStyle w:val="56"/>
        <w:ind w:firstLine="420"/>
        <w:rPr>
          <w:rFonts w:hint="eastAsia"/>
        </w:rPr>
      </w:pPr>
      <w:r>
        <w:rPr>
          <w:rFonts w:hint="eastAsia"/>
        </w:rPr>
        <w:t xml:space="preserve">在病虫害较严重而其他措施未能控制时，应合理选用高效、低毒、低残留和对天敌杀伤力低的农药进行防治，农药的安全和合理使用应符合GB 4285和GB 8321的规定。 </w:t>
      </w:r>
    </w:p>
    <w:p>
      <w:pPr>
        <w:pStyle w:val="104"/>
        <w:pageBreakBefore/>
        <w:spacing w:before="312" w:after="312"/>
        <w:rPr>
          <w:rFonts w:hint="eastAsia"/>
        </w:rPr>
      </w:pPr>
      <w:bookmarkStart w:id="74" w:name="_Toc164415127"/>
      <w:r>
        <w:rPr>
          <w:rFonts w:hint="eastAsia"/>
        </w:rPr>
        <w:t>果实采收</w:t>
      </w:r>
      <w:bookmarkEnd w:id="74"/>
    </w:p>
    <w:p>
      <w:pPr>
        <w:pStyle w:val="105"/>
        <w:spacing w:before="156" w:after="156"/>
        <w:rPr>
          <w:rFonts w:hint="eastAsia"/>
        </w:rPr>
      </w:pPr>
      <w:bookmarkStart w:id="75" w:name="_Toc164415128"/>
      <w:r>
        <w:rPr>
          <w:rFonts w:hint="eastAsia"/>
        </w:rPr>
        <w:t>采收时期</w:t>
      </w:r>
      <w:bookmarkEnd w:id="75"/>
    </w:p>
    <w:p>
      <w:pPr>
        <w:pStyle w:val="56"/>
        <w:ind w:firstLine="420"/>
        <w:rPr>
          <w:rFonts w:hint="eastAsia"/>
        </w:rPr>
      </w:pPr>
      <w:r>
        <w:rPr>
          <w:rFonts w:hint="eastAsia"/>
        </w:rPr>
        <w:t>宜根据果实用途要求，分批适熟采收。</w:t>
      </w:r>
    </w:p>
    <w:p>
      <w:pPr>
        <w:pStyle w:val="105"/>
        <w:spacing w:before="156" w:after="156"/>
        <w:rPr>
          <w:rFonts w:hint="eastAsia"/>
        </w:rPr>
      </w:pPr>
      <w:bookmarkStart w:id="76" w:name="_Toc164415129"/>
      <w:r>
        <w:rPr>
          <w:rFonts w:hint="eastAsia"/>
        </w:rPr>
        <w:t>采收时间</w:t>
      </w:r>
      <w:bookmarkEnd w:id="76"/>
    </w:p>
    <w:p>
      <w:pPr>
        <w:pStyle w:val="56"/>
        <w:ind w:firstLine="420"/>
        <w:rPr>
          <w:rFonts w:hint="eastAsia"/>
        </w:rPr>
      </w:pPr>
      <w:r>
        <w:rPr>
          <w:rFonts w:hint="eastAsia"/>
        </w:rPr>
        <w:t>宜于晴天早上露水干后进行。 晴天采收应避开11:00～16:00的高温，阴天可适当延长采收时间，雨天不宜采收。</w:t>
      </w:r>
    </w:p>
    <w:p>
      <w:pPr>
        <w:pStyle w:val="105"/>
        <w:spacing w:before="156" w:after="156"/>
        <w:rPr>
          <w:rFonts w:hint="eastAsia"/>
        </w:rPr>
      </w:pPr>
      <w:bookmarkStart w:id="77" w:name="_Toc164415130"/>
      <w:r>
        <w:rPr>
          <w:rFonts w:hint="eastAsia"/>
        </w:rPr>
        <w:t>采收方法</w:t>
      </w:r>
      <w:bookmarkEnd w:id="77"/>
    </w:p>
    <w:p>
      <w:pPr>
        <w:pStyle w:val="56"/>
        <w:ind w:firstLine="420"/>
        <w:rPr>
          <w:rFonts w:hint="eastAsia"/>
        </w:rPr>
      </w:pPr>
      <w:r>
        <w:rPr>
          <w:rFonts w:hint="eastAsia"/>
        </w:rPr>
        <w:t>采收人员在采果时应戴上手套（指套），采摘时应轻摘、轻拿、轻放，减少果实伤口，采果篮内衬应柔软洁净。</w:t>
      </w:r>
    </w:p>
    <w:p>
      <w:pPr>
        <w:pStyle w:val="104"/>
        <w:spacing w:before="312" w:after="312"/>
        <w:rPr>
          <w:rFonts w:hint="eastAsia"/>
        </w:rPr>
      </w:pPr>
      <w:bookmarkStart w:id="78" w:name="_Toc164415131"/>
      <w:r>
        <w:rPr>
          <w:rFonts w:hint="eastAsia"/>
        </w:rPr>
        <w:t>质量要求</w:t>
      </w:r>
      <w:bookmarkEnd w:id="78"/>
    </w:p>
    <w:p>
      <w:pPr>
        <w:pStyle w:val="105"/>
        <w:spacing w:before="156" w:after="156"/>
        <w:rPr>
          <w:rFonts w:hint="eastAsia"/>
        </w:rPr>
      </w:pPr>
      <w:bookmarkStart w:id="79" w:name="_Toc164415132"/>
      <w:r>
        <w:rPr>
          <w:rFonts w:hint="eastAsia"/>
        </w:rPr>
        <w:t>基本要求</w:t>
      </w:r>
      <w:bookmarkEnd w:id="79"/>
    </w:p>
    <w:p>
      <w:pPr>
        <w:pStyle w:val="56"/>
        <w:ind w:firstLine="420"/>
        <w:rPr>
          <w:rFonts w:hint="eastAsia"/>
        </w:rPr>
      </w:pPr>
      <w:r>
        <w:rPr>
          <w:rFonts w:hint="eastAsia"/>
        </w:rPr>
        <w:t>临海蓝莓应符合下列基本要求：</w:t>
      </w:r>
    </w:p>
    <w:p>
      <w:pPr>
        <w:pStyle w:val="174"/>
        <w:rPr>
          <w:rFonts w:hint="eastAsia"/>
        </w:rPr>
      </w:pPr>
      <w:r>
        <w:rPr>
          <w:rFonts w:hint="eastAsia"/>
        </w:rPr>
        <w:t>具有本品种固有的特征和风味；</w:t>
      </w:r>
    </w:p>
    <w:p>
      <w:pPr>
        <w:pStyle w:val="174"/>
        <w:rPr>
          <w:rFonts w:hint="eastAsia"/>
        </w:rPr>
      </w:pPr>
      <w:r>
        <w:rPr>
          <w:rFonts w:hint="eastAsia"/>
        </w:rPr>
        <w:t>果实保持完整良好，新鲜洁净，无异味，无病虫果；</w:t>
      </w:r>
    </w:p>
    <w:p>
      <w:pPr>
        <w:pStyle w:val="174"/>
        <w:rPr>
          <w:rFonts w:hint="eastAsia"/>
        </w:rPr>
      </w:pPr>
      <w:r>
        <w:rPr>
          <w:rFonts w:hint="eastAsia"/>
        </w:rPr>
        <w:t>无畸形果、腐烂果和变质果；</w:t>
      </w:r>
    </w:p>
    <w:p>
      <w:pPr>
        <w:pStyle w:val="174"/>
        <w:rPr>
          <w:rFonts w:hint="eastAsia"/>
        </w:rPr>
      </w:pPr>
      <w:r>
        <w:rPr>
          <w:rFonts w:hint="eastAsia"/>
        </w:rPr>
        <w:t>具有适应市场销售或贮存要求的成熟度；</w:t>
      </w:r>
    </w:p>
    <w:p>
      <w:pPr>
        <w:pStyle w:val="174"/>
        <w:rPr>
          <w:rFonts w:hint="eastAsia"/>
        </w:rPr>
      </w:pPr>
      <w:r>
        <w:rPr>
          <w:rFonts w:hint="eastAsia"/>
        </w:rPr>
        <w:t>无可见异物、无非正常的外来水分；</w:t>
      </w:r>
    </w:p>
    <w:p>
      <w:pPr>
        <w:pStyle w:val="174"/>
        <w:rPr>
          <w:rFonts w:hint="eastAsia"/>
        </w:rPr>
      </w:pPr>
      <w:r>
        <w:rPr>
          <w:rFonts w:hint="eastAsia"/>
        </w:rPr>
        <w:t>平均单果重1.0 g～2.5 g。</w:t>
      </w:r>
    </w:p>
    <w:p>
      <w:pPr>
        <w:pStyle w:val="105"/>
        <w:spacing w:before="156" w:after="156"/>
        <w:rPr>
          <w:rFonts w:hint="eastAsia"/>
        </w:rPr>
      </w:pPr>
      <w:bookmarkStart w:id="80" w:name="_Toc164415133"/>
      <w:r>
        <w:rPr>
          <w:rFonts w:hint="eastAsia"/>
        </w:rPr>
        <w:t>理化要求</w:t>
      </w:r>
      <w:bookmarkEnd w:id="80"/>
    </w:p>
    <w:p>
      <w:pPr>
        <w:pStyle w:val="56"/>
        <w:ind w:firstLine="420"/>
        <w:rPr>
          <w:rFonts w:hint="eastAsia"/>
        </w:rPr>
      </w:pPr>
      <w:r>
        <w:rPr>
          <w:rFonts w:hint="eastAsia"/>
        </w:rPr>
        <w:t>可溶性固形物含量10%以上，可滴定酸含量1.0 %以下，固酸比大于10:1，总花青苷含量大于1 mg/g</w:t>
      </w:r>
      <w:r>
        <w:rPr>
          <w:rFonts w:hint="eastAsia"/>
          <w:lang w:eastAsia="zh-CN"/>
        </w:rPr>
        <w:t>，</w:t>
      </w:r>
      <w:r>
        <w:rPr>
          <w:rFonts w:hint="eastAsia"/>
        </w:rPr>
        <w:t>可食率100 %。</w:t>
      </w:r>
    </w:p>
    <w:p>
      <w:pPr>
        <w:pStyle w:val="105"/>
        <w:spacing w:before="156" w:after="156"/>
        <w:rPr>
          <w:rFonts w:hint="eastAsia"/>
        </w:rPr>
      </w:pPr>
      <w:bookmarkStart w:id="81" w:name="_Toc164415134"/>
      <w:r>
        <w:rPr>
          <w:rFonts w:hint="eastAsia"/>
        </w:rPr>
        <w:t>分级要求</w:t>
      </w:r>
      <w:bookmarkEnd w:id="81"/>
    </w:p>
    <w:p>
      <w:pPr>
        <w:pStyle w:val="56"/>
        <w:ind w:firstLine="420"/>
      </w:pPr>
      <w:r>
        <w:rPr>
          <w:rFonts w:hint="eastAsia"/>
        </w:rPr>
        <w:t>在符合基本要求的前提下，蓝莓鲜果分为三个等级，具体要求应符合表1的规定。</w:t>
      </w:r>
    </w:p>
    <w:p>
      <w:pPr>
        <w:pStyle w:val="112"/>
        <w:spacing w:before="156" w:after="156"/>
        <w:rPr>
          <w:rFonts w:hint="eastAsia"/>
        </w:rPr>
      </w:pPr>
      <w:r>
        <w:rPr>
          <w:rFonts w:hint="eastAsia"/>
        </w:rPr>
        <w:t>蓝莓等级要求</w:t>
      </w: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29"/>
        <w:gridCol w:w="2563"/>
        <w:gridCol w:w="2847"/>
        <w:gridCol w:w="28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124" w:type="dxa"/>
            <w:vMerge w:val="restart"/>
            <w:tcBorders>
              <w:top w:val="single" w:color="auto" w:sz="8" w:space="0"/>
            </w:tcBorders>
            <w:shd w:val="clear" w:color="auto" w:fill="auto"/>
            <w:vAlign w:val="center"/>
          </w:tcPr>
          <w:p>
            <w:pPr>
              <w:pStyle w:val="178"/>
            </w:pPr>
            <w:r>
              <w:rPr>
                <w:rFonts w:hint="eastAsia" w:hAnsi="宋体"/>
                <w:szCs w:val="18"/>
              </w:rPr>
              <w:t>项目</w:t>
            </w:r>
          </w:p>
        </w:tc>
        <w:tc>
          <w:tcPr>
            <w:tcW w:w="8210" w:type="dxa"/>
            <w:gridSpan w:val="3"/>
            <w:tcBorders>
              <w:top w:val="single" w:color="auto" w:sz="8" w:space="0"/>
              <w:bottom w:val="single" w:color="auto" w:sz="8" w:space="0"/>
            </w:tcBorders>
            <w:shd w:val="clear" w:color="auto" w:fill="auto"/>
            <w:vAlign w:val="center"/>
          </w:tcPr>
          <w:p>
            <w:pPr>
              <w:pStyle w:val="178"/>
            </w:pPr>
            <w:r>
              <w:rPr>
                <w:rFonts w:hint="eastAsia"/>
              </w:rPr>
              <w:t>等级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Merge w:val="continue"/>
            <w:shd w:val="clear" w:color="auto" w:fill="auto"/>
            <w:vAlign w:val="center"/>
          </w:tcPr>
          <w:p>
            <w:pPr>
              <w:pStyle w:val="178"/>
            </w:pPr>
          </w:p>
        </w:tc>
        <w:tc>
          <w:tcPr>
            <w:tcW w:w="2552" w:type="dxa"/>
            <w:tcBorders>
              <w:top w:val="single" w:color="auto" w:sz="8" w:space="0"/>
            </w:tcBorders>
            <w:shd w:val="clear" w:color="auto" w:fill="auto"/>
            <w:vAlign w:val="center"/>
          </w:tcPr>
          <w:p>
            <w:pPr>
              <w:pStyle w:val="178"/>
            </w:pPr>
            <w:r>
              <w:rPr>
                <w:rFonts w:hint="eastAsia"/>
              </w:rPr>
              <w:t>优等品</w:t>
            </w:r>
          </w:p>
        </w:tc>
        <w:tc>
          <w:tcPr>
            <w:tcW w:w="2835" w:type="dxa"/>
            <w:tcBorders>
              <w:top w:val="single" w:color="auto" w:sz="8" w:space="0"/>
            </w:tcBorders>
            <w:shd w:val="clear" w:color="auto" w:fill="auto"/>
            <w:vAlign w:val="center"/>
          </w:tcPr>
          <w:p>
            <w:pPr>
              <w:pStyle w:val="178"/>
            </w:pPr>
            <w:r>
              <w:rPr>
                <w:rFonts w:hint="eastAsia"/>
              </w:rPr>
              <w:t>一等品</w:t>
            </w:r>
          </w:p>
        </w:tc>
        <w:tc>
          <w:tcPr>
            <w:tcW w:w="2823" w:type="dxa"/>
            <w:tcBorders>
              <w:top w:val="single" w:color="auto" w:sz="8" w:space="0"/>
            </w:tcBorders>
            <w:shd w:val="clear" w:color="auto" w:fill="auto"/>
            <w:vAlign w:val="center"/>
          </w:tcPr>
          <w:p>
            <w:pPr>
              <w:pStyle w:val="178"/>
            </w:pPr>
            <w:r>
              <w:rPr>
                <w:rFonts w:hint="eastAsia"/>
              </w:rPr>
              <w:t>二等品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shd w:val="clear" w:color="auto" w:fill="auto"/>
            <w:vAlign w:val="center"/>
          </w:tcPr>
          <w:p>
            <w:pPr>
              <w:pStyle w:val="178"/>
            </w:pPr>
            <w:r>
              <w:rPr>
                <w:rFonts w:hint="eastAsia" w:hAnsi="宋体"/>
                <w:szCs w:val="18"/>
              </w:rPr>
              <w:t>果粉</w:t>
            </w:r>
          </w:p>
        </w:tc>
        <w:tc>
          <w:tcPr>
            <w:tcW w:w="2552" w:type="dxa"/>
            <w:shd w:val="clear" w:color="auto" w:fill="auto"/>
            <w:vAlign w:val="center"/>
          </w:tcPr>
          <w:p>
            <w:pPr>
              <w:pStyle w:val="178"/>
            </w:pPr>
            <w:r>
              <w:rPr>
                <w:rFonts w:hint="eastAsia" w:hAnsi="宋体"/>
                <w:szCs w:val="18"/>
              </w:rPr>
              <w:t>完整</w:t>
            </w:r>
          </w:p>
        </w:tc>
        <w:tc>
          <w:tcPr>
            <w:tcW w:w="2835" w:type="dxa"/>
            <w:shd w:val="clear" w:color="auto" w:fill="auto"/>
            <w:vAlign w:val="center"/>
          </w:tcPr>
          <w:p>
            <w:pPr>
              <w:pStyle w:val="178"/>
            </w:pPr>
            <w:r>
              <w:rPr>
                <w:rFonts w:hint="eastAsia" w:hAnsi="宋体"/>
                <w:szCs w:val="18"/>
              </w:rPr>
              <w:t>完整</w:t>
            </w:r>
          </w:p>
        </w:tc>
        <w:tc>
          <w:tcPr>
            <w:tcW w:w="2823" w:type="dxa"/>
            <w:shd w:val="clear" w:color="auto" w:fill="auto"/>
            <w:vAlign w:val="center"/>
          </w:tcPr>
          <w:p>
            <w:pPr>
              <w:pStyle w:val="178"/>
            </w:pPr>
            <w:r>
              <w:rPr>
                <w:rFonts w:hint="eastAsia" w:hAnsi="宋体"/>
                <w:szCs w:val="18"/>
              </w:rPr>
              <w:t>较完整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shd w:val="clear" w:color="auto" w:fill="auto"/>
            <w:vAlign w:val="center"/>
          </w:tcPr>
          <w:p>
            <w:pPr>
              <w:pStyle w:val="178"/>
            </w:pPr>
            <w:r>
              <w:rPr>
                <w:rFonts w:hint="eastAsia" w:hAnsi="宋体"/>
                <w:szCs w:val="18"/>
              </w:rPr>
              <w:t>果蒂撕裂</w:t>
            </w:r>
          </w:p>
        </w:tc>
        <w:tc>
          <w:tcPr>
            <w:tcW w:w="2552" w:type="dxa"/>
            <w:shd w:val="clear" w:color="auto" w:fill="auto"/>
            <w:vAlign w:val="center"/>
          </w:tcPr>
          <w:p>
            <w:pPr>
              <w:pStyle w:val="178"/>
            </w:pPr>
            <w:r>
              <w:rPr>
                <w:rFonts w:hint="eastAsia" w:hAnsi="宋体"/>
                <w:szCs w:val="18"/>
              </w:rPr>
              <w:t>无</w:t>
            </w:r>
          </w:p>
        </w:tc>
        <w:tc>
          <w:tcPr>
            <w:tcW w:w="2835" w:type="dxa"/>
            <w:shd w:val="clear" w:color="auto" w:fill="auto"/>
            <w:vAlign w:val="center"/>
          </w:tcPr>
          <w:p>
            <w:pPr>
              <w:pStyle w:val="178"/>
            </w:pPr>
            <w:r>
              <w:rPr>
                <w:rFonts w:hint="eastAsia" w:hAnsi="宋体"/>
                <w:szCs w:val="18"/>
              </w:rPr>
              <w:t>≤1%</w:t>
            </w:r>
          </w:p>
        </w:tc>
        <w:tc>
          <w:tcPr>
            <w:tcW w:w="2823" w:type="dxa"/>
            <w:shd w:val="clear" w:color="auto" w:fill="auto"/>
            <w:vAlign w:val="center"/>
          </w:tcPr>
          <w:p>
            <w:pPr>
              <w:pStyle w:val="178"/>
            </w:pPr>
            <w:r>
              <w:rPr>
                <w:rFonts w:hint="eastAsia" w:hAnsi="宋体"/>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shd w:val="clear" w:color="auto" w:fill="auto"/>
            <w:vAlign w:val="center"/>
          </w:tcPr>
          <w:p>
            <w:pPr>
              <w:pStyle w:val="178"/>
            </w:pPr>
            <w:r>
              <w:rPr>
                <w:rFonts w:hint="eastAsia" w:hAnsi="宋体"/>
                <w:szCs w:val="18"/>
              </w:rPr>
              <w:t>果形</w:t>
            </w:r>
          </w:p>
        </w:tc>
        <w:tc>
          <w:tcPr>
            <w:tcW w:w="2552" w:type="dxa"/>
            <w:shd w:val="clear" w:color="auto" w:fill="auto"/>
            <w:vAlign w:val="center"/>
          </w:tcPr>
          <w:p>
            <w:pPr>
              <w:pStyle w:val="178"/>
              <w:ind w:firstLine="360" w:firstLineChars="200"/>
              <w:jc w:val="both"/>
            </w:pPr>
            <w:r>
              <w:rPr>
                <w:rFonts w:hint="eastAsia" w:hAnsi="宋体"/>
                <w:szCs w:val="18"/>
              </w:rPr>
              <w:t>大小基本均匀一致，无缺陷</w:t>
            </w:r>
          </w:p>
        </w:tc>
        <w:tc>
          <w:tcPr>
            <w:tcW w:w="2835" w:type="dxa"/>
            <w:shd w:val="clear" w:color="auto" w:fill="auto"/>
            <w:vAlign w:val="center"/>
          </w:tcPr>
          <w:p>
            <w:pPr>
              <w:pStyle w:val="178"/>
              <w:ind w:firstLine="360" w:firstLineChars="200"/>
              <w:jc w:val="both"/>
            </w:pPr>
            <w:r>
              <w:rPr>
                <w:rFonts w:hint="eastAsia" w:hAnsi="宋体"/>
                <w:szCs w:val="18"/>
              </w:rPr>
              <w:t>大小基本均匀一致，允许果形有轻微缺陷</w:t>
            </w:r>
          </w:p>
        </w:tc>
        <w:tc>
          <w:tcPr>
            <w:tcW w:w="2823" w:type="dxa"/>
            <w:shd w:val="clear" w:color="auto" w:fill="auto"/>
            <w:vAlign w:val="center"/>
          </w:tcPr>
          <w:p>
            <w:pPr>
              <w:pStyle w:val="178"/>
              <w:ind w:firstLine="360" w:firstLineChars="200"/>
              <w:jc w:val="both"/>
            </w:pPr>
            <w:r>
              <w:rPr>
                <w:rFonts w:hint="eastAsia" w:hAnsi="宋体"/>
                <w:szCs w:val="18"/>
              </w:rPr>
              <w:t>大小基本均匀一致，允许有缺陷，不得有畸形果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tcBorders>
              <w:bottom w:val="single" w:color="auto" w:sz="8" w:space="0"/>
            </w:tcBorders>
            <w:shd w:val="clear" w:color="auto" w:fill="auto"/>
            <w:vAlign w:val="center"/>
          </w:tcPr>
          <w:p>
            <w:pPr>
              <w:pStyle w:val="178"/>
            </w:pPr>
            <w:r>
              <w:rPr>
                <w:rFonts w:hint="eastAsia" w:hAnsi="宋体"/>
                <w:szCs w:val="18"/>
              </w:rPr>
              <w:t>成熟度</w:t>
            </w:r>
          </w:p>
        </w:tc>
        <w:tc>
          <w:tcPr>
            <w:tcW w:w="2552" w:type="dxa"/>
            <w:tcBorders>
              <w:bottom w:val="single" w:color="auto" w:sz="8" w:space="0"/>
            </w:tcBorders>
            <w:shd w:val="clear" w:color="auto" w:fill="auto"/>
            <w:vAlign w:val="center"/>
          </w:tcPr>
          <w:p>
            <w:pPr>
              <w:pStyle w:val="178"/>
              <w:ind w:firstLine="360" w:firstLineChars="200"/>
              <w:jc w:val="both"/>
            </w:pPr>
            <w:r>
              <w:rPr>
                <w:rFonts w:hint="eastAsia" w:hAnsi="宋体"/>
                <w:szCs w:val="18"/>
              </w:rPr>
              <w:t>一致，不允许有未熟果和过熟果</w:t>
            </w:r>
          </w:p>
        </w:tc>
        <w:tc>
          <w:tcPr>
            <w:tcW w:w="2835" w:type="dxa"/>
            <w:tcBorders>
              <w:bottom w:val="single" w:color="auto" w:sz="8" w:space="0"/>
            </w:tcBorders>
            <w:shd w:val="clear" w:color="auto" w:fill="auto"/>
            <w:vAlign w:val="center"/>
          </w:tcPr>
          <w:p>
            <w:pPr>
              <w:pStyle w:val="178"/>
              <w:ind w:firstLine="360" w:firstLineChars="200"/>
              <w:jc w:val="both"/>
            </w:pPr>
            <w:r>
              <w:rPr>
                <w:rFonts w:hint="eastAsia" w:hAnsi="宋体"/>
                <w:szCs w:val="18"/>
              </w:rPr>
              <w:t>允许有不超过1%的未熟果和过熟果</w:t>
            </w:r>
          </w:p>
        </w:tc>
        <w:tc>
          <w:tcPr>
            <w:tcW w:w="2823" w:type="dxa"/>
            <w:tcBorders>
              <w:bottom w:val="single" w:color="auto" w:sz="8" w:space="0"/>
            </w:tcBorders>
            <w:shd w:val="clear" w:color="auto" w:fill="auto"/>
            <w:vAlign w:val="center"/>
          </w:tcPr>
          <w:p>
            <w:pPr>
              <w:pStyle w:val="178"/>
              <w:ind w:firstLine="360" w:firstLineChars="200"/>
              <w:jc w:val="both"/>
            </w:pPr>
            <w:r>
              <w:rPr>
                <w:rFonts w:hint="eastAsia" w:hAnsi="宋体"/>
                <w:szCs w:val="18"/>
              </w:rPr>
              <w:t>允许有不超过2%的未熟果和过熟果</w:t>
            </w:r>
          </w:p>
        </w:tc>
      </w:tr>
    </w:tbl>
    <w:p>
      <w:pPr>
        <w:pStyle w:val="105"/>
        <w:pageBreakBefore/>
        <w:spacing w:before="156" w:after="156"/>
      </w:pPr>
      <w:bookmarkStart w:id="82" w:name="_Toc164415135"/>
      <w:bookmarkStart w:id="83" w:name="_Toc15899"/>
      <w:r>
        <w:t>规格</w:t>
      </w:r>
      <w:bookmarkEnd w:id="82"/>
    </w:p>
    <w:p>
      <w:pPr>
        <w:pStyle w:val="56"/>
        <w:ind w:firstLine="420"/>
      </w:pPr>
      <w:r>
        <w:rPr>
          <w:rFonts w:hint="eastAsia"/>
        </w:rPr>
        <w:t>根据果实横径大小可分为特大（XL）、大（L）、中（M）、小（S），应符合表2的要求。</w:t>
      </w:r>
    </w:p>
    <w:p>
      <w:pPr>
        <w:pStyle w:val="112"/>
        <w:spacing w:before="156" w:after="156"/>
      </w:pPr>
      <w:r>
        <w:rPr>
          <w:rFonts w:hint="eastAsia"/>
        </w:rPr>
        <w:t>蓝莓规格</w:t>
      </w: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08"/>
        <w:gridCol w:w="1848"/>
        <w:gridCol w:w="1858"/>
        <w:gridCol w:w="1869"/>
        <w:gridCol w:w="18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0" w:type="dxa"/>
            <w:tcBorders>
              <w:top w:val="single" w:color="auto" w:sz="8" w:space="0"/>
              <w:bottom w:val="single" w:color="auto" w:sz="8" w:space="0"/>
            </w:tcBorders>
            <w:shd w:val="clear" w:color="auto" w:fill="auto"/>
            <w:vAlign w:val="center"/>
          </w:tcPr>
          <w:p>
            <w:pPr>
              <w:snapToGrid w:val="0"/>
              <w:spacing w:line="240" w:lineRule="auto"/>
              <w:jc w:val="center"/>
              <w:rPr>
                <w:rFonts w:ascii="宋体" w:hAnsi="宋体"/>
                <w:sz w:val="18"/>
                <w:szCs w:val="18"/>
              </w:rPr>
            </w:pPr>
            <w:r>
              <w:rPr>
                <w:rFonts w:hint="eastAsia" w:ascii="宋体" w:hAnsi="宋体"/>
                <w:sz w:val="18"/>
                <w:szCs w:val="18"/>
              </w:rPr>
              <w:t>规格</w:t>
            </w:r>
          </w:p>
        </w:tc>
        <w:tc>
          <w:tcPr>
            <w:tcW w:w="1666" w:type="dxa"/>
            <w:tcBorders>
              <w:top w:val="single" w:color="auto" w:sz="8" w:space="0"/>
              <w:bottom w:val="single" w:color="auto" w:sz="8" w:space="0"/>
            </w:tcBorders>
            <w:shd w:val="clear" w:color="auto" w:fill="auto"/>
            <w:vAlign w:val="center"/>
          </w:tcPr>
          <w:p>
            <w:pPr>
              <w:snapToGrid w:val="0"/>
              <w:spacing w:line="240" w:lineRule="auto"/>
              <w:jc w:val="center"/>
              <w:rPr>
                <w:rFonts w:ascii="宋体" w:hAnsi="宋体"/>
                <w:sz w:val="18"/>
                <w:szCs w:val="18"/>
              </w:rPr>
            </w:pPr>
            <w:r>
              <w:rPr>
                <w:rFonts w:hint="eastAsia" w:ascii="宋体" w:hAnsi="宋体"/>
                <w:sz w:val="18"/>
                <w:szCs w:val="18"/>
              </w:rPr>
              <w:t>特大（XL）</w:t>
            </w:r>
          </w:p>
        </w:tc>
        <w:tc>
          <w:tcPr>
            <w:tcW w:w="1675" w:type="dxa"/>
            <w:tcBorders>
              <w:top w:val="single" w:color="auto" w:sz="8" w:space="0"/>
              <w:bottom w:val="single" w:color="auto" w:sz="8" w:space="0"/>
            </w:tcBorders>
            <w:shd w:val="clear" w:color="auto" w:fill="auto"/>
            <w:vAlign w:val="center"/>
          </w:tcPr>
          <w:p>
            <w:pPr>
              <w:snapToGrid w:val="0"/>
              <w:spacing w:line="240" w:lineRule="auto"/>
              <w:jc w:val="center"/>
              <w:rPr>
                <w:rFonts w:ascii="宋体" w:hAnsi="宋体"/>
                <w:sz w:val="18"/>
                <w:szCs w:val="18"/>
              </w:rPr>
            </w:pPr>
            <w:r>
              <w:rPr>
                <w:rFonts w:hint="eastAsia" w:ascii="宋体" w:hAnsi="宋体"/>
                <w:sz w:val="18"/>
                <w:szCs w:val="18"/>
              </w:rPr>
              <w:t>大（L）</w:t>
            </w:r>
          </w:p>
        </w:tc>
        <w:tc>
          <w:tcPr>
            <w:tcW w:w="1685" w:type="dxa"/>
            <w:tcBorders>
              <w:top w:val="single" w:color="auto" w:sz="8" w:space="0"/>
              <w:bottom w:val="single" w:color="auto" w:sz="8" w:space="0"/>
            </w:tcBorders>
            <w:shd w:val="clear" w:color="auto" w:fill="auto"/>
            <w:vAlign w:val="center"/>
          </w:tcPr>
          <w:p>
            <w:pPr>
              <w:snapToGrid w:val="0"/>
              <w:spacing w:line="240" w:lineRule="auto"/>
              <w:jc w:val="center"/>
              <w:rPr>
                <w:rFonts w:ascii="宋体" w:hAnsi="宋体"/>
                <w:sz w:val="18"/>
                <w:szCs w:val="18"/>
              </w:rPr>
            </w:pPr>
            <w:r>
              <w:rPr>
                <w:rFonts w:hint="eastAsia" w:ascii="宋体" w:hAnsi="宋体"/>
                <w:sz w:val="18"/>
                <w:szCs w:val="18"/>
              </w:rPr>
              <w:t>中（M）</w:t>
            </w:r>
          </w:p>
        </w:tc>
        <w:tc>
          <w:tcPr>
            <w:tcW w:w="1705" w:type="dxa"/>
            <w:tcBorders>
              <w:top w:val="single" w:color="auto" w:sz="8" w:space="0"/>
              <w:bottom w:val="single" w:color="auto" w:sz="8" w:space="0"/>
            </w:tcBorders>
            <w:shd w:val="clear" w:color="auto" w:fill="auto"/>
            <w:vAlign w:val="center"/>
          </w:tcPr>
          <w:p>
            <w:pPr>
              <w:snapToGrid w:val="0"/>
              <w:spacing w:line="240" w:lineRule="auto"/>
              <w:jc w:val="center"/>
              <w:rPr>
                <w:rFonts w:ascii="宋体" w:hAnsi="宋体"/>
                <w:sz w:val="18"/>
                <w:szCs w:val="18"/>
              </w:rPr>
            </w:pPr>
            <w:r>
              <w:rPr>
                <w:rFonts w:hint="eastAsia" w:ascii="宋体" w:hAnsi="宋体"/>
                <w:sz w:val="18"/>
                <w:szCs w:val="18"/>
              </w:rPr>
              <w:t>小（S）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0" w:type="dxa"/>
            <w:tcBorders>
              <w:top w:val="single" w:color="auto" w:sz="8" w:space="0"/>
            </w:tcBorders>
            <w:shd w:val="clear" w:color="auto" w:fill="auto"/>
            <w:vAlign w:val="center"/>
          </w:tcPr>
          <w:p>
            <w:pPr>
              <w:snapToGrid w:val="0"/>
              <w:spacing w:line="240" w:lineRule="auto"/>
              <w:jc w:val="center"/>
              <w:rPr>
                <w:rFonts w:ascii="宋体" w:hAnsi="宋体"/>
                <w:sz w:val="18"/>
                <w:szCs w:val="18"/>
              </w:rPr>
            </w:pPr>
            <w:r>
              <w:rPr>
                <w:rFonts w:hint="eastAsia" w:ascii="宋体" w:hAnsi="宋体"/>
                <w:sz w:val="18"/>
                <w:szCs w:val="18"/>
              </w:rPr>
              <w:t>果实横径</w:t>
            </w:r>
          </w:p>
        </w:tc>
        <w:tc>
          <w:tcPr>
            <w:tcW w:w="1666" w:type="dxa"/>
            <w:tcBorders>
              <w:top w:val="single" w:color="auto" w:sz="8" w:space="0"/>
            </w:tcBorders>
            <w:shd w:val="clear" w:color="auto" w:fill="auto"/>
            <w:vAlign w:val="center"/>
          </w:tcPr>
          <w:p>
            <w:pPr>
              <w:snapToGrid w:val="0"/>
              <w:spacing w:line="240" w:lineRule="auto"/>
              <w:jc w:val="center"/>
              <w:rPr>
                <w:rFonts w:ascii="宋体" w:hAnsi="宋体"/>
                <w:sz w:val="18"/>
                <w:szCs w:val="18"/>
              </w:rPr>
            </w:pPr>
            <w:r>
              <w:rPr>
                <w:rFonts w:hint="eastAsia" w:ascii="宋体" w:hAnsi="宋体" w:cs="宋体"/>
                <w:color w:val="000000"/>
                <w:kern w:val="0"/>
                <w:sz w:val="18"/>
                <w:szCs w:val="18"/>
              </w:rPr>
              <w:t xml:space="preserve">≥18 mm </w:t>
            </w:r>
          </w:p>
        </w:tc>
        <w:tc>
          <w:tcPr>
            <w:tcW w:w="1675" w:type="dxa"/>
            <w:tcBorders>
              <w:top w:val="single" w:color="auto" w:sz="8" w:space="0"/>
            </w:tcBorders>
            <w:shd w:val="clear" w:color="auto" w:fill="auto"/>
            <w:vAlign w:val="center"/>
          </w:tcPr>
          <w:p>
            <w:pPr>
              <w:snapToGrid w:val="0"/>
              <w:spacing w:line="240" w:lineRule="auto"/>
              <w:jc w:val="center"/>
              <w:rPr>
                <w:rFonts w:ascii="宋体" w:hAnsi="宋体"/>
                <w:sz w:val="18"/>
                <w:szCs w:val="18"/>
              </w:rPr>
            </w:pPr>
            <w:r>
              <w:rPr>
                <w:rFonts w:hint="eastAsia" w:ascii="宋体" w:hAnsi="宋体" w:cs="宋体"/>
                <w:color w:val="000000"/>
                <w:kern w:val="0"/>
                <w:sz w:val="18"/>
                <w:szCs w:val="18"/>
              </w:rPr>
              <w:t>15 mm</w:t>
            </w:r>
            <w:r>
              <w:rPr>
                <w:rFonts w:hint="eastAsia" w:ascii="宋体" w:hAnsi="宋体" w:cs="宋体"/>
                <w:color w:val="000000"/>
                <w:kern w:val="0"/>
                <w:sz w:val="18"/>
                <w:szCs w:val="20"/>
              </w:rPr>
              <w:t>～</w:t>
            </w:r>
            <w:r>
              <w:rPr>
                <w:rFonts w:hint="eastAsia" w:ascii="宋体" w:hAnsi="宋体" w:cs="宋体"/>
                <w:color w:val="000000"/>
                <w:kern w:val="0"/>
                <w:sz w:val="18"/>
                <w:szCs w:val="18"/>
              </w:rPr>
              <w:t>18 mm</w:t>
            </w:r>
          </w:p>
        </w:tc>
        <w:tc>
          <w:tcPr>
            <w:tcW w:w="1685" w:type="dxa"/>
            <w:tcBorders>
              <w:top w:val="single" w:color="auto" w:sz="8" w:space="0"/>
            </w:tcBorders>
            <w:shd w:val="clear" w:color="auto" w:fill="auto"/>
            <w:vAlign w:val="center"/>
          </w:tcPr>
          <w:p>
            <w:pPr>
              <w:snapToGrid w:val="0"/>
              <w:spacing w:line="240" w:lineRule="auto"/>
              <w:jc w:val="center"/>
              <w:rPr>
                <w:rFonts w:ascii="宋体" w:hAnsi="宋体"/>
                <w:sz w:val="18"/>
                <w:szCs w:val="18"/>
              </w:rPr>
            </w:pPr>
            <w:r>
              <w:rPr>
                <w:rFonts w:hint="eastAsia" w:ascii="宋体" w:hAnsi="宋体" w:cs="宋体"/>
                <w:color w:val="000000"/>
                <w:kern w:val="0"/>
                <w:sz w:val="18"/>
                <w:szCs w:val="18"/>
              </w:rPr>
              <w:t>12 mm</w:t>
            </w:r>
            <w:r>
              <w:rPr>
                <w:rFonts w:hint="eastAsia" w:ascii="宋体" w:hAnsi="宋体" w:cs="宋体"/>
                <w:color w:val="000000"/>
                <w:kern w:val="0"/>
                <w:sz w:val="18"/>
                <w:szCs w:val="20"/>
              </w:rPr>
              <w:t>～</w:t>
            </w:r>
            <w:r>
              <w:rPr>
                <w:rFonts w:hint="eastAsia" w:ascii="宋体" w:hAnsi="宋体" w:cs="宋体"/>
                <w:color w:val="000000"/>
                <w:kern w:val="0"/>
                <w:sz w:val="18"/>
                <w:szCs w:val="18"/>
              </w:rPr>
              <w:t>15 mm</w:t>
            </w:r>
          </w:p>
        </w:tc>
        <w:tc>
          <w:tcPr>
            <w:tcW w:w="1705" w:type="dxa"/>
            <w:tcBorders>
              <w:top w:val="single" w:color="auto" w:sz="8" w:space="0"/>
            </w:tcBorders>
            <w:shd w:val="clear" w:color="auto" w:fill="auto"/>
            <w:vAlign w:val="center"/>
          </w:tcPr>
          <w:p>
            <w:pPr>
              <w:snapToGrid w:val="0"/>
              <w:spacing w:line="240" w:lineRule="auto"/>
              <w:jc w:val="center"/>
              <w:rPr>
                <w:rFonts w:ascii="宋体" w:hAnsi="宋体"/>
                <w:sz w:val="18"/>
                <w:szCs w:val="18"/>
              </w:rPr>
            </w:pPr>
            <w:r>
              <w:rPr>
                <w:rFonts w:hint="eastAsia" w:ascii="宋体" w:hAnsi="宋体" w:cs="宋体"/>
                <w:color w:val="000000"/>
                <w:kern w:val="0"/>
                <w:sz w:val="18"/>
                <w:szCs w:val="18"/>
              </w:rPr>
              <w:t>10 mm</w:t>
            </w:r>
            <w:r>
              <w:rPr>
                <w:rFonts w:hint="eastAsia" w:ascii="宋体" w:hAnsi="宋体" w:cs="宋体"/>
                <w:color w:val="000000"/>
                <w:kern w:val="0"/>
                <w:sz w:val="18"/>
                <w:szCs w:val="20"/>
              </w:rPr>
              <w:t>～</w:t>
            </w:r>
            <w:r>
              <w:rPr>
                <w:rFonts w:hint="eastAsia" w:ascii="宋体" w:hAnsi="宋体" w:cs="宋体"/>
                <w:color w:val="000000"/>
                <w:kern w:val="0"/>
                <w:sz w:val="18"/>
                <w:szCs w:val="18"/>
              </w:rPr>
              <w:t>12 mm</w:t>
            </w:r>
          </w:p>
        </w:tc>
      </w:tr>
    </w:tbl>
    <w:p>
      <w:pPr>
        <w:pStyle w:val="105"/>
        <w:spacing w:before="156" w:after="156"/>
      </w:pPr>
      <w:bookmarkStart w:id="84" w:name="_Toc164415136"/>
      <w:r>
        <w:rPr>
          <w:rFonts w:hint="eastAsia"/>
        </w:rPr>
        <w:t>等级差</w:t>
      </w:r>
      <w:r>
        <w:t>容许度</w:t>
      </w:r>
      <w:bookmarkEnd w:id="83"/>
      <w:bookmarkEnd w:id="84"/>
    </w:p>
    <w:p>
      <w:pPr>
        <w:pStyle w:val="56"/>
        <w:ind w:firstLine="420"/>
      </w:pPr>
      <w:r>
        <w:rPr>
          <w:rFonts w:hint="eastAsia"/>
        </w:rPr>
        <w:t>同一级果实中，不符合该级标准的邻级果，按重量计，不得超过5%，不得有隔级果。</w:t>
      </w:r>
    </w:p>
    <w:p>
      <w:pPr>
        <w:pStyle w:val="105"/>
        <w:spacing w:before="156" w:after="156"/>
      </w:pPr>
      <w:bookmarkStart w:id="85" w:name="_Toc9578"/>
      <w:bookmarkStart w:id="86" w:name="_Toc164415137"/>
      <w:r>
        <w:rPr>
          <w:rFonts w:hint="eastAsia"/>
        </w:rPr>
        <w:t>质量</w:t>
      </w:r>
      <w:r>
        <w:t>安全要求</w:t>
      </w:r>
      <w:bookmarkEnd w:id="85"/>
      <w:bookmarkEnd w:id="86"/>
    </w:p>
    <w:p>
      <w:pPr>
        <w:pStyle w:val="165"/>
      </w:pPr>
      <w:r>
        <w:rPr>
          <w:rFonts w:hint="eastAsia"/>
        </w:rPr>
        <w:t>污染物限量应符合</w:t>
      </w:r>
      <w:r>
        <w:t>GB 2762</w:t>
      </w:r>
      <w:r>
        <w:rPr>
          <w:rFonts w:hint="eastAsia"/>
        </w:rPr>
        <w:t>的规定。</w:t>
      </w:r>
    </w:p>
    <w:p>
      <w:pPr>
        <w:pStyle w:val="165"/>
        <w:rPr>
          <w:rFonts w:hAnsi="黑体"/>
        </w:rPr>
      </w:pPr>
      <w:r>
        <w:rPr>
          <w:rFonts w:hint="eastAsia" w:hAnsi="黑体"/>
          <w:szCs w:val="21"/>
        </w:rPr>
        <w:t>农药最大残留限量应符合GB 2763的规定。</w:t>
      </w:r>
    </w:p>
    <w:p>
      <w:pPr>
        <w:pStyle w:val="104"/>
        <w:spacing w:before="312" w:after="312"/>
      </w:pPr>
      <w:bookmarkStart w:id="87" w:name="_Toc164415138"/>
      <w:bookmarkStart w:id="88" w:name="_Toc4900"/>
      <w:bookmarkStart w:id="89" w:name="_Toc12164"/>
      <w:r>
        <w:rPr>
          <w:rFonts w:hint="eastAsia"/>
        </w:rPr>
        <w:t>检验方法</w:t>
      </w:r>
      <w:bookmarkEnd w:id="87"/>
      <w:bookmarkEnd w:id="88"/>
      <w:bookmarkEnd w:id="89"/>
    </w:p>
    <w:p>
      <w:pPr>
        <w:pStyle w:val="105"/>
        <w:spacing w:before="156" w:after="156"/>
      </w:pPr>
      <w:bookmarkStart w:id="90" w:name="_Toc164415139"/>
      <w:r>
        <w:rPr>
          <w:rFonts w:hint="eastAsia"/>
        </w:rPr>
        <w:t>等级规格评定</w:t>
      </w:r>
      <w:bookmarkEnd w:id="90"/>
    </w:p>
    <w:p>
      <w:pPr>
        <w:pStyle w:val="56"/>
        <w:ind w:firstLine="420"/>
      </w:pPr>
      <w:r>
        <w:rPr>
          <w:rFonts w:hint="eastAsia"/>
        </w:rPr>
        <w:t>按照NY/T 3033 规定的方法进行评定。</w:t>
      </w:r>
    </w:p>
    <w:p>
      <w:pPr>
        <w:pStyle w:val="105"/>
        <w:spacing w:before="156" w:after="156"/>
      </w:pPr>
      <w:bookmarkStart w:id="91" w:name="_Toc164415140"/>
      <w:r>
        <w:rPr>
          <w:rFonts w:hint="eastAsia"/>
        </w:rPr>
        <w:t>成熟度评定</w:t>
      </w:r>
      <w:bookmarkEnd w:id="91"/>
    </w:p>
    <w:p>
      <w:pPr>
        <w:pStyle w:val="56"/>
        <w:ind w:firstLine="420"/>
      </w:pPr>
      <w:r>
        <w:rPr>
          <w:rFonts w:hint="eastAsia"/>
        </w:rPr>
        <w:t>按照NY/T 3033 规定的方法进行评定。</w:t>
      </w:r>
    </w:p>
    <w:p>
      <w:pPr>
        <w:pStyle w:val="105"/>
        <w:spacing w:before="156" w:after="156"/>
      </w:pPr>
      <w:bookmarkStart w:id="92" w:name="_Toc164415141"/>
      <w:r>
        <w:rPr>
          <w:rFonts w:hint="eastAsia"/>
        </w:rPr>
        <w:t>理化指标</w:t>
      </w:r>
      <w:bookmarkEnd w:id="92"/>
    </w:p>
    <w:p>
      <w:pPr>
        <w:pStyle w:val="65"/>
        <w:spacing w:before="156" w:after="156"/>
      </w:pPr>
      <w:r>
        <w:rPr>
          <w:rFonts w:hint="eastAsia"/>
        </w:rPr>
        <w:t>可溶性固形物</w:t>
      </w:r>
    </w:p>
    <w:p>
      <w:pPr>
        <w:pStyle w:val="56"/>
        <w:ind w:firstLine="420"/>
      </w:pPr>
      <w:r>
        <w:rPr>
          <w:rFonts w:hint="eastAsia"/>
        </w:rPr>
        <w:t>按照NY/T 2637规定的方法进行测定。</w:t>
      </w:r>
    </w:p>
    <w:p>
      <w:pPr>
        <w:pStyle w:val="65"/>
        <w:spacing w:before="156" w:after="156"/>
      </w:pPr>
      <w:r>
        <w:rPr>
          <w:rFonts w:hint="eastAsia"/>
        </w:rPr>
        <w:t>可滴定酸</w:t>
      </w:r>
    </w:p>
    <w:p>
      <w:pPr>
        <w:pStyle w:val="56"/>
        <w:ind w:firstLine="420"/>
      </w:pPr>
      <w:r>
        <w:rPr>
          <w:rFonts w:hint="eastAsia"/>
        </w:rPr>
        <w:t>按照GB 12456 规定的方法进行测定。</w:t>
      </w:r>
    </w:p>
    <w:p>
      <w:pPr>
        <w:pStyle w:val="65"/>
        <w:spacing w:before="156" w:after="156"/>
      </w:pPr>
      <w:r>
        <w:rPr>
          <w:rFonts w:hint="eastAsia"/>
        </w:rPr>
        <w:t>固酸比</w:t>
      </w:r>
    </w:p>
    <w:p>
      <w:pPr>
        <w:pStyle w:val="56"/>
        <w:ind w:firstLine="420"/>
      </w:pPr>
      <w:r>
        <w:rPr>
          <w:rFonts w:hint="eastAsia"/>
        </w:rPr>
        <w:t>按公式</w:t>
      </w:r>
      <w:r>
        <w:rPr>
          <w:rFonts w:hint="eastAsia"/>
          <w:lang w:eastAsia="zh-CN"/>
        </w:rPr>
        <w:t>（</w:t>
      </w:r>
      <w:r>
        <w:t>1</w:t>
      </w:r>
      <w:r>
        <w:rPr>
          <w:rFonts w:hint="eastAsia"/>
          <w:lang w:eastAsia="zh-CN"/>
        </w:rPr>
        <w:t>）</w:t>
      </w:r>
      <w:r>
        <w:rPr>
          <w:rFonts w:hint="eastAsia"/>
        </w:rPr>
        <w:t>计算：</w:t>
      </w:r>
    </w:p>
    <w:p>
      <w:pPr>
        <w:pStyle w:val="113"/>
      </w:pPr>
      <w:r>
        <w:tab/>
      </w:r>
      <m:oMath>
        <m:r>
          <m:rPr>
            <m:sty m:val="bi"/>
          </m:rPr>
          <w:rPr>
            <w:rStyle w:val="186"/>
            <w:rFonts w:ascii="Cambria Math" w:hAnsi="Cambria Math"/>
          </w:rPr>
          <m:t>G=</m:t>
        </m:r>
        <m:f>
          <m:fPr>
            <m:ctrlPr>
              <w:rPr>
                <w:rStyle w:val="186"/>
                <w:rFonts w:ascii="Cambria Math" w:hAnsi="Cambria Math"/>
                <w:b/>
                <w:bCs/>
                <w:i/>
              </w:rPr>
            </m:ctrlPr>
          </m:fPr>
          <m:num>
            <m:r>
              <m:rPr>
                <m:sty m:val="bi"/>
              </m:rPr>
              <w:rPr>
                <w:rStyle w:val="186"/>
                <w:rFonts w:ascii="Cambria Math" w:hAnsi="Cambria Math"/>
              </w:rPr>
              <m:t>A</m:t>
            </m:r>
            <m:ctrlPr>
              <w:rPr>
                <w:rStyle w:val="186"/>
                <w:rFonts w:ascii="Cambria Math" w:hAnsi="Cambria Math"/>
                <w:b/>
                <w:bCs/>
                <w:i/>
              </w:rPr>
            </m:ctrlPr>
          </m:num>
          <m:den>
            <m:r>
              <m:rPr>
                <m:sty m:val="bi"/>
              </m:rPr>
              <w:rPr>
                <w:rStyle w:val="186"/>
                <w:rFonts w:ascii="Cambria Math" w:hAnsi="Cambria Math"/>
              </w:rPr>
              <m:t>B</m:t>
            </m:r>
            <m:ctrlPr>
              <w:rPr>
                <w:rStyle w:val="186"/>
                <w:rFonts w:ascii="Cambria Math" w:hAnsi="Cambria Math"/>
                <w:b/>
                <w:bCs/>
                <w:i/>
              </w:rPr>
            </m:ctrlPr>
          </m:den>
        </m:f>
      </m:oMath>
      <w:r>
        <w:rPr>
          <w:rFonts w:ascii="微软雅黑" w:eastAsia="微软雅黑"/>
        </w:rPr>
        <w:tab/>
      </w:r>
      <w:r>
        <w:t>(</w:t>
      </w:r>
      <w:r>
        <w:fldChar w:fldCharType="begin"/>
      </w:r>
      <w:r>
        <w:instrText xml:space="preserve"> AUTONUM </w:instrText>
      </w:r>
      <w:r>
        <w:fldChar w:fldCharType="end"/>
      </w:r>
      <w:r>
        <w:t>)</w:t>
      </w:r>
    </w:p>
    <w:p>
      <w:pPr>
        <w:pStyle w:val="55"/>
        <w:ind w:firstLine="420"/>
      </w:pPr>
      <w:r>
        <w:rPr>
          <w:rFonts w:hint="eastAsia"/>
        </w:rPr>
        <w:t>式中：</w:t>
      </w:r>
    </w:p>
    <w:p>
      <w:pPr>
        <w:pStyle w:val="56"/>
        <w:ind w:firstLine="420"/>
      </w:pPr>
      <w:r>
        <w:rPr>
          <w:rFonts w:hint="eastAsia"/>
          <w:i/>
          <w:iCs/>
        </w:rPr>
        <w:t>G</w:t>
      </w:r>
      <w:r>
        <w:rPr>
          <w:rFonts w:hint="eastAsia"/>
        </w:rPr>
        <w:t>——固酸比；</w:t>
      </w:r>
    </w:p>
    <w:p>
      <w:pPr>
        <w:pStyle w:val="56"/>
        <w:ind w:firstLine="420"/>
      </w:pPr>
      <w:r>
        <w:rPr>
          <w:rFonts w:hint="eastAsia"/>
          <w:i/>
          <w:iCs/>
        </w:rPr>
        <w:t>A</w:t>
      </w:r>
      <w:r>
        <w:rPr>
          <w:rFonts w:hint="eastAsia"/>
        </w:rPr>
        <w:t>——可溶性固体物含量（%）；</w:t>
      </w:r>
    </w:p>
    <w:p>
      <w:pPr>
        <w:pStyle w:val="56"/>
        <w:ind w:firstLine="420"/>
        <w:rPr>
          <w:rFonts w:hint="eastAsia"/>
        </w:rPr>
      </w:pPr>
      <w:r>
        <w:rPr>
          <w:rFonts w:hint="eastAsia"/>
          <w:i/>
          <w:iCs/>
        </w:rPr>
        <w:t>B</w:t>
      </w:r>
      <w:r>
        <w:rPr>
          <w:rFonts w:hint="eastAsia"/>
        </w:rPr>
        <w:t>——可滴定酸含量（%）。</w:t>
      </w:r>
    </w:p>
    <w:p>
      <w:pPr>
        <w:pStyle w:val="65"/>
        <w:spacing w:before="156" w:after="156"/>
        <w:rPr>
          <w:rFonts w:hint="eastAsia"/>
        </w:rPr>
      </w:pPr>
      <w:r>
        <w:rPr>
          <w:rFonts w:hint="eastAsia"/>
        </w:rPr>
        <w:t>总花青苷</w:t>
      </w:r>
    </w:p>
    <w:p>
      <w:pPr>
        <w:pStyle w:val="56"/>
        <w:ind w:firstLine="420"/>
        <w:rPr>
          <w:rFonts w:hint="eastAsia"/>
        </w:rPr>
      </w:pPr>
      <w:r>
        <w:rPr>
          <w:rFonts w:hint="eastAsia"/>
        </w:rPr>
        <w:t>按照NY/T 4352 规定的方法进行测定。</w:t>
      </w:r>
    </w:p>
    <w:p>
      <w:pPr>
        <w:pStyle w:val="105"/>
        <w:spacing w:before="156" w:after="156"/>
        <w:rPr>
          <w:rFonts w:hint="eastAsia"/>
        </w:rPr>
      </w:pPr>
      <w:bookmarkStart w:id="93" w:name="_Toc164415142"/>
      <w:r>
        <w:rPr>
          <w:rFonts w:hint="eastAsia"/>
        </w:rPr>
        <w:t>安全指标检验</w:t>
      </w:r>
      <w:bookmarkEnd w:id="93"/>
    </w:p>
    <w:p>
      <w:pPr>
        <w:pStyle w:val="65"/>
        <w:spacing w:before="156" w:after="156"/>
        <w:rPr>
          <w:rFonts w:hint="eastAsia"/>
        </w:rPr>
      </w:pPr>
      <w:r>
        <w:rPr>
          <w:rFonts w:hint="eastAsia"/>
        </w:rPr>
        <w:t>污染物限量</w:t>
      </w:r>
    </w:p>
    <w:p>
      <w:pPr>
        <w:pStyle w:val="56"/>
        <w:ind w:firstLine="420"/>
        <w:rPr>
          <w:rFonts w:hint="eastAsia"/>
        </w:rPr>
      </w:pPr>
      <w:r>
        <w:rPr>
          <w:rFonts w:hint="eastAsia"/>
        </w:rPr>
        <w:t>按照GB 2762规定的检验方法检验。</w:t>
      </w:r>
    </w:p>
    <w:p>
      <w:pPr>
        <w:pStyle w:val="65"/>
        <w:spacing w:before="156" w:after="156"/>
        <w:rPr>
          <w:rFonts w:hint="eastAsia"/>
        </w:rPr>
      </w:pPr>
      <w:r>
        <w:rPr>
          <w:rFonts w:hint="eastAsia"/>
        </w:rPr>
        <w:t>农药最大残留限量</w:t>
      </w:r>
    </w:p>
    <w:p>
      <w:pPr>
        <w:pStyle w:val="56"/>
        <w:ind w:firstLine="420"/>
        <w:rPr>
          <w:rFonts w:hint="eastAsia"/>
        </w:rPr>
      </w:pPr>
      <w:r>
        <w:rPr>
          <w:rFonts w:hint="eastAsia"/>
        </w:rPr>
        <w:t>按照GB 2763规定的检验方法检验。</w:t>
      </w:r>
    </w:p>
    <w:p>
      <w:pPr>
        <w:pStyle w:val="104"/>
        <w:spacing w:before="312" w:after="312"/>
        <w:rPr>
          <w:rFonts w:hint="eastAsia"/>
        </w:rPr>
      </w:pPr>
      <w:bookmarkStart w:id="94" w:name="_Toc164415143"/>
      <w:r>
        <w:rPr>
          <w:rFonts w:hint="eastAsia"/>
        </w:rPr>
        <w:t>检验规则</w:t>
      </w:r>
      <w:bookmarkEnd w:id="94"/>
    </w:p>
    <w:p>
      <w:pPr>
        <w:pStyle w:val="105"/>
        <w:spacing w:before="156" w:after="156"/>
        <w:rPr>
          <w:rFonts w:hint="eastAsia"/>
        </w:rPr>
      </w:pPr>
      <w:bookmarkStart w:id="95" w:name="_Toc164415144"/>
      <w:r>
        <w:rPr>
          <w:rFonts w:hint="eastAsia"/>
        </w:rPr>
        <w:t>组批规则</w:t>
      </w:r>
      <w:bookmarkEnd w:id="95"/>
    </w:p>
    <w:p>
      <w:pPr>
        <w:pStyle w:val="56"/>
        <w:ind w:firstLine="420"/>
        <w:rPr>
          <w:rFonts w:hint="eastAsia"/>
        </w:rPr>
      </w:pPr>
      <w:r>
        <w:rPr>
          <w:rFonts w:hint="eastAsia"/>
        </w:rPr>
        <w:t>同一品种、同一等级、同一产地、同批采收的蓝莓作为一个检验批次。</w:t>
      </w:r>
    </w:p>
    <w:p>
      <w:pPr>
        <w:pStyle w:val="105"/>
        <w:spacing w:before="156" w:after="156"/>
        <w:rPr>
          <w:rFonts w:hint="eastAsia"/>
        </w:rPr>
      </w:pPr>
      <w:bookmarkStart w:id="96" w:name="_Toc164415145"/>
      <w:r>
        <w:rPr>
          <w:rFonts w:hint="eastAsia"/>
        </w:rPr>
        <w:t>抽样方法</w:t>
      </w:r>
      <w:bookmarkEnd w:id="96"/>
    </w:p>
    <w:p>
      <w:pPr>
        <w:pStyle w:val="56"/>
        <w:ind w:firstLine="420"/>
        <w:rPr>
          <w:rFonts w:hint="eastAsia"/>
        </w:rPr>
      </w:pPr>
      <w:r>
        <w:rPr>
          <w:rFonts w:hint="eastAsia"/>
        </w:rPr>
        <w:t>按照NY/T 5344.4 规定执行。</w:t>
      </w:r>
    </w:p>
    <w:p>
      <w:pPr>
        <w:pStyle w:val="105"/>
        <w:spacing w:before="156" w:after="156"/>
        <w:rPr>
          <w:rFonts w:hint="eastAsia"/>
        </w:rPr>
      </w:pPr>
      <w:bookmarkStart w:id="97" w:name="_Toc164415146"/>
      <w:r>
        <w:rPr>
          <w:rFonts w:hint="eastAsia"/>
        </w:rPr>
        <w:t>判定规则</w:t>
      </w:r>
      <w:bookmarkEnd w:id="97"/>
    </w:p>
    <w:p>
      <w:pPr>
        <w:pStyle w:val="56"/>
        <w:ind w:firstLine="420"/>
        <w:rPr>
          <w:rFonts w:hint="eastAsia"/>
        </w:rPr>
      </w:pPr>
      <w:r>
        <w:rPr>
          <w:rFonts w:hint="eastAsia"/>
        </w:rPr>
        <w:t>判定规则应符合下列规定：</w:t>
      </w:r>
    </w:p>
    <w:p>
      <w:pPr>
        <w:pStyle w:val="174"/>
        <w:numPr>
          <w:ilvl w:val="0"/>
          <w:numId w:val="33"/>
        </w:numPr>
        <w:rPr>
          <w:rFonts w:hint="eastAsia"/>
        </w:rPr>
      </w:pPr>
      <w:r>
        <w:rPr>
          <w:rFonts w:hint="eastAsia"/>
        </w:rPr>
        <w:t>检验结果，发现指标不符合要求，应加倍抽样复验一次，如仍不合格，则判该批产品为不合格；</w:t>
      </w:r>
    </w:p>
    <w:p>
      <w:pPr>
        <w:pStyle w:val="174"/>
        <w:rPr>
          <w:rFonts w:hint="eastAsia"/>
        </w:rPr>
      </w:pPr>
      <w:r>
        <w:rPr>
          <w:rFonts w:hint="eastAsia"/>
        </w:rPr>
        <w:t>检验项为本文件规定的所有项目，检验合格后方可作为商品果；</w:t>
      </w:r>
    </w:p>
    <w:p>
      <w:pPr>
        <w:pStyle w:val="174"/>
        <w:rPr>
          <w:rFonts w:hint="eastAsia"/>
        </w:rPr>
      </w:pPr>
      <w:r>
        <w:rPr>
          <w:rFonts w:hint="eastAsia"/>
        </w:rPr>
        <w:t>质量安全指标中有一项指标检验不合格的，即判定该检验批为不合格。</w:t>
      </w:r>
    </w:p>
    <w:p>
      <w:pPr>
        <w:pStyle w:val="104"/>
        <w:spacing w:before="312" w:after="312"/>
        <w:rPr>
          <w:rFonts w:hint="eastAsia"/>
        </w:rPr>
      </w:pPr>
      <w:bookmarkStart w:id="98" w:name="_Toc164415147"/>
      <w:r>
        <w:rPr>
          <w:rFonts w:hint="eastAsia"/>
        </w:rPr>
        <w:t>包装</w:t>
      </w:r>
      <w:bookmarkEnd w:id="98"/>
    </w:p>
    <w:p>
      <w:pPr>
        <w:pStyle w:val="162"/>
        <w:rPr>
          <w:rFonts w:hint="eastAsia"/>
        </w:rPr>
      </w:pPr>
      <w:r>
        <w:rPr>
          <w:rFonts w:hint="eastAsia"/>
        </w:rPr>
        <w:t>宜采用纸箱、塑料箱、木箱进行包装，包装容器应坚固耐用、通气、光滑、洁净、无毒、无害、无异味，包装材料按SN/T 2205规定执行。图示应符合GB/T191规定。</w:t>
      </w:r>
    </w:p>
    <w:p>
      <w:pPr>
        <w:pStyle w:val="162"/>
        <w:rPr>
          <w:rFonts w:hint="eastAsia"/>
        </w:rPr>
      </w:pPr>
      <w:r>
        <w:rPr>
          <w:rFonts w:hint="eastAsia"/>
        </w:rPr>
        <w:t>包装场地要求干净整洁，通风、防潮、防晒、防雨，无异味物品和远离有毒物品。</w:t>
      </w:r>
    </w:p>
    <w:p>
      <w:pPr>
        <w:pStyle w:val="162"/>
        <w:rPr>
          <w:rFonts w:hint="eastAsia"/>
        </w:rPr>
      </w:pPr>
      <w:r>
        <w:rPr>
          <w:rFonts w:hint="eastAsia"/>
        </w:rPr>
        <w:t xml:space="preserve">产品应按同一产地、同一品种、同一等级、同一批次进行包装。  </w:t>
      </w:r>
    </w:p>
    <w:p>
      <w:pPr>
        <w:pStyle w:val="104"/>
        <w:spacing w:before="312" w:after="312"/>
        <w:rPr>
          <w:rFonts w:hint="eastAsia"/>
        </w:rPr>
      </w:pPr>
      <w:bookmarkStart w:id="99" w:name="_Toc164415148"/>
      <w:r>
        <w:rPr>
          <w:rFonts w:hint="eastAsia"/>
        </w:rPr>
        <w:t>标志与标签</w:t>
      </w:r>
      <w:bookmarkEnd w:id="99"/>
    </w:p>
    <w:p>
      <w:pPr>
        <w:pStyle w:val="105"/>
        <w:spacing w:before="156" w:after="156"/>
        <w:rPr>
          <w:rFonts w:hint="eastAsia"/>
        </w:rPr>
      </w:pPr>
      <w:bookmarkStart w:id="100" w:name="_Toc164415149"/>
      <w:r>
        <w:rPr>
          <w:rFonts w:hint="eastAsia"/>
        </w:rPr>
        <w:t>地理标志证明商标</w:t>
      </w:r>
      <w:bookmarkEnd w:id="100"/>
    </w:p>
    <w:p>
      <w:pPr>
        <w:pStyle w:val="56"/>
        <w:ind w:firstLine="420"/>
        <w:rPr>
          <w:rFonts w:hint="eastAsia"/>
        </w:rPr>
      </w:pPr>
      <w:r>
        <w:rPr>
          <w:rFonts w:hint="eastAsia"/>
        </w:rPr>
        <w:t>产品包装需在正面明显位置标注临海蓝莓注册商标标志，见附录B。标志应符合《地理标志专用标志使用管理办法（试行）》的规定。</w:t>
      </w:r>
    </w:p>
    <w:p>
      <w:pPr>
        <w:pStyle w:val="105"/>
        <w:spacing w:before="156" w:after="156"/>
        <w:rPr>
          <w:rFonts w:hint="eastAsia"/>
        </w:rPr>
      </w:pPr>
      <w:bookmarkStart w:id="101" w:name="_Toc164415150"/>
      <w:r>
        <w:rPr>
          <w:rFonts w:hint="eastAsia"/>
        </w:rPr>
        <w:t>标签</w:t>
      </w:r>
      <w:bookmarkEnd w:id="101"/>
    </w:p>
    <w:p>
      <w:pPr>
        <w:pStyle w:val="56"/>
        <w:ind w:firstLine="420"/>
        <w:rPr>
          <w:rFonts w:hint="eastAsia"/>
        </w:rPr>
      </w:pPr>
      <w:r>
        <w:rPr>
          <w:rFonts w:hint="eastAsia"/>
        </w:rPr>
        <w:t>标签上的字迹应清晰、完整、准确。包装上的图示、标志等标识应符合GB 191、NY/T 1778的规定。</w:t>
      </w:r>
    </w:p>
    <w:p>
      <w:pPr>
        <w:pStyle w:val="104"/>
        <w:pageBreakBefore/>
        <w:spacing w:before="312" w:after="312"/>
        <w:rPr>
          <w:rFonts w:hint="eastAsia"/>
        </w:rPr>
      </w:pPr>
      <w:bookmarkStart w:id="102" w:name="_Toc164415151"/>
      <w:r>
        <w:rPr>
          <w:rFonts w:hint="eastAsia"/>
        </w:rPr>
        <w:t>运输与贮存</w:t>
      </w:r>
      <w:bookmarkEnd w:id="102"/>
    </w:p>
    <w:p>
      <w:pPr>
        <w:pStyle w:val="105"/>
        <w:spacing w:before="156" w:after="156"/>
        <w:rPr>
          <w:rFonts w:hint="eastAsia"/>
        </w:rPr>
      </w:pPr>
      <w:bookmarkStart w:id="103" w:name="_Toc164415152"/>
      <w:r>
        <w:rPr>
          <w:rFonts w:hint="eastAsia"/>
        </w:rPr>
        <w:t>运输</w:t>
      </w:r>
      <w:bookmarkEnd w:id="103"/>
    </w:p>
    <w:p>
      <w:pPr>
        <w:pStyle w:val="56"/>
        <w:ind w:firstLine="420"/>
        <w:rPr>
          <w:rFonts w:hint="eastAsia"/>
        </w:rPr>
      </w:pPr>
      <w:r>
        <w:rPr>
          <w:rFonts w:hint="eastAsia"/>
        </w:rPr>
        <w:t>运输和装卸过程要求轻、快、稳，防止果实损伤。运输途中应具有防晒、防热、防冻、防雨淋措施； 长途运输宜采用冷藏车辆。应选择清洁、卫生、无污染的运输工具，严禁将蓝莓与有毒物品及容易造成污染的货物混装。</w:t>
      </w:r>
    </w:p>
    <w:p>
      <w:pPr>
        <w:pStyle w:val="105"/>
        <w:spacing w:before="156" w:after="156"/>
        <w:rPr>
          <w:rFonts w:hint="eastAsia"/>
        </w:rPr>
      </w:pPr>
      <w:bookmarkStart w:id="104" w:name="_Toc164415153"/>
      <w:r>
        <w:rPr>
          <w:rFonts w:hint="eastAsia"/>
        </w:rPr>
        <w:t>贮存</w:t>
      </w:r>
      <w:bookmarkEnd w:id="104"/>
    </w:p>
    <w:p>
      <w:pPr>
        <w:pStyle w:val="56"/>
        <w:ind w:firstLine="420"/>
        <w:rPr>
          <w:rFonts w:hint="eastAsia"/>
        </w:rPr>
      </w:pPr>
      <w:r>
        <w:rPr>
          <w:rFonts w:hint="eastAsia"/>
        </w:rPr>
        <w:t>果实采收后10 ℃～12 ℃预冷10 h～12 h，存放在0 ℃～2 ℃的冷库中。在冷库中，包装的果实不得直接着地或靠墙，垛间留有通道。贮藏应选择清洁、卫生、无污染的场所，严禁将蓝莓与有毒物品及容易造成污染的货物混合存放。</w:t>
      </w:r>
    </w:p>
    <w:p>
      <w:pPr>
        <w:pStyle w:val="56"/>
        <w:ind w:firstLine="420"/>
        <w:sectPr>
          <w:pgSz w:w="11906" w:h="16838"/>
          <w:pgMar w:top="1928" w:right="1134" w:bottom="1134" w:left="1134" w:header="1418" w:footer="1134" w:gutter="284"/>
          <w:pgNumType w:start="1"/>
          <w:cols w:space="425" w:num="1"/>
          <w:formProt w:val="0"/>
          <w:docGrid w:type="lines" w:linePitch="312" w:charSpace="0"/>
        </w:sectPr>
      </w:pPr>
    </w:p>
    <w:bookmarkEnd w:id="24"/>
    <w:p>
      <w:pPr>
        <w:pStyle w:val="198"/>
        <w:rPr>
          <w:rFonts w:hint="eastAsia"/>
        </w:rPr>
      </w:pPr>
      <w:bookmarkStart w:id="105" w:name="BookMark5"/>
    </w:p>
    <w:p>
      <w:pPr>
        <w:pStyle w:val="199"/>
        <w:rPr>
          <w:rFonts w:hint="eastAsia"/>
        </w:rPr>
      </w:pPr>
    </w:p>
    <w:p>
      <w:pPr>
        <w:pStyle w:val="76"/>
        <w:spacing w:after="156"/>
        <w:rPr>
          <w:rFonts w:hint="eastAsia"/>
        </w:rPr>
      </w:pPr>
      <w:r>
        <w:br w:type="textWrapping"/>
      </w:r>
      <w:bookmarkStart w:id="106" w:name="_Toc164415154"/>
      <w:r>
        <w:rPr>
          <w:rFonts w:hint="eastAsia"/>
        </w:rPr>
        <w:t>（规范性）</w:t>
      </w:r>
      <w:r>
        <w:br w:type="textWrapping"/>
      </w:r>
      <w:r>
        <w:rPr>
          <w:rFonts w:hint="eastAsia"/>
        </w:rPr>
        <w:t>地理标志证明商标临海蓝莓保护范围图</w:t>
      </w:r>
      <w:bookmarkEnd w:id="106"/>
    </w:p>
    <w:p>
      <w:pPr>
        <w:pStyle w:val="56"/>
        <w:ind w:firstLine="420"/>
        <w:rPr>
          <w:rFonts w:hint="eastAsia"/>
        </w:rPr>
      </w:pPr>
      <w:r>
        <w:rPr>
          <w:rFonts w:hint="eastAsia"/>
        </w:rPr>
        <w:t>地理标志证明商标临海蓝莓保护范围见图A.1。</w:t>
      </w:r>
    </w:p>
    <w:p>
      <w:pPr>
        <w:pStyle w:val="56"/>
        <w:ind w:firstLine="0" w:firstLineChars="0"/>
        <w:jc w:val="center"/>
        <w:rPr>
          <w:rFonts w:hint="eastAsia"/>
        </w:rPr>
      </w:pPr>
      <w:r>
        <w:drawing>
          <wp:inline distT="0" distB="0" distL="0" distR="0">
            <wp:extent cx="5797550" cy="3902075"/>
            <wp:effectExtent l="0" t="0" r="0" b="3175"/>
            <wp:docPr id="1516027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2769"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97550" cy="3902075"/>
                    </a:xfrm>
                    <a:prstGeom prst="rect">
                      <a:avLst/>
                    </a:prstGeom>
                    <a:noFill/>
                  </pic:spPr>
                </pic:pic>
              </a:graphicData>
            </a:graphic>
          </wp:inline>
        </w:drawing>
      </w:r>
    </w:p>
    <w:p>
      <w:pPr>
        <w:pStyle w:val="179"/>
        <w:rPr>
          <w:rFonts w:hint="eastAsia"/>
        </w:rPr>
      </w:pPr>
      <w:r>
        <w:rPr>
          <w:rFonts w:hint="eastAsia"/>
        </w:rPr>
        <w:t>地理标志证明商标临海蓝莓的保护范围限于国家知识产权局公布的范围（即东经120°49´～121°41´，北纬28°40´～29°04´）</w:t>
      </w:r>
    </w:p>
    <w:p>
      <w:pPr>
        <w:pStyle w:val="83"/>
        <w:spacing w:before="156" w:after="156"/>
        <w:rPr>
          <w:rFonts w:hint="eastAsia"/>
        </w:rPr>
      </w:pPr>
      <w:r>
        <w:rPr>
          <w:rFonts w:hint="eastAsia"/>
        </w:rPr>
        <w:t>地理标志证明商标临海蓝莓保护范围图</w:t>
      </w:r>
    </w:p>
    <w:bookmarkEnd w:id="105"/>
    <w:p>
      <w:pPr>
        <w:pStyle w:val="56"/>
        <w:ind w:firstLine="0" w:firstLineChars="0"/>
        <w:jc w:val="center"/>
        <w:rPr>
          <w:rFonts w:hint="eastAsia"/>
        </w:rPr>
      </w:pPr>
      <w:bookmarkStart w:id="107" w:name="BookMark8"/>
      <w:r>
        <w:rPr>
          <w:rFonts w:hint="eastAsia"/>
        </w:rPr>
        <w:drawing>
          <wp:inline distT="0" distB="0" distL="0" distR="0">
            <wp:extent cx="1485900" cy="317500"/>
            <wp:effectExtent l="0" t="0" r="0" b="6350"/>
            <wp:docPr id="789461265" name="图片 2"/>
            <wp:cNvGraphicFramePr/>
            <a:graphic xmlns:a="http://schemas.openxmlformats.org/drawingml/2006/main">
              <a:graphicData uri="http://schemas.openxmlformats.org/drawingml/2006/picture">
                <pic:pic xmlns:pic="http://schemas.openxmlformats.org/drawingml/2006/picture">
                  <pic:nvPicPr>
                    <pic:cNvPr id="789461265" name="图片 2"/>
                    <pic:cNvPicPr/>
                  </pic:nvPicPr>
                  <pic:blipFill>
                    <a:blip r:embed="rId16">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107"/>
    </w:p>
    <w:sectPr>
      <w:pgSz w:w="11906" w:h="16838"/>
      <w:pgMar w:top="1928" w:right="1134" w:bottom="1134" w:left="1134" w:header="1418" w:footer="1134" w:gutter="284"/>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fldChar w:fldCharType="begin"/>
    </w:r>
    <w:r>
      <w:instrText xml:space="preserve">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fldChar w:fldCharType="begin"/>
    </w:r>
    <w:r>
      <w:instrText xml:space="preserve"> STYLEREF  标准文件_文件编号  \* MERGEFORMAT </w:instrText>
    </w:r>
    <w:r>
      <w:fldChar w:fldCharType="separate"/>
    </w:r>
    <w:r>
      <w:t>DB 3310/T 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rPr>
        <w:lang w:val="fr-FR"/>
      </w:rPr>
    </w:pPr>
    <w:r>
      <w:fldChar w:fldCharType="begin"/>
    </w:r>
    <w:r>
      <w:rPr>
        <w:lang w:val="fr-FR"/>
      </w:rPr>
      <w:instrText xml:space="preserve"> STYLEREF  </w:instrText>
    </w:r>
    <w:r>
      <w:instrText xml:space="preserve">标准文件</w:instrText>
    </w:r>
    <w:r>
      <w:rPr>
        <w:lang w:val="fr-FR"/>
      </w:rPr>
      <w:instrText xml:space="preserve">_</w:instrText>
    </w:r>
    <w:r>
      <w:instrText xml:space="preserve">文件编号</w:instrText>
    </w:r>
    <w:r>
      <w:rPr>
        <w:lang w:val="fr-FR"/>
      </w:rPr>
      <w:instrText xml:space="preserve">  \* MERGEFORMAT </w:instrText>
    </w:r>
    <w:r>
      <w:fldChar w:fldCharType="separate"/>
    </w:r>
    <w:r>
      <w:rPr>
        <w:lang w:val="fr-FR"/>
      </w:rPr>
      <w:t>DB 3310/T 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4"/>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59"/>
      <w:suff w:val="nothing"/>
      <w:lvlText w:val="%1%2.%3　"/>
      <w:lvlJc w:val="left"/>
      <w:pPr>
        <w:ind w:left="0" w:firstLine="0"/>
      </w:pPr>
    </w:lvl>
    <w:lvl w:ilvl="3" w:tentative="0">
      <w:start w:val="1"/>
      <w:numFmt w:val="decimal"/>
      <w:pStyle w:val="118"/>
      <w:suff w:val="nothing"/>
      <w:lvlText w:val="%1%2.%3.%4　"/>
      <w:lvlJc w:val="left"/>
      <w:pPr>
        <w:ind w:left="0" w:firstLine="0"/>
      </w:pPr>
    </w:lvl>
    <w:lvl w:ilvl="4" w:tentative="0">
      <w:start w:val="1"/>
      <w:numFmt w:val="decimal"/>
      <w:pStyle w:val="153"/>
      <w:suff w:val="nothing"/>
      <w:lvlText w:val="%1%2.%3.%4.%5　"/>
      <w:lvlJc w:val="left"/>
      <w:pPr>
        <w:ind w:left="0" w:firstLine="0"/>
      </w:pPr>
    </w:lvl>
    <w:lvl w:ilvl="5" w:tentative="0">
      <w:start w:val="1"/>
      <w:numFmt w:val="decimal"/>
      <w:pStyle w:val="155"/>
      <w:suff w:val="nothing"/>
      <w:lvlText w:val="%1%2.%3.%4.%5.%6　"/>
      <w:lvlJc w:val="left"/>
      <w:pPr>
        <w:ind w:left="0" w:firstLine="0"/>
      </w:pPr>
    </w:lvl>
    <w:lvl w:ilvl="6" w:tentative="0">
      <w:start w:val="1"/>
      <w:numFmt w:val="decimal"/>
      <w:pStyle w:val="158"/>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0"/>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89"/>
      <w:lvlText w:val="%1"/>
      <w:lvlJc w:val="left"/>
      <w:pPr>
        <w:ind w:left="425" w:hanging="425"/>
      </w:pPr>
      <w:rPr>
        <w:rFonts w:hint="eastAsia"/>
      </w:rPr>
    </w:lvl>
    <w:lvl w:ilvl="1" w:tentative="0">
      <w:start w:val="1"/>
      <w:numFmt w:val="decimal"/>
      <w:pStyle w:val="200"/>
      <w:suff w:val="nothing"/>
      <w:lvlText w:val="%10.%2 "/>
      <w:lvlJc w:val="left"/>
      <w:pPr>
        <w:ind w:left="0" w:firstLine="0"/>
      </w:pPr>
      <w:rPr>
        <w:rFonts w:hint="eastAsia" w:ascii="黑体" w:eastAsia="黑体" w:hAnsiTheme="minorHAnsi"/>
        <w:b w:val="0"/>
        <w:i w:val="0"/>
        <w:sz w:val="21"/>
      </w:rPr>
    </w:lvl>
    <w:lvl w:ilvl="2" w:tentative="0">
      <w:start w:val="1"/>
      <w:numFmt w:val="decimal"/>
      <w:pStyle w:val="201"/>
      <w:suff w:val="nothing"/>
      <w:lvlText w:val="%10.%2.%3 "/>
      <w:lvlJc w:val="left"/>
      <w:pPr>
        <w:ind w:left="0" w:firstLine="0"/>
      </w:pPr>
      <w:rPr>
        <w:rFonts w:hint="eastAsia" w:ascii="黑体" w:eastAsia="黑体" w:hAnsiTheme="minorHAnsi"/>
        <w:b w:val="0"/>
        <w:i w:val="0"/>
        <w:sz w:val="21"/>
      </w:rPr>
    </w:lvl>
    <w:lvl w:ilvl="3" w:tentative="0">
      <w:start w:val="1"/>
      <w:numFmt w:val="decimal"/>
      <w:pStyle w:val="202"/>
      <w:suff w:val="nothing"/>
      <w:lvlText w:val="%10.%2.%3.%4 "/>
      <w:lvlJc w:val="left"/>
      <w:pPr>
        <w:ind w:left="0" w:firstLine="0"/>
      </w:pPr>
      <w:rPr>
        <w:rFonts w:hint="eastAsia" w:ascii="黑体" w:eastAsia="黑体" w:hAnsiTheme="minorHAnsi"/>
        <w:b w:val="0"/>
        <w:i w:val="0"/>
        <w:sz w:val="21"/>
      </w:rPr>
    </w:lvl>
    <w:lvl w:ilvl="4" w:tentative="0">
      <w:start w:val="1"/>
      <w:numFmt w:val="decimal"/>
      <w:pStyle w:val="203"/>
      <w:suff w:val="nothing"/>
      <w:lvlText w:val="%10.%2.%3.%4.%5 "/>
      <w:lvlJc w:val="left"/>
      <w:pPr>
        <w:ind w:left="0" w:firstLine="0"/>
      </w:pPr>
      <w:rPr>
        <w:rFonts w:hint="eastAsia" w:ascii="黑体" w:eastAsia="黑体" w:hAnsiTheme="minorHAnsi"/>
        <w:b w:val="0"/>
        <w:i w:val="0"/>
        <w:sz w:val="21"/>
      </w:rPr>
    </w:lvl>
    <w:lvl w:ilvl="5" w:tentative="0">
      <w:start w:val="1"/>
      <w:numFmt w:val="decimal"/>
      <w:pStyle w:val="204"/>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1"/>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7"/>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0"/>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5"/>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2"/>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1FC91163"/>
    <w:multiLevelType w:val="multilevel"/>
    <w:tmpl w:val="1FC91163"/>
    <w:lvl w:ilvl="0" w:tentative="0">
      <w:start w:val="1"/>
      <w:numFmt w:val="decimal"/>
      <w:pStyle w:val="232"/>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31"/>
      <w:suff w:val="nothing"/>
      <w:lvlText w:val="%1.%2　"/>
      <w:lvlJc w:val="left"/>
      <w:pPr>
        <w:ind w:left="0" w:firstLine="0"/>
      </w:pP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pStyle w:val="233"/>
      <w:suff w:val="nothing"/>
      <w:lvlText w:val="%1.%2.%3　"/>
      <w:lvlJc w:val="left"/>
      <w:pPr>
        <w:ind w:left="0" w:firstLine="0"/>
      </w:pPr>
      <w:rPr>
        <w:rFonts w:hint="eastAsia" w:ascii="黑体" w:hAnsi="Times New Roman" w:eastAsia="黑体"/>
        <w:b w:val="0"/>
        <w:i w:val="0"/>
        <w:sz w:val="21"/>
      </w:rPr>
    </w:lvl>
    <w:lvl w:ilvl="3" w:tentative="0">
      <w:start w:val="1"/>
      <w:numFmt w:val="decimal"/>
      <w:pStyle w:val="234"/>
      <w:suff w:val="nothing"/>
      <w:lvlText w:val="%1.%2.%3.%4　"/>
      <w:lvlJc w:val="left"/>
      <w:pPr>
        <w:ind w:left="0" w:firstLine="0"/>
      </w:pPr>
      <w:rPr>
        <w:rFonts w:hint="eastAsia" w:ascii="黑体" w:hAnsi="Times New Roman" w:eastAsia="黑体"/>
        <w:b w:val="0"/>
        <w:i w:val="0"/>
        <w:sz w:val="21"/>
      </w:rPr>
    </w:lvl>
    <w:lvl w:ilvl="4" w:tentative="0">
      <w:start w:val="1"/>
      <w:numFmt w:val="decimal"/>
      <w:pStyle w:val="235"/>
      <w:suff w:val="nothing"/>
      <w:lvlText w:val="%1.%2.%3.%4.%5　"/>
      <w:lvlJc w:val="left"/>
      <w:pPr>
        <w:ind w:left="0" w:firstLine="0"/>
      </w:pPr>
      <w:rPr>
        <w:rFonts w:hint="eastAsia" w:ascii="黑体" w:hAnsi="Times New Roman" w:eastAsia="黑体"/>
        <w:b w:val="0"/>
        <w:i w:val="0"/>
        <w:sz w:val="21"/>
      </w:rPr>
    </w:lvl>
    <w:lvl w:ilvl="5" w:tentative="0">
      <w:start w:val="1"/>
      <w:numFmt w:val="decimal"/>
      <w:pStyle w:val="236"/>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1">
    <w:nsid w:val="2C5917C3"/>
    <w:multiLevelType w:val="multilevel"/>
    <w:tmpl w:val="2C5917C3"/>
    <w:lvl w:ilvl="0" w:tentative="0">
      <w:start w:val="1"/>
      <w:numFmt w:val="none"/>
      <w:pStyle w:val="132"/>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7"/>
      <w:lvlText w:val=""/>
      <w:lvlJc w:val="left"/>
      <w:pPr>
        <w:ind w:left="851" w:hanging="431"/>
      </w:pPr>
      <w:rPr>
        <w:rFonts w:hint="default" w:ascii="Symbol" w:hAnsi="Symbol"/>
        <w:sz w:val="21"/>
      </w:rPr>
    </w:lvl>
    <w:lvl w:ilvl="2" w:tentative="0">
      <w:start w:val="1"/>
      <w:numFmt w:val="bullet"/>
      <w:pStyle w:val="172"/>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2">
    <w:nsid w:val="32F04FB2"/>
    <w:multiLevelType w:val="multilevel"/>
    <w:tmpl w:val="32F04FB2"/>
    <w:lvl w:ilvl="0" w:tentative="0">
      <w:start w:val="1"/>
      <w:numFmt w:val="lowerLetter"/>
      <w:pStyle w:val="101"/>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3">
    <w:nsid w:val="44C50F90"/>
    <w:multiLevelType w:val="multilevel"/>
    <w:tmpl w:val="44C50F90"/>
    <w:lvl w:ilvl="0" w:tentative="0">
      <w:start w:val="1"/>
      <w:numFmt w:val="lowerLetter"/>
      <w:pStyle w:val="174"/>
      <w:lvlText w:val="%1)"/>
      <w:lvlJc w:val="left"/>
      <w:pPr>
        <w:tabs>
          <w:tab w:val="left" w:pos="851"/>
        </w:tabs>
        <w:ind w:left="851" w:hanging="426"/>
      </w:pPr>
      <w:rPr>
        <w:rFonts w:hint="eastAsia" w:ascii="宋体" w:hAnsi="Times New Roman" w:eastAsia="宋体"/>
        <w:sz w:val="21"/>
      </w:rPr>
    </w:lvl>
    <w:lvl w:ilvl="1" w:tentative="0">
      <w:start w:val="1"/>
      <w:numFmt w:val="decimal"/>
      <w:pStyle w:val="109"/>
      <w:lvlText w:val="%2)"/>
      <w:lvlJc w:val="left"/>
      <w:pPr>
        <w:tabs>
          <w:tab w:val="left" w:pos="1276"/>
        </w:tabs>
        <w:ind w:left="1276" w:hanging="425"/>
      </w:pPr>
      <w:rPr>
        <w:rFonts w:hint="eastAsia" w:ascii="宋体" w:hAnsi="Times New Roman" w:eastAsia="宋体"/>
        <w:sz w:val="21"/>
      </w:rPr>
    </w:lvl>
    <w:lvl w:ilvl="2" w:tentative="0">
      <w:start w:val="1"/>
      <w:numFmt w:val="decimal"/>
      <w:pStyle w:val="117"/>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4">
    <w:nsid w:val="48802D1C"/>
    <w:multiLevelType w:val="multilevel"/>
    <w:tmpl w:val="48802D1C"/>
    <w:lvl w:ilvl="0" w:tentative="0">
      <w:start w:val="1"/>
      <w:numFmt w:val="upperLetter"/>
      <w:pStyle w:val="198"/>
      <w:lvlText w:val="%1"/>
      <w:lvlJc w:val="left"/>
      <w:pPr>
        <w:ind w:left="420" w:hanging="420"/>
      </w:pPr>
      <w:rPr>
        <w:rFonts w:hint="eastAsia"/>
      </w:rPr>
    </w:lvl>
    <w:lvl w:ilvl="1" w:tentative="0">
      <w:start w:val="1"/>
      <w:numFmt w:val="decimal"/>
      <w:pStyle w:val="83"/>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4B733A5F"/>
    <w:multiLevelType w:val="multilevel"/>
    <w:tmpl w:val="4B733A5F"/>
    <w:lvl w:ilvl="0" w:tentative="0">
      <w:start w:val="1"/>
      <w:numFmt w:val="decimal"/>
      <w:pStyle w:val="183"/>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6">
    <w:nsid w:val="4E5D0534"/>
    <w:multiLevelType w:val="multilevel"/>
    <w:tmpl w:val="4E5D0534"/>
    <w:lvl w:ilvl="0" w:tentative="0">
      <w:start w:val="1"/>
      <w:numFmt w:val="decimal"/>
      <w:pStyle w:val="116"/>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7">
    <w:nsid w:val="54632751"/>
    <w:multiLevelType w:val="multilevel"/>
    <w:tmpl w:val="54632751"/>
    <w:lvl w:ilvl="0" w:tentative="0">
      <w:start w:val="1"/>
      <w:numFmt w:val="none"/>
      <w:pStyle w:val="93"/>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8">
    <w:nsid w:val="557C2AF5"/>
    <w:multiLevelType w:val="multilevel"/>
    <w:tmpl w:val="557C2AF5"/>
    <w:lvl w:ilvl="0" w:tentative="0">
      <w:start w:val="1"/>
      <w:numFmt w:val="decimal"/>
      <w:pStyle w:val="114"/>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9">
    <w:nsid w:val="5603797C"/>
    <w:multiLevelType w:val="multilevel"/>
    <w:tmpl w:val="5603797C"/>
    <w:lvl w:ilvl="0" w:tentative="0">
      <w:start w:val="1"/>
      <w:numFmt w:val="upperLetter"/>
      <w:pStyle w:val="199"/>
      <w:suff w:val="space"/>
      <w:lvlText w:val="%1"/>
      <w:lvlJc w:val="left"/>
      <w:pPr>
        <w:ind w:left="425" w:hanging="425"/>
      </w:pPr>
      <w:rPr>
        <w:rFonts w:hint="eastAsia"/>
      </w:rPr>
    </w:lvl>
    <w:lvl w:ilvl="1" w:tentative="0">
      <w:start w:val="1"/>
      <w:numFmt w:val="decimal"/>
      <w:pStyle w:val="77"/>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0">
    <w:nsid w:val="564D2089"/>
    <w:multiLevelType w:val="multilevel"/>
    <w:tmpl w:val="564D2089"/>
    <w:lvl w:ilvl="0" w:tentative="0">
      <w:start w:val="1"/>
      <w:numFmt w:val="none"/>
      <w:pStyle w:val="111"/>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644622F9"/>
    <w:multiLevelType w:val="multilevel"/>
    <w:tmpl w:val="644622F9"/>
    <w:lvl w:ilvl="0" w:tentative="0">
      <w:start w:val="1"/>
      <w:numFmt w:val="upperRoman"/>
      <w:pStyle w:val="168"/>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2">
    <w:nsid w:val="646260FA"/>
    <w:multiLevelType w:val="multilevel"/>
    <w:tmpl w:val="646260FA"/>
    <w:lvl w:ilvl="0" w:tentative="0">
      <w:start w:val="1"/>
      <w:numFmt w:val="decimal"/>
      <w:pStyle w:val="112"/>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3">
    <w:nsid w:val="654A26C9"/>
    <w:multiLevelType w:val="multilevel"/>
    <w:tmpl w:val="654A26C9"/>
    <w:lvl w:ilvl="0" w:tentative="0">
      <w:start w:val="1"/>
      <w:numFmt w:val="none"/>
      <w:pStyle w:val="189"/>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4">
    <w:nsid w:val="657D3FBC"/>
    <w:multiLevelType w:val="multilevel"/>
    <w:tmpl w:val="657D3FBC"/>
    <w:lvl w:ilvl="0" w:tentative="0">
      <w:start w:val="1"/>
      <w:numFmt w:val="upperLetter"/>
      <w:pStyle w:val="76"/>
      <w:suff w:val="nothing"/>
      <w:lvlText w:val="附录%1"/>
      <w:lvlJc w:val="left"/>
      <w:pPr>
        <w:ind w:left="0" w:firstLine="0"/>
      </w:pPr>
      <w:rPr>
        <w:rFonts w:hint="eastAsia"/>
        <w:spacing w:val="100"/>
      </w:rPr>
    </w:lvl>
    <w:lvl w:ilvl="1" w:tentative="0">
      <w:start w:val="1"/>
      <w:numFmt w:val="decimal"/>
      <w:pStyle w:val="78"/>
      <w:suff w:val="nothing"/>
      <w:lvlText w:val="%1.%2　"/>
      <w:lvlJc w:val="left"/>
      <w:pPr>
        <w:ind w:left="0" w:firstLine="0"/>
      </w:pPr>
      <w:rPr>
        <w:rFonts w:hint="eastAsia" w:ascii="黑体" w:eastAsia="黑体"/>
        <w:b w:val="0"/>
        <w:i w:val="0"/>
        <w:sz w:val="21"/>
      </w:rPr>
    </w:lvl>
    <w:lvl w:ilvl="2" w:tentative="0">
      <w:start w:val="1"/>
      <w:numFmt w:val="decimal"/>
      <w:pStyle w:val="79"/>
      <w:suff w:val="nothing"/>
      <w:lvlText w:val="%1.%2.%3　"/>
      <w:lvlJc w:val="left"/>
      <w:pPr>
        <w:ind w:left="0" w:firstLine="0"/>
      </w:pPr>
      <w:rPr>
        <w:rFonts w:hint="eastAsia" w:ascii="黑体" w:eastAsia="黑体"/>
        <w:b w:val="0"/>
        <w:i w:val="0"/>
        <w:sz w:val="21"/>
      </w:rPr>
    </w:lvl>
    <w:lvl w:ilvl="3" w:tentative="0">
      <w:start w:val="1"/>
      <w:numFmt w:val="decimal"/>
      <w:pStyle w:val="81"/>
      <w:suff w:val="nothing"/>
      <w:lvlText w:val="%1.%2.%3.%4　"/>
      <w:lvlJc w:val="left"/>
      <w:pPr>
        <w:ind w:left="0" w:firstLine="0"/>
      </w:pPr>
      <w:rPr>
        <w:rFonts w:hint="eastAsia" w:ascii="黑体" w:eastAsia="黑体"/>
        <w:b w:val="0"/>
        <w:i w:val="0"/>
        <w:sz w:val="21"/>
      </w:rPr>
    </w:lvl>
    <w:lvl w:ilvl="4" w:tentative="0">
      <w:start w:val="1"/>
      <w:numFmt w:val="decimal"/>
      <w:pStyle w:val="82"/>
      <w:suff w:val="nothing"/>
      <w:lvlText w:val="%1.%2.%3.%4.%5　"/>
      <w:lvlJc w:val="left"/>
      <w:pPr>
        <w:ind w:left="0" w:firstLine="0"/>
      </w:pPr>
      <w:rPr>
        <w:rFonts w:hint="eastAsia" w:ascii="黑体" w:eastAsia="黑体"/>
        <w:b w:val="0"/>
        <w:i w:val="0"/>
        <w:sz w:val="21"/>
      </w:rPr>
    </w:lvl>
    <w:lvl w:ilvl="5" w:tentative="0">
      <w:start w:val="1"/>
      <w:numFmt w:val="decimal"/>
      <w:pStyle w:val="84"/>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5">
    <w:nsid w:val="69506ABF"/>
    <w:multiLevelType w:val="multilevel"/>
    <w:tmpl w:val="69506ABF"/>
    <w:lvl w:ilvl="0" w:tentative="0">
      <w:start w:val="1"/>
      <w:numFmt w:val="bullet"/>
      <w:pStyle w:val="188"/>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6">
    <w:nsid w:val="6CA41985"/>
    <w:multiLevelType w:val="multilevel"/>
    <w:tmpl w:val="6CA41985"/>
    <w:lvl w:ilvl="0" w:tentative="0">
      <w:start w:val="1"/>
      <w:numFmt w:val="decimal"/>
      <w:pStyle w:val="97"/>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6CE42AC1"/>
    <w:multiLevelType w:val="multilevel"/>
    <w:tmpl w:val="6CE42AC1"/>
    <w:lvl w:ilvl="0" w:tentative="0">
      <w:start w:val="1"/>
      <w:numFmt w:val="lowerLetter"/>
      <w:pStyle w:val="17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6CEA2025"/>
    <w:multiLevelType w:val="multilevel"/>
    <w:tmpl w:val="6CEA2025"/>
    <w:lvl w:ilvl="0" w:tentative="0">
      <w:start w:val="1"/>
      <w:numFmt w:val="none"/>
      <w:pStyle w:val="152"/>
      <w:suff w:val="nothing"/>
      <w:lvlText w:val="%1"/>
      <w:lvlJc w:val="left"/>
      <w:pPr>
        <w:ind w:left="0" w:firstLine="0"/>
      </w:pPr>
      <w:rPr>
        <w:rFonts w:hint="eastAsia"/>
      </w:rPr>
    </w:lvl>
    <w:lvl w:ilvl="1" w:tentative="0">
      <w:start w:val="1"/>
      <w:numFmt w:val="decimal"/>
      <w:pStyle w:val="104"/>
      <w:suff w:val="nothing"/>
      <w:lvlText w:val="%1%2　"/>
      <w:lvlJc w:val="left"/>
      <w:pPr>
        <w:ind w:left="0" w:firstLine="0"/>
      </w:pPr>
      <w:rPr>
        <w:rFonts w:hint="eastAsia" w:ascii="黑体" w:eastAsia="黑体"/>
        <w:b w:val="0"/>
        <w:i w:val="0"/>
        <w:sz w:val="21"/>
      </w:rPr>
    </w:lvl>
    <w:lvl w:ilvl="2" w:tentative="0">
      <w:start w:val="1"/>
      <w:numFmt w:val="decimal"/>
      <w:pStyle w:val="105"/>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3" w:tentative="0">
      <w:start w:val="1"/>
      <w:numFmt w:val="decimal"/>
      <w:pStyle w:val="65"/>
      <w:suff w:val="nothing"/>
      <w:lvlText w:val="%1%2.%3.%4　"/>
      <w:lvlJc w:val="left"/>
      <w:pPr>
        <w:ind w:left="0" w:firstLine="0"/>
      </w:pPr>
      <w:rPr>
        <w:rFonts w:hint="eastAsia" w:ascii="黑体" w:eastAsia="黑体"/>
        <w:b w:val="0"/>
        <w:i w:val="0"/>
        <w:sz w:val="21"/>
      </w:rPr>
    </w:lvl>
    <w:lvl w:ilvl="4" w:tentative="0">
      <w:start w:val="1"/>
      <w:numFmt w:val="decimal"/>
      <w:pStyle w:val="94"/>
      <w:suff w:val="nothing"/>
      <w:lvlText w:val="%1%2.%3.%4.%5　"/>
      <w:lvlJc w:val="left"/>
      <w:pPr>
        <w:ind w:left="0" w:firstLine="0"/>
      </w:pPr>
      <w:rPr>
        <w:rFonts w:hint="eastAsia" w:ascii="黑体" w:eastAsia="黑体"/>
        <w:b w:val="0"/>
        <w:i w:val="0"/>
        <w:sz w:val="21"/>
      </w:rPr>
    </w:lvl>
    <w:lvl w:ilvl="5" w:tentative="0">
      <w:start w:val="1"/>
      <w:numFmt w:val="decimal"/>
      <w:pStyle w:val="98"/>
      <w:suff w:val="nothing"/>
      <w:lvlText w:val="%1%2.%3.%4.%5.%6　"/>
      <w:lvlJc w:val="left"/>
      <w:pPr>
        <w:ind w:left="0" w:firstLine="0"/>
      </w:pPr>
      <w:rPr>
        <w:rFonts w:hint="eastAsia" w:ascii="黑体" w:eastAsia="黑体"/>
        <w:b w:val="0"/>
        <w:i w:val="0"/>
        <w:sz w:val="21"/>
      </w:rPr>
    </w:lvl>
    <w:lvl w:ilvl="6" w:tentative="0">
      <w:start w:val="1"/>
      <w:numFmt w:val="decimal"/>
      <w:pStyle w:val="103"/>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9">
    <w:nsid w:val="6DBF04F4"/>
    <w:multiLevelType w:val="multilevel"/>
    <w:tmpl w:val="6DBF04F4"/>
    <w:lvl w:ilvl="0" w:tentative="0">
      <w:start w:val="1"/>
      <w:numFmt w:val="none"/>
      <w:pStyle w:val="179"/>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0">
    <w:nsid w:val="6DF35F19"/>
    <w:multiLevelType w:val="multilevel"/>
    <w:tmpl w:val="6DF35F19"/>
    <w:lvl w:ilvl="0" w:tentative="0">
      <w:start w:val="1"/>
      <w:numFmt w:val="decimal"/>
      <w:pStyle w:val="115"/>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1">
    <w:nsid w:val="76933334"/>
    <w:multiLevelType w:val="multilevel"/>
    <w:tmpl w:val="76933334"/>
    <w:lvl w:ilvl="0" w:tentative="0">
      <w:start w:val="1"/>
      <w:numFmt w:val="none"/>
      <w:pStyle w:val="139"/>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8"/>
  </w:num>
  <w:num w:numId="3">
    <w:abstractNumId w:val="5"/>
  </w:num>
  <w:num w:numId="4">
    <w:abstractNumId w:val="24"/>
  </w:num>
  <w:num w:numId="5">
    <w:abstractNumId w:val="19"/>
  </w:num>
  <w:num w:numId="6">
    <w:abstractNumId w:val="14"/>
  </w:num>
  <w:num w:numId="7">
    <w:abstractNumId w:val="8"/>
  </w:num>
  <w:num w:numId="8">
    <w:abstractNumId w:val="3"/>
  </w:num>
  <w:num w:numId="9">
    <w:abstractNumId w:val="9"/>
  </w:num>
  <w:num w:numId="10">
    <w:abstractNumId w:val="17"/>
  </w:num>
  <w:num w:numId="11">
    <w:abstractNumId w:val="26"/>
  </w:num>
  <w:num w:numId="12">
    <w:abstractNumId w:val="12"/>
  </w:num>
  <w:num w:numId="13">
    <w:abstractNumId w:val="13"/>
  </w:num>
  <w:num w:numId="14">
    <w:abstractNumId w:val="7"/>
  </w:num>
  <w:num w:numId="15">
    <w:abstractNumId w:val="20"/>
  </w:num>
  <w:num w:numId="16">
    <w:abstractNumId w:val="22"/>
  </w:num>
  <w:num w:numId="17">
    <w:abstractNumId w:val="18"/>
  </w:num>
  <w:num w:numId="18">
    <w:abstractNumId w:val="30"/>
  </w:num>
  <w:num w:numId="19">
    <w:abstractNumId w:val="16"/>
  </w:num>
  <w:num w:numId="20">
    <w:abstractNumId w:val="1"/>
  </w:num>
  <w:num w:numId="21">
    <w:abstractNumId w:val="11"/>
  </w:num>
  <w:num w:numId="22">
    <w:abstractNumId w:val="31"/>
  </w:num>
  <w:num w:numId="23">
    <w:abstractNumId w:val="21"/>
  </w:num>
  <w:num w:numId="24">
    <w:abstractNumId w:val="6"/>
  </w:num>
  <w:num w:numId="25">
    <w:abstractNumId w:val="27"/>
  </w:num>
  <w:num w:numId="26">
    <w:abstractNumId w:val="29"/>
  </w:num>
  <w:num w:numId="27">
    <w:abstractNumId w:val="2"/>
  </w:num>
  <w:num w:numId="28">
    <w:abstractNumId w:val="4"/>
  </w:num>
  <w:num w:numId="29">
    <w:abstractNumId w:val="15"/>
  </w:num>
  <w:num w:numId="30">
    <w:abstractNumId w:val="25"/>
  </w:num>
  <w:num w:numId="31">
    <w:abstractNumId w:val="23"/>
  </w:num>
  <w:num w:numId="32">
    <w:abstractNumId w:val="10"/>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attachedTemplate r:id="rId1"/>
  <w:documentProtection w:edit="forms"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wNTM5NzYwMDRjMzkwZTVkZjY2ODkwMGIxNGU0OTUifQ=="/>
  </w:docVars>
  <w:rsids>
    <w:rsidRoot w:val="00777AEC"/>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F06E1"/>
    <w:rsid w:val="000F0E3C"/>
    <w:rsid w:val="000F19D5"/>
    <w:rsid w:val="000F4AEA"/>
    <w:rsid w:val="000F633F"/>
    <w:rsid w:val="000F67E9"/>
    <w:rsid w:val="00104926"/>
    <w:rsid w:val="00113B1E"/>
    <w:rsid w:val="0011711C"/>
    <w:rsid w:val="0012059C"/>
    <w:rsid w:val="00124E4F"/>
    <w:rsid w:val="001260B7"/>
    <w:rsid w:val="001265CB"/>
    <w:rsid w:val="001321C6"/>
    <w:rsid w:val="001325C4"/>
    <w:rsid w:val="00133010"/>
    <w:rsid w:val="001338EE"/>
    <w:rsid w:val="00133AAE"/>
    <w:rsid w:val="00135323"/>
    <w:rsid w:val="001356C4"/>
    <w:rsid w:val="00141114"/>
    <w:rsid w:val="00142969"/>
    <w:rsid w:val="001446C2"/>
    <w:rsid w:val="001457E7"/>
    <w:rsid w:val="00145D9D"/>
    <w:rsid w:val="00146388"/>
    <w:rsid w:val="001529E5"/>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96EF5"/>
    <w:rsid w:val="001A1A53"/>
    <w:rsid w:val="001A234A"/>
    <w:rsid w:val="001A4CF3"/>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3725"/>
    <w:rsid w:val="001F4816"/>
    <w:rsid w:val="001F4EE9"/>
    <w:rsid w:val="001F69B4"/>
    <w:rsid w:val="001F77C7"/>
    <w:rsid w:val="00200183"/>
    <w:rsid w:val="00200333"/>
    <w:rsid w:val="0020107D"/>
    <w:rsid w:val="00202AA4"/>
    <w:rsid w:val="002031F7"/>
    <w:rsid w:val="002040E6"/>
    <w:rsid w:val="0020527B"/>
    <w:rsid w:val="00205F2C"/>
    <w:rsid w:val="00210B15"/>
    <w:rsid w:val="002142EA"/>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771AC"/>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1E1C"/>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D2A"/>
    <w:rsid w:val="00324EDD"/>
    <w:rsid w:val="003331E4"/>
    <w:rsid w:val="00336C64"/>
    <w:rsid w:val="00337162"/>
    <w:rsid w:val="0034194F"/>
    <w:rsid w:val="00344605"/>
    <w:rsid w:val="003474AA"/>
    <w:rsid w:val="00350D1D"/>
    <w:rsid w:val="00352C83"/>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4077"/>
    <w:rsid w:val="003B09AD"/>
    <w:rsid w:val="003B1F18"/>
    <w:rsid w:val="003B5BF0"/>
    <w:rsid w:val="003B60BF"/>
    <w:rsid w:val="003B6BE3"/>
    <w:rsid w:val="003C010C"/>
    <w:rsid w:val="003C0A6C"/>
    <w:rsid w:val="003C14F8"/>
    <w:rsid w:val="003C5A43"/>
    <w:rsid w:val="003D0519"/>
    <w:rsid w:val="003D0FF6"/>
    <w:rsid w:val="003D262C"/>
    <w:rsid w:val="003D6D61"/>
    <w:rsid w:val="003D79C6"/>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7E6"/>
    <w:rsid w:val="004A1BA8"/>
    <w:rsid w:val="004A4B57"/>
    <w:rsid w:val="004A63FA"/>
    <w:rsid w:val="004B0272"/>
    <w:rsid w:val="004B2701"/>
    <w:rsid w:val="004B2E1B"/>
    <w:rsid w:val="004B3AA8"/>
    <w:rsid w:val="004B3E93"/>
    <w:rsid w:val="004C1FBC"/>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2B06"/>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801E3"/>
    <w:rsid w:val="00581802"/>
    <w:rsid w:val="005836A8"/>
    <w:rsid w:val="0058409C"/>
    <w:rsid w:val="00584262"/>
    <w:rsid w:val="00586630"/>
    <w:rsid w:val="00587ADD"/>
    <w:rsid w:val="00591E27"/>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6812"/>
    <w:rsid w:val="005E7881"/>
    <w:rsid w:val="005E78E0"/>
    <w:rsid w:val="005F0D9C"/>
    <w:rsid w:val="005F284E"/>
    <w:rsid w:val="005F4712"/>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5D22"/>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0AB7"/>
    <w:rsid w:val="006D16C4"/>
    <w:rsid w:val="006D3E96"/>
    <w:rsid w:val="006D4515"/>
    <w:rsid w:val="006D4BB1"/>
    <w:rsid w:val="006D6593"/>
    <w:rsid w:val="006E23EA"/>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879"/>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77AEC"/>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5A3D"/>
    <w:rsid w:val="007B5B95"/>
    <w:rsid w:val="007B68EA"/>
    <w:rsid w:val="007B7453"/>
    <w:rsid w:val="007C1E8B"/>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0F84"/>
    <w:rsid w:val="00842A47"/>
    <w:rsid w:val="00843C13"/>
    <w:rsid w:val="008454F8"/>
    <w:rsid w:val="0085173A"/>
    <w:rsid w:val="00856316"/>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893"/>
    <w:rsid w:val="008A3215"/>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23A5"/>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F5"/>
    <w:rsid w:val="009249EC"/>
    <w:rsid w:val="009273B3"/>
    <w:rsid w:val="009305B5"/>
    <w:rsid w:val="009429D5"/>
    <w:rsid w:val="00942BF1"/>
    <w:rsid w:val="00945180"/>
    <w:rsid w:val="00945428"/>
    <w:rsid w:val="0094607B"/>
    <w:rsid w:val="00953604"/>
    <w:rsid w:val="0095496B"/>
    <w:rsid w:val="009610DC"/>
    <w:rsid w:val="00961490"/>
    <w:rsid w:val="0096381A"/>
    <w:rsid w:val="00965E04"/>
    <w:rsid w:val="009674AD"/>
    <w:rsid w:val="00970CDC"/>
    <w:rsid w:val="00977010"/>
    <w:rsid w:val="00977D02"/>
    <w:rsid w:val="009809BB"/>
    <w:rsid w:val="0098364B"/>
    <w:rsid w:val="009911AF"/>
    <w:rsid w:val="00991875"/>
    <w:rsid w:val="00991F92"/>
    <w:rsid w:val="00992985"/>
    <w:rsid w:val="00993889"/>
    <w:rsid w:val="0099551B"/>
    <w:rsid w:val="00997BF1"/>
    <w:rsid w:val="009A089C"/>
    <w:rsid w:val="009A118E"/>
    <w:rsid w:val="009A21CD"/>
    <w:rsid w:val="009A278C"/>
    <w:rsid w:val="009A2BC2"/>
    <w:rsid w:val="009A42C1"/>
    <w:rsid w:val="009A5429"/>
    <w:rsid w:val="009A72AD"/>
    <w:rsid w:val="009B09E0"/>
    <w:rsid w:val="009B0BC5"/>
    <w:rsid w:val="009B1247"/>
    <w:rsid w:val="009B46F9"/>
    <w:rsid w:val="009B6029"/>
    <w:rsid w:val="009B6971"/>
    <w:rsid w:val="009C27F1"/>
    <w:rsid w:val="009C3152"/>
    <w:rsid w:val="009C4CFA"/>
    <w:rsid w:val="009C5070"/>
    <w:rsid w:val="009D112C"/>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4247"/>
    <w:rsid w:val="00A952D7"/>
    <w:rsid w:val="00A963F7"/>
    <w:rsid w:val="00A96AD8"/>
    <w:rsid w:val="00AA052C"/>
    <w:rsid w:val="00AA1E45"/>
    <w:rsid w:val="00AA4286"/>
    <w:rsid w:val="00AA456B"/>
    <w:rsid w:val="00AA57F5"/>
    <w:rsid w:val="00AA672E"/>
    <w:rsid w:val="00AA6EC9"/>
    <w:rsid w:val="00AB41D5"/>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37E5"/>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6AF0"/>
    <w:rsid w:val="00B47293"/>
    <w:rsid w:val="00B50E50"/>
    <w:rsid w:val="00B52120"/>
    <w:rsid w:val="00B54ABC"/>
    <w:rsid w:val="00B54DDE"/>
    <w:rsid w:val="00B56FBE"/>
    <w:rsid w:val="00B60ACF"/>
    <w:rsid w:val="00B62B58"/>
    <w:rsid w:val="00B65149"/>
    <w:rsid w:val="00B66567"/>
    <w:rsid w:val="00B66F52"/>
    <w:rsid w:val="00B66FE5"/>
    <w:rsid w:val="00B72880"/>
    <w:rsid w:val="00B758BF"/>
    <w:rsid w:val="00B77EC8"/>
    <w:rsid w:val="00B827A6"/>
    <w:rsid w:val="00B831CE"/>
    <w:rsid w:val="00B86677"/>
    <w:rsid w:val="00B87131"/>
    <w:rsid w:val="00B939B1"/>
    <w:rsid w:val="00B96D40"/>
    <w:rsid w:val="00B97386"/>
    <w:rsid w:val="00BA263B"/>
    <w:rsid w:val="00BA42B2"/>
    <w:rsid w:val="00BA58D4"/>
    <w:rsid w:val="00BA5B9E"/>
    <w:rsid w:val="00BA7C9A"/>
    <w:rsid w:val="00BB203B"/>
    <w:rsid w:val="00BB5F8F"/>
    <w:rsid w:val="00BB657A"/>
    <w:rsid w:val="00BC1A4E"/>
    <w:rsid w:val="00BC4790"/>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2148"/>
    <w:rsid w:val="00C24C8D"/>
    <w:rsid w:val="00C25FE2"/>
    <w:rsid w:val="00C26B53"/>
    <w:rsid w:val="00C279B2"/>
    <w:rsid w:val="00C33E50"/>
    <w:rsid w:val="00C34C20"/>
    <w:rsid w:val="00C35A3E"/>
    <w:rsid w:val="00C42130"/>
    <w:rsid w:val="00C423A4"/>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982"/>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61D"/>
    <w:rsid w:val="00CE0C4F"/>
    <w:rsid w:val="00CE30EA"/>
    <w:rsid w:val="00CF048A"/>
    <w:rsid w:val="00CF155A"/>
    <w:rsid w:val="00CF2947"/>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24E"/>
    <w:rsid w:val="00D25E37"/>
    <w:rsid w:val="00D2661A"/>
    <w:rsid w:val="00D27582"/>
    <w:rsid w:val="00D27EC4"/>
    <w:rsid w:val="00D32719"/>
    <w:rsid w:val="00D33333"/>
    <w:rsid w:val="00D33457"/>
    <w:rsid w:val="00D352A2"/>
    <w:rsid w:val="00D3660F"/>
    <w:rsid w:val="00D4162B"/>
    <w:rsid w:val="00D4514F"/>
    <w:rsid w:val="00D451E2"/>
    <w:rsid w:val="00D45E89"/>
    <w:rsid w:val="00D45E8D"/>
    <w:rsid w:val="00D466AE"/>
    <w:rsid w:val="00D4734F"/>
    <w:rsid w:val="00D51BF3"/>
    <w:rsid w:val="00D66846"/>
    <w:rsid w:val="00D675FB"/>
    <w:rsid w:val="00D71F25"/>
    <w:rsid w:val="00D72A9C"/>
    <w:rsid w:val="00D77031"/>
    <w:rsid w:val="00D84941"/>
    <w:rsid w:val="00D84FA1"/>
    <w:rsid w:val="00D851F0"/>
    <w:rsid w:val="00D86DB7"/>
    <w:rsid w:val="00D926D0"/>
    <w:rsid w:val="00D93030"/>
    <w:rsid w:val="00D950E1"/>
    <w:rsid w:val="00D952A6"/>
    <w:rsid w:val="00D97F99"/>
    <w:rsid w:val="00DA1E08"/>
    <w:rsid w:val="00DA24F8"/>
    <w:rsid w:val="00DA28E8"/>
    <w:rsid w:val="00DA38D3"/>
    <w:rsid w:val="00DA3932"/>
    <w:rsid w:val="00DA3AFC"/>
    <w:rsid w:val="00DA5191"/>
    <w:rsid w:val="00DA64F8"/>
    <w:rsid w:val="00DA6C15"/>
    <w:rsid w:val="00DB0258"/>
    <w:rsid w:val="00DB38EE"/>
    <w:rsid w:val="00DB498B"/>
    <w:rsid w:val="00DB66CA"/>
    <w:rsid w:val="00DB6BCA"/>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5F11"/>
    <w:rsid w:val="00E01138"/>
    <w:rsid w:val="00E02DFB"/>
    <w:rsid w:val="00E030F9"/>
    <w:rsid w:val="00E0311A"/>
    <w:rsid w:val="00E03138"/>
    <w:rsid w:val="00E06404"/>
    <w:rsid w:val="00E065D2"/>
    <w:rsid w:val="00E11A85"/>
    <w:rsid w:val="00E12495"/>
    <w:rsid w:val="00E15CCD"/>
    <w:rsid w:val="00E202EF"/>
    <w:rsid w:val="00E210B5"/>
    <w:rsid w:val="00E23D99"/>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C54"/>
    <w:rsid w:val="00E77A03"/>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7DE"/>
    <w:rsid w:val="00EB1E69"/>
    <w:rsid w:val="00EB2086"/>
    <w:rsid w:val="00EB5EDF"/>
    <w:rsid w:val="00EB60FE"/>
    <w:rsid w:val="00EB74DB"/>
    <w:rsid w:val="00EC5359"/>
    <w:rsid w:val="00EC562A"/>
    <w:rsid w:val="00ED067A"/>
    <w:rsid w:val="00ED2B50"/>
    <w:rsid w:val="00EE0350"/>
    <w:rsid w:val="00EE0719"/>
    <w:rsid w:val="00EE0E80"/>
    <w:rsid w:val="00EE54A6"/>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57A9"/>
    <w:rsid w:val="00F25BB6"/>
    <w:rsid w:val="00F26B7E"/>
    <w:rsid w:val="00F27A3B"/>
    <w:rsid w:val="00F33817"/>
    <w:rsid w:val="00F420D5"/>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1E22"/>
    <w:rsid w:val="00F72142"/>
    <w:rsid w:val="00F72AE7"/>
    <w:rsid w:val="00F81141"/>
    <w:rsid w:val="00F833BA"/>
    <w:rsid w:val="00F84FD0"/>
    <w:rsid w:val="00F859A8"/>
    <w:rsid w:val="00F86D87"/>
    <w:rsid w:val="00F9108B"/>
    <w:rsid w:val="00F91349"/>
    <w:rsid w:val="00F93A8A"/>
    <w:rsid w:val="00F95248"/>
    <w:rsid w:val="00F956A9"/>
    <w:rsid w:val="00F963ED"/>
    <w:rsid w:val="00F966CF"/>
    <w:rsid w:val="00F96CAE"/>
    <w:rsid w:val="00F97C99"/>
    <w:rsid w:val="00FA4DAC"/>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4D5841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qFormat="1" w:uiPriority="39" w:semiHidden="0" w:name="toc 3"/>
    <w:lsdException w:qFormat="1" w:uiPriority="39" w:semiHidden="0" w:name="toc 4"/>
    <w:lsdException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6"/>
    <w:qFormat/>
    <w:uiPriority w:val="0"/>
    <w:pPr>
      <w:keepNext/>
      <w:keepLines/>
      <w:spacing w:before="260" w:after="260" w:line="416" w:lineRule="auto"/>
      <w:outlineLvl w:val="2"/>
    </w:pPr>
    <w:rPr>
      <w:b/>
      <w:bCs/>
      <w:sz w:val="32"/>
      <w:szCs w:val="32"/>
    </w:rPr>
  </w:style>
  <w:style w:type="paragraph" w:styleId="5">
    <w:name w:val="heading 4"/>
    <w:basedOn w:val="1"/>
    <w:next w:val="1"/>
    <w:link w:val="37"/>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8"/>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39"/>
    <w:autoRedefine/>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0"/>
    <w:autoRedefine/>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1"/>
    <w:autoRedefine/>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2"/>
    <w:autoRedefine/>
    <w:qFormat/>
    <w:uiPriority w:val="0"/>
    <w:pPr>
      <w:keepNext/>
      <w:keepLines/>
      <w:adjustRightInd/>
      <w:spacing w:before="240" w:after="64" w:line="320" w:lineRule="auto"/>
      <w:outlineLvl w:val="8"/>
    </w:pPr>
    <w:rPr>
      <w:rFonts w:ascii="Arial" w:hAnsi="Arial" w:eastAsia="黑体"/>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Body Text"/>
    <w:basedOn w:val="1"/>
    <w:link w:val="86"/>
    <w:autoRedefine/>
    <w:qFormat/>
    <w:uiPriority w:val="0"/>
    <w:pPr>
      <w:spacing w:after="120"/>
    </w:pPr>
  </w:style>
  <w:style w:type="paragraph" w:styleId="14">
    <w:name w:val="toc 5"/>
    <w:basedOn w:val="1"/>
    <w:next w:val="1"/>
    <w:autoRedefine/>
    <w:unhideWhenUsed/>
    <w:uiPriority w:val="39"/>
    <w:pPr>
      <w:ind w:left="839"/>
    </w:pPr>
    <w:rPr>
      <w:rFonts w:ascii="宋体"/>
    </w:rPr>
  </w:style>
  <w:style w:type="paragraph" w:styleId="15">
    <w:name w:val="toc 3"/>
    <w:basedOn w:val="1"/>
    <w:next w:val="1"/>
    <w:autoRedefine/>
    <w:unhideWhenUsed/>
    <w:qFormat/>
    <w:uiPriority w:val="39"/>
    <w:pPr>
      <w:spacing w:line="300" w:lineRule="exact"/>
      <w:ind w:left="420"/>
    </w:pPr>
    <w:rPr>
      <w:rFonts w:ascii="宋体"/>
    </w:rPr>
  </w:style>
  <w:style w:type="paragraph" w:styleId="16">
    <w:name w:val="Balloon Text"/>
    <w:basedOn w:val="1"/>
    <w:link w:val="45"/>
    <w:autoRedefine/>
    <w:semiHidden/>
    <w:unhideWhenUsed/>
    <w:qFormat/>
    <w:uiPriority w:val="99"/>
    <w:rPr>
      <w:sz w:val="18"/>
      <w:szCs w:val="18"/>
    </w:rPr>
  </w:style>
  <w:style w:type="paragraph" w:styleId="17">
    <w:name w:val="footer"/>
    <w:basedOn w:val="1"/>
    <w:link w:val="44"/>
    <w:autoRedefine/>
    <w:qFormat/>
    <w:uiPriority w:val="99"/>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3"/>
    <w:autoRedefine/>
    <w:qFormat/>
    <w:uiPriority w:val="99"/>
    <w:pPr>
      <w:tabs>
        <w:tab w:val="center" w:pos="4153"/>
        <w:tab w:val="right" w:pos="8306"/>
      </w:tabs>
      <w:adjustRightInd/>
      <w:snapToGrid w:val="0"/>
      <w:jc w:val="center"/>
    </w:pPr>
    <w:rPr>
      <w:sz w:val="18"/>
      <w:szCs w:val="18"/>
    </w:rPr>
  </w:style>
  <w:style w:type="paragraph" w:styleId="19">
    <w:name w:val="toc 1"/>
    <w:basedOn w:val="1"/>
    <w:next w:val="1"/>
    <w:autoRedefine/>
    <w:unhideWhenUsed/>
    <w:qFormat/>
    <w:uiPriority w:val="39"/>
    <w:rPr>
      <w:rFonts w:ascii="宋体"/>
    </w:rPr>
  </w:style>
  <w:style w:type="paragraph" w:styleId="20">
    <w:name w:val="toc 4"/>
    <w:basedOn w:val="1"/>
    <w:next w:val="1"/>
    <w:autoRedefine/>
    <w:unhideWhenUsed/>
    <w:qFormat/>
    <w:uiPriority w:val="39"/>
    <w:pPr>
      <w:tabs>
        <w:tab w:val="right" w:leader="dot" w:pos="9344"/>
      </w:tabs>
      <w:spacing w:line="300" w:lineRule="exact"/>
      <w:ind w:left="629"/>
    </w:pPr>
    <w:rPr>
      <w:rFonts w:ascii="宋体"/>
    </w:rPr>
  </w:style>
  <w:style w:type="paragraph" w:styleId="21">
    <w:name w:val="footnote text"/>
    <w:basedOn w:val="1"/>
    <w:next w:val="1"/>
    <w:link w:val="99"/>
    <w:autoRedefine/>
    <w:qFormat/>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autoRedefine/>
    <w:unhideWhenUsed/>
    <w:qFormat/>
    <w:uiPriority w:val="39"/>
    <w:pPr>
      <w:spacing w:line="300" w:lineRule="exact"/>
      <w:ind w:left="1049"/>
    </w:pPr>
    <w:rPr>
      <w:rFonts w:ascii="宋体"/>
    </w:rPr>
  </w:style>
  <w:style w:type="paragraph" w:styleId="23">
    <w:name w:val="table of figures"/>
    <w:basedOn w:val="1"/>
    <w:next w:val="1"/>
    <w:semiHidden/>
    <w:uiPriority w:val="0"/>
    <w:pPr>
      <w:adjustRightInd/>
      <w:spacing w:line="240" w:lineRule="auto"/>
      <w:jc w:val="left"/>
    </w:pPr>
    <w:rPr>
      <w:szCs w:val="24"/>
    </w:rPr>
  </w:style>
  <w:style w:type="paragraph" w:styleId="24">
    <w:name w:val="toc 2"/>
    <w:basedOn w:val="1"/>
    <w:next w:val="1"/>
    <w:autoRedefine/>
    <w:unhideWhenUsed/>
    <w:uiPriority w:val="39"/>
    <w:pPr>
      <w:tabs>
        <w:tab w:val="right" w:leader="dot" w:pos="9344"/>
      </w:tabs>
      <w:spacing w:line="300" w:lineRule="exact"/>
      <w:ind w:left="210"/>
    </w:pPr>
    <w:rPr>
      <w:rFonts w:ascii="宋体"/>
    </w:rPr>
  </w:style>
  <w:style w:type="paragraph" w:styleId="25">
    <w:name w:val="Title"/>
    <w:basedOn w:val="1"/>
    <w:link w:val="48"/>
    <w:qFormat/>
    <w:uiPriority w:val="0"/>
    <w:pPr>
      <w:spacing w:before="240" w:after="60"/>
      <w:jc w:val="center"/>
      <w:outlineLvl w:val="0"/>
    </w:pPr>
    <w:rPr>
      <w:rFonts w:ascii="Arial" w:hAnsi="Arial" w:cs="Arial"/>
      <w:b/>
      <w:bCs/>
      <w:sz w:val="32"/>
      <w:szCs w:val="32"/>
    </w:r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autoRedefine/>
    <w:qFormat/>
    <w:uiPriority w:val="22"/>
    <w:rPr>
      <w:b/>
      <w:bCs/>
    </w:rPr>
  </w:style>
  <w:style w:type="character" w:styleId="30">
    <w:name w:val="page number"/>
    <w:autoRedefine/>
    <w:qFormat/>
    <w:uiPriority w:val="0"/>
    <w:rPr>
      <w:rFonts w:ascii="宋体" w:hAnsi="Times New Roman" w:eastAsia="宋体"/>
      <w:sz w:val="18"/>
    </w:rPr>
  </w:style>
  <w:style w:type="character" w:styleId="31">
    <w:name w:val="Emphasis"/>
    <w:qFormat/>
    <w:uiPriority w:val="20"/>
    <w:rPr>
      <w:i/>
      <w:iCs/>
    </w:rPr>
  </w:style>
  <w:style w:type="character" w:styleId="32">
    <w:name w:val="Hyperlink"/>
    <w:autoRedefine/>
    <w:qFormat/>
    <w:uiPriority w:val="99"/>
    <w:rPr>
      <w:rFonts w:ascii="宋体" w:hAnsi="Times New Roman" w:eastAsia="宋体"/>
      <w:color w:val="auto"/>
      <w:spacing w:val="0"/>
      <w:w w:val="100"/>
      <w:position w:val="0"/>
      <w:sz w:val="21"/>
      <w:u w:val="none"/>
      <w:vertAlign w:val="baseline"/>
    </w:rPr>
  </w:style>
  <w:style w:type="character" w:styleId="33">
    <w:name w:val="footnote reference"/>
    <w:autoRedefine/>
    <w:semiHidden/>
    <w:qFormat/>
    <w:uiPriority w:val="0"/>
    <w:rPr>
      <w:rFonts w:ascii="宋体" w:hAnsi="宋体" w:eastAsia="宋体" w:cs="Times New Roman"/>
      <w:spacing w:val="0"/>
      <w:sz w:val="18"/>
      <w:vertAlign w:val="superscript"/>
    </w:rPr>
  </w:style>
  <w:style w:type="character" w:customStyle="1" w:styleId="34">
    <w:name w:val="标题 1 字符"/>
    <w:link w:val="2"/>
    <w:autoRedefine/>
    <w:qFormat/>
    <w:uiPriority w:val="0"/>
    <w:rPr>
      <w:b/>
      <w:bCs/>
      <w:kern w:val="44"/>
      <w:sz w:val="44"/>
      <w:szCs w:val="44"/>
    </w:rPr>
  </w:style>
  <w:style w:type="character" w:customStyle="1" w:styleId="35">
    <w:name w:val="标题 2 字符"/>
    <w:link w:val="3"/>
    <w:autoRedefine/>
    <w:qFormat/>
    <w:uiPriority w:val="0"/>
    <w:rPr>
      <w:rFonts w:ascii="Arial" w:hAnsi="Arial" w:eastAsia="黑体"/>
      <w:b/>
      <w:bCs/>
      <w:kern w:val="2"/>
      <w:sz w:val="32"/>
      <w:szCs w:val="32"/>
    </w:rPr>
  </w:style>
  <w:style w:type="character" w:customStyle="1" w:styleId="36">
    <w:name w:val="标题 3 字符"/>
    <w:link w:val="4"/>
    <w:uiPriority w:val="0"/>
    <w:rPr>
      <w:b/>
      <w:bCs/>
      <w:kern w:val="2"/>
      <w:sz w:val="32"/>
      <w:szCs w:val="32"/>
    </w:rPr>
  </w:style>
  <w:style w:type="character" w:customStyle="1" w:styleId="37">
    <w:name w:val="标题 4 字符"/>
    <w:link w:val="5"/>
    <w:uiPriority w:val="0"/>
    <w:rPr>
      <w:rFonts w:ascii="Arial" w:hAnsi="Arial" w:eastAsia="黑体"/>
      <w:b/>
      <w:bCs/>
      <w:kern w:val="2"/>
      <w:sz w:val="28"/>
      <w:szCs w:val="28"/>
    </w:rPr>
  </w:style>
  <w:style w:type="character" w:customStyle="1" w:styleId="38">
    <w:name w:val="标题 5 字符"/>
    <w:link w:val="6"/>
    <w:autoRedefine/>
    <w:qFormat/>
    <w:uiPriority w:val="0"/>
    <w:rPr>
      <w:b/>
      <w:bCs/>
      <w:kern w:val="2"/>
      <w:sz w:val="28"/>
      <w:szCs w:val="28"/>
    </w:rPr>
  </w:style>
  <w:style w:type="character" w:customStyle="1" w:styleId="39">
    <w:name w:val="标题 6 字符"/>
    <w:link w:val="7"/>
    <w:autoRedefine/>
    <w:qFormat/>
    <w:uiPriority w:val="0"/>
    <w:rPr>
      <w:rFonts w:ascii="Arial" w:hAnsi="Arial" w:eastAsia="黑体"/>
      <w:b/>
      <w:bCs/>
      <w:kern w:val="2"/>
      <w:sz w:val="24"/>
      <w:szCs w:val="24"/>
    </w:rPr>
  </w:style>
  <w:style w:type="character" w:customStyle="1" w:styleId="40">
    <w:name w:val="标题 7 字符"/>
    <w:link w:val="8"/>
    <w:autoRedefine/>
    <w:qFormat/>
    <w:uiPriority w:val="0"/>
    <w:rPr>
      <w:b/>
      <w:bCs/>
      <w:kern w:val="2"/>
      <w:sz w:val="24"/>
      <w:szCs w:val="24"/>
    </w:rPr>
  </w:style>
  <w:style w:type="character" w:customStyle="1" w:styleId="41">
    <w:name w:val="标题 8 字符"/>
    <w:link w:val="9"/>
    <w:autoRedefine/>
    <w:qFormat/>
    <w:uiPriority w:val="0"/>
    <w:rPr>
      <w:rFonts w:ascii="Arial" w:hAnsi="Arial" w:eastAsia="黑体"/>
      <w:kern w:val="2"/>
      <w:sz w:val="24"/>
      <w:szCs w:val="24"/>
    </w:rPr>
  </w:style>
  <w:style w:type="character" w:customStyle="1" w:styleId="42">
    <w:name w:val="标题 9 字符"/>
    <w:link w:val="10"/>
    <w:autoRedefine/>
    <w:qFormat/>
    <w:uiPriority w:val="0"/>
    <w:rPr>
      <w:rFonts w:ascii="Arial" w:hAnsi="Arial" w:eastAsia="黑体"/>
      <w:kern w:val="2"/>
      <w:sz w:val="21"/>
      <w:szCs w:val="21"/>
    </w:rPr>
  </w:style>
  <w:style w:type="character" w:customStyle="1" w:styleId="43">
    <w:name w:val="页眉 字符"/>
    <w:link w:val="18"/>
    <w:autoRedefine/>
    <w:qFormat/>
    <w:uiPriority w:val="99"/>
    <w:rPr>
      <w:kern w:val="2"/>
      <w:sz w:val="18"/>
      <w:szCs w:val="18"/>
    </w:rPr>
  </w:style>
  <w:style w:type="character" w:customStyle="1" w:styleId="44">
    <w:name w:val="页脚 字符"/>
    <w:link w:val="17"/>
    <w:autoRedefine/>
    <w:qFormat/>
    <w:uiPriority w:val="99"/>
    <w:rPr>
      <w:rFonts w:ascii="宋体"/>
      <w:kern w:val="2"/>
      <w:sz w:val="18"/>
      <w:szCs w:val="18"/>
    </w:rPr>
  </w:style>
  <w:style w:type="character" w:customStyle="1" w:styleId="45">
    <w:name w:val="批注框文本 字符"/>
    <w:link w:val="16"/>
    <w:semiHidden/>
    <w:uiPriority w:val="99"/>
    <w:rPr>
      <w:kern w:val="2"/>
      <w:sz w:val="18"/>
      <w:szCs w:val="18"/>
    </w:rPr>
  </w:style>
  <w:style w:type="paragraph" w:styleId="46">
    <w:name w:val="Quote"/>
    <w:basedOn w:val="1"/>
    <w:next w:val="1"/>
    <w:link w:val="47"/>
    <w:autoRedefine/>
    <w:qFormat/>
    <w:uiPriority w:val="29"/>
    <w:rPr>
      <w:i/>
      <w:iCs/>
      <w:color w:val="000000"/>
    </w:rPr>
  </w:style>
  <w:style w:type="character" w:customStyle="1" w:styleId="47">
    <w:name w:val="引用 字符"/>
    <w:link w:val="46"/>
    <w:autoRedefine/>
    <w:qFormat/>
    <w:uiPriority w:val="29"/>
    <w:rPr>
      <w:i/>
      <w:iCs/>
      <w:color w:val="000000"/>
      <w:kern w:val="2"/>
      <w:sz w:val="21"/>
      <w:szCs w:val="21"/>
    </w:rPr>
  </w:style>
  <w:style w:type="character" w:customStyle="1" w:styleId="48">
    <w:name w:val="标题 字符"/>
    <w:link w:val="25"/>
    <w:autoRedefine/>
    <w:qFormat/>
    <w:uiPriority w:val="0"/>
    <w:rPr>
      <w:rFonts w:ascii="Arial" w:hAnsi="Arial" w:cs="Arial"/>
      <w:b/>
      <w:bCs/>
      <w:kern w:val="2"/>
      <w:sz w:val="32"/>
      <w:szCs w:val="32"/>
    </w:rPr>
  </w:style>
  <w:style w:type="paragraph" w:customStyle="1" w:styleId="49">
    <w:name w:val="标准标志"/>
    <w:next w:val="1"/>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0">
    <w:name w:val="标准称谓"/>
    <w:next w:val="1"/>
    <w:autoRedefine/>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1">
    <w:name w:val="标准文件_页脚偶数页"/>
    <w:uiPriority w:val="0"/>
    <w:pPr>
      <w:ind w:left="198"/>
    </w:pPr>
    <w:rPr>
      <w:rFonts w:ascii="宋体" w:hAnsi="Times New Roman" w:eastAsia="宋体" w:cs="Times New Roman"/>
      <w:sz w:val="18"/>
      <w:lang w:val="en-US" w:eastAsia="zh-CN" w:bidi="ar-SA"/>
    </w:rPr>
  </w:style>
  <w:style w:type="paragraph" w:customStyle="1" w:styleId="52">
    <w:name w:val="标准文件_页脚奇数页"/>
    <w:autoRedefine/>
    <w:qFormat/>
    <w:uiPriority w:val="0"/>
    <w:pPr>
      <w:ind w:right="227"/>
      <w:jc w:val="right"/>
    </w:pPr>
    <w:rPr>
      <w:rFonts w:ascii="宋体" w:hAnsi="Times New Roman" w:eastAsia="宋体" w:cs="Times New Roman"/>
      <w:sz w:val="18"/>
      <w:lang w:val="en-US" w:eastAsia="zh-CN" w:bidi="ar-SA"/>
    </w:rPr>
  </w:style>
  <w:style w:type="paragraph" w:customStyle="1" w:styleId="53">
    <w:name w:val="标准书眉一"/>
    <w:uiPriority w:val="0"/>
    <w:pPr>
      <w:jc w:val="both"/>
    </w:pPr>
    <w:rPr>
      <w:rFonts w:ascii="Times New Roman" w:hAnsi="Times New Roman" w:eastAsia="宋体" w:cs="Times New Roman"/>
      <w:lang w:val="en-US" w:eastAsia="zh-CN" w:bidi="ar-SA"/>
    </w:rPr>
  </w:style>
  <w:style w:type="paragraph" w:customStyle="1" w:styleId="54">
    <w:name w:val="标准文件_ICS"/>
    <w:basedOn w:val="1"/>
    <w:autoRedefine/>
    <w:qFormat/>
    <w:uiPriority w:val="0"/>
    <w:pPr>
      <w:spacing w:line="0" w:lineRule="atLeast"/>
    </w:pPr>
    <w:rPr>
      <w:rFonts w:ascii="黑体" w:hAnsi="宋体" w:eastAsia="黑体"/>
    </w:rPr>
  </w:style>
  <w:style w:type="paragraph" w:customStyle="1" w:styleId="55">
    <w:name w:val="标准文件_标准正文"/>
    <w:basedOn w:val="1"/>
    <w:next w:val="56"/>
    <w:autoRedefine/>
    <w:qFormat/>
    <w:uiPriority w:val="0"/>
    <w:pPr>
      <w:snapToGrid w:val="0"/>
      <w:ind w:firstLine="200" w:firstLineChars="200"/>
    </w:pPr>
    <w:rPr>
      <w:kern w:val="0"/>
    </w:rPr>
  </w:style>
  <w:style w:type="paragraph" w:customStyle="1" w:styleId="56">
    <w:name w:val="标准文件_段"/>
    <w:link w:val="184"/>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标准文件_版本"/>
    <w:basedOn w:val="55"/>
    <w:autoRedefine/>
    <w:qFormat/>
    <w:uiPriority w:val="0"/>
    <w:pPr>
      <w:adjustRightInd/>
      <w:snapToGrid/>
      <w:ind w:firstLine="0" w:firstLineChars="0"/>
    </w:pPr>
    <w:rPr>
      <w:rFonts w:ascii="宋体" w:hAnsi="宋体"/>
      <w:kern w:val="2"/>
    </w:rPr>
  </w:style>
  <w:style w:type="paragraph" w:customStyle="1" w:styleId="58">
    <w:name w:val="标准文件_标准部门"/>
    <w:basedOn w:val="1"/>
    <w:autoRedefine/>
    <w:qFormat/>
    <w:uiPriority w:val="0"/>
    <w:pPr>
      <w:jc w:val="center"/>
    </w:pPr>
    <w:rPr>
      <w:rFonts w:ascii="黑体" w:eastAsia="黑体"/>
      <w:kern w:val="0"/>
      <w:sz w:val="44"/>
    </w:rPr>
  </w:style>
  <w:style w:type="paragraph" w:customStyle="1" w:styleId="59">
    <w:name w:val="标准文件_标准代替"/>
    <w:basedOn w:val="1"/>
    <w:next w:val="1"/>
    <w:autoRedefine/>
    <w:qFormat/>
    <w:uiPriority w:val="0"/>
    <w:pPr>
      <w:spacing w:line="310" w:lineRule="exact"/>
      <w:jc w:val="right"/>
    </w:pPr>
    <w:rPr>
      <w:rFonts w:ascii="宋体" w:hAnsi="宋体"/>
      <w:kern w:val="0"/>
    </w:rPr>
  </w:style>
  <w:style w:type="paragraph" w:customStyle="1" w:styleId="60">
    <w:name w:val="标准文件_标准名称标题"/>
    <w:basedOn w:val="1"/>
    <w:next w:val="1"/>
    <w:autoRedefine/>
    <w:qFormat/>
    <w:uiPriority w:val="0"/>
    <w:pPr>
      <w:widowControl/>
      <w:shd w:val="clear" w:color="FFFFFF" w:fill="FFFFFF"/>
      <w:adjustRightInd/>
      <w:spacing w:before="640" w:after="100"/>
      <w:jc w:val="center"/>
    </w:pPr>
    <w:rPr>
      <w:rFonts w:ascii="黑体" w:eastAsia="黑体"/>
      <w:kern w:val="0"/>
      <w:sz w:val="32"/>
    </w:rPr>
  </w:style>
  <w:style w:type="paragraph" w:customStyle="1" w:styleId="61">
    <w:name w:val="标准文件_页眉奇数页"/>
    <w:next w:val="1"/>
    <w:autoRedefine/>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2">
    <w:name w:val="标准文件_页眉偶数页"/>
    <w:basedOn w:val="61"/>
    <w:next w:val="1"/>
    <w:autoRedefine/>
    <w:qFormat/>
    <w:uiPriority w:val="0"/>
    <w:pPr>
      <w:jc w:val="left"/>
    </w:pPr>
  </w:style>
  <w:style w:type="paragraph" w:customStyle="1" w:styleId="63">
    <w:name w:val="标准文件_参考文献标题"/>
    <w:basedOn w:val="1"/>
    <w:next w:val="1"/>
    <w:autoRedefine/>
    <w:qFormat/>
    <w:uiPriority w:val="0"/>
    <w:pPr>
      <w:widowControl/>
      <w:shd w:val="clear" w:color="FFFFFF" w:fill="FFFFFF"/>
      <w:adjustRightInd/>
      <w:spacing w:before="580" w:after="50" w:afterLines="50" w:line="240" w:lineRule="auto"/>
      <w:jc w:val="center"/>
      <w:outlineLvl w:val="0"/>
    </w:pPr>
    <w:rPr>
      <w:rFonts w:ascii="黑体" w:eastAsia="黑体"/>
      <w:kern w:val="0"/>
    </w:rPr>
  </w:style>
  <w:style w:type="paragraph" w:customStyle="1" w:styleId="64">
    <w:name w:val="标准文件_参考文献条目"/>
    <w:autoRedefine/>
    <w:qFormat/>
    <w:uiPriority w:val="0"/>
    <w:pPr>
      <w:numPr>
        <w:ilvl w:val="0"/>
        <w:numId w:val="1"/>
      </w:numPr>
    </w:pPr>
    <w:rPr>
      <w:rFonts w:ascii="宋体" w:hAnsi="Times New Roman" w:eastAsia="宋体" w:cs="Times New Roman"/>
      <w:lang w:val="en-US" w:eastAsia="zh-CN" w:bidi="ar-SA"/>
    </w:rPr>
  </w:style>
  <w:style w:type="paragraph" w:customStyle="1" w:styleId="65">
    <w:name w:val="标准文件_二级条标题"/>
    <w:next w:val="56"/>
    <w:autoRedefine/>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6">
    <w:name w:val="标准文件_发布"/>
    <w:autoRedefine/>
    <w:qFormat/>
    <w:uiPriority w:val="0"/>
    <w:rPr>
      <w:rFonts w:ascii="黑体" w:eastAsia="黑体"/>
      <w:spacing w:val="0"/>
      <w:w w:val="100"/>
      <w:position w:val="3"/>
      <w:sz w:val="28"/>
    </w:rPr>
  </w:style>
  <w:style w:type="paragraph" w:customStyle="1" w:styleId="67">
    <w:name w:val="标准文件_方框数字列项"/>
    <w:basedOn w:val="56"/>
    <w:autoRedefine/>
    <w:qFormat/>
    <w:uiPriority w:val="0"/>
    <w:pPr>
      <w:numPr>
        <w:ilvl w:val="0"/>
        <w:numId w:val="3"/>
      </w:numPr>
      <w:ind w:firstLine="0" w:firstLineChars="0"/>
    </w:pPr>
  </w:style>
  <w:style w:type="paragraph" w:customStyle="1" w:styleId="68">
    <w:name w:val="标准文件_封面标准编号"/>
    <w:basedOn w:val="1"/>
    <w:next w:val="59"/>
    <w:autoRedefine/>
    <w:qFormat/>
    <w:uiPriority w:val="0"/>
    <w:pPr>
      <w:spacing w:line="310" w:lineRule="exact"/>
      <w:jc w:val="right"/>
    </w:pPr>
    <w:rPr>
      <w:rFonts w:ascii="黑体" w:eastAsia="黑体"/>
      <w:kern w:val="0"/>
      <w:sz w:val="28"/>
    </w:rPr>
  </w:style>
  <w:style w:type="paragraph" w:customStyle="1" w:styleId="69">
    <w:name w:val="标准文件_封面标准分类号"/>
    <w:basedOn w:val="1"/>
    <w:autoRedefine/>
    <w:qFormat/>
    <w:uiPriority w:val="0"/>
    <w:rPr>
      <w:rFonts w:ascii="黑体" w:eastAsia="黑体"/>
      <w:b/>
      <w:kern w:val="0"/>
      <w:sz w:val="28"/>
    </w:rPr>
  </w:style>
  <w:style w:type="paragraph" w:customStyle="1" w:styleId="70">
    <w:name w:val="标准文件_封面标准名称"/>
    <w:basedOn w:val="1"/>
    <w:autoRedefine/>
    <w:qFormat/>
    <w:uiPriority w:val="0"/>
    <w:pPr>
      <w:spacing w:line="240" w:lineRule="auto"/>
      <w:jc w:val="center"/>
    </w:pPr>
    <w:rPr>
      <w:rFonts w:ascii="黑体" w:eastAsia="黑体"/>
      <w:kern w:val="0"/>
      <w:sz w:val="52"/>
    </w:rPr>
  </w:style>
  <w:style w:type="paragraph" w:customStyle="1" w:styleId="71">
    <w:name w:val="标准文件_封面标准英文名称"/>
    <w:basedOn w:val="1"/>
    <w:uiPriority w:val="0"/>
    <w:pPr>
      <w:spacing w:line="240" w:lineRule="auto"/>
      <w:jc w:val="center"/>
    </w:pPr>
    <w:rPr>
      <w:rFonts w:ascii="黑体" w:eastAsia="黑体"/>
      <w:b/>
      <w:sz w:val="28"/>
    </w:rPr>
  </w:style>
  <w:style w:type="paragraph" w:customStyle="1" w:styleId="72">
    <w:name w:val="标准文件_封面发布日期"/>
    <w:basedOn w:val="1"/>
    <w:autoRedefine/>
    <w:qFormat/>
    <w:uiPriority w:val="0"/>
    <w:pPr>
      <w:spacing w:line="310" w:lineRule="exact"/>
    </w:pPr>
    <w:rPr>
      <w:rFonts w:ascii="黑体" w:eastAsia="黑体"/>
      <w:kern w:val="0"/>
      <w:sz w:val="28"/>
    </w:rPr>
  </w:style>
  <w:style w:type="paragraph" w:customStyle="1" w:styleId="73">
    <w:name w:val="标准文件_封面密级"/>
    <w:basedOn w:val="1"/>
    <w:autoRedefine/>
    <w:qFormat/>
    <w:uiPriority w:val="0"/>
    <w:rPr>
      <w:rFonts w:eastAsia="黑体"/>
      <w:sz w:val="32"/>
    </w:rPr>
  </w:style>
  <w:style w:type="paragraph" w:customStyle="1" w:styleId="74">
    <w:name w:val="标准文件_封面实施日期"/>
    <w:basedOn w:val="1"/>
    <w:autoRedefine/>
    <w:qFormat/>
    <w:uiPriority w:val="0"/>
    <w:pPr>
      <w:spacing w:line="310" w:lineRule="exact"/>
      <w:jc w:val="right"/>
    </w:pPr>
    <w:rPr>
      <w:rFonts w:ascii="黑体" w:eastAsia="黑体"/>
      <w:sz w:val="28"/>
    </w:rPr>
  </w:style>
  <w:style w:type="paragraph" w:customStyle="1" w:styleId="75">
    <w:name w:val="标准文件_封面抬头"/>
    <w:basedOn w:val="56"/>
    <w:autoRedefine/>
    <w:qFormat/>
    <w:uiPriority w:val="0"/>
    <w:pPr>
      <w:adjustRightInd w:val="0"/>
      <w:spacing w:line="800" w:lineRule="exact"/>
      <w:ind w:firstLine="0" w:firstLineChars="0"/>
      <w:jc w:val="distribute"/>
    </w:pPr>
    <w:rPr>
      <w:rFonts w:ascii="黑体" w:eastAsia="黑体"/>
      <w:b/>
      <w:sz w:val="64"/>
    </w:rPr>
  </w:style>
  <w:style w:type="paragraph" w:customStyle="1" w:styleId="76">
    <w:name w:val="标准文件_附录标识"/>
    <w:next w:val="56"/>
    <w:autoRedefine/>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77">
    <w:name w:val="标准文件_附录表标题"/>
    <w:next w:val="56"/>
    <w:autoRedefine/>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78">
    <w:name w:val="标准文件_附录一级条标题"/>
    <w:next w:val="56"/>
    <w:autoRedefine/>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79">
    <w:name w:val="标准文件_附录二级条标题"/>
    <w:basedOn w:val="78"/>
    <w:next w:val="56"/>
    <w:autoRedefine/>
    <w:qFormat/>
    <w:uiPriority w:val="0"/>
    <w:pPr>
      <w:widowControl/>
      <w:numPr>
        <w:ilvl w:val="2"/>
      </w:numPr>
      <w:wordWrap w:val="0"/>
      <w:overflowPunct w:val="0"/>
      <w:autoSpaceDE w:val="0"/>
      <w:autoSpaceDN w:val="0"/>
      <w:textAlignment w:val="baseline"/>
      <w:outlineLvl w:val="3"/>
    </w:pPr>
  </w:style>
  <w:style w:type="paragraph" w:customStyle="1" w:styleId="80">
    <w:name w:val="标准文件_附录公式"/>
    <w:basedOn w:val="55"/>
    <w:next w:val="55"/>
    <w:autoRedefine/>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1">
    <w:name w:val="标准文件_附录三级条标题"/>
    <w:next w:val="56"/>
    <w:autoRedefine/>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2">
    <w:name w:val="标准文件_附录四级条标题"/>
    <w:next w:val="56"/>
    <w:autoRedefine/>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3">
    <w:name w:val="标准文件_附录图标题"/>
    <w:next w:val="56"/>
    <w:autoRedefine/>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4">
    <w:name w:val="标准文件_附录五级条标题"/>
    <w:next w:val="56"/>
    <w:autoRedefine/>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5">
    <w:name w:val="标准文件_附录英文标识"/>
    <w:next w:val="13"/>
    <w:autoRedefine/>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6">
    <w:name w:val="正文文本 字符"/>
    <w:link w:val="13"/>
    <w:uiPriority w:val="0"/>
    <w:rPr>
      <w:kern w:val="2"/>
      <w:sz w:val="21"/>
      <w:szCs w:val="21"/>
    </w:rPr>
  </w:style>
  <w:style w:type="paragraph" w:customStyle="1" w:styleId="87">
    <w:name w:val="标准文件_附录章标题"/>
    <w:next w:val="56"/>
    <w:autoRedefine/>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8">
    <w:name w:val="标准文件_公式后的破折号"/>
    <w:basedOn w:val="56"/>
    <w:next w:val="56"/>
    <w:autoRedefine/>
    <w:qFormat/>
    <w:uiPriority w:val="0"/>
    <w:pPr>
      <w:ind w:left="488" w:leftChars="200" w:hanging="289" w:hangingChars="290"/>
    </w:pPr>
  </w:style>
  <w:style w:type="paragraph" w:customStyle="1" w:styleId="89">
    <w:name w:val="标准文件_前言、引言标题"/>
    <w:next w:val="1"/>
    <w:autoRedefine/>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0">
    <w:name w:val="标准文件_目次、标准名称标题"/>
    <w:basedOn w:val="89"/>
    <w:next w:val="56"/>
    <w:autoRedefine/>
    <w:qFormat/>
    <w:uiPriority w:val="0"/>
    <w:pPr>
      <w:spacing w:line="460" w:lineRule="exact"/>
      <w:ind w:left="0" w:firstLine="0"/>
    </w:pPr>
  </w:style>
  <w:style w:type="paragraph" w:customStyle="1" w:styleId="91">
    <w:name w:val="标准文件_目录标题"/>
    <w:basedOn w:val="1"/>
    <w:autoRedefine/>
    <w:qFormat/>
    <w:uiPriority w:val="0"/>
    <w:pPr>
      <w:spacing w:before="480" w:after="150" w:afterLines="150" w:line="240" w:lineRule="auto"/>
      <w:jc w:val="center"/>
    </w:pPr>
    <w:rPr>
      <w:rFonts w:ascii="黑体" w:eastAsia="黑体"/>
      <w:sz w:val="32"/>
    </w:rPr>
  </w:style>
  <w:style w:type="paragraph" w:customStyle="1" w:styleId="92">
    <w:name w:val="标准文件_破折号列项"/>
    <w:autoRedefine/>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3">
    <w:name w:val="标准文件_破折号列项（二级）"/>
    <w:basedOn w:val="92"/>
    <w:autoRedefine/>
    <w:qFormat/>
    <w:uiPriority w:val="0"/>
    <w:pPr>
      <w:numPr>
        <w:numId w:val="10"/>
      </w:numPr>
    </w:pPr>
  </w:style>
  <w:style w:type="paragraph" w:customStyle="1" w:styleId="94">
    <w:name w:val="标准文件_三级条标题"/>
    <w:basedOn w:val="65"/>
    <w:next w:val="56"/>
    <w:autoRedefine/>
    <w:qFormat/>
    <w:uiPriority w:val="0"/>
    <w:pPr>
      <w:widowControl/>
      <w:numPr>
        <w:ilvl w:val="4"/>
      </w:numPr>
      <w:outlineLvl w:val="3"/>
    </w:pPr>
  </w:style>
  <w:style w:type="character" w:customStyle="1" w:styleId="95">
    <w:name w:val="Subtle Reference"/>
    <w:autoRedefine/>
    <w:qFormat/>
    <w:uiPriority w:val="31"/>
    <w:rPr>
      <w:smallCaps/>
      <w:color w:val="C0504D"/>
      <w:u w:val="single"/>
    </w:rPr>
  </w:style>
  <w:style w:type="paragraph" w:customStyle="1" w:styleId="96">
    <w:name w:val="标准文件_示例后续"/>
    <w:basedOn w:val="1"/>
    <w:autoRedefine/>
    <w:qFormat/>
    <w:uiPriority w:val="0"/>
    <w:pPr>
      <w:adjustRightInd/>
      <w:spacing w:line="240" w:lineRule="auto"/>
      <w:ind w:firstLine="200" w:firstLineChars="200"/>
    </w:pPr>
    <w:rPr>
      <w:sz w:val="18"/>
      <w:szCs w:val="24"/>
    </w:rPr>
  </w:style>
  <w:style w:type="paragraph" w:customStyle="1" w:styleId="97">
    <w:name w:val="标准文件_数字编号列项"/>
    <w:autoRedefine/>
    <w:qFormat/>
    <w:uiPriority w:val="0"/>
    <w:pPr>
      <w:numPr>
        <w:ilvl w:val="0"/>
        <w:numId w:val="11"/>
      </w:numPr>
      <w:jc w:val="both"/>
    </w:pPr>
    <w:rPr>
      <w:rFonts w:ascii="宋体" w:hAnsi="宋体" w:eastAsia="宋体" w:cs="Times New Roman"/>
      <w:sz w:val="21"/>
      <w:lang w:val="en-US" w:eastAsia="zh-CN" w:bidi="ar-SA"/>
    </w:rPr>
  </w:style>
  <w:style w:type="paragraph" w:customStyle="1" w:styleId="98">
    <w:name w:val="标准文件_四级条标题"/>
    <w:next w:val="56"/>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99">
    <w:name w:val="脚注文本 字符"/>
    <w:link w:val="21"/>
    <w:autoRedefine/>
    <w:semiHidden/>
    <w:qFormat/>
    <w:uiPriority w:val="0"/>
    <w:rPr>
      <w:rFonts w:ascii="宋体"/>
      <w:kern w:val="2"/>
      <w:sz w:val="18"/>
      <w:szCs w:val="18"/>
    </w:rPr>
  </w:style>
  <w:style w:type="paragraph" w:customStyle="1" w:styleId="100">
    <w:name w:val="标准文件_条文脚注"/>
    <w:basedOn w:val="21"/>
    <w:autoRedefine/>
    <w:qFormat/>
    <w:uiPriority w:val="0"/>
    <w:pPr>
      <w:adjustRightInd w:val="0"/>
      <w:spacing w:line="240" w:lineRule="auto"/>
      <w:ind w:left="0" w:leftChars="0" w:firstLine="200" w:firstLineChars="200"/>
      <w:jc w:val="both"/>
    </w:pPr>
    <w:rPr>
      <w:rFonts w:hAnsi="宋体"/>
    </w:rPr>
  </w:style>
  <w:style w:type="paragraph" w:customStyle="1" w:styleId="101">
    <w:name w:val="标准文件_图表脚注"/>
    <w:basedOn w:val="1"/>
    <w:next w:val="56"/>
    <w:autoRedefine/>
    <w:qFormat/>
    <w:uiPriority w:val="0"/>
    <w:pPr>
      <w:numPr>
        <w:ilvl w:val="0"/>
        <w:numId w:val="12"/>
      </w:numPr>
      <w:spacing w:line="240" w:lineRule="auto"/>
      <w:jc w:val="left"/>
    </w:pPr>
    <w:rPr>
      <w:rFonts w:ascii="宋体" w:hAnsi="宋体"/>
      <w:sz w:val="18"/>
    </w:rPr>
  </w:style>
  <w:style w:type="character" w:customStyle="1" w:styleId="102">
    <w:name w:val="标准文件_图表脚注内容"/>
    <w:autoRedefine/>
    <w:qFormat/>
    <w:uiPriority w:val="0"/>
    <w:rPr>
      <w:rFonts w:ascii="宋体" w:hAnsi="宋体" w:eastAsia="宋体" w:cs="Times New Roman"/>
      <w:spacing w:val="0"/>
      <w:sz w:val="18"/>
      <w:vertAlign w:val="superscript"/>
    </w:rPr>
  </w:style>
  <w:style w:type="paragraph" w:customStyle="1" w:styleId="103">
    <w:name w:val="标准文件_五级条标题"/>
    <w:next w:val="56"/>
    <w:autoRedefine/>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4">
    <w:name w:val="标准文件_章标题"/>
    <w:next w:val="56"/>
    <w:autoRedefine/>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5">
    <w:name w:val="标准文件_一级条标题"/>
    <w:basedOn w:val="104"/>
    <w:next w:val="56"/>
    <w:autoRedefine/>
    <w:qFormat/>
    <w:uiPriority w:val="0"/>
    <w:pPr>
      <w:numPr>
        <w:ilvl w:val="2"/>
      </w:numPr>
      <w:spacing w:before="50" w:beforeLines="50" w:after="50" w:afterLines="50"/>
      <w:outlineLvl w:val="1"/>
    </w:pPr>
  </w:style>
  <w:style w:type="paragraph" w:customStyle="1" w:styleId="106">
    <w:name w:val="标准文件_一致程度"/>
    <w:basedOn w:val="1"/>
    <w:autoRedefine/>
    <w:qFormat/>
    <w:uiPriority w:val="0"/>
    <w:pPr>
      <w:spacing w:line="440" w:lineRule="exact"/>
      <w:jc w:val="center"/>
    </w:pPr>
    <w:rPr>
      <w:sz w:val="28"/>
    </w:rPr>
  </w:style>
  <w:style w:type="paragraph" w:customStyle="1" w:styleId="107">
    <w:name w:val="标准文件_引言标题"/>
    <w:next w:val="1"/>
    <w:autoRedefine/>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8">
    <w:name w:val="标准文件_英文图表脚注"/>
    <w:basedOn w:val="55"/>
    <w:autoRedefine/>
    <w:qFormat/>
    <w:uiPriority w:val="0"/>
    <w:pPr>
      <w:widowControl/>
      <w:adjustRightInd/>
      <w:snapToGrid/>
      <w:spacing w:line="240" w:lineRule="auto"/>
      <w:ind w:left="79" w:hanging="79" w:hangingChars="80"/>
    </w:pPr>
    <w:rPr>
      <w:rFonts w:ascii="宋体" w:hAnsi="宋体"/>
    </w:rPr>
  </w:style>
  <w:style w:type="paragraph" w:customStyle="1" w:styleId="109">
    <w:name w:val="标准文件_数字编号列项（二级）"/>
    <w:autoRedefine/>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0">
    <w:name w:val="标准文件_英文注："/>
    <w:basedOn w:val="1"/>
    <w:next w:val="56"/>
    <w:autoRedefine/>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1">
    <w:name w:val="标准文件_英文注×："/>
    <w:basedOn w:val="1"/>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2">
    <w:name w:val="标准文件_正文表标题"/>
    <w:next w:val="56"/>
    <w:autoRedefine/>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3">
    <w:name w:val="标准文件_正文公式"/>
    <w:basedOn w:val="1"/>
    <w:next w:val="55"/>
    <w:autoRedefine/>
    <w:qFormat/>
    <w:uiPriority w:val="0"/>
    <w:pPr>
      <w:tabs>
        <w:tab w:val="center" w:pos="4678"/>
        <w:tab w:val="right" w:leader="middleDot" w:pos="9356"/>
      </w:tabs>
      <w:spacing w:line="240" w:lineRule="auto"/>
    </w:pPr>
    <w:rPr>
      <w:rFonts w:ascii="宋体" w:hAnsi="宋体"/>
    </w:rPr>
  </w:style>
  <w:style w:type="paragraph" w:customStyle="1" w:styleId="114">
    <w:name w:val="标准文件_正文图标题"/>
    <w:next w:val="56"/>
    <w:autoRedefine/>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5">
    <w:name w:val="标准文件_正文英文表标题"/>
    <w:next w:val="56"/>
    <w:autoRedefine/>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6">
    <w:name w:val="标准文件_正文英文图标题"/>
    <w:next w:val="56"/>
    <w:autoRedefine/>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7">
    <w:name w:val="标准文件_编号列项（三级）"/>
    <w:autoRedefine/>
    <w:qFormat/>
    <w:uiPriority w:val="0"/>
    <w:pPr>
      <w:numPr>
        <w:ilvl w:val="2"/>
        <w:numId w:val="13"/>
      </w:numPr>
    </w:pPr>
    <w:rPr>
      <w:rFonts w:ascii="宋体" w:hAnsi="Times New Roman" w:eastAsia="宋体" w:cs="Times New Roman"/>
      <w:sz w:val="21"/>
      <w:lang w:val="en-US" w:eastAsia="zh-CN" w:bidi="ar-SA"/>
    </w:rPr>
  </w:style>
  <w:style w:type="paragraph" w:customStyle="1" w:styleId="118">
    <w:name w:val="二级无标题条"/>
    <w:basedOn w:val="1"/>
    <w:autoRedefine/>
    <w:qFormat/>
    <w:uiPriority w:val="0"/>
    <w:pPr>
      <w:numPr>
        <w:ilvl w:val="3"/>
        <w:numId w:val="20"/>
      </w:numPr>
      <w:adjustRightInd/>
      <w:spacing w:line="240" w:lineRule="auto"/>
    </w:pPr>
    <w:rPr>
      <w:rFonts w:ascii="宋体" w:hAnsi="宋体"/>
      <w:szCs w:val="24"/>
    </w:rPr>
  </w:style>
  <w:style w:type="paragraph" w:customStyle="1" w:styleId="119">
    <w:name w:val="发布部门"/>
    <w:next w:val="56"/>
    <w:autoRedefine/>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0">
    <w:name w:val="发布日期"/>
    <w:autoRedefine/>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1">
    <w:name w:val="封面标准代替信息"/>
    <w:basedOn w:val="1"/>
    <w:autoRedefine/>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2">
    <w:name w:val="封面标准名称"/>
    <w:autoRedefine/>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3">
    <w:name w:val="封面标准文稿编辑信息"/>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4">
    <w:name w:val="封面标准文稿类别"/>
    <w:autoRedefine/>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5">
    <w:name w:val="封面标准英文名称"/>
    <w:autoRedefine/>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6">
    <w:name w:val="封面一致性程度标识"/>
    <w:autoRedefine/>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7">
    <w:name w:val="封面正文"/>
    <w:autoRedefine/>
    <w:qFormat/>
    <w:uiPriority w:val="0"/>
    <w:pPr>
      <w:jc w:val="both"/>
    </w:pPr>
    <w:rPr>
      <w:rFonts w:ascii="Times New Roman" w:hAnsi="Times New Roman" w:eastAsia="宋体" w:cs="Times New Roman"/>
      <w:lang w:val="en-US" w:eastAsia="zh-CN" w:bidi="ar-SA"/>
    </w:rPr>
  </w:style>
  <w:style w:type="paragraph" w:customStyle="1" w:styleId="128">
    <w:name w:val="附录二级无标题条"/>
    <w:basedOn w:val="1"/>
    <w:next w:val="56"/>
    <w:autoRedefine/>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29">
    <w:name w:val="附录三级无标题条"/>
    <w:basedOn w:val="128"/>
    <w:next w:val="56"/>
    <w:autoRedefine/>
    <w:qFormat/>
    <w:uiPriority w:val="0"/>
    <w:pPr>
      <w:outlineLvl w:val="4"/>
    </w:pPr>
  </w:style>
  <w:style w:type="paragraph" w:customStyle="1" w:styleId="130">
    <w:name w:val="附录四级无标题条"/>
    <w:basedOn w:val="129"/>
    <w:next w:val="56"/>
    <w:autoRedefine/>
    <w:qFormat/>
    <w:uiPriority w:val="0"/>
    <w:pPr>
      <w:outlineLvl w:val="5"/>
    </w:pPr>
  </w:style>
  <w:style w:type="paragraph" w:customStyle="1" w:styleId="131">
    <w:name w:val="附录图"/>
    <w:next w:val="56"/>
    <w:autoRedefine/>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2">
    <w:name w:val="标准文件_一级项"/>
    <w:autoRedefine/>
    <w:qFormat/>
    <w:uiPriority w:val="0"/>
    <w:pPr>
      <w:numPr>
        <w:ilvl w:val="0"/>
        <w:numId w:val="21"/>
      </w:numPr>
    </w:pPr>
    <w:rPr>
      <w:rFonts w:ascii="宋体" w:hAnsi="Times New Roman" w:eastAsia="宋体" w:cs="Times New Roman"/>
      <w:sz w:val="21"/>
      <w:lang w:val="en-US" w:eastAsia="zh-CN" w:bidi="ar-SA"/>
    </w:rPr>
  </w:style>
  <w:style w:type="paragraph" w:customStyle="1" w:styleId="133">
    <w:name w:val="附录五级无标题条"/>
    <w:basedOn w:val="130"/>
    <w:next w:val="56"/>
    <w:autoRedefine/>
    <w:qFormat/>
    <w:uiPriority w:val="0"/>
    <w:pPr>
      <w:outlineLvl w:val="6"/>
    </w:pPr>
  </w:style>
  <w:style w:type="paragraph" w:customStyle="1" w:styleId="134">
    <w:name w:val="附录性质"/>
    <w:basedOn w:val="1"/>
    <w:autoRedefine/>
    <w:qFormat/>
    <w:uiPriority w:val="0"/>
    <w:pPr>
      <w:widowControl/>
      <w:adjustRightInd/>
      <w:jc w:val="center"/>
    </w:pPr>
    <w:rPr>
      <w:rFonts w:ascii="黑体" w:eastAsia="黑体"/>
    </w:rPr>
  </w:style>
  <w:style w:type="paragraph" w:customStyle="1" w:styleId="135">
    <w:name w:val="附录一级无标题条"/>
    <w:basedOn w:val="87"/>
    <w:next w:val="56"/>
    <w:autoRedefine/>
    <w:qFormat/>
    <w:uiPriority w:val="0"/>
    <w:pPr>
      <w:autoSpaceDN w:val="0"/>
      <w:outlineLvl w:val="2"/>
    </w:pPr>
    <w:rPr>
      <w:rFonts w:ascii="宋体" w:hAnsi="宋体" w:eastAsia="宋体"/>
    </w:rPr>
  </w:style>
  <w:style w:type="character" w:customStyle="1" w:styleId="136">
    <w:name w:val="个人答复风格"/>
    <w:autoRedefine/>
    <w:qFormat/>
    <w:uiPriority w:val="0"/>
    <w:rPr>
      <w:rFonts w:ascii="Arial" w:hAnsi="Arial" w:eastAsia="宋体" w:cs="Arial"/>
      <w:color w:val="auto"/>
      <w:spacing w:val="0"/>
      <w:sz w:val="20"/>
    </w:rPr>
  </w:style>
  <w:style w:type="character" w:customStyle="1" w:styleId="137">
    <w:name w:val="个人撰写风格"/>
    <w:autoRedefine/>
    <w:qFormat/>
    <w:uiPriority w:val="0"/>
    <w:rPr>
      <w:rFonts w:ascii="Arial" w:hAnsi="Arial" w:eastAsia="宋体" w:cs="Arial"/>
      <w:color w:val="auto"/>
      <w:spacing w:val="0"/>
      <w:sz w:val="20"/>
    </w:rPr>
  </w:style>
  <w:style w:type="paragraph" w:customStyle="1" w:styleId="138">
    <w:name w:val="脚注后续"/>
    <w:autoRedefine/>
    <w:qFormat/>
    <w:uiPriority w:val="0"/>
    <w:pPr>
      <w:ind w:left="350" w:leftChars="350"/>
      <w:jc w:val="both"/>
    </w:pPr>
    <w:rPr>
      <w:rFonts w:ascii="宋体" w:hAnsi="Times New Roman" w:eastAsia="宋体" w:cs="Times New Roman"/>
      <w:sz w:val="18"/>
      <w:lang w:val="en-US" w:eastAsia="zh-CN" w:bidi="ar-SA"/>
    </w:rPr>
  </w:style>
  <w:style w:type="paragraph" w:customStyle="1" w:styleId="139">
    <w:name w:val="列项——"/>
    <w:autoRedefine/>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0">
    <w:name w:val="列项·"/>
    <w:basedOn w:val="56"/>
    <w:autoRedefine/>
    <w:qFormat/>
    <w:uiPriority w:val="0"/>
    <w:pPr>
      <w:tabs>
        <w:tab w:val="left" w:pos="840"/>
      </w:tabs>
    </w:pPr>
  </w:style>
  <w:style w:type="paragraph" w:customStyle="1" w:styleId="141">
    <w:name w:val="目次、索引正文"/>
    <w:autoRedefine/>
    <w:qFormat/>
    <w:uiPriority w:val="0"/>
    <w:pPr>
      <w:spacing w:line="320" w:lineRule="exact"/>
      <w:jc w:val="both"/>
    </w:pPr>
    <w:rPr>
      <w:rFonts w:ascii="宋体" w:hAnsi="Times New Roman" w:eastAsia="宋体" w:cs="Times New Roman"/>
      <w:sz w:val="21"/>
      <w:lang w:val="en-US" w:eastAsia="zh-CN" w:bidi="ar-SA"/>
    </w:rPr>
  </w:style>
  <w:style w:type="paragraph" w:customStyle="1" w:styleId="142">
    <w:name w:val="目录 21"/>
    <w:basedOn w:val="1"/>
    <w:next w:val="1"/>
    <w:autoRedefine/>
    <w:semiHidden/>
    <w:qFormat/>
    <w:uiPriority w:val="0"/>
    <w:pPr>
      <w:adjustRightInd/>
      <w:spacing w:line="240" w:lineRule="auto"/>
      <w:jc w:val="left"/>
    </w:pPr>
    <w:rPr>
      <w:bCs/>
      <w:iCs/>
    </w:rPr>
  </w:style>
  <w:style w:type="paragraph" w:customStyle="1" w:styleId="143">
    <w:name w:val="目录 31"/>
    <w:basedOn w:val="1"/>
    <w:next w:val="1"/>
    <w:autoRedefine/>
    <w:semiHidden/>
    <w:qFormat/>
    <w:uiPriority w:val="0"/>
    <w:pPr>
      <w:spacing w:line="240" w:lineRule="auto"/>
    </w:pPr>
    <w:rPr>
      <w:rFonts w:ascii="宋体" w:hAnsi="宋体"/>
      <w:iCs/>
    </w:rPr>
  </w:style>
  <w:style w:type="paragraph" w:customStyle="1" w:styleId="144">
    <w:name w:val="目录 41"/>
    <w:basedOn w:val="1"/>
    <w:next w:val="1"/>
    <w:autoRedefine/>
    <w:semiHidden/>
    <w:qFormat/>
    <w:uiPriority w:val="0"/>
    <w:pPr>
      <w:adjustRightInd/>
      <w:spacing w:line="240" w:lineRule="auto"/>
      <w:jc w:val="left"/>
    </w:pPr>
  </w:style>
  <w:style w:type="paragraph" w:customStyle="1" w:styleId="145">
    <w:name w:val="目录 51"/>
    <w:basedOn w:val="1"/>
    <w:next w:val="1"/>
    <w:autoRedefine/>
    <w:semiHidden/>
    <w:uiPriority w:val="0"/>
    <w:pPr>
      <w:spacing w:line="240" w:lineRule="auto"/>
    </w:pPr>
    <w:rPr>
      <w:rFonts w:ascii="宋体" w:hAnsi="宋体"/>
    </w:rPr>
  </w:style>
  <w:style w:type="paragraph" w:customStyle="1" w:styleId="146">
    <w:name w:val="目录 61"/>
    <w:basedOn w:val="1"/>
    <w:next w:val="1"/>
    <w:autoRedefine/>
    <w:semiHidden/>
    <w:qFormat/>
    <w:uiPriority w:val="0"/>
    <w:pPr>
      <w:adjustRightInd/>
      <w:spacing w:line="240" w:lineRule="auto"/>
      <w:jc w:val="left"/>
    </w:pPr>
  </w:style>
  <w:style w:type="paragraph" w:customStyle="1" w:styleId="147">
    <w:name w:val="目录 71"/>
    <w:basedOn w:val="146"/>
    <w:autoRedefine/>
    <w:semiHidden/>
    <w:qFormat/>
    <w:uiPriority w:val="0"/>
    <w:pPr>
      <w:ind w:left="1260"/>
    </w:pPr>
  </w:style>
  <w:style w:type="paragraph" w:customStyle="1" w:styleId="148">
    <w:name w:val="目录 81"/>
    <w:basedOn w:val="147"/>
    <w:autoRedefine/>
    <w:semiHidden/>
    <w:uiPriority w:val="0"/>
    <w:pPr>
      <w:ind w:left="1470"/>
    </w:pPr>
  </w:style>
  <w:style w:type="paragraph" w:customStyle="1" w:styleId="149">
    <w:name w:val="目录 91"/>
    <w:basedOn w:val="148"/>
    <w:autoRedefine/>
    <w:semiHidden/>
    <w:qFormat/>
    <w:uiPriority w:val="0"/>
    <w:pPr>
      <w:ind w:left="1680"/>
    </w:pPr>
  </w:style>
  <w:style w:type="paragraph" w:customStyle="1" w:styleId="150">
    <w:name w:val="其他标准称谓"/>
    <w:autoRedefine/>
    <w:qFormat/>
    <w:uiPriority w:val="0"/>
    <w:pPr>
      <w:spacing w:line="0" w:lineRule="atLeast"/>
      <w:jc w:val="distribute"/>
    </w:pPr>
    <w:rPr>
      <w:rFonts w:ascii="黑体" w:hAnsi="宋体" w:eastAsia="黑体" w:cs="Times New Roman"/>
      <w:sz w:val="52"/>
      <w:lang w:val="en-US" w:eastAsia="zh-CN" w:bidi="ar-SA"/>
    </w:rPr>
  </w:style>
  <w:style w:type="paragraph" w:customStyle="1" w:styleId="151">
    <w:name w:val="其他发布部门"/>
    <w:basedOn w:val="119"/>
    <w:autoRedefine/>
    <w:qFormat/>
    <w:uiPriority w:val="0"/>
    <w:pPr>
      <w:framePr w:wrap="around"/>
      <w:spacing w:line="0" w:lineRule="atLeast"/>
    </w:pPr>
    <w:rPr>
      <w:rFonts w:ascii="黑体" w:eastAsia="黑体"/>
      <w:b w:val="0"/>
    </w:rPr>
  </w:style>
  <w:style w:type="paragraph" w:customStyle="1" w:styleId="152">
    <w:name w:val="前言标题"/>
    <w:next w:val="1"/>
    <w:autoRedefine/>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3">
    <w:name w:val="三级无标题条"/>
    <w:basedOn w:val="1"/>
    <w:uiPriority w:val="0"/>
    <w:pPr>
      <w:numPr>
        <w:ilvl w:val="4"/>
        <w:numId w:val="20"/>
      </w:numPr>
      <w:adjustRightInd/>
      <w:spacing w:line="240" w:lineRule="auto"/>
    </w:pPr>
    <w:rPr>
      <w:rFonts w:ascii="宋体" w:hAnsi="宋体"/>
      <w:szCs w:val="24"/>
    </w:rPr>
  </w:style>
  <w:style w:type="paragraph" w:customStyle="1" w:styleId="154">
    <w:name w:val="实施日期"/>
    <w:basedOn w:val="120"/>
    <w:autoRedefine/>
    <w:qFormat/>
    <w:uiPriority w:val="0"/>
    <w:pPr>
      <w:framePr w:hSpace="0" w:wrap="around" w:xAlign="right"/>
      <w:jc w:val="right"/>
    </w:pPr>
  </w:style>
  <w:style w:type="paragraph" w:customStyle="1" w:styleId="155">
    <w:name w:val="四级无标题条"/>
    <w:basedOn w:val="1"/>
    <w:autoRedefine/>
    <w:qFormat/>
    <w:uiPriority w:val="0"/>
    <w:pPr>
      <w:numPr>
        <w:ilvl w:val="5"/>
        <w:numId w:val="20"/>
      </w:numPr>
      <w:adjustRightInd/>
      <w:spacing w:line="240" w:lineRule="auto"/>
    </w:pPr>
    <w:rPr>
      <w:rFonts w:ascii="宋体" w:hAnsi="宋体"/>
      <w:szCs w:val="24"/>
    </w:rPr>
  </w:style>
  <w:style w:type="paragraph" w:customStyle="1" w:styleId="156">
    <w:name w:val="文献分类号"/>
    <w:autoRedefine/>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7">
    <w:name w:val="无标题条"/>
    <w:next w:val="56"/>
    <w:autoRedefine/>
    <w:qFormat/>
    <w:uiPriority w:val="0"/>
    <w:pPr>
      <w:jc w:val="both"/>
    </w:pPr>
    <w:rPr>
      <w:rFonts w:ascii="宋体" w:hAnsi="宋体" w:eastAsia="宋体" w:cs="Times New Roman"/>
      <w:sz w:val="21"/>
      <w:lang w:val="en-US" w:eastAsia="zh-CN" w:bidi="ar-SA"/>
    </w:rPr>
  </w:style>
  <w:style w:type="paragraph" w:customStyle="1" w:styleId="158">
    <w:name w:val="五级无标题条"/>
    <w:basedOn w:val="1"/>
    <w:qFormat/>
    <w:uiPriority w:val="0"/>
    <w:pPr>
      <w:numPr>
        <w:ilvl w:val="6"/>
        <w:numId w:val="20"/>
      </w:numPr>
      <w:adjustRightInd/>
    </w:pPr>
    <w:rPr>
      <w:szCs w:val="24"/>
    </w:rPr>
  </w:style>
  <w:style w:type="paragraph" w:customStyle="1" w:styleId="159">
    <w:name w:val="一级无标题条"/>
    <w:basedOn w:val="1"/>
    <w:autoRedefine/>
    <w:qFormat/>
    <w:uiPriority w:val="0"/>
    <w:pPr>
      <w:numPr>
        <w:ilvl w:val="2"/>
        <w:numId w:val="20"/>
      </w:numPr>
      <w:adjustRightInd/>
      <w:spacing w:before="10" w:after="10" w:line="240" w:lineRule="auto"/>
    </w:pPr>
    <w:rPr>
      <w:rFonts w:ascii="宋体" w:hAnsi="宋体"/>
      <w:szCs w:val="24"/>
    </w:rPr>
  </w:style>
  <w:style w:type="paragraph" w:customStyle="1" w:styleId="160">
    <w:name w:val="注:后续"/>
    <w:autoRedefine/>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1">
    <w:name w:val="注×:后续"/>
    <w:basedOn w:val="160"/>
    <w:qFormat/>
    <w:uiPriority w:val="0"/>
    <w:pPr>
      <w:ind w:left="1406" w:leftChars="0" w:hanging="499" w:firstLineChars="0"/>
    </w:pPr>
  </w:style>
  <w:style w:type="paragraph" w:customStyle="1" w:styleId="162">
    <w:name w:val="标准文件_一级无标题"/>
    <w:basedOn w:val="105"/>
    <w:qFormat/>
    <w:uiPriority w:val="0"/>
    <w:pPr>
      <w:spacing w:before="0" w:beforeLines="0" w:after="0" w:afterLines="0"/>
      <w:outlineLvl w:val="9"/>
    </w:pPr>
    <w:rPr>
      <w:rFonts w:ascii="宋体" w:eastAsia="宋体"/>
    </w:rPr>
  </w:style>
  <w:style w:type="paragraph" w:customStyle="1" w:styleId="163">
    <w:name w:val="标准文件_五级无标题"/>
    <w:basedOn w:val="103"/>
    <w:qFormat/>
    <w:uiPriority w:val="0"/>
    <w:pPr>
      <w:spacing w:before="0" w:beforeLines="0" w:after="0" w:afterLines="0"/>
      <w:outlineLvl w:val="9"/>
    </w:pPr>
    <w:rPr>
      <w:rFonts w:ascii="宋体" w:eastAsia="宋体"/>
    </w:rPr>
  </w:style>
  <w:style w:type="paragraph" w:customStyle="1" w:styleId="164">
    <w:name w:val="标准文件_三级无标题"/>
    <w:basedOn w:val="94"/>
    <w:autoRedefine/>
    <w:qFormat/>
    <w:uiPriority w:val="0"/>
    <w:pPr>
      <w:spacing w:before="0" w:beforeLines="0" w:after="0" w:afterLines="0"/>
      <w:outlineLvl w:val="9"/>
    </w:pPr>
    <w:rPr>
      <w:rFonts w:ascii="宋体" w:eastAsia="宋体"/>
    </w:rPr>
  </w:style>
  <w:style w:type="paragraph" w:customStyle="1" w:styleId="165">
    <w:name w:val="标准文件_二级无标题"/>
    <w:basedOn w:val="65"/>
    <w:autoRedefine/>
    <w:qFormat/>
    <w:uiPriority w:val="0"/>
    <w:pPr>
      <w:spacing w:before="0" w:beforeLines="0" w:after="0" w:afterLines="0"/>
      <w:outlineLvl w:val="9"/>
    </w:pPr>
    <w:rPr>
      <w:rFonts w:ascii="宋体" w:eastAsia="宋体"/>
    </w:rPr>
  </w:style>
  <w:style w:type="paragraph" w:customStyle="1" w:styleId="166">
    <w:name w:val="标准_四级无标题"/>
    <w:basedOn w:val="98"/>
    <w:next w:val="56"/>
    <w:qFormat/>
    <w:uiPriority w:val="0"/>
    <w:rPr>
      <w:rFonts w:eastAsia="宋体"/>
    </w:rPr>
  </w:style>
  <w:style w:type="paragraph" w:customStyle="1" w:styleId="167">
    <w:name w:val="标准文件_四级无标题"/>
    <w:basedOn w:val="98"/>
    <w:qFormat/>
    <w:uiPriority w:val="0"/>
    <w:pPr>
      <w:spacing w:before="0" w:beforeLines="0" w:after="0" w:afterLines="0"/>
      <w:outlineLvl w:val="9"/>
    </w:pPr>
    <w:rPr>
      <w:rFonts w:ascii="宋体" w:hAnsi="黑体" w:eastAsia="宋体"/>
      <w:szCs w:val="52"/>
    </w:rPr>
  </w:style>
  <w:style w:type="paragraph" w:customStyle="1" w:styleId="168">
    <w:name w:val="标准文件_大写罗马数字编号列项"/>
    <w:basedOn w:val="56"/>
    <w:uiPriority w:val="0"/>
    <w:pPr>
      <w:numPr>
        <w:ilvl w:val="0"/>
        <w:numId w:val="23"/>
      </w:numPr>
      <w:ind w:firstLine="0" w:firstLineChars="0"/>
    </w:pPr>
    <w:rPr>
      <w:rFonts w:ascii="Times New Roman" w:cs="Arial"/>
      <w:szCs w:val="28"/>
    </w:rPr>
  </w:style>
  <w:style w:type="paragraph" w:customStyle="1" w:styleId="169">
    <w:name w:val="标准文件_小写罗马数字编号列项"/>
    <w:basedOn w:val="56"/>
    <w:autoRedefine/>
    <w:qFormat/>
    <w:uiPriority w:val="0"/>
    <w:pPr>
      <w:numPr>
        <w:ilvl w:val="0"/>
        <w:numId w:val="24"/>
      </w:numPr>
      <w:ind w:firstLine="0" w:firstLineChars="0"/>
    </w:pPr>
    <w:rPr>
      <w:rFonts w:cs="Arial"/>
      <w:szCs w:val="28"/>
    </w:rPr>
  </w:style>
  <w:style w:type="paragraph" w:customStyle="1" w:styleId="170">
    <w:name w:val="标准文件_附录标题"/>
    <w:basedOn w:val="76"/>
    <w:autoRedefine/>
    <w:qFormat/>
    <w:uiPriority w:val="0"/>
    <w:pPr>
      <w:numPr>
        <w:numId w:val="0"/>
      </w:numPr>
      <w:spacing w:after="280"/>
      <w:outlineLvl w:val="9"/>
    </w:pPr>
  </w:style>
  <w:style w:type="paragraph" w:customStyle="1" w:styleId="171">
    <w:name w:val="标准文件_二级项"/>
    <w:autoRedefine/>
    <w:qFormat/>
    <w:uiPriority w:val="0"/>
    <w:rPr>
      <w:rFonts w:ascii="宋体" w:hAnsi="Times New Roman" w:eastAsia="宋体" w:cs="Times New Roman"/>
      <w:sz w:val="21"/>
      <w:lang w:val="en-US" w:eastAsia="zh-CN" w:bidi="ar-SA"/>
    </w:rPr>
  </w:style>
  <w:style w:type="paragraph" w:customStyle="1" w:styleId="172">
    <w:name w:val="标准文件_三级项"/>
    <w:basedOn w:val="1"/>
    <w:autoRedefine/>
    <w:qFormat/>
    <w:uiPriority w:val="0"/>
    <w:pPr>
      <w:numPr>
        <w:ilvl w:val="2"/>
        <w:numId w:val="21"/>
      </w:numPr>
      <w:spacing w:line="536870612" w:lineRule="auto"/>
    </w:pPr>
    <w:rPr>
      <w:rFonts w:ascii="Times New Roman" w:hAnsi="Times New Roman"/>
    </w:rPr>
  </w:style>
  <w:style w:type="paragraph" w:customStyle="1" w:styleId="173">
    <w:name w:val="图表脚注说明"/>
    <w:basedOn w:val="1"/>
    <w:next w:val="56"/>
    <w:qFormat/>
    <w:uiPriority w:val="0"/>
    <w:pPr>
      <w:numPr>
        <w:ilvl w:val="0"/>
        <w:numId w:val="25"/>
      </w:numPr>
      <w:adjustRightInd/>
      <w:spacing w:line="240" w:lineRule="auto"/>
    </w:pPr>
    <w:rPr>
      <w:rFonts w:ascii="宋体" w:hAnsi="Times New Roman"/>
      <w:sz w:val="18"/>
      <w:szCs w:val="18"/>
    </w:rPr>
  </w:style>
  <w:style w:type="paragraph" w:customStyle="1" w:styleId="174">
    <w:name w:val="标准文件_字母编号列项（一级）"/>
    <w:autoRedefine/>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5">
    <w:name w:val="标准文件_索引字母"/>
    <w:next w:val="56"/>
    <w:qFormat/>
    <w:uiPriority w:val="0"/>
    <w:pPr>
      <w:jc w:val="center"/>
    </w:pPr>
    <w:rPr>
      <w:rFonts w:ascii="宋体" w:hAnsi="宋体" w:eastAsia="Times New Roman" w:cs="Times New Roman"/>
      <w:b/>
      <w:kern w:val="2"/>
      <w:sz w:val="21"/>
      <w:lang w:val="en-US" w:eastAsia="zh-CN" w:bidi="ar-SA"/>
    </w:rPr>
  </w:style>
  <w:style w:type="paragraph" w:customStyle="1" w:styleId="176">
    <w:name w:val="标准文件_附录前"/>
    <w:next w:val="56"/>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7">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8">
    <w:name w:val="标准文件_表格"/>
    <w:basedOn w:val="56"/>
    <w:qFormat/>
    <w:uiPriority w:val="0"/>
    <w:pPr>
      <w:ind w:firstLine="0" w:firstLineChars="0"/>
      <w:jc w:val="center"/>
    </w:pPr>
    <w:rPr>
      <w:sz w:val="18"/>
    </w:rPr>
  </w:style>
  <w:style w:type="paragraph" w:customStyle="1" w:styleId="179">
    <w:name w:val="标准文件_注："/>
    <w:next w:val="56"/>
    <w:autoRedefine/>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0">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示例："/>
    <w:next w:val="182"/>
    <w:autoRedefine/>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2">
    <w:name w:val="标准文件_示例内容"/>
    <w:basedOn w:val="56"/>
    <w:autoRedefine/>
    <w:qFormat/>
    <w:uiPriority w:val="0"/>
    <w:pPr>
      <w:ind w:firstLine="420"/>
    </w:pPr>
    <w:rPr>
      <w:sz w:val="18"/>
    </w:rPr>
  </w:style>
  <w:style w:type="paragraph" w:customStyle="1" w:styleId="183">
    <w:name w:val="标准文件_示例×："/>
    <w:basedOn w:val="1"/>
    <w:next w:val="182"/>
    <w:autoRedefine/>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4">
    <w:name w:val="标准文件_段 Char"/>
    <w:link w:val="56"/>
    <w:autoRedefine/>
    <w:qFormat/>
    <w:uiPriority w:val="0"/>
    <w:rPr>
      <w:rFonts w:ascii="宋体" w:hAnsi="Times New Roman"/>
      <w:sz w:val="21"/>
    </w:rPr>
  </w:style>
  <w:style w:type="paragraph" w:customStyle="1" w:styleId="185">
    <w:name w:val="标准文件_表格续"/>
    <w:basedOn w:val="56"/>
    <w:next w:val="56"/>
    <w:qFormat/>
    <w:uiPriority w:val="0"/>
    <w:pPr>
      <w:jc w:val="center"/>
    </w:pPr>
    <w:rPr>
      <w:rFonts w:ascii="黑体" w:hAnsi="黑体" w:eastAsia="黑体"/>
    </w:rPr>
  </w:style>
  <w:style w:type="character" w:styleId="186">
    <w:name w:val="Placeholder Text"/>
    <w:basedOn w:val="28"/>
    <w:semiHidden/>
    <w:qFormat/>
    <w:uiPriority w:val="99"/>
    <w:rPr>
      <w:color w:val="808080"/>
    </w:rPr>
  </w:style>
  <w:style w:type="paragraph" w:customStyle="1" w:styleId="187">
    <w:name w:val="标准文件_二级项2"/>
    <w:basedOn w:val="56"/>
    <w:autoRedefine/>
    <w:qFormat/>
    <w:uiPriority w:val="0"/>
    <w:pPr>
      <w:numPr>
        <w:ilvl w:val="1"/>
        <w:numId w:val="21"/>
      </w:numPr>
      <w:ind w:firstLine="0" w:firstLineChars="0"/>
    </w:pPr>
  </w:style>
  <w:style w:type="paragraph" w:customStyle="1" w:styleId="188">
    <w:name w:val="标准文件_三级项2"/>
    <w:basedOn w:val="56"/>
    <w:autoRedefine/>
    <w:qFormat/>
    <w:uiPriority w:val="0"/>
    <w:pPr>
      <w:numPr>
        <w:ilvl w:val="0"/>
        <w:numId w:val="30"/>
      </w:numPr>
      <w:spacing w:line="300" w:lineRule="exact"/>
      <w:ind w:firstLineChars="0"/>
    </w:pPr>
    <w:rPr>
      <w:rFonts w:ascii="Times New Roman"/>
    </w:rPr>
  </w:style>
  <w:style w:type="paragraph" w:customStyle="1" w:styleId="189">
    <w:name w:val="标准文件_一级项2"/>
    <w:basedOn w:val="56"/>
    <w:autoRedefine/>
    <w:qFormat/>
    <w:uiPriority w:val="0"/>
    <w:pPr>
      <w:numPr>
        <w:ilvl w:val="0"/>
        <w:numId w:val="31"/>
      </w:numPr>
      <w:spacing w:line="300" w:lineRule="exact"/>
      <w:ind w:firstLineChars="0"/>
    </w:pPr>
    <w:rPr>
      <w:rFonts w:ascii="Times New Roman"/>
    </w:rPr>
  </w:style>
  <w:style w:type="paragraph" w:customStyle="1" w:styleId="190">
    <w:name w:val="标准文件_提示"/>
    <w:basedOn w:val="56"/>
    <w:next w:val="56"/>
    <w:qFormat/>
    <w:uiPriority w:val="0"/>
    <w:pPr>
      <w:ind w:firstLine="420"/>
    </w:pPr>
    <w:rPr>
      <w:rFonts w:ascii="黑体" w:eastAsia="黑体"/>
    </w:rPr>
  </w:style>
  <w:style w:type="character" w:customStyle="1" w:styleId="191">
    <w:name w:val="标准文件_来源"/>
    <w:basedOn w:val="28"/>
    <w:qFormat/>
    <w:uiPriority w:val="1"/>
    <w:rPr>
      <w:rFonts w:eastAsia="宋体"/>
      <w:sz w:val="21"/>
    </w:rPr>
  </w:style>
  <w:style w:type="paragraph" w:customStyle="1" w:styleId="192">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3">
    <w:name w:val="其他发布日期"/>
    <w:basedOn w:val="120"/>
    <w:qFormat/>
    <w:uiPriority w:val="0"/>
    <w:pPr>
      <w:framePr w:w="3997" w:h="471" w:hRule="exact" w:hSpace="0" w:vSpace="181" w:wrap="around" w:vAnchor="page" w:hAnchor="page" w:x="1419" w:y="14097"/>
    </w:pPr>
  </w:style>
  <w:style w:type="paragraph" w:customStyle="1" w:styleId="194">
    <w:name w:val="其他实施日期"/>
    <w:basedOn w:val="154"/>
    <w:qFormat/>
    <w:uiPriority w:val="0"/>
    <w:pPr>
      <w:framePr w:w="3997" w:h="471" w:hRule="exact" w:vSpace="181" w:wrap="around" w:vAnchor="page" w:hAnchor="page" w:x="7089" w:y="14097"/>
    </w:pPr>
  </w:style>
  <w:style w:type="paragraph" w:customStyle="1" w:styleId="195">
    <w:name w:val="标准文件_文件编号"/>
    <w:basedOn w:val="56"/>
    <w:autoRedefine/>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6">
    <w:name w:val="标准文件_替换文件编号"/>
    <w:basedOn w:val="195"/>
    <w:autoRedefine/>
    <w:qFormat/>
    <w:uiPriority w:val="0"/>
    <w:pPr>
      <w:framePr/>
      <w:spacing w:before="57"/>
    </w:pPr>
    <w:rPr>
      <w:sz w:val="21"/>
    </w:rPr>
  </w:style>
  <w:style w:type="paragraph" w:customStyle="1" w:styleId="197">
    <w:name w:val="标准文件_文件名称"/>
    <w:basedOn w:val="56"/>
    <w:next w:val="56"/>
    <w:autoRedefine/>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8">
    <w:name w:val="标准文件_附录图标号"/>
    <w:basedOn w:val="56"/>
    <w:next w:val="56"/>
    <w:autoRedefine/>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199">
    <w:name w:val="标准文件_附录表标号"/>
    <w:basedOn w:val="56"/>
    <w:next w:val="56"/>
    <w:autoRedefine/>
    <w:qFormat/>
    <w:uiPriority w:val="0"/>
    <w:pPr>
      <w:numPr>
        <w:ilvl w:val="0"/>
        <w:numId w:val="5"/>
      </w:numPr>
      <w:spacing w:line="14" w:lineRule="exact"/>
      <w:ind w:firstLine="0" w:firstLineChars="0"/>
      <w:jc w:val="center"/>
    </w:pPr>
    <w:rPr>
      <w:rFonts w:eastAsia="黑体"/>
      <w:vanish/>
      <w:sz w:val="2"/>
    </w:rPr>
  </w:style>
  <w:style w:type="paragraph" w:customStyle="1" w:styleId="200">
    <w:name w:val="标准文件_引言一级条标题"/>
    <w:basedOn w:val="56"/>
    <w:next w:val="56"/>
    <w:autoRedefine/>
    <w:qFormat/>
    <w:uiPriority w:val="0"/>
    <w:pPr>
      <w:numPr>
        <w:ilvl w:val="1"/>
        <w:numId w:val="8"/>
      </w:numPr>
      <w:spacing w:before="50" w:beforeLines="50" w:after="50" w:afterLines="50"/>
      <w:ind w:firstLineChars="0"/>
    </w:pPr>
    <w:rPr>
      <w:rFonts w:ascii="黑体" w:eastAsia="黑体"/>
    </w:rPr>
  </w:style>
  <w:style w:type="paragraph" w:customStyle="1" w:styleId="201">
    <w:name w:val="标准文件_引言二级条标题"/>
    <w:basedOn w:val="56"/>
    <w:next w:val="56"/>
    <w:autoRedefine/>
    <w:qFormat/>
    <w:uiPriority w:val="0"/>
    <w:pPr>
      <w:numPr>
        <w:ilvl w:val="2"/>
        <w:numId w:val="8"/>
      </w:numPr>
      <w:spacing w:before="50" w:beforeLines="50" w:after="50" w:afterLines="50"/>
      <w:ind w:firstLineChars="0"/>
    </w:pPr>
    <w:rPr>
      <w:rFonts w:ascii="黑体" w:eastAsia="黑体"/>
    </w:rPr>
  </w:style>
  <w:style w:type="paragraph" w:customStyle="1" w:styleId="202">
    <w:name w:val="标准文件_引言三级条标题"/>
    <w:basedOn w:val="56"/>
    <w:next w:val="56"/>
    <w:qFormat/>
    <w:uiPriority w:val="0"/>
    <w:pPr>
      <w:numPr>
        <w:ilvl w:val="3"/>
        <w:numId w:val="8"/>
      </w:numPr>
      <w:spacing w:before="50" w:beforeLines="50" w:after="50" w:afterLines="50"/>
      <w:ind w:firstLineChars="0"/>
    </w:pPr>
    <w:rPr>
      <w:rFonts w:ascii="黑体" w:eastAsia="黑体"/>
    </w:rPr>
  </w:style>
  <w:style w:type="paragraph" w:customStyle="1" w:styleId="203">
    <w:name w:val="标准文件_引言四级条标题"/>
    <w:basedOn w:val="56"/>
    <w:next w:val="56"/>
    <w:autoRedefine/>
    <w:qFormat/>
    <w:uiPriority w:val="0"/>
    <w:pPr>
      <w:numPr>
        <w:ilvl w:val="4"/>
        <w:numId w:val="8"/>
      </w:numPr>
      <w:spacing w:before="50" w:beforeLines="50" w:after="50" w:afterLines="50"/>
      <w:ind w:firstLineChars="0"/>
    </w:pPr>
    <w:rPr>
      <w:rFonts w:ascii="黑体" w:eastAsia="黑体"/>
    </w:rPr>
  </w:style>
  <w:style w:type="paragraph" w:customStyle="1" w:styleId="204">
    <w:name w:val="标准文件_引言五级条标题"/>
    <w:basedOn w:val="56"/>
    <w:next w:val="56"/>
    <w:qFormat/>
    <w:uiPriority w:val="0"/>
    <w:pPr>
      <w:numPr>
        <w:ilvl w:val="5"/>
        <w:numId w:val="8"/>
      </w:numPr>
      <w:spacing w:before="50" w:beforeLines="50" w:after="50" w:afterLines="50"/>
      <w:ind w:firstLineChars="0"/>
    </w:pPr>
    <w:rPr>
      <w:rFonts w:ascii="黑体" w:eastAsia="黑体"/>
    </w:rPr>
  </w:style>
  <w:style w:type="paragraph" w:customStyle="1" w:styleId="205">
    <w:name w:val="标准文件_注后"/>
    <w:basedOn w:val="56"/>
    <w:qFormat/>
    <w:uiPriority w:val="0"/>
    <w:pPr>
      <w:ind w:left="811" w:firstLine="0" w:firstLineChars="0"/>
    </w:pPr>
    <w:rPr>
      <w:sz w:val="18"/>
    </w:rPr>
  </w:style>
  <w:style w:type="paragraph" w:customStyle="1" w:styleId="206">
    <w:name w:val="标准文件_注X后"/>
    <w:basedOn w:val="56"/>
    <w:qFormat/>
    <w:uiPriority w:val="0"/>
    <w:pPr>
      <w:ind w:left="811" w:firstLine="0" w:firstLineChars="0"/>
    </w:pPr>
    <w:rPr>
      <w:sz w:val="18"/>
    </w:rPr>
  </w:style>
  <w:style w:type="paragraph" w:customStyle="1" w:styleId="207">
    <w:name w:val="标准文件_示例后"/>
    <w:basedOn w:val="56"/>
    <w:qFormat/>
    <w:uiPriority w:val="0"/>
    <w:pPr>
      <w:ind w:left="964" w:firstLine="0" w:firstLineChars="0"/>
    </w:pPr>
    <w:rPr>
      <w:sz w:val="18"/>
    </w:rPr>
  </w:style>
  <w:style w:type="paragraph" w:customStyle="1" w:styleId="208">
    <w:name w:val="标准文件_示例X后"/>
    <w:basedOn w:val="56"/>
    <w:link w:val="209"/>
    <w:autoRedefine/>
    <w:qFormat/>
    <w:uiPriority w:val="0"/>
    <w:pPr>
      <w:ind w:left="1049" w:firstLine="0" w:firstLineChars="0"/>
    </w:pPr>
    <w:rPr>
      <w:sz w:val="18"/>
    </w:rPr>
  </w:style>
  <w:style w:type="character" w:customStyle="1" w:styleId="209">
    <w:name w:val="标准文件_示例X后 字符"/>
    <w:basedOn w:val="184"/>
    <w:link w:val="208"/>
    <w:qFormat/>
    <w:uiPriority w:val="0"/>
    <w:rPr>
      <w:rFonts w:ascii="宋体" w:hAnsi="Times New Roman"/>
      <w:sz w:val="18"/>
    </w:rPr>
  </w:style>
  <w:style w:type="paragraph" w:customStyle="1" w:styleId="210">
    <w:name w:val="标准文件_索引项"/>
    <w:basedOn w:val="56"/>
    <w:next w:val="56"/>
    <w:qFormat/>
    <w:uiPriority w:val="0"/>
    <w:pPr>
      <w:tabs>
        <w:tab w:val="right" w:leader="dot" w:pos="9356"/>
      </w:tabs>
      <w:ind w:left="210" w:hanging="210" w:firstLineChars="0"/>
      <w:jc w:val="left"/>
    </w:pPr>
  </w:style>
  <w:style w:type="paragraph" w:customStyle="1" w:styleId="211">
    <w:name w:val="标准文件_附录一级无标题"/>
    <w:basedOn w:val="78"/>
    <w:qFormat/>
    <w:uiPriority w:val="0"/>
    <w:pPr>
      <w:spacing w:before="0" w:beforeLines="0" w:after="0" w:afterLines="0" w:line="276" w:lineRule="auto"/>
      <w:outlineLvl w:val="9"/>
    </w:pPr>
    <w:rPr>
      <w:rFonts w:ascii="宋体" w:eastAsia="宋体"/>
    </w:rPr>
  </w:style>
  <w:style w:type="paragraph" w:customStyle="1" w:styleId="212">
    <w:name w:val="标准文件_附录二级无标题"/>
    <w:basedOn w:val="79"/>
    <w:uiPriority w:val="0"/>
    <w:pPr>
      <w:spacing w:before="0" w:beforeLines="0" w:after="0" w:afterLines="0" w:line="276" w:lineRule="auto"/>
      <w:outlineLvl w:val="9"/>
    </w:pPr>
    <w:rPr>
      <w:rFonts w:ascii="宋体" w:eastAsia="宋体"/>
    </w:rPr>
  </w:style>
  <w:style w:type="paragraph" w:customStyle="1" w:styleId="213">
    <w:name w:val="标准文件_附录三级无标题"/>
    <w:basedOn w:val="81"/>
    <w:qFormat/>
    <w:uiPriority w:val="0"/>
    <w:pPr>
      <w:spacing w:before="0" w:beforeLines="0" w:after="0" w:afterLines="0" w:line="276" w:lineRule="auto"/>
      <w:outlineLvl w:val="9"/>
    </w:pPr>
    <w:rPr>
      <w:rFonts w:ascii="宋体" w:eastAsia="宋体"/>
    </w:rPr>
  </w:style>
  <w:style w:type="paragraph" w:customStyle="1" w:styleId="214">
    <w:name w:val="标准文件_附录四级无标题"/>
    <w:basedOn w:val="82"/>
    <w:qFormat/>
    <w:uiPriority w:val="0"/>
    <w:pPr>
      <w:spacing w:before="0" w:beforeLines="0" w:after="0" w:afterLines="0" w:line="276" w:lineRule="auto"/>
      <w:outlineLvl w:val="9"/>
    </w:pPr>
    <w:rPr>
      <w:rFonts w:ascii="宋体" w:eastAsia="宋体"/>
    </w:rPr>
  </w:style>
  <w:style w:type="paragraph" w:customStyle="1" w:styleId="215">
    <w:name w:val="标准文件_附录五级无标题"/>
    <w:basedOn w:val="84"/>
    <w:qFormat/>
    <w:uiPriority w:val="0"/>
    <w:pPr>
      <w:spacing w:before="0" w:beforeLines="0" w:after="0" w:afterLines="0" w:line="276" w:lineRule="auto"/>
      <w:outlineLvl w:val="9"/>
    </w:pPr>
    <w:rPr>
      <w:rFonts w:ascii="宋体" w:eastAsia="宋体"/>
    </w:rPr>
  </w:style>
  <w:style w:type="paragraph" w:customStyle="1" w:styleId="216">
    <w:name w:val="标准文件_引言一级无标题"/>
    <w:basedOn w:val="200"/>
    <w:next w:val="56"/>
    <w:autoRedefine/>
    <w:qFormat/>
    <w:uiPriority w:val="0"/>
    <w:pPr>
      <w:spacing w:before="0" w:beforeLines="0" w:after="0" w:afterLines="0" w:line="276" w:lineRule="auto"/>
    </w:pPr>
    <w:rPr>
      <w:rFonts w:ascii="宋体" w:eastAsia="宋体"/>
    </w:rPr>
  </w:style>
  <w:style w:type="paragraph" w:customStyle="1" w:styleId="217">
    <w:name w:val="标准文件_引言二级无标题"/>
    <w:basedOn w:val="201"/>
    <w:next w:val="56"/>
    <w:qFormat/>
    <w:uiPriority w:val="0"/>
    <w:pPr>
      <w:spacing w:before="0" w:beforeLines="0" w:after="0" w:afterLines="0" w:line="276" w:lineRule="auto"/>
    </w:pPr>
    <w:rPr>
      <w:rFonts w:ascii="宋体" w:eastAsia="宋体"/>
    </w:rPr>
  </w:style>
  <w:style w:type="paragraph" w:customStyle="1" w:styleId="218">
    <w:name w:val="标准文件_引言三级无标题"/>
    <w:basedOn w:val="202"/>
    <w:autoRedefine/>
    <w:qFormat/>
    <w:uiPriority w:val="0"/>
    <w:pPr>
      <w:spacing w:before="0" w:beforeLines="0" w:after="0" w:afterLines="0" w:line="276" w:lineRule="auto"/>
    </w:pPr>
    <w:rPr>
      <w:rFonts w:ascii="宋体" w:eastAsia="宋体"/>
    </w:rPr>
  </w:style>
  <w:style w:type="paragraph" w:customStyle="1" w:styleId="219">
    <w:name w:val="标准文件_引言四级无标题"/>
    <w:basedOn w:val="203"/>
    <w:next w:val="56"/>
    <w:autoRedefine/>
    <w:qFormat/>
    <w:uiPriority w:val="0"/>
    <w:pPr>
      <w:spacing w:before="0" w:beforeLines="0" w:after="0" w:afterLines="0" w:line="276" w:lineRule="auto"/>
    </w:pPr>
    <w:rPr>
      <w:rFonts w:ascii="宋体" w:eastAsia="宋体"/>
    </w:rPr>
  </w:style>
  <w:style w:type="paragraph" w:customStyle="1" w:styleId="220">
    <w:name w:val="标准文件_引言五级无标题"/>
    <w:basedOn w:val="204"/>
    <w:next w:val="56"/>
    <w:qFormat/>
    <w:uiPriority w:val="0"/>
    <w:pPr>
      <w:spacing w:before="0" w:beforeLines="0" w:after="0" w:afterLines="0" w:line="276" w:lineRule="auto"/>
    </w:pPr>
    <w:rPr>
      <w:rFonts w:ascii="宋体" w:eastAsia="宋体"/>
    </w:rPr>
  </w:style>
  <w:style w:type="paragraph" w:customStyle="1" w:styleId="221">
    <w:name w:val="标准文件_索引标题"/>
    <w:basedOn w:val="63"/>
    <w:next w:val="56"/>
    <w:autoRedefine/>
    <w:qFormat/>
    <w:uiPriority w:val="0"/>
    <w:rPr>
      <w:rFonts w:hAnsi="黑体"/>
    </w:rPr>
  </w:style>
  <w:style w:type="paragraph" w:customStyle="1" w:styleId="222">
    <w:name w:val="标准文件_脚注内容"/>
    <w:basedOn w:val="56"/>
    <w:qFormat/>
    <w:uiPriority w:val="0"/>
    <w:pPr>
      <w:ind w:left="400" w:leftChars="200" w:hanging="200" w:hangingChars="200"/>
    </w:pPr>
    <w:rPr>
      <w:sz w:val="15"/>
    </w:rPr>
  </w:style>
  <w:style w:type="paragraph" w:customStyle="1" w:styleId="223">
    <w:name w:val="标准文件_术语条一"/>
    <w:basedOn w:val="162"/>
    <w:next w:val="56"/>
    <w:qFormat/>
    <w:uiPriority w:val="0"/>
  </w:style>
  <w:style w:type="paragraph" w:customStyle="1" w:styleId="224">
    <w:name w:val="标准文件_术语条二"/>
    <w:basedOn w:val="165"/>
    <w:next w:val="56"/>
    <w:qFormat/>
    <w:uiPriority w:val="0"/>
  </w:style>
  <w:style w:type="paragraph" w:customStyle="1" w:styleId="225">
    <w:name w:val="标准文件_术语条三"/>
    <w:basedOn w:val="164"/>
    <w:next w:val="56"/>
    <w:qFormat/>
    <w:uiPriority w:val="0"/>
  </w:style>
  <w:style w:type="paragraph" w:customStyle="1" w:styleId="226">
    <w:name w:val="标准文件_术语条四"/>
    <w:basedOn w:val="167"/>
    <w:next w:val="56"/>
    <w:autoRedefine/>
    <w:qFormat/>
    <w:uiPriority w:val="0"/>
  </w:style>
  <w:style w:type="paragraph" w:customStyle="1" w:styleId="227">
    <w:name w:val="标准文件_术语条五"/>
    <w:basedOn w:val="163"/>
    <w:next w:val="56"/>
    <w:autoRedefine/>
    <w:qFormat/>
    <w:uiPriority w:val="0"/>
  </w:style>
  <w:style w:type="paragraph" w:customStyle="1" w:styleId="228">
    <w:name w:val="Defaul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29">
    <w:name w:val="发布"/>
    <w:basedOn w:val="28"/>
    <w:qFormat/>
    <w:uiPriority w:val="0"/>
    <w:rPr>
      <w:rFonts w:ascii="黑体" w:eastAsia="黑体"/>
      <w:spacing w:val="85"/>
      <w:w w:val="100"/>
      <w:position w:val="3"/>
      <w:sz w:val="28"/>
      <w:szCs w:val="28"/>
    </w:rPr>
  </w:style>
  <w:style w:type="paragraph" w:customStyle="1" w:styleId="230">
    <w:name w:val="段"/>
    <w:link w:val="237"/>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231">
    <w:name w:val="一级条标题"/>
    <w:next w:val="230"/>
    <w:qFormat/>
    <w:uiPriority w:val="0"/>
    <w:pPr>
      <w:numPr>
        <w:ilvl w:val="1"/>
        <w:numId w:val="32"/>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232">
    <w:name w:val="章标题"/>
    <w:next w:val="230"/>
    <w:qFormat/>
    <w:uiPriority w:val="0"/>
    <w:pPr>
      <w:numPr>
        <w:ilvl w:val="0"/>
        <w:numId w:val="32"/>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233">
    <w:name w:val="二级条标题"/>
    <w:basedOn w:val="231"/>
    <w:next w:val="230"/>
    <w:qFormat/>
    <w:uiPriority w:val="0"/>
    <w:pPr>
      <w:numPr>
        <w:ilvl w:val="2"/>
      </w:numPr>
      <w:spacing w:before="50" w:after="50"/>
      <w:outlineLvl w:val="3"/>
    </w:pPr>
  </w:style>
  <w:style w:type="paragraph" w:customStyle="1" w:styleId="234">
    <w:name w:val="三级条标题"/>
    <w:basedOn w:val="233"/>
    <w:next w:val="230"/>
    <w:uiPriority w:val="0"/>
    <w:pPr>
      <w:numPr>
        <w:ilvl w:val="3"/>
      </w:numPr>
      <w:outlineLvl w:val="4"/>
    </w:pPr>
  </w:style>
  <w:style w:type="paragraph" w:customStyle="1" w:styleId="235">
    <w:name w:val="四级条标题"/>
    <w:basedOn w:val="234"/>
    <w:next w:val="230"/>
    <w:autoRedefine/>
    <w:qFormat/>
    <w:uiPriority w:val="0"/>
    <w:pPr>
      <w:numPr>
        <w:ilvl w:val="4"/>
      </w:numPr>
      <w:outlineLvl w:val="5"/>
    </w:pPr>
  </w:style>
  <w:style w:type="paragraph" w:customStyle="1" w:styleId="236">
    <w:name w:val="五级条标题"/>
    <w:basedOn w:val="235"/>
    <w:next w:val="230"/>
    <w:uiPriority w:val="0"/>
    <w:pPr>
      <w:numPr>
        <w:ilvl w:val="5"/>
      </w:numPr>
      <w:outlineLvl w:val="6"/>
    </w:pPr>
  </w:style>
  <w:style w:type="character" w:customStyle="1" w:styleId="237">
    <w:name w:val="段 Char"/>
    <w:basedOn w:val="28"/>
    <w:link w:val="230"/>
    <w:qFormat/>
    <w:uiPriority w:val="0"/>
    <w:rPr>
      <w:rFonts w:ascii="宋体" w:hAnsi="Times New Roman"/>
      <w:sz w:val="21"/>
    </w:rPr>
  </w:style>
  <w:style w:type="paragraph" w:customStyle="1" w:styleId="238">
    <w:name w:val="数字编号列项（二级）"/>
    <w:qFormat/>
    <w:uiPriority w:val="0"/>
    <w:pPr>
      <w:tabs>
        <w:tab w:val="left" w:pos="1260"/>
      </w:tabs>
      <w:ind w:left="1259" w:hanging="419"/>
      <w:jc w:val="both"/>
    </w:pPr>
    <w:rPr>
      <w:rFonts w:ascii="宋体" w:hAnsi="Times New Roman" w:eastAsia="宋体" w:cs="Times New Roman"/>
      <w:sz w:val="21"/>
      <w:lang w:val="en-US" w:eastAsia="zh-CN" w:bidi="ar-SA"/>
    </w:rPr>
  </w:style>
  <w:style w:type="paragraph" w:customStyle="1" w:styleId="239">
    <w:name w:val="字母编号列项（一级）"/>
    <w:autoRedefine/>
    <w:qFormat/>
    <w:uiPriority w:val="0"/>
    <w:pPr>
      <w:tabs>
        <w:tab w:val="left" w:pos="840"/>
      </w:tabs>
      <w:ind w:left="839" w:hanging="419"/>
      <w:jc w:val="both"/>
    </w:pPr>
    <w:rPr>
      <w:rFonts w:ascii="宋体" w:hAnsi="Times New Roman" w:eastAsia="宋体" w:cs="Times New Roman"/>
      <w:sz w:val="21"/>
      <w:lang w:val="en-US" w:eastAsia="zh-CN" w:bidi="ar-SA"/>
    </w:rPr>
  </w:style>
  <w:style w:type="paragraph" w:customStyle="1" w:styleId="240">
    <w:name w:val="编号列项（三级）"/>
    <w:qFormat/>
    <w:uiPriority w:val="0"/>
    <w:pPr>
      <w:tabs>
        <w:tab w:val="left" w:pos="0"/>
      </w:tabs>
      <w:ind w:left="1679" w:hanging="420"/>
    </w:pPr>
    <w:rPr>
      <w:rFonts w:ascii="宋体" w:hAnsi="Times New Roman" w:eastAsia="宋体" w:cs="Times New Roman"/>
      <w:sz w:val="21"/>
      <w:lang w:val="en-US" w:eastAsia="zh-CN" w:bidi="ar-SA"/>
    </w:rPr>
  </w:style>
  <w:style w:type="paragraph" w:customStyle="1" w:styleId="241">
    <w:name w:val="二级无"/>
    <w:basedOn w:val="233"/>
    <w:qFormat/>
    <w:uiPriority w:val="0"/>
    <w:pPr>
      <w:spacing w:before="0" w:beforeLines="0" w:after="0" w:afterLines="0"/>
    </w:pPr>
    <w:rPr>
      <w:rFonts w:ascii="宋体" w:eastAsia="宋体"/>
    </w:rPr>
  </w:style>
  <w:style w:type="paragraph" w:customStyle="1" w:styleId="242">
    <w:name w:val="正文表标题"/>
    <w:next w:val="230"/>
    <w:autoRedefine/>
    <w:qFormat/>
    <w:uiPriority w:val="0"/>
    <w:pPr>
      <w:tabs>
        <w:tab w:val="left" w:pos="360"/>
      </w:tabs>
      <w:spacing w:before="156" w:beforeLines="50" w:after="156" w:afterLines="50"/>
      <w:jc w:val="center"/>
    </w:pPr>
    <w:rPr>
      <w:rFonts w:ascii="黑体" w:hAnsi="Times New Roman" w:eastAsia="黑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glossaryDocument" Target="glossary/document.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131538D46CC04262B92FE460C992DCAA"/>
        <w:style w:val=""/>
        <w:category>
          <w:name w:val="常规"/>
          <w:gallery w:val="placeholder"/>
        </w:category>
        <w:types>
          <w:type w:val="bbPlcHdr"/>
        </w:types>
        <w:behaviors>
          <w:behavior w:val="content"/>
        </w:behaviors>
        <w:description w:val=""/>
        <w:guid w:val="{1A9F1651-7B06-4A01-A1EC-64E19F8ABC5A}"/>
      </w:docPartPr>
      <w:docPartBody>
        <w:p>
          <w:pPr>
            <w:pStyle w:val="5"/>
          </w:pPr>
          <w:r>
            <w:rPr>
              <w:rStyle w:val="4"/>
              <w:rFonts w:hint="eastAsia"/>
            </w:rPr>
            <w:t>单击或点击此处输入文字。</w:t>
          </w:r>
        </w:p>
      </w:docPartBody>
    </w:docPart>
    <w:docPart>
      <w:docPartPr>
        <w:name w:val="97282D82C7904029B405AE33DCA45B75"/>
        <w:style w:val=""/>
        <w:category>
          <w:name w:val="常规"/>
          <w:gallery w:val="placeholder"/>
        </w:category>
        <w:types>
          <w:type w:val="bbPlcHdr"/>
        </w:types>
        <w:behaviors>
          <w:behavior w:val="content"/>
        </w:behaviors>
        <w:description w:val=""/>
        <w:guid w:val="{B27591E2-1101-4451-BCD8-569575D1FC45}"/>
      </w:docPartPr>
      <w:docPartBody>
        <w:p>
          <w:pPr>
            <w:pStyle w:val="6"/>
          </w:pPr>
          <w:r>
            <w:rPr>
              <w:rStyle w:val="4"/>
              <w:rFonts w:hint="eastAsia"/>
            </w:rPr>
            <w:t>选择一项。</w:t>
          </w:r>
        </w:p>
      </w:docPartBody>
    </w:docPart>
    <w:docPart>
      <w:docPartPr>
        <w:name w:val="965220524D0649CAB044960133EF8059"/>
        <w:style w:val=""/>
        <w:category>
          <w:name w:val="常规"/>
          <w:gallery w:val="placeholder"/>
        </w:category>
        <w:types>
          <w:type w:val="bbPlcHdr"/>
        </w:types>
        <w:behaviors>
          <w:behavior w:val="content"/>
        </w:behaviors>
        <w:description w:val=""/>
        <w:guid w:val="{5AC7524A-A715-411E-AE17-ECBED266BBB2}"/>
      </w:docPartPr>
      <w:docPartBody>
        <w:p>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86"/>
    <w:rsid w:val="00344486"/>
    <w:rsid w:val="006B57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uiPriority="99" w:name="Normal Table"/>
    <w:lsdException w:qFormat="1" w:unhideWhenUsed="0" w:uiPriority="99" w:name="Placeholder Text"/>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2">
    <w:name w:val="Default Paragraph Font"/>
    <w:autoRedefine/>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autoRedefine/>
    <w:semiHidden/>
    <w:qFormat/>
    <w:uiPriority w:val="99"/>
    <w:rPr>
      <w:color w:val="808080"/>
    </w:rPr>
  </w:style>
  <w:style w:type="paragraph" w:customStyle="1" w:styleId="5">
    <w:name w:val="131538D46CC04262B92FE460C992DCAA"/>
    <w:autoRedefine/>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6">
    <w:name w:val="97282D82C7904029B405AE33DCA45B75"/>
    <w:autoRedefine/>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7">
    <w:name w:val="965220524D0649CAB044960133EF8059"/>
    <w:autoRedefine/>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F03465-9310-430F-A8A0-DFC80D2CA8A6}">
  <ds:schemaRefs/>
</ds:datastoreItem>
</file>

<file path=docProps/app.xml><?xml version="1.0" encoding="utf-8"?>
<Properties xmlns="http://schemas.openxmlformats.org/officeDocument/2006/extended-properties" xmlns:vt="http://schemas.openxmlformats.org/officeDocument/2006/docPropsVTypes">
  <Template>地方标准</Template>
  <Company>PCMI</Company>
  <Pages>14</Pages>
  <Words>4669</Words>
  <Characters>5837</Characters>
  <Lines>972</Lines>
  <Paragraphs>875</Paragraphs>
  <TotalTime>1</TotalTime>
  <ScaleCrop>false</ScaleCrop>
  <LinksUpToDate>false</LinksUpToDate>
  <CharactersWithSpaces>9631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2024-04-19T02:04:00Z</dcterms:created>
  <dc:creator>陈钧</dc:creator>
  <dc:description>&lt;config cover="true" show_menu="true" version="1.0.0" doctype="SDKXY"&gt;_x000d_
&lt;/config&gt;</dc:description>
  <cp:lastModifiedBy>牛肝菌呛拌芒果</cp:lastModifiedBy>
  <cp:lastPrinted>2020-08-30T10:00:00Z</cp:lastPrinted>
  <dcterms:modified xsi:type="dcterms:W3CDTF">2024-04-19T02:33:11Z</dcterms:modified>
  <dc:title>地方标准</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2052-12.1.0.16729</vt:lpwstr>
  </property>
  <property fmtid="{D5CDD505-2E9C-101B-9397-08002B2CF9AE}" pid="15" name="ICV">
    <vt:lpwstr>DD0FE7038B824290AD6811CE00F7F38F_12</vt:lpwstr>
  </property>
</Properties>
</file>