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45" w:name="_GoBack"/>
            <w:bookmarkEnd w:id="45"/>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67.080.1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B31     </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5301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昆明市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5301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地理标志产品  富民杨梅</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昆明市市场监督管理局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本文件根据国家知识产权局颁布的2023年第80号《地理标志产品保护办法》及GB/T 17924-2008《地理标志产品标准通用要求》制定。</w:t>
      </w:r>
    </w:p>
    <w:p>
      <w:pPr>
        <w:pStyle w:val="56"/>
        <w:ind w:firstLine="420"/>
        <w:rPr>
          <w:szCs w:val="21"/>
        </w:rPr>
      </w:pPr>
      <w:r>
        <w:rPr>
          <w:rFonts w:hint="eastAsia" w:hAnsi="宋体"/>
        </w:rPr>
        <w:t>请注意本文件的某些内容可能涉及专利。本文件的发布机构不承担识别专利的责任。</w:t>
      </w:r>
    </w:p>
    <w:p>
      <w:pPr>
        <w:pStyle w:val="56"/>
        <w:ind w:firstLine="420"/>
      </w:pPr>
      <w:r>
        <w:rPr>
          <w:rFonts w:hint="eastAsia" w:hAnsi="宋体"/>
        </w:rPr>
        <w:t>本文件由富民县农业农村局提出并归口。</w:t>
      </w:r>
    </w:p>
    <w:p>
      <w:pPr>
        <w:pStyle w:val="56"/>
        <w:ind w:firstLine="420"/>
      </w:pPr>
      <w:r>
        <w:rPr>
          <w:rFonts w:hint="eastAsia" w:hAnsi="宋体"/>
        </w:rPr>
        <w:t>本文件起草单位：富民县市场监督管理局、富民县农业农村局、云南省农业科学院园艺作物研究所。</w:t>
      </w:r>
    </w:p>
    <w:p>
      <w:pPr>
        <w:pStyle w:val="56"/>
        <w:ind w:firstLine="420"/>
      </w:pPr>
      <w:r>
        <w:rPr>
          <w:rFonts w:hint="eastAsia"/>
        </w:rPr>
        <w:t>本文件主要起草人：张石洪、张德华、陈霞、杨建松、周艺、翟家胜、薛敏、李银华、高正清、刘家迅。</w:t>
      </w:r>
    </w:p>
    <w:p>
      <w:pPr>
        <w:pStyle w:val="56"/>
        <w:ind w:firstLine="420"/>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876C756A0ACE461BB5FE40B8B37B332F"/>
        </w:placeholder>
      </w:sdtPr>
      <w:sdtContent>
        <w:p>
          <w:pPr>
            <w:pStyle w:val="177"/>
            <w:spacing w:before="3" w:beforeLines="1" w:after="686" w:afterLines="220"/>
          </w:pPr>
          <w:bookmarkStart w:id="23" w:name="NEW_STAND_NAME"/>
          <w:r>
            <w:rPr>
              <w:rFonts w:hint="eastAsia"/>
            </w:rPr>
            <w:t>地理标志产品</w:t>
          </w:r>
          <w:r>
            <w:t xml:space="preserve">  富民杨梅</w:t>
          </w:r>
        </w:p>
      </w:sdtContent>
    </w:sdt>
    <w:bookmarkEnd w:id="23"/>
    <w:p>
      <w:pPr>
        <w:pStyle w:val="104"/>
        <w:spacing w:before="312" w:after="312"/>
      </w:pPr>
      <w:bookmarkStart w:id="24" w:name="_Toc17233333"/>
      <w:bookmarkStart w:id="25" w:name="_Toc26718930"/>
      <w:bookmarkStart w:id="26" w:name="_Toc26648465"/>
      <w:bookmarkStart w:id="27" w:name="_Toc24884211"/>
      <w:bookmarkStart w:id="28" w:name="_Toc17233325"/>
      <w:bookmarkStart w:id="29" w:name="_Toc26986530"/>
      <w:bookmarkStart w:id="30" w:name="_Toc26986771"/>
      <w:bookmarkStart w:id="31" w:name="_Toc24884218"/>
      <w:bookmarkStart w:id="32" w:name="_Toc97191423"/>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17233326"/>
      <w:bookmarkStart w:id="34" w:name="_Toc17233334"/>
      <w:bookmarkStart w:id="35" w:name="_Toc26648466"/>
      <w:bookmarkStart w:id="36" w:name="_Toc24884212"/>
      <w:bookmarkStart w:id="37" w:name="_Toc24884219"/>
      <w:r>
        <w:rPr>
          <w:rFonts w:hint="eastAsia"/>
        </w:rPr>
        <w:t>本文件规定了地理标志产品富民杨梅的术语和定义、地理标志产品保护范围、要求、采收、质量要求与检测方法、检验规则、标志、标签、包装、运输与贮存、档案管理。</w:t>
      </w:r>
    </w:p>
    <w:p>
      <w:pPr>
        <w:pStyle w:val="56"/>
        <w:ind w:firstLine="420"/>
      </w:pPr>
      <w:r>
        <w:rPr>
          <w:rFonts w:hint="eastAsia"/>
        </w:rPr>
        <w:t>本文件适用于原国家质量监督检验检疫总局根据《地理标志产品保护规定》批准保护的富民杨梅。</w:t>
      </w:r>
    </w:p>
    <w:p>
      <w:pPr>
        <w:pStyle w:val="104"/>
        <w:spacing w:before="312" w:after="312"/>
      </w:pPr>
      <w:bookmarkStart w:id="38" w:name="_Toc97191424"/>
      <w:bookmarkStart w:id="39" w:name="_Toc26718931"/>
      <w:bookmarkStart w:id="40" w:name="_Toc26986772"/>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B248CB9F5C11425282DC0A5F3F776B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szCs w:val="21"/>
        </w:rPr>
      </w:pPr>
      <w:r>
        <w:rPr>
          <w:rFonts w:hint="eastAsia"/>
        </w:rPr>
        <w:t>GB/T 191  包装储运图示标志</w:t>
      </w:r>
    </w:p>
    <w:p>
      <w:pPr>
        <w:pStyle w:val="56"/>
        <w:ind w:firstLine="420"/>
      </w:pPr>
      <w:r>
        <w:rPr>
          <w:rFonts w:hint="eastAsia"/>
        </w:rPr>
        <w:t>GB 2762   食品安全国家标准  食品中污染物限量</w:t>
      </w:r>
    </w:p>
    <w:p>
      <w:pPr>
        <w:pStyle w:val="56"/>
        <w:ind w:firstLine="420"/>
      </w:pPr>
      <w:r>
        <w:rPr>
          <w:rFonts w:hint="eastAsia"/>
        </w:rPr>
        <w:t>GB 2763  食品安全国家标准  食品中最大农药残留限量</w:t>
      </w:r>
    </w:p>
    <w:p>
      <w:pPr>
        <w:pStyle w:val="56"/>
        <w:ind w:firstLine="420"/>
      </w:pPr>
      <w:r>
        <w:rPr>
          <w:rFonts w:hint="eastAsia"/>
        </w:rPr>
        <w:t>GB 5084  农田灌溉水质标准</w:t>
      </w:r>
    </w:p>
    <w:p>
      <w:pPr>
        <w:pStyle w:val="56"/>
        <w:ind w:firstLine="420"/>
      </w:pPr>
      <w:r>
        <w:rPr>
          <w:rFonts w:hint="eastAsia"/>
        </w:rPr>
        <w:t>GB/T 8321  （所有部分）农药合理使用准则</w:t>
      </w:r>
    </w:p>
    <w:p>
      <w:pPr>
        <w:pStyle w:val="56"/>
        <w:ind w:firstLine="420"/>
        <w:rPr>
          <w:color w:val="auto"/>
        </w:rPr>
      </w:pPr>
      <w:r>
        <w:rPr>
          <w:rFonts w:hint="eastAsia"/>
          <w:color w:val="auto"/>
        </w:rPr>
        <w:t>GB 12456  食品安全国家标准  食品中总酸的测定</w:t>
      </w:r>
    </w:p>
    <w:p>
      <w:pPr>
        <w:pStyle w:val="56"/>
        <w:ind w:firstLine="420"/>
      </w:pPr>
      <w:r>
        <w:rPr>
          <w:rFonts w:hint="eastAsia"/>
        </w:rPr>
        <w:t>GB 15618  土壤环境质量  农用地土壤污染风险管控标准（试行）</w:t>
      </w:r>
    </w:p>
    <w:p>
      <w:pPr>
        <w:pStyle w:val="56"/>
        <w:ind w:firstLine="420"/>
      </w:pPr>
      <w:r>
        <w:rPr>
          <w:rFonts w:hint="eastAsia"/>
        </w:rPr>
        <w:t>JJF 1070  定量包装商品净含量计量检验规则</w:t>
      </w:r>
    </w:p>
    <w:p>
      <w:pPr>
        <w:pStyle w:val="56"/>
        <w:ind w:firstLine="420"/>
      </w:pPr>
      <w:r>
        <w:rPr>
          <w:rFonts w:hint="eastAsia"/>
        </w:rPr>
        <w:t>LY/T 1747  杨梅质量等级</w:t>
      </w:r>
    </w:p>
    <w:p>
      <w:pPr>
        <w:pStyle w:val="56"/>
        <w:ind w:firstLine="420"/>
      </w:pPr>
      <w:r>
        <w:rPr>
          <w:rFonts w:hint="eastAsia"/>
        </w:rPr>
        <w:t>LY/T 2127  杨梅栽培技术规程</w:t>
      </w:r>
    </w:p>
    <w:p>
      <w:pPr>
        <w:pStyle w:val="56"/>
        <w:ind w:firstLine="420"/>
      </w:pPr>
      <w:r>
        <w:rPr>
          <w:rFonts w:hint="eastAsia"/>
        </w:rPr>
        <w:t xml:space="preserve">NY/T 896  </w:t>
      </w:r>
      <w:r>
        <w:fldChar w:fldCharType="begin"/>
      </w:r>
      <w:r>
        <w:instrText xml:space="preserve"> HYPERLINK "https://hbba.sacinfo.org.cn/stdDetail/1f75b3b7bb8051931ec3a7e64db7083a4e1b8ef5ab4e92b66dc1ad282fe73ad7" \t "_blank" </w:instrText>
      </w:r>
      <w:r>
        <w:fldChar w:fldCharType="separate"/>
      </w:r>
      <w:r>
        <w:rPr>
          <w:rFonts w:hint="eastAsia"/>
        </w:rPr>
        <w:t>绿色食品  产品抽样准则</w:t>
      </w:r>
      <w:r>
        <w:rPr>
          <w:rFonts w:hint="eastAsia"/>
        </w:rPr>
        <w:fldChar w:fldCharType="end"/>
      </w:r>
    </w:p>
    <w:p>
      <w:pPr>
        <w:pStyle w:val="56"/>
        <w:ind w:firstLine="420"/>
      </w:pPr>
      <w:r>
        <w:rPr>
          <w:rFonts w:hint="eastAsia"/>
        </w:rPr>
        <w:t>NY/T 1778  新鲜水果包装标识  通则</w:t>
      </w:r>
    </w:p>
    <w:p>
      <w:pPr>
        <w:pStyle w:val="56"/>
        <w:ind w:firstLine="420"/>
      </w:pPr>
      <w:r>
        <w:rPr>
          <w:rFonts w:hint="eastAsia"/>
        </w:rPr>
        <w:t>NY/T 2637  水果和蔬菜可溶性固形物含量的测定  折射仪法</w:t>
      </w:r>
    </w:p>
    <w:p>
      <w:pPr>
        <w:pStyle w:val="56"/>
        <w:ind w:firstLine="420"/>
      </w:pPr>
      <w:r>
        <w:rPr>
          <w:rFonts w:hint="eastAsia"/>
        </w:rPr>
        <w:t>《定量包装商品计量监督管理办法》（国家质量监督检验检疫总局〔2005〕第75号令）</w:t>
      </w:r>
    </w:p>
    <w:p>
      <w:pPr>
        <w:pStyle w:val="56"/>
        <w:ind w:firstLine="420"/>
      </w:pPr>
      <w:r>
        <w:rPr>
          <w:rFonts w:hint="eastAsia"/>
        </w:rPr>
        <w:t>《地理标志专用标志使用管理办法（试行）》（国家知识产权局〔</w:t>
      </w:r>
      <w:r>
        <w:rPr>
          <w:rFonts w:hint="eastAsia" w:cs="Calibri"/>
        </w:rPr>
        <w:t>2020</w:t>
      </w:r>
      <w:r>
        <w:rPr>
          <w:rFonts w:hint="eastAsia"/>
        </w:rPr>
        <w:t>〕第</w:t>
      </w:r>
      <w:r>
        <w:rPr>
          <w:rFonts w:hint="eastAsia" w:cs="Calibri"/>
        </w:rPr>
        <w:t>354</w:t>
      </w:r>
      <w:r>
        <w:rPr>
          <w:rFonts w:hint="eastAsia"/>
        </w:rPr>
        <w:t>号公告）</w:t>
      </w:r>
    </w:p>
    <w:p>
      <w:pPr>
        <w:pStyle w:val="104"/>
        <w:spacing w:before="312" w:after="312"/>
        <w:rPr>
          <w:szCs w:val="21"/>
        </w:rPr>
      </w:pPr>
      <w:bookmarkStart w:id="42" w:name="_Toc26986532"/>
      <w:bookmarkEnd w:id="42"/>
      <w:r>
        <w:rPr>
          <w:rFonts w:hint="eastAsia"/>
          <w:szCs w:val="21"/>
        </w:rPr>
        <w:t>术语和定义</w:t>
      </w:r>
    </w:p>
    <w:p>
      <w:pPr>
        <w:pStyle w:val="56"/>
        <w:ind w:firstLine="420"/>
        <w:rPr>
          <w:kern w:val="2"/>
          <w:szCs w:val="21"/>
        </w:rPr>
      </w:pPr>
      <w:sdt>
        <w:sdtPr>
          <w:id w:val="-1909835108"/>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pPr>
        <w:pStyle w:val="105"/>
        <w:spacing w:before="0" w:beforeLines="0" w:after="0" w:afterLines="0"/>
        <w:rPr>
          <w:rFonts w:hAnsi="黑体"/>
        </w:rPr>
      </w:pPr>
    </w:p>
    <w:p>
      <w:pPr>
        <w:pStyle w:val="56"/>
        <w:ind w:firstLine="420"/>
      </w:pPr>
      <w:r>
        <w:rPr>
          <w:rFonts w:hint="eastAsia" w:ascii="黑体" w:hAnsi="黑体" w:eastAsia="黑体"/>
        </w:rPr>
        <w:t>富民杨梅</w:t>
      </w:r>
      <w:r>
        <w:rPr>
          <w:rFonts w:hint="eastAsia"/>
        </w:rPr>
        <w:t xml:space="preserve">  </w:t>
      </w:r>
      <w:r>
        <w:rPr>
          <w:rFonts w:ascii="Times New Roman"/>
        </w:rPr>
        <w:t>Fumin waxberry</w:t>
      </w:r>
    </w:p>
    <w:p>
      <w:pPr>
        <w:pStyle w:val="56"/>
        <w:ind w:firstLine="420"/>
      </w:pPr>
      <w:r>
        <w:t>地理标志产品富民杨梅保护范围内生产的</w:t>
      </w:r>
      <w:r>
        <w:rPr>
          <w:rFonts w:hint="eastAsia"/>
        </w:rPr>
        <w:t>，按本文件生产技术生产，果实品质符合本文件要求的杨梅</w:t>
      </w:r>
      <w:r>
        <w:rPr>
          <w:rFonts w:hint="eastAsia"/>
          <w:kern w:val="2"/>
          <w:szCs w:val="21"/>
        </w:rPr>
        <w:t>。</w:t>
      </w:r>
    </w:p>
    <w:p>
      <w:pPr>
        <w:pStyle w:val="105"/>
        <w:spacing w:before="0" w:beforeLines="0" w:after="0" w:afterLines="0"/>
      </w:pPr>
    </w:p>
    <w:p>
      <w:pPr>
        <w:pStyle w:val="56"/>
        <w:ind w:firstLine="420"/>
      </w:pPr>
      <w:r>
        <w:rPr>
          <w:rFonts w:hint="eastAsia" w:ascii="黑体" w:hAnsi="黑体" w:eastAsia="黑体"/>
        </w:rPr>
        <w:t>荸荠梅</w:t>
      </w:r>
      <w:r>
        <w:rPr>
          <w:rFonts w:hint="eastAsia"/>
        </w:rPr>
        <w:t xml:space="preserve">  </w:t>
      </w:r>
      <w:r>
        <w:rPr>
          <w:rFonts w:hint="eastAsia" w:ascii="Times New Roman"/>
        </w:rPr>
        <w:t>the variety of Biqi</w:t>
      </w:r>
    </w:p>
    <w:p>
      <w:pPr>
        <w:pStyle w:val="56"/>
        <w:ind w:firstLine="420"/>
        <w:rPr>
          <w:rFonts w:hAnsi="宋体"/>
        </w:rPr>
      </w:pPr>
      <w:r>
        <w:rPr>
          <w:rFonts w:hint="eastAsia" w:hAnsi="宋体"/>
        </w:rPr>
        <w:t>富民杨梅主栽品种之一。果实扁圆形,果实中等大小，果面紫红色至紫黑色，肉柱顶端圆钝，肉质细软，甜酸适口，汁液多,具香气,核小。</w:t>
      </w:r>
    </w:p>
    <w:p>
      <w:pPr>
        <w:pStyle w:val="105"/>
        <w:spacing w:before="0" w:beforeLines="0" w:after="0" w:afterLines="0"/>
      </w:pPr>
    </w:p>
    <w:p>
      <w:pPr>
        <w:pStyle w:val="56"/>
        <w:ind w:firstLine="420"/>
      </w:pPr>
      <w:r>
        <w:rPr>
          <w:rFonts w:hint="eastAsia" w:ascii="黑体" w:hAnsi="黑体" w:eastAsia="黑体"/>
        </w:rPr>
        <w:t>东魁</w:t>
      </w:r>
      <w:r>
        <w:rPr>
          <w:rFonts w:hint="eastAsia"/>
        </w:rPr>
        <w:t xml:space="preserve">  </w:t>
      </w:r>
      <w:r>
        <w:rPr>
          <w:rFonts w:hint="eastAsia" w:ascii="Times New Roman"/>
        </w:rPr>
        <w:t>the variety of Dongkui</w:t>
      </w:r>
    </w:p>
    <w:p>
      <w:pPr>
        <w:pStyle w:val="56"/>
        <w:ind w:firstLine="420"/>
      </w:pPr>
      <w:r>
        <w:rPr>
          <w:rFonts w:hint="eastAsia"/>
        </w:rPr>
        <w:t>富民杨梅主栽品种之一。果实近球形,果实较大，果面紫红色，肉柱先端钝尖，肉质较硬，多汁，黏核,香气浓郁。</w:t>
      </w:r>
    </w:p>
    <w:p>
      <w:pPr>
        <w:pStyle w:val="105"/>
        <w:spacing w:before="0" w:beforeLines="0" w:after="0" w:afterLines="0"/>
      </w:pPr>
    </w:p>
    <w:p>
      <w:pPr>
        <w:pStyle w:val="56"/>
        <w:ind w:firstLine="420"/>
      </w:pPr>
      <w:r>
        <w:rPr>
          <w:rFonts w:hint="eastAsia" w:ascii="黑体" w:hAnsi="黑体" w:eastAsia="黑体"/>
        </w:rPr>
        <w:t>肉柱</w:t>
      </w:r>
      <w:r>
        <w:rPr>
          <w:rFonts w:hint="eastAsia"/>
        </w:rPr>
        <w:t xml:space="preserve"> </w:t>
      </w:r>
      <w:r>
        <w:rPr>
          <w:rFonts w:hint="eastAsia" w:ascii="Times New Roman"/>
        </w:rPr>
        <w:t xml:space="preserve"> flesh columniation</w:t>
      </w:r>
    </w:p>
    <w:p>
      <w:pPr>
        <w:pStyle w:val="56"/>
        <w:ind w:firstLine="420"/>
      </w:pPr>
      <w:r>
        <w:rPr>
          <w:rFonts w:hint="eastAsia"/>
        </w:rPr>
        <w:t>果实可食部分的多汁囊状体。</w:t>
      </w:r>
    </w:p>
    <w:p>
      <w:pPr>
        <w:pStyle w:val="104"/>
        <w:spacing w:before="312" w:after="312"/>
      </w:pPr>
      <w:r>
        <w:rPr>
          <w:rFonts w:hint="eastAsia"/>
        </w:rPr>
        <w:t>地理标志产品保护范围</w:t>
      </w:r>
    </w:p>
    <w:p>
      <w:pPr>
        <w:pStyle w:val="56"/>
        <w:ind w:firstLine="420"/>
      </w:pPr>
      <w:r>
        <w:rPr>
          <w:rFonts w:hint="eastAsia"/>
        </w:rPr>
        <w:t>限于原国家质量监督检验检疫总局批准实施地理标志产品保护的富民杨梅产地范围，即东经102°21′～102°47′，北纬25°08′～25°37′；富民杨梅原产地域范围乡镇区域。详见附录A。</w:t>
      </w:r>
    </w:p>
    <w:p>
      <w:pPr>
        <w:pStyle w:val="104"/>
        <w:spacing w:before="312" w:after="312"/>
      </w:pPr>
      <w:r>
        <w:rPr>
          <w:rFonts w:hint="eastAsia"/>
        </w:rPr>
        <w:t>要求</w:t>
      </w:r>
    </w:p>
    <w:p>
      <w:pPr>
        <w:pStyle w:val="105"/>
        <w:spacing w:before="156" w:after="156"/>
      </w:pPr>
      <w:r>
        <w:rPr>
          <w:rFonts w:hint="eastAsia"/>
        </w:rPr>
        <w:t>产地环境条件</w:t>
      </w:r>
    </w:p>
    <w:p>
      <w:pPr>
        <w:pStyle w:val="65"/>
        <w:spacing w:before="156" w:after="156"/>
      </w:pPr>
      <w:r>
        <w:rPr>
          <w:rFonts w:hint="eastAsia"/>
          <w:color w:val="000000" w:themeColor="text1"/>
          <w14:textFill>
            <w14:solidFill>
              <w14:schemeClr w14:val="tx1"/>
            </w14:solidFill>
          </w14:textFill>
        </w:rPr>
        <w:t>海拔</w:t>
      </w:r>
    </w:p>
    <w:p>
      <w:pPr>
        <w:pStyle w:val="56"/>
        <w:ind w:firstLine="420"/>
      </w:pPr>
      <w:r>
        <w:rPr>
          <w:rFonts w:hint="eastAsia"/>
        </w:rPr>
        <w:t>海拔高度在1 650 m～2 000 m。</w:t>
      </w:r>
    </w:p>
    <w:p>
      <w:pPr>
        <w:pStyle w:val="65"/>
        <w:spacing w:before="156" w:after="156"/>
      </w:pPr>
      <w:r>
        <w:rPr>
          <w:rFonts w:hint="eastAsia"/>
        </w:rPr>
        <w:t>气候</w:t>
      </w:r>
    </w:p>
    <w:p>
      <w:pPr>
        <w:pStyle w:val="56"/>
        <w:ind w:firstLine="420"/>
      </w:pPr>
      <w:r>
        <w:rPr>
          <w:rFonts w:hint="eastAsia"/>
        </w:rPr>
        <w:t>低纬度亚热带高原季风气候，年平均气温15.8℃，无霜期245d，全年日照时数2287h，年平均降雨量846.5毫米（mm），相对湿度72%。</w:t>
      </w:r>
    </w:p>
    <w:p>
      <w:pPr>
        <w:pStyle w:val="65"/>
        <w:spacing w:before="156" w:after="156"/>
      </w:pPr>
      <w:r>
        <w:rPr>
          <w:rFonts w:hint="eastAsia"/>
        </w:rPr>
        <w:t>土壤</w:t>
      </w:r>
    </w:p>
    <w:p>
      <w:pPr>
        <w:pStyle w:val="56"/>
        <w:ind w:firstLine="420"/>
      </w:pPr>
      <w:r>
        <w:rPr>
          <w:rFonts w:hint="eastAsia"/>
        </w:rPr>
        <w:t>土壤类型为土质疏松、土层较深厚、排水良好、含有石砾的微酸性沙质红、黄土壤，pH值5.5～6.0，坡度＜30°的山坡地。土壤环境质量符合GB 15618的规定。</w:t>
      </w:r>
    </w:p>
    <w:p>
      <w:pPr>
        <w:pStyle w:val="105"/>
        <w:spacing w:before="156" w:after="156"/>
      </w:pPr>
      <w:r>
        <w:rPr>
          <w:rFonts w:hint="eastAsia"/>
        </w:rPr>
        <w:t>品种</w:t>
      </w:r>
    </w:p>
    <w:p>
      <w:pPr>
        <w:pStyle w:val="56"/>
        <w:ind w:firstLine="420"/>
      </w:pPr>
      <w:r>
        <w:rPr>
          <w:rFonts w:hint="eastAsia"/>
        </w:rPr>
        <w:t>选择适应当地环境条件，并表现出良好经济性状和抗性的东魁、荸荠梅优良品种。</w:t>
      </w:r>
    </w:p>
    <w:p>
      <w:pPr>
        <w:pStyle w:val="105"/>
        <w:spacing w:before="156" w:after="156"/>
      </w:pPr>
      <w:r>
        <w:rPr>
          <w:rFonts w:hint="eastAsia"/>
        </w:rPr>
        <w:t>生产管理</w:t>
      </w:r>
    </w:p>
    <w:p>
      <w:pPr>
        <w:pStyle w:val="65"/>
        <w:spacing w:before="156" w:after="156"/>
      </w:pPr>
      <w:r>
        <w:rPr>
          <w:rFonts w:hint="eastAsia"/>
        </w:rPr>
        <w:t>苗木</w:t>
      </w:r>
    </w:p>
    <w:p>
      <w:pPr>
        <w:pStyle w:val="56"/>
        <w:ind w:firstLine="420"/>
      </w:pPr>
      <w:r>
        <w:rPr>
          <w:rFonts w:hint="eastAsia" w:hAnsi="宋体"/>
        </w:rPr>
        <w:t>应选择根系发达、枝条健壮、芽眼饱满的1年～2年生嫁接苗，地径0.8 cm以上，侧根6条以上。嫁接口愈合好。无病虫，无机械损伤。</w:t>
      </w:r>
    </w:p>
    <w:p>
      <w:pPr>
        <w:pStyle w:val="65"/>
        <w:spacing w:before="156" w:after="156"/>
      </w:pPr>
      <w:r>
        <w:rPr>
          <w:rFonts w:hint="eastAsia"/>
        </w:rPr>
        <w:t>定植</w:t>
      </w:r>
    </w:p>
    <w:p>
      <w:pPr>
        <w:pStyle w:val="164"/>
      </w:pPr>
      <w:r>
        <w:rPr>
          <w:rFonts w:hint="eastAsia"/>
        </w:rPr>
        <w:t>裸根苗宜在12月下旬～2月上旬期间定植；袋苗一年四季均可定植。</w:t>
      </w:r>
    </w:p>
    <w:p>
      <w:pPr>
        <w:pStyle w:val="164"/>
        <w:rPr>
          <w:color w:val="000000"/>
        </w:rPr>
      </w:pPr>
      <w:r>
        <w:rPr>
          <w:rFonts w:hint="eastAsia"/>
        </w:rPr>
        <w:t>采用水平梯地或等高鱼鳞坑等方式建园种植。坡地种植密度东魁为5 m×6 m，荸荠梅为5 m</w:t>
      </w:r>
      <w:r>
        <w:rPr>
          <w:rFonts w:hint="eastAsia"/>
          <w:color w:val="000000"/>
        </w:rPr>
        <w:t>×5 m。</w:t>
      </w:r>
    </w:p>
    <w:p>
      <w:pPr>
        <w:pStyle w:val="65"/>
        <w:spacing w:before="156" w:after="156"/>
      </w:pPr>
      <w:r>
        <w:rPr>
          <w:rFonts w:hint="eastAsia"/>
        </w:rPr>
        <w:t>树体管理</w:t>
      </w:r>
    </w:p>
    <w:p>
      <w:pPr>
        <w:pStyle w:val="56"/>
        <w:ind w:firstLine="420"/>
      </w:pPr>
      <w:r>
        <w:rPr>
          <w:rFonts w:hint="eastAsia"/>
        </w:rPr>
        <w:t>自然开心形树形。采用抹芽、除梢、疏枝、回缩、短截、拉枝等方法整形修剪，培养结果枝组。</w:t>
      </w:r>
    </w:p>
    <w:p>
      <w:pPr>
        <w:pStyle w:val="65"/>
        <w:spacing w:before="156" w:after="156"/>
      </w:pPr>
      <w:r>
        <w:rPr>
          <w:rFonts w:hint="eastAsia"/>
        </w:rPr>
        <w:t>土肥水管理</w:t>
      </w:r>
    </w:p>
    <w:p>
      <w:pPr>
        <w:pStyle w:val="94"/>
        <w:spacing w:before="156" w:after="156"/>
      </w:pPr>
      <w:r>
        <w:rPr>
          <w:rFonts w:hint="eastAsia"/>
        </w:rPr>
        <w:t>土壤管理</w:t>
      </w:r>
    </w:p>
    <w:p>
      <w:pPr>
        <w:pStyle w:val="56"/>
        <w:ind w:firstLine="420"/>
      </w:pPr>
      <w:r>
        <w:rPr>
          <w:rFonts w:hint="eastAsia"/>
        </w:rPr>
        <w:t>采用自然生草栽培，果园逐年培土，每年采收前割草。幼树逐年扩穴，中耕除草</w:t>
      </w:r>
    </w:p>
    <w:p>
      <w:pPr>
        <w:pStyle w:val="94"/>
        <w:spacing w:before="156" w:after="156"/>
      </w:pPr>
      <w:r>
        <w:rPr>
          <w:rFonts w:hint="eastAsia"/>
        </w:rPr>
        <w:t>施肥管理</w:t>
      </w:r>
    </w:p>
    <w:p>
      <w:pPr>
        <w:pStyle w:val="56"/>
        <w:ind w:firstLine="420"/>
      </w:pPr>
      <w:r>
        <w:rPr>
          <w:rFonts w:hint="eastAsia"/>
        </w:rPr>
        <w:t>幼树施速效肥，常年宜2次～3次。成年树根据树龄、结果量、生长势及立地条件确定施肥量。采前以钾肥为主，配合适量氮肥；采后以草木灰等有机肥为主。</w:t>
      </w:r>
    </w:p>
    <w:p>
      <w:pPr>
        <w:pStyle w:val="94"/>
        <w:spacing w:before="156" w:after="156"/>
      </w:pPr>
      <w:r>
        <w:rPr>
          <w:rFonts w:hint="eastAsia"/>
        </w:rPr>
        <w:t>水分管理</w:t>
      </w:r>
    </w:p>
    <w:p>
      <w:pPr>
        <w:pStyle w:val="56"/>
        <w:ind w:firstLine="420"/>
      </w:pPr>
      <w:r>
        <w:rPr>
          <w:rFonts w:hint="eastAsia"/>
        </w:rPr>
        <w:t>施肥结合灌水进行，灌溉水质应符合GB 5084的规定。开花前、谢花后、果实生长期、果实膨大期、越冬前各灌水1次。</w:t>
      </w:r>
    </w:p>
    <w:p>
      <w:pPr>
        <w:pStyle w:val="65"/>
        <w:spacing w:before="156" w:after="156"/>
      </w:pPr>
      <w:r>
        <w:rPr>
          <w:rFonts w:hint="eastAsia"/>
        </w:rPr>
        <w:t>　花果管理</w:t>
      </w:r>
    </w:p>
    <w:p>
      <w:pPr>
        <w:pStyle w:val="56"/>
        <w:ind w:firstLine="420"/>
      </w:pPr>
      <w:r>
        <w:rPr>
          <w:rFonts w:hint="eastAsia" w:hAnsi="宋体"/>
        </w:rPr>
        <w:t>采用修剪、疏花疏果等方法调节。主要疏除密生果、小果、畸形果和劣果。谢花后20 天、30 天、45 天时分2</w:t>
      </w:r>
      <w:r>
        <w:rPr>
          <w:rFonts w:hint="eastAsia"/>
        </w:rPr>
        <w:t>～</w:t>
      </w:r>
      <w:r>
        <w:rPr>
          <w:rFonts w:hint="eastAsia" w:hAnsi="宋体"/>
        </w:rPr>
        <w:t>3次进行疏果。结果枝长＞15 cm的粗壮枝条留3果</w:t>
      </w:r>
      <w:r>
        <w:rPr>
          <w:rFonts w:hint="eastAsia"/>
        </w:rPr>
        <w:t>～</w:t>
      </w:r>
      <w:r>
        <w:rPr>
          <w:rFonts w:hint="eastAsia" w:hAnsi="宋体"/>
        </w:rPr>
        <w:t>4果，5 cm</w:t>
      </w:r>
      <w:r>
        <w:rPr>
          <w:rFonts w:hint="eastAsia"/>
        </w:rPr>
        <w:t>～</w:t>
      </w:r>
      <w:r>
        <w:rPr>
          <w:rFonts w:hint="eastAsia" w:hAnsi="宋体"/>
        </w:rPr>
        <w:t>15 cm的枝条留2果</w:t>
      </w:r>
      <w:r>
        <w:rPr>
          <w:rFonts w:hint="eastAsia"/>
        </w:rPr>
        <w:t>～</w:t>
      </w:r>
      <w:r>
        <w:rPr>
          <w:rFonts w:hint="eastAsia" w:hAnsi="宋体"/>
        </w:rPr>
        <w:t>3果，≤5 cm的枝条留1果。</w:t>
      </w:r>
    </w:p>
    <w:p>
      <w:pPr>
        <w:pStyle w:val="65"/>
        <w:spacing w:before="156" w:after="156"/>
      </w:pPr>
      <w:r>
        <w:rPr>
          <w:rFonts w:hint="eastAsia"/>
        </w:rPr>
        <w:t>病虫害防治</w:t>
      </w:r>
    </w:p>
    <w:p>
      <w:pPr>
        <w:pStyle w:val="94"/>
        <w:spacing w:before="156" w:after="156"/>
      </w:pPr>
      <w:r>
        <w:rPr>
          <w:rFonts w:hint="eastAsia"/>
        </w:rPr>
        <w:t>主要病虫害</w:t>
      </w:r>
    </w:p>
    <w:p>
      <w:pPr>
        <w:pStyle w:val="56"/>
        <w:ind w:firstLine="420"/>
      </w:pPr>
      <w:r>
        <w:rPr>
          <w:rFonts w:hint="eastAsia"/>
        </w:rPr>
        <w:t>主要病害有杨梅褐斑病、杨梅癌肿病等；主要虫害为蚧壳虫、杨梅斑翅果蝇等。</w:t>
      </w:r>
    </w:p>
    <w:p>
      <w:pPr>
        <w:pStyle w:val="94"/>
        <w:spacing w:before="156" w:after="156"/>
      </w:pPr>
      <w:r>
        <w:rPr>
          <w:rFonts w:hint="eastAsia"/>
        </w:rPr>
        <w:t>防治原则</w:t>
      </w:r>
    </w:p>
    <w:p>
      <w:pPr>
        <w:pStyle w:val="56"/>
        <w:ind w:firstLine="420"/>
      </w:pPr>
      <w:r>
        <w:rPr>
          <w:rFonts w:hint="eastAsia"/>
        </w:rPr>
        <w:t>按照LY/T 2127要求，坚持“预防为主，综合防治”的方针，加强植物检疫，宜采用生物防治、物理防治。</w:t>
      </w:r>
    </w:p>
    <w:p>
      <w:pPr>
        <w:pStyle w:val="94"/>
        <w:spacing w:before="156" w:after="156"/>
        <w:rPr>
          <w:shd w:val="clear" w:color="auto" w:fill="FFFFFF"/>
        </w:rPr>
      </w:pPr>
      <w:r>
        <w:rPr>
          <w:rFonts w:hint="eastAsia"/>
          <w:shd w:val="clear" w:color="auto" w:fill="FFFFFF"/>
        </w:rPr>
        <w:t>植物检疫</w:t>
      </w:r>
    </w:p>
    <w:p>
      <w:pPr>
        <w:pStyle w:val="56"/>
        <w:ind w:firstLine="420"/>
      </w:pPr>
      <w:r>
        <w:rPr>
          <w:rFonts w:hint="eastAsia" w:hAnsi="宋体"/>
        </w:rPr>
        <w:t>执行国家规定的植物检疫制度，防止检疫性病虫害传播、蔓延。</w:t>
      </w:r>
    </w:p>
    <w:p>
      <w:pPr>
        <w:pStyle w:val="94"/>
        <w:spacing w:before="156" w:after="156"/>
      </w:pPr>
      <w:r>
        <w:rPr>
          <w:rFonts w:hint="eastAsia"/>
        </w:rPr>
        <w:t>农业防治</w:t>
      </w:r>
    </w:p>
    <w:p>
      <w:pPr>
        <w:pStyle w:val="56"/>
        <w:ind w:firstLine="420"/>
      </w:pPr>
      <w:r>
        <w:rPr>
          <w:rFonts w:hint="eastAsia"/>
        </w:rPr>
        <w:t>结合修剪，剪除病虫枝和枯枝，开春后清除落叶并烧毁，减少病虫源。加强管理，增强和提高树体的抗性，创造不利于病虫发生的环境条件。</w:t>
      </w:r>
    </w:p>
    <w:p>
      <w:pPr>
        <w:pStyle w:val="94"/>
        <w:spacing w:before="156" w:after="156"/>
      </w:pPr>
      <w:r>
        <w:rPr>
          <w:rFonts w:hint="eastAsia"/>
        </w:rPr>
        <w:t>生物防治</w:t>
      </w:r>
    </w:p>
    <w:p>
      <w:pPr>
        <w:pStyle w:val="56"/>
        <w:ind w:firstLine="420"/>
      </w:pPr>
      <w:r>
        <w:rPr>
          <w:rFonts w:hint="eastAsia" w:hAnsi="宋体"/>
          <w:color w:val="000000" w:themeColor="text1"/>
          <w:shd w:val="clear" w:color="auto" w:fill="FFFFFF"/>
          <w14:textFill>
            <w14:solidFill>
              <w14:schemeClr w14:val="tx1"/>
            </w14:solidFill>
          </w14:textFill>
        </w:rPr>
        <w:t>保护和利用天敌，发挥生物防治作用，扩大以虫治虫，以菌治虫的应用范围。</w:t>
      </w:r>
    </w:p>
    <w:p>
      <w:pPr>
        <w:pStyle w:val="94"/>
        <w:spacing w:before="156" w:after="156"/>
      </w:pPr>
      <w:r>
        <w:rPr>
          <w:rFonts w:hint="eastAsia"/>
        </w:rPr>
        <w:t>物理防治</w:t>
      </w:r>
    </w:p>
    <w:p>
      <w:pPr>
        <w:pStyle w:val="56"/>
        <w:ind w:firstLine="420"/>
      </w:pPr>
      <w:r>
        <w:rPr>
          <w:rFonts w:hint="eastAsia"/>
        </w:rPr>
        <w:t>利用害虫的趋光性、趋化性等习性，通过黑光灯、糖醋液、色板等手段诱集并杀死害虫。</w:t>
      </w:r>
    </w:p>
    <w:p>
      <w:pPr>
        <w:pStyle w:val="94"/>
        <w:spacing w:before="156" w:after="156"/>
      </w:pPr>
      <w:r>
        <w:rPr>
          <w:rFonts w:hint="eastAsia"/>
        </w:rPr>
        <w:t>化学防治</w:t>
      </w:r>
    </w:p>
    <w:p>
      <w:pPr>
        <w:pStyle w:val="56"/>
        <w:ind w:firstLine="420"/>
      </w:pPr>
      <w:r>
        <w:rPr>
          <w:rFonts w:hint="eastAsia"/>
        </w:rPr>
        <w:t>选用高效低毒低残留的农药交替使用，以提高对病虫的杀伤力和降低病虫抗药性。农药使用按照GB/T 8321（所有部分）的规定执行。</w:t>
      </w:r>
    </w:p>
    <w:p>
      <w:pPr>
        <w:pStyle w:val="104"/>
        <w:spacing w:before="312" w:after="312"/>
      </w:pPr>
      <w:r>
        <w:rPr>
          <w:rFonts w:hint="eastAsia"/>
        </w:rPr>
        <w:t>采收</w:t>
      </w:r>
    </w:p>
    <w:p>
      <w:pPr>
        <w:pStyle w:val="56"/>
        <w:ind w:firstLine="420"/>
      </w:pPr>
      <w:r>
        <w:rPr>
          <w:rFonts w:hint="eastAsia" w:hAnsi="宋体"/>
          <w:color w:val="000000" w:themeColor="text1"/>
          <w14:textFill>
            <w14:solidFill>
              <w14:schemeClr w14:val="tx1"/>
            </w14:solidFill>
          </w14:textFill>
        </w:rPr>
        <w:t>宜在五月中下旬果实色泽由红转紫或紫黑时采收，宜晴天清晨或傍晚采收。</w:t>
      </w:r>
    </w:p>
    <w:p>
      <w:pPr>
        <w:pStyle w:val="104"/>
        <w:spacing w:before="312" w:after="312"/>
      </w:pPr>
      <w:r>
        <w:rPr>
          <w:rFonts w:hint="eastAsia"/>
        </w:rPr>
        <w:t>质量要求与检测方法</w:t>
      </w:r>
    </w:p>
    <w:p>
      <w:pPr>
        <w:pStyle w:val="105"/>
        <w:spacing w:before="156" w:after="156"/>
      </w:pPr>
      <w:r>
        <w:rPr>
          <w:rFonts w:hint="eastAsia"/>
        </w:rPr>
        <w:t>感官指标</w:t>
      </w:r>
    </w:p>
    <w:p>
      <w:pPr>
        <w:pStyle w:val="56"/>
        <w:ind w:firstLine="420"/>
      </w:pPr>
      <w:r>
        <w:rPr>
          <w:rFonts w:hint="eastAsia"/>
        </w:rPr>
        <w:t>应符合表1的规定。</w:t>
      </w:r>
    </w:p>
    <w:p>
      <w:pPr>
        <w:pStyle w:val="112"/>
        <w:spacing w:before="156" w:after="156"/>
      </w:pPr>
      <w:r>
        <w:rPr>
          <w:rFonts w:hint="eastAsia"/>
        </w:rPr>
        <w:t>感观指标及检测方法</w:t>
      </w:r>
    </w:p>
    <w:tbl>
      <w:tblPr>
        <w:tblStyle w:val="32"/>
        <w:tblW w:w="935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00"/>
        <w:gridCol w:w="832"/>
        <w:gridCol w:w="1910"/>
        <w:gridCol w:w="2005"/>
        <w:gridCol w:w="201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600" w:type="dxa"/>
            <w:vMerge w:val="restart"/>
            <w:tcBorders>
              <w:top w:val="single" w:color="auto" w:sz="8" w:space="0"/>
              <w:left w:val="single" w:color="auto" w:sz="8" w:space="0"/>
              <w:bottom w:val="single" w:color="auto" w:sz="2" w:space="0"/>
              <w:right w:val="single" w:color="auto" w:sz="2" w:space="0"/>
            </w:tcBorders>
            <w:shd w:val="clear" w:color="auto" w:fill="auto"/>
            <w:vAlign w:val="center"/>
          </w:tcPr>
          <w:p>
            <w:pPr>
              <w:pStyle w:val="56"/>
              <w:ind w:firstLine="0" w:firstLineChars="0"/>
              <w:rPr>
                <w:rFonts w:hAnsi="宋体"/>
                <w:sz w:val="18"/>
                <w:szCs w:val="18"/>
              </w:rPr>
            </w:pPr>
            <w:r>
              <w:rPr>
                <w:rFonts w:hint="eastAsia" w:hAnsi="宋体"/>
                <w:sz w:val="18"/>
                <w:szCs w:val="18"/>
              </w:rPr>
              <w:t>项目</w:t>
            </w:r>
          </w:p>
        </w:tc>
        <w:tc>
          <w:tcPr>
            <w:tcW w:w="832"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pStyle w:val="56"/>
              <w:ind w:firstLine="0" w:firstLineChars="0"/>
              <w:rPr>
                <w:rFonts w:hAnsi="宋体"/>
                <w:sz w:val="18"/>
                <w:szCs w:val="18"/>
              </w:rPr>
            </w:pPr>
            <w:r>
              <w:rPr>
                <w:rFonts w:hint="eastAsia" w:hAnsi="宋体"/>
                <w:sz w:val="18"/>
                <w:szCs w:val="18"/>
              </w:rPr>
              <w:t>品种</w:t>
            </w:r>
          </w:p>
        </w:tc>
        <w:tc>
          <w:tcPr>
            <w:tcW w:w="5925" w:type="dxa"/>
            <w:gridSpan w:val="3"/>
            <w:tcBorders>
              <w:top w:val="single" w:color="auto" w:sz="8" w:space="0"/>
              <w:left w:val="single" w:color="auto" w:sz="2" w:space="0"/>
              <w:bottom w:val="single" w:color="auto" w:sz="2" w:space="0"/>
              <w:right w:val="single" w:color="auto" w:sz="2" w:space="0"/>
            </w:tcBorders>
            <w:shd w:val="clear" w:color="auto" w:fill="auto"/>
            <w:vAlign w:val="center"/>
          </w:tcPr>
          <w:p>
            <w:pPr>
              <w:pStyle w:val="56"/>
              <w:ind w:firstLine="0" w:firstLineChars="0"/>
              <w:rPr>
                <w:rFonts w:hAnsi="宋体"/>
                <w:sz w:val="18"/>
                <w:szCs w:val="18"/>
              </w:rPr>
            </w:pPr>
            <w:r>
              <w:rPr>
                <w:rFonts w:hint="eastAsia" w:hAnsi="宋体"/>
                <w:sz w:val="18"/>
                <w:szCs w:val="18"/>
              </w:rPr>
              <w:t>指标</w:t>
            </w:r>
          </w:p>
        </w:tc>
        <w:tc>
          <w:tcPr>
            <w:tcW w:w="999" w:type="dxa"/>
            <w:vMerge w:val="restart"/>
            <w:tcBorders>
              <w:top w:val="single" w:color="auto" w:sz="8" w:space="0"/>
              <w:left w:val="single" w:color="auto" w:sz="2" w:space="0"/>
              <w:bottom w:val="single" w:color="auto" w:sz="2" w:space="0"/>
              <w:right w:val="single" w:color="auto" w:sz="8" w:space="0"/>
            </w:tcBorders>
            <w:shd w:val="clear" w:color="auto" w:fill="auto"/>
            <w:vAlign w:val="center"/>
          </w:tcPr>
          <w:p>
            <w:pPr>
              <w:pStyle w:val="56"/>
              <w:ind w:firstLine="0" w:firstLineChars="0"/>
              <w:rPr>
                <w:rFonts w:hAnsi="宋体"/>
                <w:sz w:val="18"/>
                <w:szCs w:val="18"/>
              </w:rPr>
            </w:pPr>
            <w:r>
              <w:rPr>
                <w:rFonts w:hint="eastAsia" w:hAnsi="宋体"/>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600" w:type="dxa"/>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pStyle w:val="56"/>
              <w:ind w:firstLine="0" w:firstLineChars="0"/>
              <w:rPr>
                <w:rFonts w:hAnsi="宋体"/>
                <w:sz w:val="18"/>
                <w:szCs w:val="18"/>
              </w:rPr>
            </w:pPr>
          </w:p>
        </w:tc>
        <w:tc>
          <w:tcPr>
            <w:tcW w:w="832" w:type="dxa"/>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pStyle w:val="56"/>
              <w:ind w:firstLine="0" w:firstLineChars="0"/>
              <w:rPr>
                <w:rFonts w:hAnsi="宋体"/>
                <w:sz w:val="18"/>
                <w:szCs w:val="18"/>
              </w:rPr>
            </w:pPr>
          </w:p>
        </w:tc>
        <w:tc>
          <w:tcPr>
            <w:tcW w:w="1910" w:type="dxa"/>
            <w:tcBorders>
              <w:top w:val="single" w:color="auto" w:sz="2" w:space="0"/>
              <w:left w:val="single" w:color="auto" w:sz="2" w:space="0"/>
              <w:bottom w:val="single" w:color="auto" w:sz="8" w:space="0"/>
              <w:right w:val="single" w:color="auto" w:sz="2" w:space="0"/>
            </w:tcBorders>
            <w:shd w:val="clear" w:color="auto" w:fill="auto"/>
            <w:vAlign w:val="center"/>
          </w:tcPr>
          <w:p>
            <w:pPr>
              <w:pStyle w:val="56"/>
              <w:ind w:firstLine="0" w:firstLineChars="0"/>
              <w:rPr>
                <w:rFonts w:hAnsi="宋体"/>
                <w:sz w:val="18"/>
                <w:szCs w:val="18"/>
              </w:rPr>
            </w:pPr>
            <w:r>
              <w:rPr>
                <w:rFonts w:hint="eastAsia" w:hAnsi="宋体"/>
                <w:sz w:val="18"/>
                <w:szCs w:val="18"/>
              </w:rPr>
              <w:t>特级</w:t>
            </w:r>
          </w:p>
        </w:tc>
        <w:tc>
          <w:tcPr>
            <w:tcW w:w="2005" w:type="dxa"/>
            <w:tcBorders>
              <w:top w:val="single" w:color="auto" w:sz="2" w:space="0"/>
              <w:left w:val="single" w:color="auto" w:sz="2" w:space="0"/>
              <w:bottom w:val="single" w:color="auto" w:sz="8" w:space="0"/>
              <w:right w:val="single" w:color="auto" w:sz="2" w:space="0"/>
            </w:tcBorders>
            <w:shd w:val="clear" w:color="auto" w:fill="auto"/>
            <w:vAlign w:val="center"/>
          </w:tcPr>
          <w:p>
            <w:pPr>
              <w:pStyle w:val="56"/>
              <w:ind w:firstLine="0" w:firstLineChars="0"/>
              <w:rPr>
                <w:rFonts w:hAnsi="宋体"/>
                <w:sz w:val="18"/>
                <w:szCs w:val="18"/>
              </w:rPr>
            </w:pPr>
            <w:r>
              <w:rPr>
                <w:rFonts w:hint="eastAsia" w:hAnsi="宋体"/>
                <w:sz w:val="18"/>
                <w:szCs w:val="18"/>
              </w:rPr>
              <w:t>一级</w:t>
            </w:r>
          </w:p>
        </w:tc>
        <w:tc>
          <w:tcPr>
            <w:tcW w:w="2010" w:type="dxa"/>
            <w:tcBorders>
              <w:top w:val="single" w:color="auto" w:sz="2" w:space="0"/>
              <w:left w:val="single" w:color="auto" w:sz="2" w:space="0"/>
              <w:bottom w:val="single" w:color="auto" w:sz="8" w:space="0"/>
              <w:right w:val="single" w:color="auto" w:sz="2" w:space="0"/>
            </w:tcBorders>
            <w:shd w:val="clear" w:color="auto" w:fill="auto"/>
            <w:vAlign w:val="center"/>
          </w:tcPr>
          <w:p>
            <w:pPr>
              <w:pStyle w:val="56"/>
              <w:ind w:firstLine="0" w:firstLineChars="0"/>
              <w:rPr>
                <w:rFonts w:hAnsi="宋体"/>
                <w:sz w:val="18"/>
                <w:szCs w:val="18"/>
              </w:rPr>
            </w:pPr>
            <w:r>
              <w:rPr>
                <w:rFonts w:hint="eastAsia" w:hAnsi="宋体"/>
                <w:sz w:val="18"/>
                <w:szCs w:val="18"/>
              </w:rPr>
              <w:t>二级</w:t>
            </w:r>
          </w:p>
        </w:tc>
        <w:tc>
          <w:tcPr>
            <w:tcW w:w="999" w:type="dxa"/>
            <w:vMerge w:val="continue"/>
            <w:tcBorders>
              <w:top w:val="single" w:color="auto" w:sz="2" w:space="0"/>
              <w:left w:val="single" w:color="auto" w:sz="2" w:space="0"/>
              <w:bottom w:val="single" w:color="auto" w:sz="8" w:space="0"/>
              <w:right w:val="single" w:color="auto" w:sz="8" w:space="0"/>
            </w:tcBorders>
            <w:shd w:val="clear" w:color="auto" w:fill="auto"/>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60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基本要求</w:t>
            </w:r>
          </w:p>
        </w:tc>
        <w:tc>
          <w:tcPr>
            <w:tcW w:w="832" w:type="dxa"/>
            <w:tcBorders>
              <w:top w:val="single" w:color="auto" w:sz="8"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东魁</w:t>
            </w:r>
          </w:p>
        </w:tc>
        <w:tc>
          <w:tcPr>
            <w:tcW w:w="5925"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果形端正，果面洁净，无病斑．无虫粪．无灰尘．无霉变．无伤口，成熟度一致，口感甜中带微酸，具有本品种特有风味，无异味</w:t>
            </w:r>
          </w:p>
        </w:tc>
        <w:tc>
          <w:tcPr>
            <w:tcW w:w="999"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pStyle w:val="56"/>
              <w:ind w:firstLine="0" w:firstLineChars="0"/>
              <w:rPr>
                <w:rFonts w:hAnsi="宋体"/>
                <w:sz w:val="18"/>
                <w:szCs w:val="18"/>
              </w:rPr>
            </w:pPr>
            <w:r>
              <w:rPr>
                <w:rFonts w:hint="eastAsia" w:hAnsi="宋体"/>
                <w:sz w:val="18"/>
                <w:szCs w:val="18"/>
              </w:rPr>
              <w:t>LY/T 1747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600" w:type="dxa"/>
            <w:vMerge w:val="continue"/>
            <w:tcBorders>
              <w:top w:val="nil"/>
              <w:left w:val="single" w:color="auto" w:sz="8"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荸荠梅</w:t>
            </w:r>
          </w:p>
        </w:tc>
        <w:tc>
          <w:tcPr>
            <w:tcW w:w="592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p>
        </w:tc>
        <w:tc>
          <w:tcPr>
            <w:tcW w:w="999" w:type="dxa"/>
            <w:vMerge w:val="continue"/>
            <w:tcBorders>
              <w:top w:val="nil"/>
              <w:left w:val="single" w:color="auto" w:sz="4" w:space="0"/>
              <w:bottom w:val="single" w:color="auto" w:sz="4" w:space="0"/>
              <w:right w:val="single" w:color="auto" w:sz="8" w:space="0"/>
            </w:tcBorders>
            <w:shd w:val="clear" w:color="auto" w:fill="auto"/>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5" w:hRule="atLeast"/>
        </w:trPr>
        <w:tc>
          <w:tcPr>
            <w:tcW w:w="1600" w:type="dxa"/>
            <w:vMerge w:val="restart"/>
            <w:tcBorders>
              <w:top w:val="nil"/>
              <w:left w:val="single" w:color="auto" w:sz="8"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果形</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东魁</w:t>
            </w:r>
          </w:p>
        </w:tc>
        <w:tc>
          <w:tcPr>
            <w:tcW w:w="1910" w:type="dxa"/>
            <w:vMerge w:val="restart"/>
            <w:tcBorders>
              <w:top w:val="nil"/>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呈扁圆形，果形端正</w:t>
            </w:r>
          </w:p>
        </w:tc>
        <w:tc>
          <w:tcPr>
            <w:tcW w:w="2005" w:type="dxa"/>
            <w:vMerge w:val="restart"/>
            <w:tcBorders>
              <w:top w:val="nil"/>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呈扁圆形，果形基本端正，允许有轻微缺陷</w:t>
            </w:r>
          </w:p>
        </w:tc>
        <w:tc>
          <w:tcPr>
            <w:tcW w:w="2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呈扁圆形，果形允许有缺陷，无严重影响外观畸形果</w:t>
            </w:r>
          </w:p>
        </w:tc>
        <w:tc>
          <w:tcPr>
            <w:tcW w:w="999" w:type="dxa"/>
            <w:vMerge w:val="continue"/>
            <w:tcBorders>
              <w:top w:val="nil"/>
              <w:left w:val="single" w:color="auto" w:sz="4" w:space="0"/>
              <w:bottom w:val="single" w:color="auto" w:sz="4" w:space="0"/>
              <w:right w:val="single" w:color="auto" w:sz="8" w:space="0"/>
            </w:tcBorders>
            <w:shd w:val="clear" w:color="auto" w:fill="auto"/>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9" w:hRule="atLeast"/>
        </w:trPr>
        <w:tc>
          <w:tcPr>
            <w:tcW w:w="1600" w:type="dxa"/>
            <w:vMerge w:val="continue"/>
            <w:tcBorders>
              <w:top w:val="nil"/>
              <w:left w:val="single" w:color="auto" w:sz="8"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荸荠梅</w:t>
            </w:r>
          </w:p>
        </w:tc>
        <w:tc>
          <w:tcPr>
            <w:tcW w:w="1910" w:type="dxa"/>
            <w:vMerge w:val="continue"/>
            <w:tcBorders>
              <w:top w:val="nil"/>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p>
        </w:tc>
        <w:tc>
          <w:tcPr>
            <w:tcW w:w="2005" w:type="dxa"/>
            <w:vMerge w:val="continue"/>
            <w:tcBorders>
              <w:top w:val="nil"/>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p>
        </w:tc>
        <w:tc>
          <w:tcPr>
            <w:tcW w:w="2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p>
        </w:tc>
        <w:tc>
          <w:tcPr>
            <w:tcW w:w="999" w:type="dxa"/>
            <w:vMerge w:val="continue"/>
            <w:tcBorders>
              <w:top w:val="nil"/>
              <w:left w:val="single" w:color="auto" w:sz="4" w:space="0"/>
              <w:bottom w:val="single" w:color="auto" w:sz="4" w:space="0"/>
              <w:right w:val="single" w:color="auto" w:sz="8" w:space="0"/>
            </w:tcBorders>
            <w:shd w:val="clear" w:color="auto" w:fill="auto"/>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600" w:type="dxa"/>
            <w:vMerge w:val="restart"/>
            <w:tcBorders>
              <w:top w:val="nil"/>
              <w:left w:val="single" w:color="auto" w:sz="8"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色泽</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东魁</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紫红色，富有光泽</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紫红色，有光泽</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紫红色，略淡</w:t>
            </w:r>
          </w:p>
        </w:tc>
        <w:tc>
          <w:tcPr>
            <w:tcW w:w="999" w:type="dxa"/>
            <w:vMerge w:val="continue"/>
            <w:tcBorders>
              <w:top w:val="nil"/>
              <w:left w:val="single" w:color="auto" w:sz="4" w:space="0"/>
              <w:bottom w:val="single" w:color="auto" w:sz="4" w:space="0"/>
              <w:right w:val="single" w:color="auto" w:sz="8" w:space="0"/>
            </w:tcBorders>
            <w:shd w:val="clear" w:color="auto" w:fill="auto"/>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600" w:type="dxa"/>
            <w:vMerge w:val="continue"/>
            <w:tcBorders>
              <w:top w:val="nil"/>
              <w:left w:val="single" w:color="auto" w:sz="8"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荸荠梅</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紫黑色，富有光泽</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紫红色，有光泽</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紫红色，略淡</w:t>
            </w:r>
          </w:p>
        </w:tc>
        <w:tc>
          <w:tcPr>
            <w:tcW w:w="999" w:type="dxa"/>
            <w:vMerge w:val="continue"/>
            <w:tcBorders>
              <w:top w:val="nil"/>
              <w:left w:val="single" w:color="auto" w:sz="4" w:space="0"/>
              <w:bottom w:val="single" w:color="auto" w:sz="4" w:space="0"/>
              <w:right w:val="single" w:color="auto" w:sz="8" w:space="0"/>
            </w:tcBorders>
            <w:shd w:val="clear" w:color="auto" w:fill="auto"/>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600" w:type="dxa"/>
            <w:vMerge w:val="restart"/>
            <w:tcBorders>
              <w:top w:val="nil"/>
              <w:left w:val="single" w:color="auto" w:sz="8"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肉柱</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东魁</w:t>
            </w:r>
          </w:p>
        </w:tc>
        <w:tc>
          <w:tcPr>
            <w:tcW w:w="1910" w:type="dxa"/>
            <w:vMerge w:val="restart"/>
            <w:tcBorders>
              <w:top w:val="nil"/>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肉柱顶端呈圆钝形，无肉刺</w:t>
            </w:r>
          </w:p>
        </w:tc>
        <w:tc>
          <w:tcPr>
            <w:tcW w:w="2005" w:type="dxa"/>
            <w:vMerge w:val="restart"/>
            <w:tcBorders>
              <w:top w:val="nil"/>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肉柱顶端呈圆钝形或少量尖锐形，无肉刺</w:t>
            </w:r>
          </w:p>
        </w:tc>
        <w:tc>
          <w:tcPr>
            <w:tcW w:w="2010" w:type="dxa"/>
            <w:vMerge w:val="restart"/>
            <w:tcBorders>
              <w:top w:val="nil"/>
              <w:left w:val="single" w:color="auto" w:sz="4" w:space="0"/>
              <w:bottom w:val="single" w:color="auto" w:sz="4"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肉柱允许呈少量尖锐形，带微肉刺</w:t>
            </w:r>
          </w:p>
        </w:tc>
        <w:tc>
          <w:tcPr>
            <w:tcW w:w="999" w:type="dxa"/>
            <w:vMerge w:val="continue"/>
            <w:tcBorders>
              <w:top w:val="nil"/>
              <w:left w:val="single" w:color="auto" w:sz="4" w:space="0"/>
              <w:bottom w:val="single" w:color="auto" w:sz="4" w:space="0"/>
              <w:right w:val="single" w:color="auto" w:sz="8" w:space="0"/>
            </w:tcBorders>
            <w:shd w:val="clear" w:color="auto" w:fill="auto"/>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600" w:type="dxa"/>
            <w:vMerge w:val="continue"/>
            <w:tcBorders>
              <w:top w:val="nil"/>
              <w:left w:val="single" w:color="auto" w:sz="8" w:space="0"/>
              <w:bottom w:val="single" w:color="auto" w:sz="8" w:space="0"/>
              <w:right w:val="single" w:color="auto" w:sz="4" w:space="0"/>
            </w:tcBorders>
            <w:shd w:val="clear" w:color="auto" w:fill="auto"/>
            <w:vAlign w:val="center"/>
          </w:tcPr>
          <w:p>
            <w:pPr>
              <w:pStyle w:val="56"/>
              <w:ind w:firstLine="0" w:firstLineChars="0"/>
              <w:rPr>
                <w:rFonts w:hAnsi="宋体"/>
                <w:sz w:val="18"/>
                <w:szCs w:val="18"/>
              </w:rPr>
            </w:pPr>
          </w:p>
        </w:tc>
        <w:tc>
          <w:tcPr>
            <w:tcW w:w="832" w:type="dxa"/>
            <w:tcBorders>
              <w:top w:val="single" w:color="auto" w:sz="4" w:space="0"/>
              <w:left w:val="single" w:color="auto" w:sz="4" w:space="0"/>
              <w:bottom w:val="single" w:color="auto" w:sz="8" w:space="0"/>
              <w:right w:val="single" w:color="auto" w:sz="4" w:space="0"/>
            </w:tcBorders>
            <w:shd w:val="clear" w:color="auto" w:fill="auto"/>
            <w:vAlign w:val="center"/>
          </w:tcPr>
          <w:p>
            <w:pPr>
              <w:pStyle w:val="56"/>
              <w:ind w:firstLine="0" w:firstLineChars="0"/>
              <w:rPr>
                <w:rFonts w:hAnsi="宋体"/>
                <w:sz w:val="18"/>
                <w:szCs w:val="18"/>
              </w:rPr>
            </w:pPr>
            <w:r>
              <w:rPr>
                <w:rFonts w:hint="eastAsia" w:hAnsi="宋体"/>
                <w:sz w:val="18"/>
                <w:szCs w:val="18"/>
              </w:rPr>
              <w:t>荸荠梅</w:t>
            </w:r>
          </w:p>
        </w:tc>
        <w:tc>
          <w:tcPr>
            <w:tcW w:w="1910" w:type="dxa"/>
            <w:vMerge w:val="continue"/>
            <w:tcBorders>
              <w:top w:val="nil"/>
              <w:left w:val="single" w:color="auto" w:sz="4" w:space="0"/>
              <w:bottom w:val="single" w:color="auto" w:sz="8" w:space="0"/>
              <w:right w:val="single" w:color="auto" w:sz="4" w:space="0"/>
            </w:tcBorders>
            <w:shd w:val="clear" w:color="auto" w:fill="auto"/>
            <w:vAlign w:val="center"/>
          </w:tcPr>
          <w:p>
            <w:pPr>
              <w:pStyle w:val="56"/>
              <w:ind w:firstLine="0" w:firstLineChars="0"/>
              <w:rPr>
                <w:rFonts w:hAnsi="宋体"/>
                <w:sz w:val="18"/>
                <w:szCs w:val="18"/>
              </w:rPr>
            </w:pPr>
          </w:p>
        </w:tc>
        <w:tc>
          <w:tcPr>
            <w:tcW w:w="2005" w:type="dxa"/>
            <w:vMerge w:val="continue"/>
            <w:tcBorders>
              <w:top w:val="nil"/>
              <w:left w:val="single" w:color="auto" w:sz="4" w:space="0"/>
              <w:bottom w:val="single" w:color="auto" w:sz="8" w:space="0"/>
              <w:right w:val="single" w:color="auto" w:sz="4" w:space="0"/>
            </w:tcBorders>
            <w:shd w:val="clear" w:color="auto" w:fill="auto"/>
            <w:vAlign w:val="center"/>
          </w:tcPr>
          <w:p>
            <w:pPr>
              <w:pStyle w:val="56"/>
              <w:ind w:firstLine="0" w:firstLineChars="0"/>
              <w:rPr>
                <w:rFonts w:hAnsi="宋体"/>
                <w:sz w:val="18"/>
                <w:szCs w:val="18"/>
              </w:rPr>
            </w:pPr>
          </w:p>
        </w:tc>
        <w:tc>
          <w:tcPr>
            <w:tcW w:w="2010" w:type="dxa"/>
            <w:vMerge w:val="continue"/>
            <w:tcBorders>
              <w:top w:val="nil"/>
              <w:left w:val="single" w:color="auto" w:sz="4" w:space="0"/>
              <w:bottom w:val="single" w:color="auto" w:sz="8" w:space="0"/>
              <w:right w:val="single" w:color="auto" w:sz="4" w:space="0"/>
            </w:tcBorders>
            <w:shd w:val="clear" w:color="auto" w:fill="auto"/>
            <w:vAlign w:val="center"/>
          </w:tcPr>
          <w:p>
            <w:pPr>
              <w:pStyle w:val="56"/>
              <w:ind w:firstLine="0" w:firstLineChars="0"/>
              <w:rPr>
                <w:rFonts w:hAnsi="宋体"/>
                <w:sz w:val="18"/>
                <w:szCs w:val="18"/>
              </w:rPr>
            </w:pPr>
          </w:p>
        </w:tc>
        <w:tc>
          <w:tcPr>
            <w:tcW w:w="999" w:type="dxa"/>
            <w:vMerge w:val="continue"/>
            <w:tcBorders>
              <w:top w:val="nil"/>
              <w:left w:val="single" w:color="auto" w:sz="4" w:space="0"/>
              <w:bottom w:val="single" w:color="auto" w:sz="8" w:space="0"/>
              <w:right w:val="single" w:color="auto" w:sz="8" w:space="0"/>
            </w:tcBorders>
            <w:shd w:val="clear" w:color="auto" w:fill="auto"/>
            <w:vAlign w:val="center"/>
          </w:tcPr>
          <w:p>
            <w:pPr>
              <w:pStyle w:val="56"/>
              <w:ind w:firstLine="0" w:firstLineChars="0"/>
              <w:rPr>
                <w:rFonts w:hAnsi="宋体"/>
                <w:sz w:val="18"/>
                <w:szCs w:val="18"/>
              </w:rPr>
            </w:pPr>
          </w:p>
        </w:tc>
      </w:tr>
    </w:tbl>
    <w:p>
      <w:pPr>
        <w:pStyle w:val="56"/>
        <w:ind w:firstLine="420"/>
      </w:pPr>
    </w:p>
    <w:p>
      <w:pPr>
        <w:pStyle w:val="105"/>
        <w:spacing w:before="156" w:after="156"/>
      </w:pPr>
      <w:r>
        <w:rPr>
          <w:rFonts w:hint="eastAsia"/>
        </w:rPr>
        <w:t>理化指标</w:t>
      </w:r>
    </w:p>
    <w:p>
      <w:pPr>
        <w:pStyle w:val="56"/>
        <w:ind w:firstLine="420"/>
      </w:pPr>
      <w:r>
        <w:rPr>
          <w:rFonts w:hint="eastAsia"/>
        </w:rPr>
        <w:t>应符合表2的规定。</w:t>
      </w:r>
    </w:p>
    <w:p>
      <w:pPr>
        <w:pStyle w:val="112"/>
        <w:spacing w:before="156" w:after="156"/>
      </w:pPr>
      <w:r>
        <w:rPr>
          <w:rFonts w:hint="eastAsia"/>
        </w:rPr>
        <w:t>理化指标及检测方法</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126"/>
        <w:gridCol w:w="1557"/>
        <w:gridCol w:w="1557"/>
        <w:gridCol w:w="1558"/>
        <w:gridCol w:w="1548"/>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14" w:type="dxa"/>
            <w:gridSpan w:val="2"/>
            <w:vMerge w:val="restart"/>
            <w:tcBorders>
              <w:top w:val="single" w:color="auto" w:sz="8" w:space="0"/>
              <w:left w:val="single" w:color="auto" w:sz="8" w:space="0"/>
              <w:bottom w:val="single" w:color="auto" w:sz="4" w:space="0"/>
            </w:tcBorders>
            <w:shd w:val="clear" w:color="auto" w:fill="auto"/>
            <w:vAlign w:val="center"/>
          </w:tcPr>
          <w:p>
            <w:pPr>
              <w:pStyle w:val="56"/>
              <w:ind w:firstLine="0" w:firstLineChars="0"/>
              <w:jc w:val="center"/>
              <w:rPr>
                <w:sz w:val="18"/>
                <w:szCs w:val="18"/>
              </w:rPr>
            </w:pPr>
            <w:r>
              <w:rPr>
                <w:rFonts w:hint="eastAsia" w:hAnsi="宋体"/>
                <w:sz w:val="18"/>
                <w:szCs w:val="18"/>
              </w:rPr>
              <w:t>项目</w:t>
            </w:r>
          </w:p>
        </w:tc>
        <w:tc>
          <w:tcPr>
            <w:tcW w:w="4672" w:type="dxa"/>
            <w:gridSpan w:val="3"/>
            <w:tcBorders>
              <w:top w:val="single" w:color="auto" w:sz="8" w:space="0"/>
              <w:bottom w:val="single" w:color="auto" w:sz="4" w:space="0"/>
            </w:tcBorders>
            <w:shd w:val="clear" w:color="auto" w:fill="auto"/>
            <w:vAlign w:val="center"/>
          </w:tcPr>
          <w:p>
            <w:pPr>
              <w:pStyle w:val="56"/>
              <w:ind w:firstLine="0" w:firstLineChars="0"/>
              <w:jc w:val="center"/>
              <w:rPr>
                <w:sz w:val="18"/>
                <w:szCs w:val="18"/>
              </w:rPr>
            </w:pPr>
            <w:r>
              <w:rPr>
                <w:rFonts w:hint="eastAsia" w:hAnsi="宋体"/>
                <w:sz w:val="18"/>
                <w:szCs w:val="18"/>
              </w:rPr>
              <w:t>指标</w:t>
            </w:r>
          </w:p>
        </w:tc>
        <w:tc>
          <w:tcPr>
            <w:tcW w:w="1558" w:type="dxa"/>
            <w:gridSpan w:val="2"/>
            <w:vMerge w:val="restart"/>
            <w:tcBorders>
              <w:top w:val="single" w:color="auto" w:sz="8" w:space="0"/>
              <w:bottom w:val="single" w:color="auto" w:sz="4" w:space="0"/>
              <w:right w:val="single" w:color="auto" w:sz="8" w:space="0"/>
            </w:tcBorders>
            <w:shd w:val="clear" w:color="auto" w:fill="auto"/>
            <w:vAlign w:val="center"/>
          </w:tcPr>
          <w:p>
            <w:pPr>
              <w:pStyle w:val="56"/>
              <w:ind w:firstLine="0" w:firstLineChars="0"/>
              <w:jc w:val="center"/>
              <w:rPr>
                <w:sz w:val="18"/>
                <w:szCs w:val="18"/>
              </w:rPr>
            </w:pPr>
            <w:r>
              <w:rPr>
                <w:rFonts w:hint="eastAsia" w:hAnsi="宋体"/>
                <w:sz w:val="18"/>
                <w:szCs w:val="18"/>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14" w:type="dxa"/>
            <w:gridSpan w:val="2"/>
            <w:vMerge w:val="continue"/>
            <w:tcBorders>
              <w:top w:val="single" w:color="auto" w:sz="4" w:space="0"/>
              <w:left w:val="single" w:color="auto" w:sz="8" w:space="0"/>
              <w:bottom w:val="single" w:color="auto" w:sz="8" w:space="0"/>
            </w:tcBorders>
            <w:shd w:val="clear" w:color="auto" w:fill="auto"/>
            <w:vAlign w:val="center"/>
          </w:tcPr>
          <w:p>
            <w:pPr>
              <w:widowControl/>
              <w:jc w:val="left"/>
              <w:rPr>
                <w:rFonts w:ascii="宋体" w:hAnsi="Times New Roman"/>
                <w:kern w:val="0"/>
                <w:sz w:val="18"/>
                <w:szCs w:val="18"/>
              </w:rPr>
            </w:pPr>
          </w:p>
        </w:tc>
        <w:tc>
          <w:tcPr>
            <w:tcW w:w="1557" w:type="dxa"/>
            <w:tcBorders>
              <w:top w:val="single" w:color="auto" w:sz="4" w:space="0"/>
              <w:bottom w:val="single" w:color="auto" w:sz="8" w:space="0"/>
            </w:tcBorders>
            <w:shd w:val="clear" w:color="auto" w:fill="auto"/>
            <w:vAlign w:val="center"/>
          </w:tcPr>
          <w:p>
            <w:pPr>
              <w:pStyle w:val="56"/>
              <w:ind w:firstLine="0" w:firstLineChars="0"/>
              <w:jc w:val="center"/>
              <w:rPr>
                <w:sz w:val="18"/>
                <w:szCs w:val="18"/>
              </w:rPr>
            </w:pPr>
            <w:r>
              <w:rPr>
                <w:rFonts w:hint="eastAsia" w:hAnsi="宋体"/>
                <w:sz w:val="18"/>
                <w:szCs w:val="18"/>
              </w:rPr>
              <w:t>特级</w:t>
            </w:r>
          </w:p>
        </w:tc>
        <w:tc>
          <w:tcPr>
            <w:tcW w:w="1557" w:type="dxa"/>
            <w:tcBorders>
              <w:top w:val="single" w:color="auto" w:sz="4" w:space="0"/>
              <w:bottom w:val="single" w:color="auto" w:sz="8" w:space="0"/>
            </w:tcBorders>
            <w:shd w:val="clear" w:color="auto" w:fill="auto"/>
            <w:vAlign w:val="center"/>
          </w:tcPr>
          <w:p>
            <w:pPr>
              <w:pStyle w:val="56"/>
              <w:ind w:firstLine="0" w:firstLineChars="0"/>
              <w:jc w:val="center"/>
              <w:rPr>
                <w:sz w:val="18"/>
                <w:szCs w:val="18"/>
              </w:rPr>
            </w:pPr>
            <w:r>
              <w:rPr>
                <w:rFonts w:hint="eastAsia" w:hAnsi="宋体"/>
                <w:sz w:val="18"/>
                <w:szCs w:val="18"/>
              </w:rPr>
              <w:t>一级</w:t>
            </w:r>
          </w:p>
        </w:tc>
        <w:tc>
          <w:tcPr>
            <w:tcW w:w="1558" w:type="dxa"/>
            <w:tcBorders>
              <w:top w:val="single" w:color="auto" w:sz="4" w:space="0"/>
              <w:bottom w:val="single" w:color="auto" w:sz="8" w:space="0"/>
            </w:tcBorders>
            <w:shd w:val="clear" w:color="auto" w:fill="auto"/>
            <w:vAlign w:val="center"/>
          </w:tcPr>
          <w:p>
            <w:pPr>
              <w:pStyle w:val="56"/>
              <w:ind w:firstLine="0" w:firstLineChars="0"/>
              <w:jc w:val="center"/>
              <w:rPr>
                <w:sz w:val="18"/>
                <w:szCs w:val="18"/>
              </w:rPr>
            </w:pPr>
            <w:r>
              <w:rPr>
                <w:rFonts w:hint="eastAsia" w:hAnsi="宋体"/>
                <w:sz w:val="18"/>
                <w:szCs w:val="18"/>
              </w:rPr>
              <w:t>二级</w:t>
            </w:r>
          </w:p>
        </w:tc>
        <w:tc>
          <w:tcPr>
            <w:tcW w:w="1558" w:type="dxa"/>
            <w:gridSpan w:val="2"/>
            <w:vMerge w:val="continue"/>
            <w:tcBorders>
              <w:top w:val="single" w:color="auto" w:sz="4" w:space="0"/>
              <w:bottom w:val="single" w:color="auto" w:sz="8" w:space="0"/>
              <w:right w:val="single" w:color="auto" w:sz="8" w:space="0"/>
            </w:tcBorders>
            <w:shd w:val="clear" w:color="auto" w:fill="auto"/>
            <w:vAlign w:val="center"/>
          </w:tcPr>
          <w:p>
            <w:pPr>
              <w:widowControl/>
              <w:jc w:val="left"/>
              <w:rPr>
                <w:rFonts w:ascii="宋体"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14" w:type="dxa"/>
            <w:gridSpan w:val="2"/>
            <w:tcBorders>
              <w:top w:val="single" w:color="auto" w:sz="8" w:space="0"/>
            </w:tcBorders>
            <w:shd w:val="clear" w:color="auto" w:fill="auto"/>
            <w:vAlign w:val="center"/>
          </w:tcPr>
          <w:p>
            <w:pPr>
              <w:pStyle w:val="56"/>
              <w:ind w:firstLine="0" w:firstLineChars="0"/>
              <w:rPr>
                <w:sz w:val="18"/>
                <w:szCs w:val="18"/>
              </w:rPr>
            </w:pPr>
            <w:r>
              <w:rPr>
                <w:rFonts w:hint="eastAsia" w:hAnsi="宋体"/>
                <w:sz w:val="18"/>
                <w:szCs w:val="18"/>
              </w:rPr>
              <w:t xml:space="preserve">可溶性固形物，%           </w:t>
            </w:r>
            <w:r>
              <w:rPr>
                <w:rFonts w:hint="eastAsia"/>
                <w:sz w:val="18"/>
                <w:szCs w:val="18"/>
              </w:rPr>
              <w:t xml:space="preserve">     </w:t>
            </w:r>
            <w:r>
              <w:rPr>
                <w:rFonts w:hint="eastAsia" w:hAnsi="宋体"/>
                <w:sz w:val="18"/>
                <w:szCs w:val="18"/>
              </w:rPr>
              <w:t>≥</w:t>
            </w:r>
          </w:p>
        </w:tc>
        <w:tc>
          <w:tcPr>
            <w:tcW w:w="1557" w:type="dxa"/>
            <w:tcBorders>
              <w:top w:val="single" w:color="auto" w:sz="8" w:space="0"/>
            </w:tcBorders>
            <w:shd w:val="clear" w:color="auto" w:fill="auto"/>
            <w:vAlign w:val="center"/>
          </w:tcPr>
          <w:p>
            <w:pPr>
              <w:pStyle w:val="56"/>
              <w:ind w:firstLine="0" w:firstLineChars="0"/>
              <w:jc w:val="center"/>
              <w:rPr>
                <w:sz w:val="18"/>
                <w:szCs w:val="18"/>
              </w:rPr>
            </w:pPr>
            <w:r>
              <w:rPr>
                <w:rFonts w:hint="eastAsia" w:hAnsi="宋体"/>
                <w:sz w:val="18"/>
                <w:szCs w:val="18"/>
              </w:rPr>
              <w:t>11.5</w:t>
            </w:r>
          </w:p>
        </w:tc>
        <w:tc>
          <w:tcPr>
            <w:tcW w:w="3115" w:type="dxa"/>
            <w:gridSpan w:val="2"/>
            <w:tcBorders>
              <w:top w:val="single" w:color="auto" w:sz="8" w:space="0"/>
            </w:tcBorders>
            <w:shd w:val="clear" w:color="auto" w:fill="auto"/>
            <w:vAlign w:val="center"/>
          </w:tcPr>
          <w:p>
            <w:pPr>
              <w:pStyle w:val="56"/>
              <w:ind w:firstLine="0" w:firstLineChars="0"/>
              <w:jc w:val="center"/>
              <w:rPr>
                <w:sz w:val="18"/>
                <w:szCs w:val="18"/>
              </w:rPr>
            </w:pPr>
            <w:r>
              <w:rPr>
                <w:rFonts w:hint="eastAsia" w:hAnsi="宋体"/>
                <w:sz w:val="18"/>
                <w:szCs w:val="18"/>
              </w:rPr>
              <w:t>10.5</w:t>
            </w:r>
          </w:p>
        </w:tc>
        <w:tc>
          <w:tcPr>
            <w:tcW w:w="1558" w:type="dxa"/>
            <w:gridSpan w:val="2"/>
            <w:tcBorders>
              <w:top w:val="single" w:color="auto" w:sz="8" w:space="0"/>
            </w:tcBorders>
            <w:shd w:val="clear" w:color="auto" w:fill="auto"/>
            <w:vAlign w:val="center"/>
          </w:tcPr>
          <w:p>
            <w:pPr>
              <w:pStyle w:val="56"/>
              <w:ind w:firstLine="0" w:firstLineChars="0"/>
              <w:jc w:val="center"/>
              <w:rPr>
                <w:sz w:val="18"/>
                <w:szCs w:val="18"/>
              </w:rPr>
            </w:pPr>
            <w:r>
              <w:rPr>
                <w:rFonts w:hint="eastAsia" w:hAnsi="宋体"/>
                <w:sz w:val="18"/>
                <w:szCs w:val="18"/>
              </w:rPr>
              <w:t>NY/T 2637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14" w:type="dxa"/>
            <w:gridSpan w:val="2"/>
            <w:shd w:val="clear" w:color="auto" w:fill="auto"/>
            <w:vAlign w:val="center"/>
          </w:tcPr>
          <w:p>
            <w:pPr>
              <w:pStyle w:val="56"/>
              <w:ind w:firstLine="0" w:firstLineChars="0"/>
              <w:rPr>
                <w:sz w:val="18"/>
                <w:szCs w:val="18"/>
              </w:rPr>
            </w:pPr>
            <w:r>
              <w:rPr>
                <w:rFonts w:hint="eastAsia" w:hAnsi="宋体"/>
                <w:sz w:val="18"/>
                <w:szCs w:val="18"/>
              </w:rPr>
              <w:t xml:space="preserve">总酸（以柠檬酸计），%     </w:t>
            </w:r>
            <w:r>
              <w:rPr>
                <w:rFonts w:hint="eastAsia"/>
                <w:sz w:val="18"/>
                <w:szCs w:val="18"/>
              </w:rPr>
              <w:t xml:space="preserve">      </w:t>
            </w:r>
            <w:r>
              <w:rPr>
                <w:rFonts w:hint="eastAsia" w:hAnsi="宋体"/>
                <w:sz w:val="18"/>
                <w:szCs w:val="18"/>
              </w:rPr>
              <w:t>≤</w:t>
            </w:r>
          </w:p>
        </w:tc>
        <w:tc>
          <w:tcPr>
            <w:tcW w:w="4672" w:type="dxa"/>
            <w:gridSpan w:val="3"/>
            <w:shd w:val="clear" w:color="auto" w:fill="auto"/>
            <w:vAlign w:val="center"/>
          </w:tcPr>
          <w:p>
            <w:pPr>
              <w:pStyle w:val="56"/>
              <w:ind w:firstLine="0" w:firstLineChars="0"/>
              <w:jc w:val="center"/>
              <w:rPr>
                <w:sz w:val="18"/>
                <w:szCs w:val="18"/>
              </w:rPr>
            </w:pPr>
            <w:r>
              <w:rPr>
                <w:rFonts w:hint="eastAsia" w:hAnsi="宋体"/>
                <w:sz w:val="18"/>
                <w:szCs w:val="18"/>
              </w:rPr>
              <w:t>0.85</w:t>
            </w:r>
          </w:p>
        </w:tc>
        <w:tc>
          <w:tcPr>
            <w:tcW w:w="1558" w:type="dxa"/>
            <w:gridSpan w:val="2"/>
            <w:shd w:val="clear" w:color="auto" w:fill="auto"/>
            <w:vAlign w:val="center"/>
          </w:tcPr>
          <w:p>
            <w:pPr>
              <w:pStyle w:val="56"/>
              <w:ind w:firstLine="0" w:firstLineChars="0"/>
              <w:jc w:val="center"/>
              <w:rPr>
                <w:sz w:val="18"/>
                <w:szCs w:val="18"/>
              </w:rPr>
            </w:pPr>
            <w:r>
              <w:rPr>
                <w:rFonts w:hint="eastAsia" w:hAnsi="宋体"/>
                <w:color w:val="auto"/>
                <w:sz w:val="18"/>
                <w:szCs w:val="18"/>
              </w:rPr>
              <w:t>GB 12456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858" w:hRule="atLeast"/>
        </w:trPr>
        <w:tc>
          <w:tcPr>
            <w:tcW w:w="1988" w:type="dxa"/>
            <w:vMerge w:val="restart"/>
            <w:tcBorders>
              <w:top w:val="nil"/>
              <w:left w:val="single" w:color="auto" w:sz="8" w:space="0"/>
              <w:bottom w:val="single" w:color="auto" w:sz="4" w:space="0"/>
              <w:right w:val="single" w:color="auto" w:sz="4" w:space="0"/>
            </w:tcBorders>
            <w:shd w:val="clear" w:color="auto" w:fill="auto"/>
            <w:vAlign w:val="center"/>
          </w:tcPr>
          <w:p>
            <w:pPr>
              <w:pStyle w:val="56"/>
              <w:ind w:firstLine="0" w:firstLineChars="0"/>
              <w:rPr>
                <w:sz w:val="18"/>
                <w:szCs w:val="18"/>
              </w:rPr>
            </w:pPr>
            <w:r>
              <w:rPr>
                <w:rFonts w:hint="eastAsia" w:hAnsi="宋体"/>
                <w:sz w:val="18"/>
                <w:szCs w:val="18"/>
              </w:rPr>
              <w:t>单果重，g         ≥</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6"/>
              <w:ind w:firstLine="0" w:firstLineChars="0"/>
              <w:rPr>
                <w:sz w:val="18"/>
                <w:szCs w:val="18"/>
              </w:rPr>
            </w:pPr>
            <w:r>
              <w:rPr>
                <w:rFonts w:hint="eastAsia" w:hAnsi="宋体"/>
                <w:sz w:val="18"/>
                <w:szCs w:val="18"/>
              </w:rPr>
              <w:t>东魁</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0"/>
              <w:widowControl w:val="0"/>
              <w:spacing w:beforeLines="0" w:afterLines="0"/>
              <w:ind w:left="0" w:firstLine="0"/>
              <w:jc w:val="center"/>
              <w:rPr>
                <w:rFonts w:ascii="宋体" w:hAnsi="宋体" w:eastAsia="宋体"/>
                <w:sz w:val="18"/>
                <w:szCs w:val="18"/>
              </w:rPr>
            </w:pPr>
            <w:r>
              <w:rPr>
                <w:rFonts w:hint="eastAsia" w:ascii="宋体" w:hAnsi="宋体" w:eastAsia="宋体"/>
                <w:sz w:val="18"/>
                <w:szCs w:val="18"/>
              </w:rPr>
              <w:t>25.0</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0"/>
              <w:widowControl w:val="0"/>
              <w:spacing w:beforeLines="0" w:afterLines="0"/>
              <w:ind w:left="0" w:firstLine="0"/>
              <w:jc w:val="center"/>
              <w:rPr>
                <w:rFonts w:ascii="宋体" w:hAnsi="宋体" w:eastAsia="宋体"/>
                <w:sz w:val="18"/>
                <w:szCs w:val="18"/>
              </w:rPr>
            </w:pPr>
            <w:r>
              <w:rPr>
                <w:rFonts w:hint="eastAsia" w:ascii="宋体" w:hAnsi="宋体" w:eastAsia="宋体"/>
                <w:sz w:val="18"/>
                <w:szCs w:val="18"/>
              </w:rPr>
              <w:t>21.0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0"/>
              <w:widowControl w:val="0"/>
              <w:spacing w:beforeLines="0" w:afterLines="0"/>
              <w:ind w:left="0" w:firstLine="0"/>
              <w:jc w:val="center"/>
              <w:rPr>
                <w:rFonts w:ascii="宋体" w:hAnsi="宋体" w:eastAsia="宋体"/>
                <w:sz w:val="18"/>
                <w:szCs w:val="18"/>
              </w:rPr>
            </w:pPr>
            <w:r>
              <w:rPr>
                <w:rFonts w:hint="eastAsia" w:ascii="宋体" w:hAnsi="宋体" w:eastAsia="宋体"/>
                <w:sz w:val="18"/>
                <w:szCs w:val="18"/>
              </w:rPr>
              <w:t>18.0</w:t>
            </w:r>
          </w:p>
        </w:tc>
        <w:tc>
          <w:tcPr>
            <w:tcW w:w="1548"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pStyle w:val="56"/>
              <w:ind w:firstLine="0" w:firstLineChars="0"/>
              <w:jc w:val="center"/>
              <w:rPr>
                <w:sz w:val="18"/>
                <w:szCs w:val="18"/>
              </w:rPr>
            </w:pPr>
            <w:r>
              <w:rPr>
                <w:rFonts w:hint="eastAsia" w:hAnsi="宋体"/>
                <w:sz w:val="18"/>
                <w:szCs w:val="18"/>
              </w:rPr>
              <w:t>LY/T 1747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988" w:type="dxa"/>
            <w:vMerge w:val="continue"/>
            <w:tcBorders>
              <w:top w:val="nil"/>
              <w:left w:val="single" w:color="auto" w:sz="8" w:space="0"/>
              <w:bottom w:val="single" w:color="auto" w:sz="8" w:space="0"/>
              <w:right w:val="single" w:color="auto" w:sz="4" w:space="0"/>
            </w:tcBorders>
            <w:shd w:val="clear" w:color="auto" w:fill="auto"/>
            <w:vAlign w:val="center"/>
          </w:tcPr>
          <w:p>
            <w:pPr>
              <w:widowControl/>
              <w:spacing w:beforeAutospacing="1" w:afterAutospacing="1"/>
              <w:jc w:val="left"/>
              <w:rPr>
                <w:rFonts w:ascii="宋体" w:hAnsi="Times New Roman"/>
                <w:kern w:val="0"/>
                <w:sz w:val="18"/>
                <w:szCs w:val="18"/>
              </w:rPr>
            </w:pPr>
          </w:p>
        </w:tc>
        <w:tc>
          <w:tcPr>
            <w:tcW w:w="1126" w:type="dxa"/>
            <w:tcBorders>
              <w:top w:val="single" w:color="auto" w:sz="4" w:space="0"/>
              <w:left w:val="single" w:color="auto" w:sz="4" w:space="0"/>
              <w:bottom w:val="single" w:color="auto" w:sz="8" w:space="0"/>
              <w:right w:val="single" w:color="auto" w:sz="4" w:space="0"/>
            </w:tcBorders>
            <w:shd w:val="clear" w:color="auto" w:fill="auto"/>
            <w:vAlign w:val="center"/>
          </w:tcPr>
          <w:p>
            <w:pPr>
              <w:pStyle w:val="56"/>
              <w:ind w:firstLine="0" w:firstLineChars="0"/>
              <w:rPr>
                <w:sz w:val="18"/>
                <w:szCs w:val="18"/>
              </w:rPr>
            </w:pPr>
            <w:r>
              <w:rPr>
                <w:rFonts w:hint="eastAsia" w:hAnsi="宋体"/>
                <w:sz w:val="18"/>
                <w:szCs w:val="18"/>
              </w:rPr>
              <w:t>荸荠梅</w:t>
            </w:r>
          </w:p>
        </w:tc>
        <w:tc>
          <w:tcPr>
            <w:tcW w:w="4672"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pStyle w:val="230"/>
              <w:widowControl w:val="0"/>
              <w:spacing w:beforeLines="0" w:afterLines="0"/>
              <w:ind w:left="2083" w:leftChars="906" w:hanging="180" w:hangingChars="100"/>
              <w:rPr>
                <w:rFonts w:ascii="宋体" w:hAnsi="宋体" w:eastAsia="宋体"/>
                <w:sz w:val="18"/>
                <w:szCs w:val="18"/>
              </w:rPr>
            </w:pPr>
            <w:r>
              <w:rPr>
                <w:rFonts w:hint="eastAsia" w:ascii="宋体" w:hAnsi="宋体" w:eastAsia="宋体"/>
                <w:sz w:val="18"/>
                <w:szCs w:val="18"/>
              </w:rPr>
              <w:t>12.0</w:t>
            </w:r>
          </w:p>
        </w:tc>
        <w:tc>
          <w:tcPr>
            <w:tcW w:w="1548" w:type="dxa"/>
            <w:vMerge w:val="continue"/>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beforeAutospacing="1" w:afterAutospacing="1"/>
              <w:jc w:val="left"/>
              <w:rPr>
                <w:rFonts w:ascii="宋体" w:hAnsi="Times New Roman"/>
                <w:kern w:val="0"/>
                <w:sz w:val="18"/>
                <w:szCs w:val="18"/>
              </w:rPr>
            </w:pPr>
          </w:p>
        </w:tc>
      </w:tr>
    </w:tbl>
    <w:p>
      <w:pPr>
        <w:pStyle w:val="105"/>
        <w:spacing w:before="156" w:after="156"/>
      </w:pPr>
      <w:r>
        <w:rPr>
          <w:rFonts w:hint="eastAsia"/>
        </w:rPr>
        <w:t>安全性指标</w:t>
      </w:r>
    </w:p>
    <w:p>
      <w:pPr>
        <w:pStyle w:val="56"/>
        <w:ind w:firstLine="420"/>
      </w:pPr>
      <w:r>
        <w:rPr>
          <w:rFonts w:hint="eastAsia"/>
        </w:rPr>
        <w:t>安全性指标及检测方法符合GB 2762、GB 2763的规定。</w:t>
      </w:r>
    </w:p>
    <w:p>
      <w:pPr>
        <w:pStyle w:val="105"/>
        <w:spacing w:before="156" w:after="156"/>
      </w:pPr>
      <w:r>
        <w:rPr>
          <w:rFonts w:hint="eastAsia"/>
        </w:rPr>
        <w:t>净含量</w:t>
      </w:r>
    </w:p>
    <w:p>
      <w:pPr>
        <w:pStyle w:val="56"/>
        <w:ind w:firstLine="420"/>
      </w:pPr>
      <w:r>
        <w:rPr>
          <w:rFonts w:hint="eastAsia"/>
        </w:rPr>
        <w:t>定量包装应符合《定量包装商品计量监督管理办法》的规定，并按照JJF 1070的规定测定。</w:t>
      </w:r>
    </w:p>
    <w:p>
      <w:pPr>
        <w:pStyle w:val="104"/>
        <w:spacing w:before="312" w:after="312"/>
      </w:pPr>
      <w:r>
        <w:rPr>
          <w:rFonts w:hint="eastAsia"/>
        </w:rPr>
        <w:t>检验规则</w:t>
      </w:r>
    </w:p>
    <w:p>
      <w:pPr>
        <w:pStyle w:val="105"/>
        <w:spacing w:before="156" w:after="156"/>
      </w:pPr>
      <w:r>
        <w:rPr>
          <w:rFonts w:hint="eastAsia"/>
        </w:rPr>
        <w:t>组批</w:t>
      </w:r>
    </w:p>
    <w:p>
      <w:pPr>
        <w:pStyle w:val="56"/>
        <w:ind w:firstLine="420"/>
      </w:pPr>
      <w:r>
        <w:rPr>
          <w:rFonts w:hint="eastAsia"/>
        </w:rPr>
        <w:t>同一生产基地、同品种、同等级、同期采收、同成熟度、同贮藏条件、同包装日期的产品为一个检验批次</w:t>
      </w:r>
    </w:p>
    <w:p>
      <w:pPr>
        <w:pStyle w:val="105"/>
        <w:spacing w:before="156" w:after="156"/>
      </w:pPr>
      <w:r>
        <w:rPr>
          <w:rFonts w:hint="eastAsia"/>
        </w:rPr>
        <w:t>抽样</w:t>
      </w:r>
    </w:p>
    <w:p>
      <w:pPr>
        <w:pStyle w:val="56"/>
        <w:ind w:firstLine="420"/>
      </w:pPr>
      <w:r>
        <w:rPr>
          <w:rFonts w:hint="eastAsia" w:hAnsi="宋体"/>
        </w:rPr>
        <w:t>按照</w:t>
      </w:r>
      <w:r>
        <w:rPr>
          <w:rFonts w:hint="eastAsia"/>
        </w:rPr>
        <w:t>NY/T 896</w:t>
      </w:r>
      <w:r>
        <w:rPr>
          <w:rFonts w:hint="eastAsia" w:hAnsi="宋体"/>
        </w:rPr>
        <w:t>的规定进行。</w:t>
      </w:r>
    </w:p>
    <w:p>
      <w:pPr>
        <w:pStyle w:val="105"/>
        <w:spacing w:before="156" w:after="156"/>
      </w:pPr>
      <w:r>
        <w:rPr>
          <w:rFonts w:hint="eastAsia"/>
        </w:rPr>
        <w:t>交收检验</w:t>
      </w:r>
    </w:p>
    <w:p>
      <w:pPr>
        <w:pStyle w:val="56"/>
        <w:ind w:firstLine="420"/>
      </w:pPr>
      <w:r>
        <w:rPr>
          <w:rFonts w:hint="eastAsia"/>
        </w:rPr>
        <w:t>每批产品在交收前，生产单位都应进行交收检验。检验项目包括：感官、净含量、包装、标志等。</w:t>
      </w:r>
    </w:p>
    <w:p>
      <w:pPr>
        <w:pStyle w:val="105"/>
        <w:spacing w:before="156" w:after="156"/>
      </w:pPr>
      <w:r>
        <w:rPr>
          <w:rFonts w:hint="eastAsia"/>
        </w:rPr>
        <w:t>型式检验</w:t>
      </w:r>
    </w:p>
    <w:p>
      <w:pPr>
        <w:pStyle w:val="56"/>
        <w:ind w:firstLine="420"/>
      </w:pPr>
      <w:r>
        <w:rPr>
          <w:rFonts w:hint="eastAsia"/>
        </w:rPr>
        <w:t>当有下列情形之一时，需要进行型式检验，检验项目为</w:t>
      </w:r>
      <w:r>
        <w:rPr>
          <w:rFonts w:hint="eastAsia"/>
          <w:color w:val="000000" w:themeColor="text1"/>
          <w14:textFill>
            <w14:solidFill>
              <w14:schemeClr w14:val="tx1"/>
            </w14:solidFill>
          </w14:textFill>
        </w:rPr>
        <w:t>第7章</w:t>
      </w:r>
      <w:r>
        <w:rPr>
          <w:rFonts w:hint="eastAsia"/>
        </w:rPr>
        <w:t>中规定的全部项目。</w:t>
      </w:r>
    </w:p>
    <w:p>
      <w:pPr>
        <w:pStyle w:val="174"/>
      </w:pPr>
      <w:r>
        <w:rPr>
          <w:rFonts w:hint="eastAsia"/>
        </w:rPr>
        <w:t>两次抽检结果差异较大时；</w:t>
      </w:r>
    </w:p>
    <w:p>
      <w:pPr>
        <w:pStyle w:val="174"/>
      </w:pPr>
      <w:r>
        <w:rPr>
          <w:rFonts w:hint="eastAsia"/>
        </w:rPr>
        <w:t>种植环境发生较大改变时；</w:t>
      </w:r>
    </w:p>
    <w:p>
      <w:pPr>
        <w:pStyle w:val="174"/>
      </w:pPr>
      <w:r>
        <w:rPr>
          <w:rFonts w:hint="eastAsia"/>
        </w:rPr>
        <w:t>国家法定质量监管机构提出型式检验要求时。</w:t>
      </w:r>
    </w:p>
    <w:p>
      <w:pPr>
        <w:pStyle w:val="105"/>
        <w:spacing w:before="156" w:after="156"/>
      </w:pPr>
      <w:r>
        <w:rPr>
          <w:rFonts w:hint="eastAsia"/>
        </w:rPr>
        <w:t>判定规则</w:t>
      </w:r>
    </w:p>
    <w:p>
      <w:pPr>
        <w:pStyle w:val="165"/>
      </w:pPr>
      <w:r>
        <w:rPr>
          <w:rFonts w:hint="eastAsia"/>
        </w:rPr>
        <w:t>理化指标、安全性指标、净含量均合格，感官指标的总不合格品百分率不超过10%，该批产品判为合格。</w:t>
      </w:r>
    </w:p>
    <w:p>
      <w:pPr>
        <w:pStyle w:val="165"/>
      </w:pPr>
      <w:r>
        <w:rPr>
          <w:rFonts w:hint="eastAsia"/>
        </w:rPr>
        <w:t>安全性指标或理化指标不合格，或感官指标的总不合格品百分率超过10%，则该批产品判为不合格。</w:t>
      </w:r>
    </w:p>
    <w:p>
      <w:pPr>
        <w:pStyle w:val="165"/>
      </w:pPr>
      <w:r>
        <w:rPr>
          <w:rFonts w:hint="eastAsia"/>
        </w:rPr>
        <w:t>包装不合格，或不符合明示质量等级，或净含量不合格，允许按本文件要求复检一次，并以复检结果为准。</w:t>
      </w:r>
    </w:p>
    <w:p>
      <w:pPr>
        <w:pStyle w:val="165"/>
      </w:pPr>
      <w:r>
        <w:rPr>
          <w:rFonts w:hint="eastAsia"/>
        </w:rPr>
        <w:t>其他指标符合要求，若单果重指标不合格，可作降级处理，低于二级品的判为不合格。</w:t>
      </w:r>
    </w:p>
    <w:p>
      <w:pPr>
        <w:pStyle w:val="104"/>
        <w:spacing w:before="312" w:after="312"/>
      </w:pPr>
      <w:r>
        <w:rPr>
          <w:rFonts w:hint="eastAsia"/>
        </w:rPr>
        <w:t>标志、标签、包装、运输与贮存</w:t>
      </w:r>
    </w:p>
    <w:p>
      <w:pPr>
        <w:pStyle w:val="105"/>
        <w:spacing w:before="156" w:after="156"/>
      </w:pPr>
      <w:r>
        <w:rPr>
          <w:rFonts w:hint="eastAsia"/>
        </w:rPr>
        <w:t>标志、标签</w:t>
      </w:r>
    </w:p>
    <w:p>
      <w:pPr>
        <w:pStyle w:val="56"/>
        <w:ind w:firstLine="420"/>
      </w:pPr>
      <w:r>
        <w:rPr>
          <w:rFonts w:hint="eastAsia"/>
        </w:rPr>
        <w:t>应符合GB/T191、NY/T 1778及《地理标志专用标志使用管理办法（试行）》的规定。</w:t>
      </w:r>
    </w:p>
    <w:p>
      <w:pPr>
        <w:pStyle w:val="105"/>
        <w:spacing w:before="156" w:after="156"/>
      </w:pPr>
      <w:r>
        <w:rPr>
          <w:rFonts w:hint="eastAsia"/>
        </w:rPr>
        <w:t>包装</w:t>
      </w:r>
    </w:p>
    <w:p>
      <w:pPr>
        <w:pStyle w:val="165"/>
      </w:pPr>
      <w:r>
        <w:rPr>
          <w:rFonts w:hint="eastAsia"/>
        </w:rPr>
        <w:t>内包装应清洁、卫生、干燥、无毒、无异味，不影响鲜果品质。外包装应抗压、防潮、通风透气，对鲜果具有良好保护作用。</w:t>
      </w:r>
    </w:p>
    <w:p>
      <w:pPr>
        <w:pStyle w:val="165"/>
      </w:pPr>
      <w:r>
        <w:rPr>
          <w:rFonts w:hint="eastAsia"/>
        </w:rPr>
        <w:t>杨梅果品应按同质量等级分别包装。</w:t>
      </w:r>
    </w:p>
    <w:p>
      <w:pPr>
        <w:pStyle w:val="105"/>
        <w:spacing w:before="156" w:after="156"/>
      </w:pPr>
      <w:r>
        <w:rPr>
          <w:rFonts w:hint="eastAsia"/>
        </w:rPr>
        <w:t>运输</w:t>
      </w:r>
    </w:p>
    <w:p>
      <w:pPr>
        <w:pStyle w:val="165"/>
      </w:pPr>
      <w:r>
        <w:rPr>
          <w:rFonts w:hint="eastAsia"/>
        </w:rPr>
        <w:t>运输工具应清洁、干燥、无异味、无污染。</w:t>
      </w:r>
    </w:p>
    <w:p>
      <w:pPr>
        <w:pStyle w:val="165"/>
      </w:pPr>
      <w:r>
        <w:rPr>
          <w:rFonts w:hint="eastAsia"/>
        </w:rPr>
        <w:t>运输时轻装、轻卸，防机械损伤。优先使用减振工具。</w:t>
      </w:r>
    </w:p>
    <w:p>
      <w:pPr>
        <w:pStyle w:val="165"/>
      </w:pPr>
      <w:r>
        <w:rPr>
          <w:rFonts w:hint="eastAsia"/>
        </w:rPr>
        <w:t>运输过程应防雨、防潮、防曝晒、防污染，严禁与有污染的物品混装。</w:t>
      </w:r>
    </w:p>
    <w:p>
      <w:pPr>
        <w:pStyle w:val="165"/>
      </w:pPr>
      <w:r>
        <w:rPr>
          <w:rFonts w:hint="eastAsia"/>
        </w:rPr>
        <w:t>长途运输宜冷藏保存。</w:t>
      </w:r>
    </w:p>
    <w:p>
      <w:pPr>
        <w:pStyle w:val="105"/>
        <w:spacing w:before="156" w:after="156"/>
      </w:pPr>
      <w:r>
        <w:rPr>
          <w:rFonts w:hint="eastAsia"/>
        </w:rPr>
        <w:t>贮存</w:t>
      </w:r>
      <w:r>
        <w:tab/>
      </w:r>
    </w:p>
    <w:p>
      <w:pPr>
        <w:pStyle w:val="165"/>
      </w:pPr>
      <w:r>
        <w:rPr>
          <w:rFonts w:hint="eastAsia"/>
        </w:rPr>
        <w:t>场所清洁、干燥、阴凉、通风、无异味，不与有毒、有害、易污染的物品混贮。</w:t>
      </w:r>
    </w:p>
    <w:p>
      <w:pPr>
        <w:pStyle w:val="165"/>
      </w:pPr>
      <w:r>
        <w:rPr>
          <w:rFonts w:hint="eastAsia"/>
        </w:rPr>
        <w:t>宜采用冷藏保存。</w:t>
      </w:r>
    </w:p>
    <w:p>
      <w:pPr>
        <w:pStyle w:val="104"/>
        <w:spacing w:before="312" w:after="312"/>
      </w:pPr>
      <w:r>
        <w:rPr>
          <w:rFonts w:hint="eastAsia"/>
        </w:rPr>
        <w:t>档案管理</w:t>
      </w:r>
    </w:p>
    <w:p>
      <w:pPr>
        <w:pStyle w:val="162"/>
      </w:pPr>
      <w:r>
        <w:rPr>
          <w:rFonts w:hint="eastAsia"/>
        </w:rPr>
        <w:t>建立和实施生产档案，记录内容应当真实反映整个生产过程。</w:t>
      </w:r>
    </w:p>
    <w:p>
      <w:pPr>
        <w:pStyle w:val="162"/>
      </w:pPr>
      <w:r>
        <w:rPr>
          <w:rFonts w:hint="eastAsia"/>
          <w:szCs w:val="22"/>
        </w:rPr>
        <w:t>生产记录应包括：使用农业投入品的名称、来源、用法、用量和使用、停用的日期；植物病虫草害的发生和防治情况；收获日期；检验检测情况等。</w:t>
      </w:r>
    </w:p>
    <w:p>
      <w:pPr>
        <w:pStyle w:val="162"/>
      </w:pPr>
      <w:r>
        <w:rPr>
          <w:rFonts w:hint="eastAsia"/>
          <w:szCs w:val="22"/>
        </w:rPr>
        <w:t>生产记录应由档案管理人员按类别、产品等建立目录，整理、汇总、装订成册后归档，并妥善保管。生产记录应保存2年。</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pPr>
        <w:pStyle w:val="198"/>
        <w:rPr>
          <w:vanish w:val="0"/>
        </w:rPr>
      </w:pPr>
      <w:bookmarkStart w:id="43" w:name="BookMark5"/>
    </w:p>
    <w:p>
      <w:pPr>
        <w:pStyle w:val="199"/>
        <w:rPr>
          <w:vanish w:val="0"/>
        </w:rPr>
      </w:pPr>
    </w:p>
    <w:p>
      <w:pPr>
        <w:pStyle w:val="76"/>
        <w:spacing w:after="156"/>
      </w:pPr>
      <w:r>
        <w:br w:type="textWrapping"/>
      </w:r>
      <w:r>
        <w:rPr>
          <w:rFonts w:hint="eastAsia"/>
        </w:rPr>
        <w:t>（规范性）</w:t>
      </w:r>
      <w:r>
        <w:br w:type="textWrapping"/>
      </w:r>
      <w:r>
        <w:rPr>
          <w:rFonts w:hint="eastAsia"/>
        </w:rPr>
        <w:t>富民杨梅地理标志产品保护范围图</w:t>
      </w:r>
    </w:p>
    <w:p>
      <w:pPr>
        <w:pStyle w:val="56"/>
        <w:ind w:firstLine="420"/>
      </w:pPr>
      <w:r>
        <w:rPr>
          <w:rFonts w:hint="eastAsia"/>
        </w:rPr>
        <w:t>富民杨梅地理标志产品保护范围见图A.1。</w:t>
      </w:r>
    </w:p>
    <w:p>
      <w:pPr>
        <w:pStyle w:val="56"/>
        <w:ind w:firstLine="420"/>
        <w:jc w:val="center"/>
      </w:pPr>
      <w:r>
        <w:rPr>
          <w:rFonts w:hint="eastAsia"/>
          <w:szCs w:val="21"/>
        </w:rPr>
        <w:drawing>
          <wp:inline distT="0" distB="0" distL="114300" distR="114300">
            <wp:extent cx="4086225" cy="4686300"/>
            <wp:effectExtent l="0" t="0" r="9525" b="0"/>
            <wp:docPr id="1" name="图片 1" descr="微信图片_2024042713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427133254"/>
                    <pic:cNvPicPr>
                      <a:picLocks noChangeAspect="1"/>
                    </pic:cNvPicPr>
                  </pic:nvPicPr>
                  <pic:blipFill>
                    <a:blip r:embed="rId12"/>
                    <a:stretch>
                      <a:fillRect/>
                    </a:stretch>
                  </pic:blipFill>
                  <pic:spPr>
                    <a:xfrm>
                      <a:off x="0" y="0"/>
                      <a:ext cx="4086225" cy="4686300"/>
                    </a:xfrm>
                    <a:prstGeom prst="rect">
                      <a:avLst/>
                    </a:prstGeom>
                  </pic:spPr>
                </pic:pic>
              </a:graphicData>
            </a:graphic>
          </wp:inline>
        </w:drawing>
      </w:r>
    </w:p>
    <w:p>
      <w:pPr>
        <w:pStyle w:val="83"/>
        <w:spacing w:before="156" w:after="156"/>
        <w:rPr>
          <w:szCs w:val="21"/>
        </w:rPr>
      </w:pPr>
      <w:r>
        <w:rPr>
          <w:rFonts w:hint="eastAsia"/>
        </w:rPr>
        <w:t>富民杨梅地理标志产品保护范围图</w:t>
      </w:r>
    </w:p>
    <w:bookmarkEnd w:id="43"/>
    <w:p>
      <w:pPr>
        <w:pStyle w:val="56"/>
        <w:ind w:firstLine="0" w:firstLineChars="0"/>
        <w:jc w:val="center"/>
      </w:pPr>
      <w:bookmarkStart w:id="44" w:name="BookMark8"/>
      <w:r>
        <w:drawing>
          <wp:inline distT="0" distB="0" distL="0" distR="0">
            <wp:extent cx="1485900" cy="317500"/>
            <wp:effectExtent l="0" t="0" r="0" b="6350"/>
            <wp:docPr id="114591475" name="图片 1"/>
            <wp:cNvGraphicFramePr/>
            <a:graphic xmlns:a="http://schemas.openxmlformats.org/drawingml/2006/main">
              <a:graphicData uri="http://schemas.openxmlformats.org/drawingml/2006/picture">
                <pic:pic xmlns:pic="http://schemas.openxmlformats.org/drawingml/2006/picture">
                  <pic:nvPicPr>
                    <pic:cNvPr id="114591475"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DB5301/T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DB5301/T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kOGIwMDdiODc2NDYzYmM1MDNhNjdkMjIxMmExYmQifQ=="/>
  </w:docVars>
  <w:rsids>
    <w:rsidRoot w:val="0092066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383"/>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82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25F"/>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C1D"/>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A68"/>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B68"/>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178"/>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2E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660"/>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1FA"/>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389"/>
    <w:rsid w:val="00B378E5"/>
    <w:rsid w:val="00B4346D"/>
    <w:rsid w:val="00B440F4"/>
    <w:rsid w:val="00B447A5"/>
    <w:rsid w:val="00B4654C"/>
    <w:rsid w:val="00B46AF0"/>
    <w:rsid w:val="00B47293"/>
    <w:rsid w:val="00B50E50"/>
    <w:rsid w:val="00B52120"/>
    <w:rsid w:val="00B54ABC"/>
    <w:rsid w:val="00B54DDE"/>
    <w:rsid w:val="00B56FBE"/>
    <w:rsid w:val="00B60ACF"/>
    <w:rsid w:val="00B62220"/>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4F4"/>
    <w:rsid w:val="00C6329F"/>
    <w:rsid w:val="00C63340"/>
    <w:rsid w:val="00C6389D"/>
    <w:rsid w:val="00C643F9"/>
    <w:rsid w:val="00C64E95"/>
    <w:rsid w:val="00C71372"/>
    <w:rsid w:val="00C723EF"/>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88D"/>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BDF"/>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64493D"/>
    <w:rsid w:val="06826B71"/>
    <w:rsid w:val="08FA50E4"/>
    <w:rsid w:val="0BF26547"/>
    <w:rsid w:val="0CFD0298"/>
    <w:rsid w:val="122136E2"/>
    <w:rsid w:val="13FA46C5"/>
    <w:rsid w:val="14EF59A4"/>
    <w:rsid w:val="16CD3CC2"/>
    <w:rsid w:val="1B8151F1"/>
    <w:rsid w:val="1C3940D2"/>
    <w:rsid w:val="1C6A3ED7"/>
    <w:rsid w:val="1D33076D"/>
    <w:rsid w:val="1E5D0198"/>
    <w:rsid w:val="22DB5B2F"/>
    <w:rsid w:val="24F609FE"/>
    <w:rsid w:val="288A1B89"/>
    <w:rsid w:val="28EC5824"/>
    <w:rsid w:val="29310257"/>
    <w:rsid w:val="2C1D2D14"/>
    <w:rsid w:val="2F3937BD"/>
    <w:rsid w:val="31BE28A4"/>
    <w:rsid w:val="34336A91"/>
    <w:rsid w:val="356B2D42"/>
    <w:rsid w:val="357D4824"/>
    <w:rsid w:val="3B077069"/>
    <w:rsid w:val="3EB47508"/>
    <w:rsid w:val="4049093E"/>
    <w:rsid w:val="42905B96"/>
    <w:rsid w:val="43BF6C09"/>
    <w:rsid w:val="44610A00"/>
    <w:rsid w:val="44AB56A6"/>
    <w:rsid w:val="45FC3543"/>
    <w:rsid w:val="463D6035"/>
    <w:rsid w:val="481132D5"/>
    <w:rsid w:val="49D071C0"/>
    <w:rsid w:val="4A353E64"/>
    <w:rsid w:val="4B1A39B0"/>
    <w:rsid w:val="4B425E9C"/>
    <w:rsid w:val="4DC42B98"/>
    <w:rsid w:val="515145D5"/>
    <w:rsid w:val="51E568EC"/>
    <w:rsid w:val="534B625F"/>
    <w:rsid w:val="559E0172"/>
    <w:rsid w:val="56B934B6"/>
    <w:rsid w:val="5798756F"/>
    <w:rsid w:val="585651F5"/>
    <w:rsid w:val="58FC6629"/>
    <w:rsid w:val="5AA500A3"/>
    <w:rsid w:val="5B3F7D02"/>
    <w:rsid w:val="607E307A"/>
    <w:rsid w:val="61783F6D"/>
    <w:rsid w:val="626F653F"/>
    <w:rsid w:val="64416899"/>
    <w:rsid w:val="648844C8"/>
    <w:rsid w:val="67051E04"/>
    <w:rsid w:val="67E67E83"/>
    <w:rsid w:val="69E421A0"/>
    <w:rsid w:val="6BBB33D4"/>
    <w:rsid w:val="6E8472F1"/>
    <w:rsid w:val="6FE0776D"/>
    <w:rsid w:val="771F6F0D"/>
    <w:rsid w:val="7CE81B5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uiPriority w:val="0"/>
    <w:rPr>
      <w:rFonts w:ascii="黑体" w:eastAsia="黑体"/>
      <w:spacing w:val="85"/>
      <w:w w:val="100"/>
      <w:position w:val="3"/>
      <w:sz w:val="28"/>
      <w:szCs w:val="28"/>
    </w:rPr>
  </w:style>
  <w:style w:type="paragraph" w:customStyle="1" w:styleId="230">
    <w:name w:val="章标题"/>
    <w:basedOn w:val="1"/>
    <w:next w:val="1"/>
    <w:uiPriority w:val="0"/>
    <w:pPr>
      <w:widowControl/>
      <w:adjustRightInd/>
      <w:spacing w:beforeLines="50" w:afterLines="50" w:line="240" w:lineRule="auto"/>
      <w:ind w:left="1838" w:hanging="420"/>
      <w:outlineLvl w:val="1"/>
    </w:pPr>
    <w:rPr>
      <w:rFonts w:ascii="黑体" w:hAnsi="Times New Roman" w:eastAsia="黑体"/>
      <w:kern w:val="0"/>
    </w:rPr>
  </w:style>
  <w:style w:type="paragraph" w:customStyle="1" w:styleId="231">
    <w:name w:val="Normal"/>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6C756A0ACE461BB5FE40B8B37B332F"/>
        <w:style w:val=""/>
        <w:category>
          <w:name w:val="常规"/>
          <w:gallery w:val="placeholder"/>
        </w:category>
        <w:types>
          <w:type w:val="bbPlcHdr"/>
        </w:types>
        <w:behaviors>
          <w:behavior w:val="content"/>
        </w:behaviors>
        <w:description w:val=""/>
        <w:guid w:val="{E2863ADF-852F-47EA-8106-07CFFA1461C6}"/>
      </w:docPartPr>
      <w:docPartBody>
        <w:p>
          <w:pPr>
            <w:pStyle w:val="5"/>
          </w:pPr>
          <w:r>
            <w:rPr>
              <w:rStyle w:val="4"/>
              <w:rFonts w:hint="eastAsia"/>
            </w:rPr>
            <w:t>单击或点击此处输入文字。</w:t>
          </w:r>
        </w:p>
      </w:docPartBody>
    </w:docPart>
    <w:docPart>
      <w:docPartPr>
        <w:name w:val="B248CB9F5C11425282DC0A5F3F776B01"/>
        <w:style w:val=""/>
        <w:category>
          <w:name w:val="常规"/>
          <w:gallery w:val="placeholder"/>
        </w:category>
        <w:types>
          <w:type w:val="bbPlcHdr"/>
        </w:types>
        <w:behaviors>
          <w:behavior w:val="content"/>
        </w:behaviors>
        <w:description w:val=""/>
        <w:guid w:val="{98292CCB-FE99-4E3B-B02C-03B341F7C162}"/>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CB"/>
    <w:rsid w:val="002F6524"/>
    <w:rsid w:val="003B7A68"/>
    <w:rsid w:val="004E5A4B"/>
    <w:rsid w:val="005C55CB"/>
    <w:rsid w:val="00667178"/>
    <w:rsid w:val="00C741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876C756A0ACE461BB5FE40B8B37B33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248CB9F5C11425282DC0A5F3F776B0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B987D-3A73-4F9E-BAA3-B80793BAD0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686</Words>
  <Characters>3916</Characters>
  <Lines>32</Lines>
  <Paragraphs>9</Paragraphs>
  <TotalTime>0</TotalTime>
  <ScaleCrop>false</ScaleCrop>
  <LinksUpToDate>false</LinksUpToDate>
  <CharactersWithSpaces>4593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2024-04-30T01:52:00Z</dcterms:created>
  <dc:creator>lenovo</dc:creator>
  <dc:description>&lt;config cover="true" show_menu="true" version="1.0.0" doctype="SDKXY"&gt;_x000d_
&lt;/config&gt;</dc:description>
  <cp:lastModifiedBy>NTKO</cp:lastModifiedBy>
  <cp:lastPrinted>2020-08-30T10:00:00Z</cp:lastPrinted>
  <dcterms:modified xsi:type="dcterms:W3CDTF">2024-05-21T02:09:28Z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2052-10.8.0.5950</vt:lpwstr>
  </property>
  <property fmtid="{D5CDD505-2E9C-101B-9397-08002B2CF9AE}" pid="15" name="ICV">
    <vt:lpwstr>1BA2786C697A4B998B36F9C988D77857_12</vt:lpwstr>
  </property>
</Properties>
</file>