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Times New Roman" w:eastAsia="方正黑体_GBK"/>
          <w:sz w:val="32"/>
          <w:szCs w:val="32"/>
        </w:rPr>
      </w:pPr>
      <w:r>
        <w:rPr>
          <w:rFonts w:hint="eastAsia" w:ascii="Times New Roman" w:eastAsia="方正黑体_GBK"/>
          <w:sz w:val="32"/>
          <w:szCs w:val="32"/>
        </w:rPr>
        <w:t>附件</w:t>
      </w:r>
    </w:p>
    <w:p>
      <w:pPr>
        <w:adjustRightInd w:val="0"/>
        <w:snapToGrid w:val="0"/>
        <w:spacing w:before="319" w:beforeLines="100" w:after="319" w:afterLines="100" w:line="600" w:lineRule="exact"/>
        <w:jc w:val="center"/>
        <w:rPr>
          <w:rFonts w:ascii="Times New Roman" w:eastAsia="方正小标宋_GBK"/>
          <w:sz w:val="44"/>
          <w:szCs w:val="44"/>
        </w:rPr>
      </w:pPr>
      <w:r>
        <w:rPr>
          <w:rFonts w:hint="eastAsia" w:ascii="Times New Roman" w:eastAsia="方正小标宋_GBK"/>
          <w:sz w:val="44"/>
          <w:szCs w:val="44"/>
        </w:rPr>
        <w:t>地方标准发布目录</w:t>
      </w:r>
    </w:p>
    <w:p>
      <w:pPr>
        <w:adjustRightInd w:val="0"/>
        <w:snapToGrid w:val="0"/>
        <w:spacing w:line="20" w:lineRule="exact"/>
        <w:ind w:firstLine="420" w:firstLineChars="200"/>
      </w:pPr>
    </w:p>
    <w:tbl>
      <w:tblPr>
        <w:tblStyle w:val="7"/>
        <w:tblW w:w="1417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323"/>
        <w:gridCol w:w="4785"/>
        <w:gridCol w:w="1457"/>
        <w:gridCol w:w="1292"/>
        <w:gridCol w:w="1609"/>
        <w:gridCol w:w="18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89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</w:rPr>
              <w:t>序号</w:t>
            </w:r>
          </w:p>
        </w:tc>
        <w:tc>
          <w:tcPr>
            <w:tcW w:w="2323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</w:rPr>
              <w:t>标准编号</w:t>
            </w:r>
          </w:p>
        </w:tc>
        <w:tc>
          <w:tcPr>
            <w:tcW w:w="478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</w:rPr>
              <w:t>标准名称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批准日期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实施日期</w:t>
            </w:r>
          </w:p>
        </w:tc>
        <w:tc>
          <w:tcPr>
            <w:tcW w:w="1609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</w:rPr>
              <w:t>ICS编号</w:t>
            </w:r>
          </w:p>
        </w:tc>
        <w:tc>
          <w:tcPr>
            <w:tcW w:w="1814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</w:rPr>
              <w:t>中国标准文献分类号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1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2952-2024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新农村休闲农业与乡村旅游场所雷电防护技术规范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91.120.40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K30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2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2953-2024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养老机构认知障碍老年人照护服务规范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03.080.01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A20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3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2954-2024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旅游业反食品浪费行为规范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03.160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A01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4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  <w:highlight w:val="yellow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2955-2024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  <w:highlight w:val="yellow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等值反磁通瞬变电磁法探测技术规范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  <w:highlight w:val="yellow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  <w:highlight w:val="yellow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  <w:highlight w:val="yellow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17.220.20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  <w:highlight w:val="yellow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A55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5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  <w:highlight w:val="yellow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2956-2024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  <w:highlight w:val="yellow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红层软岩路基设计与施工技术规程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  <w:highlight w:val="yellow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  <w:highlight w:val="yellow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  <w:highlight w:val="yellow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93.080.10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  <w:highlight w:val="yellow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P66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6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2957-2024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水质 高氯酸盐的测定 离子色谱法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13.020.40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Z60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7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2958-2024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莓茶气候品质评价技术规范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93.080.10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P66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8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2959-2024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超高性能混凝土人行天桥技术规程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93.080.10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P66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9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2960-2024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公路水运工程“一会三卡”管理规范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93.080.10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P66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10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2961-2024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智能网联车-车通信中继节点选择技术指南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35.100.40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M10/22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11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2962-2024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莲缢管蚜绿色防控技术规程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65.060.99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B90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12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2963-2024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奈李生产技术规程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65.020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B30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13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2964-2024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大棚绿芦笋有机栽培技术规程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65.020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B30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14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2965-2024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稻</w:t>
            </w:r>
            <w:r>
              <w:rPr>
                <w:rFonts w:hint="eastAsia" w:eastAsia="方正仿宋_GBK" w:cs="Arial"/>
                <w:color w:val="333333"/>
                <w:kern w:val="0"/>
                <w:sz w:val="24"/>
              </w:rPr>
              <w:t>-</w:t>
            </w:r>
            <w:r>
              <w:rPr>
                <w:rStyle w:val="8"/>
                <w:rFonts w:ascii="Times New Roman" w:hAnsi="Times New Roman" w:eastAsia="方正仿宋_GBK"/>
              </w:rPr>
              <w:t>鸭</w:t>
            </w:r>
            <w:r>
              <w:rPr>
                <w:rFonts w:hint="eastAsia" w:eastAsia="方正仿宋_GBK" w:cs="Arial"/>
                <w:color w:val="333333"/>
                <w:kern w:val="0"/>
                <w:sz w:val="24"/>
              </w:rPr>
              <w:t>-</w:t>
            </w:r>
            <w:r>
              <w:rPr>
                <w:rStyle w:val="8"/>
                <w:rFonts w:ascii="Times New Roman" w:hAnsi="Times New Roman" w:eastAsia="方正仿宋_GBK"/>
              </w:rPr>
              <w:t>鱼综合种养技术规程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65.020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B30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15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2966-2024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种鸡场禽白血病净化技术规程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65.020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B30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16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2967-2024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饲用苎麻裹包青贮技术规程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65.020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B30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17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2968-2024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宽叶雀稗种植技术规程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65.020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B30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18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2969-2024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浙贝母产地加工技术规程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65.020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B16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19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2970-2024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攸县麻鸭营养需要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65.020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B30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20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2971-2024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桃江竹叶茶加工技术规程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67.140.10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X55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21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2972-2024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湘莲主要害虫绿色防控技术规程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65.020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B16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22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2973-2024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汝城白毛茶栽培技术规程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67.140.10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B35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23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2974-2024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生姜连作障碍消减技术规程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65.020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B30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24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2975-2024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黄金茶病虫害绿色防控技术规程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65.020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B30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25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2976-2024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pacing w:val="-6"/>
                <w:sz w:val="24"/>
              </w:rPr>
            </w:pPr>
            <w:r>
              <w:rPr>
                <w:rFonts w:hint="eastAsia" w:eastAsia="方正仿宋_GBK"/>
                <w:color w:val="000000"/>
                <w:spacing w:val="-6"/>
                <w:kern w:val="0"/>
                <w:sz w:val="24"/>
              </w:rPr>
              <w:t>灌注式半柔性复合面层沥青路面应用技术规范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93.080.10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P66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26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2977-2024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加拿大一枝黄花综合防控技术规程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65.020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B30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27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2978-2024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葛病虫害绿色防控技术规程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65.020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B30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28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  <w:highlight w:val="yellow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2979-2024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kern w:val="0"/>
                <w:sz w:val="24"/>
                <w:highlight w:val="yellow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玉竹产地初加工技术规程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  <w:highlight w:val="yellow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  <w:highlight w:val="yellow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  <w:highlight w:val="yellow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65.020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  <w:highlight w:val="yellow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B30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29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2980-2024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九制黄精加工技术规程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65.020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B30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30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2981-2024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养老服务评估工作管理规范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03.080.01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A20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31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2982-2024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辣椒植株耐盐性鉴定技术规程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65.020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B30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32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2983-2024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稻虾综合种养面源污染防控规范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65.020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B30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33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2984-2024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稻田养虾尾水循环利用技术规程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65.020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B30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34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2985-2024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冬闲田大规格鱼种培育技术规程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65.020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B30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35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2986-2024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双季稻田养鱼技术规程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65.020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B30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36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2987-2024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稻田福寿螺综合防治技术规范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65.020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B30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37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2988-2024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再生稻高产栽培技术规程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65.020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B30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38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2989-2024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再生稻品种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65.020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B30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39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2990-2024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水产养殖环境（水体、底泥）中地西泮的测定 液相色谱-串联质谱法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65.020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B30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40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2991-2024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水产养殖环境（水体、底泥）中大环内酯类抗生素的测定 液相色谱-串联质谱法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65.020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B30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41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2992-2024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莲藕绿色轻简化栽培技术规程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65.020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B30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42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2993-2024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纯稻草简易栽培大球盖菇技术规程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65.020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B30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43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2994-2024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公路大件运输护送规范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03.220.20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R10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44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2995-2024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综合医院分级心理护理规范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11.020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C00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45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2996-2024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烟草靶斑病绿色防控技术规程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65.020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B16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46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2997-2024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烟草微生物肥料应用技术规程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65.020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B16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47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2998-2024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雪茄烟叶晾制技术规程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65.160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B31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48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2999-2024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大鲵野外栖息地修复技术规范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67.080.20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B31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49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DB43/T 3000-2024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松材线虫病治理工程监理技术规程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2024/5/13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2024/7/13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65.020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B16</w:t>
            </w:r>
          </w:p>
        </w:tc>
      </w:tr>
    </w:tbl>
    <w:p>
      <w:pPr>
        <w:spacing w:line="600" w:lineRule="exact"/>
        <w:jc w:val="left"/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A0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等线" w:hAnsi="等线" w:eastAsia="等线"/>
      <w:szCs w:val="22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4">
    <w:name w:val=" Char Char2"/>
    <w:basedOn w:val="1"/>
    <w:link w:val="3"/>
    <w:uiPriority w:val="0"/>
    <w:rPr>
      <w:rFonts w:ascii="等线" w:hAnsi="等线" w:eastAsia="等线"/>
      <w:szCs w:val="22"/>
    </w:rPr>
  </w:style>
  <w:style w:type="character" w:styleId="5">
    <w:name w:val="page number"/>
    <w:basedOn w:val="3"/>
    <w:uiPriority w:val="0"/>
  </w:style>
  <w:style w:type="table" w:styleId="7">
    <w:name w:val="Table Grid"/>
    <w:basedOn w:val="6"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15"/>
    <w:basedOn w:val="3"/>
    <w:uiPriority w:val="0"/>
    <w:rPr>
      <w:rFonts w:hint="eastAsia" w:ascii="宋体" w:hAnsi="宋体" w:eastAsia="宋体"/>
      <w:color w:val="333333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2024-05-22T06:59:52Z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