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67.120.30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52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3301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浙江省杭州市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3301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  千岛湖鲢鳙</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杭州市市场监督管理局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本文件由杭州市农业农村局提出、归口并组织实施。</w:t>
      </w:r>
    </w:p>
    <w:p>
      <w:pPr>
        <w:pStyle w:val="56"/>
        <w:ind w:firstLine="420"/>
        <w:rPr>
          <w:rFonts w:hint="eastAsia"/>
        </w:rPr>
      </w:pPr>
      <w:r>
        <w:rPr>
          <w:rFonts w:hint="eastAsia"/>
        </w:rPr>
        <w:t>本文件起草单位：杭州千岛湖发展集团有限公司、淳安县食品药品检验检测中心。</w:t>
      </w:r>
    </w:p>
    <w:p>
      <w:pPr>
        <w:pStyle w:val="56"/>
        <w:ind w:firstLine="420"/>
        <w:rPr>
          <w:rFonts w:hint="eastAsia"/>
        </w:rPr>
      </w:pPr>
      <w:r>
        <w:rPr>
          <w:rFonts w:hint="eastAsia"/>
        </w:rPr>
        <w:t>本文件主要起草人：邵建强、盘家永、崔帅康、卢小利、宋世禄、何光喜、汪红燕、余颖萍、杨丽群、胡淳莉、刘华。</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A81534F79454478D96EBE8105F74F8E0"/>
        </w:placeholder>
      </w:sdtPr>
      <w:sdtContent>
        <w:p>
          <w:pPr>
            <w:pStyle w:val="177"/>
            <w:spacing w:before="3" w:beforeLines="1" w:after="686" w:afterLines="220"/>
          </w:pPr>
          <w:bookmarkStart w:id="23" w:name="NEW_STAND_NAME"/>
          <w:r>
            <w:rPr>
              <w:rFonts w:hint="eastAsia"/>
            </w:rPr>
            <w:t>地理标志产品</w:t>
          </w:r>
          <w:r>
            <w:t xml:space="preserve">  千岛湖鲢鳙</w:t>
          </w:r>
        </w:p>
      </w:sdtContent>
    </w:sdt>
    <w:bookmarkEnd w:id="23"/>
    <w:p>
      <w:pPr>
        <w:pStyle w:val="104"/>
        <w:spacing w:before="312" w:after="312"/>
      </w:pPr>
      <w:bookmarkStart w:id="24" w:name="_Toc26648465"/>
      <w:bookmarkStart w:id="25" w:name="_Toc26718930"/>
      <w:bookmarkStart w:id="26" w:name="_Toc17233325"/>
      <w:bookmarkStart w:id="27" w:name="_Toc17233333"/>
      <w:bookmarkStart w:id="28" w:name="_Toc24884211"/>
      <w:bookmarkStart w:id="29" w:name="_Toc24884218"/>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hint="eastAsia"/>
        </w:rPr>
      </w:pPr>
      <w:bookmarkStart w:id="33" w:name="_Toc17233326"/>
      <w:bookmarkStart w:id="34" w:name="_Toc26648466"/>
      <w:bookmarkStart w:id="35" w:name="_Toc17233334"/>
      <w:bookmarkStart w:id="36" w:name="_Toc24884212"/>
      <w:bookmarkStart w:id="37" w:name="_Toc24884219"/>
      <w:r>
        <w:rPr>
          <w:rFonts w:hint="eastAsia"/>
        </w:rPr>
        <w:t>本文件规定了地理标志产品千岛湖鲢鳙的地理标志产品保护范围、产地环境、大水面增养殖、质量要求、检验规则、标识、包装和运输等内容。</w:t>
      </w:r>
    </w:p>
    <w:p>
      <w:pPr>
        <w:pStyle w:val="56"/>
        <w:ind w:firstLine="420"/>
      </w:pPr>
      <w:r>
        <w:rPr>
          <w:rFonts w:hint="eastAsia"/>
        </w:rPr>
        <w:t>本文件适用于根据《地理标志产品保护规定》批准保护的千岛湖鱼类中的鲢鳙鱼。</w:t>
      </w:r>
    </w:p>
    <w:p>
      <w:pPr>
        <w:pStyle w:val="104"/>
        <w:spacing w:before="312" w:after="312"/>
      </w:pPr>
      <w:bookmarkStart w:id="38" w:name="_Toc26718931"/>
      <w:bookmarkStart w:id="39" w:name="_Toc269865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CAEAAC6898D46139448FAFD9C51A9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 2733  食品安全国家标准  鲜、冻动物性水产品</w:t>
      </w:r>
    </w:p>
    <w:p>
      <w:pPr>
        <w:pStyle w:val="56"/>
        <w:ind w:firstLine="420"/>
        <w:rPr>
          <w:rFonts w:hint="eastAsia"/>
        </w:rPr>
      </w:pPr>
      <w:r>
        <w:rPr>
          <w:rFonts w:hint="eastAsia"/>
        </w:rPr>
        <w:t>GB 2762  食品安全国家标准  食品中污染物限量</w:t>
      </w:r>
    </w:p>
    <w:p>
      <w:pPr>
        <w:pStyle w:val="56"/>
        <w:ind w:firstLine="420"/>
        <w:rPr>
          <w:rFonts w:hint="eastAsia"/>
        </w:rPr>
      </w:pPr>
      <w:r>
        <w:rPr>
          <w:rFonts w:hint="eastAsia"/>
        </w:rPr>
        <w:t>GB 2763  食品安全国家标准  食品中农药最大残留限量</w:t>
      </w:r>
    </w:p>
    <w:p>
      <w:pPr>
        <w:pStyle w:val="56"/>
        <w:ind w:firstLine="420"/>
        <w:rPr>
          <w:rFonts w:hint="eastAsia"/>
        </w:rPr>
      </w:pPr>
      <w:r>
        <w:rPr>
          <w:rFonts w:hint="eastAsia"/>
        </w:rPr>
        <w:t>GB 3095  环境空气质量标准</w:t>
      </w:r>
    </w:p>
    <w:p>
      <w:pPr>
        <w:pStyle w:val="56"/>
        <w:ind w:firstLine="420"/>
        <w:rPr>
          <w:rFonts w:hint="eastAsia"/>
        </w:rPr>
      </w:pPr>
      <w:r>
        <w:rPr>
          <w:rFonts w:hint="eastAsia"/>
        </w:rPr>
        <w:t>GB 3838—2002  地表水环境质量标准</w:t>
      </w:r>
    </w:p>
    <w:p>
      <w:pPr>
        <w:pStyle w:val="56"/>
        <w:ind w:firstLine="420"/>
        <w:rPr>
          <w:rFonts w:hint="eastAsia"/>
        </w:rPr>
      </w:pPr>
      <w:r>
        <w:rPr>
          <w:rFonts w:hint="eastAsia"/>
        </w:rPr>
        <w:t>GB 5009.5  食品安全国家标准  食品中蛋白质的测定</w:t>
      </w:r>
    </w:p>
    <w:p>
      <w:pPr>
        <w:pStyle w:val="56"/>
        <w:ind w:firstLine="420"/>
        <w:rPr>
          <w:rFonts w:hint="eastAsia"/>
        </w:rPr>
      </w:pPr>
      <w:r>
        <w:rPr>
          <w:rFonts w:hint="eastAsia"/>
        </w:rPr>
        <w:t>GB 5009.6  食品安全国家标准  食品中脂肪的测定</w:t>
      </w:r>
    </w:p>
    <w:p>
      <w:pPr>
        <w:pStyle w:val="56"/>
        <w:ind w:firstLine="420"/>
        <w:rPr>
          <w:rFonts w:hint="eastAsia"/>
        </w:rPr>
      </w:pPr>
      <w:r>
        <w:rPr>
          <w:rFonts w:hint="eastAsia"/>
        </w:rPr>
        <w:t>GB 11607  渔业水质标准</w:t>
      </w:r>
    </w:p>
    <w:p>
      <w:pPr>
        <w:pStyle w:val="56"/>
        <w:ind w:firstLine="420"/>
        <w:rPr>
          <w:rFonts w:hint="eastAsia"/>
        </w:rPr>
      </w:pPr>
      <w:r>
        <w:rPr>
          <w:rFonts w:hint="eastAsia"/>
        </w:rPr>
        <w:t xml:space="preserve">GB/T 11777  鲢鱼苗、鱼种 </w:t>
      </w:r>
    </w:p>
    <w:p>
      <w:pPr>
        <w:pStyle w:val="56"/>
        <w:ind w:firstLine="420"/>
        <w:rPr>
          <w:rFonts w:hint="eastAsia"/>
        </w:rPr>
      </w:pPr>
      <w:r>
        <w:rPr>
          <w:rFonts w:hint="eastAsia"/>
        </w:rPr>
        <w:t>GB/T 11778  鳙鱼苗、鱼种</w:t>
      </w:r>
    </w:p>
    <w:p>
      <w:pPr>
        <w:pStyle w:val="56"/>
        <w:ind w:firstLine="420"/>
        <w:rPr>
          <w:rFonts w:hint="eastAsia"/>
        </w:rPr>
      </w:pPr>
      <w:r>
        <w:rPr>
          <w:rFonts w:hint="eastAsia"/>
        </w:rPr>
        <w:t>GB 15618  土壤环境质量  农用地土壤污染风险管控标准（试行）</w:t>
      </w:r>
    </w:p>
    <w:p>
      <w:pPr>
        <w:pStyle w:val="56"/>
        <w:ind w:firstLine="420"/>
        <w:rPr>
          <w:rFonts w:hint="eastAsia"/>
        </w:rPr>
      </w:pPr>
      <w:r>
        <w:rPr>
          <w:rFonts w:hint="eastAsia"/>
        </w:rPr>
        <w:t>GB/T 22213  水产养殖术语</w:t>
      </w:r>
    </w:p>
    <w:p>
      <w:pPr>
        <w:pStyle w:val="56"/>
        <w:ind w:firstLine="420"/>
        <w:rPr>
          <w:rFonts w:hint="eastAsia"/>
        </w:rPr>
      </w:pPr>
      <w:r>
        <w:rPr>
          <w:rFonts w:hint="eastAsia"/>
        </w:rPr>
        <w:t>GB/T 27638  活鱼运输技术规范</w:t>
      </w:r>
    </w:p>
    <w:p>
      <w:pPr>
        <w:pStyle w:val="56"/>
        <w:ind w:firstLine="420"/>
        <w:rPr>
          <w:rFonts w:hint="eastAsia"/>
        </w:rPr>
      </w:pPr>
      <w:r>
        <w:rPr>
          <w:rFonts w:hint="eastAsia"/>
        </w:rPr>
        <w:t>GB 31650  食品安全国家标准  食品中兽药最大残留限量</w:t>
      </w:r>
    </w:p>
    <w:p>
      <w:pPr>
        <w:pStyle w:val="56"/>
        <w:ind w:firstLine="420"/>
        <w:rPr>
          <w:rFonts w:hint="eastAsia"/>
        </w:rPr>
      </w:pPr>
      <w:r>
        <w:rPr>
          <w:rFonts w:hint="eastAsia"/>
        </w:rPr>
        <w:t>SC/T 1015  鲢、鳙催产技术要求</w:t>
      </w:r>
    </w:p>
    <w:p>
      <w:pPr>
        <w:pStyle w:val="56"/>
        <w:ind w:firstLine="420"/>
        <w:rPr>
          <w:rFonts w:hint="eastAsia"/>
        </w:rPr>
      </w:pPr>
      <w:r>
        <w:rPr>
          <w:rFonts w:hint="eastAsia"/>
        </w:rPr>
        <w:t>SC/T 3016—2004  水产品抽样方法</w:t>
      </w:r>
    </w:p>
    <w:p>
      <w:pPr>
        <w:pStyle w:val="56"/>
        <w:ind w:firstLine="420"/>
        <w:rPr>
          <w:rFonts w:hint="eastAsia"/>
        </w:rPr>
      </w:pPr>
      <w:r>
        <w:rPr>
          <w:rFonts w:hint="eastAsia"/>
        </w:rPr>
        <w:t>SC/T 4001  渔具基本术语</w:t>
      </w:r>
    </w:p>
    <w:p>
      <w:pPr>
        <w:pStyle w:val="56"/>
        <w:ind w:firstLine="420"/>
      </w:pPr>
      <w:r>
        <w:rPr>
          <w:rFonts w:hint="eastAsia"/>
        </w:rPr>
        <w:t>地理标志专用标志使用管理办法（试行）  国家知识产权局公告第354号（2020）</w:t>
      </w:r>
    </w:p>
    <w:p>
      <w:pPr>
        <w:pStyle w:val="104"/>
        <w:spacing w:before="312" w:after="312"/>
      </w:pPr>
      <w:bookmarkStart w:id="42" w:name="_Toc97191425"/>
      <w:r>
        <w:rPr>
          <w:rFonts w:hint="eastAsia"/>
          <w:szCs w:val="21"/>
        </w:rPr>
        <w:t>术语和定义</w:t>
      </w:r>
      <w:bookmarkEnd w:id="42"/>
    </w:p>
    <w:sdt>
      <w:sdtPr>
        <w:id w:val="-1909835108"/>
        <w:placeholder>
          <w:docPart w:val="88F6B730D9FA4482986184C79575B36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rPr>
              <w:rFonts w:hint="eastAsia"/>
            </w:rPr>
            <w:t>GB/T 22213和SC/T 4001</w:t>
          </w:r>
          <w:r>
            <w:t>界定的以及下列术语和定义适用于本文件。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千岛湖鲢鳙  silver carp and bighead carp of Qiandao Lake</w:t>
      </w:r>
    </w:p>
    <w:p>
      <w:pPr>
        <w:pStyle w:val="56"/>
        <w:ind w:firstLine="420"/>
      </w:pPr>
      <w:r>
        <w:rPr>
          <w:rFonts w:hint="eastAsia"/>
        </w:rPr>
        <w:t>产于第4章规定区域内，按照规定的生产技术规程生产的，并符合本文件质量要求的鲢鳙。</w:t>
      </w:r>
    </w:p>
    <w:p>
      <w:pPr>
        <w:pStyle w:val="104"/>
        <w:spacing w:before="312" w:after="312"/>
        <w:rPr>
          <w:szCs w:val="21"/>
        </w:rPr>
      </w:pPr>
      <w:r>
        <w:rPr>
          <w:rFonts w:hint="eastAsia"/>
        </w:rPr>
        <w:t>地理标志产品保护范围</w:t>
      </w:r>
    </w:p>
    <w:p>
      <w:pPr>
        <w:pStyle w:val="56"/>
        <w:autoSpaceDE/>
        <w:autoSpaceDN/>
        <w:ind w:firstLine="420"/>
        <w:rPr>
          <w:rFonts w:hint="eastAsia" w:ascii="Calibri" w:hAnsi="Calibri"/>
          <w:kern w:val="2"/>
        </w:rPr>
      </w:pPr>
      <w:r>
        <w:t>限于地理坐标为</w:t>
      </w:r>
      <w:r>
        <w:rPr>
          <w:rFonts w:hint="eastAsia" w:cs="Calibri"/>
        </w:rPr>
        <w:t>N 29</w:t>
      </w:r>
      <w:r>
        <w:rPr>
          <w:rFonts w:hint="eastAsia"/>
        </w:rPr>
        <w:t>°</w:t>
      </w:r>
      <w:r>
        <w:rPr>
          <w:rFonts w:hint="eastAsia" w:cs="Calibri"/>
        </w:rPr>
        <w:t>2</w:t>
      </w:r>
      <w:r>
        <w:t>5</w:t>
      </w:r>
      <w:r>
        <w:rPr>
          <w:rFonts w:hint="eastAsia"/>
        </w:rPr>
        <w:t>′</w:t>
      </w:r>
      <w:r>
        <w:t>32</w:t>
      </w:r>
      <w:r>
        <w:rPr>
          <w:rFonts w:hint="eastAsia"/>
        </w:rPr>
        <w:t>″～</w:t>
      </w:r>
      <w:r>
        <w:rPr>
          <w:rFonts w:hint="eastAsia" w:cs="Calibri"/>
        </w:rPr>
        <w:t>29</w:t>
      </w:r>
      <w:r>
        <w:rPr>
          <w:rFonts w:hint="eastAsia"/>
        </w:rPr>
        <w:t>°</w:t>
      </w:r>
      <w:r>
        <w:t>47</w:t>
      </w:r>
      <w:r>
        <w:rPr>
          <w:rFonts w:hint="eastAsia"/>
        </w:rPr>
        <w:t>′</w:t>
      </w:r>
      <w:r>
        <w:t>34</w:t>
      </w:r>
      <w:r>
        <w:rPr>
          <w:rFonts w:hint="eastAsia"/>
        </w:rPr>
        <w:t>″，</w:t>
      </w:r>
      <w:r>
        <w:rPr>
          <w:rFonts w:hint="eastAsia" w:cs="Calibri"/>
        </w:rPr>
        <w:t>E 11</w:t>
      </w:r>
      <w:r>
        <w:t>8</w:t>
      </w:r>
      <w:r>
        <w:rPr>
          <w:rFonts w:hint="eastAsia"/>
        </w:rPr>
        <w:t>°</w:t>
      </w:r>
      <w:r>
        <w:t>35</w:t>
      </w:r>
      <w:r>
        <w:rPr>
          <w:rFonts w:hint="eastAsia"/>
        </w:rPr>
        <w:t>′</w:t>
      </w:r>
      <w:r>
        <w:rPr>
          <w:rFonts w:hint="eastAsia" w:cs="Calibri"/>
        </w:rPr>
        <w:t>4</w:t>
      </w:r>
      <w:r>
        <w:t>3</w:t>
      </w:r>
      <w:r>
        <w:rPr>
          <w:rFonts w:hint="eastAsia"/>
        </w:rPr>
        <w:t>″～</w:t>
      </w:r>
      <w:r>
        <w:rPr>
          <w:rFonts w:hint="eastAsia" w:cs="Calibri"/>
        </w:rPr>
        <w:t>11</w:t>
      </w:r>
      <w:r>
        <w:t>9</w:t>
      </w:r>
      <w:r>
        <w:rPr>
          <w:rFonts w:hint="eastAsia"/>
        </w:rPr>
        <w:t>°</w:t>
      </w:r>
      <w:r>
        <w:t>12</w:t>
      </w:r>
      <w:r>
        <w:rPr>
          <w:rFonts w:hint="eastAsia"/>
        </w:rPr>
        <w:t>′</w:t>
      </w:r>
      <w:r>
        <w:rPr>
          <w:rFonts w:hint="eastAsia" w:cs="Calibri"/>
        </w:rPr>
        <w:t>4</w:t>
      </w:r>
      <w:r>
        <w:t>7</w:t>
      </w:r>
      <w:r>
        <w:rPr>
          <w:rFonts w:hint="eastAsia"/>
        </w:rPr>
        <w:t>″的</w:t>
      </w:r>
      <w:r>
        <w:t>千岛湖</w:t>
      </w:r>
      <w:r>
        <w:rPr>
          <w:rFonts w:hint="eastAsia"/>
        </w:rPr>
        <w:t>湖区</w:t>
      </w:r>
      <w:r>
        <w:t>水域范围</w:t>
      </w:r>
      <w:r>
        <w:rPr>
          <w:rFonts w:hint="eastAsia"/>
        </w:rPr>
        <w:t>，应符合附录</w:t>
      </w:r>
      <w:r>
        <w:rPr>
          <w:rFonts w:hint="eastAsia" w:cs="Calibri"/>
        </w:rPr>
        <w:t>A</w:t>
      </w:r>
      <w:r>
        <w:rPr>
          <w:rFonts w:hint="eastAsia"/>
        </w:rPr>
        <w:t>的规定。</w:t>
      </w:r>
    </w:p>
    <w:p>
      <w:pPr>
        <w:pStyle w:val="104"/>
        <w:spacing w:before="312" w:after="312"/>
        <w:rPr>
          <w:szCs w:val="21"/>
        </w:rPr>
      </w:pPr>
      <w:r>
        <w:rPr>
          <w:rFonts w:hint="eastAsia"/>
        </w:rPr>
        <w:t>产地环境</w:t>
      </w:r>
    </w:p>
    <w:p>
      <w:pPr>
        <w:pStyle w:val="56"/>
        <w:autoSpaceDE/>
        <w:autoSpaceDN/>
        <w:ind w:firstLine="420"/>
        <w:rPr>
          <w:rFonts w:hint="eastAsia" w:ascii="Calibri" w:hAnsi="Calibri"/>
          <w:kern w:val="2"/>
        </w:rPr>
      </w:pPr>
      <w:r>
        <w:rPr>
          <w:rFonts w:hint="eastAsia"/>
        </w:rPr>
        <w:t>产地环境水域底质及周边土壤环境质量应符合GB 15618的要求，环境空气质量符合GB 3095的要求，地表水环境质量应符合GB 3838—2002中Ⅱ类水的要求。湖区面积≥400km</w:t>
      </w:r>
      <w:r>
        <w:rPr>
          <w:rFonts w:hint="eastAsia"/>
          <w:vertAlign w:val="superscript"/>
        </w:rPr>
        <w:t>2</w:t>
      </w:r>
      <w:r>
        <w:rPr>
          <w:rFonts w:hint="eastAsia"/>
        </w:rPr>
        <w:t>，平均水深≥30m。</w:t>
      </w:r>
    </w:p>
    <w:p>
      <w:pPr>
        <w:pStyle w:val="104"/>
        <w:spacing w:before="312" w:after="312"/>
        <w:rPr>
          <w:szCs w:val="21"/>
        </w:rPr>
      </w:pPr>
      <w:r>
        <w:rPr>
          <w:rFonts w:hint="eastAsia"/>
        </w:rPr>
        <w:t>大水面增养殖</w:t>
      </w:r>
    </w:p>
    <w:p>
      <w:pPr>
        <w:pStyle w:val="105"/>
        <w:spacing w:before="156" w:after="156"/>
        <w:rPr>
          <w:rFonts w:hint="eastAsia"/>
        </w:rPr>
      </w:pPr>
      <w:r>
        <w:rPr>
          <w:rFonts w:hint="eastAsia"/>
        </w:rPr>
        <w:t>苗种来源</w:t>
      </w:r>
    </w:p>
    <w:p>
      <w:pPr>
        <w:pStyle w:val="56"/>
        <w:ind w:firstLine="420"/>
        <w:rPr>
          <w:rFonts w:hint="eastAsia" w:hAnsi="宋体"/>
        </w:rPr>
      </w:pPr>
      <w:r>
        <w:rPr>
          <w:rFonts w:hint="eastAsia"/>
        </w:rPr>
        <w:t>取千岛湖水域自然生长的性成熟亲鱼，按SC/T 1015方法获得受精卵后在孵化缸或孵化桶内流水孵化的鱼苗，或者来源于国家级原种场孵化的鱼苗。</w:t>
      </w:r>
    </w:p>
    <w:p>
      <w:pPr>
        <w:pStyle w:val="105"/>
        <w:spacing w:before="156" w:after="156"/>
        <w:rPr>
          <w:rFonts w:hint="eastAsia"/>
        </w:rPr>
      </w:pPr>
      <w:r>
        <w:rPr>
          <w:rFonts w:hint="eastAsia" w:hAnsi="黑体"/>
        </w:rPr>
        <w:t>鱼种三级培育</w:t>
      </w:r>
    </w:p>
    <w:p>
      <w:pPr>
        <w:pStyle w:val="65"/>
        <w:spacing w:before="156" w:after="156"/>
      </w:pPr>
      <w:r>
        <w:rPr>
          <w:rFonts w:hint="eastAsia"/>
        </w:rPr>
        <w:t>一般要求</w:t>
      </w:r>
    </w:p>
    <w:p>
      <w:pPr>
        <w:pStyle w:val="56"/>
        <w:ind w:firstLine="420"/>
        <w:rPr>
          <w:rFonts w:hint="eastAsia"/>
        </w:rPr>
      </w:pPr>
      <w:r>
        <w:rPr>
          <w:rFonts w:hint="eastAsia"/>
        </w:rPr>
        <w:t>一种在大水面开放水域地理环境下形成的具有千岛湖特色的鱼种生产方式。即内塘夏花鱼种培育（一级培育）；土坝库湾冬花鱼种培育（二级培育）；网箱老口鱼种培育（三级培育）。水质应符合</w:t>
      </w:r>
      <w:r>
        <w:rPr>
          <w:rFonts w:hint="eastAsia" w:cs="Calibri"/>
        </w:rPr>
        <w:t>GB 11607</w:t>
      </w:r>
      <w:r>
        <w:rPr>
          <w:rFonts w:hint="eastAsia"/>
        </w:rPr>
        <w:t>的要求。</w:t>
      </w:r>
    </w:p>
    <w:p>
      <w:pPr>
        <w:pStyle w:val="65"/>
        <w:spacing w:before="156" w:after="156"/>
        <w:rPr>
          <w:szCs w:val="21"/>
        </w:rPr>
      </w:pPr>
      <w:r>
        <w:rPr>
          <w:rFonts w:hint="eastAsia" w:hAnsi="黑体"/>
        </w:rPr>
        <w:t>夏花鱼种培育</w:t>
      </w:r>
    </w:p>
    <w:p>
      <w:pPr>
        <w:spacing w:before="156" w:beforeLines="50" w:after="156" w:afterLines="50"/>
        <w:ind w:firstLine="420" w:firstLineChars="200"/>
        <w:rPr>
          <w:rFonts w:hint="eastAsia" w:ascii="宋体" w:hAnsi="宋体"/>
          <w:color w:val="000000"/>
        </w:rPr>
      </w:pPr>
      <w:r>
        <w:rPr>
          <w:rFonts w:hint="eastAsia" w:ascii="宋体" w:hAnsi="宋体"/>
        </w:rPr>
        <w:t>夏花鱼种培育在标准池塘内</w:t>
      </w:r>
      <w:r>
        <w:rPr>
          <w:rFonts w:hint="eastAsia" w:ascii="宋体" w:hAnsi="宋体"/>
          <w:color w:val="000000"/>
        </w:rPr>
        <w:t>采用单品种培育，饲料为黄豆浆，培育期≥18 d，当鱼苗体长达到≥3 cm即可出塘。培育过程要适时加注新水，早晚巡塘。</w:t>
      </w:r>
    </w:p>
    <w:p>
      <w:pPr>
        <w:pStyle w:val="65"/>
        <w:spacing w:before="156" w:after="156"/>
        <w:rPr>
          <w:rFonts w:hint="eastAsia"/>
        </w:rPr>
      </w:pPr>
      <w:r>
        <w:rPr>
          <w:rFonts w:hint="eastAsia"/>
        </w:rPr>
        <w:t xml:space="preserve">冬花鱼种培育   </w:t>
      </w:r>
    </w:p>
    <w:p>
      <w:pPr>
        <w:pStyle w:val="56"/>
        <w:ind w:firstLine="420"/>
        <w:rPr>
          <w:rFonts w:hint="eastAsia"/>
        </w:rPr>
      </w:pPr>
      <w:r>
        <w:rPr>
          <w:rFonts w:hint="eastAsia"/>
        </w:rPr>
        <w:t>冬花鱼种培育在土坝库湾内进行。冬花鱼种培育宜为单养，如鲢鳙混养，鲢鳙投放比例为85:15。饲料为粉状菜饼，每3 d</w:t>
      </w:r>
      <w:r>
        <w:rPr>
          <w:rFonts w:hint="eastAsia" w:cs="黑体"/>
        </w:rPr>
        <w:t>～</w:t>
      </w:r>
      <w:r>
        <w:rPr>
          <w:rFonts w:hint="eastAsia"/>
        </w:rPr>
        <w:t>5 d施追肥。每日巡塘，做好养殖记录。培育期为每年5月下旬至10月底。冬花鱼种规格为40～50 尾/kg。采用小规模“拦、赶、刺、张”联合渔具渔法或拖网起捕，在网箱中暂养1 d后装运。</w:t>
      </w:r>
    </w:p>
    <w:p>
      <w:pPr>
        <w:pStyle w:val="65"/>
        <w:spacing w:before="156" w:after="156"/>
        <w:rPr>
          <w:rFonts w:hint="eastAsia"/>
        </w:rPr>
      </w:pPr>
      <w:r>
        <w:rPr>
          <w:rFonts w:hint="eastAsia"/>
        </w:rPr>
        <w:t>老口鱼种培育</w:t>
      </w:r>
    </w:p>
    <w:p>
      <w:pPr>
        <w:pStyle w:val="56"/>
        <w:autoSpaceDE/>
        <w:autoSpaceDN/>
        <w:ind w:firstLine="420"/>
        <w:rPr>
          <w:rFonts w:hint="eastAsia"/>
        </w:rPr>
      </w:pPr>
      <w:r>
        <w:rPr>
          <w:rFonts w:hint="eastAsia"/>
        </w:rPr>
        <w:t>老口鱼种培育在设置于千岛湖大库的网箱中进行。采用网目大小2a=2.8cm网片制成的10 m×6.6 m×7 m长方形敞口式五面体网箱。老口鱼种培育采用鲢鳙混养的方式，投放量为1.5 kg/m</w:t>
      </w:r>
      <w:r>
        <w:rPr>
          <w:rFonts w:hint="eastAsia"/>
          <w:vertAlign w:val="superscript"/>
        </w:rPr>
        <w:t>2</w:t>
      </w:r>
      <w:r>
        <w:rPr>
          <w:rFonts w:hint="eastAsia"/>
        </w:rPr>
        <w:t>～2.3 kg/m</w:t>
      </w:r>
      <w:r>
        <w:rPr>
          <w:rFonts w:hint="eastAsia"/>
          <w:vertAlign w:val="superscript"/>
        </w:rPr>
        <w:t>2</w:t>
      </w:r>
      <w:r>
        <w:rPr>
          <w:rFonts w:hint="eastAsia"/>
        </w:rPr>
        <w:t>。老口鱼种培育不投喂饲料，不施肥，任其自然生长。定期巡箱，做好生产记录。培育期为每年10月底至次年8月初，老口鱼种规格为6～12 尾/kg，直接验收过磅后投放千岛湖大库。验收标准按GB/T 11777和GB/T 11778执行。</w:t>
      </w:r>
    </w:p>
    <w:p>
      <w:pPr>
        <w:pStyle w:val="105"/>
        <w:spacing w:before="156" w:after="156"/>
        <w:rPr>
          <w:szCs w:val="21"/>
        </w:rPr>
      </w:pPr>
      <w:r>
        <w:rPr>
          <w:rFonts w:hint="eastAsia" w:hAnsi="黑体"/>
        </w:rPr>
        <w:t>库区增殖</w:t>
      </w:r>
    </w:p>
    <w:p>
      <w:pPr>
        <w:pStyle w:val="56"/>
        <w:autoSpaceDE/>
        <w:autoSpaceDN/>
        <w:ind w:firstLine="420"/>
        <w:rPr>
          <w:rFonts w:hint="eastAsia"/>
        </w:rPr>
      </w:pPr>
      <w:r>
        <w:rPr>
          <w:rFonts w:hint="eastAsia"/>
        </w:rPr>
        <w:t>老口鱼种出箱验收后直接投放至千岛湖大水面，在自然生态条件下以滤食天然生物饵料自然生长，达到6.4.2规定的规格后起捕。</w:t>
      </w:r>
    </w:p>
    <w:p>
      <w:pPr>
        <w:pStyle w:val="105"/>
        <w:spacing w:before="156" w:after="156"/>
        <w:rPr>
          <w:szCs w:val="21"/>
        </w:rPr>
      </w:pPr>
      <w:r>
        <w:rPr>
          <w:rFonts w:hint="eastAsia"/>
        </w:rPr>
        <w:t>捕捞</w:t>
      </w:r>
    </w:p>
    <w:p>
      <w:pPr>
        <w:pStyle w:val="65"/>
        <w:spacing w:before="156" w:after="156"/>
        <w:rPr>
          <w:rFonts w:hint="eastAsia"/>
        </w:rPr>
      </w:pPr>
      <w:r>
        <w:rPr>
          <w:rFonts w:hint="eastAsia"/>
        </w:rPr>
        <w:t>捕捞方式</w:t>
      </w:r>
    </w:p>
    <w:p>
      <w:pPr>
        <w:pStyle w:val="56"/>
        <w:ind w:firstLine="420"/>
        <w:rPr>
          <w:rFonts w:hint="eastAsia" w:hAnsi="宋体"/>
        </w:rPr>
      </w:pPr>
      <w:r>
        <w:rPr>
          <w:rFonts w:hint="eastAsia"/>
        </w:rPr>
        <w:t>遵循生态、循环理念，按生态平衡要求限量捕捞，采用“拦、赶、刺、张”联合渔具渔法，捕大留小，常年捕捞。</w:t>
      </w:r>
    </w:p>
    <w:p>
      <w:pPr>
        <w:pStyle w:val="65"/>
        <w:spacing w:before="156" w:after="156"/>
        <w:rPr>
          <w:rFonts w:hint="eastAsia"/>
        </w:rPr>
      </w:pPr>
      <w:r>
        <w:rPr>
          <w:rFonts w:hint="eastAsia"/>
        </w:rPr>
        <w:t>捕捞规格</w:t>
      </w:r>
    </w:p>
    <w:p>
      <w:pPr>
        <w:pStyle w:val="56"/>
        <w:ind w:firstLine="420"/>
        <w:rPr>
          <w:rFonts w:hint="eastAsia" w:hAnsi="宋体"/>
        </w:rPr>
      </w:pPr>
      <w:r>
        <w:rPr>
          <w:rFonts w:hint="eastAsia"/>
        </w:rPr>
        <w:t>鲢鱼≥3 kg，鳙鱼≥4 kg。</w:t>
      </w:r>
    </w:p>
    <w:p>
      <w:pPr>
        <w:pStyle w:val="65"/>
        <w:spacing w:before="156" w:after="156"/>
        <w:rPr>
          <w:rFonts w:hint="eastAsia"/>
        </w:rPr>
      </w:pPr>
      <w:r>
        <w:rPr>
          <w:rFonts w:hint="eastAsia"/>
        </w:rPr>
        <w:t>转运</w:t>
      </w:r>
    </w:p>
    <w:p>
      <w:pPr>
        <w:pStyle w:val="56"/>
        <w:ind w:firstLine="420"/>
        <w:rPr>
          <w:rFonts w:hint="eastAsia" w:ascii="黑体" w:eastAsia="黑体"/>
        </w:rPr>
      </w:pPr>
      <w:r>
        <w:rPr>
          <w:rFonts w:hint="eastAsia"/>
        </w:rPr>
        <w:t>采用钢质沉浮式活水船转运至静养基地，实行活捕活运活养。</w:t>
      </w:r>
    </w:p>
    <w:p>
      <w:pPr>
        <w:pStyle w:val="105"/>
        <w:spacing w:before="156" w:after="156"/>
        <w:rPr>
          <w:szCs w:val="21"/>
        </w:rPr>
      </w:pPr>
      <w:r>
        <w:rPr>
          <w:rFonts w:hint="eastAsia"/>
        </w:rPr>
        <w:t>静养</w:t>
      </w:r>
    </w:p>
    <w:p>
      <w:pPr>
        <w:pStyle w:val="65"/>
        <w:spacing w:before="156" w:after="156"/>
        <w:rPr>
          <w:rFonts w:hint="eastAsia"/>
        </w:rPr>
      </w:pPr>
      <w:r>
        <w:rPr>
          <w:rFonts w:hint="eastAsia"/>
        </w:rPr>
        <w:t xml:space="preserve">静养环境   </w:t>
      </w:r>
    </w:p>
    <w:p>
      <w:pPr>
        <w:pStyle w:val="56"/>
        <w:ind w:firstLine="420"/>
        <w:rPr>
          <w:rFonts w:hint="eastAsia"/>
        </w:rPr>
      </w:pPr>
      <w:r>
        <w:rPr>
          <w:rFonts w:hint="eastAsia"/>
        </w:rPr>
        <w:t>静养基地应选择避风、光照足的水域，水质应符合地表水环境质量应符合GB 3838—2002中Ⅱ类水以上的要求，水深≥30 m，透明度≥4 m。</w:t>
      </w:r>
    </w:p>
    <w:p>
      <w:pPr>
        <w:pStyle w:val="65"/>
        <w:spacing w:before="156" w:after="156"/>
        <w:rPr>
          <w:rFonts w:hint="eastAsia"/>
        </w:rPr>
      </w:pPr>
      <w:r>
        <w:rPr>
          <w:rFonts w:hint="eastAsia"/>
        </w:rPr>
        <w:t>静养方式</w:t>
      </w:r>
    </w:p>
    <w:p>
      <w:pPr>
        <w:pStyle w:val="56"/>
        <w:autoSpaceDE/>
        <w:autoSpaceDN/>
        <w:ind w:firstLine="420"/>
        <w:rPr>
          <w:rFonts w:hint="eastAsia"/>
        </w:rPr>
      </w:pPr>
      <w:r>
        <w:rPr>
          <w:rFonts w:hint="eastAsia"/>
        </w:rPr>
        <w:t>静养方式网箱为锦纶股线编织网目2 a≤12 cm的网片装配成的敞口式五面体网箱，箱体规格12 m×8 m×10 m或20 m×12 m×10 m，网箱框架以钢架或水泥船制作。静养时间根据气温、水温、季节的不同而不同，3月至11月为 15 d以上，12月至次年2月因水质优、水温低等特殊情况下，对静养贮存时间不作要求。不同规格网箱静养密度见表1。</w:t>
      </w:r>
    </w:p>
    <w:p>
      <w:pPr>
        <w:pStyle w:val="112"/>
        <w:spacing w:before="156" w:after="156"/>
        <w:rPr>
          <w:kern w:val="2"/>
          <w:szCs w:val="21"/>
        </w:rPr>
      </w:pPr>
      <w:r>
        <w:rPr>
          <w:rFonts w:hint="eastAsia"/>
        </w:rPr>
        <w:t>静养密度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09"/>
        <w:gridCol w:w="3913"/>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09" w:type="dxa"/>
            <w:tcBorders>
              <w:top w:val="single" w:color="auto" w:sz="8" w:space="0"/>
              <w:bottom w:val="single" w:color="auto" w:sz="8" w:space="0"/>
            </w:tcBorders>
            <w:shd w:val="clear" w:color="auto" w:fill="auto"/>
            <w:vAlign w:val="center"/>
          </w:tcPr>
          <w:p>
            <w:pPr>
              <w:pStyle w:val="178"/>
              <w:rPr>
                <w:rFonts w:hint="eastAsia" w:hAnsi="宋体"/>
              </w:rPr>
            </w:pPr>
            <w:r>
              <w:rPr>
                <w:rFonts w:hint="eastAsia" w:hAnsi="宋体" w:cs="黑体"/>
                <w:color w:val="000000"/>
                <w:szCs w:val="18"/>
              </w:rPr>
              <w:t>水温（℃）</w:t>
            </w:r>
          </w:p>
        </w:tc>
        <w:tc>
          <w:tcPr>
            <w:tcW w:w="3913" w:type="dxa"/>
            <w:tcBorders>
              <w:top w:val="single" w:color="auto" w:sz="8" w:space="0"/>
              <w:bottom w:val="single" w:color="auto" w:sz="8" w:space="0"/>
            </w:tcBorders>
            <w:shd w:val="clear" w:color="auto" w:fill="auto"/>
            <w:vAlign w:val="center"/>
          </w:tcPr>
          <w:p>
            <w:pPr>
              <w:pStyle w:val="178"/>
              <w:rPr>
                <w:rFonts w:hint="eastAsia" w:hAnsi="宋体"/>
              </w:rPr>
            </w:pPr>
            <w:r>
              <w:rPr>
                <w:rFonts w:hint="eastAsia" w:hAnsi="宋体" w:cs="黑体"/>
                <w:color w:val="000000"/>
                <w:szCs w:val="18"/>
              </w:rPr>
              <w:t>（</w:t>
            </w:r>
            <w:r>
              <w:rPr>
                <w:rFonts w:hint="eastAsia" w:hAnsi="宋体"/>
                <w:color w:val="000000"/>
                <w:szCs w:val="18"/>
              </w:rPr>
              <w:t>12m×8m×10m</w:t>
            </w:r>
            <w:r>
              <w:rPr>
                <w:rFonts w:hint="eastAsia" w:hAnsi="宋体" w:cs="黑体"/>
                <w:color w:val="000000"/>
                <w:szCs w:val="18"/>
              </w:rPr>
              <w:t>）静养密度（㎏/m3）</w:t>
            </w:r>
          </w:p>
        </w:tc>
        <w:tc>
          <w:tcPr>
            <w:tcW w:w="3112" w:type="dxa"/>
            <w:tcBorders>
              <w:top w:val="single" w:color="auto" w:sz="8" w:space="0"/>
              <w:bottom w:val="single" w:color="auto" w:sz="8" w:space="0"/>
            </w:tcBorders>
            <w:shd w:val="clear" w:color="auto" w:fill="auto"/>
            <w:vAlign w:val="center"/>
          </w:tcPr>
          <w:p>
            <w:pPr>
              <w:pStyle w:val="178"/>
              <w:rPr>
                <w:rFonts w:hint="eastAsia" w:hAnsi="宋体"/>
              </w:rPr>
            </w:pPr>
            <w:r>
              <w:rPr>
                <w:rFonts w:hint="eastAsia" w:hAnsi="宋体" w:cs="黑体"/>
                <w:color w:val="000000"/>
                <w:szCs w:val="18"/>
              </w:rPr>
              <w:t>（</w:t>
            </w:r>
            <w:r>
              <w:rPr>
                <w:rFonts w:hint="eastAsia" w:hAnsi="宋体"/>
                <w:color w:val="000000"/>
                <w:szCs w:val="18"/>
              </w:rPr>
              <w:t>20m×12m×10m</w:t>
            </w:r>
            <w:r>
              <w:rPr>
                <w:rFonts w:hint="eastAsia" w:hAnsi="宋体" w:cs="黑体"/>
                <w:color w:val="000000"/>
                <w:szCs w:val="18"/>
              </w:rPr>
              <w:t>）静养密度（㎏/m3）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9" w:type="dxa"/>
            <w:tcBorders>
              <w:top w:val="single" w:color="auto" w:sz="8" w:space="0"/>
            </w:tcBorders>
            <w:shd w:val="clear" w:color="auto" w:fill="auto"/>
            <w:vAlign w:val="center"/>
          </w:tcPr>
          <w:p>
            <w:pPr>
              <w:pStyle w:val="178"/>
              <w:rPr>
                <w:rFonts w:hint="eastAsia" w:hAnsi="宋体"/>
              </w:rPr>
            </w:pPr>
            <w:r>
              <w:rPr>
                <w:rFonts w:hint="eastAsia" w:hAnsi="宋体" w:cs="黑体"/>
                <w:color w:val="000000"/>
                <w:szCs w:val="18"/>
              </w:rPr>
              <w:t>≤25</w:t>
            </w:r>
          </w:p>
        </w:tc>
        <w:tc>
          <w:tcPr>
            <w:tcW w:w="3913" w:type="dxa"/>
            <w:tcBorders>
              <w:top w:val="single" w:color="auto" w:sz="8" w:space="0"/>
            </w:tcBorders>
            <w:shd w:val="clear" w:color="auto" w:fill="auto"/>
            <w:vAlign w:val="center"/>
          </w:tcPr>
          <w:p>
            <w:pPr>
              <w:pStyle w:val="178"/>
              <w:rPr>
                <w:rFonts w:hint="eastAsia" w:hAnsi="宋体"/>
              </w:rPr>
            </w:pPr>
            <w:r>
              <w:rPr>
                <w:rFonts w:hint="eastAsia" w:hAnsi="宋体" w:cs="黑体"/>
                <w:color w:val="000000"/>
                <w:szCs w:val="18"/>
              </w:rPr>
              <w:t>6.0～6.5</w:t>
            </w:r>
          </w:p>
        </w:tc>
        <w:tc>
          <w:tcPr>
            <w:tcW w:w="3112" w:type="dxa"/>
            <w:tcBorders>
              <w:top w:val="single" w:color="auto" w:sz="8" w:space="0"/>
            </w:tcBorders>
            <w:shd w:val="clear" w:color="auto" w:fill="auto"/>
            <w:vAlign w:val="center"/>
          </w:tcPr>
          <w:p>
            <w:pPr>
              <w:pStyle w:val="178"/>
              <w:rPr>
                <w:rFonts w:hint="eastAsia" w:hAnsi="宋体"/>
              </w:rPr>
            </w:pPr>
            <w:r>
              <w:rPr>
                <w:rFonts w:hint="eastAsia" w:hAnsi="宋体" w:cs="黑体"/>
                <w:color w:val="000000"/>
                <w:szCs w:val="18"/>
              </w:rPr>
              <w:t>3.5～4.0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9" w:type="dxa"/>
            <w:shd w:val="clear" w:color="auto" w:fill="auto"/>
            <w:vAlign w:val="center"/>
          </w:tcPr>
          <w:p>
            <w:pPr>
              <w:pStyle w:val="178"/>
              <w:rPr>
                <w:rFonts w:hint="eastAsia" w:hAnsi="宋体"/>
              </w:rPr>
            </w:pPr>
            <w:r>
              <w:rPr>
                <w:rFonts w:hint="eastAsia" w:hAnsi="宋体" w:cs="黑体"/>
                <w:color w:val="000000"/>
                <w:szCs w:val="18"/>
              </w:rPr>
              <w:t>＞25</w:t>
            </w:r>
          </w:p>
        </w:tc>
        <w:tc>
          <w:tcPr>
            <w:tcW w:w="3913" w:type="dxa"/>
            <w:shd w:val="clear" w:color="auto" w:fill="auto"/>
            <w:vAlign w:val="center"/>
          </w:tcPr>
          <w:p>
            <w:pPr>
              <w:pStyle w:val="178"/>
              <w:rPr>
                <w:rFonts w:hint="eastAsia" w:hAnsi="宋体"/>
              </w:rPr>
            </w:pPr>
            <w:r>
              <w:rPr>
                <w:rFonts w:hint="eastAsia" w:hAnsi="宋体" w:cs="黑体"/>
                <w:color w:val="000000"/>
                <w:szCs w:val="18"/>
              </w:rPr>
              <w:t>5.0～5.5</w:t>
            </w:r>
          </w:p>
        </w:tc>
        <w:tc>
          <w:tcPr>
            <w:tcW w:w="3112" w:type="dxa"/>
            <w:shd w:val="clear" w:color="auto" w:fill="auto"/>
            <w:vAlign w:val="center"/>
          </w:tcPr>
          <w:p>
            <w:pPr>
              <w:pStyle w:val="178"/>
              <w:rPr>
                <w:rFonts w:hint="eastAsia" w:hAnsi="宋体"/>
              </w:rPr>
            </w:pPr>
            <w:r>
              <w:rPr>
                <w:rFonts w:hint="eastAsia" w:hAnsi="宋体" w:cs="黑体"/>
                <w:color w:val="000000"/>
                <w:szCs w:val="18"/>
              </w:rPr>
              <w:t>3.0～3.5</w:t>
            </w:r>
          </w:p>
        </w:tc>
      </w:tr>
    </w:tbl>
    <w:p>
      <w:pPr>
        <w:pStyle w:val="65"/>
        <w:spacing w:before="156" w:after="156"/>
        <w:rPr>
          <w:szCs w:val="21"/>
        </w:rPr>
      </w:pPr>
      <w:r>
        <w:rPr>
          <w:rFonts w:hint="eastAsia"/>
        </w:rPr>
        <w:t>静养管理</w:t>
      </w:r>
    </w:p>
    <w:p>
      <w:pPr>
        <w:pStyle w:val="56"/>
        <w:ind w:firstLine="420"/>
        <w:rPr>
          <w:rFonts w:hint="eastAsia"/>
        </w:rPr>
      </w:pPr>
      <w:r>
        <w:rPr>
          <w:rFonts w:hint="eastAsia"/>
        </w:rPr>
        <w:t>记录网箱编号、活鱼进出箱时间、捕捞渔场、鱼体规格及数量。静养过程不投放任何人工饵料，定期巡箱检查，及时捞除死鱼并作无害化处理。</w:t>
      </w:r>
    </w:p>
    <w:p>
      <w:pPr>
        <w:pStyle w:val="104"/>
        <w:spacing w:before="312" w:after="312"/>
        <w:rPr>
          <w:szCs w:val="21"/>
        </w:rPr>
      </w:pPr>
      <w:r>
        <w:rPr>
          <w:rFonts w:hint="eastAsia" w:hAnsi="黑体"/>
        </w:rPr>
        <w:t>质量要求</w:t>
      </w:r>
    </w:p>
    <w:p>
      <w:pPr>
        <w:pStyle w:val="105"/>
        <w:spacing w:before="156" w:after="156"/>
        <w:rPr>
          <w:rFonts w:hint="eastAsia"/>
        </w:rPr>
      </w:pPr>
      <w:r>
        <w:rPr>
          <w:rFonts w:hint="eastAsia"/>
        </w:rPr>
        <w:t>感官指标</w:t>
      </w:r>
    </w:p>
    <w:p>
      <w:pPr>
        <w:pStyle w:val="56"/>
        <w:autoSpaceDE/>
        <w:autoSpaceDN/>
        <w:ind w:firstLine="420"/>
        <w:rPr>
          <w:rFonts w:hint="eastAsia" w:hAnsi="Calibri"/>
        </w:rPr>
      </w:pPr>
      <w:r>
        <w:rPr>
          <w:rFonts w:hint="eastAsia"/>
        </w:rPr>
        <w:t>感官指标应符合表2的规定。</w:t>
      </w:r>
    </w:p>
    <w:p>
      <w:pPr>
        <w:pStyle w:val="112"/>
        <w:spacing w:before="156" w:after="156"/>
        <w:rPr>
          <w:kern w:val="2"/>
          <w:szCs w:val="21"/>
        </w:rPr>
      </w:pPr>
      <w:r>
        <w:rPr>
          <w:rFonts w:hint="eastAsia"/>
        </w:rPr>
        <w:t>感官指标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544"/>
        <w:gridCol w:w="3544"/>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产品分级</w:t>
            </w:r>
          </w:p>
        </w:tc>
        <w:tc>
          <w:tcPr>
            <w:tcW w:w="3544"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一级</w:t>
            </w:r>
          </w:p>
        </w:tc>
        <w:tc>
          <w:tcPr>
            <w:tcW w:w="3544"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二级</w:t>
            </w:r>
          </w:p>
        </w:tc>
        <w:tc>
          <w:tcPr>
            <w:tcW w:w="980"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pPr>
              <w:pStyle w:val="178"/>
            </w:pPr>
            <w:r>
              <w:rPr>
                <w:rFonts w:hint="eastAsia" w:hAnsi="宋体" w:cs="黑体"/>
                <w:bCs/>
                <w:szCs w:val="18"/>
              </w:rPr>
              <w:t>体色</w:t>
            </w:r>
          </w:p>
        </w:tc>
        <w:tc>
          <w:tcPr>
            <w:tcW w:w="3544" w:type="dxa"/>
            <w:tcBorders>
              <w:top w:val="single" w:color="auto" w:sz="8" w:space="0"/>
            </w:tcBorders>
            <w:shd w:val="clear" w:color="auto" w:fill="auto"/>
            <w:vAlign w:val="center"/>
          </w:tcPr>
          <w:p>
            <w:pPr>
              <w:pStyle w:val="178"/>
            </w:pPr>
            <w:r>
              <w:rPr>
                <w:rFonts w:hint="eastAsia" w:hAnsi="宋体" w:cs="黑体"/>
                <w:bCs/>
                <w:szCs w:val="18"/>
              </w:rPr>
              <w:t>头背部灰黑色，腹部银白色，各鳍灰黑；鱼体具有固有的光泽和色泽</w:t>
            </w:r>
          </w:p>
        </w:tc>
        <w:tc>
          <w:tcPr>
            <w:tcW w:w="3544" w:type="dxa"/>
            <w:tcBorders>
              <w:top w:val="single" w:color="auto" w:sz="8" w:space="0"/>
            </w:tcBorders>
            <w:shd w:val="clear" w:color="auto" w:fill="auto"/>
            <w:vAlign w:val="center"/>
          </w:tcPr>
          <w:p>
            <w:pPr>
              <w:pStyle w:val="178"/>
            </w:pPr>
            <w:r>
              <w:rPr>
                <w:rFonts w:hint="eastAsia" w:hAnsi="宋体" w:cs="黑体"/>
                <w:bCs/>
                <w:szCs w:val="18"/>
              </w:rPr>
              <w:t xml:space="preserve">体色深或灰白，鱼体光泽稍差 </w:t>
            </w:r>
          </w:p>
        </w:tc>
        <w:tc>
          <w:tcPr>
            <w:tcW w:w="980" w:type="dxa"/>
            <w:tcBorders>
              <w:top w:val="single" w:color="auto" w:sz="8" w:space="0"/>
            </w:tcBorders>
            <w:shd w:val="clear" w:color="auto" w:fill="auto"/>
            <w:vAlign w:val="center"/>
          </w:tcPr>
          <w:p>
            <w:pPr>
              <w:pStyle w:val="178"/>
            </w:pPr>
            <w:r>
              <w:rPr>
                <w:rFonts w:hint="eastAsia" w:hAnsi="宋体" w:cs="黑体"/>
                <w:bCs/>
                <w:szCs w:val="18"/>
              </w:rPr>
              <w:t>目测</w:t>
            </w:r>
          </w:p>
        </w:tc>
      </w:tr>
    </w:tbl>
    <w:p>
      <w:pPr>
        <w:pStyle w:val="56"/>
        <w:pageBreakBefore/>
        <w:spacing w:before="156" w:beforeLines="50" w:after="156" w:afterLines="50"/>
        <w:ind w:firstLine="0" w:firstLineChars="0"/>
        <w:jc w:val="center"/>
        <w:rPr>
          <w:rFonts w:ascii="黑体" w:hAnsi="黑体" w:eastAsia="黑体"/>
        </w:rPr>
      </w:pPr>
      <w:r>
        <w:rPr>
          <w:rFonts w:hint="eastAsia" w:ascii="黑体" w:hAnsi="黑体" w:eastAsia="黑体"/>
        </w:rPr>
        <w:t>表2  感官指标</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3544"/>
        <w:gridCol w:w="3544"/>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266"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产品分级</w:t>
            </w:r>
          </w:p>
        </w:tc>
        <w:tc>
          <w:tcPr>
            <w:tcW w:w="3544"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一级</w:t>
            </w:r>
          </w:p>
        </w:tc>
        <w:tc>
          <w:tcPr>
            <w:tcW w:w="3544"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二级</w:t>
            </w:r>
          </w:p>
        </w:tc>
        <w:tc>
          <w:tcPr>
            <w:tcW w:w="980" w:type="dxa"/>
            <w:tcBorders>
              <w:top w:val="single" w:color="auto" w:sz="8" w:space="0"/>
              <w:bottom w:val="single" w:color="auto" w:sz="8" w:space="0"/>
            </w:tcBorders>
            <w:shd w:val="clear" w:color="auto" w:fill="auto"/>
            <w:vAlign w:val="center"/>
          </w:tcPr>
          <w:p>
            <w:pPr>
              <w:pStyle w:val="178"/>
            </w:pPr>
            <w:r>
              <w:rPr>
                <w:rFonts w:hint="eastAsia" w:hAnsi="宋体" w:cs="黑体"/>
                <w:bCs/>
                <w:szCs w:val="18"/>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hAnsi="宋体" w:cs="黑体"/>
                <w:bCs/>
                <w:szCs w:val="18"/>
              </w:rPr>
              <w:t>游泳能力</w:t>
            </w:r>
          </w:p>
        </w:tc>
        <w:tc>
          <w:tcPr>
            <w:tcW w:w="3544" w:type="dxa"/>
            <w:shd w:val="clear" w:color="auto" w:fill="auto"/>
            <w:vAlign w:val="center"/>
          </w:tcPr>
          <w:p>
            <w:pPr>
              <w:pStyle w:val="178"/>
            </w:pPr>
            <w:r>
              <w:rPr>
                <w:rFonts w:hint="eastAsia" w:hAnsi="宋体" w:cs="黑体"/>
                <w:bCs/>
                <w:szCs w:val="18"/>
              </w:rPr>
              <w:t>游动活泼，对外来影响反应敏锐</w:t>
            </w:r>
          </w:p>
        </w:tc>
        <w:tc>
          <w:tcPr>
            <w:tcW w:w="3544" w:type="dxa"/>
            <w:shd w:val="clear" w:color="auto" w:fill="auto"/>
            <w:vAlign w:val="center"/>
          </w:tcPr>
          <w:p>
            <w:pPr>
              <w:pStyle w:val="178"/>
            </w:pPr>
            <w:r>
              <w:rPr>
                <w:rFonts w:hint="eastAsia" w:hAnsi="宋体" w:cs="黑体"/>
                <w:bCs/>
                <w:szCs w:val="18"/>
              </w:rPr>
              <w:t>有游泳能力，对外来影响反应迟钝</w:t>
            </w:r>
          </w:p>
        </w:tc>
        <w:tc>
          <w:tcPr>
            <w:tcW w:w="980" w:type="dxa"/>
            <w:shd w:val="clear" w:color="auto" w:fill="auto"/>
            <w:vAlign w:val="center"/>
          </w:tcPr>
          <w:p>
            <w:pPr>
              <w:pStyle w:val="178"/>
            </w:pPr>
            <w:r>
              <w:rPr>
                <w:rFonts w:hint="eastAsia" w:hAnsi="宋体" w:cs="黑体"/>
                <w:bCs/>
                <w:szCs w:val="18"/>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pPr>
              <w:pStyle w:val="178"/>
            </w:pPr>
            <w:r>
              <w:rPr>
                <w:rFonts w:hint="eastAsia" w:hAnsi="宋体" w:cs="黑体"/>
                <w:bCs/>
                <w:szCs w:val="18"/>
              </w:rPr>
              <w:t>体表</w:t>
            </w:r>
          </w:p>
        </w:tc>
        <w:tc>
          <w:tcPr>
            <w:tcW w:w="3544" w:type="dxa"/>
            <w:shd w:val="clear" w:color="auto" w:fill="auto"/>
            <w:vAlign w:val="center"/>
          </w:tcPr>
          <w:p>
            <w:pPr>
              <w:pStyle w:val="178"/>
            </w:pPr>
            <w:r>
              <w:rPr>
                <w:rFonts w:hint="eastAsia" w:hAnsi="宋体" w:cs="黑体"/>
                <w:bCs/>
                <w:szCs w:val="18"/>
              </w:rPr>
              <w:t>鳞片、鳍条完整，肌肉表皮无充血</w:t>
            </w:r>
          </w:p>
        </w:tc>
        <w:tc>
          <w:tcPr>
            <w:tcW w:w="3544" w:type="dxa"/>
            <w:shd w:val="clear" w:color="auto" w:fill="auto"/>
            <w:vAlign w:val="center"/>
          </w:tcPr>
          <w:p>
            <w:pPr>
              <w:pStyle w:val="178"/>
            </w:pPr>
            <w:r>
              <w:rPr>
                <w:rFonts w:hint="eastAsia" w:hAnsi="宋体" w:cs="黑体"/>
                <w:bCs/>
                <w:szCs w:val="18"/>
              </w:rPr>
              <w:t>鳞片脱落较多，鳍条分叉破损较大，肌肉表皮有充血</w:t>
            </w:r>
          </w:p>
        </w:tc>
        <w:tc>
          <w:tcPr>
            <w:tcW w:w="980" w:type="dxa"/>
            <w:shd w:val="clear" w:color="auto" w:fill="auto"/>
            <w:vAlign w:val="center"/>
          </w:tcPr>
          <w:p>
            <w:pPr>
              <w:pStyle w:val="178"/>
            </w:pPr>
            <w:r>
              <w:rPr>
                <w:rFonts w:hint="eastAsia" w:hAnsi="宋体" w:cs="黑体"/>
                <w:bCs/>
                <w:szCs w:val="18"/>
              </w:rPr>
              <w:t>目测</w:t>
            </w:r>
          </w:p>
        </w:tc>
      </w:tr>
    </w:tbl>
    <w:p>
      <w:pPr>
        <w:pStyle w:val="105"/>
        <w:spacing w:before="156" w:after="156"/>
        <w:rPr>
          <w:szCs w:val="21"/>
        </w:rPr>
      </w:pPr>
      <w:r>
        <w:rPr>
          <w:rFonts w:hint="eastAsia"/>
        </w:rPr>
        <w:t>理化指标</w:t>
      </w:r>
    </w:p>
    <w:p>
      <w:pPr>
        <w:pStyle w:val="56"/>
        <w:autoSpaceDE/>
        <w:autoSpaceDN/>
        <w:ind w:firstLine="420"/>
        <w:rPr>
          <w:rFonts w:hint="eastAsia"/>
        </w:rPr>
      </w:pPr>
      <w:r>
        <w:rPr>
          <w:rFonts w:hint="eastAsia"/>
        </w:rPr>
        <w:t>主要理化指标应符合表3的规定。</w:t>
      </w:r>
    </w:p>
    <w:p>
      <w:pPr>
        <w:pStyle w:val="112"/>
        <w:spacing w:before="156" w:after="156"/>
        <w:rPr>
          <w:kern w:val="2"/>
          <w:szCs w:val="21"/>
        </w:rPr>
      </w:pPr>
      <w:r>
        <w:rPr>
          <w:rFonts w:hint="eastAsia"/>
        </w:rPr>
        <w:t>主要理化指标及检测方法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5"/>
        <w:gridCol w:w="2333"/>
        <w:gridCol w:w="2333"/>
        <w:gridCol w:w="2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5" w:type="dxa"/>
            <w:vMerge w:val="restart"/>
            <w:tcBorders>
              <w:top w:val="single" w:color="auto" w:sz="8" w:space="0"/>
              <w:bottom w:val="single" w:color="auto" w:sz="4" w:space="0"/>
            </w:tcBorders>
            <w:shd w:val="clear" w:color="auto" w:fill="auto"/>
            <w:vAlign w:val="center"/>
          </w:tcPr>
          <w:p>
            <w:pPr>
              <w:pStyle w:val="178"/>
            </w:pPr>
            <w:r>
              <w:rPr>
                <w:rFonts w:hint="eastAsia"/>
              </w:rPr>
              <w:t>项目</w:t>
            </w:r>
          </w:p>
        </w:tc>
        <w:tc>
          <w:tcPr>
            <w:tcW w:w="4666" w:type="dxa"/>
            <w:gridSpan w:val="2"/>
            <w:tcBorders>
              <w:top w:val="single" w:color="auto" w:sz="8" w:space="0"/>
              <w:bottom w:val="single" w:color="auto" w:sz="4" w:space="0"/>
            </w:tcBorders>
            <w:shd w:val="clear" w:color="auto" w:fill="auto"/>
            <w:vAlign w:val="center"/>
          </w:tcPr>
          <w:p>
            <w:pPr>
              <w:pStyle w:val="178"/>
            </w:pPr>
            <w:r>
              <w:rPr>
                <w:rFonts w:hint="eastAsia"/>
              </w:rPr>
              <w:t>指标</w:t>
            </w:r>
          </w:p>
        </w:tc>
        <w:tc>
          <w:tcPr>
            <w:tcW w:w="2333" w:type="dxa"/>
            <w:vMerge w:val="restart"/>
            <w:tcBorders>
              <w:top w:val="single" w:color="auto" w:sz="8" w:space="0"/>
              <w:bottom w:val="single" w:color="auto" w:sz="4" w:space="0"/>
            </w:tcBorders>
            <w:shd w:val="clear" w:color="auto" w:fill="auto"/>
            <w:vAlign w:val="center"/>
          </w:tcPr>
          <w:p>
            <w:pPr>
              <w:pStyle w:val="178"/>
            </w:pPr>
            <w:r>
              <w:rPr>
                <w:rFonts w:hint="eastAsia"/>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tcBorders>
              <w:top w:val="single" w:color="auto" w:sz="4" w:space="0"/>
              <w:bottom w:val="single" w:color="auto" w:sz="8" w:space="0"/>
            </w:tcBorders>
            <w:shd w:val="clear" w:color="auto" w:fill="auto"/>
            <w:vAlign w:val="center"/>
          </w:tcPr>
          <w:p>
            <w:pPr>
              <w:pStyle w:val="178"/>
            </w:pPr>
          </w:p>
        </w:tc>
        <w:tc>
          <w:tcPr>
            <w:tcW w:w="2333" w:type="dxa"/>
            <w:tcBorders>
              <w:top w:val="single" w:color="auto" w:sz="4" w:space="0"/>
              <w:bottom w:val="single" w:color="auto" w:sz="8" w:space="0"/>
            </w:tcBorders>
            <w:shd w:val="clear" w:color="auto" w:fill="auto"/>
            <w:vAlign w:val="center"/>
          </w:tcPr>
          <w:p>
            <w:pPr>
              <w:pStyle w:val="178"/>
            </w:pPr>
            <w:r>
              <w:rPr>
                <w:rFonts w:hint="eastAsia" w:hAnsi="宋体" w:cs="黑体"/>
                <w:color w:val="000000"/>
                <w:szCs w:val="18"/>
              </w:rPr>
              <w:t>鳙鱼</w:t>
            </w:r>
          </w:p>
        </w:tc>
        <w:tc>
          <w:tcPr>
            <w:tcW w:w="2333" w:type="dxa"/>
            <w:tcBorders>
              <w:top w:val="single" w:color="auto" w:sz="4" w:space="0"/>
              <w:bottom w:val="single" w:color="auto" w:sz="8" w:space="0"/>
            </w:tcBorders>
            <w:shd w:val="clear" w:color="auto" w:fill="auto"/>
            <w:vAlign w:val="center"/>
          </w:tcPr>
          <w:p>
            <w:pPr>
              <w:pStyle w:val="178"/>
            </w:pPr>
            <w:r>
              <w:rPr>
                <w:rFonts w:hint="eastAsia" w:hAnsi="宋体" w:cs="黑体"/>
                <w:color w:val="000000"/>
                <w:szCs w:val="18"/>
              </w:rPr>
              <w:t>鲢鱼</w:t>
            </w:r>
          </w:p>
        </w:tc>
        <w:tc>
          <w:tcPr>
            <w:tcW w:w="2333" w:type="dxa"/>
            <w:vMerge w:val="continue"/>
            <w:tcBorders>
              <w:top w:val="single" w:color="auto" w:sz="4" w:space="0"/>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tcBorders>
              <w:top w:val="single" w:color="auto" w:sz="8" w:space="0"/>
            </w:tcBorders>
            <w:shd w:val="clear" w:color="auto" w:fill="auto"/>
            <w:vAlign w:val="center"/>
          </w:tcPr>
          <w:p>
            <w:pPr>
              <w:pStyle w:val="178"/>
            </w:pPr>
            <w:r>
              <w:rPr>
                <w:rFonts w:hint="eastAsia" w:hAnsi="宋体"/>
                <w:color w:val="000000"/>
                <w:szCs w:val="18"/>
              </w:rPr>
              <w:t>脂肪（湿重，%）</w:t>
            </w:r>
          </w:p>
        </w:tc>
        <w:tc>
          <w:tcPr>
            <w:tcW w:w="2333" w:type="dxa"/>
            <w:tcBorders>
              <w:top w:val="single" w:color="auto" w:sz="8" w:space="0"/>
            </w:tcBorders>
            <w:shd w:val="clear" w:color="auto" w:fill="auto"/>
            <w:vAlign w:val="center"/>
          </w:tcPr>
          <w:p>
            <w:pPr>
              <w:pStyle w:val="178"/>
            </w:pPr>
            <w:r>
              <w:rPr>
                <w:rFonts w:hint="eastAsia" w:hAnsi="宋体"/>
                <w:szCs w:val="18"/>
              </w:rPr>
              <w:t>≤2.6</w:t>
            </w:r>
          </w:p>
        </w:tc>
        <w:tc>
          <w:tcPr>
            <w:tcW w:w="2333" w:type="dxa"/>
            <w:tcBorders>
              <w:top w:val="single" w:color="auto" w:sz="8" w:space="0"/>
            </w:tcBorders>
            <w:shd w:val="clear" w:color="auto" w:fill="auto"/>
            <w:vAlign w:val="center"/>
          </w:tcPr>
          <w:p>
            <w:pPr>
              <w:pStyle w:val="178"/>
            </w:pPr>
            <w:r>
              <w:rPr>
                <w:rFonts w:hint="eastAsia" w:hAnsi="宋体"/>
                <w:szCs w:val="18"/>
              </w:rPr>
              <w:t>≤1.8</w:t>
            </w:r>
          </w:p>
        </w:tc>
        <w:tc>
          <w:tcPr>
            <w:tcW w:w="2333" w:type="dxa"/>
            <w:tcBorders>
              <w:top w:val="single" w:color="auto" w:sz="8" w:space="0"/>
            </w:tcBorders>
            <w:shd w:val="clear" w:color="auto" w:fill="auto"/>
            <w:vAlign w:val="center"/>
          </w:tcPr>
          <w:p>
            <w:pPr>
              <w:pStyle w:val="178"/>
            </w:pPr>
            <w:r>
              <w:rPr>
                <w:rFonts w:hint="eastAsia" w:hAnsi="宋体"/>
                <w:color w:val="000000"/>
              </w:rPr>
              <w:t>GB 5009.6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shd w:val="clear" w:color="auto" w:fill="auto"/>
            <w:vAlign w:val="center"/>
          </w:tcPr>
          <w:p>
            <w:pPr>
              <w:pStyle w:val="178"/>
            </w:pPr>
            <w:r>
              <w:rPr>
                <w:rFonts w:hint="eastAsia" w:hAnsi="宋体"/>
                <w:color w:val="000000"/>
                <w:szCs w:val="18"/>
              </w:rPr>
              <w:t>蛋白质（湿重，%）</w:t>
            </w:r>
          </w:p>
        </w:tc>
        <w:tc>
          <w:tcPr>
            <w:tcW w:w="2333" w:type="dxa"/>
            <w:shd w:val="clear" w:color="auto" w:fill="auto"/>
            <w:vAlign w:val="center"/>
          </w:tcPr>
          <w:p>
            <w:pPr>
              <w:pStyle w:val="178"/>
            </w:pPr>
            <w:r>
              <w:rPr>
                <w:rFonts w:hint="eastAsia" w:hAnsi="宋体"/>
                <w:szCs w:val="18"/>
              </w:rPr>
              <w:t>≥16.1</w:t>
            </w:r>
          </w:p>
        </w:tc>
        <w:tc>
          <w:tcPr>
            <w:tcW w:w="2333" w:type="dxa"/>
            <w:shd w:val="clear" w:color="auto" w:fill="auto"/>
            <w:vAlign w:val="center"/>
          </w:tcPr>
          <w:p>
            <w:pPr>
              <w:pStyle w:val="178"/>
            </w:pPr>
            <w:r>
              <w:rPr>
                <w:rFonts w:hint="eastAsia" w:hAnsi="宋体"/>
                <w:szCs w:val="18"/>
              </w:rPr>
              <w:t>≥16.5</w:t>
            </w:r>
          </w:p>
        </w:tc>
        <w:tc>
          <w:tcPr>
            <w:tcW w:w="2333" w:type="dxa"/>
            <w:shd w:val="clear" w:color="auto" w:fill="auto"/>
            <w:vAlign w:val="center"/>
          </w:tcPr>
          <w:p>
            <w:pPr>
              <w:pStyle w:val="178"/>
            </w:pPr>
            <w:r>
              <w:rPr>
                <w:rFonts w:hint="eastAsia" w:hAnsi="宋体"/>
                <w:color w:val="000000"/>
              </w:rPr>
              <w:t>GB 5009.5</w:t>
            </w:r>
          </w:p>
        </w:tc>
      </w:tr>
    </w:tbl>
    <w:p>
      <w:pPr>
        <w:pStyle w:val="105"/>
        <w:spacing w:before="156" w:after="156"/>
        <w:rPr>
          <w:szCs w:val="21"/>
        </w:rPr>
      </w:pPr>
      <w:r>
        <w:rPr>
          <w:rFonts w:hint="eastAsia"/>
        </w:rPr>
        <w:t>安全指标</w:t>
      </w:r>
    </w:p>
    <w:p>
      <w:pPr>
        <w:pStyle w:val="56"/>
        <w:autoSpaceDE/>
        <w:autoSpaceDN/>
        <w:ind w:firstLine="420"/>
        <w:rPr>
          <w:rFonts w:hint="eastAsia"/>
        </w:rPr>
      </w:pPr>
      <w:r>
        <w:rPr>
          <w:rFonts w:hint="eastAsia" w:hAnsi="宋体"/>
        </w:rPr>
        <w:t>污染物限量应符合</w:t>
      </w:r>
      <w:r>
        <w:rPr>
          <w:rFonts w:hint="eastAsia"/>
        </w:rPr>
        <w:t>GB 2762</w:t>
      </w:r>
      <w:r>
        <w:rPr>
          <w:rFonts w:hint="eastAsia" w:hAnsi="宋体"/>
        </w:rPr>
        <w:t>、</w:t>
      </w:r>
      <w:r>
        <w:rPr>
          <w:rFonts w:hint="eastAsia"/>
        </w:rPr>
        <w:t>GB 2763</w:t>
      </w:r>
      <w:r>
        <w:rPr>
          <w:rFonts w:hint="eastAsia" w:hAnsi="宋体"/>
        </w:rPr>
        <w:t>、</w:t>
      </w:r>
      <w:r>
        <w:rPr>
          <w:rFonts w:hint="eastAsia"/>
        </w:rPr>
        <w:t>GB 2733</w:t>
      </w:r>
      <w:r>
        <w:rPr>
          <w:rFonts w:hint="eastAsia" w:hAnsi="宋体"/>
        </w:rPr>
        <w:t>和</w:t>
      </w:r>
      <w:r>
        <w:rPr>
          <w:rFonts w:hint="eastAsia"/>
        </w:rPr>
        <w:t>GB 31650</w:t>
      </w:r>
      <w:r>
        <w:rPr>
          <w:rFonts w:hint="eastAsia" w:hAnsi="宋体"/>
        </w:rPr>
        <w:t>的规定。</w:t>
      </w:r>
    </w:p>
    <w:p>
      <w:pPr>
        <w:pStyle w:val="104"/>
        <w:spacing w:before="312" w:after="312"/>
        <w:rPr>
          <w:szCs w:val="21"/>
        </w:rPr>
      </w:pPr>
      <w:r>
        <w:rPr>
          <w:rFonts w:hint="eastAsia"/>
        </w:rPr>
        <w:t>检验规则</w:t>
      </w:r>
    </w:p>
    <w:p>
      <w:pPr>
        <w:pStyle w:val="105"/>
        <w:spacing w:before="156" w:after="156"/>
        <w:rPr>
          <w:rFonts w:hint="eastAsia" w:ascii="宋体" w:eastAsia="宋体"/>
        </w:rPr>
      </w:pPr>
      <w:r>
        <w:rPr>
          <w:rFonts w:hint="eastAsia"/>
        </w:rPr>
        <w:t>检验批</w:t>
      </w:r>
    </w:p>
    <w:p>
      <w:pPr>
        <w:pStyle w:val="56"/>
        <w:ind w:firstLine="420"/>
        <w:rPr>
          <w:rFonts w:hint="eastAsia"/>
        </w:rPr>
      </w:pPr>
      <w:r>
        <w:rPr>
          <w:rFonts w:hint="eastAsia"/>
        </w:rPr>
        <w:t>按同一渔场同一次捕捞（起网）作业为一批次。</w:t>
      </w:r>
    </w:p>
    <w:p>
      <w:pPr>
        <w:pStyle w:val="105"/>
        <w:spacing w:before="156" w:after="156"/>
        <w:rPr>
          <w:rFonts w:hint="eastAsia"/>
        </w:rPr>
      </w:pPr>
      <w:r>
        <w:rPr>
          <w:rFonts w:hint="eastAsia"/>
        </w:rPr>
        <w:t>抽样</w:t>
      </w:r>
    </w:p>
    <w:p>
      <w:pPr>
        <w:pStyle w:val="56"/>
        <w:ind w:firstLine="420"/>
        <w:rPr>
          <w:rFonts w:hint="eastAsia"/>
        </w:rPr>
      </w:pPr>
      <w:r>
        <w:rPr>
          <w:rFonts w:hint="eastAsia"/>
        </w:rPr>
        <w:t>按SC/T 3016的规定执行。</w:t>
      </w:r>
    </w:p>
    <w:p>
      <w:pPr>
        <w:pStyle w:val="105"/>
        <w:spacing w:before="156" w:after="156"/>
        <w:rPr>
          <w:rFonts w:hint="eastAsia"/>
        </w:rPr>
      </w:pPr>
      <w:r>
        <w:rPr>
          <w:rFonts w:hint="eastAsia"/>
        </w:rPr>
        <w:t>出场检验</w:t>
      </w:r>
    </w:p>
    <w:p>
      <w:pPr>
        <w:pStyle w:val="56"/>
        <w:ind w:firstLine="420"/>
        <w:rPr>
          <w:rFonts w:hint="eastAsia"/>
        </w:rPr>
      </w:pPr>
      <w:r>
        <w:rPr>
          <w:rFonts w:hint="eastAsia"/>
        </w:rPr>
        <w:t>每批产品应进行出场检验。检验项目为感官指标，检验合格后方可出场。</w:t>
      </w:r>
    </w:p>
    <w:p>
      <w:pPr>
        <w:pStyle w:val="105"/>
        <w:spacing w:before="156" w:after="156"/>
        <w:rPr>
          <w:szCs w:val="21"/>
        </w:rPr>
      </w:pPr>
      <w:r>
        <w:rPr>
          <w:rFonts w:hint="eastAsia"/>
        </w:rPr>
        <w:t>型式检验</w:t>
      </w:r>
    </w:p>
    <w:p>
      <w:pPr>
        <w:pStyle w:val="56"/>
        <w:ind w:firstLine="420"/>
        <w:rPr>
          <w:rFonts w:hint="eastAsia"/>
        </w:rPr>
      </w:pPr>
      <w:r>
        <w:rPr>
          <w:rFonts w:hint="eastAsia"/>
        </w:rPr>
        <w:t>有下列情况之一时，进行型式检验，检测项目为本标准7.1—7.3规定的项目：</w:t>
      </w:r>
    </w:p>
    <w:p>
      <w:pPr>
        <w:pStyle w:val="174"/>
        <w:rPr>
          <w:rFonts w:hint="eastAsia"/>
        </w:rPr>
      </w:pPr>
      <w:r>
        <w:rPr>
          <w:rFonts w:hint="eastAsia"/>
        </w:rPr>
        <w:t>增殖环境发生较大变化可能影响产品质量时；</w:t>
      </w:r>
    </w:p>
    <w:p>
      <w:pPr>
        <w:pStyle w:val="174"/>
        <w:rPr>
          <w:rFonts w:hint="eastAsia"/>
        </w:rPr>
      </w:pPr>
      <w:r>
        <w:rPr>
          <w:rFonts w:hint="eastAsia"/>
        </w:rPr>
        <w:t>国家行政部门提出进行型式检验要求时；</w:t>
      </w:r>
    </w:p>
    <w:p>
      <w:pPr>
        <w:pStyle w:val="174"/>
        <w:rPr>
          <w:rFonts w:hint="eastAsia"/>
        </w:rPr>
      </w:pPr>
      <w:r>
        <w:rPr>
          <w:rFonts w:hint="eastAsia"/>
        </w:rPr>
        <w:t>出场检验与上次型式检验有较大差异时；</w:t>
      </w:r>
    </w:p>
    <w:p>
      <w:pPr>
        <w:pStyle w:val="174"/>
        <w:rPr>
          <w:rFonts w:hint="eastAsia"/>
        </w:rPr>
      </w:pPr>
      <w:r>
        <w:rPr>
          <w:rFonts w:hint="eastAsia"/>
        </w:rPr>
        <w:t>正常生产时，每年至少进行一次的周期性检验。</w:t>
      </w:r>
    </w:p>
    <w:p>
      <w:pPr>
        <w:pStyle w:val="105"/>
        <w:spacing w:before="156" w:after="156"/>
        <w:rPr>
          <w:szCs w:val="21"/>
        </w:rPr>
      </w:pPr>
      <w:r>
        <w:rPr>
          <w:rFonts w:hint="eastAsia"/>
        </w:rPr>
        <w:t>结果判定</w:t>
      </w:r>
    </w:p>
    <w:p>
      <w:pPr>
        <w:pStyle w:val="65"/>
        <w:spacing w:before="156" w:after="156"/>
        <w:rPr>
          <w:rFonts w:hint="eastAsia"/>
        </w:rPr>
      </w:pPr>
      <w:r>
        <w:rPr>
          <w:rFonts w:hint="eastAsia"/>
        </w:rPr>
        <w:t>出场检验</w:t>
      </w:r>
    </w:p>
    <w:p>
      <w:pPr>
        <w:pStyle w:val="56"/>
        <w:autoSpaceDE/>
        <w:autoSpaceDN/>
        <w:ind w:firstLine="420"/>
        <w:rPr>
          <w:rFonts w:hint="eastAsia"/>
        </w:rPr>
      </w:pPr>
      <w:r>
        <w:rPr>
          <w:rFonts w:hint="eastAsia"/>
        </w:rPr>
        <w:t>感官指标检验项目应符合7.1的规定</w:t>
      </w:r>
      <w:r>
        <w:rPr>
          <w:rFonts w:hint="eastAsia"/>
          <w:lang w:eastAsia="zh-CN"/>
        </w:rPr>
        <w:t>，</w:t>
      </w:r>
      <w:r>
        <w:rPr>
          <w:rFonts w:hint="eastAsia"/>
        </w:rPr>
        <w:t>合格样本数符合SC/T 3016—2004表A.1的规定</w:t>
      </w:r>
      <w:r>
        <w:rPr>
          <w:rFonts w:hint="eastAsia"/>
          <w:lang w:eastAsia="zh-CN"/>
        </w:rPr>
        <w:t>，</w:t>
      </w:r>
      <w:r>
        <w:rPr>
          <w:rFonts w:hint="eastAsia"/>
        </w:rPr>
        <w:t>则判为</w:t>
      </w:r>
      <w:bookmarkStart w:id="46" w:name="_GoBack"/>
      <w:bookmarkEnd w:id="46"/>
      <w:r>
        <w:rPr>
          <w:rFonts w:hint="eastAsia"/>
        </w:rPr>
        <w:t>合格。</w:t>
      </w:r>
    </w:p>
    <w:p>
      <w:pPr>
        <w:pStyle w:val="65"/>
        <w:spacing w:before="156" w:after="156"/>
        <w:rPr>
          <w:rFonts w:hint="eastAsia"/>
        </w:rPr>
      </w:pPr>
      <w:r>
        <w:rPr>
          <w:rFonts w:hint="eastAsia"/>
        </w:rPr>
        <w:t>型式检验</w:t>
      </w:r>
    </w:p>
    <w:p>
      <w:pPr>
        <w:pStyle w:val="56"/>
        <w:ind w:firstLine="420"/>
        <w:rPr>
          <w:rFonts w:hint="eastAsia"/>
        </w:rPr>
      </w:pPr>
      <w:r>
        <w:rPr>
          <w:rFonts w:hint="eastAsia"/>
        </w:rPr>
        <w:t>型式检验项目全部符合第7章的规定，则判为合格；除感官检验项目外，有一项指标不符合第7章的规定，允许加倍抽样进行复检，复检结果仍不合格，则判为该批次不合格。</w:t>
      </w:r>
    </w:p>
    <w:p>
      <w:pPr>
        <w:pStyle w:val="104"/>
        <w:spacing w:before="312" w:after="312"/>
        <w:rPr>
          <w:szCs w:val="21"/>
        </w:rPr>
      </w:pPr>
      <w:r>
        <w:rPr>
          <w:rFonts w:hint="eastAsia"/>
        </w:rPr>
        <w:t>标识、包装、运输</w:t>
      </w:r>
    </w:p>
    <w:p>
      <w:pPr>
        <w:pStyle w:val="105"/>
        <w:spacing w:before="156" w:after="156"/>
        <w:rPr>
          <w:rFonts w:hint="eastAsia"/>
        </w:rPr>
      </w:pPr>
      <w:r>
        <w:rPr>
          <w:rFonts w:hint="eastAsia"/>
        </w:rPr>
        <w:t>标识</w:t>
      </w:r>
    </w:p>
    <w:p>
      <w:pPr>
        <w:pStyle w:val="56"/>
        <w:ind w:firstLine="420"/>
        <w:rPr>
          <w:rFonts w:hint="eastAsia"/>
        </w:rPr>
      </w:pPr>
      <w:r>
        <w:rPr>
          <w:rFonts w:hint="eastAsia"/>
        </w:rPr>
        <w:t xml:space="preserve">应符合《地理标志专用标志使用管理办法（试行）》的规定。 </w:t>
      </w:r>
    </w:p>
    <w:p>
      <w:pPr>
        <w:pStyle w:val="105"/>
        <w:spacing w:before="156" w:after="156"/>
        <w:rPr>
          <w:rFonts w:hint="eastAsia"/>
        </w:rPr>
      </w:pPr>
      <w:r>
        <w:rPr>
          <w:rFonts w:hint="eastAsia"/>
        </w:rPr>
        <w:t>包装</w:t>
      </w:r>
    </w:p>
    <w:p>
      <w:pPr>
        <w:pStyle w:val="56"/>
        <w:ind w:firstLine="420"/>
        <w:rPr>
          <w:rFonts w:hint="eastAsia"/>
        </w:rPr>
      </w:pPr>
      <w:r>
        <w:rPr>
          <w:rFonts w:hint="eastAsia"/>
        </w:rPr>
        <w:t>在活鱼装载容器上应有地理标志产品标识、“淳”商标，并应有产品溯源码或在活鱼尾柄上加挂产品溯源标签。</w:t>
      </w:r>
    </w:p>
    <w:p>
      <w:pPr>
        <w:pStyle w:val="105"/>
        <w:spacing w:before="156" w:after="156"/>
        <w:rPr>
          <w:rFonts w:hint="eastAsia"/>
        </w:rPr>
      </w:pPr>
      <w:r>
        <w:rPr>
          <w:rFonts w:hint="eastAsia"/>
        </w:rPr>
        <w:t>运输</w:t>
      </w:r>
    </w:p>
    <w:p>
      <w:pPr>
        <w:pStyle w:val="56"/>
        <w:autoSpaceDE/>
        <w:autoSpaceDN/>
        <w:ind w:firstLine="420"/>
        <w:rPr>
          <w:rFonts w:hint="eastAsia"/>
        </w:rPr>
      </w:pPr>
      <w:r>
        <w:rPr>
          <w:rFonts w:hint="eastAsia"/>
        </w:rPr>
        <w:t>敞开式充氧运输工具使用专用配送车装运；塑料袋封闭充氧运输工具应洁净、无毒、无异味，严防运输污染。运输按GB/T 27638的规定执行。</w:t>
      </w:r>
    </w:p>
    <w:p>
      <w:pPr>
        <w:pStyle w:val="56"/>
        <w:ind w:firstLine="420"/>
      </w:pP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p>
    <w:bookmarkEnd w:id="22"/>
    <w:p>
      <w:pPr>
        <w:pStyle w:val="198"/>
      </w:pPr>
      <w:bookmarkStart w:id="44" w:name="BookMark5"/>
    </w:p>
    <w:p>
      <w:pPr>
        <w:pStyle w:val="199"/>
      </w:pPr>
    </w:p>
    <w:p>
      <w:pPr>
        <w:pStyle w:val="76"/>
        <w:spacing w:after="156"/>
        <w:rPr>
          <w:rFonts w:hint="eastAsia"/>
        </w:rPr>
      </w:pPr>
      <w:r>
        <w:br w:type="textWrapping"/>
      </w:r>
      <w:r>
        <w:rPr>
          <w:rFonts w:hint="eastAsia"/>
        </w:rPr>
        <w:t>（规范性）</w:t>
      </w:r>
      <w:r>
        <w:br w:type="textWrapping"/>
      </w:r>
      <w:r>
        <w:rPr>
          <w:rFonts w:hint="eastAsia"/>
        </w:rPr>
        <w:t>千岛湖鲢鳙地理标志产品保护范围</w:t>
      </w:r>
    </w:p>
    <w:p>
      <w:pPr>
        <w:pStyle w:val="56"/>
        <w:ind w:firstLine="420"/>
      </w:pPr>
      <w:r>
        <w:rPr>
          <w:rFonts w:hint="eastAsia"/>
        </w:rPr>
        <w:t>千岛湖鲢鳙地理标志产品保护范围应符合图A.1的要求。</w:t>
      </w:r>
    </w:p>
    <w:p>
      <w:pPr>
        <w:pStyle w:val="56"/>
        <w:ind w:firstLine="0" w:firstLineChars="0"/>
      </w:pPr>
      <w:r>
        <w:drawing>
          <wp:inline distT="0" distB="0" distL="0" distR="0">
            <wp:extent cx="5939790" cy="4199255"/>
            <wp:effectExtent l="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39790" cy="4199255"/>
                    </a:xfrm>
                    <a:prstGeom prst="rect">
                      <a:avLst/>
                    </a:prstGeom>
                  </pic:spPr>
                </pic:pic>
              </a:graphicData>
            </a:graphic>
          </wp:inline>
        </w:drawing>
      </w:r>
    </w:p>
    <w:p>
      <w:pPr>
        <w:pStyle w:val="179"/>
        <w:rPr>
          <w:kern w:val="2"/>
          <w:sz w:val="21"/>
          <w:szCs w:val="21"/>
        </w:rPr>
      </w:pPr>
      <w:r>
        <w:rPr>
          <w:rFonts w:hint="eastAsia"/>
        </w:rPr>
        <w:t>千岛湖鲢鳙地理标志产品保护范围为N 29°25′32″～29°47′34″，E 118°35′43″～119°12′47″的千岛湖湖区水域。</w:t>
      </w:r>
    </w:p>
    <w:p>
      <w:pPr>
        <w:pStyle w:val="83"/>
        <w:spacing w:before="156" w:after="156"/>
        <w:rPr>
          <w:kern w:val="2"/>
          <w:szCs w:val="21"/>
        </w:rPr>
      </w:pPr>
      <w:r>
        <w:rPr>
          <w:rFonts w:hint="eastAsia"/>
        </w:rPr>
        <w:t>千岛湖鲢鳙地理标志产品保护范围</w:t>
      </w:r>
    </w:p>
    <w:bookmarkEnd w:id="44"/>
    <w:p>
      <w:pPr>
        <w:pStyle w:val="56"/>
        <w:ind w:firstLine="0" w:firstLineChars="0"/>
        <w:jc w:val="center"/>
      </w:pPr>
      <w:bookmarkStart w:id="45" w:name="BookMark8"/>
      <w:r>
        <w:drawing>
          <wp:inline distT="0" distB="0" distL="0" distR="0">
            <wp:extent cx="1485900" cy="317500"/>
            <wp:effectExtent l="0" t="0" r="0" b="6350"/>
            <wp:docPr id="511496172" name="图片 1"/>
            <wp:cNvGraphicFramePr/>
            <a:graphic xmlns:a="http://schemas.openxmlformats.org/drawingml/2006/main">
              <a:graphicData uri="http://schemas.openxmlformats.org/drawingml/2006/picture">
                <pic:pic xmlns:pic="http://schemas.openxmlformats.org/drawingml/2006/picture">
                  <pic:nvPicPr>
                    <pic:cNvPr id="511496172"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NDE4ZTYxNjA4YzQ2MDg0ZjQwMzlmM2ZjNWNhNTAifQ=="/>
  </w:docVars>
  <w:rsids>
    <w:rsidRoot w:val="003A1ED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ED6"/>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56B"/>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85C"/>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B17"/>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740"/>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4AD"/>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FD01EFA"/>
    <w:rsid w:val="5C99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二级条标题"/>
    <w:basedOn w:val="1"/>
    <w:next w:val="1"/>
    <w:uiPriority w:val="0"/>
    <w:pPr>
      <w:widowControl/>
      <w:adjustRightInd/>
      <w:spacing w:line="240" w:lineRule="auto"/>
      <w:outlineLvl w:val="3"/>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1534F79454478D96EBE8105F74F8E0"/>
        <w:style w:val=""/>
        <w:category>
          <w:name w:val="常规"/>
          <w:gallery w:val="placeholder"/>
        </w:category>
        <w:types>
          <w:type w:val="bbPlcHdr"/>
        </w:types>
        <w:behaviors>
          <w:behavior w:val="content"/>
        </w:behaviors>
        <w:description w:val=""/>
        <w:guid w:val="{6BA11F80-0C02-4AD0-9D8E-4C16F9EC22AF}"/>
      </w:docPartPr>
      <w:docPartBody>
        <w:p>
          <w:pPr>
            <w:pStyle w:val="5"/>
          </w:pPr>
          <w:r>
            <w:rPr>
              <w:rStyle w:val="4"/>
              <w:rFonts w:hint="eastAsia"/>
            </w:rPr>
            <w:t>单击或点击此处输入文字。</w:t>
          </w:r>
        </w:p>
      </w:docPartBody>
    </w:docPart>
    <w:docPart>
      <w:docPartPr>
        <w:name w:val="FCAEAAC6898D46139448FAFD9C51A97B"/>
        <w:style w:val=""/>
        <w:category>
          <w:name w:val="常规"/>
          <w:gallery w:val="placeholder"/>
        </w:category>
        <w:types>
          <w:type w:val="bbPlcHdr"/>
        </w:types>
        <w:behaviors>
          <w:behavior w:val="content"/>
        </w:behaviors>
        <w:description w:val=""/>
        <w:guid w:val="{4E54F328-9823-4E39-8C95-BA43D6021FC5}"/>
      </w:docPartPr>
      <w:docPartBody>
        <w:p>
          <w:pPr>
            <w:pStyle w:val="6"/>
          </w:pPr>
          <w:r>
            <w:rPr>
              <w:rStyle w:val="4"/>
              <w:rFonts w:hint="eastAsia"/>
            </w:rPr>
            <w:t>选择一项。</w:t>
          </w:r>
        </w:p>
      </w:docPartBody>
    </w:docPart>
    <w:docPart>
      <w:docPartPr>
        <w:name w:val="88F6B730D9FA4482986184C79575B367"/>
        <w:style w:val=""/>
        <w:category>
          <w:name w:val="常规"/>
          <w:gallery w:val="placeholder"/>
        </w:category>
        <w:types>
          <w:type w:val="bbPlcHdr"/>
        </w:types>
        <w:behaviors>
          <w:behavior w:val="content"/>
        </w:behaviors>
        <w:description w:val=""/>
        <w:guid w:val="{830CEF55-180D-4020-A943-04716FC1266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2B"/>
    <w:rsid w:val="005C656B"/>
    <w:rsid w:val="00F8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81534F79454478D96EBE8105F74F8E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CAEAAC6898D46139448FAFD9C51A97B"/>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8F6B730D9FA4482986184C79575B36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2883</Words>
  <Characters>3334</Characters>
  <Lines>369</Lines>
  <Paragraphs>332</Paragraphs>
  <TotalTime>32</TotalTime>
  <ScaleCrop>false</ScaleCrop>
  <LinksUpToDate>false</LinksUpToDate>
  <CharactersWithSpaces>3486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2024-06-19T00:47:00Z</dcterms:created>
  <dc:creator>Administrator</dc:creator>
  <dc:description>&lt;config cover="true" show_menu="true" version="1.0.0" doctype="SDKXY"&gt;_x000d_
&lt;/config&gt;</dc:description>
  <cp:lastModifiedBy>Stella~</cp:lastModifiedBy>
  <cp:lastPrinted>2020-08-30T10:00:00Z</cp:lastPrinted>
  <dcterms:modified xsi:type="dcterms:W3CDTF">2024-06-19T01:28:55Z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19830C5360EB431C98E48FC020CDE12F_12</vt:lpwstr>
  </property>
</Properties>
</file>