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B21EE9">
      <w:pPr>
        <w:rPr>
          <w:rFonts w:ascii="黑体" w:hAnsi="黑体" w:eastAsia="黑体"/>
          <w:sz w:val="32"/>
        </w:rPr>
      </w:pPr>
      <w:bookmarkStart w:id="334" w:name="_GoBack"/>
      <w:bookmarkEnd w:id="334"/>
      <w:r>
        <w:rPr>
          <w:rFonts w:hint="eastAsia" w:ascii="黑体" w:hAnsi="黑体" w:eastAsia="黑体"/>
          <w:sz w:val="32"/>
        </w:rPr>
        <w:t>附件1</w:t>
      </w:r>
    </w:p>
    <w:p w14:paraId="5610E945">
      <w:pPr>
        <w:widowControl/>
        <w:spacing w:before="320" w:after="320"/>
        <w:jc w:val="center"/>
      </w:pPr>
      <w:r>
        <w:rPr>
          <w:rFonts w:ascii="方正小标宋简体" w:hAnsi="方正小标宋简体" w:eastAsia="方正小标宋简体" w:cs="方正小标宋简体"/>
          <w:color w:val="000000"/>
          <w:kern w:val="0"/>
          <w:sz w:val="44"/>
          <w:szCs w:val="44"/>
          <w:lang w:bidi="ar"/>
        </w:rPr>
        <w:t>征求意见单位名单</w:t>
      </w:r>
    </w:p>
    <w:p w14:paraId="0EFB5749">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中国地质大学（武汉）</w:t>
      </w:r>
    </w:p>
    <w:p w14:paraId="7462C3B6">
      <w:pPr>
        <w:widowControl/>
        <w:spacing w:line="360" w:lineRule="auto"/>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华中农业大学</w:t>
      </w:r>
    </w:p>
    <w:p w14:paraId="0076DA69">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省环境执法监督局</w:t>
      </w:r>
    </w:p>
    <w:p w14:paraId="022ABC1F">
      <w:pPr>
        <w:widowControl/>
        <w:spacing w:line="360" w:lineRule="auto"/>
        <w:jc w:val="left"/>
      </w:pPr>
      <w:r>
        <w:rPr>
          <w:rFonts w:ascii="仿宋_GB2312" w:hAnsi="宋体" w:eastAsia="仿宋_GB2312" w:cs="仿宋_GB2312"/>
          <w:color w:val="000000"/>
          <w:kern w:val="0"/>
          <w:sz w:val="32"/>
          <w:szCs w:val="32"/>
          <w:lang w:bidi="ar"/>
        </w:rPr>
        <w:t>各市、州、直管市、神农架林区生态环境局</w:t>
      </w:r>
    </w:p>
    <w:p w14:paraId="58AD517D">
      <w:pPr>
        <w:widowControl/>
        <w:spacing w:line="360" w:lineRule="auto"/>
        <w:jc w:val="left"/>
      </w:pPr>
      <w:r>
        <w:rPr>
          <w:rFonts w:hint="eastAsia" w:ascii="仿宋_GB2312" w:hAnsi="宋体" w:eastAsia="仿宋_GB2312" w:cs="仿宋_GB2312"/>
          <w:color w:val="000000"/>
          <w:kern w:val="0"/>
          <w:sz w:val="32"/>
          <w:szCs w:val="32"/>
          <w:lang w:bidi="ar"/>
        </w:rPr>
        <w:t>省生态环境厅驻地方生态环境监测中心</w:t>
      </w:r>
    </w:p>
    <w:p w14:paraId="76C24E1B">
      <w:pPr>
        <w:widowControl/>
        <w:spacing w:line="360" w:lineRule="auto"/>
        <w:jc w:val="left"/>
      </w:pPr>
      <w:r>
        <w:rPr>
          <w:rFonts w:hint="eastAsia" w:ascii="仿宋_GB2312" w:hAnsi="宋体" w:eastAsia="仿宋_GB2312" w:cs="仿宋_GB2312"/>
          <w:color w:val="000000"/>
          <w:kern w:val="0"/>
          <w:sz w:val="32"/>
          <w:szCs w:val="32"/>
          <w:lang w:bidi="ar"/>
        </w:rPr>
        <w:t>省环境保护产业协会</w:t>
      </w:r>
    </w:p>
    <w:p w14:paraId="15FCDE8F">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湖北省地质实验测试中心（国土资源部武汉矿产资源监督检测中心）</w:t>
      </w:r>
    </w:p>
    <w:p w14:paraId="2ED0FC3B">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中冶南方都市环保工程技术股份有限公司</w:t>
      </w:r>
    </w:p>
    <w:p w14:paraId="4681ECA2">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湖北君邦环境技术有限责任公司</w:t>
      </w:r>
    </w:p>
    <w:p w14:paraId="46C33EFF">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武汉市华信理化检测技术有限公司</w:t>
      </w:r>
    </w:p>
    <w:p w14:paraId="43B00392">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武汉智汇元环保科技有限公司</w:t>
      </w:r>
    </w:p>
    <w:p w14:paraId="0CED0490">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武汉智惠国测检测科技有限公司</w:t>
      </w:r>
    </w:p>
    <w:p w14:paraId="5CF9CE2E">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湖北跃华检测有限公司</w:t>
      </w:r>
    </w:p>
    <w:p w14:paraId="58918FDF">
      <w:pPr>
        <w:widowControl/>
        <w:spacing w:line="360" w:lineRule="auto"/>
        <w:jc w:val="left"/>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（厅内征求科技与合作处、土壤生态环境处、生态环境监测处</w:t>
      </w:r>
      <w:r>
        <w:rPr>
          <w:rFonts w:hint="eastAsia" w:ascii="仿宋_GB2312" w:hAnsi="宋体" w:eastAsia="仿宋_GB2312" w:cs="仿宋_GB2312"/>
          <w:color w:val="000000"/>
          <w:kern w:val="0"/>
          <w:sz w:val="32"/>
          <w:szCs w:val="32"/>
          <w:lang w:eastAsia="zh-CN" w:bidi="ar"/>
        </w:rPr>
        <w:t>、</w:t>
      </w:r>
      <w:r>
        <w:rPr>
          <w:rFonts w:hint="eastAsia" w:ascii="仿宋_GB2312" w:hAnsi="宋体" w:eastAsia="仿宋_GB2312" w:cs="仿宋_GB2312"/>
          <w:color w:val="000000"/>
          <w:kern w:val="0"/>
          <w:sz w:val="32"/>
          <w:szCs w:val="32"/>
          <w:lang w:val="en-US" w:eastAsia="zh-CN" w:bidi="ar"/>
        </w:rPr>
        <w:t>法规处</w:t>
      </w:r>
      <w:r>
        <w:rPr>
          <w:rFonts w:hint="eastAsia" w:ascii="仿宋_GB2312" w:hAnsi="宋体" w:eastAsia="仿宋_GB2312" w:cs="仿宋_GB2312"/>
          <w:color w:val="000000"/>
          <w:kern w:val="0"/>
          <w:sz w:val="32"/>
          <w:szCs w:val="32"/>
          <w:lang w:bidi="ar"/>
        </w:rPr>
        <w:t>意见）</w:t>
      </w:r>
    </w:p>
    <w:p w14:paraId="3613847D">
      <w:pPr>
        <w:spacing w:line="360" w:lineRule="auto"/>
        <w:jc w:val="both"/>
        <w:rPr>
          <w:rFonts w:hint="eastAsia" w:ascii="Times New Roman" w:hAnsi="Times New Roman"/>
          <w:sz w:val="24"/>
          <w:highlight w:val="yellow"/>
        </w:rPr>
      </w:pPr>
    </w:p>
    <w:p w14:paraId="1BFBC222">
      <w:pPr>
        <w:spacing w:line="360" w:lineRule="auto"/>
        <w:jc w:val="both"/>
        <w:rPr>
          <w:rFonts w:hint="eastAsia" w:ascii="Times New Roman" w:hAnsi="Times New Roman"/>
          <w:sz w:val="24"/>
          <w:highlight w:val="yellow"/>
        </w:rPr>
        <w:sectPr>
          <w:pgSz w:w="11906" w:h="16838"/>
          <w:pgMar w:top="1440" w:right="1800" w:bottom="1440" w:left="1800" w:header="851" w:footer="992" w:gutter="0"/>
          <w:cols w:space="720" w:num="1"/>
          <w:docGrid w:type="lines" w:linePitch="312" w:charSpace="0"/>
        </w:sectPr>
      </w:pPr>
    </w:p>
    <w:p w14:paraId="31AB9A37">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2</w:t>
      </w:r>
    </w:p>
    <w:p w14:paraId="481ED06E">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1"/>
          <w:szCs w:val="21"/>
          <w:lang w:val="fr-FR" w:eastAsia="zh-CN" w:bidi="ar-SA"/>
        </w:rPr>
      </w:pPr>
      <w:r>
        <w:rPr>
          <w:rFonts w:ascii="黑体" w:hAnsi="宋体" w:eastAsia="宋体" w:cs="宋体"/>
          <w:sz w:val="21"/>
          <w:szCs w:val="21"/>
          <w:lang w:val="fr-FR" w:eastAsia="zh-CN" w:bidi="ar-SA"/>
        </w:rPr>
        <w:t>ICS 13.080</w:t>
      </w:r>
    </w:p>
    <w:p w14:paraId="7F1A9266">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1"/>
          <w:szCs w:val="21"/>
          <w:lang w:val="fr-FR" w:eastAsia="zh-CN" w:bidi="ar-SA"/>
        </w:rPr>
      </w:pPr>
      <w:r>
        <w:rPr>
          <w:rFonts w:ascii="黑体" w:hAnsi="宋体" w:eastAsia="宋体" w:cs="宋体"/>
          <w:sz w:val="21"/>
          <w:szCs w:val="21"/>
          <w:lang w:val="fr-FR" w:eastAsia="zh-CN" w:bidi="ar-SA"/>
        </w:rPr>
        <w:t>CCS Z 10</w:t>
      </w:r>
    </w:p>
    <w:p w14:paraId="5B80BCCB">
      <w:pPr>
        <w:keepNext w:val="0"/>
        <w:keepLines w:val="0"/>
        <w:pageBreakBefore w:val="0"/>
        <w:kinsoku/>
        <w:overflowPunct/>
        <w:topLinePunct w:val="0"/>
        <w:autoSpaceDE w:val="0"/>
        <w:autoSpaceDN w:val="0"/>
        <w:bidi w:val="0"/>
        <w:adjustRightInd w:val="0"/>
        <w:snapToGrid w:val="0"/>
        <w:ind w:left="1542"/>
        <w:jc w:val="right"/>
        <w:rPr>
          <w:rFonts w:ascii="Times New Roman" w:hAnsi="宋体" w:eastAsia="宋体" w:cs="宋体"/>
          <w:b/>
          <w:kern w:val="0"/>
          <w:sz w:val="15"/>
          <w:szCs w:val="22"/>
          <w:lang w:val="fr-FR" w:eastAsia="zh-CN"/>
        </w:rPr>
      </w:pPr>
      <w:r>
        <w:rPr>
          <w:rFonts w:ascii="Times New Roman" w:hAnsi="宋体" w:eastAsia="宋体" w:cs="宋体"/>
          <w:b/>
          <w:w w:val="130"/>
          <w:kern w:val="0"/>
          <w:sz w:val="96"/>
          <w:szCs w:val="22"/>
          <w:lang w:val="fr-FR" w:eastAsia="zh-CN"/>
        </w:rPr>
        <w:t>DB4</w:t>
      </w:r>
      <w:r>
        <w:rPr>
          <w:rFonts w:hint="eastAsia" w:ascii="Times New Roman" w:hAnsi="宋体" w:eastAsia="宋体" w:cs="宋体"/>
          <w:b/>
          <w:w w:val="130"/>
          <w:kern w:val="0"/>
          <w:sz w:val="96"/>
          <w:szCs w:val="22"/>
          <w:lang w:val="en-US" w:eastAsia="zh-CN"/>
        </w:rPr>
        <w:t>2</w:t>
      </w:r>
    </w:p>
    <w:p w14:paraId="65B44F2B">
      <w:pPr>
        <w:keepNext w:val="0"/>
        <w:keepLines w:val="0"/>
        <w:pageBreakBefore w:val="0"/>
        <w:tabs>
          <w:tab w:val="left" w:pos="1957"/>
          <w:tab w:val="left" w:pos="3477"/>
          <w:tab w:val="left" w:pos="4996"/>
          <w:tab w:val="left" w:pos="6515"/>
          <w:tab w:val="left" w:pos="8034"/>
          <w:tab w:val="left" w:pos="9556"/>
        </w:tabs>
        <w:kinsoku/>
        <w:overflowPunct/>
        <w:topLinePunct w:val="0"/>
        <w:autoSpaceDE w:val="0"/>
        <w:autoSpaceDN w:val="0"/>
        <w:bidi w:val="0"/>
        <w:adjustRightInd w:val="0"/>
        <w:snapToGrid w:val="0"/>
        <w:jc w:val="distribute"/>
        <w:rPr>
          <w:rFonts w:ascii="黑体" w:hAnsi="宋体" w:eastAsia="黑体" w:cs="宋体"/>
          <w:kern w:val="0"/>
          <w:sz w:val="52"/>
          <w:szCs w:val="22"/>
          <w:lang w:val="fr-FR" w:eastAsia="zh-CN"/>
        </w:rPr>
      </w:pPr>
      <w:r>
        <w:rPr>
          <w:rFonts w:hint="eastAsia" w:ascii="黑体" w:hAnsi="宋体" w:eastAsia="黑体" w:cs="宋体"/>
          <w:kern w:val="0"/>
          <w:sz w:val="52"/>
          <w:szCs w:val="22"/>
          <w:lang w:val="en-US" w:eastAsia="zh-CN"/>
        </w:rPr>
        <w:t>湖北省</w:t>
      </w:r>
      <w:r>
        <w:rPr>
          <w:rFonts w:hint="eastAsia" w:ascii="黑体" w:hAnsi="宋体" w:eastAsia="黑体" w:cs="宋体"/>
          <w:kern w:val="0"/>
          <w:sz w:val="52"/>
          <w:szCs w:val="22"/>
          <w:lang w:val="fr-FR" w:eastAsia="zh-CN"/>
        </w:rPr>
        <w:t>地方标准</w:t>
      </w:r>
    </w:p>
    <w:p w14:paraId="43226E7F">
      <w:pPr>
        <w:keepNext w:val="0"/>
        <w:keepLines w:val="0"/>
        <w:pageBreakBefore w:val="0"/>
        <w:widowControl w:val="0"/>
        <w:kinsoku/>
        <w:wordWrap/>
        <w:overflowPunct/>
        <w:topLinePunct w:val="0"/>
        <w:autoSpaceDE w:val="0"/>
        <w:autoSpaceDN w:val="0"/>
        <w:bidi w:val="0"/>
        <w:adjustRightInd w:val="0"/>
        <w:snapToGrid w:val="0"/>
        <w:spacing w:before="510"/>
        <w:ind w:right="283"/>
        <w:jc w:val="right"/>
        <w:textAlignment w:val="auto"/>
        <w:rPr>
          <w:rFonts w:ascii="黑体" w:hAnsi="黑体" w:eastAsia="宋体" w:cs="宋体"/>
          <w:kern w:val="0"/>
          <w:sz w:val="28"/>
          <w:szCs w:val="22"/>
          <w:lang w:val="fr-FR" w:eastAsia="zh-CN"/>
        </w:rPr>
      </w:pPr>
      <w:r>
        <w:rPr>
          <w:rFonts w:ascii="黑体" w:hAnsi="黑体" w:eastAsia="宋体" w:cs="宋体"/>
          <w:kern w:val="0"/>
          <w:sz w:val="28"/>
          <w:szCs w:val="22"/>
          <w:lang w:val="fr-FR" w:eastAsia="zh-CN"/>
        </w:rPr>
        <w:t>DB</w:t>
      </w:r>
      <w:r>
        <w:rPr>
          <w:rFonts w:hint="eastAsia" w:ascii="黑体" w:hAnsi="黑体" w:eastAsia="宋体" w:cs="宋体"/>
          <w:kern w:val="0"/>
          <w:sz w:val="28"/>
          <w:szCs w:val="22"/>
          <w:lang w:val="en-US" w:eastAsia="zh-CN"/>
        </w:rPr>
        <w:t>42/</w:t>
      </w:r>
      <w:r>
        <w:rPr>
          <w:rFonts w:ascii="黑体" w:hAnsi="黑体" w:eastAsia="宋体" w:cs="宋体"/>
          <w:kern w:val="0"/>
          <w:sz w:val="28"/>
          <w:szCs w:val="22"/>
          <w:lang w:val="fr-FR" w:eastAsia="zh-CN"/>
        </w:rPr>
        <w:t xml:space="preserve">T </w:t>
      </w:r>
      <w:r>
        <w:rPr>
          <w:rFonts w:hint="eastAsia" w:ascii="黑体" w:hAnsi="黑体" w:eastAsia="宋体" w:cs="宋体"/>
          <w:kern w:val="0"/>
          <w:sz w:val="28"/>
          <w:szCs w:val="22"/>
          <w:lang w:val="en-US" w:eastAsia="zh-CN"/>
        </w:rPr>
        <w:t>xxxx</w:t>
      </w:r>
      <w:r>
        <w:rPr>
          <w:rFonts w:ascii="黑体" w:hAnsi="黑体" w:eastAsia="宋体" w:cs="宋体"/>
          <w:kern w:val="0"/>
          <w:sz w:val="28"/>
          <w:szCs w:val="22"/>
          <w:lang w:val="fr-FR" w:eastAsia="zh-CN"/>
        </w:rPr>
        <w:t>—</w:t>
      </w:r>
      <w:r>
        <w:rPr>
          <w:rFonts w:hint="eastAsia" w:ascii="黑体" w:hAnsi="黑体" w:eastAsia="宋体" w:cs="宋体"/>
          <w:kern w:val="0"/>
          <w:sz w:val="28"/>
          <w:szCs w:val="22"/>
          <w:lang w:val="en-US" w:eastAsia="zh-CN"/>
        </w:rPr>
        <w:t>xxxx</w:t>
      </w:r>
    </w:p>
    <w:p w14:paraId="406BE9AF">
      <w:pPr>
        <w:keepNext w:val="0"/>
        <w:keepLines w:val="0"/>
        <w:pageBreakBefore w:val="0"/>
        <w:widowControl w:val="0"/>
        <w:kinsoku/>
        <w:overflowPunct/>
        <w:topLinePunct w:val="0"/>
        <w:autoSpaceDE w:val="0"/>
        <w:autoSpaceDN w:val="0"/>
        <w:bidi w:val="0"/>
        <w:adjustRightInd w:val="0"/>
        <w:snapToGrid w:val="0"/>
        <w:spacing w:before="2268"/>
        <w:jc w:val="center"/>
        <w:rPr>
          <w:rFonts w:ascii="黑体" w:hAnsi="宋体" w:eastAsia="黑体" w:cs="宋体"/>
          <w:sz w:val="52"/>
          <w:szCs w:val="52"/>
          <w:lang w:val="en-US" w:eastAsia="zh-CN" w:bidi="ar-SA"/>
        </w:rPr>
      </w:pPr>
      <w:r>
        <w:rPr>
          <w:rFonts w:ascii="宋体" w:hAnsi="宋体" w:eastAsia="宋体" w:cs="宋体"/>
          <w:sz w:val="21"/>
          <w:szCs w:val="21"/>
          <w:lang w:val="fr-FR" w:eastAsia="en-US" w:bidi="ar-SA"/>
        </w:rPr>
        <mc:AlternateContent>
          <mc:Choice Requires="wps">
            <w:drawing>
              <wp:anchor distT="0" distB="0" distL="114300" distR="114300" simplePos="0" relativeHeight="251692032" behindDoc="0" locked="0" layoutInCell="1" allowOverlap="1">
                <wp:simplePos x="0" y="0"/>
                <wp:positionH relativeFrom="page">
                  <wp:posOffset>899795</wp:posOffset>
                </wp:positionH>
                <wp:positionV relativeFrom="page">
                  <wp:posOffset>2697480</wp:posOffset>
                </wp:positionV>
                <wp:extent cx="6121400" cy="1270"/>
                <wp:effectExtent l="0" t="0" r="0" b="0"/>
                <wp:wrapTopAndBottom/>
                <wp:docPr id="67" name="任意多边形 67"/>
                <wp:cNvGraphicFramePr/>
                <a:graphic xmlns:a="http://schemas.openxmlformats.org/drawingml/2006/main">
                  <a:graphicData uri="http://schemas.microsoft.com/office/word/2010/wordprocessingShape">
                    <wps:wsp>
                      <wps:cNvSpPr/>
                      <wps:spPr>
                        <a:xfrm>
                          <a:off x="0" y="0"/>
                          <a:ext cx="6121400" cy="1270"/>
                        </a:xfrm>
                        <a:custGeom>
                          <a:avLst/>
                          <a:gdLst/>
                          <a:ahLst/>
                          <a:cxnLst/>
                          <a:pathLst>
                            <a:path w="9640">
                              <a:moveTo>
                                <a:pt x="0" y="0"/>
                              </a:moveTo>
                              <a:lnTo>
                                <a:pt x="964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0.85pt;margin-top:212.4pt;height:0.1pt;width:482pt;mso-position-horizontal-relative:page;mso-position-vertical-relative:page;mso-wrap-distance-bottom:0pt;mso-wrap-distance-top:0pt;z-index:251692032;mso-width-relative:page;mso-height-relative:page;" filled="f" stroked="t" coordsize="9640,1" o:gfxdata="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2CG63VAAAADAEAAA8AAAAAAAAAAQAgAAAAIgAAAGRycy9kb3ducmV2LnhtbFBLAQIU&#10;ABQAAAAIAIdO4kAeLwADLwIAAIgEAAAOAAAAAAAAAAEAIAAAACQBAABkcnMvZTJvRG9jLnhtbFBL&#10;BQYAAAAABgAGAFkBAADFBQAAAAA=&#10;" path="m0,0l9640,0e">
                <v:fill on="f" focussize="0,0"/>
                <v:stroke weight="1pt" color="#000000" joinstyle="round"/>
                <v:imagedata o:title=""/>
                <o:lock v:ext="edit" aspectratio="f"/>
                <w10:wrap type="topAndBottom"/>
              </v:shape>
            </w:pict>
          </mc:Fallback>
        </mc:AlternateContent>
      </w:r>
      <w:r>
        <w:rPr>
          <w:rFonts w:hint="eastAsia" w:ascii="黑体" w:hAnsi="宋体" w:eastAsia="黑体" w:cs="宋体"/>
          <w:sz w:val="52"/>
          <w:szCs w:val="52"/>
          <w:lang w:val="fr-FR" w:eastAsia="zh-CN" w:bidi="ar-SA"/>
        </w:rPr>
        <w:t>建设用地土壤污染风险管控和修复</w:t>
      </w:r>
      <w:r>
        <w:rPr>
          <w:rFonts w:hint="eastAsia" w:ascii="黑体" w:hAnsi="宋体" w:eastAsia="黑体" w:cs="宋体"/>
          <w:spacing w:val="-12"/>
          <w:sz w:val="52"/>
          <w:szCs w:val="52"/>
          <w:lang w:val="en-US" w:eastAsia="zh-CN" w:bidi="ar-SA"/>
        </w:rPr>
        <w:br w:type="textWrapping"/>
      </w:r>
      <w:r>
        <w:rPr>
          <w:rFonts w:hint="eastAsia" w:ascii="黑体" w:hAnsi="宋体" w:eastAsia="黑体" w:cs="宋体"/>
          <w:spacing w:val="-12"/>
          <w:sz w:val="52"/>
          <w:szCs w:val="52"/>
          <w:lang w:val="en-US" w:eastAsia="zh-CN" w:bidi="ar-SA"/>
        </w:rPr>
        <w:t>第1部分：土壤污染状况调查技术规范</w:t>
      </w:r>
    </w:p>
    <w:p w14:paraId="5306013E">
      <w:pPr>
        <w:keepNext w:val="0"/>
        <w:keepLines w:val="0"/>
        <w:pageBreakBefore w:val="0"/>
        <w:kinsoku/>
        <w:overflowPunct/>
        <w:topLinePunct w:val="0"/>
        <w:autoSpaceDE w:val="0"/>
        <w:autoSpaceDN w:val="0"/>
        <w:bidi w:val="0"/>
        <w:adjustRightInd w:val="0"/>
        <w:snapToGrid w:val="0"/>
        <w:jc w:val="center"/>
        <w:rPr>
          <w:rFonts w:ascii="黑体" w:hAnsi="宋体" w:eastAsia="黑体" w:cs="宋体"/>
          <w:kern w:val="0"/>
          <w:sz w:val="28"/>
          <w:szCs w:val="28"/>
          <w:lang w:val="en-US" w:eastAsia="zh-CN"/>
        </w:rPr>
      </w:pPr>
      <w:r>
        <w:rPr>
          <w:rFonts w:hint="eastAsia" w:ascii="黑体" w:hAnsi="宋体" w:eastAsia="黑体" w:cs="宋体"/>
          <w:kern w:val="0"/>
          <w:sz w:val="28"/>
          <w:szCs w:val="28"/>
          <w:lang w:val="en-US" w:eastAsia="zh-CN"/>
        </w:rPr>
        <w:t>R</w:t>
      </w:r>
      <w:r>
        <w:rPr>
          <w:rFonts w:hint="eastAsia" w:ascii="黑体" w:hAnsi="宋体" w:eastAsia="黑体" w:cs="宋体"/>
          <w:kern w:val="0"/>
          <w:sz w:val="28"/>
          <w:szCs w:val="28"/>
          <w:lang w:val="fr-FR" w:eastAsia="en-US"/>
        </w:rPr>
        <w:t>isk control and remediation of soil contamination of land for construction</w:t>
      </w:r>
      <w:r>
        <w:rPr>
          <w:rFonts w:hint="eastAsia" w:ascii="黑体" w:hAnsi="宋体" w:eastAsia="黑体" w:cs="宋体"/>
          <w:kern w:val="0"/>
          <w:sz w:val="28"/>
          <w:szCs w:val="28"/>
          <w:lang w:val="en-US" w:eastAsia="zh-CN"/>
        </w:rPr>
        <w:t xml:space="preserve"> </w:t>
      </w:r>
      <w:r>
        <w:rPr>
          <w:rFonts w:hint="eastAsia" w:ascii="黑体" w:hAnsi="宋体" w:eastAsia="黑体" w:cs="宋体"/>
          <w:kern w:val="0"/>
          <w:sz w:val="28"/>
          <w:szCs w:val="28"/>
          <w:lang w:val="fr-FR" w:eastAsia="en-US"/>
        </w:rPr>
        <w:t>—</w:t>
      </w:r>
      <w:r>
        <w:rPr>
          <w:rFonts w:hint="eastAsia" w:ascii="黑体" w:hAnsi="宋体" w:eastAsia="黑体" w:cs="宋体"/>
          <w:kern w:val="0"/>
          <w:sz w:val="28"/>
          <w:szCs w:val="28"/>
          <w:lang w:val="en-US" w:eastAsia="zh-CN"/>
        </w:rPr>
        <w:t xml:space="preserve"> </w:t>
      </w:r>
      <w:r>
        <w:rPr>
          <w:rFonts w:hint="eastAsia" w:ascii="黑体" w:hAnsi="宋体" w:eastAsia="黑体" w:cs="宋体"/>
          <w:kern w:val="0"/>
          <w:sz w:val="28"/>
          <w:szCs w:val="28"/>
          <w:lang w:val="fr-FR" w:eastAsia="en-US"/>
        </w:rPr>
        <w:t>Part 1:Technical specification for investigation on soil contamination</w:t>
      </w:r>
    </w:p>
    <w:p w14:paraId="3447F29C">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7EA4D279">
      <w:pPr>
        <w:keepNext w:val="0"/>
        <w:keepLines w:val="0"/>
        <w:pageBreakBefore w:val="0"/>
        <w:widowControl w:val="0"/>
        <w:kinsoku/>
        <w:overflowPunct/>
        <w:topLinePunct w:val="0"/>
        <w:autoSpaceDE w:val="0"/>
        <w:autoSpaceDN w:val="0"/>
        <w:bidi w:val="0"/>
        <w:adjustRightInd w:val="0"/>
        <w:snapToGrid w:val="0"/>
        <w:jc w:val="center"/>
        <w:rPr>
          <w:rFonts w:hint="eastAsia" w:ascii="黑体" w:hAnsi="宋体" w:eastAsia="宋体" w:cs="宋体"/>
          <w:b/>
          <w:bCs/>
          <w:sz w:val="28"/>
          <w:szCs w:val="28"/>
          <w:lang w:val="fr-FR" w:eastAsia="zh-CN" w:bidi="ar-SA"/>
        </w:rPr>
      </w:pPr>
      <w:r>
        <w:rPr>
          <w:rFonts w:hint="eastAsia" w:ascii="黑体" w:hAnsi="宋体" w:eastAsia="宋体" w:cs="宋体"/>
          <w:b/>
          <w:bCs/>
          <w:sz w:val="28"/>
          <w:szCs w:val="28"/>
          <w:lang w:val="fr-FR" w:eastAsia="zh-CN" w:bidi="ar-SA"/>
        </w:rPr>
        <w:t>（</w:t>
      </w:r>
      <w:r>
        <w:rPr>
          <w:rFonts w:hint="eastAsia" w:ascii="黑体" w:hAnsi="宋体" w:eastAsia="宋体" w:cs="宋体"/>
          <w:b/>
          <w:bCs/>
          <w:sz w:val="28"/>
          <w:szCs w:val="28"/>
          <w:lang w:val="en-US" w:eastAsia="zh-CN" w:bidi="ar-SA"/>
        </w:rPr>
        <w:t>征求意见稿</w:t>
      </w:r>
      <w:r>
        <w:rPr>
          <w:rFonts w:hint="eastAsia" w:ascii="黑体" w:hAnsi="宋体" w:eastAsia="宋体" w:cs="宋体"/>
          <w:b/>
          <w:bCs/>
          <w:sz w:val="28"/>
          <w:szCs w:val="28"/>
          <w:lang w:val="fr-FR" w:eastAsia="zh-CN" w:bidi="ar-SA"/>
        </w:rPr>
        <w:t>）</w:t>
      </w:r>
    </w:p>
    <w:p w14:paraId="6B76663E">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45A19815">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2FAE91C4">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7A0CEE37">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4DA853A4">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5769E779">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410D88DA">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649C24A5">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7CC92D3C">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5AAA8936">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46BE2657">
      <w:pPr>
        <w:keepNext w:val="0"/>
        <w:keepLines w:val="0"/>
        <w:pageBreakBefore w:val="0"/>
        <w:widowControl w:val="0"/>
        <w:kinsoku/>
        <w:overflowPunct/>
        <w:topLinePunct w:val="0"/>
        <w:autoSpaceDE w:val="0"/>
        <w:autoSpaceDN w:val="0"/>
        <w:bidi w:val="0"/>
        <w:adjustRightInd w:val="0"/>
        <w:snapToGrid w:val="0"/>
        <w:rPr>
          <w:rFonts w:ascii="黑体" w:hAnsi="宋体" w:eastAsia="宋体" w:cs="宋体"/>
          <w:sz w:val="28"/>
          <w:szCs w:val="28"/>
          <w:lang w:val="fr-FR" w:eastAsia="en-US" w:bidi="ar-SA"/>
        </w:rPr>
      </w:pPr>
    </w:p>
    <w:p w14:paraId="524F43BC">
      <w:pPr>
        <w:keepNext w:val="0"/>
        <w:keepLines w:val="0"/>
        <w:pageBreakBefore w:val="0"/>
        <w:widowControl w:val="0"/>
        <w:kinsoku/>
        <w:overflowPunct/>
        <w:topLinePunct w:val="0"/>
        <w:autoSpaceDE w:val="0"/>
        <w:autoSpaceDN w:val="0"/>
        <w:bidi w:val="0"/>
        <w:adjustRightInd w:val="0"/>
        <w:snapToGrid w:val="0"/>
        <w:spacing w:before="7"/>
        <w:rPr>
          <w:rFonts w:ascii="黑体" w:hAnsi="宋体" w:eastAsia="宋体" w:cs="宋体"/>
          <w:sz w:val="28"/>
          <w:szCs w:val="28"/>
          <w:lang w:val="fr-FR" w:eastAsia="en-US" w:bidi="ar-SA"/>
        </w:rPr>
      </w:pPr>
    </w:p>
    <w:p w14:paraId="26D0F598">
      <w:pPr>
        <w:keepNext w:val="0"/>
        <w:keepLines w:val="0"/>
        <w:pageBreakBefore w:val="0"/>
        <w:tabs>
          <w:tab w:val="left" w:pos="7982"/>
        </w:tabs>
        <w:kinsoku/>
        <w:overflowPunct/>
        <w:topLinePunct w:val="0"/>
        <w:autoSpaceDE w:val="0"/>
        <w:autoSpaceDN w:val="0"/>
        <w:bidi w:val="0"/>
        <w:adjustRightInd w:val="0"/>
        <w:snapToGrid w:val="0"/>
        <w:jc w:val="distribute"/>
        <w:rPr>
          <w:rFonts w:ascii="黑体" w:hAnsi="黑体" w:eastAsia="黑体" w:cs="黑体"/>
          <w:sz w:val="28"/>
          <w:szCs w:val="28"/>
          <w:lang w:val="en-US" w:eastAsia="zh-CN"/>
        </w:rPr>
        <w:sectPr>
          <w:headerReference r:id="rId5" w:type="first"/>
          <w:footerReference r:id="rId6" w:type="first"/>
          <w:headerReference r:id="rId3" w:type="default"/>
          <w:headerReference r:id="rId4" w:type="even"/>
          <w:pgSz w:w="11910" w:h="16840"/>
          <w:pgMar w:top="567" w:right="850" w:bottom="567" w:left="1417" w:header="0" w:footer="0" w:gutter="0"/>
          <w:pgNumType w:fmt="upperRoman"/>
          <w:cols w:space="0" w:num="1"/>
          <w:rtlGutter w:val="0"/>
          <w:docGrid w:linePitch="0" w:charSpace="0"/>
        </w:sectPr>
      </w:pPr>
    </w:p>
    <w:p w14:paraId="25389969">
      <w:pPr>
        <w:keepNext w:val="0"/>
        <w:keepLines w:val="0"/>
        <w:pageBreakBefore w:val="0"/>
        <w:widowControl w:val="0"/>
        <w:tabs>
          <w:tab w:val="left" w:pos="7982"/>
        </w:tabs>
        <w:kinsoku/>
        <w:wordWrap/>
        <w:overflowPunct/>
        <w:topLinePunct w:val="0"/>
        <w:autoSpaceDE w:val="0"/>
        <w:autoSpaceDN w:val="0"/>
        <w:bidi w:val="0"/>
        <w:adjustRightInd w:val="0"/>
        <w:snapToGrid w:val="0"/>
        <w:spacing w:line="240" w:lineRule="auto"/>
        <w:jc w:val="left"/>
        <w:textAlignment w:val="auto"/>
        <w:rPr>
          <w:rFonts w:ascii="黑体" w:hAnsi="宋体" w:eastAsia="黑体" w:cs="宋体"/>
          <w:kern w:val="0"/>
          <w:sz w:val="28"/>
          <w:szCs w:val="22"/>
          <w:lang w:val="fr-FR" w:eastAsia="zh-CN"/>
        </w:rPr>
      </w:pPr>
      <w:r>
        <w:rPr>
          <w:rFonts w:hint="eastAsia" w:ascii="黑体" w:hAnsi="黑体" w:eastAsia="黑体" w:cs="黑体"/>
          <w:kern w:val="0"/>
          <w:sz w:val="28"/>
          <w:szCs w:val="28"/>
          <w:lang w:val="en-US" w:eastAsia="zh-CN"/>
        </w:rPr>
        <w:t>xxxx</w:t>
      </w:r>
      <w:r>
        <w:rPr>
          <w:rFonts w:hint="eastAsia" w:ascii="黑体" w:hAnsi="黑体" w:eastAsia="黑体" w:cs="黑体"/>
          <w:kern w:val="0"/>
          <w:sz w:val="28"/>
          <w:szCs w:val="28"/>
          <w:lang w:val="fr-FR" w:eastAsia="zh-CN"/>
        </w:rPr>
        <w:t>-</w:t>
      </w:r>
      <w:r>
        <w:rPr>
          <w:rFonts w:hint="eastAsia" w:ascii="黑体" w:hAnsi="黑体" w:eastAsia="黑体" w:cs="黑体"/>
          <w:kern w:val="0"/>
          <w:sz w:val="28"/>
          <w:szCs w:val="28"/>
          <w:lang w:val="en-US" w:eastAsia="zh-CN"/>
        </w:rPr>
        <w:t>x</w:t>
      </w:r>
      <w:r>
        <w:rPr>
          <w:rFonts w:hint="eastAsia" w:ascii="黑体" w:hAnsi="黑体" w:eastAsia="黑体" w:cs="黑体"/>
          <w:kern w:val="0"/>
          <w:sz w:val="28"/>
          <w:szCs w:val="28"/>
          <w:lang w:val="fr-FR" w:eastAsia="zh-CN"/>
        </w:rPr>
        <w:t>-</w:t>
      </w:r>
      <w:r>
        <w:rPr>
          <w:rFonts w:hint="eastAsia" w:ascii="黑体" w:hAnsi="黑体" w:eastAsia="黑体" w:cs="黑体"/>
          <w:kern w:val="0"/>
          <w:sz w:val="28"/>
          <w:szCs w:val="28"/>
          <w:lang w:val="en-US" w:eastAsia="zh-CN"/>
        </w:rPr>
        <w:t>x</w:t>
      </w:r>
      <w:r>
        <w:rPr>
          <w:rFonts w:hint="eastAsia" w:ascii="黑体" w:hAnsi="黑体" w:eastAsia="黑体" w:cs="黑体"/>
          <w:kern w:val="0"/>
          <w:sz w:val="28"/>
          <w:szCs w:val="28"/>
          <w:lang w:val="fr-FR" w:eastAsia="zh-CN"/>
        </w:rPr>
        <w:t>发布</w:t>
      </w:r>
    </w:p>
    <w:p w14:paraId="30DA66EB">
      <w:pPr>
        <w:keepNext w:val="0"/>
        <w:keepLines w:val="0"/>
        <w:pageBreakBefore w:val="0"/>
        <w:widowControl w:val="0"/>
        <w:tabs>
          <w:tab w:val="left" w:pos="7982"/>
        </w:tabs>
        <w:kinsoku/>
        <w:wordWrap/>
        <w:overflowPunct/>
        <w:topLinePunct w:val="0"/>
        <w:autoSpaceDE w:val="0"/>
        <w:autoSpaceDN w:val="0"/>
        <w:bidi w:val="0"/>
        <w:adjustRightInd w:val="0"/>
        <w:snapToGrid w:val="0"/>
        <w:spacing w:line="240" w:lineRule="auto"/>
        <w:ind w:left="0" w:leftChars="0"/>
        <w:jc w:val="right"/>
        <w:textAlignment w:val="auto"/>
        <w:rPr>
          <w:rFonts w:ascii="黑体" w:hAnsi="宋体" w:eastAsia="黑体" w:cs="宋体"/>
          <w:kern w:val="0"/>
          <w:sz w:val="28"/>
          <w:szCs w:val="28"/>
          <w:lang w:val="fr-FR" w:eastAsia="zh-CN"/>
        </w:rPr>
      </w:pPr>
      <w:r>
        <w:rPr>
          <w:rFonts w:hint="eastAsia" w:ascii="黑体" w:hAnsi="宋体" w:eastAsia="黑体" w:cs="宋体"/>
          <w:kern w:val="0"/>
          <w:sz w:val="28"/>
          <w:szCs w:val="22"/>
          <w:lang w:val="en-US" w:eastAsia="zh-CN"/>
        </w:rPr>
        <w:t>xxxx</w:t>
      </w:r>
      <w:r>
        <w:rPr>
          <w:rFonts w:hint="eastAsia" w:ascii="黑体" w:hAnsi="宋体" w:eastAsia="黑体" w:cs="宋体"/>
          <w:kern w:val="0"/>
          <w:sz w:val="28"/>
          <w:szCs w:val="22"/>
          <w:lang w:val="fr-FR" w:eastAsia="zh-CN"/>
        </w:rPr>
        <w:t>-</w:t>
      </w:r>
      <w:r>
        <w:rPr>
          <w:rFonts w:hint="eastAsia" w:ascii="黑体" w:hAnsi="宋体" w:eastAsia="黑体" w:cs="宋体"/>
          <w:kern w:val="0"/>
          <w:sz w:val="28"/>
          <w:szCs w:val="22"/>
          <w:lang w:val="en-US" w:eastAsia="zh-CN"/>
        </w:rPr>
        <w:t>x</w:t>
      </w:r>
      <w:r>
        <w:rPr>
          <w:rFonts w:hint="eastAsia" w:ascii="黑体" w:hAnsi="宋体" w:eastAsia="黑体" w:cs="宋体"/>
          <w:kern w:val="0"/>
          <w:sz w:val="28"/>
          <w:szCs w:val="22"/>
          <w:lang w:val="fr-FR" w:eastAsia="zh-CN"/>
        </w:rPr>
        <w:t>-</w:t>
      </w:r>
      <w:r>
        <w:rPr>
          <w:rFonts w:hint="eastAsia" w:ascii="黑体" w:hAnsi="宋体" w:eastAsia="黑体" w:cs="宋体"/>
          <w:kern w:val="0"/>
          <w:sz w:val="28"/>
          <w:szCs w:val="22"/>
          <w:lang w:val="en-US" w:eastAsia="zh-CN"/>
        </w:rPr>
        <w:t>x</w:t>
      </w:r>
      <w:r>
        <w:rPr>
          <w:rFonts w:hint="eastAsia" w:ascii="黑体" w:hAnsi="宋体" w:eastAsia="黑体" w:cs="宋体"/>
          <w:kern w:val="0"/>
          <w:sz w:val="28"/>
          <w:szCs w:val="22"/>
          <w:lang w:val="fr-FR" w:eastAsia="zh-CN"/>
        </w:rPr>
        <w:t>实施</w:t>
      </w:r>
    </w:p>
    <w:p w14:paraId="78ED12AD">
      <w:pPr>
        <w:keepNext w:val="0"/>
        <w:keepLines w:val="0"/>
        <w:pageBreakBefore w:val="0"/>
        <w:widowControl w:val="0"/>
        <w:kinsoku/>
        <w:wordWrap/>
        <w:overflowPunct/>
        <w:topLinePunct w:val="0"/>
        <w:autoSpaceDE w:val="0"/>
        <w:autoSpaceDN w:val="0"/>
        <w:bidi w:val="0"/>
        <w:adjustRightInd w:val="0"/>
        <w:snapToGrid w:val="0"/>
        <w:jc w:val="both"/>
        <w:textAlignment w:val="auto"/>
        <w:rPr>
          <w:rFonts w:ascii="黑体" w:hAnsi="黑体" w:eastAsia="黑体" w:cs="黑体"/>
          <w:sz w:val="28"/>
          <w:szCs w:val="28"/>
          <w:lang w:val="en-US" w:eastAsia="zh-CN"/>
        </w:rPr>
        <w:sectPr>
          <w:type w:val="continuous"/>
          <w:pgSz w:w="11910" w:h="16840"/>
          <w:pgMar w:top="1417" w:right="850" w:bottom="1134" w:left="1417" w:header="1417" w:footer="1134" w:gutter="0"/>
          <w:pgNumType w:fmt="upperRoman"/>
          <w:cols w:equalWidth="0" w:num="2">
            <w:col w:w="4467" w:space="425"/>
            <w:col w:w="4751"/>
          </w:cols>
          <w:rtlGutter w:val="0"/>
          <w:docGrid w:linePitch="0" w:charSpace="0"/>
        </w:sectPr>
      </w:pPr>
    </w:p>
    <w:p w14:paraId="66DE931E">
      <w:pPr>
        <w:keepNext w:val="0"/>
        <w:keepLines w:val="0"/>
        <w:pageBreakBefore w:val="0"/>
        <w:widowControl w:val="0"/>
        <w:tabs>
          <w:tab w:val="left" w:pos="508"/>
        </w:tabs>
        <w:kinsoku/>
        <w:overflowPunct/>
        <w:topLinePunct w:val="0"/>
        <w:autoSpaceDE w:val="0"/>
        <w:autoSpaceDN w:val="0"/>
        <w:bidi w:val="0"/>
        <w:adjustRightInd w:val="0"/>
        <w:snapToGrid w:val="0"/>
        <w:jc w:val="both"/>
        <w:rPr>
          <w:rFonts w:hint="eastAsia" w:ascii="黑体" w:hAnsi="黑体" w:eastAsia="黑体" w:cs="黑体"/>
          <w:sz w:val="18"/>
          <w:szCs w:val="18"/>
          <w:lang w:val="en-US" w:eastAsia="zh-CN" w:bidi="ar-SA"/>
        </w:rPr>
      </w:pPr>
      <w:r>
        <w:rPr>
          <w:rFonts w:ascii="黑体" w:hAnsi="黑体" w:eastAsia="黑体" w:cs="黑体"/>
          <w:sz w:val="18"/>
          <w:szCs w:val="18"/>
          <w:lang w:val="en-US" w:eastAsia="en-US" w:bidi="ar-SA"/>
        </w:rPr>
        <mc:AlternateContent>
          <mc:Choice Requires="wps">
            <w:drawing>
              <wp:anchor distT="0" distB="0" distL="114300" distR="114300" simplePos="0" relativeHeight="251700224" behindDoc="0" locked="0" layoutInCell="1" allowOverlap="1">
                <wp:simplePos x="0" y="0"/>
                <wp:positionH relativeFrom="page">
                  <wp:posOffset>899795</wp:posOffset>
                </wp:positionH>
                <wp:positionV relativeFrom="page">
                  <wp:posOffset>9254490</wp:posOffset>
                </wp:positionV>
                <wp:extent cx="6120130" cy="1270"/>
                <wp:effectExtent l="0" t="0" r="0" b="0"/>
                <wp:wrapTopAndBottom/>
                <wp:docPr id="68" name="任意多边形 68"/>
                <wp:cNvGraphicFramePr/>
                <a:graphic xmlns:a="http://schemas.openxmlformats.org/drawingml/2006/main">
                  <a:graphicData uri="http://schemas.microsoft.com/office/word/2010/wordprocessingShape">
                    <wps:wsp>
                      <wps:cNvSpPr/>
                      <wps:spPr>
                        <a:xfrm>
                          <a:off x="0" y="0"/>
                          <a:ext cx="6120130" cy="1270"/>
                        </a:xfrm>
                        <a:custGeom>
                          <a:avLst/>
                          <a:gdLst/>
                          <a:ahLst/>
                          <a:cxnLst/>
                          <a:pathLst>
                            <a:path w="9450">
                              <a:moveTo>
                                <a:pt x="0" y="0"/>
                              </a:moveTo>
                              <a:lnTo>
                                <a:pt x="9450" y="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0.85pt;margin-top:728.7pt;height:0.1pt;width:481.9pt;mso-position-horizontal-relative:page;mso-position-vertical-relative:page;mso-wrap-distance-bottom:0pt;mso-wrap-distance-top:0pt;z-index:251700224;mso-width-relative:page;mso-height-relative:page;" filled="f" stroked="t" coordsize="9450,1" o:gfxdata="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BhwRHWAAAADgEAAA8AAAAAAAAAAQAgAAAAIgAAAGRycy9kb3ducmV2LnhtbFBLAQIU&#10;ABQAAAAIAIdO4kBnpiPuLgIAAIgEAAAOAAAAAAAAAAEAIAAAACUBAABkcnMvZTJvRG9jLnhtbFBL&#10;BQYAAAAABgAGAFkBAADFBQAAAAA=&#10;" path="m0,0l9450,0e">
                <v:fill on="f" focussize="0,0"/>
                <v:stroke weight="1pt" color="#000000" joinstyle="round"/>
                <v:imagedata o:title=""/>
                <o:lock v:ext="edit" aspectratio="f"/>
                <w10:wrap type="topAndBottom"/>
              </v:shape>
            </w:pict>
          </mc:Fallback>
        </mc:AlternateContent>
      </w:r>
    </w:p>
    <w:p w14:paraId="5E540390">
      <w:pPr>
        <w:keepNext w:val="0"/>
        <w:keepLines w:val="0"/>
        <w:pageBreakBefore w:val="0"/>
        <w:widowControl w:val="0"/>
        <w:kinsoku/>
        <w:wordWrap/>
        <w:overflowPunct/>
        <w:topLinePunct w:val="0"/>
        <w:autoSpaceDE w:val="0"/>
        <w:autoSpaceDN w:val="0"/>
        <w:bidi w:val="0"/>
        <w:adjustRightInd w:val="0"/>
        <w:snapToGrid w:val="0"/>
        <w:ind w:left="3022" w:leftChars="0" w:right="3022" w:rightChars="0" w:firstLine="0" w:firstLineChars="0"/>
        <w:jc w:val="distribute"/>
        <w:textAlignment w:val="auto"/>
        <w:rPr>
          <w:rFonts w:ascii="黑体" w:hAnsi="黑体" w:eastAsia="黑体" w:cs="黑体"/>
          <w:kern w:val="0"/>
          <w:sz w:val="36"/>
          <w:szCs w:val="36"/>
          <w:lang w:val="en-US" w:eastAsia="zh-CN"/>
        </w:rPr>
      </w:pPr>
      <w:r>
        <w:rPr>
          <w:rFonts w:ascii="宋体" w:hAnsi="宋体" w:eastAsia="宋体" w:cs="宋体"/>
          <w:kern w:val="0"/>
          <w:sz w:val="36"/>
          <w:szCs w:val="36"/>
          <w:lang w:val="fr-FR" w:eastAsia="en-US"/>
        </w:rPr>
        <mc:AlternateContent>
          <mc:Choice Requires="wps">
            <w:drawing>
              <wp:anchor distT="0" distB="0" distL="114300" distR="114300" simplePos="0" relativeHeight="251692032" behindDoc="0" locked="0" layoutInCell="1" allowOverlap="1">
                <wp:simplePos x="0" y="0"/>
                <wp:positionH relativeFrom="column">
                  <wp:posOffset>4126230</wp:posOffset>
                </wp:positionH>
                <wp:positionV relativeFrom="page">
                  <wp:posOffset>9525000</wp:posOffset>
                </wp:positionV>
                <wp:extent cx="913765" cy="36512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3765" cy="365125"/>
                        </a:xfrm>
                        <a:prstGeom prst="rect">
                          <a:avLst/>
                        </a:prstGeom>
                        <a:noFill/>
                        <a:ln>
                          <a:noFill/>
                        </a:ln>
                      </wps:spPr>
                      <wps:txbx>
                        <w:txbxContent>
                          <w:p w14:paraId="3A0A49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kern w:val="0"/>
                                <w:sz w:val="28"/>
                                <w:szCs w:val="28"/>
                                <w:lang w:val="en-US" w:eastAsia="zh-CN"/>
                              </w:rPr>
                            </w:pPr>
                            <w:r>
                              <w:rPr>
                                <w:rFonts w:hint="eastAsia" w:ascii="黑体" w:hAnsi="黑体" w:eastAsia="黑体" w:cs="黑体"/>
                                <w:kern w:val="0"/>
                                <w:sz w:val="28"/>
                                <w:szCs w:val="28"/>
                                <w:lang w:val="en-US" w:eastAsia="zh-CN"/>
                              </w:rPr>
                              <w:t>发 布</w:t>
                            </w:r>
                          </w:p>
                        </w:txbxContent>
                      </wps:txbx>
                      <wps:bodyPr upright="1"/>
                    </wps:wsp>
                  </a:graphicData>
                </a:graphic>
              </wp:anchor>
            </w:drawing>
          </mc:Choice>
          <mc:Fallback>
            <w:pict>
              <v:shape id="_x0000_s1026" o:spid="_x0000_s1026" o:spt="202" type="#_x0000_t202" style="position:absolute;left:0pt;margin-left:324.9pt;margin-top:750pt;height:28.75pt;width:71.95pt;mso-position-vertical-relative:page;z-index:251692032;mso-width-relative:page;mso-height-relative:page;" filled="f" stroked="f" coordsize="21600,21600" o:gfxdata="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UAEA&#10;2QAAAA0BAAAPAAAAAAAAAAEAIAAAACIAAABkcnMvZG93bnJldi54bWxQSwECFAAUAAAACACHTuJA&#10;gHhrs64BAABPAwAADgAAAAAAAAABACAAAAAoAQAAZHJzL2Uyb0RvYy54bWxQSwUGAAAAAAYABgBZ&#10;AQAASAUAAAAA&#10;">
                <v:fill on="f" focussize="0,0"/>
                <v:stroke on="f"/>
                <v:imagedata o:title=""/>
                <o:lock v:ext="edit" aspectratio="f"/>
                <v:textbox>
                  <w:txbxContent>
                    <w:p w14:paraId="3A0A49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黑体" w:hAnsi="黑体" w:eastAsia="黑体" w:cs="黑体"/>
                          <w:kern w:val="0"/>
                          <w:sz w:val="28"/>
                          <w:szCs w:val="28"/>
                          <w:lang w:val="en-US" w:eastAsia="zh-CN"/>
                        </w:rPr>
                      </w:pPr>
                      <w:r>
                        <w:rPr>
                          <w:rFonts w:hint="eastAsia" w:ascii="黑体" w:hAnsi="黑体" w:eastAsia="黑体" w:cs="黑体"/>
                          <w:kern w:val="0"/>
                          <w:sz w:val="28"/>
                          <w:szCs w:val="28"/>
                          <w:lang w:val="en-US" w:eastAsia="zh-CN"/>
                        </w:rPr>
                        <w:t>发 布</w:t>
                      </w:r>
                    </w:p>
                  </w:txbxContent>
                </v:textbox>
              </v:shape>
            </w:pict>
          </mc:Fallback>
        </mc:AlternateContent>
      </w:r>
      <w:r>
        <w:rPr>
          <w:rFonts w:hint="eastAsia" w:ascii="黑体" w:hAnsi="黑体" w:eastAsia="黑体" w:cs="黑体"/>
          <w:kern w:val="0"/>
          <w:sz w:val="36"/>
          <w:szCs w:val="36"/>
          <w:lang w:val="en-US" w:eastAsia="zh-CN"/>
        </w:rPr>
        <w:t>湖北省生态环境厅</w:t>
      </w:r>
    </w:p>
    <w:p w14:paraId="446A081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ascii="黑体" w:hAnsi="黑体" w:eastAsia="黑体" w:cs="黑体"/>
          <w:kern w:val="0"/>
          <w:sz w:val="36"/>
          <w:szCs w:val="36"/>
          <w:lang w:val="en-US" w:eastAsia="zh-CN"/>
        </w:rPr>
      </w:pPr>
      <w:r>
        <w:rPr>
          <w:rFonts w:hint="eastAsia" w:ascii="黑体" w:hAnsi="黑体" w:eastAsia="黑体" w:cs="黑体"/>
          <w:kern w:val="0"/>
          <w:sz w:val="36"/>
          <w:szCs w:val="36"/>
          <w:lang w:val="en-US" w:eastAsia="zh-CN"/>
        </w:rPr>
        <w:t>湖北省市场监督管理局</w:t>
      </w:r>
    </w:p>
    <w:p w14:paraId="71C7BC32">
      <w:pPr>
        <w:keepNext w:val="0"/>
        <w:keepLines w:val="0"/>
        <w:pageBreakBefore w:val="0"/>
        <w:widowControl w:val="0"/>
        <w:kinsoku/>
        <w:overflowPunct/>
        <w:topLinePunct w:val="0"/>
        <w:autoSpaceDE w:val="0"/>
        <w:autoSpaceDN w:val="0"/>
        <w:bidi w:val="0"/>
        <w:adjustRightInd w:val="0"/>
        <w:snapToGrid w:val="0"/>
        <w:ind w:left="6236"/>
        <w:jc w:val="both"/>
        <w:rPr>
          <w:rFonts w:ascii="黑体" w:hAnsi="黑体" w:eastAsia="黑体" w:cs="黑体"/>
          <w:sz w:val="28"/>
          <w:szCs w:val="28"/>
          <w:lang w:val="en-US" w:eastAsia="zh-CN" w:bidi="ar-SA"/>
        </w:rPr>
      </w:pPr>
    </w:p>
    <w:p w14:paraId="3FF4A401">
      <w:pPr>
        <w:keepNext w:val="0"/>
        <w:keepLines w:val="0"/>
        <w:pageBreakBefore w:val="0"/>
        <w:kinsoku/>
        <w:overflowPunct/>
        <w:topLinePunct w:val="0"/>
        <w:autoSpaceDE w:val="0"/>
        <w:autoSpaceDN w:val="0"/>
        <w:bidi w:val="0"/>
        <w:adjustRightInd w:val="0"/>
        <w:snapToGrid w:val="0"/>
        <w:jc w:val="right"/>
        <w:rPr>
          <w:rFonts w:ascii="黑体" w:eastAsia="黑体"/>
          <w:sz w:val="28"/>
          <w:szCs w:val="28"/>
          <w:lang w:val="en-US" w:eastAsia="zh-CN"/>
        </w:rPr>
        <w:sectPr>
          <w:type w:val="continuous"/>
          <w:pgSz w:w="11910" w:h="16840"/>
          <w:pgMar w:top="1417" w:right="850" w:bottom="1134" w:left="1417" w:header="1417" w:footer="1134" w:gutter="0"/>
          <w:pgNumType w:fmt="upperRoman"/>
          <w:cols w:space="0" w:num="1"/>
          <w:rtlGutter w:val="0"/>
          <w:docGrid w:linePitch="0" w:charSpace="0"/>
        </w:sectPr>
      </w:pPr>
    </w:p>
    <w:p w14:paraId="534176C5">
      <w:pPr>
        <w:keepNext w:val="0"/>
        <w:keepLines w:val="0"/>
        <w:pageBreakBefore w:val="0"/>
        <w:widowControl w:val="0"/>
        <w:tabs>
          <w:tab w:val="left" w:pos="959"/>
        </w:tabs>
        <w:kinsoku/>
        <w:wordWrap/>
        <w:overflowPunct/>
        <w:topLinePunct w:val="0"/>
        <w:autoSpaceDE w:val="0"/>
        <w:autoSpaceDN w:val="0"/>
        <w:bidi w:val="0"/>
        <w:adjustRightInd w:val="0"/>
        <w:snapToGrid w:val="0"/>
        <w:spacing w:before="850"/>
        <w:jc w:val="center"/>
        <w:textAlignment w:val="auto"/>
        <w:outlineLvl w:val="0"/>
        <w:rPr>
          <w:rFonts w:ascii="黑体" w:hAnsi="黑体" w:eastAsia="黑体" w:cs="黑体"/>
          <w:sz w:val="32"/>
          <w:szCs w:val="32"/>
          <w:lang w:val="fr-FR" w:eastAsia="en-US" w:bidi="ar-SA"/>
        </w:rPr>
      </w:pPr>
      <w:bookmarkStart w:id="0" w:name="_Toc25394"/>
      <w:bookmarkStart w:id="1" w:name="_Toc26866"/>
      <w:bookmarkStart w:id="2" w:name="_Toc32662"/>
      <w:bookmarkStart w:id="3" w:name="_Toc28708"/>
      <w:r>
        <w:rPr>
          <w:rFonts w:ascii="黑体" w:hAnsi="黑体" w:eastAsia="黑体" w:cs="黑体"/>
          <w:sz w:val="32"/>
          <w:szCs w:val="32"/>
          <w:lang w:val="fr-FR" w:eastAsia="en-US" w:bidi="ar-SA"/>
        </w:rPr>
        <w:t>目</w:t>
      </w:r>
      <w:r>
        <w:rPr>
          <w:rFonts w:hint="eastAsia" w:ascii="黑体" w:hAnsi="黑体" w:eastAsia="黑体" w:cs="黑体"/>
          <w:sz w:val="32"/>
          <w:szCs w:val="32"/>
          <w:lang w:val="en-US" w:eastAsia="zh-CN" w:bidi="ar-SA"/>
        </w:rPr>
        <w:t xml:space="preserve">  </w:t>
      </w:r>
      <w:r>
        <w:rPr>
          <w:rFonts w:ascii="黑体" w:hAnsi="黑体" w:eastAsia="黑体" w:cs="黑体"/>
          <w:sz w:val="32"/>
          <w:szCs w:val="32"/>
          <w:lang w:val="fr-FR" w:eastAsia="en-US" w:bidi="ar-SA"/>
        </w:rPr>
        <w:t>次</w:t>
      </w:r>
      <w:bookmarkEnd w:id="0"/>
      <w:bookmarkEnd w:id="1"/>
      <w:bookmarkEnd w:id="2"/>
      <w:bookmarkEnd w:id="3"/>
    </w:p>
    <w:p w14:paraId="4B2E9700">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40" w:lineRule="auto"/>
        <w:jc w:val="left"/>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TOC \o "1-3" \h \u </w:instrText>
      </w:r>
      <w:r>
        <w:rPr>
          <w:rFonts w:hint="eastAsia" w:ascii="宋体" w:hAnsi="宋体" w:eastAsia="宋体" w:cs="宋体"/>
          <w:sz w:val="21"/>
          <w:szCs w:val="21"/>
          <w:lang w:val="fr-FR" w:eastAsia="en-US" w:bidi="ar-SA"/>
        </w:rPr>
        <w:fldChar w:fldCharType="separate"/>
      </w:r>
    </w:p>
    <w:p w14:paraId="4A54A608">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_Toc5425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zh-CN" w:bidi="ar-SA"/>
        </w:rPr>
        <w:t>前</w:t>
      </w:r>
      <w:r>
        <w:rPr>
          <w:rFonts w:hint="eastAsia" w:ascii="宋体" w:hAnsi="宋体" w:eastAsia="宋体" w:cs="宋体"/>
          <w:sz w:val="21"/>
          <w:szCs w:val="21"/>
          <w:lang w:val="en-US" w:eastAsia="zh-CN" w:bidi="ar-SA"/>
        </w:rPr>
        <w:t xml:space="preserve">  </w:t>
      </w:r>
      <w:r>
        <w:rPr>
          <w:rFonts w:hint="eastAsia" w:ascii="宋体" w:hAnsi="宋体" w:eastAsia="宋体" w:cs="宋体"/>
          <w:sz w:val="21"/>
          <w:szCs w:val="21"/>
          <w:lang w:val="fr-FR" w:eastAsia="zh-CN" w:bidi="ar-SA"/>
        </w:rPr>
        <w:t>言</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_Toc5425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II</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65C9FBAA">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_Toc22402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en-US" w:eastAsia="zh-CN" w:bidi="ar-SA"/>
        </w:rPr>
        <w:t xml:space="preserve">引  </w:t>
      </w:r>
      <w:r>
        <w:rPr>
          <w:rFonts w:hint="eastAsia" w:ascii="宋体" w:hAnsi="宋体" w:eastAsia="宋体" w:cs="宋体"/>
          <w:sz w:val="21"/>
          <w:szCs w:val="21"/>
          <w:lang w:val="fr-FR" w:eastAsia="zh-CN" w:bidi="ar-SA"/>
        </w:rPr>
        <w:t>言</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_Toc22402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III</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74A9A07C">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_Toc8275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1 </w:t>
      </w:r>
      <w:r>
        <w:rPr>
          <w:rFonts w:hint="eastAsia" w:ascii="宋体" w:hAnsi="宋体" w:eastAsia="宋体" w:cs="宋体"/>
          <w:sz w:val="21"/>
          <w:szCs w:val="21"/>
          <w:lang w:val="fr-FR" w:eastAsia="en-US" w:bidi="ar-SA"/>
        </w:rPr>
        <w:t>范围</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_Toc8275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771ED810">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_Toc3202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2 </w:t>
      </w:r>
      <w:r>
        <w:rPr>
          <w:rFonts w:hint="eastAsia" w:ascii="宋体" w:hAnsi="宋体" w:eastAsia="宋体" w:cs="宋体"/>
          <w:sz w:val="21"/>
          <w:szCs w:val="21"/>
          <w:lang w:val="fr-FR" w:eastAsia="en-US" w:bidi="ar-SA"/>
        </w:rPr>
        <w:t>规范性引用文件</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_Toc3202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0783FF5E">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_Toc21055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3 </w:t>
      </w:r>
      <w:r>
        <w:rPr>
          <w:rFonts w:hint="eastAsia" w:ascii="宋体" w:hAnsi="宋体" w:eastAsia="宋体" w:cs="宋体"/>
          <w:sz w:val="21"/>
          <w:szCs w:val="21"/>
          <w:lang w:val="fr-FR" w:eastAsia="en-US" w:bidi="ar-SA"/>
        </w:rPr>
        <w:t>术语和定义</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_Toc21055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2</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571CD6B5">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_Toc1946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4 </w:t>
      </w:r>
      <w:r>
        <w:rPr>
          <w:rFonts w:hint="eastAsia" w:ascii="宋体" w:hAnsi="宋体" w:eastAsia="宋体" w:cs="宋体"/>
          <w:sz w:val="21"/>
          <w:szCs w:val="21"/>
          <w:lang w:val="en-US" w:eastAsia="zh-CN" w:bidi="ar-SA"/>
        </w:rPr>
        <w:t>工作</w:t>
      </w:r>
      <w:r>
        <w:rPr>
          <w:rFonts w:hint="eastAsia" w:ascii="宋体" w:hAnsi="宋体" w:eastAsia="宋体" w:cs="宋体"/>
          <w:sz w:val="21"/>
          <w:szCs w:val="21"/>
          <w:lang w:val="fr-FR" w:eastAsia="en-US" w:bidi="ar-SA"/>
        </w:rPr>
        <w:t>程序</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_Toc1946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2</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74CBB410">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_Toc9095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4.1 </w:t>
      </w:r>
      <w:r>
        <w:rPr>
          <w:rFonts w:hint="eastAsia" w:ascii="宋体" w:hAnsi="宋体" w:eastAsia="宋体" w:cs="宋体"/>
          <w:sz w:val="21"/>
          <w:szCs w:val="21"/>
          <w:lang w:val="fr-FR" w:eastAsia="zh-CN" w:bidi="ar-SA"/>
        </w:rPr>
        <w:t>第一阶段</w:t>
      </w:r>
      <w:r>
        <w:rPr>
          <w:rFonts w:hint="eastAsia" w:ascii="宋体" w:hAnsi="宋体" w:eastAsia="宋体" w:cs="宋体"/>
          <w:sz w:val="21"/>
          <w:szCs w:val="21"/>
          <w:lang w:val="en-US" w:eastAsia="zh-CN" w:bidi="ar-SA"/>
        </w:rPr>
        <w:t>土壤污染状况</w:t>
      </w:r>
      <w:r>
        <w:rPr>
          <w:rFonts w:hint="eastAsia" w:ascii="宋体" w:hAnsi="宋体" w:eastAsia="宋体" w:cs="宋体"/>
          <w:sz w:val="21"/>
          <w:szCs w:val="21"/>
          <w:lang w:val="fr-FR" w:eastAsia="zh-CN" w:bidi="ar-SA"/>
        </w:rPr>
        <w:t>调查</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_Toc9095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4</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4BB3F693">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_Toc27827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4.2 </w:t>
      </w:r>
      <w:r>
        <w:rPr>
          <w:rFonts w:hint="eastAsia" w:ascii="宋体" w:hAnsi="宋体" w:eastAsia="宋体" w:cs="宋体"/>
          <w:sz w:val="21"/>
          <w:szCs w:val="21"/>
          <w:lang w:val="fr-FR" w:eastAsia="zh-CN" w:bidi="ar-SA"/>
        </w:rPr>
        <w:t>第二阶段</w:t>
      </w:r>
      <w:r>
        <w:rPr>
          <w:rFonts w:hint="eastAsia" w:ascii="宋体" w:hAnsi="宋体" w:eastAsia="宋体" w:cs="宋体"/>
          <w:sz w:val="21"/>
          <w:szCs w:val="21"/>
          <w:lang w:val="en-US" w:eastAsia="zh-CN" w:bidi="ar-SA"/>
        </w:rPr>
        <w:t>土壤污染状况</w:t>
      </w:r>
      <w:r>
        <w:rPr>
          <w:rFonts w:hint="eastAsia" w:ascii="宋体" w:hAnsi="宋体" w:eastAsia="宋体" w:cs="宋体"/>
          <w:sz w:val="21"/>
          <w:szCs w:val="21"/>
          <w:lang w:val="fr-FR" w:eastAsia="zh-CN" w:bidi="ar-SA"/>
        </w:rPr>
        <w:t>调查</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_Toc27827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4</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1D36851C">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_Toc1931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4.3 </w:t>
      </w:r>
      <w:r>
        <w:rPr>
          <w:rFonts w:hint="eastAsia" w:ascii="宋体" w:hAnsi="宋体" w:eastAsia="宋体" w:cs="宋体"/>
          <w:sz w:val="21"/>
          <w:szCs w:val="21"/>
          <w:lang w:val="fr-FR" w:eastAsia="zh-CN" w:bidi="ar-SA"/>
        </w:rPr>
        <w:t>第三阶段</w:t>
      </w:r>
      <w:r>
        <w:rPr>
          <w:rFonts w:hint="eastAsia" w:ascii="宋体" w:hAnsi="宋体" w:eastAsia="宋体" w:cs="宋体"/>
          <w:sz w:val="21"/>
          <w:szCs w:val="21"/>
          <w:lang w:val="en-US" w:eastAsia="zh-CN" w:bidi="ar-SA"/>
        </w:rPr>
        <w:t>土壤污染状况</w:t>
      </w:r>
      <w:r>
        <w:rPr>
          <w:rFonts w:hint="eastAsia" w:ascii="宋体" w:hAnsi="宋体" w:eastAsia="宋体" w:cs="宋体"/>
          <w:sz w:val="21"/>
          <w:szCs w:val="21"/>
          <w:lang w:val="fr-FR" w:eastAsia="zh-CN" w:bidi="ar-SA"/>
        </w:rPr>
        <w:t>调查</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_Toc1931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4</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17BB0A3C">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_Toc11360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5 </w:t>
      </w:r>
      <w:r>
        <w:rPr>
          <w:rFonts w:hint="eastAsia" w:ascii="宋体" w:hAnsi="宋体" w:eastAsia="宋体" w:cs="宋体"/>
          <w:sz w:val="21"/>
          <w:szCs w:val="21"/>
          <w:lang w:val="fr-FR" w:eastAsia="zh-CN" w:bidi="ar-SA"/>
        </w:rPr>
        <w:t>第一阶段</w:t>
      </w:r>
      <w:r>
        <w:rPr>
          <w:rFonts w:hint="eastAsia" w:ascii="宋体" w:hAnsi="宋体" w:eastAsia="宋体" w:cs="宋体"/>
          <w:sz w:val="21"/>
          <w:szCs w:val="21"/>
          <w:lang w:val="en-US" w:eastAsia="zh-CN" w:bidi="ar-SA"/>
        </w:rPr>
        <w:t>土壤</w:t>
      </w:r>
      <w:r>
        <w:rPr>
          <w:rFonts w:hint="eastAsia" w:ascii="宋体" w:hAnsi="宋体" w:eastAsia="宋体" w:cs="宋体"/>
          <w:sz w:val="21"/>
          <w:szCs w:val="21"/>
          <w:lang w:val="fr-FR" w:eastAsia="zh-CN" w:bidi="ar-SA"/>
        </w:rPr>
        <w:t>污染状况调查</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_Toc11360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4</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0AAE54A8">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_Toc5237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5.1 </w:t>
      </w:r>
      <w:r>
        <w:rPr>
          <w:rFonts w:hint="eastAsia" w:ascii="宋体" w:hAnsi="宋体" w:eastAsia="宋体" w:cs="宋体"/>
          <w:sz w:val="21"/>
          <w:szCs w:val="21"/>
          <w:lang w:val="fr-FR" w:eastAsia="en-US" w:bidi="ar-SA"/>
        </w:rPr>
        <w:t>资料</w:t>
      </w:r>
      <w:r>
        <w:rPr>
          <w:rFonts w:hint="eastAsia" w:ascii="宋体" w:hAnsi="宋体" w:eastAsia="宋体" w:cs="宋体"/>
          <w:sz w:val="21"/>
          <w:szCs w:val="21"/>
          <w:lang w:val="fr-FR" w:eastAsia="zh-CN" w:bidi="ar-SA"/>
        </w:rPr>
        <w:t>收集</w:t>
      </w:r>
      <w:r>
        <w:rPr>
          <w:rFonts w:hint="eastAsia" w:ascii="宋体" w:hAnsi="宋体" w:eastAsia="宋体" w:cs="宋体"/>
          <w:sz w:val="21"/>
          <w:szCs w:val="21"/>
          <w:lang w:val="fr-FR" w:eastAsia="en-US" w:bidi="ar-SA"/>
        </w:rPr>
        <w:t>与分析</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_Toc5237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4</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2F419B4E">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_Toc29796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5.2 </w:t>
      </w:r>
      <w:r>
        <w:rPr>
          <w:rFonts w:hint="eastAsia" w:ascii="宋体" w:hAnsi="宋体" w:eastAsia="宋体" w:cs="宋体"/>
          <w:sz w:val="21"/>
          <w:szCs w:val="21"/>
          <w:lang w:val="fr-FR" w:eastAsia="en-US" w:bidi="ar-SA"/>
        </w:rPr>
        <w:t>现场</w:t>
      </w:r>
      <w:r>
        <w:rPr>
          <w:rFonts w:hint="eastAsia" w:ascii="宋体" w:hAnsi="宋体" w:eastAsia="宋体" w:cs="宋体"/>
          <w:sz w:val="21"/>
          <w:szCs w:val="21"/>
          <w:lang w:val="fr-FR" w:eastAsia="zh-CN" w:bidi="ar-SA"/>
        </w:rPr>
        <w:t>踏勘</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_Toc29796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6</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63D4BE01">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_Toc30783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5.3 </w:t>
      </w:r>
      <w:r>
        <w:rPr>
          <w:rFonts w:hint="eastAsia" w:ascii="宋体" w:hAnsi="宋体" w:eastAsia="宋体" w:cs="宋体"/>
          <w:sz w:val="21"/>
          <w:szCs w:val="21"/>
          <w:lang w:val="fr-FR" w:eastAsia="en-US" w:bidi="ar-SA"/>
        </w:rPr>
        <w:t>人员</w:t>
      </w:r>
      <w:r>
        <w:rPr>
          <w:rFonts w:hint="eastAsia" w:ascii="宋体" w:hAnsi="宋体" w:eastAsia="宋体" w:cs="宋体"/>
          <w:sz w:val="21"/>
          <w:szCs w:val="21"/>
          <w:lang w:val="fr-FR" w:eastAsia="zh-CN" w:bidi="ar-SA"/>
        </w:rPr>
        <w:t>访谈</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_Toc30783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7</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21119CB5">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_Toc32039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5.4 </w:t>
      </w:r>
      <w:r>
        <w:rPr>
          <w:rFonts w:hint="eastAsia" w:ascii="宋体" w:hAnsi="宋体" w:eastAsia="宋体" w:cs="宋体"/>
          <w:sz w:val="21"/>
          <w:szCs w:val="21"/>
          <w:lang w:val="en-US" w:eastAsia="zh-CN" w:bidi="ar-SA"/>
        </w:rPr>
        <w:t>结果分析与结论</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_Toc32039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8</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617E0F3F">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_Toc2744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6 </w:t>
      </w:r>
      <w:r>
        <w:rPr>
          <w:rFonts w:hint="eastAsia" w:ascii="宋体" w:hAnsi="宋体" w:eastAsia="宋体" w:cs="宋体"/>
          <w:sz w:val="21"/>
          <w:szCs w:val="21"/>
          <w:lang w:val="fr-FR" w:eastAsia="zh-CN" w:bidi="ar-SA"/>
        </w:rPr>
        <w:t>第二阶段土壤污染状况调查</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_Toc2744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9</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08C1E918">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_Toc25627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6.1 </w:t>
      </w:r>
      <w:r>
        <w:rPr>
          <w:rFonts w:hint="eastAsia" w:ascii="宋体" w:hAnsi="宋体" w:eastAsia="宋体" w:cs="宋体"/>
          <w:sz w:val="21"/>
          <w:szCs w:val="21"/>
          <w:lang w:val="fr-FR" w:eastAsia="en-US" w:bidi="ar-SA"/>
        </w:rPr>
        <w:t>初步</w:t>
      </w:r>
      <w:r>
        <w:rPr>
          <w:rFonts w:hint="eastAsia" w:ascii="宋体" w:hAnsi="宋体" w:eastAsia="宋体" w:cs="宋体"/>
          <w:sz w:val="21"/>
          <w:szCs w:val="21"/>
          <w:lang w:val="fr-FR" w:eastAsia="zh-CN" w:bidi="ar-SA"/>
        </w:rPr>
        <w:t>采样分析</w:t>
      </w:r>
      <w:r>
        <w:rPr>
          <w:rFonts w:hint="eastAsia" w:ascii="宋体" w:hAnsi="宋体" w:eastAsia="宋体" w:cs="宋体"/>
          <w:sz w:val="21"/>
          <w:szCs w:val="21"/>
          <w:lang w:val="fr-FR" w:eastAsia="en-US" w:bidi="ar-SA"/>
        </w:rPr>
        <w:t>工作计划</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_Toc25627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9</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38417656">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_Toc3298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6.2 </w:t>
      </w:r>
      <w:r>
        <w:rPr>
          <w:rFonts w:hint="eastAsia" w:ascii="宋体" w:hAnsi="宋体" w:eastAsia="宋体" w:cs="宋体"/>
          <w:sz w:val="21"/>
          <w:szCs w:val="21"/>
          <w:lang w:val="en-US" w:eastAsia="zh-CN" w:bidi="ar-SA"/>
        </w:rPr>
        <w:t>详细</w:t>
      </w:r>
      <w:r>
        <w:rPr>
          <w:rFonts w:hint="eastAsia" w:ascii="宋体" w:hAnsi="宋体" w:eastAsia="宋体" w:cs="宋体"/>
          <w:sz w:val="21"/>
          <w:szCs w:val="21"/>
          <w:lang w:val="fr-FR" w:eastAsia="zh-CN" w:bidi="ar-SA"/>
        </w:rPr>
        <w:t>采样</w:t>
      </w:r>
      <w:r>
        <w:rPr>
          <w:rFonts w:hint="eastAsia" w:ascii="宋体" w:hAnsi="宋体" w:eastAsia="宋体" w:cs="宋体"/>
          <w:sz w:val="21"/>
          <w:szCs w:val="21"/>
          <w:lang w:val="fr-FR" w:eastAsia="en-US" w:bidi="ar-SA"/>
        </w:rPr>
        <w:t>分析工作计划</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_Toc3298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13</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041ABAAA">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_Toc555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6.3 </w:t>
      </w:r>
      <w:r>
        <w:rPr>
          <w:rFonts w:hint="eastAsia" w:ascii="宋体" w:hAnsi="宋体" w:eastAsia="宋体" w:cs="宋体"/>
          <w:sz w:val="21"/>
          <w:szCs w:val="21"/>
          <w:lang w:val="en-US" w:eastAsia="zh-CN" w:bidi="ar-SA"/>
        </w:rPr>
        <w:t>现场采样</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_Toc555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14</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390487B4">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_Toc26662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6.4 </w:t>
      </w:r>
      <w:r>
        <w:rPr>
          <w:rFonts w:hint="eastAsia" w:ascii="宋体" w:hAnsi="宋体" w:eastAsia="宋体" w:cs="宋体"/>
          <w:sz w:val="21"/>
          <w:szCs w:val="21"/>
          <w:lang w:val="en-US" w:eastAsia="zh-CN" w:bidi="ar-SA"/>
        </w:rPr>
        <w:t>数据评估与分析</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_Toc26662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16</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2C08F2E8">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_Toc26271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7 </w:t>
      </w:r>
      <w:r>
        <w:rPr>
          <w:rFonts w:hint="eastAsia" w:ascii="宋体" w:hAnsi="宋体" w:eastAsia="宋体" w:cs="宋体"/>
          <w:sz w:val="21"/>
          <w:szCs w:val="21"/>
          <w:lang w:val="fr-FR" w:eastAsia="zh-CN" w:bidi="ar-SA"/>
        </w:rPr>
        <w:t>第三</w:t>
      </w:r>
      <w:r>
        <w:rPr>
          <w:rFonts w:hint="eastAsia" w:ascii="宋体" w:hAnsi="宋体" w:eastAsia="宋体" w:cs="宋体"/>
          <w:sz w:val="21"/>
          <w:szCs w:val="21"/>
          <w:lang w:val="en-US" w:eastAsia="zh-CN" w:bidi="ar-SA"/>
        </w:rPr>
        <w:t>阶段</w:t>
      </w:r>
      <w:r>
        <w:rPr>
          <w:rFonts w:hint="eastAsia" w:ascii="宋体" w:hAnsi="宋体" w:eastAsia="宋体" w:cs="宋体"/>
          <w:sz w:val="21"/>
          <w:szCs w:val="21"/>
          <w:lang w:val="fr-FR" w:eastAsia="zh-CN" w:bidi="ar-SA"/>
        </w:rPr>
        <w:t>土壤污染状况调查</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_Toc26271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19</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5CF70106">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_Toc5161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7.1 </w:t>
      </w:r>
      <w:r>
        <w:rPr>
          <w:rFonts w:hint="eastAsia" w:ascii="宋体" w:hAnsi="宋体" w:eastAsia="宋体" w:cs="宋体"/>
          <w:sz w:val="21"/>
          <w:szCs w:val="21"/>
          <w:lang w:val="fr-FR" w:eastAsia="en-US" w:bidi="ar-SA"/>
        </w:rPr>
        <w:t>主要工作内容</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_Toc5161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19</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3281B309">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_Toc8730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7.2 </w:t>
      </w:r>
      <w:r>
        <w:rPr>
          <w:rFonts w:hint="eastAsia" w:ascii="宋体" w:hAnsi="宋体" w:eastAsia="宋体" w:cs="宋体"/>
          <w:sz w:val="21"/>
          <w:szCs w:val="21"/>
          <w:lang w:val="fr-FR" w:eastAsia="en-US" w:bidi="ar-SA"/>
        </w:rPr>
        <w:t>调查</w:t>
      </w:r>
      <w:r>
        <w:rPr>
          <w:rFonts w:hint="eastAsia" w:ascii="宋体" w:hAnsi="宋体" w:eastAsia="宋体" w:cs="宋体"/>
          <w:sz w:val="21"/>
          <w:szCs w:val="21"/>
          <w:lang w:val="fr-FR" w:eastAsia="zh-CN" w:bidi="ar-SA"/>
        </w:rPr>
        <w:t>方法</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_Toc8730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19</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6F81EB4D">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_Toc16458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8 </w:t>
      </w:r>
      <w:r>
        <w:rPr>
          <w:rFonts w:hint="eastAsia" w:ascii="宋体" w:hAnsi="宋体" w:eastAsia="宋体" w:cs="宋体"/>
          <w:sz w:val="21"/>
          <w:szCs w:val="21"/>
          <w:lang w:val="fr-FR" w:eastAsia="en-US" w:bidi="ar-SA"/>
        </w:rPr>
        <w:t>报告编制</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_Toc16458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19</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7509BA00">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_Toc10914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8.1 </w:t>
      </w:r>
      <w:r>
        <w:rPr>
          <w:rFonts w:hint="eastAsia" w:ascii="宋体" w:hAnsi="宋体" w:eastAsia="宋体" w:cs="宋体"/>
          <w:sz w:val="21"/>
          <w:szCs w:val="21"/>
          <w:lang w:val="fr-FR" w:eastAsia="en-US" w:bidi="ar-SA"/>
        </w:rPr>
        <w:t>报告</w:t>
      </w:r>
      <w:r>
        <w:rPr>
          <w:rFonts w:hint="eastAsia" w:ascii="宋体" w:hAnsi="宋体" w:eastAsia="宋体" w:cs="宋体"/>
          <w:sz w:val="21"/>
          <w:szCs w:val="21"/>
          <w:lang w:val="fr-FR" w:eastAsia="zh-CN" w:bidi="ar-SA"/>
        </w:rPr>
        <w:t>内容</w:t>
      </w:r>
      <w:r>
        <w:rPr>
          <w:rFonts w:hint="eastAsia" w:ascii="宋体" w:hAnsi="宋体" w:eastAsia="宋体" w:cs="宋体"/>
          <w:sz w:val="21"/>
          <w:szCs w:val="21"/>
          <w:lang w:val="fr-FR" w:eastAsia="en-US" w:bidi="ar-SA"/>
        </w:rPr>
        <w:t>和格式</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_Toc10914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19</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3C467B72">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_Toc1552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8.2 </w:t>
      </w:r>
      <w:r>
        <w:rPr>
          <w:rFonts w:hint="eastAsia" w:ascii="宋体" w:hAnsi="宋体" w:eastAsia="宋体" w:cs="宋体"/>
          <w:sz w:val="21"/>
          <w:szCs w:val="21"/>
          <w:lang w:val="fr-FR" w:eastAsia="en-US" w:bidi="ar-SA"/>
        </w:rPr>
        <w:t>报告</w:t>
      </w:r>
      <w:r>
        <w:rPr>
          <w:rFonts w:hint="eastAsia" w:ascii="宋体" w:hAnsi="宋体" w:eastAsia="宋体" w:cs="宋体"/>
          <w:sz w:val="21"/>
          <w:szCs w:val="21"/>
          <w:lang w:val="fr-FR" w:eastAsia="zh-CN" w:bidi="ar-SA"/>
        </w:rPr>
        <w:t>形式</w:t>
      </w:r>
      <w:r>
        <w:rPr>
          <w:rFonts w:hint="eastAsia" w:ascii="宋体" w:hAnsi="宋体" w:eastAsia="宋体" w:cs="宋体"/>
          <w:sz w:val="21"/>
          <w:szCs w:val="21"/>
          <w:lang w:val="fr-FR" w:eastAsia="en-US" w:bidi="ar-SA"/>
        </w:rPr>
        <w:t>要求</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_Toc1552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19</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170A4739">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ind w:left="420"/>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_Toc10451 </w:instrText>
      </w:r>
      <w:r>
        <w:rPr>
          <w:rFonts w:hint="eastAsia" w:ascii="宋体" w:hAnsi="宋体" w:eastAsia="宋体" w:cs="宋体"/>
          <w:sz w:val="21"/>
          <w:szCs w:val="21"/>
          <w:lang w:val="fr-FR" w:eastAsia="en-US" w:bidi="ar-SA"/>
        </w:rPr>
        <w:fldChar w:fldCharType="separate"/>
      </w:r>
      <w:r>
        <w:rPr>
          <w:rFonts w:hint="default" w:ascii="宋体" w:hAnsi="宋体" w:eastAsia="宋体" w:cs="宋体"/>
          <w:sz w:val="21"/>
          <w:szCs w:val="21"/>
          <w:lang w:val="fr-FR" w:eastAsia="en-US" w:bidi="ar-SA"/>
        </w:rPr>
        <w:t xml:space="preserve">8.3 </w:t>
      </w:r>
      <w:r>
        <w:rPr>
          <w:rFonts w:hint="eastAsia" w:ascii="宋体" w:hAnsi="宋体" w:eastAsia="宋体" w:cs="宋体"/>
          <w:sz w:val="21"/>
          <w:szCs w:val="21"/>
          <w:lang w:val="fr-FR" w:eastAsia="zh-CN" w:bidi="ar-SA"/>
        </w:rPr>
        <w:t>附件</w:t>
      </w:r>
      <w:r>
        <w:rPr>
          <w:rFonts w:hint="eastAsia" w:ascii="宋体" w:hAnsi="宋体" w:eastAsia="宋体" w:cs="宋体"/>
          <w:sz w:val="21"/>
          <w:szCs w:val="21"/>
          <w:lang w:val="en-US" w:eastAsia="zh-CN" w:bidi="ar-SA"/>
        </w:rPr>
        <w:t>要求</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_Toc10451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20</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4C33B981">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_Toc21525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zh-CN" w:bidi="ar-SA"/>
        </w:rPr>
        <w:t>附录A</w:t>
      </w:r>
      <w:r>
        <w:rPr>
          <w:rFonts w:hint="eastAsia" w:ascii="宋体" w:hAnsi="宋体" w:eastAsia="宋体" w:cs="宋体"/>
          <w:sz w:val="21"/>
          <w:szCs w:val="21"/>
          <w:lang w:val="en-US" w:eastAsia="zh-CN" w:bidi="ar-SA"/>
        </w:rPr>
        <w:t xml:space="preserve"> </w:t>
      </w:r>
      <w:r>
        <w:rPr>
          <w:rFonts w:hint="eastAsia" w:ascii="宋体" w:hAnsi="宋体" w:eastAsia="宋体" w:cs="宋体"/>
          <w:sz w:val="21"/>
          <w:szCs w:val="21"/>
          <w:lang w:val="fr-FR" w:eastAsia="en-US" w:bidi="ar-SA"/>
        </w:rPr>
        <w:t>现场踏勘记录表参考内容与格式</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_Toc21525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21</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13B54206">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_Toc16291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附录</w:t>
      </w:r>
      <w:r>
        <w:rPr>
          <w:rFonts w:hint="eastAsia" w:ascii="宋体" w:hAnsi="宋体" w:eastAsia="宋体" w:cs="宋体"/>
          <w:sz w:val="21"/>
          <w:szCs w:val="21"/>
          <w:lang w:val="en-US" w:eastAsia="zh-CN" w:bidi="ar-SA"/>
        </w:rPr>
        <w:t>B 人员访谈记录表参考内容与格式</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_Toc16291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24</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7BF5957B">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_Toc32042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zh-CN" w:bidi="ar-SA"/>
        </w:rPr>
        <w:t>附录</w:t>
      </w:r>
      <w:r>
        <w:rPr>
          <w:rFonts w:hint="eastAsia" w:ascii="宋体" w:hAnsi="宋体" w:eastAsia="宋体" w:cs="宋体"/>
          <w:sz w:val="21"/>
          <w:szCs w:val="21"/>
          <w:lang w:val="en-US" w:eastAsia="zh-CN" w:bidi="ar-SA"/>
        </w:rPr>
        <w:t>C 现场采样记录表参考内容与格式</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_Toc32042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26</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783A9AC7">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center"/>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HYPERLINK \l _Toc11117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zh-CN" w:bidi="ar-SA"/>
        </w:rPr>
        <w:t>附录</w:t>
      </w:r>
      <w:r>
        <w:rPr>
          <w:rFonts w:hint="eastAsia" w:ascii="宋体" w:hAnsi="宋体" w:eastAsia="宋体" w:cs="宋体"/>
          <w:sz w:val="21"/>
          <w:szCs w:val="21"/>
          <w:lang w:val="en-US" w:eastAsia="zh-CN" w:bidi="ar-SA"/>
        </w:rPr>
        <w:t>D 调查报告编制大纲参考内容与格式</w:t>
      </w:r>
      <w:r>
        <w:rPr>
          <w:rFonts w:hint="eastAsia" w:ascii="宋体" w:hAnsi="宋体" w:eastAsia="宋体" w:cs="宋体"/>
          <w:sz w:val="21"/>
          <w:szCs w:val="21"/>
          <w:lang w:val="fr-FR" w:eastAsia="en-US" w:bidi="ar-SA"/>
        </w:rPr>
        <w:tab/>
      </w:r>
      <w:r>
        <w:rPr>
          <w:rFonts w:hint="eastAsia" w:ascii="宋体" w:hAnsi="宋体" w:eastAsia="宋体" w:cs="宋体"/>
          <w:sz w:val="21"/>
          <w:szCs w:val="21"/>
          <w:lang w:val="fr-FR" w:eastAsia="en-US" w:bidi="ar-SA"/>
        </w:rPr>
        <w:fldChar w:fldCharType="begin"/>
      </w:r>
      <w:r>
        <w:rPr>
          <w:rFonts w:hint="eastAsia" w:ascii="宋体" w:hAnsi="宋体" w:eastAsia="宋体" w:cs="宋体"/>
          <w:sz w:val="21"/>
          <w:szCs w:val="21"/>
          <w:lang w:val="fr-FR" w:eastAsia="en-US" w:bidi="ar-SA"/>
        </w:rPr>
        <w:instrText xml:space="preserve"> PAGEREF _Toc11117 \h </w:instrText>
      </w:r>
      <w:r>
        <w:rPr>
          <w:rFonts w:hint="eastAsia" w:ascii="宋体" w:hAnsi="宋体" w:eastAsia="宋体" w:cs="宋体"/>
          <w:sz w:val="21"/>
          <w:szCs w:val="21"/>
          <w:lang w:val="fr-FR" w:eastAsia="en-US" w:bidi="ar-SA"/>
        </w:rPr>
        <w:fldChar w:fldCharType="separate"/>
      </w:r>
      <w:r>
        <w:rPr>
          <w:rFonts w:hint="eastAsia" w:ascii="宋体" w:hAnsi="宋体" w:eastAsia="宋体" w:cs="宋体"/>
          <w:sz w:val="21"/>
          <w:szCs w:val="21"/>
          <w:lang w:val="fr-FR" w:eastAsia="en-US" w:bidi="ar-SA"/>
        </w:rPr>
        <w:t>31</w:t>
      </w:r>
      <w:r>
        <w:rPr>
          <w:rFonts w:hint="eastAsia" w:ascii="宋体" w:hAnsi="宋体" w:eastAsia="宋体" w:cs="宋体"/>
          <w:sz w:val="21"/>
          <w:szCs w:val="21"/>
          <w:lang w:val="fr-FR" w:eastAsia="en-US" w:bidi="ar-SA"/>
        </w:rPr>
        <w:fldChar w:fldCharType="end"/>
      </w:r>
      <w:r>
        <w:rPr>
          <w:rFonts w:hint="eastAsia" w:ascii="宋体" w:hAnsi="宋体" w:eastAsia="宋体" w:cs="宋体"/>
          <w:sz w:val="21"/>
          <w:szCs w:val="21"/>
          <w:lang w:val="fr-FR" w:eastAsia="en-US" w:bidi="ar-SA"/>
        </w:rPr>
        <w:fldChar w:fldCharType="end"/>
      </w:r>
    </w:p>
    <w:p w14:paraId="12426077">
      <w:pPr>
        <w:keepNext w:val="0"/>
        <w:keepLines w:val="0"/>
        <w:pageBreakBefore w:val="0"/>
        <w:widowControl w:val="0"/>
        <w:tabs>
          <w:tab w:val="right" w:leader="dot" w:pos="9385"/>
          <w:tab w:val="right" w:leader="dot" w:pos="9490"/>
        </w:tabs>
        <w:kinsoku/>
        <w:wordWrap/>
        <w:overflowPunct/>
        <w:topLinePunct w:val="0"/>
        <w:autoSpaceDE w:val="0"/>
        <w:autoSpaceDN w:val="0"/>
        <w:bidi w:val="0"/>
        <w:adjustRightInd w:val="0"/>
        <w:snapToGrid w:val="0"/>
        <w:spacing w:line="279" w:lineRule="auto"/>
        <w:jc w:val="both"/>
        <w:textAlignment w:val="auto"/>
        <w:rPr>
          <w:rFonts w:hint="eastAsia" w:ascii="宋体" w:hAnsi="宋体" w:eastAsia="宋体" w:cs="宋体"/>
          <w:sz w:val="21"/>
          <w:szCs w:val="21"/>
        </w:rPr>
        <w:sectPr>
          <w:headerReference r:id="rId7" w:type="default"/>
          <w:footerReference r:id="rId9" w:type="default"/>
          <w:headerReference r:id="rId8" w:type="even"/>
          <w:footerReference r:id="rId10" w:type="even"/>
          <w:pgSz w:w="11910" w:h="16840"/>
          <w:pgMar w:top="1417" w:right="1134" w:bottom="1134" w:left="1417" w:header="1417" w:footer="1134" w:gutter="0"/>
          <w:pgNumType w:fmt="upperRoman" w:start="1"/>
          <w:cols w:space="0" w:num="1"/>
          <w:rtlGutter w:val="0"/>
          <w:docGrid w:linePitch="0" w:charSpace="0"/>
        </w:sectPr>
      </w:pPr>
      <w:r>
        <w:rPr>
          <w:rFonts w:hint="eastAsia" w:ascii="宋体" w:hAnsi="宋体" w:eastAsia="宋体" w:cs="宋体"/>
          <w:sz w:val="21"/>
          <w:szCs w:val="21"/>
          <w:lang w:val="fr-FR" w:eastAsia="en-US" w:bidi="ar-SA"/>
        </w:rPr>
        <w:fldChar w:fldCharType="end"/>
      </w:r>
    </w:p>
    <w:p w14:paraId="28CE8A50">
      <w:pPr>
        <w:keepNext w:val="0"/>
        <w:keepLines w:val="0"/>
        <w:pageBreakBefore w:val="0"/>
        <w:widowControl w:val="0"/>
        <w:kinsoku/>
        <w:overflowPunct/>
        <w:topLinePunct w:val="0"/>
        <w:autoSpaceDE w:val="0"/>
        <w:autoSpaceDN w:val="0"/>
        <w:bidi w:val="0"/>
        <w:adjustRightInd w:val="0"/>
        <w:snapToGrid w:val="0"/>
        <w:spacing w:before="850" w:after="680"/>
        <w:jc w:val="center"/>
        <w:outlineLvl w:val="0"/>
        <w:rPr>
          <w:rFonts w:ascii="黑体" w:hAnsi="黑体" w:eastAsia="黑体" w:cs="黑体"/>
          <w:sz w:val="32"/>
          <w:szCs w:val="32"/>
          <w:lang w:val="fr-FR" w:eastAsia="zh-CN" w:bidi="ar-SA"/>
        </w:rPr>
      </w:pPr>
      <w:bookmarkStart w:id="4" w:name="_bookmark0"/>
      <w:bookmarkEnd w:id="4"/>
      <w:bookmarkStart w:id="5" w:name="_Toc5425"/>
      <w:r>
        <w:rPr>
          <w:rFonts w:ascii="黑体" w:hAnsi="黑体" w:eastAsia="黑体" w:cs="黑体"/>
          <w:sz w:val="32"/>
          <w:szCs w:val="32"/>
          <w:lang w:val="fr-FR" w:eastAsia="zh-CN" w:bidi="ar-SA"/>
        </w:rPr>
        <w:t>前</w:t>
      </w:r>
      <w:r>
        <w:rPr>
          <w:rFonts w:hint="eastAsia" w:ascii="黑体" w:hAnsi="黑体" w:eastAsia="黑体" w:cs="黑体"/>
          <w:sz w:val="32"/>
          <w:szCs w:val="32"/>
          <w:lang w:val="en-US" w:eastAsia="zh-CN" w:bidi="ar-SA"/>
        </w:rPr>
        <w:t xml:space="preserve">  </w:t>
      </w:r>
      <w:r>
        <w:rPr>
          <w:rFonts w:ascii="黑体" w:hAnsi="黑体" w:eastAsia="黑体" w:cs="黑体"/>
          <w:sz w:val="32"/>
          <w:szCs w:val="32"/>
          <w:lang w:val="fr-FR" w:eastAsia="zh-CN" w:bidi="ar-SA"/>
        </w:rPr>
        <w:t>言</w:t>
      </w:r>
      <w:bookmarkEnd w:id="5"/>
    </w:p>
    <w:p w14:paraId="26DE8B7F">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本文件按照GB/T 1.1—2020《标准化工作导则 第1部分：标准化文件的结构和起草规则》的规定起草。</w:t>
      </w:r>
    </w:p>
    <w:p w14:paraId="65F91168">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本文件为DB42/T XXXX的第1部分。DB42/T XXXX拟分为以下部分：</w:t>
      </w:r>
    </w:p>
    <w:p w14:paraId="45DA803C">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——第1部分：土壤污染状况调查技术规范</w:t>
      </w:r>
    </w:p>
    <w:p w14:paraId="394D0447">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——第2部分：土壤重金属监测质量保证与质量控制技术规范</w:t>
      </w:r>
    </w:p>
    <w:p w14:paraId="63E220D7">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——第3部分：土壤挥发性有机物监测质量保证与质量控制技术规范</w:t>
      </w:r>
    </w:p>
    <w:p w14:paraId="27BFF64F">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w:t>
      </w:r>
    </w:p>
    <w:p w14:paraId="62DF710F">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本文件由湖北省生态环境厅提出并归口。</w:t>
      </w:r>
    </w:p>
    <w:p w14:paraId="68D7C214">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本文件起草单位：湖北省生态环境科学研究院（省生态环境工程评估中心），湖北省生态环境监测中心站，湖北省标准化与质量研究院，湖北省生态环境厅武汉生态环境监测中心，湖北省生态环境厅宜昌生态环境监测中心，广检检测技术（武汉）有限公司，武汉市生态环境科技中心。</w:t>
      </w:r>
    </w:p>
    <w:p w14:paraId="3E9766C5">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本文件主要起草人：等。</w:t>
      </w:r>
    </w:p>
    <w:p w14:paraId="2E5F29B0">
      <w:pPr>
        <w:keepNext w:val="0"/>
        <w:keepLines w:val="0"/>
        <w:pageBreakBefore w:val="0"/>
        <w:kinsoku/>
        <w:overflowPunct/>
        <w:topLinePunct w:val="0"/>
        <w:autoSpaceDE w:val="0"/>
        <w:autoSpaceDN w:val="0"/>
        <w:bidi w:val="0"/>
        <w:adjustRightInd w:val="0"/>
        <w:snapToGrid w:val="0"/>
        <w:spacing w:line="360" w:lineRule="auto"/>
        <w:rPr>
          <w:sz w:val="21"/>
          <w:szCs w:val="21"/>
        </w:rPr>
        <w:sectPr>
          <w:footerReference r:id="rId12" w:type="default"/>
          <w:headerReference r:id="rId11" w:type="even"/>
          <w:footerReference r:id="rId13" w:type="even"/>
          <w:pgSz w:w="11910" w:h="16840"/>
          <w:pgMar w:top="1417" w:right="1134" w:bottom="1134" w:left="1417" w:header="1417" w:footer="1134" w:gutter="0"/>
          <w:pgNumType w:fmt="upperRoman"/>
          <w:cols w:space="0" w:num="1"/>
          <w:rtlGutter w:val="0"/>
          <w:docGrid w:linePitch="0" w:charSpace="0"/>
        </w:sectPr>
      </w:pPr>
    </w:p>
    <w:p w14:paraId="73276D53">
      <w:pPr>
        <w:keepNext w:val="0"/>
        <w:keepLines w:val="0"/>
        <w:pageBreakBefore w:val="0"/>
        <w:widowControl w:val="0"/>
        <w:kinsoku/>
        <w:overflowPunct/>
        <w:topLinePunct w:val="0"/>
        <w:autoSpaceDE w:val="0"/>
        <w:autoSpaceDN w:val="0"/>
        <w:bidi w:val="0"/>
        <w:adjustRightInd w:val="0"/>
        <w:snapToGrid w:val="0"/>
        <w:spacing w:before="850" w:after="680"/>
        <w:jc w:val="center"/>
        <w:outlineLvl w:val="0"/>
        <w:rPr>
          <w:rFonts w:ascii="黑体" w:hAnsi="黑体" w:eastAsia="黑体" w:cs="黑体"/>
          <w:sz w:val="32"/>
          <w:szCs w:val="32"/>
          <w:lang w:val="fr-FR" w:eastAsia="zh-CN" w:bidi="ar-SA"/>
        </w:rPr>
      </w:pPr>
      <w:bookmarkStart w:id="6" w:name="_Toc22402"/>
      <w:r>
        <w:rPr>
          <w:rFonts w:hint="eastAsia" w:ascii="黑体" w:hAnsi="黑体" w:eastAsia="黑体" w:cs="黑体"/>
          <w:sz w:val="32"/>
          <w:szCs w:val="32"/>
          <w:lang w:val="en-US" w:eastAsia="zh-CN" w:bidi="ar-SA"/>
        </w:rPr>
        <w:t xml:space="preserve">引  </w:t>
      </w:r>
      <w:r>
        <w:rPr>
          <w:rFonts w:ascii="黑体" w:hAnsi="黑体" w:eastAsia="黑体" w:cs="黑体"/>
          <w:sz w:val="32"/>
          <w:szCs w:val="32"/>
          <w:lang w:val="fr-FR" w:eastAsia="zh-CN" w:bidi="ar-SA"/>
        </w:rPr>
        <w:t>言</w:t>
      </w:r>
      <w:bookmarkEnd w:id="6"/>
    </w:p>
    <w:p w14:paraId="373A1258">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sz w:val="21"/>
          <w:szCs w:val="21"/>
          <w:lang w:val="en-US" w:eastAsia="zh-CN" w:bidi="ar-SA"/>
        </w:rPr>
      </w:pPr>
      <w:r>
        <w:rPr>
          <w:rFonts w:hint="eastAsia" w:ascii="宋体" w:hAnsi="宋体" w:eastAsia="宋体" w:cs="宋体"/>
          <w:sz w:val="21"/>
          <w:szCs w:val="21"/>
          <w:lang w:val="fr-FR" w:eastAsia="zh-CN" w:bidi="ar-SA"/>
        </w:rPr>
        <w:t>为贯彻《中华人民共和国环境保护法》、《中华人民共和国土壤污染防治法》、《</w:t>
      </w:r>
      <w:r>
        <w:rPr>
          <w:rFonts w:hint="eastAsia" w:ascii="宋体" w:hAnsi="宋体" w:eastAsia="宋体" w:cs="宋体"/>
          <w:sz w:val="21"/>
          <w:szCs w:val="21"/>
          <w:lang w:val="en-US" w:eastAsia="zh-CN" w:bidi="ar-SA"/>
        </w:rPr>
        <w:t>湖北省土壤污染防治条例</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防范建设用地土壤污染风险，</w:t>
      </w:r>
      <w:r>
        <w:rPr>
          <w:rFonts w:hint="eastAsia" w:ascii="宋体" w:hAnsi="宋体" w:eastAsia="宋体" w:cs="宋体"/>
          <w:sz w:val="21"/>
          <w:szCs w:val="21"/>
          <w:lang w:val="fr-FR" w:eastAsia="zh-CN" w:bidi="ar-SA"/>
        </w:rPr>
        <w:t>保障人居环境安全，</w:t>
      </w:r>
      <w:r>
        <w:rPr>
          <w:rFonts w:hint="eastAsia" w:ascii="宋体" w:hAnsi="宋体" w:eastAsia="宋体" w:cs="宋体"/>
          <w:sz w:val="21"/>
          <w:szCs w:val="21"/>
          <w:lang w:val="en-US" w:eastAsia="zh-CN" w:bidi="ar-SA"/>
        </w:rPr>
        <w:t>规范湖北省建设用地土壤污染状况调查工作，制定本文件。</w:t>
      </w:r>
    </w:p>
    <w:p w14:paraId="5D5EF1E1">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DB42/T </w:t>
      </w:r>
      <w:r>
        <w:rPr>
          <w:rFonts w:hint="eastAsia" w:ascii="宋体" w:hAnsi="宋体" w:eastAsia="宋体" w:cs="宋体"/>
          <w:sz w:val="21"/>
          <w:szCs w:val="21"/>
          <w:lang w:val="fr-FR" w:eastAsia="zh-CN" w:bidi="ar-SA"/>
        </w:rPr>
        <w:t>XXXX</w:t>
      </w:r>
      <w:r>
        <w:rPr>
          <w:rFonts w:hint="eastAsia" w:ascii="宋体" w:hAnsi="宋体" w:eastAsia="宋体" w:cs="宋体"/>
          <w:sz w:val="21"/>
          <w:szCs w:val="21"/>
          <w:lang w:val="en-US" w:eastAsia="zh-CN" w:bidi="ar-SA"/>
        </w:rPr>
        <w:t>计划编制若干部分，均围绕建设用地土壤污染风险管控和修复工作的不同方面。</w:t>
      </w:r>
      <w:r>
        <w:rPr>
          <w:rFonts w:hint="eastAsia" w:ascii="宋体" w:hAnsi="宋体" w:eastAsia="宋体" w:cs="宋体"/>
          <w:sz w:val="21"/>
          <w:szCs w:val="21"/>
          <w:lang w:val="fr-FR" w:eastAsia="zh-CN" w:bidi="ar-SA"/>
        </w:rPr>
        <w:t>本文件为DB42/T XXXX的</w:t>
      </w:r>
      <w:r>
        <w:rPr>
          <w:rFonts w:hint="eastAsia" w:ascii="宋体" w:hAnsi="宋体" w:eastAsia="宋体" w:cs="宋体"/>
          <w:sz w:val="21"/>
          <w:szCs w:val="21"/>
          <w:lang w:val="en-US" w:eastAsia="zh-CN" w:bidi="ar-SA"/>
        </w:rPr>
        <w:t>组成部分</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用于规范湖北省建设用地土壤污染状况调查工作。</w:t>
      </w:r>
    </w:p>
    <w:p w14:paraId="3854B145">
      <w:pPr>
        <w:keepNext w:val="0"/>
        <w:keepLines w:val="0"/>
        <w:pageBreakBefore w:val="0"/>
        <w:widowControl w:val="0"/>
        <w:kinsoku/>
        <w:overflowPunct/>
        <w:topLinePunct w:val="0"/>
        <w:autoSpaceDE w:val="0"/>
        <w:autoSpaceDN w:val="0"/>
        <w:bidi w:val="0"/>
        <w:adjustRightInd w:val="0"/>
        <w:snapToGrid w:val="0"/>
        <w:spacing w:line="360" w:lineRule="auto"/>
        <w:jc w:val="both"/>
        <w:rPr>
          <w:rFonts w:hint="default" w:ascii="宋体" w:hAnsi="宋体" w:eastAsia="宋体" w:cs="宋体"/>
          <w:sz w:val="21"/>
          <w:szCs w:val="21"/>
          <w:lang w:val="en-US" w:eastAsia="zh-CN" w:bidi="ar-SA"/>
        </w:rPr>
      </w:pPr>
    </w:p>
    <w:p w14:paraId="33DB5A8B">
      <w:pPr>
        <w:keepNext w:val="0"/>
        <w:keepLines w:val="0"/>
        <w:pageBreakBefore w:val="0"/>
        <w:kinsoku/>
        <w:overflowPunct/>
        <w:topLinePunct w:val="0"/>
        <w:autoSpaceDE w:val="0"/>
        <w:autoSpaceDN w:val="0"/>
        <w:bidi w:val="0"/>
        <w:adjustRightInd w:val="0"/>
        <w:snapToGrid w:val="0"/>
        <w:spacing w:line="360" w:lineRule="auto"/>
        <w:jc w:val="both"/>
        <w:rPr>
          <w:rFonts w:hint="eastAsia"/>
          <w:lang w:eastAsia="zh-CN"/>
        </w:rPr>
        <w:sectPr>
          <w:footerReference r:id="rId14" w:type="default"/>
          <w:footerReference r:id="rId15" w:type="even"/>
          <w:pgSz w:w="11910" w:h="16840"/>
          <w:pgMar w:top="1417" w:right="1134" w:bottom="1134" w:left="1417" w:header="1417" w:footer="1134" w:gutter="0"/>
          <w:pgNumType w:fmt="upperRoman"/>
          <w:cols w:space="0" w:num="1"/>
          <w:rtlGutter w:val="0"/>
          <w:docGrid w:linePitch="0" w:charSpace="0"/>
        </w:sectPr>
      </w:pPr>
    </w:p>
    <w:p w14:paraId="5F5DA55D">
      <w:pPr>
        <w:keepNext w:val="0"/>
        <w:keepLines w:val="0"/>
        <w:pageBreakBefore w:val="0"/>
        <w:widowControl w:val="0"/>
        <w:tabs>
          <w:tab w:val="left" w:pos="4682"/>
        </w:tabs>
        <w:kinsoku/>
        <w:wordWrap/>
        <w:overflowPunct/>
        <w:topLinePunct w:val="0"/>
        <w:autoSpaceDE w:val="0"/>
        <w:autoSpaceDN w:val="0"/>
        <w:bidi w:val="0"/>
        <w:adjustRightInd w:val="0"/>
        <w:snapToGrid w:val="0"/>
        <w:spacing w:before="850" w:after="680" w:line="240" w:lineRule="auto"/>
        <w:jc w:val="center"/>
        <w:textAlignment w:val="auto"/>
        <w:rPr>
          <w:rFonts w:ascii="黑体" w:hAnsi="黑体" w:eastAsia="黑体" w:cs="黑体"/>
          <w:kern w:val="0"/>
          <w:sz w:val="32"/>
          <w:szCs w:val="32"/>
          <w:lang w:val="fr-FR" w:eastAsia="zh-CN"/>
        </w:rPr>
      </w:pPr>
      <w:r>
        <w:rPr>
          <w:rFonts w:hint="eastAsia" w:ascii="黑体" w:hAnsi="黑体" w:eastAsia="黑体" w:cs="黑体"/>
          <w:kern w:val="0"/>
          <w:sz w:val="32"/>
          <w:szCs w:val="32"/>
          <w:lang w:val="fr-FR" w:eastAsia="zh-CN"/>
        </w:rPr>
        <w:t>建设用地土壤污染风险管控和修复</w:t>
      </w:r>
      <w:r>
        <w:rPr>
          <w:rFonts w:hint="eastAsia" w:ascii="黑体" w:hAnsi="黑体" w:eastAsia="黑体" w:cs="黑体"/>
          <w:kern w:val="0"/>
          <w:sz w:val="32"/>
          <w:szCs w:val="32"/>
          <w:lang w:val="fr-FR" w:eastAsia="zh-CN"/>
        </w:rPr>
        <w:br w:type="textWrapping"/>
      </w:r>
      <w:r>
        <w:rPr>
          <w:rFonts w:hint="eastAsia" w:ascii="黑体" w:hAnsi="黑体" w:eastAsia="黑体" w:cs="黑体"/>
          <w:kern w:val="0"/>
          <w:sz w:val="32"/>
          <w:szCs w:val="32"/>
          <w:lang w:val="fr-FR" w:eastAsia="zh-CN"/>
        </w:rPr>
        <w:t>第1部分：土壤污染状况调查技术规范</w:t>
      </w:r>
    </w:p>
    <w:p w14:paraId="41BE48F6">
      <w:pPr>
        <w:keepNext w:val="0"/>
        <w:keepLines w:val="0"/>
        <w:pageBreakBefore w:val="0"/>
        <w:widowControl w:val="0"/>
        <w:numPr>
          <w:ilvl w:val="0"/>
          <w:numId w:val="1"/>
        </w:numPr>
        <w:kinsoku/>
        <w:wordWrap/>
        <w:overflowPunct/>
        <w:topLinePunct w:val="0"/>
        <w:autoSpaceDE w:val="0"/>
        <w:autoSpaceDN w:val="0"/>
        <w:bidi w:val="0"/>
        <w:adjustRightInd w:val="0"/>
        <w:snapToGrid w:val="0"/>
        <w:spacing w:after="0" w:afterLines="50" w:line="360" w:lineRule="auto"/>
        <w:ind w:left="0" w:leftChars="0" w:firstLine="0" w:firstLineChars="0"/>
        <w:jc w:val="both"/>
        <w:textAlignment w:val="auto"/>
        <w:outlineLvl w:val="1"/>
        <w:rPr>
          <w:rFonts w:hint="eastAsia" w:ascii="黑体" w:hAnsi="宋体" w:eastAsia="黑体" w:cs="宋体"/>
          <w:sz w:val="21"/>
          <w:szCs w:val="21"/>
          <w:lang w:val="fr-FR" w:eastAsia="en-US" w:bidi="ar-SA"/>
        </w:rPr>
      </w:pPr>
      <w:bookmarkStart w:id="7" w:name="_bookmark2"/>
      <w:bookmarkEnd w:id="7"/>
      <w:bookmarkStart w:id="8" w:name="_Toc8275"/>
      <w:r>
        <w:rPr>
          <w:rFonts w:hint="eastAsia" w:ascii="黑体" w:hAnsi="宋体" w:eastAsia="黑体" w:cs="宋体"/>
          <w:sz w:val="21"/>
          <w:szCs w:val="21"/>
          <w:lang w:val="fr-FR" w:eastAsia="en-US" w:bidi="ar-SA"/>
        </w:rPr>
        <w:t>范围</w:t>
      </w:r>
      <w:bookmarkEnd w:id="8"/>
    </w:p>
    <w:p w14:paraId="740EEAF8">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本</w:t>
      </w:r>
      <w:r>
        <w:rPr>
          <w:rFonts w:hint="eastAsia" w:ascii="宋体" w:hAnsi="宋体" w:eastAsia="宋体" w:cs="宋体"/>
          <w:sz w:val="21"/>
          <w:szCs w:val="21"/>
          <w:lang w:val="en-US" w:eastAsia="zh-CN" w:bidi="ar-SA"/>
        </w:rPr>
        <w:t>文件</w:t>
      </w:r>
      <w:r>
        <w:rPr>
          <w:rFonts w:ascii="宋体" w:hAnsi="宋体" w:eastAsia="宋体" w:cs="宋体"/>
          <w:sz w:val="21"/>
          <w:szCs w:val="21"/>
          <w:lang w:val="fr-FR" w:eastAsia="zh-CN" w:bidi="ar-SA"/>
        </w:rPr>
        <w:t>规定了建设用地土壤污染状况调查的</w:t>
      </w:r>
      <w:r>
        <w:rPr>
          <w:rFonts w:hint="eastAsia" w:ascii="宋体" w:hAnsi="宋体" w:eastAsia="宋体" w:cs="宋体"/>
          <w:sz w:val="21"/>
          <w:szCs w:val="21"/>
          <w:lang w:val="en-US" w:eastAsia="zh-CN" w:bidi="ar-SA"/>
        </w:rPr>
        <w:t>范围</w:t>
      </w:r>
      <w:r>
        <w:rPr>
          <w:rFonts w:hint="eastAsia" w:ascii="宋体" w:hAnsi="宋体" w:eastAsia="宋体" w:cs="宋体"/>
          <w:sz w:val="21"/>
          <w:szCs w:val="21"/>
          <w:lang w:val="fr-FR" w:eastAsia="zh-CN" w:bidi="ar-SA"/>
        </w:rPr>
        <w:t>、</w:t>
      </w:r>
      <w:r>
        <w:rPr>
          <w:rFonts w:ascii="宋体" w:hAnsi="宋体" w:eastAsia="宋体" w:cs="宋体"/>
          <w:sz w:val="21"/>
          <w:szCs w:val="21"/>
          <w:lang w:val="fr-FR" w:eastAsia="zh-CN" w:bidi="ar-SA"/>
        </w:rPr>
        <w:t>工作程序</w:t>
      </w:r>
      <w:r>
        <w:rPr>
          <w:rFonts w:hint="eastAsia" w:ascii="宋体" w:hAnsi="宋体" w:eastAsia="宋体" w:cs="宋体"/>
          <w:sz w:val="21"/>
          <w:szCs w:val="21"/>
          <w:lang w:val="en-US" w:eastAsia="zh-CN" w:bidi="ar-SA"/>
        </w:rPr>
        <w:t>和技术要求</w:t>
      </w:r>
      <w:r>
        <w:rPr>
          <w:rFonts w:ascii="宋体" w:hAnsi="宋体" w:eastAsia="宋体" w:cs="宋体"/>
          <w:sz w:val="21"/>
          <w:szCs w:val="21"/>
          <w:lang w:val="fr-FR" w:eastAsia="zh-CN" w:bidi="ar-SA"/>
        </w:rPr>
        <w:t>。</w:t>
      </w:r>
    </w:p>
    <w:p w14:paraId="68EF92D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本文件适用于开展湖北省建设用地及用途变更为住宅、公共管理与公共服务用地的地块</w:t>
      </w:r>
      <w:r>
        <w:rPr>
          <w:rFonts w:hint="eastAsia" w:ascii="宋体" w:hAnsi="宋体" w:eastAsia="宋体" w:cs="宋体"/>
          <w:sz w:val="21"/>
          <w:szCs w:val="21"/>
          <w:lang w:val="en-US" w:eastAsia="zh-CN" w:bidi="ar-SA"/>
        </w:rPr>
        <w:t>的</w:t>
      </w:r>
      <w:r>
        <w:rPr>
          <w:rFonts w:hint="eastAsia" w:ascii="宋体" w:hAnsi="宋体" w:eastAsia="宋体" w:cs="宋体"/>
          <w:sz w:val="21"/>
          <w:szCs w:val="21"/>
          <w:lang w:val="fr-FR" w:eastAsia="zh-CN" w:bidi="ar-SA"/>
        </w:rPr>
        <w:t>土壤污染状况调查</w:t>
      </w:r>
      <w:r>
        <w:rPr>
          <w:rFonts w:ascii="宋体" w:hAnsi="宋体" w:eastAsia="宋体" w:cs="宋体"/>
          <w:sz w:val="21"/>
          <w:szCs w:val="21"/>
          <w:lang w:val="fr-FR" w:eastAsia="zh-CN" w:bidi="ar-SA"/>
        </w:rPr>
        <w:t>。其他情形的建设用地土壤污染状况调查可参照执行。</w:t>
      </w:r>
    </w:p>
    <w:p w14:paraId="07924772">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本</w:t>
      </w:r>
      <w:r>
        <w:rPr>
          <w:rFonts w:hint="eastAsia" w:ascii="宋体" w:hAnsi="宋体" w:eastAsia="宋体" w:cs="宋体"/>
          <w:sz w:val="21"/>
          <w:szCs w:val="21"/>
          <w:lang w:val="en-US" w:eastAsia="zh-CN" w:bidi="ar-SA"/>
        </w:rPr>
        <w:t>文件</w:t>
      </w:r>
      <w:r>
        <w:rPr>
          <w:rFonts w:ascii="宋体" w:hAnsi="宋体" w:eastAsia="宋体" w:cs="宋体"/>
          <w:sz w:val="21"/>
          <w:szCs w:val="21"/>
          <w:lang w:val="fr-FR" w:eastAsia="zh-CN" w:bidi="ar-SA"/>
        </w:rPr>
        <w:t>不适用于含放射性污染和致病性生物污染的建设用地土壤污染状况调查。</w:t>
      </w:r>
    </w:p>
    <w:p w14:paraId="0C39DD68">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1"/>
        <w:rPr>
          <w:rFonts w:hint="eastAsia" w:ascii="黑体" w:hAnsi="宋体" w:eastAsia="黑体" w:cs="宋体"/>
          <w:sz w:val="21"/>
          <w:szCs w:val="21"/>
          <w:lang w:val="fr-FR" w:eastAsia="en-US" w:bidi="ar-SA"/>
        </w:rPr>
      </w:pPr>
      <w:bookmarkStart w:id="9" w:name="_bookmark3"/>
      <w:bookmarkEnd w:id="9"/>
      <w:bookmarkStart w:id="10" w:name="_Toc3202"/>
      <w:r>
        <w:rPr>
          <w:rFonts w:hint="eastAsia" w:ascii="黑体" w:hAnsi="宋体" w:eastAsia="黑体" w:cs="宋体"/>
          <w:sz w:val="21"/>
          <w:szCs w:val="21"/>
          <w:lang w:val="fr-FR" w:eastAsia="en-US" w:bidi="ar-SA"/>
        </w:rPr>
        <w:t>规范性引用文件</w:t>
      </w:r>
      <w:bookmarkEnd w:id="10"/>
    </w:p>
    <w:p w14:paraId="4F1385D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0FF0855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 5085  危险废物鉴别标准</w:t>
      </w:r>
    </w:p>
    <w:p w14:paraId="3DF8828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 5749  生活饮用水卫生标准</w:t>
      </w:r>
    </w:p>
    <w:p w14:paraId="7AF3A82F">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GB/T 14848  地下水质量标准</w:t>
      </w:r>
    </w:p>
    <w:p w14:paraId="6F6AB20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 36600  土壤环境质量 建设用地土壤污染风险管控标准（试行）</w:t>
      </w:r>
    </w:p>
    <w:p w14:paraId="1F2DA72B">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25.1  建设用地土壤污染状况调查技术导则</w:t>
      </w:r>
    </w:p>
    <w:p w14:paraId="2019C72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25.2  建设用地土壤污染风险管控和修复监测技术导则</w:t>
      </w:r>
    </w:p>
    <w:p w14:paraId="37DAE104">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25.3  建设用地土壤污染风险评估技术导则</w:t>
      </w:r>
    </w:p>
    <w:p w14:paraId="4229ADF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164  地下水环境监测技术规范</w:t>
      </w:r>
    </w:p>
    <w:p w14:paraId="38FE42B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HJ/T 166  土壤环境监测技术规范</w:t>
      </w:r>
    </w:p>
    <w:p w14:paraId="04D8BDC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ascii="宋体" w:hAnsi="宋体" w:eastAsia="宋体" w:cs="宋体"/>
          <w:sz w:val="21"/>
          <w:szCs w:val="21"/>
          <w:lang w:val="en-US" w:eastAsia="zh-CN" w:bidi="ar-SA"/>
        </w:rPr>
        <w:t>HJ</w:t>
      </w:r>
      <w:r>
        <w:rPr>
          <w:rFonts w:hint="eastAsia" w:ascii="宋体" w:hAnsi="宋体" w:eastAsia="宋体" w:cs="宋体"/>
          <w:sz w:val="21"/>
          <w:szCs w:val="21"/>
          <w:lang w:val="en-US" w:eastAsia="zh-CN" w:bidi="ar-SA"/>
        </w:rPr>
        <w:t xml:space="preserve"> </w:t>
      </w:r>
      <w:r>
        <w:rPr>
          <w:rFonts w:ascii="宋体" w:hAnsi="宋体" w:eastAsia="宋体" w:cs="宋体"/>
          <w:sz w:val="21"/>
          <w:szCs w:val="21"/>
          <w:lang w:val="en-US" w:eastAsia="zh-CN" w:bidi="ar-SA"/>
        </w:rPr>
        <w:t>298</w:t>
      </w:r>
      <w:r>
        <w:rPr>
          <w:rFonts w:hint="eastAsia" w:ascii="宋体" w:hAnsi="宋体" w:eastAsia="宋体" w:cs="宋体"/>
          <w:sz w:val="21"/>
          <w:szCs w:val="21"/>
          <w:lang w:val="en-US" w:eastAsia="zh-CN" w:bidi="ar-SA"/>
        </w:rPr>
        <w:t xml:space="preserve"> </w:t>
      </w:r>
      <w:r>
        <w:rPr>
          <w:rFonts w:ascii="宋体" w:hAnsi="宋体" w:eastAsia="宋体" w:cs="宋体"/>
          <w:sz w:val="21"/>
          <w:szCs w:val="21"/>
          <w:lang w:val="en-US" w:eastAsia="zh-CN" w:bidi="ar-SA"/>
        </w:rPr>
        <w:t xml:space="preserve"> 危险废物鉴别技术规范</w:t>
      </w:r>
    </w:p>
    <w:p w14:paraId="03F6A2EB">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682  建设用地土壤污染风险管控和修复术语</w:t>
      </w:r>
    </w:p>
    <w:p w14:paraId="2C3B85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1019  地块土壤和地下水中挥发性有机物采样技术导则</w:t>
      </w:r>
    </w:p>
    <w:p w14:paraId="24733C98">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1209  工业企业土壤和地下水自行监测技术指南（试行）</w:t>
      </w:r>
    </w:p>
    <w:p w14:paraId="1DB878EB">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《工矿用地土壤环境管理办法（试行）》（生态环境部部令2018年第3号）</w:t>
      </w:r>
    </w:p>
    <w:p w14:paraId="70552E4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《建设用地土壤污染状况调查质量控制技术规定（试行）》（生态环境部公告2022年第17号）</w:t>
      </w:r>
    </w:p>
    <w:p w14:paraId="6C599626">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1"/>
        <w:rPr>
          <w:rFonts w:ascii="黑体" w:hAnsi="宋体" w:eastAsia="黑体" w:cs="宋体"/>
          <w:sz w:val="21"/>
          <w:szCs w:val="21"/>
          <w:lang w:val="fr-FR" w:eastAsia="en-US" w:bidi="ar-SA"/>
        </w:rPr>
      </w:pPr>
      <w:r>
        <w:rPr>
          <w:rFonts w:hint="eastAsia" w:ascii="黑体" w:hAnsi="宋体" w:eastAsia="黑体" w:cs="宋体"/>
          <w:spacing w:val="-1"/>
          <w:sz w:val="21"/>
          <w:szCs w:val="21"/>
          <w:lang w:val="fr-FR" w:eastAsia="en-US" w:bidi="ar-SA"/>
        </w:rPr>
        <w:t>术语和</w:t>
      </w:r>
      <w:r>
        <w:rPr>
          <w:rFonts w:hint="eastAsia" w:ascii="黑体" w:hAnsi="宋体" w:eastAsia="黑体" w:cs="宋体"/>
          <w:sz w:val="21"/>
          <w:szCs w:val="21"/>
          <w:lang w:val="fr-FR" w:eastAsia="en-US" w:bidi="ar-SA"/>
        </w:rPr>
        <w:t>定义</w:t>
      </w:r>
    </w:p>
    <w:p w14:paraId="7F55A5D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ascii="宋体" w:hAnsi="宋体" w:eastAsia="宋体" w:cs="宋体"/>
          <w:sz w:val="21"/>
          <w:szCs w:val="21"/>
          <w:lang w:val="fr-FR" w:eastAsia="zh-CN" w:bidi="ar-SA"/>
        </w:rPr>
        <w:t>下列术语和定义适用于本</w:t>
      </w:r>
      <w:r>
        <w:rPr>
          <w:rFonts w:hint="eastAsia" w:ascii="宋体" w:hAnsi="宋体" w:eastAsia="宋体" w:cs="宋体"/>
          <w:sz w:val="21"/>
          <w:szCs w:val="21"/>
          <w:lang w:val="en-US" w:eastAsia="zh-CN" w:bidi="ar-SA"/>
        </w:rPr>
        <w:t>文件</w:t>
      </w:r>
      <w:r>
        <w:rPr>
          <w:rFonts w:ascii="宋体" w:hAnsi="宋体" w:eastAsia="宋体" w:cs="宋体"/>
          <w:sz w:val="21"/>
          <w:szCs w:val="21"/>
          <w:lang w:val="fr-FR" w:eastAsia="zh-CN" w:bidi="ar-SA"/>
        </w:rPr>
        <w:t>。</w:t>
      </w:r>
    </w:p>
    <w:p w14:paraId="0E722A11">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lang w:val="en-US" w:eastAsia="zh-CN"/>
        </w:rPr>
        <w:sectPr>
          <w:footerReference r:id="rId17" w:type="default"/>
          <w:headerReference r:id="rId16" w:type="even"/>
          <w:footerReference r:id="rId18" w:type="even"/>
          <w:pgSz w:w="11910" w:h="16840"/>
          <w:pgMar w:top="1417" w:right="1134" w:bottom="1134" w:left="1417" w:header="1417" w:footer="1134" w:gutter="0"/>
          <w:pgNumType w:fmt="decimal" w:start="1"/>
          <w:cols w:space="0" w:num="1"/>
          <w:rtlGutter w:val="0"/>
          <w:docGrid w:linePitch="0" w:charSpace="0"/>
        </w:sectPr>
      </w:pPr>
    </w:p>
    <w:p w14:paraId="3299C7B6">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240" w:lineRule="auto"/>
        <w:jc w:val="both"/>
        <w:textAlignment w:val="auto"/>
        <w:rPr>
          <w:rFonts w:ascii="黑体" w:hAnsi="宋体" w:eastAsia="宋体" w:cs="宋体"/>
          <w:sz w:val="21"/>
          <w:szCs w:val="21"/>
          <w:lang w:val="fr-FR" w:eastAsia="zh-CN" w:bidi="ar-SA"/>
        </w:rPr>
      </w:pPr>
      <w:bookmarkStart w:id="11" w:name="_bookmark4"/>
      <w:bookmarkEnd w:id="11"/>
      <w:bookmarkStart w:id="12" w:name="_Toc21055"/>
    </w:p>
    <w:bookmarkEnd w:id="12"/>
    <w:p w14:paraId="022CBB46">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黑体" w:hAnsi="宋体" w:eastAsia="宋体" w:cs="宋体"/>
          <w:sz w:val="21"/>
          <w:szCs w:val="21"/>
          <w:lang w:val="fr-FR" w:eastAsia="zh-CN" w:bidi="ar-SA"/>
        </w:rPr>
      </w:pPr>
    </w:p>
    <w:p w14:paraId="0620FBC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黑体" w:hAnsi="黑体" w:eastAsia="黑体" w:cs="黑体"/>
          <w:sz w:val="21"/>
          <w:szCs w:val="21"/>
          <w:lang w:val="en-US" w:eastAsia="zh-CN" w:bidi="ar-SA"/>
        </w:rPr>
      </w:pPr>
      <w:r>
        <w:rPr>
          <w:rFonts w:hint="eastAsia" w:ascii="黑体" w:hAnsi="黑体" w:eastAsia="黑体" w:cs="黑体"/>
          <w:sz w:val="21"/>
          <w:szCs w:val="21"/>
          <w:lang w:val="en-US" w:eastAsia="zh-CN" w:bidi="ar-SA"/>
        </w:rPr>
        <w:t>风险筛选值 risk screening values</w:t>
      </w:r>
    </w:p>
    <w:p w14:paraId="0A1BD38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在特定土地利用方式下，建设用地土壤或地下水中污染物含量等于或者低于该值的，对人体健康的风险可以忽略；超过该值的，对人体健康可能存在风险，应当开展进一步的详细调查和风险评估，确定具体污染范围和风险水平。</w:t>
      </w:r>
    </w:p>
    <w:p w14:paraId="42B5A661">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[来源：HJ 682—2019，2.4.23，有修改]</w:t>
      </w:r>
    </w:p>
    <w:p w14:paraId="025070E2">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黑体" w:hAnsi="宋体" w:eastAsia="宋体" w:cs="宋体"/>
          <w:sz w:val="21"/>
          <w:szCs w:val="21"/>
          <w:lang w:val="fr-FR" w:eastAsia="zh-CN" w:bidi="ar-SA"/>
        </w:rPr>
      </w:pPr>
    </w:p>
    <w:p w14:paraId="04F24778">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黑体" w:hAnsi="黑体" w:eastAsia="黑体" w:cs="黑体"/>
          <w:sz w:val="21"/>
          <w:szCs w:val="21"/>
          <w:lang w:val="en-US" w:eastAsia="zh-CN" w:bidi="ar-SA"/>
        </w:rPr>
      </w:pPr>
      <w:r>
        <w:rPr>
          <w:rFonts w:hint="eastAsia" w:ascii="黑体" w:hAnsi="黑体" w:eastAsia="黑体" w:cs="黑体"/>
          <w:sz w:val="21"/>
          <w:szCs w:val="21"/>
          <w:lang w:val="en-US" w:eastAsia="zh-CN" w:bidi="ar-SA"/>
        </w:rPr>
        <w:t>关注污染物 contaminant of concern</w:t>
      </w:r>
    </w:p>
    <w:p w14:paraId="24E72D0F">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根据地块污染特征、相关标准规范要求和地块利益相关方意见，确定需要</w:t>
      </w:r>
      <w:r>
        <w:rPr>
          <w:rFonts w:hint="eastAsia" w:ascii="宋体" w:hAnsi="宋体" w:eastAsia="宋体" w:cs="宋体"/>
          <w:sz w:val="21"/>
          <w:szCs w:val="21"/>
          <w:lang w:val="en-US" w:eastAsia="zh-CN" w:bidi="ar-SA"/>
        </w:rPr>
        <w:t>在</w:t>
      </w:r>
      <w:r>
        <w:rPr>
          <w:rFonts w:ascii="宋体" w:hAnsi="宋体" w:eastAsia="宋体" w:cs="宋体"/>
          <w:sz w:val="21"/>
          <w:szCs w:val="21"/>
          <w:lang w:val="fr-FR" w:eastAsia="en-US" w:bidi="ar-SA"/>
        </w:rPr>
        <w:t>土壤污染状况调查</w:t>
      </w:r>
      <w:r>
        <w:rPr>
          <w:rFonts w:hint="eastAsia" w:ascii="宋体" w:hAnsi="宋体" w:eastAsia="宋体" w:cs="宋体"/>
          <w:sz w:val="21"/>
          <w:szCs w:val="21"/>
          <w:lang w:val="en-US" w:eastAsia="zh-CN" w:bidi="ar-SA"/>
        </w:rPr>
        <w:t>过程中进行检测的</w:t>
      </w:r>
      <w:r>
        <w:rPr>
          <w:rFonts w:ascii="宋体" w:hAnsi="宋体" w:eastAsia="宋体" w:cs="宋体"/>
          <w:sz w:val="21"/>
          <w:szCs w:val="21"/>
          <w:lang w:val="fr-FR" w:eastAsia="en-US" w:bidi="ar-SA"/>
        </w:rPr>
        <w:t>污染物。</w:t>
      </w:r>
    </w:p>
    <w:p w14:paraId="4160A54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[来源：HJ 682—2019，2.2.1，有修改]</w:t>
      </w:r>
    </w:p>
    <w:p w14:paraId="4BC50463">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黑体" w:hAnsi="宋体" w:eastAsia="宋体" w:cs="宋体"/>
          <w:sz w:val="21"/>
          <w:szCs w:val="21"/>
          <w:lang w:val="fr-FR" w:eastAsia="zh-CN" w:bidi="ar-SA"/>
        </w:rPr>
      </w:pPr>
    </w:p>
    <w:p w14:paraId="4DC3F7DA">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黑体" w:hAnsi="黑体" w:eastAsia="黑体" w:cs="黑体"/>
          <w:sz w:val="21"/>
          <w:szCs w:val="21"/>
          <w:lang w:val="en-US" w:eastAsia="zh-CN" w:bidi="ar-SA"/>
        </w:rPr>
      </w:pPr>
      <w:r>
        <w:rPr>
          <w:rFonts w:hint="eastAsia" w:ascii="黑体" w:hAnsi="黑体" w:eastAsia="黑体" w:cs="黑体"/>
          <w:sz w:val="21"/>
          <w:szCs w:val="21"/>
          <w:lang w:val="en-US" w:eastAsia="zh-CN" w:bidi="ar-SA"/>
        </w:rPr>
        <w:t>土壤环境背景值 environmental background values of soil</w:t>
      </w:r>
    </w:p>
    <w:p w14:paraId="7770F19D">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基于土壤环境背景含量的统计值。通常以土壤环境背景含量的某一分位值表示。其中土壤环境背景含量是指在一定时间条件下，仅受地球化学过程和非点源输入影响的土壤中元素或化合物的含量。</w:t>
      </w:r>
    </w:p>
    <w:p w14:paraId="6AB3285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bookmarkStart w:id="13" w:name="_bookmark5"/>
      <w:bookmarkEnd w:id="13"/>
      <w:r>
        <w:rPr>
          <w:rFonts w:hint="eastAsia" w:ascii="宋体" w:hAnsi="宋体" w:eastAsia="宋体" w:cs="宋体"/>
          <w:sz w:val="21"/>
          <w:szCs w:val="21"/>
          <w:lang w:val="en-US" w:eastAsia="zh-CN" w:bidi="ar-SA"/>
        </w:rPr>
        <w:t>[来源：HJ 682—2019，2.4.30]</w:t>
      </w:r>
    </w:p>
    <w:p w14:paraId="47ED59EB">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黑体" w:hAnsi="宋体" w:eastAsia="宋体" w:cs="宋体"/>
          <w:sz w:val="21"/>
          <w:szCs w:val="21"/>
          <w:lang w:val="en-US" w:eastAsia="zh-CN" w:bidi="ar-SA"/>
        </w:rPr>
      </w:pPr>
    </w:p>
    <w:p w14:paraId="7EBFFD6A">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default" w:ascii="黑体" w:hAnsi="黑体" w:eastAsia="黑体" w:cs="黑体"/>
          <w:sz w:val="21"/>
          <w:szCs w:val="21"/>
          <w:lang w:val="en-US" w:eastAsia="zh-CN" w:bidi="ar-SA"/>
        </w:rPr>
      </w:pPr>
      <w:r>
        <w:rPr>
          <w:rFonts w:hint="eastAsia" w:ascii="黑体" w:hAnsi="黑体" w:eastAsia="黑体" w:cs="黑体"/>
          <w:sz w:val="21"/>
          <w:szCs w:val="21"/>
          <w:lang w:val="en-US" w:eastAsia="zh-CN" w:bidi="ar-SA"/>
        </w:rPr>
        <w:t>有毒有害物质 poisonous and deleterious substances</w:t>
      </w:r>
    </w:p>
    <w:p w14:paraId="1699BC3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《工矿用地土壤环境管理办法（试行）》第二十条（二）中所述物质，以及其他对人体健康和生态环境造成危害的化学物质。</w:t>
      </w:r>
    </w:p>
    <w:p w14:paraId="35F30614">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1"/>
        <w:rPr>
          <w:rFonts w:ascii="黑体" w:hAnsi="宋体" w:eastAsia="黑体" w:cs="宋体"/>
          <w:sz w:val="21"/>
          <w:szCs w:val="21"/>
          <w:lang w:val="fr-FR" w:eastAsia="en-US" w:bidi="ar-SA"/>
        </w:rPr>
      </w:pPr>
      <w:bookmarkStart w:id="14" w:name="_Toc1946"/>
      <w:r>
        <w:rPr>
          <w:rFonts w:hint="eastAsia" w:ascii="黑体" w:hAnsi="宋体" w:eastAsia="黑体" w:cs="宋体"/>
          <w:sz w:val="21"/>
          <w:szCs w:val="21"/>
          <w:lang w:val="en-US" w:eastAsia="zh-CN" w:bidi="ar-SA"/>
        </w:rPr>
        <w:t>工作</w:t>
      </w:r>
      <w:r>
        <w:rPr>
          <w:rFonts w:hint="eastAsia" w:ascii="黑体" w:hAnsi="宋体" w:eastAsia="黑体" w:cs="宋体"/>
          <w:sz w:val="21"/>
          <w:szCs w:val="21"/>
          <w:lang w:val="fr-FR" w:eastAsia="en-US" w:bidi="ar-SA"/>
        </w:rPr>
        <w:t>程序</w:t>
      </w:r>
      <w:bookmarkEnd w:id="14"/>
    </w:p>
    <w:p w14:paraId="207511E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bookmarkStart w:id="15" w:name="_bookmark6"/>
      <w:bookmarkEnd w:id="15"/>
      <w:bookmarkStart w:id="16" w:name="_bookmark7"/>
      <w:bookmarkEnd w:id="16"/>
      <w:r>
        <w:rPr>
          <w:rFonts w:ascii="宋体" w:hAnsi="宋体" w:eastAsia="宋体" w:cs="宋体"/>
          <w:sz w:val="21"/>
          <w:szCs w:val="21"/>
          <w:lang w:val="fr-FR" w:eastAsia="zh-CN" w:bidi="ar-SA"/>
        </w:rPr>
        <w:t>建设用地土壤环境污染状况调查可</w:t>
      </w:r>
      <w:r>
        <w:rPr>
          <w:rFonts w:hint="eastAsia" w:ascii="宋体" w:hAnsi="宋体" w:eastAsia="宋体" w:cs="宋体"/>
          <w:sz w:val="21"/>
          <w:szCs w:val="21"/>
          <w:lang w:val="en-US" w:eastAsia="zh-CN" w:bidi="ar-SA"/>
        </w:rPr>
        <w:t>分为</w:t>
      </w:r>
      <w:r>
        <w:rPr>
          <w:rFonts w:ascii="宋体" w:hAnsi="宋体" w:eastAsia="宋体" w:cs="宋体"/>
          <w:sz w:val="21"/>
          <w:szCs w:val="21"/>
          <w:lang w:val="fr-FR" w:eastAsia="zh-CN" w:bidi="ar-SA"/>
        </w:rPr>
        <w:t>三个阶段，调查的工作程序如图1所示。</w:t>
      </w:r>
    </w:p>
    <w:p w14:paraId="02E83301">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lang w:val="en-US" w:eastAsia="zh-CN"/>
        </w:rPr>
        <w:sectPr>
          <w:headerReference r:id="rId19" w:type="default"/>
          <w:headerReference r:id="rId20" w:type="even"/>
          <w:pgSz w:w="11910" w:h="16840"/>
          <w:pgMar w:top="1417" w:right="1417" w:bottom="1134" w:left="1134" w:header="1417" w:footer="1134" w:gutter="0"/>
          <w:pgNumType w:fmt="decimal"/>
          <w:cols w:space="0" w:num="1"/>
          <w:rtlGutter w:val="0"/>
          <w:docGrid w:linePitch="0" w:charSpace="0"/>
        </w:sectPr>
      </w:pPr>
    </w:p>
    <w:p w14:paraId="19BF23BF">
      <w:pPr>
        <w:keepNext w:val="0"/>
        <w:keepLines w:val="0"/>
        <w:pageBreakBefore w:val="0"/>
        <w:widowControl w:val="0"/>
        <w:tabs>
          <w:tab w:val="left" w:pos="525"/>
        </w:tabs>
        <w:kinsoku/>
        <w:wordWrap/>
        <w:overflowPunct/>
        <w:topLinePunct w:val="0"/>
        <w:autoSpaceDE w:val="0"/>
        <w:autoSpaceDN w:val="0"/>
        <w:bidi w:val="0"/>
        <w:adjustRightInd w:val="0"/>
        <w:snapToGrid w:val="0"/>
        <w:spacing w:line="240" w:lineRule="auto"/>
        <w:ind w:right="0"/>
        <w:jc w:val="both"/>
        <w:textAlignment w:val="auto"/>
        <w:rPr>
          <w:rFonts w:hint="eastAsia" w:ascii="宋体" w:hAnsi="宋体" w:eastAsia="宋体" w:cs="宋体"/>
          <w:sz w:val="21"/>
          <w:szCs w:val="21"/>
          <w:lang w:val="fr-FR" w:eastAsia="zh-CN" w:bidi="ar-SA"/>
        </w:rPr>
      </w:pPr>
    </w:p>
    <w:p w14:paraId="7F589D3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object>
          <v:shape id="_x0000_i1025" o:spt="75" type="#_x0000_t75" style="height:637.8pt;width:416.1pt;" o:ole="t" filled="f" o:preferrelative="t" stroked="f" coordsize="21600,21600">
            <v:path/>
            <v:fill on="f" focussize="0,0"/>
            <v:stroke on="f"/>
            <v:imagedata r:id="rId76" o:title=""/>
            <o:lock v:ext="edit" aspectratio="t"/>
            <w10:wrap type="none"/>
            <w10:anchorlock/>
          </v:shape>
          <o:OLEObject Type="Embed" ProgID="Visio.Drawing.15" ShapeID="_x0000_i1025" DrawAspect="Content" ObjectID="_1468075725" r:id="rId75">
            <o:LockedField>false</o:LockedField>
          </o:OLEObject>
        </w:object>
      </w:r>
    </w:p>
    <w:p w14:paraId="347AF1ED">
      <w:pPr>
        <w:keepNext w:val="0"/>
        <w:keepLines w:val="0"/>
        <w:pageBreakBefore w:val="0"/>
        <w:widowControl w:val="0"/>
        <w:tabs>
          <w:tab w:val="left" w:pos="525"/>
        </w:tabs>
        <w:kinsoku/>
        <w:wordWrap/>
        <w:overflowPunct/>
        <w:topLinePunct w:val="0"/>
        <w:autoSpaceDE w:val="0"/>
        <w:autoSpaceDN w:val="0"/>
        <w:bidi w:val="0"/>
        <w:adjustRightInd w:val="0"/>
        <w:snapToGrid w:val="0"/>
        <w:spacing w:before="72" w:line="360" w:lineRule="auto"/>
        <w:ind w:right="341"/>
        <w:jc w:val="center"/>
        <w:textAlignment w:val="auto"/>
        <w:rPr>
          <w:rFonts w:hint="eastAsia" w:ascii="黑体" w:eastAsia="黑体"/>
          <w:lang w:eastAsia="zh-CN"/>
        </w:rPr>
        <w:sectPr>
          <w:headerReference r:id="rId21" w:type="default"/>
          <w:headerReference r:id="rId22" w:type="even"/>
          <w:pgSz w:w="11910" w:h="16840"/>
          <w:pgMar w:top="1417" w:right="1134" w:bottom="1134" w:left="1417" w:header="1417" w:footer="1134" w:gutter="0"/>
          <w:pgNumType w:fmt="decimal"/>
          <w:cols w:space="0" w:num="1"/>
          <w:rtlGutter w:val="0"/>
          <w:docGrid w:linePitch="0" w:charSpace="0"/>
        </w:sectPr>
      </w:pPr>
      <w:r>
        <w:rPr>
          <w:rFonts w:hint="eastAsia" w:ascii="黑体" w:hAnsi="宋体" w:eastAsia="黑体" w:cs="宋体"/>
          <w:sz w:val="21"/>
          <w:szCs w:val="21"/>
          <w:lang w:val="fr-FR" w:eastAsia="zh-CN" w:bidi="ar-SA"/>
        </w:rPr>
        <w:t>图1</w:t>
      </w:r>
      <w:r>
        <w:rPr>
          <w:rFonts w:hint="eastAsia" w:ascii="黑体" w:hAnsi="宋体" w:eastAsia="黑体" w:cs="宋体"/>
          <w:sz w:val="21"/>
          <w:szCs w:val="21"/>
          <w:lang w:val="fr-FR" w:eastAsia="zh-CN" w:bidi="ar-SA"/>
        </w:rPr>
        <w:tab/>
      </w:r>
      <w:r>
        <w:rPr>
          <w:rFonts w:hint="eastAsia" w:ascii="黑体" w:hAnsi="宋体" w:eastAsia="黑体" w:cs="宋体"/>
          <w:sz w:val="21"/>
          <w:szCs w:val="21"/>
          <w:lang w:val="fr-FR" w:eastAsia="zh-CN" w:bidi="ar-SA"/>
        </w:rPr>
        <w:t>建设</w:t>
      </w:r>
      <w:r>
        <w:rPr>
          <w:rFonts w:hint="eastAsia" w:ascii="黑体" w:hAnsi="宋体" w:eastAsia="黑体" w:cs="宋体"/>
          <w:spacing w:val="-3"/>
          <w:sz w:val="21"/>
          <w:szCs w:val="21"/>
          <w:lang w:val="fr-FR" w:eastAsia="zh-CN" w:bidi="ar-SA"/>
        </w:rPr>
        <w:t>用</w:t>
      </w:r>
      <w:r>
        <w:rPr>
          <w:rFonts w:hint="eastAsia" w:ascii="黑体" w:hAnsi="宋体" w:eastAsia="黑体" w:cs="宋体"/>
          <w:sz w:val="21"/>
          <w:szCs w:val="21"/>
          <w:lang w:val="fr-FR" w:eastAsia="zh-CN" w:bidi="ar-SA"/>
        </w:rPr>
        <w:t>地</w:t>
      </w:r>
      <w:r>
        <w:rPr>
          <w:rFonts w:hint="eastAsia" w:ascii="黑体" w:hAnsi="宋体" w:eastAsia="黑体" w:cs="宋体"/>
          <w:spacing w:val="-3"/>
          <w:sz w:val="21"/>
          <w:szCs w:val="21"/>
          <w:lang w:val="fr-FR" w:eastAsia="zh-CN" w:bidi="ar-SA"/>
        </w:rPr>
        <w:t>土</w:t>
      </w:r>
      <w:r>
        <w:rPr>
          <w:rFonts w:hint="eastAsia" w:ascii="黑体" w:hAnsi="宋体" w:eastAsia="黑体" w:cs="宋体"/>
          <w:sz w:val="21"/>
          <w:szCs w:val="21"/>
          <w:lang w:val="fr-FR" w:eastAsia="zh-CN" w:bidi="ar-SA"/>
        </w:rPr>
        <w:t>壤</w:t>
      </w:r>
      <w:r>
        <w:rPr>
          <w:rFonts w:hint="eastAsia" w:ascii="黑体" w:hAnsi="宋体" w:eastAsia="黑体" w:cs="宋体"/>
          <w:spacing w:val="-3"/>
          <w:sz w:val="21"/>
          <w:szCs w:val="21"/>
          <w:lang w:val="fr-FR" w:eastAsia="zh-CN" w:bidi="ar-SA"/>
        </w:rPr>
        <w:t>污</w:t>
      </w:r>
      <w:r>
        <w:rPr>
          <w:rFonts w:hint="eastAsia" w:ascii="黑体" w:hAnsi="宋体" w:eastAsia="黑体" w:cs="宋体"/>
          <w:sz w:val="21"/>
          <w:szCs w:val="21"/>
          <w:lang w:val="fr-FR" w:eastAsia="zh-CN" w:bidi="ar-SA"/>
        </w:rPr>
        <w:t>染</w:t>
      </w:r>
      <w:r>
        <w:rPr>
          <w:rFonts w:hint="eastAsia" w:ascii="黑体" w:hAnsi="宋体" w:eastAsia="黑体" w:cs="宋体"/>
          <w:spacing w:val="-3"/>
          <w:sz w:val="21"/>
          <w:szCs w:val="21"/>
          <w:lang w:val="fr-FR" w:eastAsia="zh-CN" w:bidi="ar-SA"/>
        </w:rPr>
        <w:t>状</w:t>
      </w:r>
      <w:r>
        <w:rPr>
          <w:rFonts w:hint="eastAsia" w:ascii="黑体" w:hAnsi="宋体" w:eastAsia="黑体" w:cs="宋体"/>
          <w:sz w:val="21"/>
          <w:szCs w:val="21"/>
          <w:lang w:val="fr-FR" w:eastAsia="zh-CN" w:bidi="ar-SA"/>
        </w:rPr>
        <w:t>况</w:t>
      </w:r>
      <w:r>
        <w:rPr>
          <w:rFonts w:hint="eastAsia" w:ascii="黑体" w:hAnsi="宋体" w:eastAsia="黑体" w:cs="宋体"/>
          <w:spacing w:val="-3"/>
          <w:sz w:val="21"/>
          <w:szCs w:val="21"/>
          <w:lang w:val="fr-FR" w:eastAsia="zh-CN" w:bidi="ar-SA"/>
        </w:rPr>
        <w:t>调</w:t>
      </w:r>
      <w:r>
        <w:rPr>
          <w:rFonts w:hint="eastAsia" w:ascii="黑体" w:hAnsi="宋体" w:eastAsia="黑体" w:cs="宋体"/>
          <w:sz w:val="21"/>
          <w:szCs w:val="21"/>
          <w:lang w:val="fr-FR" w:eastAsia="zh-CN" w:bidi="ar-SA"/>
        </w:rPr>
        <w:t>查工</w:t>
      </w:r>
      <w:r>
        <w:rPr>
          <w:rFonts w:hint="eastAsia" w:ascii="黑体" w:hAnsi="宋体" w:eastAsia="黑体" w:cs="宋体"/>
          <w:spacing w:val="-3"/>
          <w:sz w:val="21"/>
          <w:szCs w:val="21"/>
          <w:lang w:val="fr-FR" w:eastAsia="zh-CN" w:bidi="ar-SA"/>
        </w:rPr>
        <w:t>作</w:t>
      </w:r>
      <w:r>
        <w:rPr>
          <w:rFonts w:hint="eastAsia" w:ascii="黑体" w:hAnsi="宋体" w:eastAsia="黑体" w:cs="宋体"/>
          <w:sz w:val="21"/>
          <w:szCs w:val="21"/>
          <w:lang w:val="fr-FR" w:eastAsia="zh-CN" w:bidi="ar-SA"/>
        </w:rPr>
        <w:t>程序</w:t>
      </w:r>
    </w:p>
    <w:p w14:paraId="4102CDAC">
      <w:pPr>
        <w:keepNext w:val="0"/>
        <w:keepLines w:val="0"/>
        <w:pageBreakBefore w:val="0"/>
        <w:widowControl w:val="0"/>
        <w:tabs>
          <w:tab w:val="left" w:pos="525"/>
        </w:tabs>
        <w:kinsoku/>
        <w:wordWrap/>
        <w:overflowPunct/>
        <w:topLinePunct w:val="0"/>
        <w:autoSpaceDE w:val="0"/>
        <w:autoSpaceDN w:val="0"/>
        <w:bidi w:val="0"/>
        <w:adjustRightInd w:val="0"/>
        <w:snapToGrid w:val="0"/>
        <w:spacing w:line="240" w:lineRule="auto"/>
        <w:ind w:right="0"/>
        <w:jc w:val="both"/>
        <w:textAlignment w:val="auto"/>
        <w:rPr>
          <w:rFonts w:hint="eastAsia" w:ascii="宋体" w:hAnsi="宋体" w:eastAsia="宋体" w:cs="宋体"/>
          <w:sz w:val="21"/>
          <w:szCs w:val="21"/>
          <w:lang w:val="fr-FR" w:eastAsia="zh-CN" w:bidi="ar-SA"/>
        </w:rPr>
      </w:pPr>
    </w:p>
    <w:p w14:paraId="37ABABC1">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after="0" w:afterLines="50" w:line="360" w:lineRule="auto"/>
        <w:ind w:left="0" w:leftChars="0" w:firstLine="0" w:firstLineChars="0"/>
        <w:jc w:val="both"/>
        <w:textAlignment w:val="auto"/>
        <w:outlineLvl w:val="2"/>
        <w:rPr>
          <w:rFonts w:hint="eastAsia" w:ascii="黑体" w:hAnsi="黑体" w:eastAsia="黑体" w:cs="黑体"/>
          <w:spacing w:val="-1"/>
          <w:sz w:val="21"/>
          <w:szCs w:val="21"/>
          <w:lang w:val="fr-FR" w:eastAsia="zh-CN" w:bidi="ar-SA"/>
        </w:rPr>
      </w:pPr>
      <w:bookmarkStart w:id="17" w:name="_Toc9095"/>
      <w:r>
        <w:rPr>
          <w:rFonts w:hint="eastAsia" w:ascii="黑体" w:hAnsi="黑体" w:eastAsia="黑体" w:cs="黑体"/>
          <w:spacing w:val="-1"/>
          <w:sz w:val="21"/>
          <w:szCs w:val="21"/>
          <w:lang w:val="fr-FR" w:eastAsia="zh-CN" w:bidi="ar-SA"/>
        </w:rPr>
        <w:t>第一阶段</w:t>
      </w:r>
      <w:r>
        <w:rPr>
          <w:rFonts w:hint="eastAsia" w:ascii="黑体" w:hAnsi="黑体" w:eastAsia="黑体" w:cs="黑体"/>
          <w:spacing w:val="-1"/>
          <w:sz w:val="21"/>
          <w:szCs w:val="21"/>
          <w:lang w:val="en-US" w:eastAsia="zh-CN" w:bidi="ar-SA"/>
        </w:rPr>
        <w:t>土壤污染状况</w:t>
      </w:r>
      <w:r>
        <w:rPr>
          <w:rFonts w:hint="eastAsia" w:ascii="黑体" w:hAnsi="黑体" w:eastAsia="黑体" w:cs="黑体"/>
          <w:spacing w:val="-1"/>
          <w:sz w:val="21"/>
          <w:szCs w:val="21"/>
          <w:lang w:val="fr-FR" w:eastAsia="zh-CN" w:bidi="ar-SA"/>
        </w:rPr>
        <w:t>调查</w:t>
      </w:r>
      <w:bookmarkEnd w:id="17"/>
    </w:p>
    <w:p w14:paraId="69CD9014">
      <w:pPr>
        <w:keepNext w:val="0"/>
        <w:keepLines w:val="0"/>
        <w:pageBreakBefore w:val="0"/>
        <w:widowControl w:val="0"/>
        <w:numPr>
          <w:ilvl w:val="2"/>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pacing w:val="-5"/>
          <w:sz w:val="21"/>
          <w:szCs w:val="21"/>
          <w:lang w:val="en-US" w:eastAsia="zh-CN" w:bidi="ar-SA"/>
        </w:rPr>
      </w:pPr>
      <w:r>
        <w:rPr>
          <w:rFonts w:hint="eastAsia" w:ascii="宋体" w:hAnsi="宋体" w:eastAsia="宋体" w:cs="宋体"/>
          <w:spacing w:val="-5"/>
          <w:sz w:val="21"/>
          <w:szCs w:val="21"/>
          <w:lang w:val="en-US" w:eastAsia="zh-CN" w:bidi="ar-SA"/>
        </w:rPr>
        <w:t>第一阶段调查是以资料收集与分析、现场踏勘和人员访谈为主的污染识别阶段，原则上只判断地块是否存在潜在污染，不进行现场采样分析。若本阶段调查确认地块内及周围区域当前和历史上均无可能的污染源，则认为地块的土壤环境状况可接受，调查活动可以结束。</w:t>
      </w:r>
    </w:p>
    <w:p w14:paraId="288CAD66">
      <w:pPr>
        <w:keepNext w:val="0"/>
        <w:keepLines w:val="0"/>
        <w:pageBreakBefore w:val="0"/>
        <w:widowControl w:val="0"/>
        <w:numPr>
          <w:ilvl w:val="2"/>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en-US" w:bidi="ar-SA"/>
        </w:rPr>
      </w:pPr>
      <w:r>
        <w:rPr>
          <w:rFonts w:hint="eastAsia" w:ascii="宋体" w:hAnsi="宋体" w:eastAsia="宋体" w:cs="宋体"/>
          <w:spacing w:val="-5"/>
          <w:sz w:val="21"/>
          <w:szCs w:val="21"/>
          <w:lang w:val="en-US" w:eastAsia="zh-CN" w:bidi="ar-SA"/>
        </w:rPr>
        <w:t>调查范围</w:t>
      </w:r>
      <w:r>
        <w:rPr>
          <w:rFonts w:hint="eastAsia" w:ascii="宋体" w:hAnsi="宋体" w:eastAsia="宋体" w:cs="宋体"/>
          <w:spacing w:val="-9"/>
          <w:sz w:val="21"/>
          <w:szCs w:val="21"/>
          <w:lang w:val="en-US" w:eastAsia="zh-CN" w:bidi="ar-SA"/>
        </w:rPr>
        <w:t>应</w:t>
      </w:r>
      <w:r>
        <w:rPr>
          <w:rFonts w:hint="eastAsia" w:ascii="宋体" w:hAnsi="宋体" w:eastAsia="宋体" w:cs="宋体"/>
          <w:spacing w:val="-5"/>
          <w:sz w:val="21"/>
          <w:szCs w:val="21"/>
          <w:lang w:val="en-US" w:eastAsia="zh-CN" w:bidi="ar-SA"/>
        </w:rPr>
        <w:t>包含地块历史工业企业所涉及的全部区域。</w:t>
      </w:r>
      <w:r>
        <w:rPr>
          <w:rFonts w:hint="eastAsia" w:ascii="宋体" w:hAnsi="宋体" w:eastAsia="宋体" w:cs="宋体"/>
          <w:spacing w:val="-10"/>
          <w:sz w:val="21"/>
          <w:szCs w:val="21"/>
          <w:lang w:val="en-US" w:eastAsia="zh-CN" w:bidi="ar-SA"/>
        </w:rPr>
        <w:t>确因权属、规划类型或开发时序等特殊原因需分批分期调查的大型地块，应根据地块拟收储红线或再开发利用控制性详细规划等依据进行划分。</w:t>
      </w:r>
    </w:p>
    <w:p w14:paraId="39E81631">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pacing w:val="-1"/>
          <w:sz w:val="21"/>
          <w:szCs w:val="21"/>
          <w:lang w:val="fr-FR" w:eastAsia="zh-CN" w:bidi="ar-SA"/>
        </w:rPr>
      </w:pPr>
      <w:bookmarkStart w:id="18" w:name="_Toc27827"/>
      <w:r>
        <w:rPr>
          <w:rFonts w:hint="eastAsia" w:ascii="黑体" w:hAnsi="宋体" w:eastAsia="黑体" w:cs="宋体"/>
          <w:spacing w:val="-1"/>
          <w:sz w:val="21"/>
          <w:szCs w:val="21"/>
          <w:lang w:val="fr-FR" w:eastAsia="zh-CN" w:bidi="ar-SA"/>
        </w:rPr>
        <w:t>第二阶段</w:t>
      </w:r>
      <w:r>
        <w:rPr>
          <w:rFonts w:hint="eastAsia" w:ascii="黑体" w:hAnsi="宋体" w:eastAsia="黑体" w:cs="宋体"/>
          <w:spacing w:val="-1"/>
          <w:sz w:val="21"/>
          <w:szCs w:val="21"/>
          <w:lang w:val="en-US" w:eastAsia="zh-CN" w:bidi="ar-SA"/>
        </w:rPr>
        <w:t>土壤污染状况</w:t>
      </w:r>
      <w:r>
        <w:rPr>
          <w:rFonts w:hint="eastAsia" w:ascii="黑体" w:hAnsi="宋体" w:eastAsia="黑体" w:cs="宋体"/>
          <w:spacing w:val="-1"/>
          <w:sz w:val="21"/>
          <w:szCs w:val="21"/>
          <w:lang w:val="fr-FR" w:eastAsia="zh-CN" w:bidi="ar-SA"/>
        </w:rPr>
        <w:t>调查</w:t>
      </w:r>
      <w:bookmarkEnd w:id="18"/>
    </w:p>
    <w:p w14:paraId="6E08F3F9">
      <w:pPr>
        <w:keepNext w:val="0"/>
        <w:keepLines w:val="0"/>
        <w:pageBreakBefore w:val="0"/>
        <w:widowControl w:val="0"/>
        <w:numPr>
          <w:ilvl w:val="2"/>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hint="eastAsia" w:ascii="宋体" w:hAnsi="宋体" w:eastAsia="宋体" w:cs="宋体"/>
          <w:sz w:val="21"/>
          <w:szCs w:val="21"/>
          <w:lang w:val="fr-FR" w:eastAsia="zh-CN" w:bidi="ar-SA"/>
        </w:rPr>
      </w:pPr>
      <w:r>
        <w:rPr>
          <w:rFonts w:hint="eastAsia" w:ascii="宋体" w:hAnsi="宋体" w:eastAsia="宋体" w:cs="宋体"/>
          <w:spacing w:val="-10"/>
          <w:sz w:val="21"/>
          <w:szCs w:val="21"/>
          <w:lang w:val="en-US" w:eastAsia="zh-CN" w:bidi="ar-SA"/>
        </w:rPr>
        <w:t>第二阶段</w:t>
      </w:r>
      <w:r>
        <w:rPr>
          <w:rFonts w:hint="eastAsia" w:ascii="宋体" w:hAnsi="宋体" w:eastAsia="宋体" w:cs="宋体"/>
          <w:spacing w:val="-10"/>
          <w:sz w:val="21"/>
          <w:szCs w:val="21"/>
          <w:lang w:val="fr-FR" w:eastAsia="zh-CN" w:bidi="ar-SA"/>
        </w:rPr>
        <w:t>调查</w:t>
      </w:r>
      <w:r>
        <w:rPr>
          <w:rFonts w:hint="eastAsia" w:ascii="宋体" w:hAnsi="宋体" w:eastAsia="宋体" w:cs="宋体"/>
          <w:spacing w:val="-10"/>
          <w:sz w:val="21"/>
          <w:szCs w:val="21"/>
          <w:lang w:val="en-US" w:eastAsia="zh-CN" w:bidi="ar-SA"/>
        </w:rPr>
        <w:t>是</w:t>
      </w:r>
      <w:r>
        <w:rPr>
          <w:rFonts w:hint="eastAsia" w:ascii="宋体" w:hAnsi="宋体" w:eastAsia="宋体" w:cs="宋体"/>
          <w:spacing w:val="-10"/>
          <w:sz w:val="21"/>
          <w:szCs w:val="21"/>
          <w:lang w:val="fr-FR" w:eastAsia="zh-CN" w:bidi="ar-SA"/>
        </w:rPr>
        <w:t>以采样与分析为主的污染证实阶段。若第一阶段调查表明地块内或周围区域存在</w:t>
      </w:r>
      <w:r>
        <w:rPr>
          <w:rFonts w:hint="eastAsia" w:ascii="宋体" w:hAnsi="宋体" w:eastAsia="宋体" w:cs="宋体"/>
          <w:spacing w:val="-5"/>
          <w:sz w:val="21"/>
          <w:szCs w:val="21"/>
          <w:lang w:val="fr-FR" w:eastAsia="zh-CN" w:bidi="ar-SA"/>
        </w:rPr>
        <w:t>可能的污染源，</w:t>
      </w:r>
      <w:r>
        <w:rPr>
          <w:rFonts w:hint="eastAsia" w:ascii="宋体" w:hAnsi="宋体" w:eastAsia="宋体" w:cs="宋体"/>
          <w:spacing w:val="-3"/>
          <w:sz w:val="21"/>
          <w:szCs w:val="21"/>
          <w:lang w:val="fr-FR" w:eastAsia="zh-CN" w:bidi="ar-SA"/>
        </w:rPr>
        <w:t>以及由于资料缺失等</w:t>
      </w:r>
      <w:r>
        <w:rPr>
          <w:rFonts w:hint="eastAsia" w:ascii="宋体" w:hAnsi="宋体" w:eastAsia="宋体" w:cs="宋体"/>
          <w:spacing w:val="-8"/>
          <w:sz w:val="21"/>
          <w:szCs w:val="21"/>
          <w:lang w:val="fr-FR" w:eastAsia="zh-CN" w:bidi="ar-SA"/>
        </w:rPr>
        <w:t>原因造成无法排除地块内外存在污染源</w:t>
      </w:r>
      <w:r>
        <w:rPr>
          <w:rFonts w:hint="eastAsia" w:ascii="宋体" w:hAnsi="宋体" w:eastAsia="宋体" w:cs="宋体"/>
          <w:spacing w:val="-8"/>
          <w:sz w:val="21"/>
          <w:szCs w:val="21"/>
          <w:lang w:val="en-US" w:eastAsia="zh-CN" w:bidi="ar-SA"/>
        </w:rPr>
        <w:t>或土壤污染可能性</w:t>
      </w:r>
      <w:r>
        <w:rPr>
          <w:rFonts w:hint="eastAsia" w:ascii="宋体" w:hAnsi="宋体" w:eastAsia="宋体" w:cs="宋体"/>
          <w:spacing w:val="-8"/>
          <w:sz w:val="21"/>
          <w:szCs w:val="21"/>
          <w:lang w:val="fr-FR" w:eastAsia="zh-CN" w:bidi="ar-SA"/>
        </w:rPr>
        <w:t>时，</w:t>
      </w:r>
      <w:r>
        <w:rPr>
          <w:rFonts w:hint="eastAsia" w:ascii="宋体" w:hAnsi="宋体" w:eastAsia="宋体" w:cs="宋体"/>
          <w:spacing w:val="-8"/>
          <w:sz w:val="21"/>
          <w:szCs w:val="21"/>
          <w:lang w:val="en-US" w:eastAsia="zh-CN" w:bidi="ar-SA"/>
        </w:rPr>
        <w:t>需</w:t>
      </w:r>
      <w:r>
        <w:rPr>
          <w:rFonts w:hint="eastAsia" w:ascii="宋体" w:hAnsi="宋体" w:eastAsia="宋体" w:cs="宋体"/>
          <w:spacing w:val="-8"/>
          <w:sz w:val="21"/>
          <w:szCs w:val="21"/>
          <w:lang w:val="fr-FR" w:eastAsia="zh-CN" w:bidi="ar-SA"/>
        </w:rPr>
        <w:t>进行第二阶段</w:t>
      </w:r>
      <w:r>
        <w:rPr>
          <w:rFonts w:hint="eastAsia" w:ascii="宋体" w:hAnsi="宋体" w:eastAsia="宋体" w:cs="宋体"/>
          <w:spacing w:val="-8"/>
          <w:sz w:val="21"/>
          <w:szCs w:val="21"/>
          <w:lang w:val="en-US" w:eastAsia="zh-CN" w:bidi="ar-SA"/>
        </w:rPr>
        <w:t>土壤污染状况</w:t>
      </w:r>
      <w:r>
        <w:rPr>
          <w:rFonts w:hint="eastAsia" w:ascii="宋体" w:hAnsi="宋体" w:eastAsia="宋体" w:cs="宋体"/>
          <w:spacing w:val="-8"/>
          <w:sz w:val="21"/>
          <w:szCs w:val="21"/>
          <w:lang w:val="fr-FR" w:eastAsia="zh-CN" w:bidi="ar-SA"/>
        </w:rPr>
        <w:t>调查，确</w:t>
      </w:r>
      <w:r>
        <w:rPr>
          <w:rFonts w:hint="eastAsia" w:ascii="宋体" w:hAnsi="宋体" w:eastAsia="宋体" w:cs="宋体"/>
          <w:spacing w:val="-8"/>
          <w:sz w:val="21"/>
          <w:szCs w:val="21"/>
          <w:lang w:val="en-US" w:eastAsia="zh-CN" w:bidi="ar-SA"/>
        </w:rPr>
        <w:t>定</w:t>
      </w:r>
      <w:r>
        <w:rPr>
          <w:rFonts w:hint="eastAsia" w:ascii="宋体" w:hAnsi="宋体" w:eastAsia="宋体" w:cs="宋体"/>
          <w:spacing w:val="-8"/>
          <w:sz w:val="21"/>
          <w:szCs w:val="21"/>
          <w:lang w:val="fr-FR" w:eastAsia="zh-CN" w:bidi="ar-SA"/>
        </w:rPr>
        <w:t>地块是否存在污染及污染物种类、浓度</w:t>
      </w:r>
      <w:r>
        <w:rPr>
          <w:rFonts w:hint="eastAsia" w:ascii="宋体" w:hAnsi="宋体" w:eastAsia="宋体" w:cs="宋体"/>
          <w:spacing w:val="-3"/>
          <w:sz w:val="21"/>
          <w:szCs w:val="21"/>
          <w:lang w:val="fr-FR" w:eastAsia="zh-CN" w:bidi="ar-SA"/>
        </w:rPr>
        <w:t>（</w:t>
      </w:r>
      <w:r>
        <w:rPr>
          <w:rFonts w:hint="eastAsia" w:ascii="宋体" w:hAnsi="宋体" w:eastAsia="宋体" w:cs="宋体"/>
          <w:spacing w:val="-2"/>
          <w:sz w:val="21"/>
          <w:szCs w:val="21"/>
          <w:lang w:val="fr-FR" w:eastAsia="zh-CN" w:bidi="ar-SA"/>
        </w:rPr>
        <w:t>程度</w:t>
      </w:r>
      <w:r>
        <w:rPr>
          <w:rFonts w:hint="eastAsia" w:ascii="宋体" w:hAnsi="宋体" w:eastAsia="宋体" w:cs="宋体"/>
          <w:sz w:val="21"/>
          <w:szCs w:val="21"/>
          <w:lang w:val="fr-FR" w:eastAsia="zh-CN" w:bidi="ar-SA"/>
        </w:rPr>
        <w:t>）</w:t>
      </w:r>
      <w:r>
        <w:rPr>
          <w:rFonts w:hint="eastAsia" w:ascii="宋体" w:hAnsi="宋体" w:eastAsia="宋体" w:cs="宋体"/>
          <w:spacing w:val="-3"/>
          <w:sz w:val="21"/>
          <w:szCs w:val="21"/>
          <w:lang w:val="fr-FR" w:eastAsia="zh-CN" w:bidi="ar-SA"/>
        </w:rPr>
        <w:t>和空间分布。</w:t>
      </w:r>
    </w:p>
    <w:p w14:paraId="549FD3D2">
      <w:pPr>
        <w:keepNext w:val="0"/>
        <w:keepLines w:val="0"/>
        <w:pageBreakBefore w:val="0"/>
        <w:widowControl w:val="0"/>
        <w:numPr>
          <w:ilvl w:val="2"/>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pacing w:val="-10"/>
          <w:sz w:val="21"/>
          <w:szCs w:val="21"/>
          <w:lang w:val="en-US" w:eastAsia="zh-CN" w:bidi="ar-SA"/>
        </w:rPr>
      </w:pPr>
      <w:r>
        <w:rPr>
          <w:rFonts w:hint="eastAsia" w:ascii="宋体" w:hAnsi="宋体" w:eastAsia="宋体" w:cs="宋体"/>
          <w:spacing w:val="-10"/>
          <w:sz w:val="21"/>
          <w:szCs w:val="21"/>
          <w:lang w:val="en-US" w:eastAsia="zh-CN" w:bidi="ar-SA"/>
        </w:rPr>
        <w:t>第二阶段调查通常可分为初步采样分析和详细采样分析两步进行，每步均包括制定工作计划、现场采样、分析测试、数据评估与分析等步骤。初步采样分析和详细采样分析均可根据实际情况分批次实施，逐步减少调查的不确定性。</w:t>
      </w:r>
    </w:p>
    <w:p w14:paraId="2B6B0E10">
      <w:pPr>
        <w:keepNext w:val="0"/>
        <w:keepLines w:val="0"/>
        <w:pageBreakBefore w:val="0"/>
        <w:widowControl w:val="0"/>
        <w:numPr>
          <w:ilvl w:val="2"/>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pacing w:val="-10"/>
          <w:sz w:val="21"/>
          <w:szCs w:val="21"/>
          <w:lang w:val="en-US" w:eastAsia="zh-CN" w:bidi="ar-SA"/>
        </w:rPr>
      </w:pPr>
      <w:r>
        <w:rPr>
          <w:rFonts w:hint="eastAsia" w:ascii="宋体" w:hAnsi="宋体" w:eastAsia="宋体" w:cs="宋体"/>
          <w:spacing w:val="-10"/>
          <w:sz w:val="21"/>
          <w:szCs w:val="21"/>
          <w:lang w:val="en-US" w:eastAsia="zh-CN" w:bidi="ar-SA"/>
        </w:rPr>
        <w:t>从事过工业生产活动、有毒有害物质存储的建设用地，应在生产活动完全停止，涉及有毒有害物质的建（构）筑物、设施设备全部拆除后开展现场采样。确因特殊原因导致涉及有毒有害物质的建（构）筑物、设施设备无法全部拆除的，可在其内容物质完全清理，且不会导致土壤和地下水再次污染、不影响布点采样的前提下，开展初步采样分析工作。</w:t>
      </w:r>
    </w:p>
    <w:p w14:paraId="46130F1E">
      <w:pPr>
        <w:keepNext w:val="0"/>
        <w:keepLines w:val="0"/>
        <w:pageBreakBefore w:val="0"/>
        <w:widowControl w:val="0"/>
        <w:numPr>
          <w:ilvl w:val="2"/>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ascii="宋体" w:hAnsi="宋体" w:eastAsia="宋体" w:cs="宋体"/>
          <w:spacing w:val="-10"/>
          <w:sz w:val="21"/>
          <w:szCs w:val="21"/>
          <w:lang w:val="fr-FR" w:eastAsia="zh-CN" w:bidi="ar-SA"/>
        </w:rPr>
        <w:t>根据初步采样分析结果，如果污染物浓度均未超过相应风险筛选值，并经不确定性分析确认</w:t>
      </w:r>
      <w:r>
        <w:rPr>
          <w:rFonts w:ascii="宋体" w:hAnsi="宋体" w:eastAsia="宋体" w:cs="宋体"/>
          <w:spacing w:val="-5"/>
          <w:sz w:val="21"/>
          <w:szCs w:val="21"/>
          <w:lang w:val="fr-FR" w:eastAsia="zh-CN" w:bidi="ar-SA"/>
        </w:rPr>
        <w:t>不需要进一步调查后，第二阶段调查工作可以结束；否则认为可能存在</w:t>
      </w:r>
      <w:r>
        <w:rPr>
          <w:rFonts w:hint="eastAsia" w:ascii="宋体" w:hAnsi="宋体" w:eastAsia="宋体" w:cs="宋体"/>
          <w:spacing w:val="-5"/>
          <w:sz w:val="21"/>
          <w:szCs w:val="21"/>
          <w:lang w:val="en-US" w:eastAsia="zh-CN" w:bidi="ar-SA"/>
        </w:rPr>
        <w:t>健康或</w:t>
      </w:r>
      <w:r>
        <w:rPr>
          <w:rFonts w:ascii="宋体" w:hAnsi="宋体" w:eastAsia="宋体" w:cs="宋体"/>
          <w:spacing w:val="-5"/>
          <w:sz w:val="21"/>
          <w:szCs w:val="21"/>
          <w:lang w:val="fr-FR" w:eastAsia="zh-CN" w:bidi="ar-SA"/>
        </w:rPr>
        <w:t>环境风险，应进行详细采样分析。</w:t>
      </w:r>
      <w:r>
        <w:rPr>
          <w:rFonts w:hint="eastAsia" w:ascii="宋体" w:hAnsi="宋体" w:eastAsia="宋体" w:cs="宋体"/>
          <w:spacing w:val="-5"/>
          <w:sz w:val="21"/>
          <w:szCs w:val="21"/>
          <w:lang w:val="en-US" w:eastAsia="zh-CN" w:bidi="ar-SA"/>
        </w:rPr>
        <w:t>对于国家和地方土壤或地下水</w:t>
      </w:r>
      <w:r>
        <w:rPr>
          <w:rFonts w:ascii="宋体" w:hAnsi="宋体" w:eastAsia="宋体" w:cs="宋体"/>
          <w:spacing w:val="-7"/>
          <w:sz w:val="21"/>
          <w:szCs w:val="21"/>
          <w:lang w:val="fr-FR" w:eastAsia="zh-CN" w:bidi="ar-SA"/>
        </w:rPr>
        <w:t>标准中</w:t>
      </w:r>
      <w:r>
        <w:rPr>
          <w:rFonts w:hint="eastAsia" w:ascii="宋体" w:hAnsi="宋体" w:eastAsia="宋体" w:cs="宋体"/>
          <w:spacing w:val="-7"/>
          <w:sz w:val="21"/>
          <w:szCs w:val="21"/>
          <w:lang w:val="en-US" w:eastAsia="zh-CN" w:bidi="ar-SA"/>
        </w:rPr>
        <w:t>未</w:t>
      </w:r>
      <w:r>
        <w:rPr>
          <w:rFonts w:ascii="宋体" w:hAnsi="宋体" w:eastAsia="宋体" w:cs="宋体"/>
          <w:spacing w:val="-7"/>
          <w:sz w:val="21"/>
          <w:szCs w:val="21"/>
          <w:lang w:val="fr-FR" w:eastAsia="zh-CN" w:bidi="ar-SA"/>
        </w:rPr>
        <w:t>涉及的污染物</w:t>
      </w:r>
      <w:r>
        <w:rPr>
          <w:rFonts w:hint="eastAsia" w:ascii="宋体" w:hAnsi="宋体" w:eastAsia="宋体" w:cs="宋体"/>
          <w:spacing w:val="-7"/>
          <w:sz w:val="21"/>
          <w:szCs w:val="21"/>
          <w:highlight w:val="none"/>
          <w:lang w:val="en-US" w:eastAsia="zh-CN" w:bidi="ar-SA"/>
        </w:rPr>
        <w:t>，应根据污染识别结果、检测分析方法等综合判断是否进行采样分析</w:t>
      </w:r>
      <w:r>
        <w:rPr>
          <w:rFonts w:ascii="宋体" w:hAnsi="宋体" w:eastAsia="宋体" w:cs="宋体"/>
          <w:spacing w:val="-7"/>
          <w:sz w:val="21"/>
          <w:szCs w:val="21"/>
          <w:lang w:val="fr-FR" w:eastAsia="zh-CN" w:bidi="ar-SA"/>
        </w:rPr>
        <w:t>。详</w:t>
      </w:r>
      <w:r>
        <w:rPr>
          <w:rFonts w:ascii="宋体" w:hAnsi="宋体" w:eastAsia="宋体" w:cs="宋体"/>
          <w:spacing w:val="-5"/>
          <w:sz w:val="21"/>
          <w:szCs w:val="21"/>
          <w:lang w:val="fr-FR" w:eastAsia="zh-CN" w:bidi="ar-SA"/>
        </w:rPr>
        <w:t>细采样分析是在初步采样分析的基础上，进一步采样和分析，确定土壤污染程度和范围。</w:t>
      </w:r>
    </w:p>
    <w:p w14:paraId="26F1F541">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pacing w:val="-1"/>
          <w:sz w:val="21"/>
          <w:szCs w:val="21"/>
          <w:lang w:val="fr-FR" w:eastAsia="zh-CN" w:bidi="ar-SA"/>
        </w:rPr>
      </w:pPr>
      <w:bookmarkStart w:id="19" w:name="_Toc1931"/>
      <w:r>
        <w:rPr>
          <w:rFonts w:hint="eastAsia" w:ascii="黑体" w:hAnsi="宋体" w:eastAsia="黑体" w:cs="宋体"/>
          <w:spacing w:val="-1"/>
          <w:sz w:val="21"/>
          <w:szCs w:val="21"/>
          <w:lang w:val="fr-FR" w:eastAsia="zh-CN" w:bidi="ar-SA"/>
        </w:rPr>
        <w:t>第三阶段</w:t>
      </w:r>
      <w:r>
        <w:rPr>
          <w:rFonts w:hint="eastAsia" w:ascii="黑体" w:hAnsi="宋体" w:eastAsia="黑体" w:cs="宋体"/>
          <w:spacing w:val="-1"/>
          <w:sz w:val="21"/>
          <w:szCs w:val="21"/>
          <w:lang w:val="en-US" w:eastAsia="zh-CN" w:bidi="ar-SA"/>
        </w:rPr>
        <w:t>土壤污染状况</w:t>
      </w:r>
      <w:r>
        <w:rPr>
          <w:rFonts w:hint="eastAsia" w:ascii="黑体" w:hAnsi="宋体" w:eastAsia="黑体" w:cs="宋体"/>
          <w:spacing w:val="-1"/>
          <w:sz w:val="21"/>
          <w:szCs w:val="21"/>
          <w:lang w:val="fr-FR" w:eastAsia="zh-CN" w:bidi="ar-SA"/>
        </w:rPr>
        <w:t>调查</w:t>
      </w:r>
      <w:bookmarkEnd w:id="19"/>
    </w:p>
    <w:p w14:paraId="1049F476">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第三阶段</w:t>
      </w:r>
      <w:r>
        <w:rPr>
          <w:rFonts w:ascii="宋体" w:hAnsi="宋体" w:eastAsia="宋体" w:cs="宋体"/>
          <w:sz w:val="21"/>
          <w:szCs w:val="21"/>
          <w:lang w:val="fr-FR" w:eastAsia="zh-CN" w:bidi="ar-SA"/>
        </w:rPr>
        <w:t>调查</w:t>
      </w:r>
      <w:r>
        <w:rPr>
          <w:rFonts w:hint="eastAsia" w:ascii="宋体" w:hAnsi="宋体" w:eastAsia="宋体" w:cs="宋体"/>
          <w:sz w:val="21"/>
          <w:szCs w:val="21"/>
          <w:lang w:val="en-US" w:eastAsia="zh-CN" w:bidi="ar-SA"/>
        </w:rPr>
        <w:t>以</w:t>
      </w:r>
      <w:r>
        <w:rPr>
          <w:rFonts w:ascii="宋体" w:hAnsi="宋体" w:eastAsia="宋体" w:cs="宋体"/>
          <w:sz w:val="21"/>
          <w:szCs w:val="21"/>
          <w:lang w:val="fr-FR" w:eastAsia="zh-CN" w:bidi="ar-SA"/>
        </w:rPr>
        <w:t>资料</w:t>
      </w:r>
      <w:r>
        <w:rPr>
          <w:rFonts w:hint="eastAsia" w:ascii="宋体" w:hAnsi="宋体" w:eastAsia="宋体" w:cs="宋体"/>
          <w:sz w:val="21"/>
          <w:szCs w:val="21"/>
          <w:lang w:val="en-US" w:eastAsia="zh-CN" w:bidi="ar-SA"/>
        </w:rPr>
        <w:t>调查</w:t>
      </w:r>
      <w:r>
        <w:rPr>
          <w:rFonts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补充采样和测试为主</w:t>
      </w:r>
      <w:r>
        <w:rPr>
          <w:rFonts w:ascii="宋体" w:hAnsi="宋体" w:eastAsia="宋体" w:cs="宋体"/>
          <w:sz w:val="21"/>
          <w:szCs w:val="21"/>
          <w:lang w:val="fr-FR" w:eastAsia="zh-CN" w:bidi="ar-SA"/>
        </w:rPr>
        <w:t>，获得满足风险评估所需的</w:t>
      </w:r>
      <w:r>
        <w:rPr>
          <w:rFonts w:hint="eastAsia" w:ascii="宋体" w:hAnsi="宋体" w:eastAsia="宋体" w:cs="宋体"/>
          <w:sz w:val="21"/>
          <w:szCs w:val="21"/>
          <w:lang w:val="en-US" w:eastAsia="zh-CN" w:bidi="ar-SA"/>
        </w:rPr>
        <w:t>环境特征参数及受体暴露参数</w:t>
      </w:r>
      <w:r>
        <w:rPr>
          <w:rFonts w:ascii="宋体" w:hAnsi="宋体" w:eastAsia="宋体" w:cs="宋体"/>
          <w:sz w:val="21"/>
          <w:szCs w:val="21"/>
          <w:lang w:val="fr-FR" w:eastAsia="zh-CN" w:bidi="ar-SA"/>
        </w:rPr>
        <w:t>。本阶段的调查工作可单独进行，也可在第二阶段调查过程中同时开展。</w:t>
      </w:r>
    </w:p>
    <w:p w14:paraId="0B058BAE">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1"/>
        <w:rPr>
          <w:rFonts w:ascii="黑体" w:hAnsi="宋体" w:eastAsia="黑体" w:cs="宋体"/>
          <w:sz w:val="21"/>
          <w:szCs w:val="21"/>
          <w:lang w:val="fr-FR" w:eastAsia="zh-CN" w:bidi="ar-SA"/>
        </w:rPr>
      </w:pPr>
      <w:bookmarkStart w:id="20" w:name="_bookmark8"/>
      <w:bookmarkEnd w:id="20"/>
      <w:bookmarkStart w:id="21" w:name="_Toc11360"/>
      <w:r>
        <w:rPr>
          <w:rFonts w:hint="eastAsia" w:ascii="黑体" w:hAnsi="宋体" w:eastAsia="黑体" w:cs="宋体"/>
          <w:spacing w:val="-3"/>
          <w:sz w:val="21"/>
          <w:szCs w:val="21"/>
          <w:lang w:val="fr-FR" w:eastAsia="zh-CN" w:bidi="ar-SA"/>
        </w:rPr>
        <w:t>第一阶段</w:t>
      </w:r>
      <w:r>
        <w:rPr>
          <w:rFonts w:hint="eastAsia" w:ascii="黑体" w:hAnsi="宋体" w:eastAsia="黑体" w:cs="宋体"/>
          <w:sz w:val="21"/>
          <w:szCs w:val="21"/>
          <w:lang w:val="en-US" w:eastAsia="zh-CN" w:bidi="ar-SA"/>
        </w:rPr>
        <w:t>土壤</w:t>
      </w:r>
      <w:r>
        <w:rPr>
          <w:rFonts w:hint="eastAsia" w:ascii="黑体" w:hAnsi="宋体" w:eastAsia="黑体" w:cs="宋体"/>
          <w:spacing w:val="-3"/>
          <w:sz w:val="21"/>
          <w:szCs w:val="21"/>
          <w:lang w:val="fr-FR" w:eastAsia="zh-CN" w:bidi="ar-SA"/>
        </w:rPr>
        <w:t>污染状况调查</w:t>
      </w:r>
      <w:bookmarkEnd w:id="21"/>
    </w:p>
    <w:p w14:paraId="6721BD8C">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hint="eastAsia" w:ascii="黑体" w:hAnsi="黑体" w:eastAsia="黑体" w:cs="黑体"/>
          <w:sz w:val="21"/>
          <w:szCs w:val="21"/>
          <w:lang w:val="fr-FR" w:eastAsia="en-US" w:bidi="ar-SA"/>
        </w:rPr>
      </w:pPr>
      <w:bookmarkStart w:id="22" w:name="_bookmark10"/>
      <w:bookmarkEnd w:id="22"/>
      <w:bookmarkStart w:id="23" w:name="_bookmark9"/>
      <w:bookmarkEnd w:id="23"/>
      <w:bookmarkStart w:id="24" w:name="_Toc5237"/>
      <w:r>
        <w:rPr>
          <w:rFonts w:hint="eastAsia" w:ascii="黑体" w:hAnsi="黑体" w:eastAsia="黑体" w:cs="黑体"/>
          <w:spacing w:val="-2"/>
          <w:sz w:val="21"/>
          <w:szCs w:val="21"/>
          <w:lang w:val="fr-FR" w:eastAsia="en-US" w:bidi="ar-SA"/>
        </w:rPr>
        <w:t>资料</w:t>
      </w:r>
      <w:r>
        <w:rPr>
          <w:rFonts w:hint="eastAsia" w:ascii="黑体" w:hAnsi="宋体" w:eastAsia="黑体" w:cs="宋体"/>
          <w:spacing w:val="-1"/>
          <w:sz w:val="21"/>
          <w:szCs w:val="21"/>
          <w:lang w:val="fr-FR" w:eastAsia="zh-CN" w:bidi="ar-SA"/>
        </w:rPr>
        <w:t>收集</w:t>
      </w:r>
      <w:r>
        <w:rPr>
          <w:rFonts w:hint="eastAsia" w:ascii="黑体" w:hAnsi="黑体" w:eastAsia="黑体" w:cs="黑体"/>
          <w:spacing w:val="-2"/>
          <w:sz w:val="21"/>
          <w:szCs w:val="21"/>
          <w:lang w:val="fr-FR" w:eastAsia="en-US" w:bidi="ar-SA"/>
        </w:rPr>
        <w:t>与分析</w:t>
      </w:r>
      <w:bookmarkEnd w:id="24"/>
    </w:p>
    <w:p w14:paraId="5A60166E">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hint="eastAsia" w:ascii="黑体" w:hAnsi="黑体" w:eastAsia="黑体" w:cs="黑体"/>
          <w:sz w:val="21"/>
          <w:szCs w:val="21"/>
          <w:lang w:val="en-US" w:eastAsia="zh-CN" w:bidi="ar-SA"/>
        </w:rPr>
      </w:pPr>
      <w:r>
        <w:rPr>
          <w:rFonts w:hint="eastAsia" w:ascii="黑体" w:hAnsi="黑体" w:eastAsia="黑体" w:cs="黑体"/>
          <w:spacing w:val="-1"/>
          <w:sz w:val="21"/>
          <w:szCs w:val="21"/>
          <w:lang w:val="fr-FR" w:eastAsia="en-US" w:bidi="ar-SA"/>
        </w:rPr>
        <w:t>资料收集</w:t>
      </w:r>
    </w:p>
    <w:p w14:paraId="41470B34">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hint="eastAsia" w:ascii="黑体" w:hAnsi="黑体" w:eastAsia="黑体" w:cs="黑体"/>
          <w:sz w:val="21"/>
          <w:szCs w:val="21"/>
          <w:lang w:val="en-US" w:eastAsia="zh-CN" w:bidi="ar-SA"/>
        </w:rPr>
      </w:pPr>
      <w:r>
        <w:rPr>
          <w:rFonts w:hint="eastAsia" w:ascii="宋体" w:hAnsi="宋体" w:eastAsia="宋体" w:cs="宋体"/>
          <w:sz w:val="21"/>
          <w:szCs w:val="21"/>
          <w:lang w:val="en-US" w:eastAsia="zh-CN" w:bidi="ar-SA"/>
        </w:rPr>
        <w:t>资料收集的内容</w:t>
      </w:r>
      <w:r>
        <w:rPr>
          <w:rFonts w:hint="eastAsia" w:ascii="宋体" w:hAnsi="宋体" w:eastAsia="宋体" w:cs="宋体"/>
          <w:sz w:val="21"/>
          <w:szCs w:val="21"/>
          <w:lang w:val="fr-FR" w:eastAsia="zh-CN" w:bidi="ar-SA"/>
        </w:rPr>
        <w:t>主要包括：</w:t>
      </w:r>
      <w:r>
        <w:rPr>
          <w:rFonts w:hint="eastAsia" w:ascii="宋体" w:hAnsi="宋体" w:eastAsia="宋体" w:cs="宋体"/>
          <w:sz w:val="21"/>
          <w:szCs w:val="21"/>
          <w:lang w:val="en-US" w:eastAsia="zh-CN" w:bidi="ar-SA"/>
        </w:rPr>
        <w:t>地块</w:t>
      </w:r>
      <w:r>
        <w:rPr>
          <w:rFonts w:hint="eastAsia" w:ascii="宋体" w:hAnsi="宋体" w:eastAsia="宋体" w:cs="宋体"/>
          <w:sz w:val="21"/>
          <w:szCs w:val="21"/>
          <w:lang w:val="fr-FR" w:eastAsia="zh-CN" w:bidi="ar-SA"/>
        </w:rPr>
        <w:t>利用变迁资料、地块环境资料、有关政府文件以及所在区域的自然和社会信息。当调查地块与相邻地块存在相互污染的可能时，应调查相邻地块的相关记录和资料。</w:t>
      </w:r>
      <w:r>
        <w:rPr>
          <w:rFonts w:hint="eastAsia" w:ascii="宋体" w:hAnsi="宋体" w:eastAsia="宋体" w:cs="宋体"/>
          <w:sz w:val="21"/>
          <w:szCs w:val="21"/>
          <w:lang w:val="en-US" w:eastAsia="zh-CN" w:bidi="ar-SA"/>
        </w:rPr>
        <w:t>资料收集需追溯至农田或者自然生态用地。</w:t>
      </w:r>
    </w:p>
    <w:p w14:paraId="6AE1BA06">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50" w:after="0" w:afterLines="50" w:line="360" w:lineRule="auto"/>
        <w:jc w:val="both"/>
        <w:textAlignment w:val="auto"/>
        <w:rPr>
          <w:rFonts w:hint="eastAsia" w:ascii="黑体" w:hAnsi="黑体" w:eastAsia="黑体" w:cs="黑体"/>
          <w:sz w:val="21"/>
          <w:szCs w:val="21"/>
          <w:lang w:val="en-US" w:eastAsia="zh-CN"/>
        </w:rPr>
        <w:sectPr>
          <w:headerReference r:id="rId23" w:type="default"/>
          <w:headerReference r:id="rId24" w:type="even"/>
          <w:pgSz w:w="11910" w:h="16840"/>
          <w:pgMar w:top="1417" w:right="1417" w:bottom="1134" w:left="1134" w:header="1417" w:footer="1134" w:gutter="0"/>
          <w:pgNumType w:fmt="decimal"/>
          <w:cols w:space="0" w:num="1"/>
          <w:rtlGutter w:val="0"/>
          <w:docGrid w:linePitch="0" w:charSpace="0"/>
        </w:sectPr>
      </w:pPr>
    </w:p>
    <w:p w14:paraId="219F907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en-US" w:eastAsia="zh-CN" w:bidi="ar-SA"/>
        </w:rPr>
      </w:pPr>
    </w:p>
    <w:p w14:paraId="47C5AF7E">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pacing w:val="-10"/>
          <w:sz w:val="21"/>
          <w:szCs w:val="21"/>
          <w:lang w:val="en-US" w:eastAsia="zh-CN" w:bidi="ar-SA"/>
        </w:rPr>
      </w:pPr>
      <w:r>
        <w:rPr>
          <w:rFonts w:hint="eastAsia" w:ascii="宋体" w:hAnsi="宋体" w:eastAsia="宋体" w:cs="宋体"/>
          <w:spacing w:val="-10"/>
          <w:sz w:val="21"/>
          <w:szCs w:val="21"/>
          <w:lang w:val="en-US" w:eastAsia="zh-CN" w:bidi="ar-SA"/>
        </w:rPr>
        <w:t>地块利用变迁资料包括：</w:t>
      </w:r>
    </w:p>
    <w:p w14:paraId="023AB6B2">
      <w:pPr>
        <w:keepNext w:val="0"/>
        <w:keepLines w:val="0"/>
        <w:pageBreakBefore w:val="0"/>
        <w:widowControl w:val="0"/>
        <w:numPr>
          <w:ilvl w:val="0"/>
          <w:numId w:val="2"/>
        </w:numPr>
        <w:tabs>
          <w:tab w:val="clear" w:pos="420"/>
        </w:tabs>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地块及其相邻地块使用历史资料及地形图、航片或卫星图片；</w:t>
      </w:r>
    </w:p>
    <w:p w14:paraId="2482D18E">
      <w:pPr>
        <w:keepNext w:val="0"/>
        <w:keepLines w:val="0"/>
        <w:pageBreakBefore w:val="0"/>
        <w:widowControl w:val="0"/>
        <w:numPr>
          <w:ilvl w:val="0"/>
          <w:numId w:val="2"/>
        </w:numPr>
        <w:tabs>
          <w:tab w:val="clear" w:pos="420"/>
        </w:tabs>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土地利用规划；</w:t>
      </w:r>
    </w:p>
    <w:p w14:paraId="0BA35906">
      <w:pPr>
        <w:keepNext w:val="0"/>
        <w:keepLines w:val="0"/>
        <w:pageBreakBefore w:val="0"/>
        <w:widowControl w:val="0"/>
        <w:numPr>
          <w:ilvl w:val="0"/>
          <w:numId w:val="2"/>
        </w:numPr>
        <w:tabs>
          <w:tab w:val="clear" w:pos="420"/>
        </w:tabs>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地块历史生产资料，包括但不限于：建（构）筑物、设施、地上及地下储罐、地下管线、沟渠、平面布局、地块红线图；产品、原辅材料、中间体、生产工艺流程；污染治理设施、污染物产排情况等；</w:t>
      </w:r>
    </w:p>
    <w:p w14:paraId="6E876144">
      <w:pPr>
        <w:keepNext w:val="0"/>
        <w:keepLines w:val="0"/>
        <w:pageBreakBefore w:val="0"/>
        <w:widowControl w:val="0"/>
        <w:numPr>
          <w:ilvl w:val="0"/>
          <w:numId w:val="2"/>
        </w:numPr>
        <w:tabs>
          <w:tab w:val="clear" w:pos="420"/>
        </w:tabs>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其它有助于分析地块潜在污染的地块利用变迁资料。</w:t>
      </w:r>
    </w:p>
    <w:p w14:paraId="43C964E7">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en-US" w:bidi="ar-SA"/>
        </w:rPr>
      </w:pPr>
      <w:r>
        <w:rPr>
          <w:rFonts w:hint="eastAsia" w:ascii="宋体" w:hAnsi="宋体" w:eastAsia="宋体" w:cs="宋体"/>
          <w:spacing w:val="-3"/>
          <w:sz w:val="21"/>
          <w:szCs w:val="21"/>
          <w:lang w:val="fr-FR" w:eastAsia="en-US" w:bidi="ar-SA"/>
        </w:rPr>
        <w:t>地块环境资料</w:t>
      </w:r>
      <w:r>
        <w:rPr>
          <w:rFonts w:hint="eastAsia" w:ascii="宋体" w:hAnsi="宋体" w:eastAsia="宋体" w:cs="宋体"/>
          <w:spacing w:val="-3"/>
          <w:sz w:val="21"/>
          <w:szCs w:val="21"/>
          <w:lang w:val="en-US" w:eastAsia="zh-CN" w:bidi="ar-SA"/>
        </w:rPr>
        <w:t>包括</w:t>
      </w:r>
      <w:r>
        <w:rPr>
          <w:rFonts w:hint="eastAsia" w:ascii="宋体" w:hAnsi="宋体" w:eastAsia="宋体" w:cs="宋体"/>
          <w:spacing w:val="-3"/>
          <w:sz w:val="21"/>
          <w:szCs w:val="21"/>
          <w:lang w:val="fr-FR" w:eastAsia="en-US" w:bidi="ar-SA"/>
        </w:rPr>
        <w:t>：</w:t>
      </w:r>
    </w:p>
    <w:p w14:paraId="49A387AC">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化学品泄漏或环境污染事故记录；</w:t>
      </w:r>
    </w:p>
    <w:p w14:paraId="117F9D4E">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固体废物堆存、处置情况；</w:t>
      </w:r>
    </w:p>
    <w:p w14:paraId="51629160">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重点区域防渗设置情况；</w:t>
      </w:r>
    </w:p>
    <w:p w14:paraId="1653CF3B">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环境监测数据；</w:t>
      </w:r>
    </w:p>
    <w:p w14:paraId="4824EC1A">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土壤及地下水背景值、自行监测、周边监测数据等；</w:t>
      </w:r>
    </w:p>
    <w:p w14:paraId="53448D28">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地块内及临近地表水体分布情况、地块与周边敏感目标（自然保护区、水源地保护区、学校、居民区等）的位置关系；</w:t>
      </w:r>
    </w:p>
    <w:p w14:paraId="7A8A1C08">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相关管理文件，包括但不限于：环境影响评价文件、竣工环境保护验收文件、清洁生产审核报告、环境审计报告、排污许可证及执行报告、环境管理台账、土壤污染隐患排查报告、企业拆除活动环境管理记录、地勘报告等；</w:t>
      </w:r>
    </w:p>
    <w:p w14:paraId="0D8000AB">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其它有助于分析地块潜在污染的环境资料。</w:t>
      </w:r>
    </w:p>
    <w:p w14:paraId="052E8AE2">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en-US" w:bidi="ar-SA"/>
        </w:rPr>
      </w:pPr>
      <w:r>
        <w:rPr>
          <w:rFonts w:hint="eastAsia" w:ascii="宋体" w:hAnsi="宋体" w:eastAsia="宋体" w:cs="宋体"/>
          <w:spacing w:val="-3"/>
          <w:sz w:val="21"/>
          <w:szCs w:val="21"/>
          <w:lang w:val="fr-FR" w:eastAsia="en-US" w:bidi="ar-SA"/>
        </w:rPr>
        <w:t>有关</w:t>
      </w:r>
      <w:r>
        <w:rPr>
          <w:rFonts w:hint="eastAsia" w:ascii="宋体" w:hAnsi="宋体" w:eastAsia="宋体" w:cs="宋体"/>
          <w:spacing w:val="-10"/>
          <w:sz w:val="21"/>
          <w:szCs w:val="21"/>
          <w:lang w:val="en-US" w:eastAsia="zh-CN" w:bidi="ar-SA"/>
        </w:rPr>
        <w:t>政府</w:t>
      </w:r>
      <w:r>
        <w:rPr>
          <w:rFonts w:hint="eastAsia" w:ascii="宋体" w:hAnsi="宋体" w:eastAsia="宋体" w:cs="宋体"/>
          <w:spacing w:val="-3"/>
          <w:sz w:val="21"/>
          <w:szCs w:val="21"/>
          <w:lang w:val="fr-FR" w:eastAsia="en-US" w:bidi="ar-SA"/>
        </w:rPr>
        <w:t>文件</w:t>
      </w:r>
      <w:r>
        <w:rPr>
          <w:rFonts w:hint="eastAsia" w:ascii="宋体" w:hAnsi="宋体" w:eastAsia="宋体" w:cs="宋体"/>
          <w:spacing w:val="-3"/>
          <w:sz w:val="21"/>
          <w:szCs w:val="21"/>
          <w:lang w:val="en-US" w:eastAsia="zh-CN" w:bidi="ar-SA"/>
        </w:rPr>
        <w:t>包括</w:t>
      </w:r>
      <w:r>
        <w:rPr>
          <w:rFonts w:hint="eastAsia" w:ascii="宋体" w:hAnsi="宋体" w:eastAsia="宋体" w:cs="宋体"/>
          <w:spacing w:val="-3"/>
          <w:sz w:val="21"/>
          <w:szCs w:val="21"/>
          <w:lang w:val="fr-FR" w:eastAsia="en-US" w:bidi="ar-SA"/>
        </w:rPr>
        <w:t>：</w:t>
      </w:r>
    </w:p>
    <w:p w14:paraId="0D68C725">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环境质量公告；</w:t>
      </w:r>
    </w:p>
    <w:p w14:paraId="10A6F695">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区域环境保护规划；</w:t>
      </w:r>
    </w:p>
    <w:p w14:paraId="541D1BC1">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环境功能区划、生态和水源保护区规划等；</w:t>
      </w:r>
    </w:p>
    <w:p w14:paraId="51ED4D8D">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企业在政府部门相关环境备案和批复；</w:t>
      </w:r>
    </w:p>
    <w:p w14:paraId="1421CA6D">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环境执法记录、环保投诉记录等。</w:t>
      </w:r>
    </w:p>
    <w:p w14:paraId="3A00D3CC">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pacing w:val="-3"/>
          <w:sz w:val="21"/>
          <w:szCs w:val="21"/>
          <w:lang w:val="fr-FR" w:eastAsia="zh-CN" w:bidi="ar-SA"/>
        </w:rPr>
        <w:t>所在</w:t>
      </w:r>
      <w:r>
        <w:rPr>
          <w:rFonts w:hint="eastAsia" w:ascii="宋体" w:hAnsi="宋体" w:eastAsia="宋体" w:cs="宋体"/>
          <w:sz w:val="21"/>
          <w:szCs w:val="21"/>
          <w:lang w:val="en-US" w:eastAsia="zh-CN" w:bidi="ar-SA"/>
        </w:rPr>
        <w:t>区域</w:t>
      </w:r>
      <w:r>
        <w:rPr>
          <w:rFonts w:hint="eastAsia" w:ascii="宋体" w:hAnsi="宋体" w:eastAsia="宋体" w:cs="宋体"/>
          <w:spacing w:val="-3"/>
          <w:sz w:val="21"/>
          <w:szCs w:val="21"/>
          <w:lang w:val="fr-FR" w:eastAsia="zh-CN" w:bidi="ar-SA"/>
        </w:rPr>
        <w:t>的自然和社会信息</w:t>
      </w:r>
      <w:r>
        <w:rPr>
          <w:rFonts w:hint="eastAsia" w:ascii="宋体" w:hAnsi="宋体" w:eastAsia="宋体" w:cs="宋体"/>
          <w:spacing w:val="-3"/>
          <w:sz w:val="21"/>
          <w:szCs w:val="21"/>
          <w:lang w:val="en-US" w:eastAsia="zh-CN" w:bidi="ar-SA"/>
        </w:rPr>
        <w:t>包括</w:t>
      </w:r>
      <w:r>
        <w:rPr>
          <w:rFonts w:hint="eastAsia" w:ascii="宋体" w:hAnsi="宋体" w:eastAsia="宋体" w:cs="宋体"/>
          <w:spacing w:val="-3"/>
          <w:sz w:val="21"/>
          <w:szCs w:val="21"/>
          <w:lang w:val="fr-FR" w:eastAsia="zh-CN" w:bidi="ar-SA"/>
        </w:rPr>
        <w:t>：</w:t>
      </w:r>
    </w:p>
    <w:p w14:paraId="74914AB9">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自然信息包括地理位置、地形、地貌、土壤、水文、地质、地下水利用情况和气象资料等；</w:t>
      </w:r>
    </w:p>
    <w:p w14:paraId="6A89A024">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社会信息包括人口密度和分布，敏感目标分布，周边工业企业分布，土地利用方式，区域所在地的</w:t>
      </w:r>
      <w:r>
        <w:rPr>
          <w:rFonts w:hint="eastAsia" w:ascii="宋体" w:hAnsi="宋体" w:eastAsia="宋体" w:cs="宋体"/>
          <w:color w:val="auto"/>
          <w:sz w:val="21"/>
          <w:szCs w:val="21"/>
          <w:lang w:val="en-US" w:eastAsia="zh-CN" w:bidi="ar-SA"/>
        </w:rPr>
        <w:t>发展规划</w:t>
      </w:r>
      <w:r>
        <w:rPr>
          <w:rFonts w:hint="eastAsia" w:ascii="宋体" w:hAnsi="宋体" w:eastAsia="宋体" w:cs="宋体"/>
          <w:sz w:val="21"/>
          <w:szCs w:val="21"/>
          <w:lang w:val="en-US" w:eastAsia="zh-CN" w:bidi="ar-SA"/>
        </w:rPr>
        <w:t>，相关的国家和地方的政策、法规与标准，当地地方性疾病统计信息等。</w:t>
      </w:r>
    </w:p>
    <w:p w14:paraId="182D55C9">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1"/>
          <w:sz w:val="21"/>
          <w:szCs w:val="21"/>
          <w:lang w:val="fr-FR" w:eastAsia="en-US" w:bidi="ar-SA"/>
        </w:rPr>
        <w:t>资料分析</w:t>
      </w:r>
    </w:p>
    <w:p w14:paraId="555A2014">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对资料进行分析判断，初步分析地块历史生产活动、可能存在的有毒有害物质、涉及有毒有害物质的重点区域和场所，确定地块的用地分类。识别资料中的错误和不合理的信息，如资料缺失影响地块污染状况分析时，应在调查报告中说明。</w:t>
      </w:r>
    </w:p>
    <w:p w14:paraId="2E199A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sz w:val="21"/>
          <w:szCs w:val="21"/>
          <w:lang w:val="en-US" w:eastAsia="zh-CN"/>
        </w:rPr>
        <w:sectPr>
          <w:pgSz w:w="11910" w:h="16840"/>
          <w:pgMar w:top="1417" w:right="1134" w:bottom="1134" w:left="1417" w:header="1417" w:footer="1134" w:gutter="0"/>
          <w:pgNumType w:fmt="decimal"/>
          <w:cols w:space="0" w:num="1"/>
          <w:rtlGutter w:val="0"/>
          <w:docGrid w:linePitch="0" w:charSpace="0"/>
        </w:sectPr>
      </w:pPr>
    </w:p>
    <w:p w14:paraId="1A7765F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en-US" w:eastAsia="zh-CN" w:bidi="ar-SA"/>
        </w:rPr>
      </w:pPr>
    </w:p>
    <w:p w14:paraId="41FF7E40">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1"/>
          <w:lang w:val="fr-FR" w:eastAsia="en-US" w:bidi="ar-SA"/>
        </w:rPr>
      </w:pPr>
      <w:bookmarkStart w:id="25" w:name="_bookmark11"/>
      <w:bookmarkEnd w:id="25"/>
      <w:bookmarkStart w:id="26" w:name="_Toc29796"/>
      <w:r>
        <w:rPr>
          <w:rFonts w:hint="eastAsia" w:ascii="黑体" w:hAnsi="宋体" w:eastAsia="黑体" w:cs="宋体"/>
          <w:spacing w:val="-1"/>
          <w:sz w:val="21"/>
          <w:szCs w:val="21"/>
          <w:lang w:val="fr-FR" w:eastAsia="en-US" w:bidi="ar-SA"/>
        </w:rPr>
        <w:t>现场踏勘</w:t>
      </w:r>
      <w:bookmarkEnd w:id="26"/>
    </w:p>
    <w:p w14:paraId="5502F48C">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hint="default" w:ascii="黑体" w:hAnsi="宋体" w:eastAsia="黑体" w:cs="宋体"/>
          <w:spacing w:val="-2"/>
          <w:sz w:val="21"/>
          <w:szCs w:val="21"/>
          <w:lang w:val="en-US" w:eastAsia="zh-CN" w:bidi="ar-SA"/>
        </w:rPr>
      </w:pPr>
      <w:r>
        <w:rPr>
          <w:rFonts w:hint="eastAsia" w:ascii="黑体" w:hAnsi="宋体" w:eastAsia="黑体" w:cs="宋体"/>
          <w:spacing w:val="-2"/>
          <w:sz w:val="21"/>
          <w:szCs w:val="21"/>
          <w:lang w:val="en-US" w:eastAsia="zh-CN" w:bidi="ar-SA"/>
        </w:rPr>
        <w:t>现场踏勘准备</w:t>
      </w:r>
    </w:p>
    <w:p w14:paraId="1095505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在现场踏勘前，</w:t>
      </w:r>
      <w:r>
        <w:rPr>
          <w:rFonts w:hint="eastAsia" w:ascii="宋体" w:hAnsi="宋体" w:eastAsia="宋体" w:cs="宋体"/>
          <w:sz w:val="21"/>
          <w:szCs w:val="21"/>
          <w:lang w:val="en-US" w:eastAsia="zh-CN" w:bidi="ar-SA"/>
        </w:rPr>
        <w:t>应</w:t>
      </w:r>
      <w:r>
        <w:rPr>
          <w:rFonts w:hint="eastAsia" w:ascii="宋体" w:hAnsi="宋体" w:eastAsia="宋体" w:cs="宋体"/>
          <w:sz w:val="21"/>
          <w:szCs w:val="21"/>
          <w:lang w:val="fr-FR" w:eastAsia="zh-CN" w:bidi="ar-SA"/>
        </w:rPr>
        <w:t>根据地块的具体情况掌握相应的安全卫生防护知识，并装备必要的防护用品。</w:t>
      </w:r>
      <w:r>
        <w:rPr>
          <w:rFonts w:ascii="宋体" w:hAnsi="宋体" w:eastAsia="宋体" w:cs="宋体"/>
          <w:sz w:val="21"/>
          <w:szCs w:val="21"/>
          <w:lang w:val="fr-FR" w:eastAsia="zh-CN" w:bidi="ar-SA"/>
        </w:rPr>
        <w:t>必要时，应在进入地块前进行专门的培训。</w:t>
      </w:r>
    </w:p>
    <w:p w14:paraId="30FA1CAB">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hint="default" w:ascii="黑体" w:hAnsi="宋体" w:eastAsia="黑体" w:cs="宋体"/>
          <w:spacing w:val="-2"/>
          <w:sz w:val="21"/>
          <w:szCs w:val="21"/>
          <w:lang w:val="en-US" w:eastAsia="zh-CN" w:bidi="ar-SA"/>
        </w:rPr>
      </w:pPr>
      <w:r>
        <w:rPr>
          <w:rFonts w:hint="eastAsia" w:ascii="黑体" w:hAnsi="宋体" w:eastAsia="黑体" w:cs="宋体"/>
          <w:spacing w:val="-2"/>
          <w:sz w:val="21"/>
          <w:szCs w:val="21"/>
          <w:lang w:val="en-US" w:eastAsia="zh-CN" w:bidi="ar-SA"/>
        </w:rPr>
        <w:t>现场踏勘方法</w:t>
      </w:r>
    </w:p>
    <w:p w14:paraId="421CE84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现场踏勘</w:t>
      </w:r>
      <w:r>
        <w:rPr>
          <w:rFonts w:hint="eastAsia" w:ascii="宋体" w:hAnsi="宋体" w:eastAsia="宋体" w:cs="宋体"/>
          <w:sz w:val="21"/>
          <w:szCs w:val="21"/>
          <w:lang w:val="fr-FR" w:eastAsia="zh-CN" w:bidi="ar-SA"/>
        </w:rPr>
        <w:t>可通过对异常气味和</w:t>
      </w:r>
      <w:r>
        <w:rPr>
          <w:rFonts w:hint="eastAsia" w:ascii="宋体" w:hAnsi="宋体" w:eastAsia="宋体" w:cs="宋体"/>
          <w:sz w:val="21"/>
          <w:szCs w:val="21"/>
          <w:lang w:val="en-US" w:eastAsia="zh-CN" w:bidi="ar-SA"/>
        </w:rPr>
        <w:t>疑似</w:t>
      </w:r>
      <w:r>
        <w:rPr>
          <w:rFonts w:hint="eastAsia" w:ascii="宋体" w:hAnsi="宋体" w:eastAsia="宋体" w:cs="宋体"/>
          <w:sz w:val="21"/>
          <w:szCs w:val="21"/>
          <w:lang w:val="fr-FR" w:eastAsia="zh-CN" w:bidi="ar-SA"/>
        </w:rPr>
        <w:t>污染痕迹的辨识、</w:t>
      </w:r>
      <w:r>
        <w:rPr>
          <w:rFonts w:hint="eastAsia" w:ascii="宋体" w:hAnsi="宋体" w:eastAsia="宋体" w:cs="宋体"/>
          <w:sz w:val="21"/>
          <w:szCs w:val="21"/>
          <w:lang w:val="en-US" w:eastAsia="zh-CN" w:bidi="ar-SA"/>
        </w:rPr>
        <w:t>现场快速检测</w:t>
      </w:r>
      <w:r>
        <w:rPr>
          <w:rFonts w:hint="eastAsia" w:ascii="宋体" w:hAnsi="宋体" w:eastAsia="宋体" w:cs="宋体"/>
          <w:sz w:val="21"/>
          <w:szCs w:val="21"/>
          <w:lang w:val="fr-FR" w:eastAsia="zh-CN" w:bidi="ar-SA"/>
        </w:rPr>
        <w:t>、摄影和照相、现场笔记、航拍等方式，初步判断地块污染状况。</w:t>
      </w:r>
      <w:r>
        <w:rPr>
          <w:rFonts w:hint="eastAsia" w:ascii="宋体" w:hAnsi="宋体" w:eastAsia="宋体" w:cs="宋体"/>
          <w:sz w:val="21"/>
          <w:szCs w:val="21"/>
          <w:lang w:val="en-US" w:eastAsia="zh-CN" w:bidi="ar-SA"/>
        </w:rPr>
        <w:t>现场踏勘记录表</w:t>
      </w:r>
      <w:r>
        <w:rPr>
          <w:rFonts w:ascii="宋体" w:hAnsi="宋体" w:eastAsia="宋体" w:cs="宋体"/>
          <w:sz w:val="21"/>
          <w:szCs w:val="21"/>
          <w:lang w:val="fr-FR" w:eastAsia="zh-CN" w:bidi="ar-SA"/>
        </w:rPr>
        <w:t>格式</w:t>
      </w:r>
      <w:r>
        <w:rPr>
          <w:rFonts w:hint="eastAsia" w:ascii="宋体" w:hAnsi="宋体" w:eastAsia="宋体" w:cs="宋体"/>
          <w:sz w:val="21"/>
          <w:szCs w:val="21"/>
          <w:lang w:val="en-US" w:eastAsia="zh-CN" w:bidi="ar-SA"/>
        </w:rPr>
        <w:t>可参考</w:t>
      </w:r>
      <w:r>
        <w:rPr>
          <w:rFonts w:ascii="宋体" w:hAnsi="宋体" w:eastAsia="宋体" w:cs="宋体"/>
          <w:sz w:val="21"/>
          <w:szCs w:val="21"/>
          <w:lang w:val="fr-FR" w:eastAsia="zh-CN" w:bidi="ar-SA"/>
        </w:rPr>
        <w:t>附录A</w:t>
      </w:r>
      <w:r>
        <w:rPr>
          <w:rFonts w:hint="eastAsia" w:ascii="宋体" w:hAnsi="宋体" w:eastAsia="宋体" w:cs="宋体"/>
          <w:sz w:val="21"/>
          <w:szCs w:val="21"/>
          <w:lang w:val="fr-FR" w:eastAsia="zh-CN" w:bidi="ar-SA"/>
        </w:rPr>
        <w:t>。</w:t>
      </w:r>
    </w:p>
    <w:p w14:paraId="06E63533">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2"/>
          <w:sz w:val="21"/>
          <w:szCs w:val="21"/>
          <w:lang w:val="fr-FR" w:eastAsia="en-US" w:bidi="ar-SA"/>
        </w:rPr>
        <w:t>现场踏勘范围</w:t>
      </w:r>
    </w:p>
    <w:p w14:paraId="52B8558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以地块内为主，并应包括地块的周边区域，周边区域的范围应根据地块的敏感程度和污染物可能迁移的距离来确定。</w:t>
      </w:r>
    </w:p>
    <w:p w14:paraId="606C4202">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1"/>
          <w:sz w:val="21"/>
          <w:szCs w:val="21"/>
          <w:lang w:val="fr-FR" w:eastAsia="en-US" w:bidi="ar-SA"/>
        </w:rPr>
        <w:t>现场</w:t>
      </w:r>
      <w:r>
        <w:rPr>
          <w:rFonts w:hint="eastAsia" w:ascii="黑体" w:hAnsi="宋体" w:eastAsia="黑体" w:cs="宋体"/>
          <w:spacing w:val="-3"/>
          <w:sz w:val="21"/>
          <w:szCs w:val="21"/>
          <w:lang w:val="fr-FR" w:eastAsia="en-US" w:bidi="ar-SA"/>
        </w:rPr>
        <w:t>踏勘主要内容</w:t>
      </w:r>
    </w:p>
    <w:p w14:paraId="0B22631C">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现场踏勘的主要内容包括：</w:t>
      </w:r>
      <w:r>
        <w:rPr>
          <w:rFonts w:hint="eastAsia" w:ascii="宋体" w:hAnsi="宋体" w:eastAsia="宋体" w:cs="宋体"/>
          <w:sz w:val="21"/>
          <w:szCs w:val="21"/>
          <w:lang w:val="en-US" w:eastAsia="zh-CN" w:bidi="ar-SA"/>
        </w:rPr>
        <w:t>资料与实际吻合情况，</w:t>
      </w:r>
      <w:r>
        <w:rPr>
          <w:rFonts w:ascii="宋体" w:hAnsi="宋体" w:eastAsia="宋体" w:cs="宋体"/>
          <w:sz w:val="21"/>
          <w:szCs w:val="21"/>
          <w:lang w:val="fr-FR" w:eastAsia="zh-CN" w:bidi="ar-SA"/>
        </w:rPr>
        <w:t>地块的现状与历史情况，相邻地块的现状与历史情况，周围区域的现状与历史情况，区域</w:t>
      </w:r>
      <w:r>
        <w:rPr>
          <w:rFonts w:hint="eastAsia" w:ascii="宋体" w:hAnsi="宋体" w:eastAsia="宋体" w:cs="宋体"/>
          <w:sz w:val="21"/>
          <w:szCs w:val="21"/>
          <w:lang w:val="en-US" w:eastAsia="zh-CN" w:bidi="ar-SA"/>
        </w:rPr>
        <w:t>的</w:t>
      </w:r>
      <w:r>
        <w:rPr>
          <w:rFonts w:ascii="宋体" w:hAnsi="宋体" w:eastAsia="宋体" w:cs="宋体"/>
          <w:sz w:val="21"/>
          <w:szCs w:val="21"/>
          <w:lang w:val="fr-FR" w:eastAsia="zh-CN" w:bidi="ar-SA"/>
        </w:rPr>
        <w:t>地质、水文地质和地形情况等。</w:t>
      </w:r>
    </w:p>
    <w:p w14:paraId="75F3EA9F">
      <w:pPr>
        <w:keepNext w:val="0"/>
        <w:keepLines w:val="0"/>
        <w:pageBreakBefore w:val="0"/>
        <w:widowControl w:val="0"/>
        <w:numPr>
          <w:ilvl w:val="0"/>
          <w:numId w:val="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资料与实际吻合情况：核查资料分析所获取的地块历史生产、平面布置、污染物产排等信息与地块实际情况的吻合程度，如有偏差或者错误，需核查地块真实情况，并在报告中进行说明；</w:t>
      </w:r>
    </w:p>
    <w:p w14:paraId="7DF7F323">
      <w:pPr>
        <w:keepNext w:val="0"/>
        <w:keepLines w:val="0"/>
        <w:pageBreakBefore w:val="0"/>
        <w:widowControl w:val="0"/>
        <w:numPr>
          <w:ilvl w:val="0"/>
          <w:numId w:val="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地块现状与历史情况：可能造成土壤和地下水污染的</w:t>
      </w:r>
      <w:r>
        <w:rPr>
          <w:rFonts w:hint="eastAsia" w:ascii="宋体" w:hAnsi="宋体" w:eastAsia="宋体" w:cs="宋体"/>
          <w:spacing w:val="-3"/>
          <w:sz w:val="21"/>
          <w:szCs w:val="21"/>
          <w:lang w:val="en-US" w:eastAsia="zh-CN" w:bidi="ar-SA"/>
        </w:rPr>
        <w:t>有毒有害</w:t>
      </w:r>
      <w:r>
        <w:rPr>
          <w:rFonts w:ascii="宋体" w:hAnsi="宋体" w:eastAsia="宋体" w:cs="宋体"/>
          <w:spacing w:val="-3"/>
          <w:sz w:val="21"/>
          <w:szCs w:val="21"/>
          <w:lang w:val="fr-FR" w:eastAsia="zh-CN" w:bidi="ar-SA"/>
        </w:rPr>
        <w:t>物质使用、生产、贮存</w:t>
      </w:r>
      <w:r>
        <w:rPr>
          <w:rFonts w:hint="eastAsia" w:ascii="宋体" w:hAnsi="宋体" w:eastAsia="宋体" w:cs="宋体"/>
          <w:spacing w:val="-3"/>
          <w:sz w:val="21"/>
          <w:szCs w:val="21"/>
          <w:lang w:val="fr-FR" w:eastAsia="zh-CN" w:bidi="ar-SA"/>
        </w:rPr>
        <w:t>、泄漏</w:t>
      </w:r>
      <w:r>
        <w:rPr>
          <w:rFonts w:hint="eastAsia" w:ascii="宋体" w:hAnsi="宋体" w:eastAsia="宋体" w:cs="宋体"/>
          <w:spacing w:val="-3"/>
          <w:sz w:val="21"/>
          <w:szCs w:val="21"/>
          <w:lang w:val="en-US" w:eastAsia="zh-CN" w:bidi="ar-SA"/>
        </w:rPr>
        <w:t>情况</w:t>
      </w:r>
      <w:r>
        <w:rPr>
          <w:rFonts w:ascii="宋体" w:hAnsi="宋体" w:eastAsia="宋体" w:cs="宋体"/>
          <w:spacing w:val="-3"/>
          <w:sz w:val="21"/>
          <w:szCs w:val="21"/>
          <w:lang w:val="fr-FR" w:eastAsia="zh-CN" w:bidi="ar-SA"/>
        </w:rPr>
        <w:t>，三废</w:t>
      </w:r>
      <w:r>
        <w:rPr>
          <w:rFonts w:hint="eastAsia" w:ascii="宋体" w:hAnsi="宋体" w:eastAsia="宋体" w:cs="宋体"/>
          <w:spacing w:val="-3"/>
          <w:sz w:val="21"/>
          <w:szCs w:val="21"/>
          <w:lang w:val="en-US" w:eastAsia="zh-CN" w:bidi="ar-SA"/>
        </w:rPr>
        <w:t>产生、</w:t>
      </w:r>
      <w:r>
        <w:rPr>
          <w:rFonts w:ascii="宋体" w:hAnsi="宋体" w:eastAsia="宋体" w:cs="宋体"/>
          <w:spacing w:val="-3"/>
          <w:sz w:val="21"/>
          <w:szCs w:val="21"/>
          <w:lang w:val="fr-FR" w:eastAsia="zh-CN" w:bidi="ar-SA"/>
        </w:rPr>
        <w:t>处理与排</w:t>
      </w:r>
      <w:r>
        <w:rPr>
          <w:rFonts w:ascii="宋体" w:hAnsi="宋体" w:eastAsia="宋体" w:cs="宋体"/>
          <w:spacing w:val="-11"/>
          <w:sz w:val="21"/>
          <w:szCs w:val="21"/>
          <w:lang w:val="fr-FR" w:eastAsia="zh-CN" w:bidi="ar-SA"/>
        </w:rPr>
        <w:t>放以及泄漏状况，地块过去使用过程中留下的可能造成土壤和地下水污染的异常迹象，如罐、</w:t>
      </w:r>
      <w:r>
        <w:rPr>
          <w:rFonts w:ascii="宋体" w:hAnsi="宋体" w:eastAsia="宋体" w:cs="宋体"/>
          <w:spacing w:val="-6"/>
          <w:sz w:val="21"/>
          <w:szCs w:val="21"/>
          <w:lang w:val="fr-FR" w:eastAsia="zh-CN" w:bidi="ar-SA"/>
        </w:rPr>
        <w:t>槽泄漏以及废物临时堆放污染痕迹</w:t>
      </w:r>
      <w:r>
        <w:rPr>
          <w:rFonts w:hint="eastAsia" w:ascii="宋体" w:hAnsi="宋体" w:eastAsia="宋体" w:cs="宋体"/>
          <w:spacing w:val="-6"/>
          <w:sz w:val="21"/>
          <w:szCs w:val="21"/>
          <w:lang w:val="fr-FR" w:eastAsia="zh-CN" w:bidi="ar-SA"/>
        </w:rPr>
        <w:t>；</w:t>
      </w:r>
    </w:p>
    <w:p w14:paraId="11621A47">
      <w:pPr>
        <w:keepNext w:val="0"/>
        <w:keepLines w:val="0"/>
        <w:pageBreakBefore w:val="0"/>
        <w:widowControl w:val="0"/>
        <w:numPr>
          <w:ilvl w:val="0"/>
          <w:numId w:val="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相邻地块的现状与历史情况：相邻地块的使用现状与污染源，以及过去使用中留下的可能造成土壤和地下水污染的异常迹象，如罐、槽泄漏以及废物临时堆放污染痕迹</w:t>
      </w:r>
      <w:r>
        <w:rPr>
          <w:rFonts w:hint="eastAsia" w:ascii="宋体" w:hAnsi="宋体" w:eastAsia="宋体" w:cs="宋体"/>
          <w:spacing w:val="-3"/>
          <w:sz w:val="21"/>
          <w:szCs w:val="21"/>
          <w:lang w:val="fr-FR" w:eastAsia="zh-CN" w:bidi="ar-SA"/>
        </w:rPr>
        <w:t>；</w:t>
      </w:r>
    </w:p>
    <w:p w14:paraId="5A400C78">
      <w:pPr>
        <w:keepNext w:val="0"/>
        <w:keepLines w:val="0"/>
        <w:pageBreakBefore w:val="0"/>
        <w:widowControl w:val="0"/>
        <w:numPr>
          <w:ilvl w:val="0"/>
          <w:numId w:val="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周围区域的现状与历史情况：对于周围区域目前或过去土地利用的类型，如</w:t>
      </w:r>
      <w:r>
        <w:rPr>
          <w:rFonts w:hint="eastAsia" w:ascii="宋体" w:hAnsi="宋体" w:eastAsia="宋体" w:cs="宋体"/>
          <w:spacing w:val="-3"/>
          <w:sz w:val="21"/>
          <w:szCs w:val="21"/>
          <w:lang w:val="en-US" w:eastAsia="zh-CN" w:bidi="ar-SA"/>
        </w:rPr>
        <w:t>住宅、学校和</w:t>
      </w:r>
      <w:r>
        <w:rPr>
          <w:rFonts w:ascii="宋体" w:hAnsi="宋体" w:eastAsia="宋体" w:cs="宋体"/>
          <w:spacing w:val="-3"/>
          <w:sz w:val="21"/>
          <w:szCs w:val="21"/>
          <w:lang w:val="fr-FR" w:eastAsia="zh-CN" w:bidi="ar-SA"/>
        </w:rPr>
        <w:t>工厂等，尽可</w:t>
      </w:r>
      <w:r>
        <w:rPr>
          <w:rFonts w:ascii="宋体" w:hAnsi="宋体" w:eastAsia="宋体" w:cs="宋体"/>
          <w:spacing w:val="-4"/>
          <w:sz w:val="21"/>
          <w:szCs w:val="21"/>
          <w:lang w:val="fr-FR" w:eastAsia="zh-CN" w:bidi="ar-SA"/>
        </w:rPr>
        <w:t>能观察和记录；周围区域的废弃和正在使用的各类井</w:t>
      </w:r>
      <w:r>
        <w:rPr>
          <w:rFonts w:hint="eastAsia" w:ascii="宋体" w:hAnsi="宋体" w:eastAsia="宋体" w:cs="宋体"/>
          <w:spacing w:val="-4"/>
          <w:sz w:val="21"/>
          <w:szCs w:val="21"/>
          <w:lang w:val="fr-FR" w:eastAsia="zh-CN" w:bidi="ar-SA"/>
        </w:rPr>
        <w:t>，</w:t>
      </w:r>
      <w:r>
        <w:rPr>
          <w:rFonts w:hint="eastAsia" w:ascii="宋体" w:hAnsi="宋体" w:eastAsia="宋体" w:cs="宋体"/>
          <w:spacing w:val="-4"/>
          <w:sz w:val="21"/>
          <w:szCs w:val="21"/>
          <w:lang w:val="en-US" w:eastAsia="zh-CN" w:bidi="ar-SA"/>
        </w:rPr>
        <w:t>如水井、监测井等</w:t>
      </w:r>
      <w:r>
        <w:rPr>
          <w:rFonts w:ascii="宋体" w:hAnsi="宋体" w:eastAsia="宋体" w:cs="宋体"/>
          <w:spacing w:val="-4"/>
          <w:sz w:val="21"/>
          <w:szCs w:val="21"/>
          <w:lang w:val="fr-FR" w:eastAsia="zh-CN" w:bidi="ar-SA"/>
        </w:rPr>
        <w:t>；污水处理和排放系统；化学品和废弃</w:t>
      </w:r>
      <w:r>
        <w:rPr>
          <w:rFonts w:ascii="宋体" w:hAnsi="宋体" w:eastAsia="宋体" w:cs="宋体"/>
          <w:spacing w:val="-5"/>
          <w:sz w:val="21"/>
          <w:szCs w:val="21"/>
          <w:lang w:val="fr-FR" w:eastAsia="zh-CN" w:bidi="ar-SA"/>
        </w:rPr>
        <w:t>物的储存和处置设施；地面上的沟、河、池；地表水体、雨水排放和径流以及道路和公用设施</w:t>
      </w:r>
      <w:r>
        <w:rPr>
          <w:rFonts w:hint="eastAsia" w:ascii="宋体" w:hAnsi="宋体" w:eastAsia="宋体" w:cs="宋体"/>
          <w:spacing w:val="-5"/>
          <w:sz w:val="21"/>
          <w:szCs w:val="21"/>
          <w:lang w:val="fr-FR" w:eastAsia="zh-CN" w:bidi="ar-SA"/>
        </w:rPr>
        <w:t>；</w:t>
      </w:r>
    </w:p>
    <w:p w14:paraId="6F3AB9A5">
      <w:pPr>
        <w:keepNext w:val="0"/>
        <w:keepLines w:val="0"/>
        <w:pageBreakBefore w:val="0"/>
        <w:widowControl w:val="0"/>
        <w:numPr>
          <w:ilvl w:val="0"/>
          <w:numId w:val="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5"/>
          <w:sz w:val="21"/>
          <w:szCs w:val="21"/>
          <w:lang w:val="fr-FR" w:eastAsia="zh-CN" w:bidi="ar-SA"/>
        </w:rPr>
      </w:pPr>
      <w:r>
        <w:rPr>
          <w:rFonts w:ascii="宋体" w:hAnsi="宋体" w:eastAsia="宋体" w:cs="宋体"/>
          <w:spacing w:val="-10"/>
          <w:sz w:val="21"/>
          <w:szCs w:val="21"/>
          <w:lang w:val="fr-FR" w:eastAsia="zh-CN" w:bidi="ar-SA"/>
        </w:rPr>
        <w:t>地质、水文地质和地形情况：地块及其周围区域的地质、水文地质与地形应观察、记录，</w:t>
      </w:r>
      <w:r>
        <w:rPr>
          <w:rFonts w:ascii="宋体" w:hAnsi="宋体" w:eastAsia="宋体" w:cs="宋体"/>
          <w:spacing w:val="-7"/>
          <w:sz w:val="21"/>
          <w:szCs w:val="21"/>
          <w:lang w:val="fr-FR" w:eastAsia="zh-CN" w:bidi="ar-SA"/>
        </w:rPr>
        <w:t>并加以分析，以协助判断周围污染物是否会迁移到调查地块，地块内污染物是否会迁移</w:t>
      </w:r>
      <w:r>
        <w:rPr>
          <w:rFonts w:ascii="宋体" w:hAnsi="宋体" w:eastAsia="宋体" w:cs="宋体"/>
          <w:spacing w:val="-5"/>
          <w:sz w:val="21"/>
          <w:szCs w:val="21"/>
          <w:lang w:val="fr-FR" w:eastAsia="zh-CN" w:bidi="ar-SA"/>
        </w:rPr>
        <w:t>到地下水和地块之外</w:t>
      </w:r>
      <w:r>
        <w:rPr>
          <w:rFonts w:hint="eastAsia" w:ascii="宋体" w:hAnsi="宋体" w:eastAsia="宋体" w:cs="宋体"/>
          <w:spacing w:val="-5"/>
          <w:sz w:val="21"/>
          <w:szCs w:val="21"/>
          <w:lang w:val="fr-FR" w:eastAsia="zh-CN" w:bidi="ar-SA"/>
        </w:rPr>
        <w:t>，</w:t>
      </w:r>
      <w:r>
        <w:rPr>
          <w:rFonts w:hint="eastAsia" w:ascii="宋体" w:hAnsi="宋体" w:eastAsia="宋体" w:cs="宋体"/>
          <w:spacing w:val="-5"/>
          <w:sz w:val="21"/>
          <w:szCs w:val="21"/>
          <w:lang w:val="en-US" w:eastAsia="zh-CN" w:bidi="ar-SA"/>
        </w:rPr>
        <w:t>以及相应的潜在迁移方式和途径</w:t>
      </w:r>
      <w:r>
        <w:rPr>
          <w:rFonts w:ascii="宋体" w:hAnsi="宋体" w:eastAsia="宋体" w:cs="宋体"/>
          <w:spacing w:val="-5"/>
          <w:sz w:val="21"/>
          <w:szCs w:val="21"/>
          <w:lang w:val="fr-FR" w:eastAsia="zh-CN" w:bidi="ar-SA"/>
        </w:rPr>
        <w:t>。</w:t>
      </w:r>
    </w:p>
    <w:p w14:paraId="38B54335">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1"/>
          <w:sz w:val="21"/>
          <w:szCs w:val="21"/>
          <w:lang w:val="fr-FR" w:eastAsia="en-US" w:bidi="ar-SA"/>
        </w:rPr>
        <w:t>现场</w:t>
      </w:r>
      <w:r>
        <w:rPr>
          <w:rFonts w:hint="eastAsia" w:ascii="黑体" w:hAnsi="宋体" w:eastAsia="黑体" w:cs="宋体"/>
          <w:spacing w:val="-3"/>
          <w:sz w:val="21"/>
          <w:szCs w:val="21"/>
          <w:lang w:val="en-US" w:eastAsia="zh-CN" w:bidi="ar-SA"/>
        </w:rPr>
        <w:t>快速检测</w:t>
      </w:r>
    </w:p>
    <w:p w14:paraId="06A4F370">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distribute"/>
        <w:textAlignment w:val="auto"/>
        <w:rPr>
          <w:spacing w:val="-3"/>
          <w:sz w:val="21"/>
          <w:szCs w:val="21"/>
          <w:lang w:val="en-US" w:eastAsia="zh-CN"/>
        </w:rPr>
        <w:sectPr>
          <w:pgSz w:w="11910" w:h="16840"/>
          <w:pgMar w:top="1417" w:right="1417" w:bottom="1134" w:left="1134" w:header="1417" w:footer="1134" w:gutter="0"/>
          <w:pgNumType w:fmt="decimal"/>
          <w:cols w:space="0" w:num="1"/>
          <w:rtlGutter w:val="0"/>
          <w:docGrid w:linePitch="0" w:charSpace="0"/>
        </w:sectPr>
      </w:pPr>
      <w:r>
        <w:rPr>
          <w:rFonts w:hint="eastAsia" w:ascii="宋体" w:hAnsi="宋体" w:eastAsia="宋体" w:cs="宋体"/>
          <w:sz w:val="21"/>
          <w:szCs w:val="21"/>
          <w:lang w:val="en-US" w:eastAsia="zh-CN" w:bidi="ar-SA"/>
        </w:rPr>
        <w:t>现场</w:t>
      </w:r>
      <w:r>
        <w:rPr>
          <w:rFonts w:hint="eastAsia" w:ascii="宋体" w:hAnsi="宋体" w:eastAsia="宋体" w:cs="宋体"/>
          <w:sz w:val="21"/>
          <w:szCs w:val="21"/>
          <w:lang w:val="fr-FR" w:eastAsia="zh-CN" w:bidi="ar-SA"/>
        </w:rPr>
        <w:t>踏勘</w:t>
      </w:r>
      <w:r>
        <w:rPr>
          <w:rFonts w:hint="eastAsia" w:ascii="宋体" w:hAnsi="宋体" w:eastAsia="宋体" w:cs="宋体"/>
          <w:sz w:val="21"/>
          <w:szCs w:val="21"/>
          <w:lang w:val="en-US" w:eastAsia="zh-CN" w:bidi="ar-SA"/>
        </w:rPr>
        <w:t>期间</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宜</w:t>
      </w:r>
      <w:r>
        <w:rPr>
          <w:rFonts w:hint="eastAsia" w:ascii="宋体" w:hAnsi="宋体" w:eastAsia="宋体" w:cs="宋体"/>
          <w:sz w:val="21"/>
          <w:szCs w:val="21"/>
          <w:lang w:val="fr-FR" w:eastAsia="zh-CN" w:bidi="ar-SA"/>
        </w:rPr>
        <w:t>使用光离子化检测仪（PID）</w:t>
      </w:r>
      <w:r>
        <w:rPr>
          <w:rFonts w:hint="eastAsia" w:ascii="宋体" w:hAnsi="宋体" w:eastAsia="宋体" w:cs="宋体"/>
          <w:sz w:val="21"/>
          <w:szCs w:val="21"/>
          <w:lang w:val="en-US" w:eastAsia="zh-CN" w:bidi="ar-SA"/>
        </w:rPr>
        <w:t>和</w:t>
      </w:r>
      <w:r>
        <w:rPr>
          <w:rFonts w:hint="eastAsia" w:ascii="宋体" w:hAnsi="宋体" w:eastAsia="宋体" w:cs="宋体"/>
          <w:sz w:val="21"/>
          <w:szCs w:val="21"/>
          <w:lang w:val="fr-FR" w:eastAsia="zh-CN" w:bidi="ar-SA"/>
        </w:rPr>
        <w:t>X射线荧光光谱仪（XRF）</w:t>
      </w:r>
      <w:r>
        <w:rPr>
          <w:rFonts w:hint="eastAsia" w:ascii="宋体" w:hAnsi="宋体" w:eastAsia="宋体" w:cs="宋体"/>
          <w:sz w:val="21"/>
          <w:szCs w:val="21"/>
          <w:lang w:val="en-US" w:eastAsia="zh-CN" w:bidi="ar-SA"/>
        </w:rPr>
        <w:t>等</w:t>
      </w:r>
      <w:r>
        <w:rPr>
          <w:rFonts w:hint="eastAsia" w:ascii="宋体" w:hAnsi="宋体" w:eastAsia="宋体" w:cs="宋体"/>
          <w:sz w:val="21"/>
          <w:szCs w:val="21"/>
          <w:lang w:val="fr-FR" w:eastAsia="zh-CN" w:bidi="ar-SA"/>
        </w:rPr>
        <w:t>现场快速</w:t>
      </w:r>
      <w:r>
        <w:rPr>
          <w:rFonts w:hint="eastAsia" w:ascii="宋体" w:hAnsi="宋体" w:eastAsia="宋体" w:cs="宋体"/>
          <w:sz w:val="21"/>
          <w:szCs w:val="21"/>
          <w:lang w:val="en-US" w:eastAsia="zh-CN" w:bidi="ar-SA"/>
        </w:rPr>
        <w:t>检测设</w:t>
      </w:r>
    </w:p>
    <w:p w14:paraId="5161D22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en-US" w:eastAsia="zh-CN" w:bidi="ar-SA"/>
        </w:rPr>
      </w:pPr>
    </w:p>
    <w:p w14:paraId="204642E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20" w:leftChars="0"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备</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辅助识别和判断地块污染状况</w:t>
      </w:r>
      <w:r>
        <w:rPr>
          <w:rFonts w:hint="eastAsia" w:ascii="宋体" w:hAnsi="宋体" w:eastAsia="宋体" w:cs="宋体"/>
          <w:sz w:val="21"/>
          <w:szCs w:val="21"/>
          <w:lang w:val="fr-FR" w:eastAsia="zh-CN" w:bidi="ar-SA"/>
        </w:rPr>
        <w:t>。</w:t>
      </w:r>
    </w:p>
    <w:p w14:paraId="39611E79">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若资料分析显示可能只需开展第一阶段调查，应在现场踏勘期间开展快速检测，作为土壤无污染的辅助证明。可采取系统布点法或系统随机布点法，亦可采取专业判断布点法，选择在地势低洼、土壤裸露、有明显地表径流、沟渠等位置，采集土壤样品进行检测。</w:t>
      </w:r>
    </w:p>
    <w:p w14:paraId="6323BA51">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若资料分析显示需开展第二阶段调查，可在现场踏勘期间开展快速检测，为第二阶段调查制定布点采样方案提供参考。推荐采取专业判断布点法，选择在尽可能贴近污染痕迹、可疑污染源、涉及有毒有害物质的场所等位置，采集土壤样品进行检测。</w:t>
      </w:r>
    </w:p>
    <w:p w14:paraId="766C31A1">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如现场快速检测出现疑似异常点位，可通过增加检测点位，并与背景值资料、清洁对照点检测结果、国家及地方标准等进行对比判断，确定是否为检测异常点位。</w:t>
      </w:r>
    </w:p>
    <w:p w14:paraId="13C03CCF">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2"/>
          <w:sz w:val="21"/>
          <w:szCs w:val="21"/>
          <w:lang w:val="fr-FR" w:eastAsia="en-US" w:bidi="ar-SA"/>
        </w:rPr>
        <w:t>现场踏勘重点</w:t>
      </w:r>
    </w:p>
    <w:p w14:paraId="1CD4D657">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现场踏勘应关注</w:t>
      </w:r>
      <w:r>
        <w:rPr>
          <w:rFonts w:hint="eastAsia" w:ascii="宋体" w:hAnsi="宋体" w:eastAsia="宋体" w:cs="宋体"/>
          <w:sz w:val="21"/>
          <w:szCs w:val="21"/>
          <w:lang w:val="en-US" w:eastAsia="zh-CN" w:bidi="ar-SA"/>
        </w:rPr>
        <w:t>地块内以下</w:t>
      </w:r>
      <w:r>
        <w:rPr>
          <w:rFonts w:ascii="宋体" w:hAnsi="宋体" w:eastAsia="宋体" w:cs="宋体"/>
          <w:sz w:val="21"/>
          <w:szCs w:val="21"/>
          <w:lang w:val="fr-FR" w:eastAsia="zh-CN" w:bidi="ar-SA"/>
        </w:rPr>
        <w:t>重点信息并进行记录：</w:t>
      </w:r>
    </w:p>
    <w:p w14:paraId="2D5EC67E">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有毒有害物质的使用、处理、储存</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运输</w:t>
      </w:r>
      <w:r>
        <w:rPr>
          <w:rFonts w:ascii="宋体" w:hAnsi="宋体" w:eastAsia="宋体" w:cs="宋体"/>
          <w:spacing w:val="-3"/>
          <w:sz w:val="21"/>
          <w:szCs w:val="21"/>
          <w:lang w:val="fr-FR" w:eastAsia="zh-CN" w:bidi="ar-SA"/>
        </w:rPr>
        <w:t>、处置；</w:t>
      </w:r>
    </w:p>
    <w:p w14:paraId="2AB5E8FB">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生产过程和设备</w:t>
      </w:r>
      <w:r>
        <w:rPr>
          <w:rFonts w:hint="eastAsia" w:ascii="宋体" w:hAnsi="宋体" w:eastAsia="宋体" w:cs="宋体"/>
          <w:spacing w:val="-3"/>
          <w:sz w:val="21"/>
          <w:szCs w:val="21"/>
          <w:lang w:val="fr-FR" w:eastAsia="zh-CN" w:bidi="ar-SA"/>
        </w:rPr>
        <w:t>、</w:t>
      </w:r>
      <w:r>
        <w:rPr>
          <w:rFonts w:ascii="宋体" w:hAnsi="宋体" w:eastAsia="宋体" w:cs="宋体"/>
          <w:spacing w:val="-3"/>
          <w:sz w:val="21"/>
          <w:szCs w:val="21"/>
          <w:lang w:val="fr-FR" w:eastAsia="zh-CN" w:bidi="ar-SA"/>
        </w:rPr>
        <w:t>储槽与管线；</w:t>
      </w:r>
    </w:p>
    <w:p w14:paraId="50F36136">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恶臭、化学品</w:t>
      </w:r>
      <w:r>
        <w:rPr>
          <w:rFonts w:hint="eastAsia" w:ascii="宋体" w:hAnsi="宋体" w:eastAsia="宋体" w:cs="宋体"/>
          <w:spacing w:val="-3"/>
          <w:sz w:val="21"/>
          <w:szCs w:val="21"/>
          <w:lang w:val="en-US" w:eastAsia="zh-CN" w:bidi="ar-SA"/>
        </w:rPr>
        <w:t>味道</w:t>
      </w:r>
      <w:r>
        <w:rPr>
          <w:rFonts w:ascii="宋体" w:hAnsi="宋体" w:eastAsia="宋体" w:cs="宋体"/>
          <w:spacing w:val="-3"/>
          <w:sz w:val="21"/>
          <w:szCs w:val="21"/>
          <w:lang w:val="fr-FR" w:eastAsia="zh-CN" w:bidi="ar-SA"/>
        </w:rPr>
        <w:t>和刺激性气味，污染和腐蚀的痕迹；</w:t>
      </w:r>
    </w:p>
    <w:p w14:paraId="0A759796">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排水管或渠、污水池或其它地表水体、废物堆放地、各类井</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渗坑</w:t>
      </w:r>
      <w:r>
        <w:rPr>
          <w:rFonts w:ascii="宋体" w:hAnsi="宋体" w:eastAsia="宋体" w:cs="宋体"/>
          <w:spacing w:val="-3"/>
          <w:sz w:val="21"/>
          <w:szCs w:val="21"/>
          <w:lang w:val="fr-FR" w:eastAsia="zh-CN" w:bidi="ar-SA"/>
        </w:rPr>
        <w:t>等</w:t>
      </w:r>
      <w:r>
        <w:rPr>
          <w:rFonts w:hint="eastAsia" w:ascii="宋体" w:hAnsi="宋体" w:eastAsia="宋体" w:cs="宋体"/>
          <w:spacing w:val="-3"/>
          <w:sz w:val="21"/>
          <w:szCs w:val="21"/>
          <w:lang w:val="fr-FR" w:eastAsia="zh-CN" w:bidi="ar-SA"/>
        </w:rPr>
        <w:t>；</w:t>
      </w:r>
    </w:p>
    <w:p w14:paraId="27EC1D51">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z w:val="21"/>
          <w:szCs w:val="21"/>
          <w:lang w:val="fr-FR" w:eastAsia="zh-CN" w:bidi="ar-SA"/>
        </w:rPr>
      </w:pPr>
      <w:r>
        <w:rPr>
          <w:rFonts w:hint="eastAsia" w:ascii="宋体" w:hAnsi="宋体" w:eastAsia="宋体" w:cs="宋体"/>
          <w:spacing w:val="-6"/>
          <w:sz w:val="21"/>
          <w:szCs w:val="21"/>
          <w:lang w:val="en-US" w:eastAsia="zh-CN" w:bidi="ar-SA"/>
        </w:rPr>
        <w:t>地面防渗、破损裂缝情况，物料泄漏痕迹；</w:t>
      </w:r>
    </w:p>
    <w:p w14:paraId="5349501C">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物料遗留、污染物残留情况；</w:t>
      </w:r>
    </w:p>
    <w:p w14:paraId="77B6D222">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植被生长异常或损害区域，裸露土壤颜色异常、气味异常、现场快速检测异常区域；</w:t>
      </w:r>
    </w:p>
    <w:p w14:paraId="526B9997">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839" w:hanging="420"/>
        <w:jc w:val="both"/>
        <w:textAlignment w:val="auto"/>
        <w:rPr>
          <w:rFonts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建（构）筑物拆除、地面扰动，地表堆积情况等。</w:t>
      </w:r>
    </w:p>
    <w:p w14:paraId="5408D361">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同时应该</w:t>
      </w:r>
      <w:r>
        <w:rPr>
          <w:rFonts w:hint="eastAsia" w:ascii="宋体" w:hAnsi="宋体" w:eastAsia="宋体" w:cs="宋体"/>
          <w:spacing w:val="-3"/>
          <w:sz w:val="21"/>
          <w:szCs w:val="21"/>
          <w:lang w:val="en-US" w:eastAsia="zh-CN" w:bidi="ar-SA"/>
        </w:rPr>
        <w:t>观察</w:t>
      </w:r>
      <w:r>
        <w:rPr>
          <w:rFonts w:ascii="宋体" w:hAnsi="宋体" w:eastAsia="宋体" w:cs="宋体"/>
          <w:sz w:val="21"/>
          <w:szCs w:val="21"/>
          <w:lang w:val="fr-FR" w:eastAsia="zh-CN" w:bidi="ar-SA"/>
        </w:rPr>
        <w:t>和记录地块及周围是否</w:t>
      </w:r>
      <w:r>
        <w:rPr>
          <w:rFonts w:hint="eastAsia" w:ascii="宋体" w:hAnsi="宋体" w:eastAsia="宋体" w:cs="宋体"/>
          <w:sz w:val="21"/>
          <w:szCs w:val="21"/>
          <w:lang w:val="en-US" w:eastAsia="zh-CN" w:bidi="ar-SA"/>
        </w:rPr>
        <w:t>存在</w:t>
      </w:r>
      <w:r>
        <w:rPr>
          <w:rFonts w:ascii="宋体" w:hAnsi="宋体" w:eastAsia="宋体" w:cs="宋体"/>
          <w:sz w:val="21"/>
          <w:szCs w:val="21"/>
          <w:lang w:val="fr-FR" w:eastAsia="zh-CN" w:bidi="ar-SA"/>
        </w:rPr>
        <w:t>可能受污染物影响的居民区、学校、医院、饮用水源保护区以及其它公共场所等</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是否存在可能对地块造成污染的企业</w:t>
      </w:r>
      <w:r>
        <w:rPr>
          <w:rFonts w:ascii="宋体" w:hAnsi="宋体" w:eastAsia="宋体" w:cs="宋体"/>
          <w:sz w:val="21"/>
          <w:szCs w:val="21"/>
          <w:lang w:val="fr-FR" w:eastAsia="zh-CN" w:bidi="ar-SA"/>
        </w:rPr>
        <w:t>，并在</w:t>
      </w:r>
      <w:r>
        <w:rPr>
          <w:rFonts w:hint="eastAsia" w:ascii="宋体" w:hAnsi="宋体" w:eastAsia="宋体" w:cs="宋体"/>
          <w:sz w:val="21"/>
          <w:szCs w:val="21"/>
          <w:lang w:val="en-US" w:eastAsia="zh-CN" w:bidi="ar-SA"/>
        </w:rPr>
        <w:t>报告</w:t>
      </w:r>
      <w:r>
        <w:rPr>
          <w:rFonts w:ascii="宋体" w:hAnsi="宋体" w:eastAsia="宋体" w:cs="宋体"/>
          <w:sz w:val="21"/>
          <w:szCs w:val="21"/>
          <w:lang w:val="fr-FR" w:eastAsia="zh-CN" w:bidi="ar-SA"/>
        </w:rPr>
        <w:t>中明确其与地块的位置关系。</w:t>
      </w:r>
    </w:p>
    <w:p w14:paraId="3158773F">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1"/>
          <w:lang w:val="fr-FR" w:eastAsia="en-US" w:bidi="ar-SA"/>
        </w:rPr>
      </w:pPr>
      <w:bookmarkStart w:id="27" w:name="_bookmark12"/>
      <w:bookmarkEnd w:id="27"/>
      <w:bookmarkStart w:id="28" w:name="_Toc30783"/>
      <w:r>
        <w:rPr>
          <w:rFonts w:hint="eastAsia" w:ascii="黑体" w:hAnsi="宋体" w:eastAsia="黑体" w:cs="宋体"/>
          <w:spacing w:val="-1"/>
          <w:sz w:val="21"/>
          <w:szCs w:val="21"/>
          <w:lang w:val="fr-FR" w:eastAsia="en-US" w:bidi="ar-SA"/>
        </w:rPr>
        <w:t>人员</w:t>
      </w:r>
      <w:r>
        <w:rPr>
          <w:rFonts w:hint="eastAsia" w:ascii="黑体" w:hAnsi="宋体" w:eastAsia="黑体" w:cs="宋体"/>
          <w:spacing w:val="-1"/>
          <w:sz w:val="21"/>
          <w:szCs w:val="21"/>
          <w:lang w:val="fr-FR" w:eastAsia="zh-CN" w:bidi="ar-SA"/>
        </w:rPr>
        <w:t>访谈</w:t>
      </w:r>
      <w:bookmarkEnd w:id="28"/>
    </w:p>
    <w:p w14:paraId="3B7F58B5">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人员访谈是对资料</w:t>
      </w:r>
      <w:r>
        <w:rPr>
          <w:rFonts w:hint="eastAsia" w:ascii="宋体" w:hAnsi="宋体" w:eastAsia="宋体" w:cs="宋体"/>
          <w:sz w:val="21"/>
          <w:szCs w:val="21"/>
          <w:lang w:val="en-US" w:eastAsia="zh-CN" w:bidi="ar-SA"/>
        </w:rPr>
        <w:t>收集</w:t>
      </w:r>
      <w:r>
        <w:rPr>
          <w:rFonts w:hint="eastAsia" w:ascii="宋体" w:hAnsi="宋体" w:eastAsia="宋体" w:cs="宋体"/>
          <w:spacing w:val="-3"/>
          <w:sz w:val="21"/>
          <w:szCs w:val="21"/>
          <w:lang w:val="en-US" w:eastAsia="zh-CN" w:bidi="ar-SA"/>
        </w:rPr>
        <w:t>、分析和现场踏勘所掌握的信息进行进一步考证与确认的过程。</w:t>
      </w:r>
    </w:p>
    <w:p w14:paraId="02C01B54">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1"/>
          <w:sz w:val="21"/>
          <w:szCs w:val="21"/>
          <w:lang w:val="fr-FR" w:eastAsia="en-US" w:bidi="ar-SA"/>
        </w:rPr>
        <w:t>访谈对象</w:t>
      </w:r>
    </w:p>
    <w:p w14:paraId="434664A5">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pacing w:val="-5"/>
          <w:sz w:val="21"/>
          <w:szCs w:val="21"/>
          <w:lang w:val="fr-FR" w:eastAsia="zh-CN" w:bidi="ar-SA"/>
        </w:rPr>
      </w:pPr>
      <w:r>
        <w:rPr>
          <w:rFonts w:ascii="宋体" w:hAnsi="宋体" w:eastAsia="宋体" w:cs="宋体"/>
          <w:spacing w:val="-3"/>
          <w:sz w:val="21"/>
          <w:szCs w:val="21"/>
          <w:lang w:val="fr-FR" w:eastAsia="zh-CN" w:bidi="ar-SA"/>
        </w:rPr>
        <w:t>受访者应为地块现状或历史的知情人</w:t>
      </w:r>
      <w:r>
        <w:rPr>
          <w:rFonts w:ascii="宋体" w:hAnsi="宋体" w:eastAsia="宋体" w:cs="宋体"/>
          <w:spacing w:val="-9"/>
          <w:sz w:val="21"/>
          <w:szCs w:val="21"/>
          <w:lang w:val="fr-FR" w:eastAsia="zh-CN" w:bidi="ar-SA"/>
        </w:rPr>
        <w:t>，应熟悉地块过去</w:t>
      </w:r>
      <w:r>
        <w:rPr>
          <w:rFonts w:hint="eastAsia" w:ascii="宋体" w:hAnsi="宋体" w:eastAsia="宋体" w:cs="宋体"/>
          <w:spacing w:val="-9"/>
          <w:sz w:val="21"/>
          <w:szCs w:val="21"/>
          <w:lang w:val="en-US" w:eastAsia="zh-CN" w:bidi="ar-SA"/>
        </w:rPr>
        <w:t>或</w:t>
      </w:r>
      <w:r>
        <w:rPr>
          <w:rFonts w:ascii="宋体" w:hAnsi="宋体" w:eastAsia="宋体" w:cs="宋体"/>
          <w:spacing w:val="-9"/>
          <w:sz w:val="21"/>
          <w:szCs w:val="21"/>
          <w:lang w:val="fr-FR" w:eastAsia="zh-CN" w:bidi="ar-SA"/>
        </w:rPr>
        <w:t>现在的</w:t>
      </w:r>
      <w:r>
        <w:rPr>
          <w:rFonts w:ascii="宋体" w:hAnsi="宋体" w:eastAsia="宋体" w:cs="宋体"/>
          <w:spacing w:val="-5"/>
          <w:sz w:val="21"/>
          <w:szCs w:val="21"/>
          <w:lang w:val="fr-FR" w:eastAsia="zh-CN" w:bidi="ar-SA"/>
        </w:rPr>
        <w:t>使用情况</w:t>
      </w:r>
      <w:r>
        <w:rPr>
          <w:rFonts w:hint="eastAsia" w:ascii="宋体" w:hAnsi="宋体" w:eastAsia="宋体" w:cs="宋体"/>
          <w:spacing w:val="-5"/>
          <w:sz w:val="21"/>
          <w:szCs w:val="21"/>
          <w:lang w:val="fr-FR" w:eastAsia="zh-CN" w:bidi="ar-SA"/>
        </w:rPr>
        <w:t>，</w:t>
      </w:r>
      <w:r>
        <w:rPr>
          <w:rFonts w:ascii="宋体" w:hAnsi="宋体" w:eastAsia="宋体" w:cs="宋体"/>
          <w:spacing w:val="-7"/>
          <w:sz w:val="21"/>
          <w:szCs w:val="21"/>
          <w:lang w:val="fr-FR" w:eastAsia="zh-CN" w:bidi="ar-SA"/>
        </w:rPr>
        <w:t>访谈对象</w:t>
      </w:r>
      <w:r>
        <w:rPr>
          <w:rFonts w:hint="eastAsia" w:ascii="宋体" w:hAnsi="宋体" w:eastAsia="宋体" w:cs="宋体"/>
          <w:spacing w:val="-7"/>
          <w:sz w:val="21"/>
          <w:szCs w:val="21"/>
          <w:lang w:val="en-US" w:eastAsia="zh-CN" w:bidi="ar-SA"/>
        </w:rPr>
        <w:t>一般</w:t>
      </w:r>
      <w:r>
        <w:rPr>
          <w:rFonts w:hint="eastAsia" w:ascii="宋体" w:hAnsi="宋体" w:eastAsia="宋体" w:cs="宋体"/>
          <w:spacing w:val="-9"/>
          <w:sz w:val="21"/>
          <w:szCs w:val="21"/>
          <w:lang w:val="en-US" w:eastAsia="zh-CN" w:bidi="ar-SA"/>
        </w:rPr>
        <w:t>不应少于3个</w:t>
      </w:r>
      <w:r>
        <w:rPr>
          <w:rFonts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受访对象类型为</w:t>
      </w:r>
      <w:r>
        <w:rPr>
          <w:rFonts w:ascii="宋体" w:hAnsi="宋体" w:eastAsia="宋体" w:cs="宋体"/>
          <w:spacing w:val="-3"/>
          <w:sz w:val="21"/>
          <w:szCs w:val="21"/>
          <w:lang w:val="fr-FR" w:eastAsia="zh-CN" w:bidi="ar-SA"/>
        </w:rPr>
        <w:t>：地块过去和现在各阶段的使用者，</w:t>
      </w:r>
      <w:r>
        <w:rPr>
          <w:rFonts w:hint="eastAsia" w:ascii="宋体" w:hAnsi="宋体" w:eastAsia="宋体" w:cs="宋体"/>
          <w:spacing w:val="-3"/>
          <w:sz w:val="21"/>
          <w:szCs w:val="21"/>
          <w:lang w:val="en-US" w:eastAsia="zh-CN" w:bidi="ar-SA"/>
        </w:rPr>
        <w:t>生态环境</w:t>
      </w:r>
      <w:r>
        <w:rPr>
          <w:rFonts w:ascii="宋体" w:hAnsi="宋体" w:eastAsia="宋体" w:cs="宋体"/>
          <w:spacing w:val="-3"/>
          <w:sz w:val="21"/>
          <w:szCs w:val="21"/>
          <w:lang w:val="fr-FR" w:eastAsia="zh-CN" w:bidi="ar-SA"/>
        </w:rPr>
        <w:t>主管部门的工作人员，地块管理机构和地方政府的工作人员</w:t>
      </w:r>
      <w:r>
        <w:rPr>
          <w:rFonts w:hint="eastAsia" w:ascii="宋体" w:hAnsi="宋体" w:eastAsia="宋体" w:cs="宋体"/>
          <w:spacing w:val="-3"/>
          <w:sz w:val="21"/>
          <w:szCs w:val="21"/>
          <w:lang w:val="fr-FR" w:eastAsia="zh-CN" w:bidi="ar-SA"/>
        </w:rPr>
        <w:t>，</w:t>
      </w:r>
      <w:r>
        <w:rPr>
          <w:rFonts w:ascii="宋体" w:hAnsi="宋体" w:eastAsia="宋体" w:cs="宋体"/>
          <w:spacing w:val="-3"/>
          <w:sz w:val="21"/>
          <w:szCs w:val="21"/>
          <w:lang w:val="fr-FR" w:eastAsia="zh-CN" w:bidi="ar-SA"/>
        </w:rPr>
        <w:t>以及地块所在地或熟悉地块的第三方，如相邻</w:t>
      </w:r>
      <w:r>
        <w:rPr>
          <w:rFonts w:ascii="宋体" w:hAnsi="宋体" w:eastAsia="宋体" w:cs="宋体"/>
          <w:spacing w:val="-7"/>
          <w:sz w:val="21"/>
          <w:szCs w:val="21"/>
          <w:lang w:val="fr-FR" w:eastAsia="zh-CN" w:bidi="ar-SA"/>
        </w:rPr>
        <w:t>地块的工作人员和附近的居民等</w:t>
      </w:r>
      <w:r>
        <w:rPr>
          <w:rFonts w:ascii="宋体" w:hAnsi="宋体" w:eastAsia="宋体" w:cs="宋体"/>
          <w:spacing w:val="-5"/>
          <w:sz w:val="21"/>
          <w:szCs w:val="21"/>
          <w:lang w:val="fr-FR" w:eastAsia="zh-CN" w:bidi="ar-SA"/>
        </w:rPr>
        <w:t>。</w:t>
      </w:r>
    </w:p>
    <w:p w14:paraId="5CA32568">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hint="eastAsia" w:ascii="黑体" w:hAnsi="宋体" w:eastAsia="黑体" w:cs="宋体"/>
          <w:spacing w:val="-1"/>
          <w:sz w:val="21"/>
          <w:szCs w:val="21"/>
          <w:lang w:val="fr-FR" w:eastAsia="en-US" w:bidi="ar-SA"/>
        </w:rPr>
      </w:pPr>
      <w:r>
        <w:rPr>
          <w:rFonts w:hint="eastAsia" w:ascii="黑体" w:hAnsi="宋体" w:eastAsia="黑体" w:cs="宋体"/>
          <w:spacing w:val="-1"/>
          <w:sz w:val="21"/>
          <w:szCs w:val="21"/>
          <w:lang w:val="fr-FR" w:eastAsia="en-US" w:bidi="ar-SA"/>
        </w:rPr>
        <w:t>访谈方式</w:t>
      </w:r>
    </w:p>
    <w:p w14:paraId="782F6AF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pacing w:val="-5"/>
          <w:sz w:val="21"/>
          <w:szCs w:val="21"/>
          <w:lang w:val="fr-FR" w:eastAsia="zh-CN" w:bidi="ar-SA"/>
        </w:rPr>
      </w:pPr>
      <w:r>
        <w:rPr>
          <w:rFonts w:hint="eastAsia" w:ascii="宋体" w:hAnsi="宋体" w:eastAsia="宋体" w:cs="宋体"/>
          <w:sz w:val="21"/>
          <w:szCs w:val="21"/>
          <w:lang w:val="en-US" w:eastAsia="zh-CN" w:bidi="ar-SA"/>
        </w:rPr>
        <w:t>可采取</w:t>
      </w:r>
      <w:r>
        <w:rPr>
          <w:rFonts w:ascii="宋体" w:hAnsi="宋体" w:eastAsia="宋体" w:cs="宋体"/>
          <w:sz w:val="21"/>
          <w:szCs w:val="21"/>
          <w:lang w:val="fr-FR" w:eastAsia="zh-CN" w:bidi="ar-SA"/>
        </w:rPr>
        <w:t>当面交流、电话交流</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电子或书面</w:t>
      </w:r>
      <w:r>
        <w:rPr>
          <w:rFonts w:ascii="宋体" w:hAnsi="宋体" w:eastAsia="宋体" w:cs="宋体"/>
          <w:sz w:val="21"/>
          <w:szCs w:val="21"/>
          <w:lang w:val="fr-FR" w:eastAsia="zh-CN" w:bidi="ar-SA"/>
        </w:rPr>
        <w:t>调查</w:t>
      </w:r>
      <w:r>
        <w:rPr>
          <w:rFonts w:hint="eastAsia" w:ascii="宋体" w:hAnsi="宋体" w:eastAsia="宋体" w:cs="宋体"/>
          <w:sz w:val="21"/>
          <w:szCs w:val="21"/>
          <w:lang w:val="en-US" w:eastAsia="zh-CN" w:bidi="ar-SA"/>
        </w:rPr>
        <w:t>表</w:t>
      </w:r>
      <w:r>
        <w:rPr>
          <w:rFonts w:ascii="宋体" w:hAnsi="宋体" w:eastAsia="宋体" w:cs="宋体"/>
          <w:sz w:val="21"/>
          <w:szCs w:val="21"/>
          <w:lang w:val="fr-FR" w:eastAsia="zh-CN" w:bidi="ar-SA"/>
        </w:rPr>
        <w:t>等</w:t>
      </w:r>
      <w:r>
        <w:rPr>
          <w:rFonts w:hint="eastAsia" w:ascii="宋体" w:hAnsi="宋体" w:eastAsia="宋体" w:cs="宋体"/>
          <w:sz w:val="21"/>
          <w:szCs w:val="21"/>
          <w:lang w:val="en-US" w:eastAsia="zh-CN" w:bidi="ar-SA"/>
        </w:rPr>
        <w:t>方式进行</w:t>
      </w:r>
      <w:r>
        <w:rPr>
          <w:rFonts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推荐采用调查表进行访谈</w:t>
      </w:r>
      <w:r>
        <w:rPr>
          <w:rFonts w:ascii="宋体" w:hAnsi="宋体" w:eastAsia="宋体" w:cs="宋体"/>
          <w:sz w:val="21"/>
          <w:szCs w:val="21"/>
          <w:lang w:val="fr-FR" w:eastAsia="zh-CN" w:bidi="ar-SA"/>
        </w:rPr>
        <w:t>，其格式</w:t>
      </w:r>
      <w:r>
        <w:rPr>
          <w:rFonts w:hint="eastAsia" w:ascii="宋体" w:hAnsi="宋体" w:eastAsia="宋体" w:cs="宋体"/>
          <w:sz w:val="21"/>
          <w:szCs w:val="21"/>
          <w:lang w:val="en-US" w:eastAsia="zh-CN" w:bidi="ar-SA"/>
        </w:rPr>
        <w:t>可参考</w:t>
      </w:r>
      <w:r>
        <w:rPr>
          <w:rFonts w:ascii="宋体" w:hAnsi="宋体" w:eastAsia="宋体" w:cs="宋体"/>
          <w:sz w:val="21"/>
          <w:szCs w:val="21"/>
          <w:lang w:val="fr-FR" w:eastAsia="zh-CN" w:bidi="ar-SA"/>
        </w:rPr>
        <w:t>附录</w:t>
      </w:r>
      <w:r>
        <w:rPr>
          <w:rFonts w:hint="eastAsia" w:ascii="宋体" w:hAnsi="宋体" w:eastAsia="宋体" w:cs="宋体"/>
          <w:sz w:val="21"/>
          <w:szCs w:val="21"/>
          <w:lang w:val="en-US" w:eastAsia="zh-CN" w:bidi="ar-SA"/>
        </w:rPr>
        <w:t>B，调查表需记录完整，并由受访者签字确认。如采用其他访谈方式，需整理访谈记录，访</w:t>
      </w:r>
    </w:p>
    <w:p w14:paraId="75531A8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spacing w:val="-5"/>
          <w:sz w:val="21"/>
          <w:szCs w:val="21"/>
          <w:lang w:eastAsia="zh-CN"/>
        </w:rPr>
        <w:sectPr>
          <w:pgSz w:w="11910" w:h="16840"/>
          <w:pgMar w:top="1417" w:right="1134" w:bottom="1134" w:left="1417" w:header="1417" w:footer="1134" w:gutter="0"/>
          <w:pgNumType w:fmt="decimal"/>
          <w:cols w:space="0" w:num="1"/>
          <w:rtlGutter w:val="0"/>
          <w:docGrid w:linePitch="0" w:charSpace="0"/>
        </w:sectPr>
      </w:pPr>
    </w:p>
    <w:p w14:paraId="56E6826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en-US" w:eastAsia="zh-CN" w:bidi="ar-SA"/>
        </w:rPr>
      </w:pPr>
    </w:p>
    <w:p w14:paraId="0A541C0B">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谈记录应真实、完整反映受访者的想法，并宜由受访者签字确认，或存档访谈录音、录像、往来电子邮件等原始档案。</w:t>
      </w:r>
    </w:p>
    <w:p w14:paraId="1D2F6FDF">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2"/>
          <w:sz w:val="21"/>
          <w:szCs w:val="21"/>
          <w:lang w:val="fr-FR" w:eastAsia="en-US" w:bidi="ar-SA"/>
        </w:rPr>
        <w:t>访谈内容</w:t>
      </w:r>
    </w:p>
    <w:p w14:paraId="5CEDEAAE">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人员访谈内容</w:t>
      </w:r>
      <w:r>
        <w:rPr>
          <w:rFonts w:hint="eastAsia" w:ascii="宋体" w:hAnsi="宋体" w:eastAsia="宋体" w:cs="宋体"/>
          <w:sz w:val="21"/>
          <w:szCs w:val="21"/>
          <w:lang w:val="fr-FR" w:eastAsia="en-US" w:bidi="ar-SA"/>
        </w:rPr>
        <w:t>应包括</w:t>
      </w:r>
      <w:r>
        <w:rPr>
          <w:rFonts w:hint="eastAsia" w:ascii="宋体" w:hAnsi="宋体" w:eastAsia="宋体" w:cs="宋体"/>
          <w:sz w:val="21"/>
          <w:szCs w:val="21"/>
          <w:lang w:val="fr-FR" w:eastAsia="zh-CN" w:bidi="ar-SA"/>
        </w:rPr>
        <w:t>：</w:t>
      </w:r>
    </w:p>
    <w:p w14:paraId="10C471FF">
      <w:pPr>
        <w:keepNext w:val="0"/>
        <w:keepLines w:val="0"/>
        <w:pageBreakBefore w:val="0"/>
        <w:widowControl w:val="0"/>
        <w:numPr>
          <w:ilvl w:val="0"/>
          <w:numId w:val="8"/>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对通过已有资料获取的信息进行考证；</w:t>
      </w:r>
    </w:p>
    <w:p w14:paraId="29CE45B8">
      <w:pPr>
        <w:keepNext w:val="0"/>
        <w:keepLines w:val="0"/>
        <w:pageBreakBefore w:val="0"/>
        <w:widowControl w:val="0"/>
        <w:numPr>
          <w:ilvl w:val="0"/>
          <w:numId w:val="8"/>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对资料收集和现场踏勘所涉及的疑问进行核实；</w:t>
      </w:r>
    </w:p>
    <w:p w14:paraId="3F9B8CAA">
      <w:pPr>
        <w:keepNext w:val="0"/>
        <w:keepLines w:val="0"/>
        <w:pageBreakBefore w:val="0"/>
        <w:widowControl w:val="0"/>
        <w:numPr>
          <w:ilvl w:val="0"/>
          <w:numId w:val="8"/>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对资料收集和现场踏勘未获取的信息进行补充。</w:t>
      </w:r>
    </w:p>
    <w:p w14:paraId="40DA87B0">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人员访谈可多次开展，尽可能全面、准确的核查地块调查所需的信息。应对访谈内容进行整理，注明访谈与资料不一致之处</w:t>
      </w:r>
      <w:r>
        <w:rPr>
          <w:rFonts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并</w:t>
      </w:r>
      <w:r>
        <w:rPr>
          <w:rFonts w:hint="eastAsia" w:ascii="宋体" w:hAnsi="宋体" w:eastAsia="宋体" w:cs="宋体"/>
          <w:sz w:val="21"/>
          <w:szCs w:val="21"/>
          <w:lang w:val="fr-FR" w:eastAsia="zh-CN" w:bidi="ar-SA"/>
        </w:rPr>
        <w:t>作为</w:t>
      </w:r>
      <w:r>
        <w:rPr>
          <w:rFonts w:hint="eastAsia" w:ascii="宋体" w:hAnsi="宋体" w:eastAsia="宋体" w:cs="宋体"/>
          <w:sz w:val="21"/>
          <w:szCs w:val="21"/>
          <w:lang w:val="en-US" w:eastAsia="zh-CN" w:bidi="ar-SA"/>
        </w:rPr>
        <w:t>调查</w:t>
      </w:r>
      <w:r>
        <w:rPr>
          <w:rFonts w:hint="eastAsia" w:ascii="宋体" w:hAnsi="宋体" w:eastAsia="宋体" w:cs="宋体"/>
          <w:sz w:val="21"/>
          <w:szCs w:val="21"/>
          <w:lang w:val="fr-FR" w:eastAsia="zh-CN" w:bidi="ar-SA"/>
        </w:rPr>
        <w:t>报告的附件</w:t>
      </w:r>
      <w:r>
        <w:rPr>
          <w:rFonts w:ascii="宋体" w:hAnsi="宋体" w:eastAsia="宋体" w:cs="宋体"/>
          <w:sz w:val="21"/>
          <w:szCs w:val="21"/>
          <w:lang w:val="fr-FR" w:eastAsia="zh-CN" w:bidi="ar-SA"/>
        </w:rPr>
        <w:t>。</w:t>
      </w:r>
    </w:p>
    <w:p w14:paraId="554335E6">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1"/>
          <w:lang w:val="fr-FR" w:eastAsia="en-US" w:bidi="ar-SA"/>
        </w:rPr>
      </w:pPr>
      <w:bookmarkStart w:id="29" w:name="_bookmark13"/>
      <w:bookmarkEnd w:id="29"/>
      <w:bookmarkStart w:id="30" w:name="_Toc32039"/>
      <w:r>
        <w:rPr>
          <w:rFonts w:hint="eastAsia" w:ascii="黑体" w:hAnsi="宋体" w:eastAsia="黑体" w:cs="宋体"/>
          <w:spacing w:val="-1"/>
          <w:sz w:val="21"/>
          <w:szCs w:val="21"/>
          <w:lang w:val="en-US" w:eastAsia="zh-CN" w:bidi="ar-SA"/>
        </w:rPr>
        <w:t>结果分析与结论</w:t>
      </w:r>
      <w:bookmarkEnd w:id="30"/>
    </w:p>
    <w:p w14:paraId="02B18EA6">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2"/>
          <w:sz w:val="21"/>
          <w:szCs w:val="21"/>
          <w:lang w:val="en-US" w:eastAsia="zh-CN" w:bidi="ar-SA"/>
        </w:rPr>
        <w:t>污染识别结果分析</w:t>
      </w:r>
    </w:p>
    <w:p w14:paraId="4DDDC79E">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根据资料收集与</w:t>
      </w:r>
      <w:r>
        <w:rPr>
          <w:rFonts w:hint="eastAsia" w:ascii="宋体" w:hAnsi="宋体" w:eastAsia="宋体" w:cs="宋体"/>
          <w:sz w:val="21"/>
          <w:szCs w:val="21"/>
          <w:lang w:val="en-US" w:eastAsia="zh-CN" w:bidi="ar-SA"/>
        </w:rPr>
        <w:t>分析</w:t>
      </w:r>
      <w:r>
        <w:rPr>
          <w:rFonts w:hint="eastAsia" w:ascii="宋体" w:hAnsi="宋体" w:eastAsia="宋体" w:cs="宋体"/>
          <w:sz w:val="21"/>
          <w:szCs w:val="21"/>
          <w:lang w:val="fr-FR" w:eastAsia="zh-CN" w:bidi="ar-SA"/>
        </w:rPr>
        <w:t>、现场踏勘、人员访谈所掌握的地块信息，</w:t>
      </w:r>
      <w:r>
        <w:rPr>
          <w:rFonts w:hint="eastAsia" w:ascii="宋体" w:hAnsi="宋体" w:eastAsia="宋体" w:cs="宋体"/>
          <w:sz w:val="21"/>
          <w:szCs w:val="21"/>
          <w:lang w:val="en-US" w:eastAsia="zh-CN" w:bidi="ar-SA"/>
        </w:rPr>
        <w:t>进行污染识别</w:t>
      </w:r>
      <w:r>
        <w:rPr>
          <w:rFonts w:hint="eastAsia" w:ascii="宋体" w:hAnsi="宋体" w:eastAsia="宋体" w:cs="宋体"/>
          <w:sz w:val="21"/>
          <w:szCs w:val="21"/>
          <w:lang w:val="fr-FR" w:eastAsia="zh-CN" w:bidi="ar-SA"/>
        </w:rPr>
        <w:t>，分析判断地块受到污染的可能性，具体</w:t>
      </w:r>
      <w:r>
        <w:rPr>
          <w:rFonts w:hint="eastAsia" w:ascii="宋体" w:hAnsi="宋体" w:eastAsia="宋体" w:cs="宋体"/>
          <w:sz w:val="21"/>
          <w:szCs w:val="21"/>
          <w:lang w:val="en-US" w:eastAsia="zh-CN" w:bidi="ar-SA"/>
        </w:rPr>
        <w:t>要求</w:t>
      </w:r>
      <w:r>
        <w:rPr>
          <w:rFonts w:hint="eastAsia" w:ascii="宋体" w:hAnsi="宋体" w:eastAsia="宋体" w:cs="宋体"/>
          <w:sz w:val="21"/>
          <w:szCs w:val="21"/>
          <w:lang w:val="fr-FR" w:eastAsia="zh-CN" w:bidi="ar-SA"/>
        </w:rPr>
        <w:t>如下：</w:t>
      </w:r>
    </w:p>
    <w:p w14:paraId="0A5B5715">
      <w:pPr>
        <w:keepNext w:val="0"/>
        <w:keepLines w:val="0"/>
        <w:pageBreakBefore w:val="0"/>
        <w:widowControl w:val="0"/>
        <w:numPr>
          <w:ilvl w:val="0"/>
          <w:numId w:val="9"/>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根据地块生产历史、涉及的有毒有害物质、污染物产生及排放情况等，分析地块可能存在的污染源及特征污染物；</w:t>
      </w:r>
    </w:p>
    <w:p w14:paraId="096DC8DA">
      <w:pPr>
        <w:keepNext w:val="0"/>
        <w:keepLines w:val="0"/>
        <w:pageBreakBefore w:val="0"/>
        <w:widowControl w:val="0"/>
        <w:numPr>
          <w:ilvl w:val="0"/>
          <w:numId w:val="9"/>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en-US" w:bidi="ar-SA"/>
        </w:rPr>
      </w:pPr>
      <w:r>
        <w:rPr>
          <w:rFonts w:hint="eastAsia" w:ascii="宋体" w:hAnsi="宋体" w:eastAsia="宋体" w:cs="宋体"/>
          <w:sz w:val="21"/>
          <w:szCs w:val="21"/>
          <w:lang w:val="fr-FR" w:eastAsia="en-US" w:bidi="ar-SA"/>
        </w:rPr>
        <w:t>根据地块</w:t>
      </w:r>
      <w:r>
        <w:rPr>
          <w:rFonts w:hint="eastAsia" w:ascii="宋体" w:hAnsi="宋体" w:eastAsia="宋体" w:cs="宋体"/>
          <w:sz w:val="21"/>
          <w:szCs w:val="21"/>
          <w:lang w:val="en-US" w:eastAsia="zh-CN" w:bidi="ar-SA"/>
        </w:rPr>
        <w:t>建（构）筑物</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fr-FR" w:eastAsia="en-US" w:bidi="ar-SA"/>
        </w:rPr>
        <w:t>生产设施、</w:t>
      </w:r>
      <w:r>
        <w:rPr>
          <w:rFonts w:hint="eastAsia" w:ascii="宋体" w:hAnsi="宋体" w:eastAsia="宋体" w:cs="宋体"/>
          <w:sz w:val="21"/>
          <w:szCs w:val="21"/>
          <w:lang w:val="en-US" w:eastAsia="zh-CN" w:bidi="ar-SA"/>
        </w:rPr>
        <w:t>储存设施及管线、平面布置</w:t>
      </w:r>
      <w:r>
        <w:rPr>
          <w:rFonts w:hint="eastAsia" w:ascii="宋体" w:hAnsi="宋体" w:eastAsia="宋体" w:cs="宋体"/>
          <w:sz w:val="21"/>
          <w:szCs w:val="21"/>
          <w:lang w:val="fr-FR" w:eastAsia="en-US" w:bidi="ar-SA"/>
        </w:rPr>
        <w:t>、</w:t>
      </w:r>
      <w:r>
        <w:rPr>
          <w:rFonts w:hint="eastAsia" w:ascii="宋体" w:hAnsi="宋体" w:eastAsia="宋体" w:cs="宋体"/>
          <w:sz w:val="21"/>
          <w:szCs w:val="21"/>
          <w:lang w:val="en-US" w:eastAsia="zh-CN" w:bidi="ar-SA"/>
        </w:rPr>
        <w:t>涉及有毒</w:t>
      </w:r>
      <w:r>
        <w:rPr>
          <w:rFonts w:hint="eastAsia" w:ascii="宋体" w:hAnsi="宋体" w:eastAsia="宋体" w:cs="宋体"/>
          <w:sz w:val="21"/>
          <w:szCs w:val="21"/>
          <w:lang w:val="fr-FR" w:eastAsia="en-US" w:bidi="ar-SA"/>
        </w:rPr>
        <w:t>有害物质</w:t>
      </w:r>
      <w:r>
        <w:rPr>
          <w:rFonts w:hint="eastAsia" w:ascii="宋体" w:hAnsi="宋体" w:eastAsia="宋体" w:cs="宋体"/>
          <w:sz w:val="21"/>
          <w:szCs w:val="21"/>
          <w:lang w:val="en-US" w:eastAsia="zh-CN" w:bidi="ar-SA"/>
        </w:rPr>
        <w:t>的重点区域和场所等污染源分布及</w:t>
      </w:r>
      <w:r>
        <w:rPr>
          <w:rFonts w:hint="eastAsia" w:ascii="宋体" w:hAnsi="宋体" w:eastAsia="宋体" w:cs="宋体"/>
          <w:sz w:val="21"/>
          <w:szCs w:val="21"/>
          <w:lang w:val="fr-FR" w:eastAsia="en-US" w:bidi="ar-SA"/>
        </w:rPr>
        <w:t>污染物排放方式、现场污染痕迹、</w:t>
      </w:r>
      <w:r>
        <w:rPr>
          <w:rFonts w:hint="eastAsia" w:ascii="宋体" w:hAnsi="宋体" w:eastAsia="宋体" w:cs="宋体"/>
          <w:sz w:val="21"/>
          <w:szCs w:val="21"/>
          <w:lang w:val="en-US" w:eastAsia="zh-CN" w:bidi="ar-SA"/>
        </w:rPr>
        <w:t>现场快速检测结果</w:t>
      </w:r>
      <w:r>
        <w:rPr>
          <w:rFonts w:hint="eastAsia" w:ascii="宋体" w:hAnsi="宋体" w:eastAsia="宋体" w:cs="宋体"/>
          <w:sz w:val="21"/>
          <w:szCs w:val="21"/>
          <w:lang w:val="fr-FR" w:eastAsia="en-US" w:bidi="ar-SA"/>
        </w:rPr>
        <w:t>等，分析地块内潜在污染区域；</w:t>
      </w:r>
    </w:p>
    <w:p w14:paraId="75C9FB65">
      <w:pPr>
        <w:keepNext w:val="0"/>
        <w:keepLines w:val="0"/>
        <w:pageBreakBefore w:val="0"/>
        <w:widowControl w:val="0"/>
        <w:numPr>
          <w:ilvl w:val="0"/>
          <w:numId w:val="9"/>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根据地块内的特征污染物、潜在污染区域分布、地块及周边环境信息等，分析判断地块内污染物</w:t>
      </w:r>
      <w:r>
        <w:rPr>
          <w:rFonts w:hint="eastAsia" w:ascii="宋体" w:hAnsi="宋体" w:eastAsia="宋体" w:cs="宋体"/>
          <w:sz w:val="21"/>
          <w:szCs w:val="21"/>
          <w:lang w:val="fr-FR" w:eastAsia="en-US" w:bidi="ar-SA"/>
        </w:rPr>
        <w:t>可能的迁移途径</w:t>
      </w:r>
      <w:r>
        <w:rPr>
          <w:rFonts w:hint="eastAsia" w:ascii="宋体" w:hAnsi="宋体" w:eastAsia="宋体" w:cs="宋体"/>
          <w:sz w:val="21"/>
          <w:szCs w:val="21"/>
          <w:lang w:val="en-US" w:eastAsia="zh-CN" w:bidi="ar-SA"/>
        </w:rPr>
        <w:t>和</w:t>
      </w:r>
      <w:r>
        <w:rPr>
          <w:rFonts w:hint="eastAsia" w:ascii="宋体" w:hAnsi="宋体" w:eastAsia="宋体" w:cs="宋体"/>
          <w:sz w:val="21"/>
          <w:szCs w:val="21"/>
          <w:lang w:val="fr-FR" w:eastAsia="en-US" w:bidi="ar-SA"/>
        </w:rPr>
        <w:t>受体</w:t>
      </w:r>
      <w:r>
        <w:rPr>
          <w:rFonts w:hint="eastAsia" w:ascii="宋体" w:hAnsi="宋体" w:eastAsia="宋体" w:cs="宋体"/>
          <w:sz w:val="21"/>
          <w:szCs w:val="21"/>
          <w:lang w:val="en-US" w:eastAsia="zh-CN" w:bidi="ar-SA"/>
        </w:rPr>
        <w:t>；</w:t>
      </w:r>
    </w:p>
    <w:p w14:paraId="2E40B04B">
      <w:pPr>
        <w:keepNext w:val="0"/>
        <w:keepLines w:val="0"/>
        <w:pageBreakBefore w:val="0"/>
        <w:widowControl w:val="0"/>
        <w:numPr>
          <w:ilvl w:val="0"/>
          <w:numId w:val="9"/>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t>根据地块周边企业原辅材料、储存设施及管线</w:t>
      </w:r>
      <w:r>
        <w:rPr>
          <w:rFonts w:hint="eastAsia" w:ascii="宋体" w:hAnsi="宋体" w:eastAsia="宋体" w:cs="宋体"/>
          <w:sz w:val="21"/>
          <w:szCs w:val="21"/>
          <w:lang w:val="en-US" w:eastAsia="zh-CN" w:bidi="ar-SA"/>
        </w:rPr>
        <w:t>分布</w:t>
      </w:r>
      <w:r>
        <w:rPr>
          <w:rFonts w:hint="eastAsia" w:ascii="宋体" w:hAnsi="宋体" w:eastAsia="宋体" w:cs="宋体"/>
          <w:sz w:val="21"/>
          <w:szCs w:val="21"/>
          <w:lang w:val="fr-FR" w:eastAsia="en-US" w:bidi="ar-SA"/>
        </w:rPr>
        <w:t>、</w:t>
      </w:r>
      <w:r>
        <w:rPr>
          <w:rFonts w:hint="eastAsia" w:ascii="宋体" w:hAnsi="宋体" w:eastAsia="宋体" w:cs="宋体"/>
          <w:sz w:val="21"/>
          <w:szCs w:val="21"/>
          <w:lang w:val="en-US" w:eastAsia="zh-CN" w:bidi="ar-SA"/>
        </w:rPr>
        <w:t>平面布置</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fr-FR" w:eastAsia="en-US" w:bidi="ar-SA"/>
        </w:rPr>
        <w:t>污染物排放</w:t>
      </w:r>
      <w:r>
        <w:rPr>
          <w:rFonts w:hint="eastAsia" w:ascii="宋体" w:hAnsi="宋体" w:eastAsia="宋体" w:cs="宋体"/>
          <w:sz w:val="21"/>
          <w:szCs w:val="21"/>
          <w:lang w:val="en-US" w:eastAsia="zh-CN" w:bidi="ar-SA"/>
        </w:rPr>
        <w:t>情况及排放方式</w:t>
      </w:r>
      <w:r>
        <w:rPr>
          <w:rFonts w:hint="eastAsia" w:ascii="宋体" w:hAnsi="宋体" w:eastAsia="宋体" w:cs="宋体"/>
          <w:sz w:val="21"/>
          <w:szCs w:val="21"/>
          <w:lang w:val="fr-FR" w:eastAsia="zh-CN" w:bidi="ar-SA"/>
        </w:rPr>
        <w:t>、化学品泄漏</w:t>
      </w:r>
      <w:r>
        <w:rPr>
          <w:rFonts w:hint="eastAsia" w:ascii="宋体" w:hAnsi="宋体" w:eastAsia="宋体" w:cs="宋体"/>
          <w:sz w:val="21"/>
          <w:szCs w:val="21"/>
          <w:lang w:val="en-US" w:eastAsia="zh-CN" w:bidi="ar-SA"/>
        </w:rPr>
        <w:t>和环境污染事故</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fr-FR" w:eastAsia="en-US" w:bidi="ar-SA"/>
        </w:rPr>
        <w:t>土壤和地下水</w:t>
      </w:r>
      <w:r>
        <w:rPr>
          <w:rFonts w:hint="eastAsia" w:ascii="宋体" w:hAnsi="宋体" w:eastAsia="宋体" w:cs="宋体"/>
          <w:sz w:val="21"/>
          <w:szCs w:val="21"/>
          <w:lang w:val="en-US" w:eastAsia="zh-CN" w:bidi="ar-SA"/>
        </w:rPr>
        <w:t>调查</w:t>
      </w:r>
      <w:r>
        <w:rPr>
          <w:rFonts w:hint="eastAsia" w:ascii="宋体" w:hAnsi="宋体" w:eastAsia="宋体" w:cs="宋体"/>
          <w:sz w:val="21"/>
          <w:szCs w:val="21"/>
          <w:lang w:val="fr-FR" w:eastAsia="en-US" w:bidi="ar-SA"/>
        </w:rPr>
        <w:t>及各类污染物监测报告等，结合</w:t>
      </w:r>
      <w:r>
        <w:rPr>
          <w:rFonts w:hint="eastAsia" w:ascii="宋体" w:hAnsi="宋体" w:eastAsia="宋体" w:cs="宋体"/>
          <w:sz w:val="21"/>
          <w:szCs w:val="21"/>
          <w:lang w:val="en-US" w:eastAsia="zh-CN" w:bidi="ar-SA"/>
        </w:rPr>
        <w:t>周边企业相对位置、</w:t>
      </w:r>
      <w:r>
        <w:rPr>
          <w:rFonts w:hint="eastAsia" w:ascii="宋体" w:hAnsi="宋体" w:eastAsia="宋体" w:cs="宋体"/>
          <w:sz w:val="21"/>
          <w:szCs w:val="21"/>
          <w:lang w:val="fr-FR" w:eastAsia="en-US" w:bidi="ar-SA"/>
        </w:rPr>
        <w:t>地块所在区域水文地质条件</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主导风向</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地块</w:t>
      </w:r>
      <w:r>
        <w:rPr>
          <w:rFonts w:hint="eastAsia" w:ascii="宋体" w:hAnsi="宋体" w:eastAsia="宋体" w:cs="宋体"/>
          <w:sz w:val="21"/>
          <w:szCs w:val="21"/>
          <w:lang w:val="fr-FR" w:eastAsia="en-US" w:bidi="ar-SA"/>
        </w:rPr>
        <w:t>周边</w:t>
      </w:r>
      <w:r>
        <w:rPr>
          <w:rFonts w:hint="eastAsia" w:ascii="宋体" w:hAnsi="宋体" w:eastAsia="宋体" w:cs="宋体"/>
          <w:sz w:val="21"/>
          <w:szCs w:val="21"/>
          <w:lang w:val="en-US" w:eastAsia="zh-CN" w:bidi="ar-SA"/>
        </w:rPr>
        <w:t>排污管道</w:t>
      </w:r>
      <w:r>
        <w:rPr>
          <w:rFonts w:hint="eastAsia" w:ascii="宋体" w:hAnsi="宋体" w:eastAsia="宋体" w:cs="宋体"/>
          <w:sz w:val="21"/>
          <w:szCs w:val="21"/>
          <w:lang w:val="fr-FR" w:eastAsia="en-US" w:bidi="ar-SA"/>
        </w:rPr>
        <w:t>分布</w:t>
      </w:r>
      <w:r>
        <w:rPr>
          <w:rFonts w:hint="eastAsia" w:ascii="宋体" w:hAnsi="宋体" w:eastAsia="宋体" w:cs="宋体"/>
          <w:sz w:val="21"/>
          <w:szCs w:val="21"/>
          <w:lang w:val="en-US" w:eastAsia="zh-CN" w:bidi="ar-SA"/>
        </w:rPr>
        <w:t>及污染物迁移扩散规律</w:t>
      </w:r>
      <w:r>
        <w:rPr>
          <w:rFonts w:hint="eastAsia" w:ascii="宋体" w:hAnsi="宋体" w:eastAsia="宋体" w:cs="宋体"/>
          <w:sz w:val="21"/>
          <w:szCs w:val="21"/>
          <w:lang w:val="fr-FR" w:eastAsia="en-US" w:bidi="ar-SA"/>
        </w:rPr>
        <w:t>等，分析周边地块污染物迁移至</w:t>
      </w:r>
      <w:r>
        <w:rPr>
          <w:rFonts w:hint="eastAsia" w:ascii="宋体" w:hAnsi="宋体" w:eastAsia="宋体" w:cs="宋体"/>
          <w:sz w:val="21"/>
          <w:szCs w:val="21"/>
          <w:lang w:val="en-US" w:eastAsia="zh-CN" w:bidi="ar-SA"/>
        </w:rPr>
        <w:t>调查</w:t>
      </w:r>
      <w:r>
        <w:rPr>
          <w:rFonts w:hint="eastAsia" w:ascii="宋体" w:hAnsi="宋体" w:eastAsia="宋体" w:cs="宋体"/>
          <w:sz w:val="21"/>
          <w:szCs w:val="21"/>
          <w:lang w:val="fr-FR" w:eastAsia="en-US" w:bidi="ar-SA"/>
        </w:rPr>
        <w:t>地块内的可能性</w:t>
      </w:r>
      <w:r>
        <w:rPr>
          <w:rFonts w:hint="eastAsia" w:ascii="宋体" w:hAnsi="宋体" w:eastAsia="宋体" w:cs="宋体"/>
          <w:sz w:val="21"/>
          <w:szCs w:val="21"/>
          <w:lang w:val="en-US" w:eastAsia="zh-CN" w:bidi="ar-SA"/>
        </w:rPr>
        <w:t>、对应污染物种类、迁移途径及可能受影响的位置。</w:t>
      </w:r>
    </w:p>
    <w:p w14:paraId="156DC531">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对第一阶段调查过程进行不确定性分析，不确定性分析应列出调查过程中遇到的限制条件和欠缺的信息及对调查工作和结论的影响。</w:t>
      </w:r>
    </w:p>
    <w:p w14:paraId="4C0B1DBC">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2"/>
          <w:sz w:val="21"/>
          <w:szCs w:val="21"/>
          <w:lang w:val="en-US" w:eastAsia="zh-CN" w:bidi="ar-SA"/>
        </w:rPr>
        <w:t>调查结论</w:t>
      </w:r>
    </w:p>
    <w:p w14:paraId="09B5F184">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调查报告结论需明确是否需要开展第二阶段土壤污染状况调查。</w:t>
      </w:r>
    </w:p>
    <w:p w14:paraId="01C50840">
      <w:pPr>
        <w:keepNext w:val="0"/>
        <w:keepLines w:val="0"/>
        <w:pageBreakBefore w:val="0"/>
        <w:widowControl w:val="0"/>
        <w:numPr>
          <w:ilvl w:val="0"/>
          <w:numId w:val="10"/>
        </w:numPr>
        <w:kinsoku/>
        <w:wordWrap/>
        <w:overflowPunct/>
        <w:topLinePunct w:val="0"/>
        <w:autoSpaceDE w:val="0"/>
        <w:autoSpaceDN w:val="0"/>
        <w:bidi w:val="0"/>
        <w:adjustRightInd w:val="0"/>
        <w:snapToGrid w:val="0"/>
        <w:spacing w:line="360" w:lineRule="auto"/>
        <w:ind w:left="839" w:hanging="421"/>
        <w:jc w:val="distribute"/>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若第一阶段调查确认地块内及</w:t>
      </w:r>
      <w:r>
        <w:rPr>
          <w:rFonts w:hint="eastAsia" w:ascii="宋体" w:hAnsi="宋体" w:eastAsia="宋体" w:cs="宋体"/>
          <w:spacing w:val="-3"/>
          <w:sz w:val="21"/>
          <w:szCs w:val="21"/>
          <w:lang w:val="en-US" w:eastAsia="zh-CN" w:bidi="ar-SA"/>
        </w:rPr>
        <w:t>周边</w:t>
      </w:r>
      <w:r>
        <w:rPr>
          <w:rFonts w:ascii="宋体" w:hAnsi="宋体" w:eastAsia="宋体" w:cs="宋体"/>
          <w:spacing w:val="-3"/>
          <w:sz w:val="21"/>
          <w:szCs w:val="21"/>
          <w:lang w:val="fr-FR" w:eastAsia="zh-CN" w:bidi="ar-SA"/>
        </w:rPr>
        <w:t>区域当前和历史上均</w:t>
      </w:r>
      <w:r>
        <w:rPr>
          <w:rFonts w:hint="eastAsia" w:ascii="宋体" w:hAnsi="宋体" w:eastAsia="宋体" w:cs="宋体"/>
          <w:spacing w:val="-3"/>
          <w:sz w:val="21"/>
          <w:szCs w:val="21"/>
          <w:lang w:val="en-US" w:eastAsia="zh-CN" w:bidi="ar-SA"/>
        </w:rPr>
        <w:t>不存在导致地块污染的风险</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且现场快速检测也未发现明显检测异常点位</w:t>
      </w:r>
      <w:r>
        <w:rPr>
          <w:rFonts w:ascii="宋体" w:hAnsi="宋体" w:eastAsia="宋体" w:cs="宋体"/>
          <w:spacing w:val="-3"/>
          <w:sz w:val="21"/>
          <w:szCs w:val="21"/>
          <w:lang w:val="fr-FR" w:eastAsia="zh-CN" w:bidi="ar-SA"/>
        </w:rPr>
        <w:t>，则认为地块的</w:t>
      </w:r>
      <w:r>
        <w:rPr>
          <w:rFonts w:hint="eastAsia" w:ascii="宋体" w:hAnsi="宋体" w:eastAsia="宋体" w:cs="宋体"/>
          <w:spacing w:val="-3"/>
          <w:sz w:val="21"/>
          <w:szCs w:val="21"/>
          <w:lang w:val="en-US" w:eastAsia="zh-CN" w:bidi="ar-SA"/>
        </w:rPr>
        <w:t>土壤</w:t>
      </w:r>
      <w:r>
        <w:rPr>
          <w:rFonts w:ascii="宋体" w:hAnsi="宋体" w:eastAsia="宋体" w:cs="宋体"/>
          <w:spacing w:val="-3"/>
          <w:sz w:val="21"/>
          <w:szCs w:val="21"/>
          <w:lang w:val="fr-FR" w:eastAsia="zh-CN" w:bidi="ar-SA"/>
        </w:rPr>
        <w:t>环境状况可接受</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不需要进行下一阶段</w:t>
      </w:r>
    </w:p>
    <w:p w14:paraId="3B0F030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distribute"/>
        <w:textAlignment w:val="auto"/>
        <w:rPr>
          <w:sz w:val="21"/>
          <w:szCs w:val="21"/>
          <w:lang w:eastAsia="zh-CN"/>
        </w:rPr>
        <w:sectPr>
          <w:pgSz w:w="11910" w:h="16840"/>
          <w:pgMar w:top="1417" w:right="1417" w:bottom="1134" w:left="1134" w:header="1417" w:footer="1134" w:gutter="0"/>
          <w:pgNumType w:fmt="decimal"/>
          <w:cols w:space="0" w:num="1"/>
          <w:rtlGutter w:val="0"/>
          <w:docGrid w:linePitch="0" w:charSpace="0"/>
        </w:sectPr>
      </w:pPr>
    </w:p>
    <w:p w14:paraId="1F0A1F3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en-US" w:eastAsia="zh-CN" w:bidi="ar-SA"/>
        </w:rPr>
      </w:pPr>
    </w:p>
    <w:p w14:paraId="704CB9C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839"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pacing w:val="-3"/>
          <w:sz w:val="21"/>
          <w:szCs w:val="21"/>
          <w:lang w:val="en-US" w:eastAsia="zh-CN" w:bidi="ar-SA"/>
        </w:rPr>
        <w:t>调查</w:t>
      </w:r>
      <w:r>
        <w:rPr>
          <w:rFonts w:ascii="宋体" w:hAnsi="宋体" w:eastAsia="宋体" w:cs="宋体"/>
          <w:spacing w:val="-3"/>
          <w:sz w:val="21"/>
          <w:szCs w:val="21"/>
          <w:lang w:val="fr-FR" w:eastAsia="zh-CN" w:bidi="ar-SA"/>
        </w:rPr>
        <w:t>，调查活动可以结束</w:t>
      </w:r>
      <w:r>
        <w:rPr>
          <w:rFonts w:hint="eastAsia" w:ascii="宋体" w:hAnsi="宋体" w:eastAsia="宋体" w:cs="宋体"/>
          <w:spacing w:val="-3"/>
          <w:sz w:val="21"/>
          <w:szCs w:val="21"/>
          <w:lang w:val="fr-FR" w:eastAsia="zh-CN" w:bidi="ar-SA"/>
        </w:rPr>
        <w:t>；</w:t>
      </w:r>
    </w:p>
    <w:p w14:paraId="634DA92A">
      <w:pPr>
        <w:keepNext w:val="0"/>
        <w:keepLines w:val="0"/>
        <w:pageBreakBefore w:val="0"/>
        <w:widowControl w:val="0"/>
        <w:numPr>
          <w:ilvl w:val="0"/>
          <w:numId w:val="10"/>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en-US" w:bidi="ar-SA"/>
        </w:rPr>
      </w:pPr>
      <w:r>
        <w:rPr>
          <w:rFonts w:hint="eastAsia" w:ascii="宋体" w:hAnsi="宋体" w:eastAsia="宋体" w:cs="宋体"/>
          <w:spacing w:val="-3"/>
          <w:sz w:val="21"/>
          <w:szCs w:val="21"/>
          <w:lang w:val="en-US" w:eastAsia="zh-CN" w:bidi="ar-SA"/>
        </w:rPr>
        <w:t>若调查显示地块存在污染风险或因资料缺失无法判断污染风险时，需进行下一阶段调查</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并应说明地块可能的污染类型、污染状况、污染来源和污染途径，</w:t>
      </w:r>
      <w:r>
        <w:rPr>
          <w:rFonts w:ascii="宋体" w:hAnsi="宋体" w:eastAsia="宋体" w:cs="宋体"/>
          <w:spacing w:val="-3"/>
          <w:sz w:val="21"/>
          <w:szCs w:val="21"/>
          <w:lang w:val="fr-FR" w:eastAsia="zh-CN" w:bidi="ar-SA"/>
        </w:rPr>
        <w:t>列出</w:t>
      </w:r>
      <w:r>
        <w:rPr>
          <w:rFonts w:hint="eastAsia" w:ascii="宋体" w:hAnsi="宋体" w:eastAsia="宋体" w:cs="宋体"/>
          <w:spacing w:val="-3"/>
          <w:sz w:val="21"/>
          <w:szCs w:val="21"/>
          <w:lang w:val="en-US" w:eastAsia="zh-CN" w:bidi="ar-SA"/>
        </w:rPr>
        <w:t>地块下一阶段调查</w:t>
      </w:r>
      <w:r>
        <w:rPr>
          <w:rFonts w:ascii="宋体" w:hAnsi="宋体" w:eastAsia="宋体" w:cs="宋体"/>
          <w:spacing w:val="-3"/>
          <w:sz w:val="21"/>
          <w:szCs w:val="21"/>
          <w:lang w:val="fr-FR" w:eastAsia="zh-CN" w:bidi="ar-SA"/>
        </w:rPr>
        <w:t>需重点关注</w:t>
      </w:r>
      <w:r>
        <w:rPr>
          <w:rFonts w:hint="eastAsia" w:ascii="宋体" w:hAnsi="宋体" w:eastAsia="宋体" w:cs="宋体"/>
          <w:spacing w:val="-3"/>
          <w:sz w:val="21"/>
          <w:szCs w:val="21"/>
          <w:lang w:val="en-US" w:eastAsia="zh-CN" w:bidi="ar-SA"/>
        </w:rPr>
        <w:t>的潜在污染</w:t>
      </w:r>
      <w:r>
        <w:rPr>
          <w:rFonts w:ascii="宋体" w:hAnsi="宋体" w:eastAsia="宋体" w:cs="宋体"/>
          <w:spacing w:val="-3"/>
          <w:sz w:val="21"/>
          <w:szCs w:val="21"/>
          <w:lang w:val="fr-FR" w:eastAsia="zh-CN" w:bidi="ar-SA"/>
        </w:rPr>
        <w:t>区域</w:t>
      </w:r>
      <w:r>
        <w:rPr>
          <w:rFonts w:hint="eastAsia" w:ascii="宋体" w:hAnsi="宋体" w:eastAsia="宋体" w:cs="宋体"/>
          <w:spacing w:val="-3"/>
          <w:sz w:val="21"/>
          <w:szCs w:val="21"/>
          <w:lang w:val="en-US" w:eastAsia="zh-CN" w:bidi="ar-SA"/>
        </w:rPr>
        <w:t>及特征污染物</w:t>
      </w:r>
      <w:r>
        <w:rPr>
          <w:rFonts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并提出下一阶段土壤污染状况调查的建议</w:t>
      </w:r>
      <w:r>
        <w:rPr>
          <w:rFonts w:ascii="宋体" w:hAnsi="宋体" w:eastAsia="宋体" w:cs="宋体"/>
          <w:spacing w:val="-3"/>
          <w:sz w:val="21"/>
          <w:szCs w:val="21"/>
          <w:lang w:val="fr-FR" w:eastAsia="zh-CN" w:bidi="ar-SA"/>
        </w:rPr>
        <w:t>。</w:t>
      </w:r>
      <w:bookmarkStart w:id="31" w:name="_bookmark14"/>
      <w:bookmarkEnd w:id="31"/>
    </w:p>
    <w:p w14:paraId="572E4031">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1"/>
        <w:rPr>
          <w:rFonts w:ascii="黑体" w:hAnsi="黑体" w:eastAsia="黑体" w:cs="宋体"/>
          <w:sz w:val="21"/>
          <w:szCs w:val="21"/>
          <w:lang w:val="fr-FR" w:eastAsia="zh-CN" w:bidi="ar-SA"/>
        </w:rPr>
      </w:pPr>
      <w:bookmarkStart w:id="32" w:name="_Toc2744"/>
      <w:r>
        <w:rPr>
          <w:rFonts w:hint="eastAsia" w:ascii="黑体" w:hAnsi="黑体" w:eastAsia="黑体" w:cs="宋体"/>
          <w:spacing w:val="-3"/>
          <w:sz w:val="21"/>
          <w:szCs w:val="21"/>
          <w:lang w:val="fr-FR" w:eastAsia="zh-CN" w:bidi="ar-SA"/>
        </w:rPr>
        <w:t>第二</w:t>
      </w:r>
      <w:r>
        <w:rPr>
          <w:rFonts w:hint="eastAsia" w:ascii="黑体" w:hAnsi="宋体" w:eastAsia="黑体" w:cs="宋体"/>
          <w:sz w:val="21"/>
          <w:szCs w:val="21"/>
          <w:lang w:val="fr-FR" w:eastAsia="zh-CN" w:bidi="ar-SA"/>
        </w:rPr>
        <w:t>阶段土壤</w:t>
      </w:r>
      <w:r>
        <w:rPr>
          <w:rFonts w:hint="eastAsia" w:ascii="黑体" w:hAnsi="黑体" w:eastAsia="黑体" w:cs="宋体"/>
          <w:spacing w:val="-3"/>
          <w:sz w:val="21"/>
          <w:szCs w:val="21"/>
          <w:lang w:val="fr-FR" w:eastAsia="zh-CN" w:bidi="ar-SA"/>
        </w:rPr>
        <w:t>污染状况调查</w:t>
      </w:r>
      <w:bookmarkEnd w:id="32"/>
    </w:p>
    <w:p w14:paraId="6EFD52C6">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1"/>
          <w:lang w:val="fr-FR" w:eastAsia="en-US" w:bidi="ar-SA"/>
        </w:rPr>
      </w:pPr>
      <w:bookmarkStart w:id="33" w:name="_bookmark15"/>
      <w:bookmarkEnd w:id="33"/>
      <w:bookmarkStart w:id="34" w:name="_Toc25627"/>
      <w:r>
        <w:rPr>
          <w:rFonts w:hint="eastAsia" w:ascii="黑体" w:hAnsi="宋体" w:eastAsia="黑体" w:cs="宋体"/>
          <w:spacing w:val="-3"/>
          <w:sz w:val="21"/>
          <w:szCs w:val="21"/>
          <w:lang w:val="fr-FR" w:eastAsia="en-US" w:bidi="ar-SA"/>
        </w:rPr>
        <w:t>初步采样</w:t>
      </w:r>
      <w:r>
        <w:rPr>
          <w:rFonts w:hint="eastAsia" w:ascii="黑体" w:hAnsi="宋体" w:eastAsia="黑体" w:cs="宋体"/>
          <w:spacing w:val="-1"/>
          <w:sz w:val="21"/>
          <w:szCs w:val="21"/>
          <w:lang w:val="fr-FR" w:eastAsia="zh-CN" w:bidi="ar-SA"/>
        </w:rPr>
        <w:t>分析</w:t>
      </w:r>
      <w:r>
        <w:rPr>
          <w:rFonts w:hint="eastAsia" w:ascii="黑体" w:hAnsi="宋体" w:eastAsia="黑体" w:cs="宋体"/>
          <w:spacing w:val="-3"/>
          <w:sz w:val="21"/>
          <w:szCs w:val="21"/>
          <w:lang w:val="fr-FR" w:eastAsia="en-US" w:bidi="ar-SA"/>
        </w:rPr>
        <w:t>工作计划</w:t>
      </w:r>
      <w:bookmarkEnd w:id="34"/>
    </w:p>
    <w:p w14:paraId="77991E8B">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根据第一阶段土壤污染状况调查情况制定初步采样分析工作计划，内容包括核查已有信息、识别疑似污染区域、制定</w:t>
      </w:r>
      <w:r>
        <w:rPr>
          <w:rFonts w:hint="eastAsia" w:ascii="宋体" w:hAnsi="宋体" w:eastAsia="宋体" w:cs="宋体"/>
          <w:sz w:val="21"/>
          <w:szCs w:val="21"/>
          <w:lang w:val="en-US" w:eastAsia="zh-CN" w:bidi="ar-SA"/>
        </w:rPr>
        <w:t>布点</w:t>
      </w:r>
      <w:r>
        <w:rPr>
          <w:rFonts w:hint="eastAsia" w:ascii="宋体" w:hAnsi="宋体" w:eastAsia="宋体" w:cs="宋体"/>
          <w:sz w:val="21"/>
          <w:szCs w:val="21"/>
          <w:lang w:val="fr-FR" w:eastAsia="zh-CN" w:bidi="ar-SA"/>
        </w:rPr>
        <w:t>采样方案、制定健康和安全防护计划、制定样品分析方案和确定质量保证和质量控制</w:t>
      </w:r>
      <w:r>
        <w:rPr>
          <w:rFonts w:hint="eastAsia" w:ascii="宋体" w:hAnsi="宋体" w:eastAsia="宋体" w:cs="宋体"/>
          <w:sz w:val="21"/>
          <w:szCs w:val="21"/>
          <w:lang w:val="en-US" w:eastAsia="zh-CN" w:bidi="ar-SA"/>
        </w:rPr>
        <w:t>要求</w:t>
      </w:r>
      <w:r>
        <w:rPr>
          <w:rFonts w:hint="eastAsia" w:ascii="宋体" w:hAnsi="宋体" w:eastAsia="宋体" w:cs="宋体"/>
          <w:sz w:val="21"/>
          <w:szCs w:val="21"/>
          <w:lang w:val="fr-FR" w:eastAsia="zh-CN" w:bidi="ar-SA"/>
        </w:rPr>
        <w:t>等。</w:t>
      </w:r>
    </w:p>
    <w:p w14:paraId="550ED88F">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2"/>
          <w:sz w:val="21"/>
          <w:szCs w:val="21"/>
          <w:lang w:val="fr-FR" w:eastAsia="en-US" w:bidi="ar-SA"/>
        </w:rPr>
        <w:t>核查已有信息</w:t>
      </w:r>
    </w:p>
    <w:p w14:paraId="798A63AD">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pacing w:val="-6"/>
          <w:sz w:val="21"/>
          <w:szCs w:val="21"/>
          <w:lang w:val="fr-FR" w:eastAsia="zh-CN" w:bidi="ar-SA"/>
        </w:rPr>
      </w:pPr>
      <w:r>
        <w:rPr>
          <w:rFonts w:hint="eastAsia" w:ascii="宋体" w:hAnsi="宋体" w:eastAsia="宋体" w:cs="宋体"/>
          <w:spacing w:val="-6"/>
          <w:sz w:val="21"/>
          <w:szCs w:val="21"/>
          <w:lang w:val="fr-FR" w:eastAsia="zh-CN" w:bidi="ar-SA"/>
        </w:rPr>
        <w:t>对已有信息进行核查，包括第一阶段土壤</w:t>
      </w:r>
      <w:r>
        <w:rPr>
          <w:rFonts w:hint="eastAsia" w:ascii="宋体" w:hAnsi="宋体" w:eastAsia="宋体" w:cs="宋体"/>
          <w:sz w:val="21"/>
          <w:szCs w:val="21"/>
          <w:lang w:val="fr-FR" w:eastAsia="zh-CN" w:bidi="ar-SA"/>
        </w:rPr>
        <w:t>污染</w:t>
      </w:r>
      <w:r>
        <w:rPr>
          <w:rFonts w:hint="eastAsia" w:ascii="宋体" w:hAnsi="宋体" w:eastAsia="宋体" w:cs="宋体"/>
          <w:spacing w:val="-6"/>
          <w:sz w:val="21"/>
          <w:szCs w:val="21"/>
          <w:lang w:val="fr-FR" w:eastAsia="zh-CN" w:bidi="ar-SA"/>
        </w:rPr>
        <w:t>状况调查中重要的环境信息，如土壤类型和地下水埋深；重要的</w:t>
      </w:r>
      <w:r>
        <w:rPr>
          <w:rFonts w:hint="eastAsia" w:ascii="宋体" w:hAnsi="宋体" w:eastAsia="宋体" w:cs="宋体"/>
          <w:spacing w:val="-6"/>
          <w:sz w:val="21"/>
          <w:szCs w:val="21"/>
          <w:lang w:val="en-US" w:eastAsia="zh-CN" w:bidi="ar-SA"/>
        </w:rPr>
        <w:t>历史生产</w:t>
      </w:r>
      <w:r>
        <w:rPr>
          <w:rFonts w:hint="eastAsia" w:ascii="宋体" w:hAnsi="宋体" w:eastAsia="宋体" w:cs="宋体"/>
          <w:spacing w:val="-6"/>
          <w:sz w:val="21"/>
          <w:szCs w:val="21"/>
          <w:lang w:val="fr-FR" w:eastAsia="zh-CN" w:bidi="ar-SA"/>
        </w:rPr>
        <w:t>信息，如</w:t>
      </w:r>
      <w:r>
        <w:rPr>
          <w:rFonts w:hint="eastAsia" w:ascii="宋体" w:hAnsi="宋体" w:eastAsia="宋体" w:cs="宋体"/>
          <w:spacing w:val="-6"/>
          <w:sz w:val="21"/>
          <w:szCs w:val="21"/>
          <w:lang w:val="en-US" w:eastAsia="zh-CN" w:bidi="ar-SA"/>
        </w:rPr>
        <w:t>平面布置、生产工艺、有毒有害物质使用及储存情况</w:t>
      </w:r>
      <w:r>
        <w:rPr>
          <w:rFonts w:hint="eastAsia" w:ascii="宋体" w:hAnsi="宋体" w:eastAsia="宋体" w:cs="宋体"/>
          <w:spacing w:val="-6"/>
          <w:sz w:val="21"/>
          <w:szCs w:val="21"/>
          <w:lang w:val="fr-FR" w:eastAsia="zh-CN" w:bidi="ar-SA"/>
        </w:rPr>
        <w:t>；查阅污染物在土壤、地下水、地表水或地块周围环境的可能分布和迁移信息；查阅污染物排放、</w:t>
      </w:r>
      <w:r>
        <w:rPr>
          <w:rFonts w:hint="eastAsia" w:ascii="宋体" w:hAnsi="宋体" w:eastAsia="宋体" w:cs="宋体"/>
          <w:spacing w:val="-6"/>
          <w:sz w:val="21"/>
          <w:szCs w:val="21"/>
          <w:lang w:val="en-US" w:eastAsia="zh-CN" w:bidi="ar-SA"/>
        </w:rPr>
        <w:t>化学品</w:t>
      </w:r>
      <w:r>
        <w:rPr>
          <w:rFonts w:hint="eastAsia" w:ascii="宋体" w:hAnsi="宋体" w:eastAsia="宋体" w:cs="宋体"/>
          <w:spacing w:val="-6"/>
          <w:sz w:val="21"/>
          <w:szCs w:val="21"/>
          <w:lang w:val="fr-FR" w:eastAsia="zh-CN" w:bidi="ar-SA"/>
        </w:rPr>
        <w:t>泄漏</w:t>
      </w:r>
      <w:r>
        <w:rPr>
          <w:rFonts w:hint="eastAsia" w:ascii="宋体" w:hAnsi="宋体" w:eastAsia="宋体" w:cs="宋体"/>
          <w:spacing w:val="-6"/>
          <w:sz w:val="21"/>
          <w:szCs w:val="21"/>
          <w:lang w:val="en-US" w:eastAsia="zh-CN" w:bidi="ar-SA"/>
        </w:rPr>
        <w:t>和环境污染事故</w:t>
      </w:r>
      <w:r>
        <w:rPr>
          <w:rFonts w:hint="eastAsia" w:ascii="宋体" w:hAnsi="宋体" w:eastAsia="宋体" w:cs="宋体"/>
          <w:spacing w:val="-6"/>
          <w:sz w:val="21"/>
          <w:szCs w:val="21"/>
          <w:lang w:val="fr-FR" w:eastAsia="zh-CN" w:bidi="ar-SA"/>
        </w:rPr>
        <w:t>信息。应核查上述信息的来源，以确保其真实性和适用性。</w:t>
      </w:r>
    </w:p>
    <w:p w14:paraId="5AF641EE">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3"/>
          <w:sz w:val="21"/>
          <w:szCs w:val="21"/>
          <w:lang w:val="en-US" w:eastAsia="zh-CN" w:bidi="ar-SA"/>
        </w:rPr>
        <w:t>识别疑似污染区域</w:t>
      </w:r>
    </w:p>
    <w:p w14:paraId="0B7A4966">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根据地块的具体情况、地块内外的污染源分布</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特征污染物类型</w:t>
      </w:r>
      <w:r>
        <w:rPr>
          <w:rFonts w:ascii="宋体" w:hAnsi="宋体" w:eastAsia="宋体" w:cs="宋体"/>
          <w:sz w:val="21"/>
          <w:szCs w:val="21"/>
          <w:lang w:val="fr-FR" w:eastAsia="zh-CN" w:bidi="ar-SA"/>
        </w:rPr>
        <w:t>、水文地质条件以及污染物的迁移和转化等因素，</w:t>
      </w:r>
      <w:r>
        <w:rPr>
          <w:rFonts w:hint="eastAsia" w:ascii="宋体" w:hAnsi="宋体" w:eastAsia="宋体" w:cs="宋体"/>
          <w:sz w:val="21"/>
          <w:szCs w:val="21"/>
          <w:lang w:val="en-US" w:eastAsia="zh-CN" w:bidi="ar-SA"/>
        </w:rPr>
        <w:t>结合污染识别结论识别疑似污染区域</w:t>
      </w:r>
      <w:r>
        <w:rPr>
          <w:rFonts w:ascii="宋体" w:hAnsi="宋体" w:eastAsia="宋体" w:cs="宋体"/>
          <w:sz w:val="21"/>
          <w:szCs w:val="21"/>
          <w:lang w:val="fr-FR" w:eastAsia="zh-CN" w:bidi="ar-SA"/>
        </w:rPr>
        <w:t>，为制定</w:t>
      </w:r>
      <w:r>
        <w:rPr>
          <w:rFonts w:hint="eastAsia" w:ascii="宋体" w:hAnsi="宋体" w:eastAsia="宋体" w:cs="宋体"/>
          <w:sz w:val="21"/>
          <w:szCs w:val="21"/>
          <w:lang w:val="en-US" w:eastAsia="zh-CN" w:bidi="ar-SA"/>
        </w:rPr>
        <w:t>布点</w:t>
      </w:r>
      <w:r>
        <w:rPr>
          <w:rFonts w:ascii="宋体" w:hAnsi="宋体" w:eastAsia="宋体" w:cs="宋体"/>
          <w:sz w:val="21"/>
          <w:szCs w:val="21"/>
          <w:lang w:val="fr-FR" w:eastAsia="zh-CN" w:bidi="ar-SA"/>
        </w:rPr>
        <w:t>采样方案提供依据。</w:t>
      </w:r>
    </w:p>
    <w:p w14:paraId="302BEE51">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疑似污染区域包括但不限于</w:t>
      </w:r>
      <w:r>
        <w:rPr>
          <w:rFonts w:hint="eastAsia" w:ascii="宋体" w:hAnsi="宋体" w:eastAsia="宋体" w:cs="宋体"/>
          <w:sz w:val="21"/>
          <w:szCs w:val="21"/>
          <w:lang w:val="fr-FR" w:eastAsia="zh-CN" w:bidi="ar-SA"/>
        </w:rPr>
        <w:t>：</w:t>
      </w:r>
    </w:p>
    <w:p w14:paraId="28E5E715">
      <w:pPr>
        <w:keepNext w:val="0"/>
        <w:keepLines w:val="0"/>
        <w:pageBreakBefore w:val="0"/>
        <w:widowControl w:val="0"/>
        <w:numPr>
          <w:ilvl w:val="0"/>
          <w:numId w:val="11"/>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fr-FR" w:eastAsia="zh-CN" w:bidi="ar-SA"/>
        </w:rPr>
        <w:t>已有资料或前期调查表明可能存在污染的区域；</w:t>
      </w:r>
    </w:p>
    <w:p w14:paraId="30C450BB">
      <w:pPr>
        <w:keepNext w:val="0"/>
        <w:keepLines w:val="0"/>
        <w:pageBreakBefore w:val="0"/>
        <w:widowControl w:val="0"/>
        <w:numPr>
          <w:ilvl w:val="0"/>
          <w:numId w:val="11"/>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fr-FR" w:eastAsia="zh-CN" w:bidi="ar-SA"/>
        </w:rPr>
        <w:t>曾发生泄漏或环境污染事故的区域；</w:t>
      </w:r>
    </w:p>
    <w:p w14:paraId="537CB937">
      <w:pPr>
        <w:keepNext w:val="0"/>
        <w:keepLines w:val="0"/>
        <w:pageBreakBefore w:val="0"/>
        <w:widowControl w:val="0"/>
        <w:numPr>
          <w:ilvl w:val="0"/>
          <w:numId w:val="11"/>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fr-FR" w:eastAsia="zh-CN" w:bidi="ar-SA"/>
        </w:rPr>
        <w:t>各类</w:t>
      </w:r>
      <w:r>
        <w:rPr>
          <w:rFonts w:hint="eastAsia" w:ascii="宋体" w:hAnsi="宋体" w:eastAsia="宋体" w:cs="宋体"/>
          <w:spacing w:val="-3"/>
          <w:sz w:val="21"/>
          <w:szCs w:val="21"/>
          <w:lang w:val="en-US" w:eastAsia="zh-CN" w:bidi="ar-SA"/>
        </w:rPr>
        <w:t>涉及有毒有害物质的</w:t>
      </w:r>
      <w:r>
        <w:rPr>
          <w:rFonts w:hint="eastAsia" w:ascii="宋体" w:hAnsi="宋体" w:eastAsia="宋体" w:cs="宋体"/>
          <w:spacing w:val="-3"/>
          <w:sz w:val="21"/>
          <w:szCs w:val="21"/>
          <w:lang w:val="fr-FR" w:eastAsia="zh-CN" w:bidi="ar-SA"/>
        </w:rPr>
        <w:t>地下罐槽、管线、集水井、检查井等所在的区域；</w:t>
      </w:r>
    </w:p>
    <w:p w14:paraId="635B57B3">
      <w:pPr>
        <w:keepNext w:val="0"/>
        <w:keepLines w:val="0"/>
        <w:pageBreakBefore w:val="0"/>
        <w:widowControl w:val="0"/>
        <w:numPr>
          <w:ilvl w:val="0"/>
          <w:numId w:val="11"/>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fr-FR" w:eastAsia="zh-CN" w:bidi="ar-SA"/>
        </w:rPr>
        <w:t>固体废物堆放或填埋的区域；</w:t>
      </w:r>
    </w:p>
    <w:p w14:paraId="0EC4C3F4">
      <w:pPr>
        <w:keepNext w:val="0"/>
        <w:keepLines w:val="0"/>
        <w:pageBreakBefore w:val="0"/>
        <w:widowControl w:val="0"/>
        <w:numPr>
          <w:ilvl w:val="0"/>
          <w:numId w:val="11"/>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具有有毒有害特性的</w:t>
      </w:r>
      <w:r>
        <w:rPr>
          <w:rFonts w:hint="eastAsia" w:ascii="宋体" w:hAnsi="宋体" w:eastAsia="宋体" w:cs="宋体"/>
          <w:spacing w:val="-3"/>
          <w:sz w:val="21"/>
          <w:szCs w:val="21"/>
          <w:lang w:val="fr-FR" w:eastAsia="zh-CN" w:bidi="ar-SA"/>
        </w:rPr>
        <w:t>原辅材料、产品、化学品以及危险废物等生产、贮存、装卸、使用和处置的区域；</w:t>
      </w:r>
    </w:p>
    <w:p w14:paraId="1CBA7CCF">
      <w:pPr>
        <w:keepNext w:val="0"/>
        <w:keepLines w:val="0"/>
        <w:pageBreakBefore w:val="0"/>
        <w:widowControl w:val="0"/>
        <w:numPr>
          <w:ilvl w:val="0"/>
          <w:numId w:val="11"/>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fr-FR" w:eastAsia="zh-CN" w:bidi="ar-SA"/>
        </w:rPr>
        <w:t>其他存在明显污染痕迹或存在异味的区域。</w:t>
      </w:r>
    </w:p>
    <w:p w14:paraId="08FC8A9D">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pacing w:val="-6"/>
          <w:sz w:val="21"/>
          <w:szCs w:val="21"/>
          <w:lang w:val="fr-FR" w:eastAsia="zh-CN" w:bidi="ar-SA"/>
        </w:rPr>
      </w:pPr>
      <w:r>
        <w:rPr>
          <w:rFonts w:hint="eastAsia" w:ascii="宋体" w:hAnsi="宋体" w:eastAsia="宋体" w:cs="宋体"/>
          <w:spacing w:val="-6"/>
          <w:sz w:val="21"/>
          <w:szCs w:val="21"/>
          <w:lang w:val="en-US" w:eastAsia="zh-CN" w:bidi="ar-SA"/>
        </w:rPr>
        <w:t>疑似污染区域</w:t>
      </w:r>
      <w:r>
        <w:rPr>
          <w:rFonts w:hint="eastAsia" w:ascii="宋体" w:hAnsi="宋体" w:eastAsia="宋体" w:cs="宋体"/>
          <w:spacing w:val="-6"/>
          <w:sz w:val="21"/>
          <w:szCs w:val="21"/>
          <w:lang w:val="fr-FR" w:eastAsia="zh-CN" w:bidi="ar-SA"/>
        </w:rPr>
        <w:t>划分</w:t>
      </w:r>
      <w:r>
        <w:rPr>
          <w:rFonts w:hint="eastAsia" w:ascii="宋体" w:hAnsi="宋体" w:eastAsia="宋体" w:cs="宋体"/>
          <w:spacing w:val="-6"/>
          <w:sz w:val="21"/>
          <w:szCs w:val="21"/>
          <w:lang w:val="en-US" w:eastAsia="zh-CN" w:bidi="ar-SA"/>
        </w:rPr>
        <w:t>一般</w:t>
      </w:r>
      <w:r>
        <w:rPr>
          <w:rFonts w:hint="eastAsia" w:ascii="宋体" w:hAnsi="宋体" w:eastAsia="宋体" w:cs="宋体"/>
          <w:spacing w:val="-6"/>
          <w:sz w:val="21"/>
          <w:szCs w:val="21"/>
          <w:lang w:val="fr-FR" w:eastAsia="zh-CN" w:bidi="ar-SA"/>
        </w:rPr>
        <w:t>以</w:t>
      </w:r>
      <w:r>
        <w:rPr>
          <w:rFonts w:hint="eastAsia" w:ascii="宋体" w:hAnsi="宋体" w:eastAsia="宋体" w:cs="宋体"/>
          <w:spacing w:val="-6"/>
          <w:sz w:val="21"/>
          <w:szCs w:val="21"/>
          <w:lang w:val="en-US" w:eastAsia="zh-CN" w:bidi="ar-SA"/>
        </w:rPr>
        <w:t>建（</w:t>
      </w:r>
      <w:r>
        <w:rPr>
          <w:rFonts w:hint="eastAsia" w:ascii="宋体" w:hAnsi="宋体" w:eastAsia="宋体" w:cs="宋体"/>
          <w:spacing w:val="-6"/>
          <w:sz w:val="21"/>
          <w:szCs w:val="21"/>
          <w:lang w:val="fr-FR" w:eastAsia="zh-CN" w:bidi="ar-SA"/>
        </w:rPr>
        <w:t>构</w:t>
      </w:r>
      <w:r>
        <w:rPr>
          <w:rFonts w:hint="eastAsia" w:ascii="宋体" w:hAnsi="宋体" w:eastAsia="宋体" w:cs="宋体"/>
          <w:spacing w:val="-6"/>
          <w:sz w:val="21"/>
          <w:szCs w:val="21"/>
          <w:lang w:val="en-US" w:eastAsia="zh-CN" w:bidi="ar-SA"/>
        </w:rPr>
        <w:t>）</w:t>
      </w:r>
      <w:r>
        <w:rPr>
          <w:rFonts w:hint="eastAsia" w:ascii="宋体" w:hAnsi="宋体" w:eastAsia="宋体" w:cs="宋体"/>
          <w:spacing w:val="-6"/>
          <w:sz w:val="21"/>
          <w:szCs w:val="21"/>
          <w:lang w:val="fr-FR" w:eastAsia="zh-CN" w:bidi="ar-SA"/>
        </w:rPr>
        <w:t>筑物或生产</w:t>
      </w:r>
      <w:r>
        <w:rPr>
          <w:rFonts w:hint="eastAsia" w:ascii="宋体" w:hAnsi="宋体" w:eastAsia="宋体" w:cs="宋体"/>
          <w:spacing w:val="-6"/>
          <w:sz w:val="21"/>
          <w:szCs w:val="21"/>
          <w:lang w:val="en-US" w:eastAsia="zh-CN" w:bidi="ar-SA"/>
        </w:rPr>
        <w:t>环节</w:t>
      </w:r>
      <w:r>
        <w:rPr>
          <w:rFonts w:hint="eastAsia" w:ascii="宋体" w:hAnsi="宋体" w:eastAsia="宋体" w:cs="宋体"/>
          <w:spacing w:val="-6"/>
          <w:sz w:val="21"/>
          <w:szCs w:val="21"/>
          <w:lang w:val="fr-FR" w:eastAsia="zh-CN" w:bidi="ar-SA"/>
        </w:rPr>
        <w:t>为单元。对于土地使用功能相近、单元面积较小</w:t>
      </w:r>
      <w:r>
        <w:rPr>
          <w:rFonts w:hint="eastAsia" w:ascii="宋体" w:hAnsi="宋体" w:eastAsia="宋体" w:cs="宋体"/>
          <w:spacing w:val="-6"/>
          <w:sz w:val="21"/>
          <w:szCs w:val="21"/>
          <w:lang w:val="en-US" w:eastAsia="zh-CN" w:bidi="ar-SA"/>
        </w:rPr>
        <w:t>且特征污染物相同</w:t>
      </w:r>
      <w:r>
        <w:rPr>
          <w:rFonts w:hint="eastAsia" w:ascii="宋体" w:hAnsi="宋体" w:eastAsia="宋体" w:cs="宋体"/>
          <w:spacing w:val="-6"/>
          <w:sz w:val="21"/>
          <w:szCs w:val="21"/>
          <w:lang w:val="fr-FR" w:eastAsia="zh-CN" w:bidi="ar-SA"/>
        </w:rPr>
        <w:t>的</w:t>
      </w:r>
      <w:r>
        <w:rPr>
          <w:rFonts w:hint="eastAsia" w:ascii="宋体" w:hAnsi="宋体" w:eastAsia="宋体" w:cs="宋体"/>
          <w:spacing w:val="-6"/>
          <w:sz w:val="21"/>
          <w:szCs w:val="21"/>
          <w:lang w:val="en-US" w:eastAsia="zh-CN" w:bidi="ar-SA"/>
        </w:rPr>
        <w:t>区域</w:t>
      </w:r>
      <w:r>
        <w:rPr>
          <w:rFonts w:hint="eastAsia" w:ascii="宋体" w:hAnsi="宋体" w:eastAsia="宋体" w:cs="宋体"/>
          <w:spacing w:val="-6"/>
          <w:sz w:val="21"/>
          <w:szCs w:val="21"/>
          <w:lang w:val="fr-FR" w:eastAsia="zh-CN" w:bidi="ar-SA"/>
        </w:rPr>
        <w:t>也可将几个</w:t>
      </w:r>
      <w:r>
        <w:rPr>
          <w:rFonts w:hint="eastAsia" w:ascii="宋体" w:hAnsi="宋体" w:eastAsia="宋体" w:cs="宋体"/>
          <w:spacing w:val="-6"/>
          <w:sz w:val="21"/>
          <w:szCs w:val="21"/>
          <w:lang w:val="en-US" w:eastAsia="zh-CN" w:bidi="ar-SA"/>
        </w:rPr>
        <w:t>临近</w:t>
      </w:r>
      <w:r>
        <w:rPr>
          <w:rFonts w:hint="eastAsia" w:ascii="宋体" w:hAnsi="宋体" w:eastAsia="宋体" w:cs="宋体"/>
          <w:spacing w:val="-6"/>
          <w:sz w:val="21"/>
          <w:szCs w:val="21"/>
          <w:lang w:val="fr-FR" w:eastAsia="zh-CN" w:bidi="ar-SA"/>
        </w:rPr>
        <w:t>单元合并成一个</w:t>
      </w:r>
      <w:r>
        <w:rPr>
          <w:rFonts w:hint="eastAsia" w:ascii="宋体" w:hAnsi="宋体" w:eastAsia="宋体" w:cs="宋体"/>
          <w:spacing w:val="-6"/>
          <w:sz w:val="21"/>
          <w:szCs w:val="21"/>
          <w:lang w:val="en-US" w:eastAsia="zh-CN" w:bidi="ar-SA"/>
        </w:rPr>
        <w:t>疑似污染区域</w:t>
      </w:r>
      <w:r>
        <w:rPr>
          <w:rFonts w:hint="eastAsia" w:ascii="宋体" w:hAnsi="宋体" w:eastAsia="宋体" w:cs="宋体"/>
          <w:spacing w:val="-6"/>
          <w:sz w:val="21"/>
          <w:szCs w:val="21"/>
          <w:lang w:val="fr-FR" w:eastAsia="zh-CN" w:bidi="ar-SA"/>
        </w:rPr>
        <w:t>。</w:t>
      </w:r>
    </w:p>
    <w:p w14:paraId="56446F58">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3"/>
          <w:sz w:val="21"/>
          <w:szCs w:val="21"/>
          <w:lang w:val="fr-FR" w:eastAsia="en-US" w:bidi="ar-SA"/>
        </w:rPr>
        <w:t>制定</w:t>
      </w:r>
      <w:r>
        <w:rPr>
          <w:rFonts w:hint="eastAsia" w:ascii="黑体" w:hAnsi="宋体" w:eastAsia="黑体" w:cs="宋体"/>
          <w:spacing w:val="-3"/>
          <w:sz w:val="21"/>
          <w:szCs w:val="21"/>
          <w:lang w:val="en-US" w:eastAsia="zh-CN" w:bidi="ar-SA"/>
        </w:rPr>
        <w:t>布点</w:t>
      </w:r>
      <w:r>
        <w:rPr>
          <w:rFonts w:hint="eastAsia" w:ascii="黑体" w:hAnsi="宋体" w:eastAsia="黑体" w:cs="宋体"/>
          <w:spacing w:val="-3"/>
          <w:sz w:val="21"/>
          <w:szCs w:val="21"/>
          <w:lang w:val="fr-FR" w:eastAsia="en-US" w:bidi="ar-SA"/>
        </w:rPr>
        <w:t>采样方案</w:t>
      </w:r>
    </w:p>
    <w:p w14:paraId="398FD695">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1"/>
          <w:sz w:val="21"/>
          <w:szCs w:val="21"/>
          <w:lang w:val="en-US" w:eastAsia="zh-CN" w:bidi="ar-SA"/>
        </w:rPr>
        <w:t>布点范围</w:t>
      </w:r>
    </w:p>
    <w:p w14:paraId="3EDD02E4">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distribute"/>
        <w:textAlignment w:val="auto"/>
        <w:rPr>
          <w:rFonts w:ascii="黑体" w:hAnsi="宋体" w:eastAsia="黑体" w:cs="宋体"/>
          <w:sz w:val="21"/>
          <w:szCs w:val="21"/>
          <w:lang w:val="fr-FR" w:eastAsia="en-US" w:bidi="ar-SA"/>
        </w:rPr>
      </w:pPr>
      <w:r>
        <w:rPr>
          <w:rFonts w:hint="eastAsia" w:ascii="宋体" w:hAnsi="宋体" w:eastAsia="宋体" w:cs="宋体"/>
          <w:spacing w:val="-6"/>
          <w:sz w:val="21"/>
          <w:szCs w:val="21"/>
          <w:lang w:val="en-US" w:eastAsia="zh-CN" w:bidi="ar-SA"/>
        </w:rPr>
        <w:t>一般</w:t>
      </w:r>
      <w:r>
        <w:rPr>
          <w:rFonts w:hint="eastAsia" w:ascii="宋体" w:hAnsi="宋体" w:eastAsia="宋体" w:cs="宋体"/>
          <w:spacing w:val="-6"/>
          <w:sz w:val="21"/>
          <w:szCs w:val="21"/>
          <w:lang w:val="fr-FR" w:eastAsia="zh-CN" w:bidi="ar-SA"/>
        </w:rPr>
        <w:t>为</w:t>
      </w:r>
      <w:r>
        <w:rPr>
          <w:rFonts w:hint="eastAsia" w:ascii="宋体" w:hAnsi="宋体" w:eastAsia="宋体" w:cs="宋体"/>
          <w:spacing w:val="-6"/>
          <w:sz w:val="21"/>
          <w:szCs w:val="21"/>
          <w:lang w:val="en-US" w:eastAsia="zh-CN" w:bidi="ar-SA"/>
        </w:rPr>
        <w:t>地块边界范围内，重点</w:t>
      </w:r>
      <w:r>
        <w:rPr>
          <w:rFonts w:hint="eastAsia" w:ascii="宋体" w:hAnsi="宋体" w:eastAsia="宋体" w:cs="宋体"/>
          <w:spacing w:val="-6"/>
          <w:sz w:val="21"/>
          <w:szCs w:val="21"/>
          <w:lang w:val="fr-FR" w:eastAsia="zh-CN" w:bidi="ar-SA"/>
        </w:rPr>
        <w:t>为</w:t>
      </w:r>
      <w:r>
        <w:rPr>
          <w:rFonts w:hint="eastAsia" w:ascii="宋体" w:hAnsi="宋体" w:eastAsia="宋体" w:cs="宋体"/>
          <w:spacing w:val="-6"/>
          <w:sz w:val="21"/>
          <w:szCs w:val="21"/>
          <w:lang w:val="en-US" w:eastAsia="zh-CN" w:bidi="ar-SA"/>
        </w:rPr>
        <w:t>第一阶段土壤污染状况调查</w:t>
      </w:r>
      <w:r>
        <w:rPr>
          <w:rFonts w:hint="eastAsia" w:ascii="宋体" w:hAnsi="宋体" w:eastAsia="宋体" w:cs="宋体"/>
          <w:spacing w:val="-6"/>
          <w:sz w:val="21"/>
          <w:szCs w:val="21"/>
          <w:lang w:val="fr-FR" w:eastAsia="zh-CN" w:bidi="ar-SA"/>
        </w:rPr>
        <w:t>确定</w:t>
      </w:r>
      <w:r>
        <w:rPr>
          <w:rFonts w:hint="eastAsia" w:ascii="宋体" w:hAnsi="宋体" w:eastAsia="宋体" w:cs="宋体"/>
          <w:spacing w:val="-6"/>
          <w:sz w:val="21"/>
          <w:szCs w:val="21"/>
          <w:lang w:val="en-US" w:eastAsia="zh-CN" w:bidi="ar-SA"/>
        </w:rPr>
        <w:t>的调查范围</w:t>
      </w:r>
      <w:r>
        <w:rPr>
          <w:rFonts w:hint="eastAsia" w:ascii="宋体" w:hAnsi="宋体" w:eastAsia="宋体" w:cs="宋体"/>
          <w:spacing w:val="-6"/>
          <w:sz w:val="21"/>
          <w:szCs w:val="21"/>
          <w:lang w:val="fr-FR" w:eastAsia="zh-CN" w:bidi="ar-SA"/>
        </w:rPr>
        <w:t>，如污染物可能扩散到地块</w:t>
      </w:r>
    </w:p>
    <w:p w14:paraId="27A9EB15">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50" w:after="0" w:afterLines="50" w:line="360" w:lineRule="auto"/>
        <w:jc w:val="both"/>
        <w:textAlignment w:val="auto"/>
        <w:rPr>
          <w:rFonts w:ascii="黑体" w:eastAsia="黑体"/>
          <w:sz w:val="21"/>
          <w:szCs w:val="21"/>
        </w:rPr>
        <w:sectPr>
          <w:pgSz w:w="11910" w:h="16840"/>
          <w:pgMar w:top="1417" w:right="1134" w:bottom="1134" w:left="1417" w:header="1417" w:footer="1134" w:gutter="0"/>
          <w:pgNumType w:fmt="decimal"/>
          <w:cols w:space="0" w:num="1"/>
          <w:rtlGutter w:val="0"/>
          <w:docGrid w:linePitch="0" w:charSpace="0"/>
        </w:sectPr>
      </w:pPr>
    </w:p>
    <w:p w14:paraId="4F04C28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pacing w:val="-5"/>
          <w:sz w:val="21"/>
          <w:szCs w:val="21"/>
          <w:lang w:val="fr-FR" w:eastAsia="zh-CN" w:bidi="ar-SA"/>
        </w:rPr>
      </w:pPr>
    </w:p>
    <w:p w14:paraId="0031CAC0">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spacing w:val="-6"/>
          <w:sz w:val="21"/>
          <w:szCs w:val="21"/>
          <w:lang w:val="fr-FR" w:eastAsia="zh-CN" w:bidi="ar-SA"/>
        </w:rPr>
      </w:pPr>
      <w:r>
        <w:rPr>
          <w:rFonts w:hint="eastAsia" w:ascii="宋体" w:hAnsi="宋体" w:eastAsia="宋体" w:cs="宋体"/>
          <w:spacing w:val="-6"/>
          <w:sz w:val="21"/>
          <w:szCs w:val="21"/>
          <w:lang w:val="fr-FR" w:eastAsia="zh-CN" w:bidi="ar-SA"/>
        </w:rPr>
        <w:t>外，在条件允许的情况下布点范围</w:t>
      </w:r>
      <w:r>
        <w:rPr>
          <w:rFonts w:hint="eastAsia" w:ascii="宋体" w:hAnsi="宋体" w:eastAsia="宋体" w:cs="宋体"/>
          <w:spacing w:val="-6"/>
          <w:sz w:val="21"/>
          <w:szCs w:val="21"/>
          <w:lang w:val="en-US" w:eastAsia="zh-CN" w:bidi="ar-SA"/>
        </w:rPr>
        <w:t>应</w:t>
      </w:r>
      <w:r>
        <w:rPr>
          <w:rFonts w:hint="eastAsia" w:ascii="宋体" w:hAnsi="宋体" w:eastAsia="宋体" w:cs="宋体"/>
          <w:spacing w:val="-6"/>
          <w:sz w:val="21"/>
          <w:szCs w:val="21"/>
          <w:lang w:val="fr-FR" w:eastAsia="zh-CN" w:bidi="ar-SA"/>
        </w:rPr>
        <w:t>扩展到地块周边可能扩散的区域。</w:t>
      </w:r>
    </w:p>
    <w:p w14:paraId="093A110A">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z w:val="21"/>
          <w:szCs w:val="21"/>
          <w:lang w:val="en-US" w:eastAsia="zh-CN" w:bidi="ar-SA"/>
        </w:rPr>
        <w:t>土壤采样点</w:t>
      </w:r>
      <w:r>
        <w:rPr>
          <w:rFonts w:hint="eastAsia" w:ascii="黑体" w:hAnsi="黑体" w:eastAsia="黑体" w:cs="黑体"/>
          <w:spacing w:val="-10"/>
          <w:sz w:val="21"/>
          <w:szCs w:val="21"/>
          <w:lang w:val="en-US" w:eastAsia="zh-CN" w:bidi="ar-SA"/>
        </w:rPr>
        <w:t>布设</w:t>
      </w:r>
    </w:p>
    <w:p w14:paraId="3DA5106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default"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土壤采样点位布设应根据地块面积、第一阶段调查结论、疑似污染区域分布、污染迁移途径和水文地质条件等综合分析确定，土壤采样点布设具体要求如下：</w:t>
      </w:r>
    </w:p>
    <w:p w14:paraId="46E9A599">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ascii="宋体" w:hAnsi="宋体" w:eastAsia="宋体" w:cs="宋体"/>
          <w:sz w:val="21"/>
          <w:szCs w:val="21"/>
          <w:lang w:val="fr-FR" w:eastAsia="zh-CN" w:bidi="ar-SA"/>
        </w:rPr>
        <w:t>初步采样</w:t>
      </w:r>
      <w:r>
        <w:rPr>
          <w:rFonts w:ascii="宋体" w:hAnsi="宋体" w:eastAsia="宋体" w:cs="宋体"/>
          <w:spacing w:val="-3"/>
          <w:sz w:val="21"/>
          <w:szCs w:val="21"/>
          <w:lang w:val="fr-FR" w:eastAsia="zh-CN" w:bidi="ar-SA"/>
        </w:rPr>
        <w:t>分析</w:t>
      </w:r>
      <w:r>
        <w:rPr>
          <w:rFonts w:ascii="宋体" w:hAnsi="宋体" w:eastAsia="宋体" w:cs="宋体"/>
          <w:sz w:val="21"/>
          <w:szCs w:val="21"/>
          <w:lang w:val="fr-FR" w:eastAsia="zh-CN" w:bidi="ar-SA"/>
        </w:rPr>
        <w:t>的</w:t>
      </w:r>
      <w:r>
        <w:rPr>
          <w:rFonts w:hint="eastAsia" w:ascii="宋体" w:hAnsi="宋体" w:eastAsia="宋体" w:cs="宋体"/>
          <w:sz w:val="21"/>
          <w:szCs w:val="21"/>
          <w:lang w:val="en-US" w:eastAsia="zh-CN" w:bidi="ar-SA"/>
        </w:rPr>
        <w:t>土壤</w:t>
      </w:r>
      <w:r>
        <w:rPr>
          <w:rFonts w:ascii="宋体" w:hAnsi="宋体" w:eastAsia="宋体" w:cs="宋体"/>
          <w:sz w:val="21"/>
          <w:szCs w:val="21"/>
          <w:lang w:val="fr-FR" w:eastAsia="zh-CN" w:bidi="ar-SA"/>
        </w:rPr>
        <w:t>采样点位布设以尽可能捕获污染为原则，</w:t>
      </w:r>
      <w:r>
        <w:rPr>
          <w:rFonts w:hint="eastAsia" w:ascii="宋体" w:hAnsi="宋体" w:eastAsia="宋体" w:cs="宋体"/>
          <w:sz w:val="21"/>
          <w:szCs w:val="21"/>
          <w:lang w:val="en-US" w:eastAsia="zh-CN" w:bidi="ar-SA"/>
        </w:rPr>
        <w:t>应</w:t>
      </w:r>
      <w:r>
        <w:rPr>
          <w:rFonts w:ascii="宋体" w:hAnsi="宋体" w:eastAsia="宋体" w:cs="宋体"/>
          <w:sz w:val="21"/>
          <w:szCs w:val="21"/>
          <w:lang w:val="fr-FR" w:eastAsia="zh-CN" w:bidi="ar-SA"/>
        </w:rPr>
        <w:t>布设在</w:t>
      </w:r>
      <w:r>
        <w:rPr>
          <w:rFonts w:hint="eastAsia" w:ascii="宋体" w:hAnsi="宋体" w:eastAsia="宋体" w:cs="宋体"/>
          <w:sz w:val="21"/>
          <w:szCs w:val="21"/>
          <w:lang w:val="en-US" w:eastAsia="zh-CN" w:bidi="ar-SA"/>
        </w:rPr>
        <w:t>疑似污染区域内可能污染最重或有明显污染痕迹的位置，布点位置需明确，并给出合理理由。</w:t>
      </w:r>
      <w:r>
        <w:rPr>
          <w:rFonts w:ascii="宋体" w:hAnsi="宋体" w:eastAsia="宋体" w:cs="宋体"/>
          <w:sz w:val="21"/>
          <w:szCs w:val="21"/>
          <w:lang w:val="fr-FR" w:eastAsia="zh-CN" w:bidi="ar-SA"/>
        </w:rPr>
        <w:t>确因现场条件限制，可将点位适当调整到</w:t>
      </w:r>
      <w:r>
        <w:rPr>
          <w:rFonts w:hint="eastAsia" w:ascii="宋体" w:hAnsi="宋体" w:eastAsia="宋体" w:cs="宋体"/>
          <w:sz w:val="21"/>
          <w:szCs w:val="21"/>
          <w:lang w:val="en-US" w:eastAsia="zh-CN" w:bidi="ar-SA"/>
        </w:rPr>
        <w:t>污染物迁移的下游方向并</w:t>
      </w:r>
      <w:r>
        <w:rPr>
          <w:rFonts w:ascii="宋体" w:hAnsi="宋体" w:eastAsia="宋体" w:cs="宋体"/>
          <w:sz w:val="21"/>
          <w:szCs w:val="21"/>
          <w:lang w:val="fr-FR" w:eastAsia="zh-CN" w:bidi="ar-SA"/>
        </w:rPr>
        <w:t>尽可能接近污染源的位置</w:t>
      </w:r>
      <w:r>
        <w:rPr>
          <w:rFonts w:hint="eastAsia" w:ascii="宋体" w:hAnsi="宋体" w:eastAsia="宋体" w:cs="宋体"/>
          <w:sz w:val="21"/>
          <w:szCs w:val="21"/>
          <w:lang w:val="fr-FR" w:eastAsia="zh-CN" w:bidi="ar-SA"/>
        </w:rPr>
        <w:t>；</w:t>
      </w:r>
    </w:p>
    <w:p w14:paraId="4951676D">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ascii="宋体" w:hAnsi="宋体" w:eastAsia="宋体" w:cs="宋体"/>
          <w:spacing w:val="-6"/>
          <w:sz w:val="21"/>
          <w:szCs w:val="21"/>
          <w:lang w:val="fr-FR" w:eastAsia="zh-CN" w:bidi="ar-SA"/>
        </w:rPr>
        <w:t>地块面积≤</w:t>
      </w:r>
      <w:r>
        <w:rPr>
          <w:rFonts w:ascii="宋体" w:hAnsi="宋体" w:eastAsia="宋体" w:cs="宋体"/>
          <w:sz w:val="21"/>
          <w:szCs w:val="21"/>
          <w:lang w:val="fr-FR" w:eastAsia="zh-CN" w:bidi="ar-SA"/>
        </w:rPr>
        <w:t>5000</w:t>
      </w:r>
      <w:r>
        <w:rPr>
          <w:rFonts w:ascii="宋体" w:hAnsi="宋体" w:eastAsia="宋体" w:cs="宋体"/>
          <w:spacing w:val="-8"/>
          <w:sz w:val="21"/>
          <w:szCs w:val="21"/>
          <w:lang w:val="fr-FR" w:eastAsia="zh-CN" w:bidi="ar-SA"/>
        </w:rPr>
        <w:t>平方米，土壤采样点位数不少于</w:t>
      </w:r>
      <w:r>
        <w:rPr>
          <w:rFonts w:ascii="宋体" w:hAnsi="宋体" w:eastAsia="宋体" w:cs="宋体"/>
          <w:spacing w:val="-3"/>
          <w:sz w:val="21"/>
          <w:szCs w:val="21"/>
          <w:lang w:val="fr-FR" w:eastAsia="zh-CN" w:bidi="ar-SA"/>
        </w:rPr>
        <w:t>3</w:t>
      </w:r>
      <w:r>
        <w:rPr>
          <w:rFonts w:ascii="宋体" w:hAnsi="宋体" w:eastAsia="宋体" w:cs="宋体"/>
          <w:spacing w:val="-8"/>
          <w:sz w:val="21"/>
          <w:szCs w:val="21"/>
          <w:lang w:val="fr-FR" w:eastAsia="zh-CN" w:bidi="ar-SA"/>
        </w:rPr>
        <w:t>个；地块面积＞</w:t>
      </w:r>
      <w:r>
        <w:rPr>
          <w:rFonts w:ascii="宋体" w:hAnsi="宋体" w:eastAsia="宋体" w:cs="宋体"/>
          <w:sz w:val="21"/>
          <w:szCs w:val="21"/>
          <w:lang w:val="fr-FR" w:eastAsia="zh-CN" w:bidi="ar-SA"/>
        </w:rPr>
        <w:t>5000</w:t>
      </w:r>
      <w:r>
        <w:rPr>
          <w:rFonts w:ascii="宋体" w:hAnsi="宋体" w:eastAsia="宋体" w:cs="宋体"/>
          <w:spacing w:val="-3"/>
          <w:sz w:val="21"/>
          <w:szCs w:val="21"/>
          <w:lang w:val="fr-FR" w:eastAsia="zh-CN" w:bidi="ar-SA"/>
        </w:rPr>
        <w:t>平方米，土壤采样点位数不少于</w:t>
      </w:r>
      <w:r>
        <w:rPr>
          <w:rFonts w:ascii="宋体" w:hAnsi="宋体" w:eastAsia="宋体" w:cs="宋体"/>
          <w:sz w:val="21"/>
          <w:szCs w:val="21"/>
          <w:lang w:val="fr-FR" w:eastAsia="zh-CN" w:bidi="ar-SA"/>
        </w:rPr>
        <w:t>6</w:t>
      </w:r>
      <w:r>
        <w:rPr>
          <w:rFonts w:ascii="宋体" w:hAnsi="宋体" w:eastAsia="宋体" w:cs="宋体"/>
          <w:spacing w:val="-3"/>
          <w:sz w:val="21"/>
          <w:szCs w:val="21"/>
          <w:lang w:val="fr-FR" w:eastAsia="zh-CN" w:bidi="ar-SA"/>
        </w:rPr>
        <w:t>个</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地块内如涉及多个工业企业生产活动的区域，每个区域的面积需独立计算并布置</w:t>
      </w:r>
      <w:r>
        <w:rPr>
          <w:rFonts w:ascii="宋体" w:hAnsi="宋体" w:eastAsia="宋体" w:cs="宋体"/>
          <w:spacing w:val="-8"/>
          <w:sz w:val="21"/>
          <w:szCs w:val="21"/>
          <w:lang w:val="fr-FR" w:eastAsia="zh-CN" w:bidi="ar-SA"/>
        </w:rPr>
        <w:t>土壤采样点位</w:t>
      </w:r>
      <w:r>
        <w:rPr>
          <w:rFonts w:hint="eastAsia" w:ascii="宋体" w:hAnsi="宋体" w:eastAsia="宋体" w:cs="宋体"/>
          <w:spacing w:val="-8"/>
          <w:sz w:val="21"/>
          <w:szCs w:val="21"/>
          <w:lang w:val="fr-FR" w:eastAsia="zh-CN" w:bidi="ar-SA"/>
        </w:rPr>
        <w:t>；</w:t>
      </w:r>
    </w:p>
    <w:p w14:paraId="46A39DB6">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8"/>
          <w:sz w:val="21"/>
          <w:szCs w:val="21"/>
          <w:lang w:val="en-US" w:eastAsia="zh-CN" w:bidi="ar-SA"/>
        </w:rPr>
      </w:pPr>
      <w:r>
        <w:rPr>
          <w:rFonts w:hint="eastAsia" w:ascii="宋体" w:hAnsi="宋体" w:eastAsia="宋体" w:cs="宋体"/>
          <w:spacing w:val="-3"/>
          <w:sz w:val="21"/>
          <w:szCs w:val="21"/>
          <w:lang w:val="en-US" w:eastAsia="zh-CN" w:bidi="ar-SA"/>
        </w:rPr>
        <w:t>对于资料充足，可准确识别疑似污染区域的地块，可采取专业判断布点法布设土壤采样点位，每个疑似污染区域至少应布设一个土壤采样点位，且每5000</w:t>
      </w:r>
      <w:r>
        <w:rPr>
          <w:rFonts w:ascii="宋体" w:hAnsi="宋体" w:eastAsia="宋体" w:cs="宋体"/>
          <w:spacing w:val="-8"/>
          <w:sz w:val="21"/>
          <w:szCs w:val="21"/>
          <w:lang w:val="fr-FR" w:eastAsia="zh-CN" w:bidi="ar-SA"/>
        </w:rPr>
        <w:t>平方米</w:t>
      </w:r>
      <w:r>
        <w:rPr>
          <w:rFonts w:hint="eastAsia" w:ascii="宋体" w:hAnsi="宋体" w:eastAsia="宋体" w:cs="宋体"/>
          <w:spacing w:val="-8"/>
          <w:sz w:val="21"/>
          <w:szCs w:val="21"/>
          <w:lang w:val="en-US" w:eastAsia="zh-CN" w:bidi="ar-SA"/>
        </w:rPr>
        <w:t>不应少于一个土壤采样点位；</w:t>
      </w:r>
    </w:p>
    <w:p w14:paraId="1150E88F">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8"/>
          <w:sz w:val="21"/>
          <w:szCs w:val="21"/>
          <w:lang w:val="en-US" w:eastAsia="zh-CN" w:bidi="ar-SA"/>
        </w:rPr>
      </w:pPr>
      <w:r>
        <w:rPr>
          <w:rFonts w:hint="eastAsia" w:ascii="宋体" w:hAnsi="宋体" w:eastAsia="宋体" w:cs="宋体"/>
          <w:spacing w:val="-3"/>
          <w:sz w:val="21"/>
          <w:szCs w:val="21"/>
          <w:lang w:val="en-US" w:eastAsia="zh-CN" w:bidi="ar-SA"/>
        </w:rPr>
        <w:t>对于资料缺失，无法</w:t>
      </w:r>
      <w:r>
        <w:rPr>
          <w:rFonts w:hint="eastAsia" w:ascii="宋体" w:hAnsi="宋体" w:eastAsia="宋体" w:cs="宋体"/>
          <w:spacing w:val="-6"/>
          <w:sz w:val="21"/>
          <w:szCs w:val="21"/>
          <w:lang w:val="en-US" w:eastAsia="zh-CN" w:bidi="ar-SA"/>
        </w:rPr>
        <w:t>准确</w:t>
      </w:r>
      <w:r>
        <w:rPr>
          <w:rFonts w:hint="eastAsia" w:ascii="宋体" w:hAnsi="宋体" w:eastAsia="宋体" w:cs="宋体"/>
          <w:spacing w:val="-3"/>
          <w:sz w:val="21"/>
          <w:szCs w:val="21"/>
          <w:lang w:val="en-US" w:eastAsia="zh-CN" w:bidi="ar-SA"/>
        </w:rPr>
        <w:t>识别疑似污染区域的地块，应采取系统布点法布设土壤采样点位，每个采样网格不应大于1600</w:t>
      </w:r>
      <w:r>
        <w:rPr>
          <w:rFonts w:ascii="宋体" w:hAnsi="宋体" w:eastAsia="宋体" w:cs="宋体"/>
          <w:spacing w:val="-8"/>
          <w:sz w:val="21"/>
          <w:szCs w:val="21"/>
          <w:lang w:val="fr-FR" w:eastAsia="zh-CN" w:bidi="ar-SA"/>
        </w:rPr>
        <w:t>平方米</w:t>
      </w:r>
      <w:r>
        <w:rPr>
          <w:rFonts w:hint="eastAsia" w:ascii="宋体" w:hAnsi="宋体" w:eastAsia="宋体" w:cs="宋体"/>
          <w:spacing w:val="-8"/>
          <w:sz w:val="21"/>
          <w:szCs w:val="21"/>
          <w:lang w:val="fr-FR" w:eastAsia="zh-CN" w:bidi="ar-SA"/>
        </w:rPr>
        <w:t>；</w:t>
      </w:r>
    </w:p>
    <w:p w14:paraId="700DBA07">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8"/>
          <w:sz w:val="21"/>
          <w:szCs w:val="21"/>
          <w:lang w:val="en-US" w:eastAsia="zh-CN" w:bidi="ar-SA"/>
        </w:rPr>
      </w:pPr>
      <w:r>
        <w:rPr>
          <w:rFonts w:hint="eastAsia" w:ascii="宋体" w:hAnsi="宋体" w:eastAsia="宋体" w:cs="宋体"/>
          <w:spacing w:val="-8"/>
          <w:sz w:val="21"/>
          <w:szCs w:val="21"/>
          <w:lang w:val="en-US" w:eastAsia="zh-CN" w:bidi="ar-SA"/>
        </w:rPr>
        <w:t>对于按规范定期开展土壤污染隐患排查，且自行监测符合HJ 1209要求的地块，可使用质量有保障的历史数据，辅助开展采样点位布设；</w:t>
      </w:r>
    </w:p>
    <w:p w14:paraId="5BE677D3">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hint="eastAsia" w:ascii="宋体" w:hAnsi="宋体" w:eastAsia="宋体" w:cs="宋体"/>
          <w:spacing w:val="-3"/>
          <w:sz w:val="21"/>
          <w:szCs w:val="21"/>
          <w:lang w:val="en-US" w:eastAsia="zh-CN" w:bidi="ar-SA"/>
        </w:rPr>
        <w:t>地块或部分区域如不涉及工业企业生产活动、有毒有害物质</w:t>
      </w:r>
      <w:r>
        <w:rPr>
          <w:rFonts w:hint="eastAsia" w:ascii="宋体" w:hAnsi="宋体" w:eastAsia="宋体" w:cs="宋体"/>
          <w:spacing w:val="-3"/>
          <w:sz w:val="21"/>
          <w:szCs w:val="21"/>
          <w:lang w:val="fr-FR" w:eastAsia="zh-CN" w:bidi="ar-SA"/>
        </w:rPr>
        <w:t>存储</w:t>
      </w:r>
      <w:r>
        <w:rPr>
          <w:rFonts w:hint="eastAsia" w:ascii="宋体" w:hAnsi="宋体" w:eastAsia="宋体" w:cs="宋体"/>
          <w:spacing w:val="-3"/>
          <w:sz w:val="21"/>
          <w:szCs w:val="21"/>
          <w:lang w:val="en-US" w:eastAsia="zh-CN" w:bidi="ar-SA"/>
        </w:rPr>
        <w:t>，但确需布点的其他区域，可采取系统随机布点法、专业判断布点法、系统布点法布设土壤采样点位，土壤点位的数量根据地块实际情况确定。</w:t>
      </w:r>
    </w:p>
    <w:p w14:paraId="2D4CB03A">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en-US" w:bidi="ar-SA"/>
        </w:rPr>
      </w:pPr>
      <w:r>
        <w:rPr>
          <w:rFonts w:hint="eastAsia" w:ascii="黑体" w:hAnsi="宋体" w:eastAsia="黑体" w:cs="宋体"/>
          <w:sz w:val="21"/>
          <w:szCs w:val="22"/>
          <w:lang w:val="en-US" w:eastAsia="zh-CN" w:bidi="ar-SA"/>
        </w:rPr>
        <w:t>土壤采样深度</w:t>
      </w:r>
    </w:p>
    <w:p w14:paraId="1BFF8A2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土壤采样深度应当综合污染物迁移特点、地层渗透性、地下水位、地下构筑物和地下设施埋深及破损等情况，结合现场快速检测及相关经验判断确定。一般情况下，土壤垂直钻孔</w:t>
      </w:r>
      <w:r>
        <w:rPr>
          <w:rFonts w:hint="eastAsia" w:ascii="宋体" w:hAnsi="宋体" w:eastAsia="宋体" w:cs="宋体"/>
          <w:spacing w:val="-6"/>
          <w:sz w:val="21"/>
          <w:szCs w:val="21"/>
          <w:lang w:val="en-US" w:eastAsia="zh-CN" w:bidi="ar-SA"/>
        </w:rPr>
        <w:t>深度</w:t>
      </w:r>
      <w:r>
        <w:rPr>
          <w:rFonts w:hint="eastAsia" w:ascii="宋体" w:hAnsi="宋体" w:eastAsia="宋体" w:cs="宋体"/>
          <w:sz w:val="21"/>
          <w:szCs w:val="21"/>
          <w:lang w:val="en-US" w:eastAsia="zh-CN" w:bidi="ar-SA"/>
        </w:rPr>
        <w:t>应穿透回填土层，至第一隔水层以下1米（浅层含水层较厚的地块，一般应深入含水层5米），但不应穿透隔水层底板。对于存在污染的点位，一般情况下，最大深度应当至未受污染的深度为止。</w:t>
      </w:r>
    </w:p>
    <w:p w14:paraId="05E4549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采样深度应扣除地表非土壤硬化层厚度，原则上，每个土壤点位至少采集3个样品，土壤的</w:t>
      </w:r>
      <w:r>
        <w:rPr>
          <w:rFonts w:hint="eastAsia" w:ascii="宋体" w:hAnsi="宋体" w:eastAsia="宋体" w:cs="宋体"/>
          <w:sz w:val="21"/>
          <w:szCs w:val="21"/>
          <w:lang w:val="en-US" w:eastAsia="zh-CN" w:bidi="ar-SA"/>
        </w:rPr>
        <w:t>分层</w:t>
      </w:r>
      <w:r>
        <w:rPr>
          <w:rFonts w:hint="eastAsia" w:ascii="宋体" w:hAnsi="宋体" w:eastAsia="宋体" w:cs="宋体"/>
          <w:sz w:val="21"/>
          <w:szCs w:val="21"/>
          <w:lang w:val="fr-FR" w:eastAsia="zh-CN" w:bidi="ar-SA"/>
        </w:rPr>
        <w:t>采样要求如下：</w:t>
      </w:r>
    </w:p>
    <w:p w14:paraId="7A0AF34D">
      <w:pPr>
        <w:keepNext w:val="0"/>
        <w:keepLines w:val="0"/>
        <w:pageBreakBefore w:val="0"/>
        <w:widowControl w:val="0"/>
        <w:numPr>
          <w:ilvl w:val="0"/>
          <w:numId w:val="13"/>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采样深度应包含0</w:t>
      </w:r>
      <w:r>
        <w:rPr>
          <w:rFonts w:ascii="Times New Roman" w:hAnsi="Times New Roman" w:eastAsia="宋体" w:cs="Times New Roman"/>
          <w:spacing w:val="-3"/>
          <w:sz w:val="21"/>
          <w:szCs w:val="21"/>
          <w:lang w:val="en-US" w:eastAsia="zh-CN" w:bidi="ar-SA"/>
        </w:rPr>
        <w:t>~</w:t>
      </w:r>
      <w:r>
        <w:rPr>
          <w:rFonts w:hint="eastAsia" w:ascii="宋体" w:hAnsi="宋体" w:eastAsia="宋体" w:cs="宋体"/>
          <w:spacing w:val="-3"/>
          <w:sz w:val="21"/>
          <w:szCs w:val="21"/>
          <w:lang w:val="en-US" w:eastAsia="zh-CN" w:bidi="ar-SA"/>
        </w:rPr>
        <w:t>0.5米表层土壤样品、存在污染痕迹或现场快速检测识别出的污染相对较重的位置；若钻探至地下水位时，应在水位线附近0.5米范围内和地下水含水层中各采集一个土壤样品；</w:t>
      </w:r>
    </w:p>
    <w:p w14:paraId="1F98331A">
      <w:pPr>
        <w:keepNext w:val="0"/>
        <w:keepLines w:val="0"/>
        <w:pageBreakBefore w:val="0"/>
        <w:widowControl w:val="0"/>
        <w:numPr>
          <w:ilvl w:val="0"/>
          <w:numId w:val="13"/>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第一隔水层以上土壤的采样间隔不应超过1米，第一隔水层内土壤的采样间隔不应超过2米。对于垂直方向结构特征不同的土壤，不同性质土层至少采集一个土壤样品，可根据土壤结构的变化和污染物迁移规律调整垂直方向点位的采样间隔；</w:t>
      </w:r>
    </w:p>
    <w:p w14:paraId="3289D63C">
      <w:pPr>
        <w:keepNext w:val="0"/>
        <w:keepLines w:val="0"/>
        <w:pageBreakBefore w:val="0"/>
        <w:widowControl w:val="0"/>
        <w:numPr>
          <w:ilvl w:val="0"/>
          <w:numId w:val="13"/>
        </w:numPr>
        <w:kinsoku/>
        <w:wordWrap/>
        <w:overflowPunct/>
        <w:topLinePunct w:val="0"/>
        <w:autoSpaceDE w:val="0"/>
        <w:autoSpaceDN w:val="0"/>
        <w:bidi w:val="0"/>
        <w:adjustRightInd w:val="0"/>
        <w:snapToGrid w:val="0"/>
        <w:spacing w:line="360" w:lineRule="auto"/>
        <w:ind w:left="839"/>
        <w:jc w:val="both"/>
        <w:textAlignment w:val="auto"/>
        <w:rPr>
          <w:spacing w:val="-3"/>
          <w:sz w:val="21"/>
          <w:szCs w:val="21"/>
          <w:lang w:val="en-US" w:eastAsia="zh-CN"/>
        </w:rPr>
        <w:sectPr>
          <w:pgSz w:w="11910" w:h="16840"/>
          <w:pgMar w:top="1417" w:right="1417" w:bottom="1134" w:left="1134" w:header="1417" w:footer="1134" w:gutter="0"/>
          <w:pgNumType w:fmt="decimal"/>
          <w:cols w:space="0" w:num="1"/>
          <w:rtlGutter w:val="0"/>
          <w:docGrid w:linePitch="0" w:charSpace="0"/>
        </w:sectPr>
      </w:pPr>
    </w:p>
    <w:p w14:paraId="126B289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p>
    <w:p w14:paraId="7C13DC86">
      <w:pPr>
        <w:keepNext w:val="0"/>
        <w:keepLines w:val="0"/>
        <w:pageBreakBefore w:val="0"/>
        <w:widowControl w:val="0"/>
        <w:numPr>
          <w:ilvl w:val="0"/>
          <w:numId w:val="13"/>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fr-FR" w:eastAsia="zh-CN" w:bidi="ar-SA"/>
        </w:rPr>
        <w:t>若地块拆除平整后存在外来填土层，应另行增加土壤送检样品，样品数量根据</w:t>
      </w:r>
      <w:r>
        <w:rPr>
          <w:rFonts w:hint="eastAsia" w:ascii="宋体" w:hAnsi="宋体" w:eastAsia="宋体" w:cs="宋体"/>
          <w:spacing w:val="-3"/>
          <w:sz w:val="21"/>
          <w:szCs w:val="21"/>
          <w:lang w:val="en-US" w:eastAsia="zh-CN" w:bidi="ar-SA"/>
        </w:rPr>
        <w:t>外来</w:t>
      </w:r>
      <w:r>
        <w:rPr>
          <w:rFonts w:hint="eastAsia" w:ascii="宋体" w:hAnsi="宋体" w:eastAsia="宋体" w:cs="宋体"/>
          <w:spacing w:val="-3"/>
          <w:sz w:val="21"/>
          <w:szCs w:val="21"/>
          <w:lang w:val="fr-FR" w:eastAsia="zh-CN" w:bidi="ar-SA"/>
        </w:rPr>
        <w:t>填土性质、土层厚度等因素确定。</w:t>
      </w:r>
    </w:p>
    <w:p w14:paraId="50C9EF0D">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en-US" w:bidi="ar-SA"/>
        </w:rPr>
      </w:pPr>
      <w:r>
        <w:rPr>
          <w:rFonts w:hint="eastAsia" w:ascii="黑体" w:hAnsi="宋体" w:eastAsia="黑体" w:cs="宋体"/>
          <w:sz w:val="21"/>
          <w:szCs w:val="22"/>
          <w:lang w:val="en-US" w:eastAsia="zh-CN" w:bidi="ar-SA"/>
        </w:rPr>
        <w:t>地下水采样点布设</w:t>
      </w:r>
    </w:p>
    <w:p w14:paraId="5D30AFC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default"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地下水采样点位布设应根据第一阶段调查结论、疑似污染区域分布、污染迁移途径和水文地质条件等综合分析确定，地下水采样点布设具体要求如下：</w:t>
      </w:r>
    </w:p>
    <w:p w14:paraId="132E6F04">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6"/>
          <w:sz w:val="21"/>
          <w:szCs w:val="21"/>
          <w:lang w:val="fr-FR" w:eastAsia="zh-CN" w:bidi="ar-SA"/>
        </w:rPr>
      </w:pPr>
      <w:r>
        <w:rPr>
          <w:rFonts w:ascii="宋体" w:hAnsi="宋体" w:eastAsia="宋体" w:cs="宋体"/>
          <w:spacing w:val="-6"/>
          <w:sz w:val="21"/>
          <w:szCs w:val="21"/>
          <w:lang w:val="fr-FR" w:eastAsia="zh-CN" w:bidi="ar-SA"/>
        </w:rPr>
        <w:t>地块内地下水采样监测点</w:t>
      </w:r>
      <w:r>
        <w:rPr>
          <w:rFonts w:hint="eastAsia" w:ascii="宋体" w:hAnsi="宋体" w:eastAsia="宋体" w:cs="宋体"/>
          <w:spacing w:val="-6"/>
          <w:sz w:val="21"/>
          <w:szCs w:val="21"/>
          <w:lang w:val="en-US" w:eastAsia="zh-CN" w:bidi="ar-SA"/>
        </w:rPr>
        <w:t>可</w:t>
      </w:r>
      <w:r>
        <w:rPr>
          <w:rFonts w:ascii="宋体" w:hAnsi="宋体" w:eastAsia="宋体" w:cs="宋体"/>
          <w:spacing w:val="-6"/>
          <w:sz w:val="21"/>
          <w:szCs w:val="21"/>
          <w:lang w:val="fr-FR" w:eastAsia="zh-CN" w:bidi="ar-SA"/>
        </w:rPr>
        <w:t>沿地下水流向布设，在地下水流向上游、地下水可能污染较严重区域和地下水流向下游分别布设采样点位</w:t>
      </w:r>
      <w:r>
        <w:rPr>
          <w:rFonts w:hint="eastAsia" w:ascii="宋体" w:hAnsi="宋体" w:eastAsia="宋体" w:cs="宋体"/>
          <w:spacing w:val="-6"/>
          <w:sz w:val="21"/>
          <w:szCs w:val="21"/>
          <w:lang w:val="fr-FR" w:eastAsia="zh-CN" w:bidi="ar-SA"/>
        </w:rPr>
        <w:t>；</w:t>
      </w:r>
    </w:p>
    <w:p w14:paraId="738D3AFB">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对于资料充足，可准确识别疑似污染区域的地块，可采取专业判断布点法布设地下水采样点位。点位设置在疑似污染源所在位置（如可能通过渗漏、流失、扬散等途径导致地下水污染的场所或设施设备、污染泄漏点等）以及污染物迁移的下游方向；</w:t>
      </w:r>
    </w:p>
    <w:p w14:paraId="665C59C5">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对于资料缺失，无法准确识别疑似污染区域的地块，应采取系统布点法布设地下水采样点位，每个采样网格不应大于6400</w:t>
      </w:r>
      <w:r>
        <w:rPr>
          <w:rFonts w:ascii="宋体" w:hAnsi="宋体" w:eastAsia="宋体" w:cs="宋体"/>
          <w:spacing w:val="-6"/>
          <w:sz w:val="21"/>
          <w:szCs w:val="21"/>
          <w:lang w:val="fr-FR" w:eastAsia="zh-CN" w:bidi="ar-SA"/>
        </w:rPr>
        <w:t>平方米</w:t>
      </w:r>
      <w:r>
        <w:rPr>
          <w:rFonts w:hint="eastAsia" w:ascii="宋体" w:hAnsi="宋体" w:eastAsia="宋体" w:cs="宋体"/>
          <w:spacing w:val="-6"/>
          <w:sz w:val="21"/>
          <w:szCs w:val="21"/>
          <w:lang w:val="fr-FR" w:eastAsia="zh-CN" w:bidi="ar-SA"/>
        </w:rPr>
        <w:t>；</w:t>
      </w:r>
    </w:p>
    <w:p w14:paraId="315C0B9A">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6"/>
          <w:sz w:val="21"/>
          <w:szCs w:val="21"/>
          <w:lang w:val="fr-FR" w:eastAsia="zh-CN" w:bidi="ar-SA"/>
        </w:rPr>
      </w:pPr>
      <w:r>
        <w:rPr>
          <w:rFonts w:hint="eastAsia" w:ascii="宋体" w:hAnsi="宋体" w:eastAsia="宋体" w:cs="宋体"/>
          <w:spacing w:val="-6"/>
          <w:sz w:val="21"/>
          <w:szCs w:val="21"/>
          <w:lang w:val="en-US" w:eastAsia="zh-CN" w:bidi="ar-SA"/>
        </w:rPr>
        <w:t>地块或部分区域如不涉及工业企业生产活动、有毒有害物质</w:t>
      </w:r>
      <w:r>
        <w:rPr>
          <w:rFonts w:hint="eastAsia" w:ascii="宋体" w:hAnsi="宋体" w:eastAsia="宋体" w:cs="宋体"/>
          <w:spacing w:val="-6"/>
          <w:sz w:val="21"/>
          <w:szCs w:val="21"/>
          <w:lang w:val="fr-FR" w:eastAsia="zh-CN" w:bidi="ar-SA"/>
        </w:rPr>
        <w:t>存储</w:t>
      </w:r>
      <w:r>
        <w:rPr>
          <w:rFonts w:hint="eastAsia" w:ascii="宋体" w:hAnsi="宋体" w:eastAsia="宋体" w:cs="宋体"/>
          <w:spacing w:val="-6"/>
          <w:sz w:val="21"/>
          <w:szCs w:val="21"/>
          <w:lang w:val="en-US" w:eastAsia="zh-CN" w:bidi="ar-SA"/>
        </w:rPr>
        <w:t>，但确需布点的其他区域，可采取系统随机布点法、专业判断布点法、系统布点法布设地下水采样点位，地下水点位的数量根据地块实际情况确定；</w:t>
      </w:r>
    </w:p>
    <w:p w14:paraId="477FA910">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结合第一阶段调查结论、特征污染物的理化性质、水文地质条件、地层结构、现场钻探情况、土壤采样过程中的现场快速检测结果、污染痕迹信息等，判断地块地下水不可能存在污染时，可不开展地下水监测，但需给出合理的理由并提供证明材料。</w:t>
      </w:r>
    </w:p>
    <w:p w14:paraId="6F051BF0">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en-US" w:bidi="ar-SA"/>
        </w:rPr>
      </w:pPr>
      <w:r>
        <w:rPr>
          <w:rFonts w:hint="eastAsia" w:ascii="黑体" w:hAnsi="宋体" w:eastAsia="黑体" w:cs="宋体"/>
          <w:sz w:val="21"/>
          <w:szCs w:val="22"/>
          <w:lang w:val="en-US" w:eastAsia="zh-CN" w:bidi="ar-SA"/>
        </w:rPr>
        <w:t>地下水采样深度</w:t>
      </w:r>
    </w:p>
    <w:p w14:paraId="7213306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应根据监测目的、含水层类型及其埋深和相对厚度来确定监测井的深度。</w:t>
      </w:r>
    </w:p>
    <w:p w14:paraId="2BEFE742">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滤水管应置于拟取样含水层中以取得代表性水样。若地下水中可能或已经发现存在低密度非水相液体（LNAPL），滤水管位置应达到含水层顶部；若地下水中可能或已经发现存在高密度非水相液体（DNAPL），滤水管应达到含水层底部，但应避免穿透隔水层；</w:t>
      </w:r>
    </w:p>
    <w:p w14:paraId="03721E04">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一般情况下地下水采样深度应当在监测井水面0.5米以下。对于低密度非水溶性有机污染物，监测点位应当设置在含水层顶部；对于高密度非水溶性有机污染物，监测点位应当设置在含水层底部和不透水层顶部。</w:t>
      </w:r>
    </w:p>
    <w:p w14:paraId="346DF1D3">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zh-CN" w:bidi="ar-SA"/>
        </w:rPr>
      </w:pPr>
      <w:r>
        <w:rPr>
          <w:rFonts w:hint="eastAsia" w:ascii="黑体" w:hAnsi="宋体" w:eastAsia="黑体" w:cs="宋体"/>
          <w:sz w:val="21"/>
          <w:szCs w:val="22"/>
          <w:lang w:val="en-US" w:eastAsia="zh-CN" w:bidi="ar-SA"/>
        </w:rPr>
        <w:t>地表水和沉积物采样点布设</w:t>
      </w:r>
    </w:p>
    <w:p w14:paraId="3F6FEE4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pacing w:val="-7"/>
          <w:sz w:val="21"/>
          <w:szCs w:val="21"/>
          <w:lang w:val="en-US" w:eastAsia="zh-CN" w:bidi="ar-SA"/>
        </w:rPr>
      </w:pPr>
      <w:r>
        <w:rPr>
          <w:rFonts w:hint="eastAsia" w:ascii="宋体" w:hAnsi="宋体" w:eastAsia="宋体" w:cs="宋体"/>
          <w:spacing w:val="-7"/>
          <w:sz w:val="21"/>
          <w:szCs w:val="21"/>
          <w:lang w:val="en-US" w:eastAsia="zh-CN" w:bidi="ar-SA"/>
        </w:rPr>
        <w:t>当地块内存在废（污）水汇集</w:t>
      </w:r>
      <w:r>
        <w:rPr>
          <w:rFonts w:hint="eastAsia" w:ascii="宋体" w:hAnsi="宋体" w:eastAsia="宋体" w:cs="宋体"/>
          <w:sz w:val="21"/>
          <w:szCs w:val="21"/>
          <w:lang w:val="en-US" w:eastAsia="zh-CN" w:bidi="ar-SA"/>
        </w:rPr>
        <w:t>形成</w:t>
      </w:r>
      <w:r>
        <w:rPr>
          <w:rFonts w:hint="eastAsia" w:ascii="宋体" w:hAnsi="宋体" w:eastAsia="宋体" w:cs="宋体"/>
          <w:spacing w:val="-7"/>
          <w:sz w:val="21"/>
          <w:szCs w:val="21"/>
          <w:lang w:val="en-US" w:eastAsia="zh-CN" w:bidi="ar-SA"/>
        </w:rPr>
        <w:t>的地表水体、土壤或地下水中的污染物可能通过迁移扩散进入地块内的地表水体时，应对地表水进行采样监测，监测要求参照HJ 25.2。</w:t>
      </w:r>
    </w:p>
    <w:p w14:paraId="2F52AF8C">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spacing w:val="-7"/>
          <w:lang w:val="en-US" w:eastAsia="zh-CN"/>
        </w:rPr>
        <w:sectPr>
          <w:pgSz w:w="11910" w:h="16840"/>
          <w:pgMar w:top="1417" w:right="1134" w:bottom="1134" w:left="1417" w:header="1417" w:footer="1134" w:gutter="0"/>
          <w:pgNumType w:fmt="decimal"/>
          <w:cols w:space="0" w:num="1"/>
          <w:rtlGutter w:val="0"/>
          <w:docGrid w:linePitch="0" w:charSpace="0"/>
        </w:sectPr>
      </w:pPr>
      <w:r>
        <w:rPr>
          <w:rFonts w:hint="eastAsia" w:ascii="宋体" w:hAnsi="宋体" w:eastAsia="宋体" w:cs="宋体"/>
          <w:spacing w:val="-7"/>
          <w:sz w:val="21"/>
          <w:szCs w:val="21"/>
          <w:lang w:val="en-US" w:eastAsia="zh-CN" w:bidi="ar-SA"/>
        </w:rPr>
        <w:t>当沉积物有受污染的风险时，还应对沉积物进行采样监测，沉积物采样点布设可参考疑似污染区域土壤采样点布设要求，沉积物的采样深度应根据沉积物厚度、污染物迁移扩散情况及采样条件等进行专业判断。</w:t>
      </w:r>
    </w:p>
    <w:p w14:paraId="6774945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p>
    <w:p w14:paraId="1F69B467">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zh-CN" w:bidi="ar-SA"/>
        </w:rPr>
      </w:pPr>
      <w:r>
        <w:rPr>
          <w:rFonts w:hint="eastAsia" w:ascii="黑体" w:hAnsi="宋体" w:eastAsia="黑体" w:cs="宋体"/>
          <w:spacing w:val="-3"/>
          <w:sz w:val="21"/>
          <w:szCs w:val="22"/>
          <w:lang w:val="fr-FR" w:eastAsia="zh-CN" w:bidi="ar-SA"/>
        </w:rPr>
        <w:t>制定健康和安全防护计划</w:t>
      </w:r>
    </w:p>
    <w:p w14:paraId="18ED78D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结合有关法律法规和</w:t>
      </w:r>
      <w:r>
        <w:rPr>
          <w:rFonts w:hint="eastAsia" w:ascii="宋体" w:hAnsi="宋体" w:eastAsia="宋体" w:cs="宋体"/>
          <w:sz w:val="21"/>
          <w:szCs w:val="21"/>
          <w:lang w:val="fr-FR" w:eastAsia="zh-CN" w:bidi="ar-SA"/>
        </w:rPr>
        <w:t>工作现场的</w:t>
      </w:r>
      <w:r>
        <w:rPr>
          <w:rFonts w:hint="eastAsia" w:ascii="宋体" w:hAnsi="宋体" w:eastAsia="宋体" w:cs="宋体"/>
          <w:sz w:val="21"/>
          <w:szCs w:val="21"/>
          <w:lang w:val="en-US" w:eastAsia="zh-CN" w:bidi="ar-SA"/>
        </w:rPr>
        <w:t>实际</w:t>
      </w:r>
      <w:r>
        <w:rPr>
          <w:rFonts w:hint="eastAsia" w:ascii="宋体" w:hAnsi="宋体" w:eastAsia="宋体" w:cs="宋体"/>
          <w:sz w:val="21"/>
          <w:szCs w:val="21"/>
          <w:lang w:val="fr-FR" w:eastAsia="zh-CN" w:bidi="ar-SA"/>
        </w:rPr>
        <w:t>情况，制定</w:t>
      </w:r>
      <w:r>
        <w:rPr>
          <w:rFonts w:hint="eastAsia" w:ascii="宋体" w:hAnsi="宋体" w:eastAsia="宋体" w:cs="宋体"/>
          <w:sz w:val="21"/>
          <w:szCs w:val="21"/>
          <w:lang w:val="en-US" w:eastAsia="zh-CN" w:bidi="ar-SA"/>
        </w:rPr>
        <w:t>地块</w:t>
      </w:r>
      <w:r>
        <w:rPr>
          <w:rFonts w:hint="eastAsia" w:ascii="宋体" w:hAnsi="宋体" w:eastAsia="宋体" w:cs="宋体"/>
          <w:sz w:val="21"/>
          <w:szCs w:val="21"/>
          <w:lang w:val="fr-FR" w:eastAsia="zh-CN" w:bidi="ar-SA"/>
        </w:rPr>
        <w:t>调查人员的健康和安全防护计划，对相关人员进行必要的培训，严格执行</w:t>
      </w:r>
      <w:r>
        <w:rPr>
          <w:rFonts w:hint="eastAsia" w:ascii="宋体" w:hAnsi="宋体" w:eastAsia="宋体" w:cs="宋体"/>
          <w:spacing w:val="-6"/>
          <w:sz w:val="21"/>
          <w:szCs w:val="21"/>
          <w:lang w:val="en-US" w:eastAsia="zh-CN" w:bidi="ar-SA"/>
        </w:rPr>
        <w:t>现场</w:t>
      </w:r>
      <w:r>
        <w:rPr>
          <w:rFonts w:hint="eastAsia" w:ascii="宋体" w:hAnsi="宋体" w:eastAsia="宋体" w:cs="宋体"/>
          <w:sz w:val="21"/>
          <w:szCs w:val="21"/>
          <w:lang w:val="fr-FR" w:eastAsia="zh-CN" w:bidi="ar-SA"/>
        </w:rPr>
        <w:t>设备操作规范，按要求使用个人防护装备。</w:t>
      </w:r>
    </w:p>
    <w:p w14:paraId="0EAB6FC0">
      <w:pPr>
        <w:keepNext w:val="0"/>
        <w:keepLines w:val="0"/>
        <w:pageBreakBefore w:val="0"/>
        <w:widowControl w:val="0"/>
        <w:numPr>
          <w:ilvl w:val="2"/>
          <w:numId w:val="1"/>
        </w:numPr>
        <w:tabs>
          <w:tab w:val="left" w:pos="1031"/>
          <w:tab w:val="left" w:pos="1032"/>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hint="eastAsia" w:ascii="宋体" w:hAnsi="宋体" w:eastAsia="宋体" w:cs="宋体"/>
          <w:sz w:val="21"/>
          <w:szCs w:val="21"/>
          <w:lang w:val="fr-FR" w:eastAsia="en-US" w:bidi="ar-SA"/>
        </w:rPr>
      </w:pPr>
      <w:r>
        <w:rPr>
          <w:rFonts w:hint="eastAsia" w:ascii="黑体" w:hAnsi="宋体" w:eastAsia="黑体" w:cs="宋体"/>
          <w:spacing w:val="-3"/>
          <w:sz w:val="21"/>
          <w:szCs w:val="22"/>
          <w:lang w:val="fr-FR" w:eastAsia="en-US" w:bidi="ar-SA"/>
        </w:rPr>
        <w:t>制定样品</w:t>
      </w:r>
      <w:r>
        <w:rPr>
          <w:rFonts w:hint="eastAsia" w:ascii="黑体" w:hAnsi="宋体" w:eastAsia="黑体" w:cs="宋体"/>
          <w:spacing w:val="-2"/>
          <w:sz w:val="21"/>
          <w:szCs w:val="22"/>
          <w:lang w:val="fr-FR" w:eastAsia="en-US" w:bidi="ar-SA"/>
        </w:rPr>
        <w:t>分析</w:t>
      </w:r>
      <w:r>
        <w:rPr>
          <w:rFonts w:hint="eastAsia" w:ascii="黑体" w:hAnsi="宋体" w:eastAsia="黑体" w:cs="宋体"/>
          <w:spacing w:val="-3"/>
          <w:sz w:val="21"/>
          <w:szCs w:val="22"/>
          <w:lang w:val="fr-FR" w:eastAsia="en-US" w:bidi="ar-SA"/>
        </w:rPr>
        <w:t>方案</w:t>
      </w:r>
    </w:p>
    <w:p w14:paraId="4BF48BBB">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afterLines="50" w:line="360" w:lineRule="auto"/>
        <w:ind w:left="0" w:leftChars="0" w:firstLine="0" w:firstLineChars="0"/>
        <w:jc w:val="both"/>
        <w:textAlignment w:val="auto"/>
        <w:rPr>
          <w:rFonts w:ascii="黑体" w:hAnsi="宋体" w:eastAsia="黑体" w:cs="宋体"/>
          <w:sz w:val="21"/>
          <w:szCs w:val="21"/>
          <w:lang w:val="fr-FR" w:eastAsia="zh-CN" w:bidi="ar-SA"/>
        </w:rPr>
      </w:pPr>
      <w:r>
        <w:rPr>
          <w:rFonts w:hint="eastAsia" w:ascii="黑体" w:hAnsi="宋体" w:eastAsia="黑体" w:cs="宋体"/>
          <w:sz w:val="21"/>
          <w:szCs w:val="21"/>
          <w:lang w:val="en-US" w:eastAsia="zh-CN" w:bidi="ar-SA"/>
        </w:rPr>
        <w:t>确定检测项目</w:t>
      </w:r>
    </w:p>
    <w:p w14:paraId="56794D9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pacing w:val="-3"/>
          <w:sz w:val="21"/>
          <w:szCs w:val="21"/>
          <w:lang w:val="en-US" w:eastAsia="zh-CN" w:bidi="ar-SA"/>
        </w:rPr>
      </w:pPr>
      <w:r>
        <w:rPr>
          <w:rFonts w:ascii="宋体" w:hAnsi="宋体" w:eastAsia="宋体" w:cs="宋体"/>
          <w:sz w:val="21"/>
          <w:szCs w:val="21"/>
          <w:lang w:val="fr-FR" w:eastAsia="zh-CN" w:bidi="ar-SA"/>
        </w:rPr>
        <w:t>初步采样</w:t>
      </w:r>
      <w:r>
        <w:rPr>
          <w:rFonts w:ascii="宋体" w:hAnsi="宋体" w:eastAsia="宋体" w:cs="宋体"/>
          <w:spacing w:val="-3"/>
          <w:sz w:val="21"/>
          <w:szCs w:val="21"/>
          <w:lang w:val="fr-FR" w:eastAsia="zh-CN" w:bidi="ar-SA"/>
        </w:rPr>
        <w:t>分析</w:t>
      </w:r>
      <w:r>
        <w:rPr>
          <w:rFonts w:hint="eastAsia" w:ascii="宋体" w:hAnsi="宋体" w:eastAsia="宋体" w:cs="宋体"/>
          <w:spacing w:val="-3"/>
          <w:sz w:val="21"/>
          <w:szCs w:val="21"/>
          <w:lang w:val="en-US" w:eastAsia="zh-CN" w:bidi="ar-SA"/>
        </w:rPr>
        <w:t>阶段的土壤</w:t>
      </w:r>
      <w:r>
        <w:rPr>
          <w:rFonts w:hint="eastAsia" w:ascii="宋体" w:hAnsi="宋体" w:eastAsia="宋体" w:cs="宋体"/>
          <w:spacing w:val="-6"/>
          <w:sz w:val="21"/>
          <w:szCs w:val="21"/>
          <w:lang w:val="en-US" w:eastAsia="zh-CN" w:bidi="ar-SA"/>
        </w:rPr>
        <w:t>检测</w:t>
      </w:r>
      <w:r>
        <w:rPr>
          <w:rFonts w:hint="eastAsia" w:ascii="宋体" w:hAnsi="宋体" w:eastAsia="宋体" w:cs="宋体"/>
          <w:spacing w:val="-3"/>
          <w:sz w:val="21"/>
          <w:szCs w:val="21"/>
          <w:lang w:val="en-US" w:eastAsia="zh-CN" w:bidi="ar-SA"/>
        </w:rPr>
        <w:t>项目应包含基本项目和地块全部的关注污染物项目。地下水检测项目应包含地块全部的关注污染物项目。</w:t>
      </w:r>
    </w:p>
    <w:p w14:paraId="45B300F4">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6"/>
          <w:sz w:val="21"/>
          <w:szCs w:val="21"/>
          <w:lang w:val="en-US" w:eastAsia="zh-CN" w:bidi="ar-SA"/>
        </w:rPr>
      </w:pPr>
      <w:r>
        <w:rPr>
          <w:rFonts w:hint="eastAsia" w:ascii="宋体" w:hAnsi="宋体" w:eastAsia="宋体" w:cs="宋体"/>
          <w:spacing w:val="-3"/>
          <w:sz w:val="21"/>
          <w:szCs w:val="21"/>
          <w:lang w:val="en-US" w:eastAsia="zh-CN" w:bidi="ar-SA"/>
        </w:rPr>
        <w:t>基本项目为GB 36600表1中的45项基本项目；</w:t>
      </w:r>
    </w:p>
    <w:p w14:paraId="024785DA">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关注污染物项目应根据保守性原则，对于第一阶段调查识别出的特征污染物，国家和地方土壤或地下水标准中涉及的项目均应确定为关注污染物；</w:t>
      </w:r>
      <w:r>
        <w:rPr>
          <w:rFonts w:hint="eastAsia" w:ascii="宋体" w:hAnsi="宋体" w:eastAsia="宋体" w:cs="宋体"/>
          <w:spacing w:val="-6"/>
          <w:sz w:val="21"/>
          <w:szCs w:val="21"/>
          <w:lang w:val="fr-FR" w:eastAsia="zh-CN" w:bidi="ar-SA"/>
        </w:rPr>
        <w:t>国家和地方</w:t>
      </w:r>
      <w:r>
        <w:rPr>
          <w:rFonts w:hint="eastAsia" w:ascii="宋体" w:hAnsi="宋体" w:eastAsia="宋体" w:cs="宋体"/>
          <w:spacing w:val="-6"/>
          <w:sz w:val="21"/>
          <w:szCs w:val="21"/>
          <w:lang w:val="en-US" w:eastAsia="zh-CN" w:bidi="ar-SA"/>
        </w:rPr>
        <w:t>土壤或地下水</w:t>
      </w:r>
      <w:r>
        <w:rPr>
          <w:rFonts w:hint="eastAsia" w:ascii="宋体" w:hAnsi="宋体" w:eastAsia="宋体" w:cs="宋体"/>
          <w:spacing w:val="-6"/>
          <w:sz w:val="21"/>
          <w:szCs w:val="21"/>
          <w:lang w:val="fr-FR" w:eastAsia="zh-CN" w:bidi="ar-SA"/>
        </w:rPr>
        <w:t>标准中未涉及的</w:t>
      </w:r>
      <w:r>
        <w:rPr>
          <w:rFonts w:hint="eastAsia" w:ascii="宋体" w:hAnsi="宋体" w:eastAsia="宋体" w:cs="宋体"/>
          <w:spacing w:val="-6"/>
          <w:sz w:val="21"/>
          <w:szCs w:val="21"/>
          <w:lang w:val="en-US" w:eastAsia="zh-CN" w:bidi="ar-SA"/>
        </w:rPr>
        <w:t>项目</w:t>
      </w:r>
      <w:r>
        <w:rPr>
          <w:rFonts w:hint="eastAsia" w:ascii="宋体" w:hAnsi="宋体" w:eastAsia="宋体" w:cs="宋体"/>
          <w:spacing w:val="-6"/>
          <w:sz w:val="21"/>
          <w:szCs w:val="21"/>
          <w:lang w:val="fr-FR" w:eastAsia="zh-CN" w:bidi="ar-SA"/>
        </w:rPr>
        <w:t>，应根据污染物是否有人体健康危害或环境风险、是否有开展风险评估所必需的污染物性质参数</w:t>
      </w:r>
      <w:r>
        <w:rPr>
          <w:rFonts w:hint="eastAsia" w:ascii="宋体" w:hAnsi="宋体" w:eastAsia="宋体" w:cs="宋体"/>
          <w:spacing w:val="-6"/>
          <w:sz w:val="21"/>
          <w:szCs w:val="21"/>
          <w:lang w:val="en-US" w:eastAsia="zh-CN" w:bidi="ar-SA"/>
        </w:rPr>
        <w:t>、是否具有环境污染途径</w:t>
      </w:r>
      <w:r>
        <w:rPr>
          <w:rFonts w:hint="eastAsia" w:ascii="宋体" w:hAnsi="宋体" w:eastAsia="宋体" w:cs="宋体"/>
          <w:spacing w:val="-6"/>
          <w:sz w:val="21"/>
          <w:szCs w:val="21"/>
          <w:lang w:val="fr-FR" w:eastAsia="zh-CN" w:bidi="ar-SA"/>
        </w:rPr>
        <w:t>、是否有满足要求的检测方法等判断是否</w:t>
      </w:r>
      <w:r>
        <w:rPr>
          <w:rFonts w:hint="eastAsia" w:ascii="宋体" w:hAnsi="宋体" w:eastAsia="宋体" w:cs="宋体"/>
          <w:spacing w:val="-6"/>
          <w:sz w:val="21"/>
          <w:szCs w:val="21"/>
          <w:lang w:val="en-US" w:eastAsia="zh-CN" w:bidi="ar-SA"/>
        </w:rPr>
        <w:t>应确定为关注污染物；对于</w:t>
      </w:r>
      <w:r>
        <w:rPr>
          <w:rFonts w:hint="default" w:ascii="Times New Roman" w:hAnsi="Times New Roman" w:eastAsia="宋体" w:cs="Times New Roman"/>
          <w:sz w:val="21"/>
          <w:szCs w:val="21"/>
          <w:lang w:val="fr-FR" w:eastAsia="en-US" w:bidi="ar-SA"/>
        </w:rPr>
        <w:t>不</w:t>
      </w:r>
      <w:r>
        <w:rPr>
          <w:rFonts w:hint="eastAsia" w:ascii="Times New Roman" w:hAnsi="Times New Roman" w:eastAsia="宋体" w:cs="Times New Roman"/>
          <w:sz w:val="21"/>
          <w:szCs w:val="21"/>
          <w:lang w:val="en-US" w:eastAsia="zh-CN" w:bidi="ar-SA"/>
        </w:rPr>
        <w:t>纳入的</w:t>
      </w:r>
      <w:r>
        <w:rPr>
          <w:rFonts w:hint="default" w:ascii="Times New Roman" w:hAnsi="Times New Roman" w:eastAsia="宋体" w:cs="Times New Roman"/>
          <w:sz w:val="21"/>
          <w:szCs w:val="21"/>
          <w:lang w:val="fr-FR" w:eastAsia="en-US" w:bidi="ar-SA"/>
        </w:rPr>
        <w:t>应说明理由</w:t>
      </w:r>
      <w:r>
        <w:rPr>
          <w:rFonts w:hint="eastAsia" w:ascii="宋体" w:hAnsi="宋体" w:eastAsia="宋体" w:cs="宋体"/>
          <w:spacing w:val="-6"/>
          <w:sz w:val="21"/>
          <w:szCs w:val="21"/>
          <w:lang w:val="en-US" w:eastAsia="zh-CN" w:bidi="ar-SA"/>
        </w:rPr>
        <w:t>；</w:t>
      </w:r>
    </w:p>
    <w:p w14:paraId="2237866A">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对于不能确定的项目，可选取潜在典型污染样品进行筛选分析；如土壤和地下水存在明显异常而常规检测项目无法识别时，可进一步结合色谱——质谱定性分析等手段对污染物进行分析，筛选判断非常规的关注污染物，必要时可采用生物毒性测试方法进行筛选判断。</w:t>
      </w:r>
    </w:p>
    <w:p w14:paraId="71B3D70A">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地表水检测项目可参照地下水，沉积物检测项目可参照土壤。若涉及污染土壤的危险废物特征鉴别分析，应按照GB 5085和HJ 298执行。</w:t>
      </w:r>
    </w:p>
    <w:p w14:paraId="39B8BCD5">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zh-CN" w:bidi="ar-SA"/>
        </w:rPr>
      </w:pPr>
      <w:r>
        <w:rPr>
          <w:rFonts w:hint="eastAsia" w:ascii="黑体" w:hAnsi="宋体" w:eastAsia="黑体" w:cs="宋体"/>
          <w:sz w:val="21"/>
          <w:szCs w:val="21"/>
          <w:lang w:val="en-US" w:eastAsia="zh-CN" w:bidi="ar-SA"/>
        </w:rPr>
        <w:t>分析测试方法</w:t>
      </w:r>
    </w:p>
    <w:p w14:paraId="377CDAB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样品分析测试方法应与</w:t>
      </w:r>
      <w:r>
        <w:rPr>
          <w:rFonts w:hint="eastAsia" w:ascii="宋体" w:hAnsi="宋体" w:eastAsia="宋体" w:cs="宋体"/>
          <w:sz w:val="21"/>
          <w:szCs w:val="21"/>
          <w:lang w:val="en-US" w:eastAsia="zh-CN" w:bidi="ar-SA"/>
        </w:rPr>
        <w:t>评价</w:t>
      </w:r>
      <w:r>
        <w:rPr>
          <w:rFonts w:ascii="宋体" w:hAnsi="宋体" w:eastAsia="宋体" w:cs="宋体"/>
          <w:sz w:val="21"/>
          <w:szCs w:val="21"/>
          <w:lang w:val="fr-FR" w:eastAsia="zh-CN" w:bidi="ar-SA"/>
        </w:rPr>
        <w:t>标准规定的</w:t>
      </w:r>
      <w:r>
        <w:rPr>
          <w:rFonts w:hint="eastAsia" w:ascii="宋体" w:hAnsi="宋体" w:eastAsia="宋体" w:cs="宋体"/>
          <w:sz w:val="21"/>
          <w:szCs w:val="21"/>
          <w:lang w:val="en-US" w:eastAsia="zh-CN" w:bidi="ar-SA"/>
        </w:rPr>
        <w:t>分析</w:t>
      </w:r>
      <w:r>
        <w:rPr>
          <w:rFonts w:ascii="宋体" w:hAnsi="宋体" w:eastAsia="宋体" w:cs="宋体"/>
          <w:sz w:val="21"/>
          <w:szCs w:val="21"/>
          <w:lang w:val="fr-FR" w:eastAsia="zh-CN" w:bidi="ar-SA"/>
        </w:rPr>
        <w:t>方法一致</w:t>
      </w:r>
      <w:r>
        <w:rPr>
          <w:rFonts w:hint="eastAsia" w:ascii="宋体" w:hAnsi="宋体" w:eastAsia="宋体" w:cs="宋体"/>
          <w:sz w:val="21"/>
          <w:szCs w:val="21"/>
          <w:lang w:val="fr-FR" w:eastAsia="zh-CN" w:bidi="ar-SA"/>
        </w:rPr>
        <w:t>，</w:t>
      </w:r>
      <w:r>
        <w:rPr>
          <w:rFonts w:ascii="宋体" w:hAnsi="宋体" w:eastAsia="宋体" w:cs="宋体"/>
          <w:sz w:val="21"/>
          <w:szCs w:val="21"/>
          <w:lang w:val="fr-FR" w:eastAsia="zh-CN" w:bidi="ar-SA"/>
        </w:rPr>
        <w:t>检测方法</w:t>
      </w:r>
      <w:r>
        <w:rPr>
          <w:rFonts w:hint="eastAsia" w:ascii="宋体" w:hAnsi="宋体" w:eastAsia="宋体" w:cs="宋体"/>
          <w:sz w:val="21"/>
          <w:szCs w:val="21"/>
          <w:lang w:val="en-US" w:eastAsia="zh-CN" w:bidi="ar-SA"/>
        </w:rPr>
        <w:t>的</w:t>
      </w:r>
      <w:r>
        <w:rPr>
          <w:rFonts w:ascii="宋体" w:hAnsi="宋体" w:eastAsia="宋体" w:cs="宋体"/>
          <w:sz w:val="21"/>
          <w:szCs w:val="21"/>
          <w:lang w:val="fr-FR" w:eastAsia="zh-CN" w:bidi="ar-SA"/>
        </w:rPr>
        <w:t>检出限应满足评价标准的要求。</w:t>
      </w:r>
    </w:p>
    <w:p w14:paraId="6D63963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未列入评价标准的污染物，优先</w:t>
      </w:r>
      <w:r>
        <w:rPr>
          <w:rFonts w:hint="eastAsia" w:ascii="宋体" w:hAnsi="宋体" w:eastAsia="宋体" w:cs="宋体"/>
          <w:sz w:val="21"/>
          <w:szCs w:val="21"/>
          <w:lang w:val="en-US" w:eastAsia="zh-CN" w:bidi="ar-SA"/>
        </w:rPr>
        <w:t>采用</w:t>
      </w:r>
      <w:r>
        <w:rPr>
          <w:rFonts w:ascii="宋体" w:hAnsi="宋体" w:eastAsia="宋体" w:cs="宋体"/>
          <w:sz w:val="21"/>
          <w:szCs w:val="21"/>
          <w:lang w:val="fr-FR" w:eastAsia="zh-CN" w:bidi="ar-SA"/>
        </w:rPr>
        <w:t>国家标准或环境保护行业标准</w:t>
      </w:r>
      <w:r>
        <w:rPr>
          <w:rFonts w:hint="eastAsia" w:ascii="宋体" w:hAnsi="宋体" w:eastAsia="宋体" w:cs="宋体"/>
          <w:sz w:val="21"/>
          <w:szCs w:val="21"/>
          <w:lang w:val="en-US" w:eastAsia="zh-CN" w:bidi="ar-SA"/>
        </w:rPr>
        <w:t>分析</w:t>
      </w:r>
      <w:r>
        <w:rPr>
          <w:rFonts w:ascii="宋体" w:hAnsi="宋体" w:eastAsia="宋体" w:cs="宋体"/>
          <w:sz w:val="21"/>
          <w:szCs w:val="21"/>
          <w:lang w:val="fr-FR" w:eastAsia="zh-CN" w:bidi="ar-SA"/>
        </w:rPr>
        <w:t>方法进行分析；无国家标准和环境保护行业标准</w:t>
      </w:r>
      <w:r>
        <w:rPr>
          <w:rFonts w:hint="eastAsia" w:ascii="宋体" w:hAnsi="宋体" w:eastAsia="宋体" w:cs="宋体"/>
          <w:sz w:val="21"/>
          <w:szCs w:val="21"/>
          <w:lang w:val="en-US" w:eastAsia="zh-CN" w:bidi="ar-SA"/>
        </w:rPr>
        <w:t>分析</w:t>
      </w:r>
      <w:r>
        <w:rPr>
          <w:rFonts w:ascii="宋体" w:hAnsi="宋体" w:eastAsia="宋体" w:cs="宋体"/>
          <w:sz w:val="21"/>
          <w:szCs w:val="21"/>
          <w:lang w:val="fr-FR" w:eastAsia="zh-CN" w:bidi="ar-SA"/>
        </w:rPr>
        <w:t>方法的，可参考国内其他行业标准、国际标准、其他国家现行有效的标准或规范进行分析。</w:t>
      </w:r>
    </w:p>
    <w:p w14:paraId="2ABD8580">
      <w:pPr>
        <w:keepNext w:val="0"/>
        <w:keepLines w:val="0"/>
        <w:pageBreakBefore w:val="0"/>
        <w:widowControl w:val="0"/>
        <w:numPr>
          <w:ilvl w:val="2"/>
          <w:numId w:val="1"/>
        </w:numPr>
        <w:tabs>
          <w:tab w:val="left" w:pos="1031"/>
          <w:tab w:val="left" w:pos="1032"/>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zh-CN" w:bidi="ar-SA"/>
        </w:rPr>
      </w:pPr>
      <w:r>
        <w:rPr>
          <w:rFonts w:hint="eastAsia" w:ascii="黑体" w:hAnsi="宋体" w:eastAsia="黑体" w:cs="宋体"/>
          <w:spacing w:val="-3"/>
          <w:sz w:val="21"/>
          <w:szCs w:val="21"/>
          <w:lang w:val="fr-FR" w:eastAsia="zh-CN" w:bidi="ar-SA"/>
        </w:rPr>
        <w:t>质量保证和质量控制要求</w:t>
      </w:r>
    </w:p>
    <w:p w14:paraId="540E21A8">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质量保证和质量控制要求，应包括现场质量保证和质量控制要求、实验室分析质量保证和质量控制要求。</w:t>
      </w:r>
    </w:p>
    <w:p w14:paraId="1579AE71">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hint="eastAsia"/>
          <w:sz w:val="21"/>
          <w:szCs w:val="21"/>
          <w:lang w:val="en-US" w:eastAsia="zh-CN"/>
        </w:rPr>
        <w:sectPr>
          <w:pgSz w:w="11910" w:h="16840"/>
          <w:pgMar w:top="1417" w:right="1417" w:bottom="1134" w:left="1134" w:header="1417" w:footer="1134" w:gutter="0"/>
          <w:pgNumType w:fmt="decimal"/>
          <w:cols w:space="0" w:num="1"/>
          <w:rtlGutter w:val="0"/>
          <w:docGrid w:linePitch="0" w:charSpace="0"/>
        </w:sectPr>
      </w:pPr>
      <w:r>
        <w:rPr>
          <w:rFonts w:hint="eastAsia" w:ascii="宋体" w:hAnsi="宋体" w:eastAsia="宋体" w:cs="宋体"/>
          <w:sz w:val="21"/>
          <w:szCs w:val="21"/>
          <w:lang w:val="fr-FR" w:eastAsia="zh-CN" w:bidi="ar-SA"/>
        </w:rPr>
        <w:t>现场质量保证和质量控制</w:t>
      </w:r>
      <w:r>
        <w:rPr>
          <w:rFonts w:hint="eastAsia" w:ascii="宋体" w:hAnsi="宋体" w:eastAsia="宋体" w:cs="宋体"/>
          <w:sz w:val="21"/>
          <w:szCs w:val="21"/>
          <w:lang w:val="en-US" w:eastAsia="zh-CN" w:bidi="ar-SA"/>
        </w:rPr>
        <w:t>要求</w:t>
      </w:r>
      <w:r>
        <w:rPr>
          <w:rFonts w:hint="eastAsia" w:ascii="宋体" w:hAnsi="宋体" w:eastAsia="宋体" w:cs="宋体"/>
          <w:sz w:val="21"/>
          <w:szCs w:val="21"/>
          <w:lang w:val="fr-FR" w:eastAsia="zh-CN" w:bidi="ar-SA"/>
        </w:rPr>
        <w:t>应包括：防止样品污染的工作程序，现场平行</w:t>
      </w:r>
      <w:r>
        <w:rPr>
          <w:rFonts w:hint="eastAsia" w:ascii="宋体" w:hAnsi="宋体" w:eastAsia="宋体" w:cs="宋体"/>
          <w:sz w:val="21"/>
          <w:szCs w:val="21"/>
          <w:lang w:val="en-US" w:eastAsia="zh-CN" w:bidi="ar-SA"/>
        </w:rPr>
        <w:t>样品</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全程序空白样品</w:t>
      </w:r>
      <w:r>
        <w:rPr>
          <w:rFonts w:hint="eastAsia" w:ascii="宋体" w:hAnsi="宋体" w:eastAsia="宋体" w:cs="宋体"/>
          <w:sz w:val="21"/>
          <w:szCs w:val="21"/>
          <w:lang w:val="fr-FR" w:eastAsia="zh-CN" w:bidi="ar-SA"/>
        </w:rPr>
        <w:t>，运输空白</w:t>
      </w:r>
      <w:r>
        <w:rPr>
          <w:rFonts w:hint="eastAsia" w:ascii="宋体" w:hAnsi="宋体" w:eastAsia="宋体" w:cs="宋体"/>
          <w:sz w:val="21"/>
          <w:szCs w:val="21"/>
          <w:lang w:val="en-US" w:eastAsia="zh-CN" w:bidi="ar-SA"/>
        </w:rPr>
        <w:t>样品</w:t>
      </w:r>
      <w:r>
        <w:rPr>
          <w:rFonts w:hint="eastAsia" w:ascii="宋体" w:hAnsi="宋体" w:eastAsia="宋体" w:cs="宋体"/>
          <w:sz w:val="21"/>
          <w:szCs w:val="21"/>
          <w:lang w:val="fr-FR" w:eastAsia="zh-CN" w:bidi="ar-SA"/>
        </w:rPr>
        <w:t>，采样介质对分析结果影响分析，以及样品保存方式和时间对分析结果的影响分析等，具体参见HJ 25.2、HJ 1019、《建设用地土壤污染状况调查质量控制技术规定（试行）》等</w:t>
      </w:r>
      <w:r>
        <w:rPr>
          <w:rFonts w:hint="eastAsia" w:ascii="宋体" w:hAnsi="宋体" w:eastAsia="宋体" w:cs="宋体"/>
          <w:sz w:val="21"/>
          <w:szCs w:val="21"/>
          <w:lang w:val="en-US" w:eastAsia="zh-CN" w:bidi="ar-SA"/>
        </w:rPr>
        <w:t>技术规范要求</w:t>
      </w:r>
      <w:r>
        <w:rPr>
          <w:rFonts w:hint="eastAsia" w:ascii="宋体" w:hAnsi="宋体" w:eastAsia="宋体" w:cs="宋体"/>
          <w:sz w:val="21"/>
          <w:szCs w:val="21"/>
          <w:lang w:val="fr-FR" w:eastAsia="zh-CN" w:bidi="ar-SA"/>
        </w:rPr>
        <w:t>。</w:t>
      </w:r>
    </w:p>
    <w:p w14:paraId="698FE50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p>
    <w:p w14:paraId="43CDC87A">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fr-FR" w:eastAsia="zh-CN" w:bidi="ar-SA"/>
        </w:rPr>
        <w:t>实验室分析质量保证和质量控制要求</w:t>
      </w:r>
      <w:r>
        <w:rPr>
          <w:rFonts w:hint="eastAsia" w:ascii="宋体" w:hAnsi="宋体" w:eastAsia="宋体" w:cs="宋体"/>
          <w:sz w:val="21"/>
          <w:szCs w:val="21"/>
          <w:lang w:val="en-US" w:eastAsia="zh-CN" w:bidi="ar-SA"/>
        </w:rPr>
        <w:t>应</w:t>
      </w:r>
      <w:r>
        <w:rPr>
          <w:rFonts w:hint="eastAsia" w:ascii="宋体" w:hAnsi="宋体" w:eastAsia="宋体" w:cs="宋体"/>
          <w:sz w:val="21"/>
          <w:szCs w:val="21"/>
          <w:lang w:val="fr-FR" w:eastAsia="zh-CN" w:bidi="ar-SA"/>
        </w:rPr>
        <w:t>包括：空白试验、定量校准控制、精密度控制、正确度控制</w:t>
      </w:r>
      <w:r>
        <w:rPr>
          <w:rFonts w:hint="eastAsia" w:ascii="宋体" w:hAnsi="宋体" w:eastAsia="宋体" w:cs="宋体"/>
          <w:sz w:val="21"/>
          <w:szCs w:val="21"/>
          <w:lang w:val="en-US" w:eastAsia="zh-CN" w:bidi="ar-SA"/>
        </w:rPr>
        <w:t>等，</w:t>
      </w:r>
      <w:r>
        <w:rPr>
          <w:rFonts w:hint="eastAsia" w:ascii="宋体" w:hAnsi="宋体" w:eastAsia="宋体" w:cs="宋体"/>
          <w:sz w:val="21"/>
          <w:szCs w:val="21"/>
          <w:lang w:val="fr-FR" w:eastAsia="zh-CN" w:bidi="ar-SA"/>
        </w:rPr>
        <w:t>具体要求见HJ 164、HJ/T 166、《建设用地土壤污染状况调查质量控制技术规定（试行）》</w:t>
      </w:r>
      <w:r>
        <w:rPr>
          <w:rFonts w:hint="eastAsia" w:ascii="宋体" w:hAnsi="宋体" w:eastAsia="宋体" w:cs="宋体"/>
          <w:sz w:val="21"/>
          <w:szCs w:val="21"/>
          <w:lang w:val="en-US" w:eastAsia="zh-CN" w:bidi="ar-SA"/>
        </w:rPr>
        <w:t>和分析方法的质量保证与质量控制规定。每批次质控样品应当与实际样品同步进行分析测试。</w:t>
      </w:r>
    </w:p>
    <w:p w14:paraId="5BE8B4F8">
      <w:pPr>
        <w:keepNext w:val="0"/>
        <w:keepLines w:val="0"/>
        <w:pageBreakBefore w:val="0"/>
        <w:widowControl w:val="0"/>
        <w:numPr>
          <w:ilvl w:val="3"/>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hint="eastAsia" w:ascii="宋体" w:hAnsi="宋体" w:eastAsia="宋体" w:cs="宋体"/>
          <w:sz w:val="21"/>
          <w:szCs w:val="21"/>
          <w:lang w:val="fr-FR" w:eastAsia="zh-CN" w:bidi="ar-SA"/>
        </w:rPr>
      </w:pPr>
      <w:r>
        <w:rPr>
          <w:rFonts w:hint="eastAsia" w:ascii="宋体" w:hAnsi="宋体" w:eastAsia="宋体" w:cs="宋体"/>
          <w:sz w:val="21"/>
          <w:szCs w:val="21"/>
          <w:lang w:val="en-US" w:eastAsia="zh-CN" w:bidi="ar-SA"/>
        </w:rPr>
        <w:t>质量控制</w:t>
      </w:r>
      <w:r>
        <w:rPr>
          <w:rFonts w:hint="eastAsia" w:ascii="宋体" w:hAnsi="宋体" w:eastAsia="宋体" w:cs="宋体"/>
          <w:spacing w:val="-6"/>
          <w:sz w:val="21"/>
          <w:szCs w:val="21"/>
          <w:lang w:val="en-US" w:eastAsia="zh-CN" w:bidi="ar-SA"/>
        </w:rPr>
        <w:t>样品</w:t>
      </w:r>
      <w:r>
        <w:rPr>
          <w:rFonts w:hint="eastAsia" w:ascii="宋体" w:hAnsi="宋体" w:eastAsia="宋体" w:cs="宋体"/>
          <w:sz w:val="21"/>
          <w:szCs w:val="21"/>
          <w:lang w:val="fr-FR" w:eastAsia="zh-CN" w:bidi="ar-SA"/>
        </w:rPr>
        <w:t>分析结果不合格时，应</w:t>
      </w:r>
      <w:r>
        <w:rPr>
          <w:rFonts w:hint="eastAsia" w:ascii="宋体" w:hAnsi="宋体" w:eastAsia="宋体" w:cs="宋体"/>
          <w:sz w:val="21"/>
          <w:szCs w:val="21"/>
          <w:lang w:val="en-US" w:eastAsia="zh-CN" w:bidi="ar-SA"/>
        </w:rPr>
        <w:t>当查明原因</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采取适当的纠正措施，必要时进行留样复测或重采重测</w:t>
      </w:r>
      <w:r>
        <w:rPr>
          <w:rFonts w:hint="eastAsia" w:ascii="宋体" w:hAnsi="宋体" w:eastAsia="宋体" w:cs="宋体"/>
          <w:sz w:val="21"/>
          <w:szCs w:val="21"/>
          <w:lang w:val="fr-FR" w:eastAsia="zh-CN" w:bidi="ar-SA"/>
        </w:rPr>
        <w:t>。</w:t>
      </w:r>
    </w:p>
    <w:p w14:paraId="36231176">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2"/>
          <w:lang w:val="fr-FR" w:eastAsia="en-US" w:bidi="ar-SA"/>
        </w:rPr>
      </w:pPr>
      <w:bookmarkStart w:id="35" w:name="_bookmark16"/>
      <w:bookmarkEnd w:id="35"/>
      <w:bookmarkStart w:id="36" w:name="_bookmark17"/>
      <w:bookmarkEnd w:id="36"/>
      <w:bookmarkStart w:id="37" w:name="_bookmark18"/>
      <w:bookmarkEnd w:id="37"/>
      <w:bookmarkStart w:id="38" w:name="_Toc3298"/>
      <w:r>
        <w:rPr>
          <w:rFonts w:hint="eastAsia" w:ascii="黑体" w:hAnsi="宋体" w:eastAsia="黑体" w:cs="宋体"/>
          <w:spacing w:val="-3"/>
          <w:sz w:val="21"/>
          <w:szCs w:val="22"/>
          <w:lang w:val="en-US" w:eastAsia="zh-CN" w:bidi="ar-SA"/>
        </w:rPr>
        <w:t>详细</w:t>
      </w:r>
      <w:r>
        <w:rPr>
          <w:rFonts w:hint="eastAsia" w:ascii="黑体" w:hAnsi="宋体" w:eastAsia="黑体" w:cs="宋体"/>
          <w:spacing w:val="-1"/>
          <w:sz w:val="21"/>
          <w:szCs w:val="21"/>
          <w:lang w:val="fr-FR" w:eastAsia="zh-CN" w:bidi="ar-SA"/>
        </w:rPr>
        <w:t>采样</w:t>
      </w:r>
      <w:r>
        <w:rPr>
          <w:rFonts w:hint="eastAsia" w:ascii="黑体" w:hAnsi="宋体" w:eastAsia="黑体" w:cs="宋体"/>
          <w:spacing w:val="-1"/>
          <w:sz w:val="21"/>
          <w:szCs w:val="22"/>
          <w:lang w:val="fr-FR" w:eastAsia="en-US" w:bidi="ar-SA"/>
        </w:rPr>
        <w:t>分析</w:t>
      </w:r>
      <w:r>
        <w:rPr>
          <w:rFonts w:hint="eastAsia" w:ascii="黑体" w:hAnsi="宋体" w:eastAsia="黑体" w:cs="宋体"/>
          <w:spacing w:val="-3"/>
          <w:sz w:val="21"/>
          <w:szCs w:val="22"/>
          <w:lang w:val="fr-FR" w:eastAsia="en-US" w:bidi="ar-SA"/>
        </w:rPr>
        <w:t>工作计划</w:t>
      </w:r>
      <w:bookmarkEnd w:id="38"/>
    </w:p>
    <w:p w14:paraId="513FC82E">
      <w:pPr>
        <w:keepNext w:val="0"/>
        <w:keepLines w:val="0"/>
        <w:pageBreakBefore w:val="0"/>
        <w:widowControl w:val="0"/>
        <w:numPr>
          <w:ilvl w:val="2"/>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详细采样分析是在初步采样分析的基础上，进一步开展</w:t>
      </w:r>
      <w:r>
        <w:rPr>
          <w:rFonts w:hint="eastAsia" w:ascii="宋体" w:hAnsi="宋体" w:eastAsia="宋体" w:cs="宋体"/>
          <w:sz w:val="21"/>
          <w:szCs w:val="21"/>
          <w:lang w:val="en-US" w:eastAsia="zh-CN" w:bidi="ar-SA"/>
        </w:rPr>
        <w:t>现场</w:t>
      </w:r>
      <w:r>
        <w:rPr>
          <w:rFonts w:ascii="宋体" w:hAnsi="宋体" w:eastAsia="宋体" w:cs="宋体"/>
          <w:sz w:val="21"/>
          <w:szCs w:val="21"/>
          <w:lang w:val="fr-FR" w:eastAsia="zh-CN" w:bidi="ar-SA"/>
        </w:rPr>
        <w:t>采样和分析，</w:t>
      </w:r>
      <w:r>
        <w:rPr>
          <w:rFonts w:hint="eastAsia" w:ascii="宋体" w:hAnsi="宋体" w:eastAsia="宋体" w:cs="宋体"/>
          <w:sz w:val="21"/>
          <w:szCs w:val="21"/>
          <w:lang w:val="en-US" w:eastAsia="zh-CN" w:bidi="ar-SA"/>
        </w:rPr>
        <w:t>以</w:t>
      </w:r>
      <w:r>
        <w:rPr>
          <w:rFonts w:ascii="宋体" w:hAnsi="宋体" w:eastAsia="宋体" w:cs="宋体"/>
          <w:sz w:val="21"/>
          <w:szCs w:val="21"/>
          <w:lang w:val="fr-FR" w:eastAsia="zh-CN" w:bidi="ar-SA"/>
        </w:rPr>
        <w:t>确定</w:t>
      </w:r>
      <w:r>
        <w:rPr>
          <w:rFonts w:hint="eastAsia" w:ascii="宋体" w:hAnsi="宋体" w:eastAsia="宋体" w:cs="宋体"/>
          <w:sz w:val="21"/>
          <w:szCs w:val="21"/>
          <w:lang w:val="en-US" w:eastAsia="zh-CN" w:bidi="ar-SA"/>
        </w:rPr>
        <w:t>地块</w:t>
      </w:r>
      <w:r>
        <w:rPr>
          <w:rFonts w:ascii="宋体" w:hAnsi="宋体" w:eastAsia="宋体" w:cs="宋体"/>
          <w:sz w:val="21"/>
          <w:szCs w:val="21"/>
          <w:lang w:val="fr-FR" w:eastAsia="zh-CN" w:bidi="ar-SA"/>
        </w:rPr>
        <w:t>土壤</w:t>
      </w:r>
      <w:r>
        <w:rPr>
          <w:rFonts w:hint="eastAsia" w:ascii="宋体" w:hAnsi="宋体" w:eastAsia="宋体" w:cs="宋体"/>
          <w:sz w:val="21"/>
          <w:szCs w:val="21"/>
          <w:lang w:val="en-US" w:eastAsia="zh-CN" w:bidi="ar-SA"/>
        </w:rPr>
        <w:t>和地下水的受</w:t>
      </w:r>
      <w:r>
        <w:rPr>
          <w:rFonts w:ascii="宋体" w:hAnsi="宋体" w:eastAsia="宋体" w:cs="宋体"/>
          <w:sz w:val="21"/>
          <w:szCs w:val="21"/>
          <w:lang w:val="fr-FR" w:eastAsia="zh-CN" w:bidi="ar-SA"/>
        </w:rPr>
        <w:t>污染程度和范围。</w:t>
      </w:r>
    </w:p>
    <w:p w14:paraId="3BA30D9A">
      <w:pPr>
        <w:keepNext w:val="0"/>
        <w:keepLines w:val="0"/>
        <w:pageBreakBefore w:val="0"/>
        <w:widowControl w:val="0"/>
        <w:numPr>
          <w:ilvl w:val="2"/>
          <w:numId w:val="1"/>
        </w:numPr>
        <w:kinsoku/>
        <w:wordWrap/>
        <w:overflowPunct/>
        <w:topLinePunct w:val="0"/>
        <w:autoSpaceDE w:val="0"/>
        <w:autoSpaceDN w:val="0"/>
        <w:bidi w:val="0"/>
        <w:adjustRightInd w:val="0"/>
        <w:snapToGrid w:val="0"/>
        <w:spacing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详细采样分析工作计划主要包括：</w:t>
      </w:r>
      <w:r>
        <w:rPr>
          <w:rFonts w:hint="eastAsia" w:ascii="宋体" w:hAnsi="宋体" w:eastAsia="宋体" w:cs="宋体"/>
          <w:sz w:val="21"/>
          <w:szCs w:val="21"/>
          <w:lang w:val="en-US" w:eastAsia="zh-CN" w:bidi="ar-SA"/>
        </w:rPr>
        <w:t>开展水文地质调查、</w:t>
      </w:r>
      <w:r>
        <w:rPr>
          <w:rFonts w:hint="eastAsia" w:ascii="宋体" w:hAnsi="宋体" w:eastAsia="宋体" w:cs="宋体"/>
          <w:sz w:val="21"/>
          <w:szCs w:val="21"/>
          <w:lang w:val="fr-FR" w:eastAsia="zh-CN" w:bidi="ar-SA"/>
        </w:rPr>
        <w:t>评估初步采样分析结果，制定</w:t>
      </w:r>
      <w:r>
        <w:rPr>
          <w:rFonts w:hint="eastAsia" w:ascii="宋体" w:hAnsi="宋体" w:eastAsia="宋体" w:cs="宋体"/>
          <w:sz w:val="21"/>
          <w:szCs w:val="21"/>
          <w:lang w:val="en-US" w:eastAsia="zh-CN" w:bidi="ar-SA"/>
        </w:rPr>
        <w:t>布点</w:t>
      </w:r>
      <w:r>
        <w:rPr>
          <w:rFonts w:hint="eastAsia" w:ascii="宋体" w:hAnsi="宋体" w:eastAsia="宋体" w:cs="宋体"/>
          <w:sz w:val="21"/>
          <w:szCs w:val="21"/>
          <w:lang w:val="fr-FR" w:eastAsia="zh-CN" w:bidi="ar-SA"/>
        </w:rPr>
        <w:t>采样方案，制定样品分析方案等。</w:t>
      </w:r>
    </w:p>
    <w:p w14:paraId="3D4A35E5">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1"/>
          <w:lang w:val="fr-FR" w:eastAsia="en-US" w:bidi="ar-SA"/>
        </w:rPr>
      </w:pPr>
      <w:r>
        <w:rPr>
          <w:rFonts w:hint="eastAsia" w:ascii="黑体" w:hAnsi="宋体" w:eastAsia="黑体" w:cs="宋体"/>
          <w:spacing w:val="-2"/>
          <w:sz w:val="21"/>
          <w:szCs w:val="21"/>
          <w:lang w:val="en-US" w:eastAsia="zh-CN" w:bidi="ar-SA"/>
        </w:rPr>
        <w:t>开展水文地质调查</w:t>
      </w:r>
    </w:p>
    <w:p w14:paraId="58AC82C2">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详细采样分析阶段需开展地块水文地质调查，查明地块的地形地貌、地层结构、地下水类型与分布等信息。通过开展钻探、现场试验、室内分析等工作获取地块地层结构、地下水位、地下水垂向水力梯度、地下水水平流速及流向等水文地质关键信息。</w:t>
      </w:r>
    </w:p>
    <w:p w14:paraId="37B472C0">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水文地质勘查点位尽可能设置在污染范围外，数量应不少于3个，水文地质情况复杂的地块应适当加密布点。</w:t>
      </w:r>
    </w:p>
    <w:p w14:paraId="6D969127">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地块范围内存在高精度水文地质资料或岩土工程勘察资料，并可满足后续工作要求的前提下，可适当简化现场水文地质调查工作。</w:t>
      </w:r>
    </w:p>
    <w:p w14:paraId="4C7A0C4A">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en-US" w:bidi="ar-SA"/>
        </w:rPr>
      </w:pPr>
      <w:r>
        <w:rPr>
          <w:rFonts w:hint="eastAsia" w:ascii="黑体" w:hAnsi="宋体" w:eastAsia="黑体" w:cs="宋体"/>
          <w:spacing w:val="-2"/>
          <w:sz w:val="21"/>
          <w:szCs w:val="22"/>
          <w:lang w:val="fr-FR" w:eastAsia="en-US" w:bidi="ar-SA"/>
        </w:rPr>
        <w:t>评估初步采样分析结果</w:t>
      </w:r>
    </w:p>
    <w:p w14:paraId="7DDB438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分析初步采样</w:t>
      </w:r>
      <w:r>
        <w:rPr>
          <w:rFonts w:hint="eastAsia" w:ascii="宋体" w:hAnsi="宋体" w:eastAsia="宋体" w:cs="宋体"/>
          <w:sz w:val="21"/>
          <w:szCs w:val="21"/>
          <w:lang w:val="en-US" w:eastAsia="zh-CN" w:bidi="ar-SA"/>
        </w:rPr>
        <w:t>分析</w:t>
      </w:r>
      <w:r>
        <w:rPr>
          <w:rFonts w:hint="eastAsia" w:ascii="宋体" w:hAnsi="宋体" w:eastAsia="宋体" w:cs="宋体"/>
          <w:sz w:val="21"/>
          <w:szCs w:val="21"/>
          <w:lang w:val="fr-FR" w:eastAsia="zh-CN" w:bidi="ar-SA"/>
        </w:rPr>
        <w:t>获取的地块信息，主要包括</w:t>
      </w:r>
      <w:r>
        <w:rPr>
          <w:rFonts w:hint="eastAsia" w:ascii="宋体" w:hAnsi="宋体" w:eastAsia="宋体" w:cs="宋体"/>
          <w:sz w:val="21"/>
          <w:szCs w:val="21"/>
          <w:lang w:val="en-US" w:eastAsia="zh-CN" w:bidi="ar-SA"/>
        </w:rPr>
        <w:t>地层结构</w:t>
      </w:r>
      <w:r>
        <w:rPr>
          <w:rFonts w:hint="eastAsia" w:ascii="宋体" w:hAnsi="宋体" w:eastAsia="宋体" w:cs="宋体"/>
          <w:sz w:val="21"/>
          <w:szCs w:val="21"/>
          <w:lang w:val="fr-FR" w:eastAsia="zh-CN" w:bidi="ar-SA"/>
        </w:rPr>
        <w:t>、水文地质条件、现场和实验室检测数据等，评估初步采样分析的质量保证和质量控制</w:t>
      </w:r>
      <w:r>
        <w:rPr>
          <w:rFonts w:hint="eastAsia" w:ascii="宋体" w:hAnsi="宋体" w:eastAsia="宋体" w:cs="宋体"/>
          <w:sz w:val="21"/>
          <w:szCs w:val="21"/>
          <w:lang w:val="en-US" w:eastAsia="zh-CN" w:bidi="ar-SA"/>
        </w:rPr>
        <w:t>可靠性</w:t>
      </w:r>
      <w:r>
        <w:rPr>
          <w:rFonts w:hint="eastAsia" w:ascii="宋体" w:hAnsi="宋体" w:eastAsia="宋体" w:cs="宋体"/>
          <w:sz w:val="21"/>
          <w:szCs w:val="21"/>
          <w:lang w:val="fr-FR" w:eastAsia="zh-CN" w:bidi="ar-SA"/>
        </w:rPr>
        <w:t>，初步确定污染物种类、</w:t>
      </w:r>
      <w:r>
        <w:rPr>
          <w:rFonts w:hint="eastAsia" w:ascii="宋体" w:hAnsi="宋体" w:eastAsia="宋体" w:cs="宋体"/>
          <w:sz w:val="21"/>
          <w:szCs w:val="21"/>
          <w:lang w:val="en-US" w:eastAsia="zh-CN" w:bidi="ar-SA"/>
        </w:rPr>
        <w:t>污染</w:t>
      </w:r>
      <w:r>
        <w:rPr>
          <w:rFonts w:hint="eastAsia" w:ascii="宋体" w:hAnsi="宋体" w:eastAsia="宋体" w:cs="宋体"/>
          <w:sz w:val="21"/>
          <w:szCs w:val="21"/>
          <w:lang w:val="fr-FR" w:eastAsia="zh-CN" w:bidi="ar-SA"/>
        </w:rPr>
        <w:t>程度和</w:t>
      </w:r>
      <w:r>
        <w:rPr>
          <w:rFonts w:hint="eastAsia" w:ascii="宋体" w:hAnsi="宋体" w:eastAsia="宋体" w:cs="宋体"/>
          <w:sz w:val="21"/>
          <w:szCs w:val="21"/>
          <w:lang w:val="en-US" w:eastAsia="zh-CN" w:bidi="ar-SA"/>
        </w:rPr>
        <w:t>可能的</w:t>
      </w:r>
      <w:r>
        <w:rPr>
          <w:rFonts w:hint="eastAsia" w:ascii="宋体" w:hAnsi="宋体" w:eastAsia="宋体" w:cs="宋体"/>
          <w:sz w:val="21"/>
          <w:szCs w:val="21"/>
          <w:lang w:val="fr-FR" w:eastAsia="zh-CN" w:bidi="ar-SA"/>
        </w:rPr>
        <w:t>空间分布。</w:t>
      </w:r>
    </w:p>
    <w:p w14:paraId="215E2882">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en-US" w:bidi="ar-SA"/>
        </w:rPr>
      </w:pPr>
      <w:r>
        <w:rPr>
          <w:rFonts w:hint="eastAsia" w:ascii="黑体" w:hAnsi="宋体" w:eastAsia="黑体" w:cs="宋体"/>
          <w:spacing w:val="-2"/>
          <w:sz w:val="21"/>
          <w:szCs w:val="22"/>
          <w:lang w:val="fr-FR" w:eastAsia="en-US" w:bidi="ar-SA"/>
        </w:rPr>
        <w:t>制定</w:t>
      </w:r>
      <w:r>
        <w:rPr>
          <w:rFonts w:hint="eastAsia" w:ascii="黑体" w:hAnsi="宋体" w:eastAsia="黑体" w:cs="宋体"/>
          <w:spacing w:val="-2"/>
          <w:sz w:val="21"/>
          <w:szCs w:val="22"/>
          <w:lang w:val="en-US" w:eastAsia="zh-CN" w:bidi="ar-SA"/>
        </w:rPr>
        <w:t>布点</w:t>
      </w:r>
      <w:r>
        <w:rPr>
          <w:rFonts w:hint="eastAsia" w:ascii="黑体" w:hAnsi="宋体" w:eastAsia="黑体" w:cs="宋体"/>
          <w:spacing w:val="-2"/>
          <w:sz w:val="21"/>
          <w:szCs w:val="22"/>
          <w:lang w:val="fr-FR" w:eastAsia="en-US" w:bidi="ar-SA"/>
        </w:rPr>
        <w:t>采样方案</w:t>
      </w:r>
    </w:p>
    <w:p w14:paraId="2C5BFEBA">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en-US" w:bidi="ar-SA"/>
        </w:rPr>
      </w:pPr>
      <w:r>
        <w:rPr>
          <w:rFonts w:hint="eastAsia" w:ascii="黑体" w:hAnsi="宋体" w:eastAsia="黑体" w:cs="宋体"/>
          <w:spacing w:val="-1"/>
          <w:sz w:val="21"/>
          <w:szCs w:val="22"/>
          <w:lang w:val="en-US" w:eastAsia="zh-CN" w:bidi="ar-SA"/>
        </w:rPr>
        <w:t>采样范围</w:t>
      </w:r>
    </w:p>
    <w:p w14:paraId="2A99C65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一般</w:t>
      </w:r>
      <w:r>
        <w:rPr>
          <w:rFonts w:hint="eastAsia" w:ascii="宋体" w:hAnsi="宋体" w:eastAsia="宋体" w:cs="宋体"/>
          <w:sz w:val="21"/>
          <w:szCs w:val="21"/>
          <w:lang w:val="fr-FR" w:eastAsia="zh-CN" w:bidi="ar-SA"/>
        </w:rPr>
        <w:t>为</w:t>
      </w:r>
      <w:r>
        <w:rPr>
          <w:rFonts w:hint="eastAsia" w:ascii="宋体" w:hAnsi="宋体" w:eastAsia="宋体" w:cs="宋体"/>
          <w:sz w:val="21"/>
          <w:szCs w:val="21"/>
          <w:lang w:val="en-US" w:eastAsia="zh-CN" w:bidi="ar-SA"/>
        </w:rPr>
        <w:t>地块边界范围内，如初步采样分析表明污染物存在或可能存在扩散到地块边界外的情况，</w:t>
      </w:r>
      <w:r>
        <w:rPr>
          <w:rFonts w:hint="eastAsia" w:ascii="宋体" w:hAnsi="宋体" w:eastAsia="宋体" w:cs="宋体"/>
          <w:spacing w:val="-6"/>
          <w:sz w:val="21"/>
          <w:szCs w:val="21"/>
          <w:lang w:val="fr-FR" w:eastAsia="zh-CN" w:bidi="ar-SA"/>
        </w:rPr>
        <w:t>在条件允许的情况下，</w:t>
      </w:r>
      <w:r>
        <w:rPr>
          <w:rFonts w:hint="eastAsia" w:ascii="宋体" w:hAnsi="宋体" w:eastAsia="宋体" w:cs="宋体"/>
          <w:sz w:val="21"/>
          <w:szCs w:val="21"/>
          <w:lang w:val="en-US" w:eastAsia="zh-CN" w:bidi="ar-SA"/>
        </w:rPr>
        <w:t>详细采样分析的范围应包括地块边界外疑似污染区域</w:t>
      </w:r>
      <w:r>
        <w:rPr>
          <w:rFonts w:ascii="宋体" w:hAnsi="宋体" w:eastAsia="宋体" w:cs="宋体"/>
          <w:sz w:val="21"/>
          <w:szCs w:val="21"/>
          <w:lang w:val="fr-FR" w:eastAsia="zh-CN" w:bidi="ar-SA"/>
        </w:rPr>
        <w:t>。</w:t>
      </w:r>
    </w:p>
    <w:p w14:paraId="097971BC">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1"/>
          <w:sz w:val="21"/>
          <w:szCs w:val="22"/>
          <w:lang w:val="en-US" w:eastAsia="zh-CN" w:bidi="ar-SA"/>
        </w:rPr>
      </w:pPr>
      <w:r>
        <w:rPr>
          <w:rFonts w:hint="eastAsia" w:ascii="黑体" w:hAnsi="宋体" w:eastAsia="黑体" w:cs="宋体"/>
          <w:spacing w:val="-1"/>
          <w:sz w:val="21"/>
          <w:szCs w:val="22"/>
          <w:lang w:val="en-US" w:eastAsia="zh-CN" w:bidi="ar-SA"/>
        </w:rPr>
        <w:t>土壤采样点布设</w:t>
      </w:r>
    </w:p>
    <w:p w14:paraId="502B468F">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default"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土壤采样点布设</w:t>
      </w:r>
      <w:r>
        <w:rPr>
          <w:rFonts w:hint="eastAsia" w:ascii="宋体" w:hAnsi="宋体" w:eastAsia="宋体" w:cs="宋体"/>
          <w:sz w:val="21"/>
          <w:szCs w:val="21"/>
          <w:lang w:val="en-US" w:eastAsia="zh-CN" w:bidi="ar-SA"/>
        </w:rPr>
        <w:t>具体</w:t>
      </w:r>
      <w:r>
        <w:rPr>
          <w:rFonts w:hint="eastAsia" w:ascii="宋体" w:hAnsi="宋体" w:eastAsia="宋体" w:cs="宋体"/>
          <w:spacing w:val="-6"/>
          <w:sz w:val="21"/>
          <w:szCs w:val="21"/>
          <w:lang w:val="en-US" w:eastAsia="zh-CN" w:bidi="ar-SA"/>
        </w:rPr>
        <w:t>要求如下：</w:t>
      </w:r>
    </w:p>
    <w:p w14:paraId="23141F69">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360" w:lineRule="auto"/>
        <w:ind w:left="839"/>
        <w:jc w:val="distribute"/>
        <w:textAlignment w:val="auto"/>
        <w:rPr>
          <w:rFonts w:hint="eastAsia"/>
          <w:spacing w:val="-3"/>
          <w:sz w:val="21"/>
          <w:szCs w:val="21"/>
          <w:lang w:val="en-US" w:eastAsia="zh-CN"/>
        </w:rPr>
        <w:sectPr>
          <w:pgSz w:w="11910" w:h="16840"/>
          <w:pgMar w:top="1417" w:right="1134" w:bottom="1134" w:left="1417" w:header="1417" w:footer="1134" w:gutter="0"/>
          <w:pgNumType w:fmt="decimal"/>
          <w:cols w:space="0" w:num="1"/>
          <w:rtlGutter w:val="0"/>
          <w:docGrid w:linePitch="0" w:charSpace="0"/>
        </w:sectPr>
      </w:pPr>
      <w:r>
        <w:rPr>
          <w:rFonts w:hint="eastAsia" w:ascii="宋体" w:hAnsi="宋体" w:eastAsia="宋体" w:cs="宋体"/>
          <w:spacing w:val="-3"/>
          <w:sz w:val="21"/>
          <w:szCs w:val="21"/>
          <w:lang w:val="en-US" w:eastAsia="zh-CN" w:bidi="ar-SA"/>
        </w:rPr>
        <w:t>应根据初步采样分析所揭示的污染物分布规律来确定采样点位，采用系统布点法、专业判断布点法布设土壤采样点。对于初步采样分析识别涉嫌土壤污染的区域，土壤采样点位数每400平方</w:t>
      </w:r>
    </w:p>
    <w:p w14:paraId="348979D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p>
    <w:p w14:paraId="186D6C8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20" w:leftChars="0" w:firstLine="420"/>
        <w:jc w:val="both"/>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米不少于1个，其他区域每1600平方米不少于1个；</w:t>
      </w:r>
    </w:p>
    <w:p w14:paraId="622A26FC">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采样深度和间隔应根据初步采样分析的结果确定，最大深度应当大于初步采样分析发现的超标深度，直至未受污染的深度为止。第一层隔水层以上土壤的采样间隔不应超过1米，第一层隔水层及以下土壤的采样间隔不应超过2米；对于垂直方向结构特征不同的土壤，可根据土壤结构的变化和污染物迁移规律调整垂直方向点位的采样间隔；</w:t>
      </w:r>
    </w:p>
    <w:p w14:paraId="6B16E802">
      <w:pPr>
        <w:keepNext w:val="0"/>
        <w:keepLines w:val="0"/>
        <w:pageBreakBefore w:val="0"/>
        <w:widowControl w:val="0"/>
        <w:numPr>
          <w:ilvl w:val="0"/>
          <w:numId w:val="17"/>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详细采样分析可分批次进行，一次调查不满足要求的，应继续补充调查直至满足要求。</w:t>
      </w:r>
    </w:p>
    <w:p w14:paraId="6EEAC8BB">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1"/>
          <w:sz w:val="21"/>
          <w:szCs w:val="22"/>
          <w:lang w:val="en-US" w:eastAsia="zh-CN" w:bidi="ar-SA"/>
        </w:rPr>
      </w:pPr>
      <w:r>
        <w:rPr>
          <w:rFonts w:hint="eastAsia" w:ascii="黑体" w:hAnsi="宋体" w:eastAsia="黑体" w:cs="宋体"/>
          <w:spacing w:val="-1"/>
          <w:sz w:val="21"/>
          <w:szCs w:val="22"/>
          <w:lang w:val="en-US" w:eastAsia="zh-CN" w:bidi="ar-SA"/>
        </w:rPr>
        <w:t>地下水采样点布设</w:t>
      </w:r>
    </w:p>
    <w:p w14:paraId="0FE9FE18">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地下水采样点布设具体要求如下：</w:t>
      </w:r>
    </w:p>
    <w:p w14:paraId="38F2DF97">
      <w:pPr>
        <w:keepNext w:val="0"/>
        <w:keepLines w:val="0"/>
        <w:pageBreakBefore w:val="0"/>
        <w:widowControl w:val="0"/>
        <w:numPr>
          <w:ilvl w:val="0"/>
          <w:numId w:val="18"/>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初步采样分析识别地块存在地下水污染可能性时，需进一步采样分析确定地下水污染程度及范围，地下水采样单元面积不大于6400平方米，可根据实际情况在初步采样分析识别涉嫌地下水污染的区域加密布点；</w:t>
      </w:r>
    </w:p>
    <w:p w14:paraId="2B717949">
      <w:pPr>
        <w:keepNext w:val="0"/>
        <w:keepLines w:val="0"/>
        <w:pageBreakBefore w:val="0"/>
        <w:widowControl w:val="0"/>
        <w:numPr>
          <w:ilvl w:val="0"/>
          <w:numId w:val="18"/>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一般以最易受污染的第一层含水层为主；当第二层含水层及之下的土壤受到污染时，应设置地下水监测组井，分别采集第一层和第二层地下水样品；当同一含水层土壤性质或污染情况存在明显分层，或含水层较厚时，可设置地下水监测组井，分层采集不同深度的地下水样品。</w:t>
      </w:r>
    </w:p>
    <w:p w14:paraId="5512240F">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1"/>
          <w:lang w:val="en-US" w:eastAsia="zh-CN" w:bidi="ar-SA"/>
        </w:rPr>
      </w:pPr>
      <w:r>
        <w:rPr>
          <w:rFonts w:hint="eastAsia" w:ascii="黑体" w:hAnsi="宋体" w:eastAsia="黑体" w:cs="宋体"/>
          <w:spacing w:val="-2"/>
          <w:sz w:val="21"/>
          <w:szCs w:val="21"/>
          <w:lang w:val="en-US" w:eastAsia="zh-CN" w:bidi="ar-SA"/>
        </w:rPr>
        <w:t>制定样品分析方案</w:t>
      </w:r>
    </w:p>
    <w:p w14:paraId="4AAC92AD">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详细采样分析的检测项目应当包含初步采样分析发现的全部超标污染物，必要时考虑初步采样分析未超标的关注污染物。分析方法选取参照初步采样分析阶段。</w:t>
      </w:r>
    </w:p>
    <w:p w14:paraId="45E295ED">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1"/>
          <w:lang w:val="en-US" w:eastAsia="zh-CN" w:bidi="ar-SA"/>
        </w:rPr>
      </w:pPr>
      <w:r>
        <w:rPr>
          <w:rFonts w:hint="eastAsia" w:ascii="黑体" w:hAnsi="宋体" w:eastAsia="黑体" w:cs="宋体"/>
          <w:spacing w:val="-2"/>
          <w:sz w:val="21"/>
          <w:szCs w:val="21"/>
          <w:lang w:val="en-US" w:eastAsia="zh-CN" w:bidi="ar-SA"/>
        </w:rPr>
        <w:t>其他</w:t>
      </w:r>
    </w:p>
    <w:p w14:paraId="38497CEA">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健康和安全防护计划、质量保证和质量控制要求等可参考初步采样分析制定。</w:t>
      </w:r>
    </w:p>
    <w:p w14:paraId="38CBD31B">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1"/>
          <w:lang w:val="fr-FR" w:eastAsia="en-US" w:bidi="ar-SA"/>
        </w:rPr>
      </w:pPr>
      <w:bookmarkStart w:id="39" w:name="_Toc555"/>
      <w:r>
        <w:rPr>
          <w:rFonts w:hint="eastAsia" w:ascii="黑体" w:hAnsi="宋体" w:eastAsia="黑体" w:cs="宋体"/>
          <w:spacing w:val="-3"/>
          <w:sz w:val="21"/>
          <w:szCs w:val="21"/>
          <w:lang w:val="en-US" w:eastAsia="zh-CN" w:bidi="ar-SA"/>
        </w:rPr>
        <w:t>现场</w:t>
      </w:r>
      <w:r>
        <w:rPr>
          <w:rFonts w:hint="eastAsia" w:ascii="黑体" w:hAnsi="宋体" w:eastAsia="黑体" w:cs="宋体"/>
          <w:spacing w:val="-1"/>
          <w:sz w:val="21"/>
          <w:szCs w:val="21"/>
          <w:lang w:val="en-US" w:eastAsia="zh-CN" w:bidi="ar-SA"/>
        </w:rPr>
        <w:t>采样</w:t>
      </w:r>
      <w:bookmarkEnd w:id="39"/>
    </w:p>
    <w:p w14:paraId="0EE4FDF6">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hint="eastAsia" w:ascii="宋体" w:hAnsi="宋体" w:eastAsia="宋体" w:cs="宋体"/>
          <w:spacing w:val="-3"/>
          <w:sz w:val="21"/>
          <w:szCs w:val="21"/>
          <w:lang w:val="en-US" w:eastAsia="zh-CN" w:bidi="ar-SA"/>
        </w:rPr>
      </w:pPr>
      <w:r>
        <w:rPr>
          <w:rFonts w:hint="eastAsia" w:ascii="黑体" w:hAnsi="宋体" w:eastAsia="黑体" w:cs="宋体"/>
          <w:spacing w:val="-2"/>
          <w:sz w:val="21"/>
          <w:szCs w:val="21"/>
          <w:lang w:val="en-US" w:eastAsia="zh-CN" w:bidi="ar-SA"/>
        </w:rPr>
        <w:t>采样前准备</w:t>
      </w:r>
    </w:p>
    <w:p w14:paraId="023684D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现场采样应准备的材料和设备包括：定位仪器、现场探测设备、现场快速检测设备、调查信息记录装备、土壤和地下水取样设备、监测井的建井材料、样品的保存装置和安全防护装备等。</w:t>
      </w:r>
    </w:p>
    <w:p w14:paraId="4560ACD7">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1"/>
          <w:lang w:val="en-US" w:eastAsia="zh-CN" w:bidi="ar-SA"/>
        </w:rPr>
      </w:pPr>
      <w:r>
        <w:rPr>
          <w:rFonts w:hint="eastAsia" w:ascii="黑体" w:hAnsi="宋体" w:eastAsia="黑体" w:cs="宋体"/>
          <w:spacing w:val="-2"/>
          <w:sz w:val="21"/>
          <w:szCs w:val="21"/>
          <w:lang w:val="en-US" w:eastAsia="zh-CN" w:bidi="ar-SA"/>
        </w:rPr>
        <w:t>点位确认</w:t>
      </w:r>
    </w:p>
    <w:p w14:paraId="65FA8DE8">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采样前，可采用GPS、RTK、全站仪等工具在现场确定采样点的具体位置和地面标高，并在图中标出。</w:t>
      </w:r>
    </w:p>
    <w:p w14:paraId="011A6F7C">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lang w:val="en-US" w:eastAsia="zh-CN"/>
        </w:rPr>
        <w:sectPr>
          <w:pgSz w:w="11910" w:h="16840"/>
          <w:pgMar w:top="1417" w:right="1417" w:bottom="1134" w:left="1134" w:header="1417" w:footer="1134" w:gutter="0"/>
          <w:pgNumType w:fmt="decimal"/>
          <w:cols w:space="0" w:num="1"/>
          <w:rtlGutter w:val="0"/>
          <w:docGrid w:linePitch="0" w:charSpace="0"/>
        </w:sectPr>
      </w:pPr>
      <w:r>
        <w:rPr>
          <w:rFonts w:hint="eastAsia" w:ascii="宋体" w:hAnsi="宋体" w:eastAsia="宋体" w:cs="宋体"/>
          <w:sz w:val="21"/>
          <w:szCs w:val="21"/>
          <w:lang w:val="en-US" w:eastAsia="zh-CN" w:bidi="ar-SA"/>
        </w:rPr>
        <w:t>采样前，应收集地块内地下罐槽、管线、电缆、沟槽、集水井和检查井等地下障碍情况，确保采样点避开上述地下障碍，若地下情况不明，可选用手工钻探或物探设备（金属探测器、探地雷达等）探明地下情况。</w:t>
      </w:r>
    </w:p>
    <w:p w14:paraId="60434D2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bookmarkStart w:id="40" w:name="_bookmark26"/>
      <w:bookmarkEnd w:id="40"/>
      <w:bookmarkStart w:id="41" w:name="_bookmark25"/>
      <w:bookmarkEnd w:id="41"/>
      <w:bookmarkStart w:id="42" w:name="_bookmark27"/>
      <w:bookmarkEnd w:id="42"/>
    </w:p>
    <w:p w14:paraId="73D82ACA">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1"/>
          <w:lang w:val="en-US" w:eastAsia="zh-CN" w:bidi="ar-SA"/>
        </w:rPr>
      </w:pPr>
      <w:r>
        <w:rPr>
          <w:rFonts w:hint="eastAsia" w:ascii="黑体" w:hAnsi="宋体" w:eastAsia="黑体" w:cs="宋体"/>
          <w:spacing w:val="-2"/>
          <w:sz w:val="21"/>
          <w:szCs w:val="21"/>
          <w:lang w:val="en-US" w:eastAsia="zh-CN" w:bidi="ar-SA"/>
        </w:rPr>
        <w:t>现场快速检测</w:t>
      </w:r>
    </w:p>
    <w:p w14:paraId="596614C2">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1"/>
          <w:szCs w:val="21"/>
          <w:lang w:val="fr-FR" w:eastAsia="zh-CN" w:bidi="ar-SA"/>
        </w:rPr>
      </w:pPr>
      <w:r>
        <w:rPr>
          <w:rFonts w:hint="eastAsia" w:ascii="宋体" w:hAnsi="宋体" w:eastAsia="宋体" w:cs="宋体"/>
          <w:sz w:val="21"/>
          <w:szCs w:val="21"/>
          <w:lang w:val="en-US" w:eastAsia="zh-CN" w:bidi="ar-SA"/>
        </w:rPr>
        <w:t>应</w:t>
      </w:r>
      <w:r>
        <w:rPr>
          <w:rFonts w:hint="eastAsia" w:ascii="宋体" w:hAnsi="宋体" w:eastAsia="宋体" w:cs="宋体"/>
          <w:sz w:val="21"/>
          <w:szCs w:val="21"/>
          <w:lang w:val="fr-FR" w:eastAsia="zh-CN" w:bidi="ar-SA"/>
        </w:rPr>
        <w:t>使用PID对土壤VOCs进行</w:t>
      </w:r>
      <w:r>
        <w:rPr>
          <w:rFonts w:hint="eastAsia" w:ascii="宋体" w:hAnsi="宋体" w:eastAsia="宋体" w:cs="宋体"/>
          <w:sz w:val="21"/>
          <w:szCs w:val="21"/>
          <w:lang w:val="en-US" w:eastAsia="zh-CN" w:bidi="ar-SA"/>
        </w:rPr>
        <w:t>现场</w:t>
      </w:r>
      <w:r>
        <w:rPr>
          <w:rFonts w:hint="eastAsia" w:ascii="宋体" w:hAnsi="宋体" w:eastAsia="宋体" w:cs="宋体"/>
          <w:sz w:val="21"/>
          <w:szCs w:val="21"/>
          <w:lang w:val="fr-FR" w:eastAsia="zh-CN" w:bidi="ar-SA"/>
        </w:rPr>
        <w:t>快速</w:t>
      </w:r>
      <w:r>
        <w:rPr>
          <w:rFonts w:hint="eastAsia" w:ascii="宋体" w:hAnsi="宋体" w:eastAsia="宋体" w:cs="宋体"/>
          <w:sz w:val="21"/>
          <w:szCs w:val="21"/>
          <w:lang w:val="en-US" w:eastAsia="zh-CN" w:bidi="ar-SA"/>
        </w:rPr>
        <w:t>检测</w:t>
      </w:r>
      <w:r>
        <w:rPr>
          <w:rFonts w:hint="eastAsia" w:ascii="宋体" w:hAnsi="宋体" w:eastAsia="宋体" w:cs="宋体"/>
          <w:sz w:val="21"/>
          <w:szCs w:val="21"/>
          <w:lang w:val="fr-FR" w:eastAsia="zh-CN" w:bidi="ar-SA"/>
        </w:rPr>
        <w:t>，使用XRF对土壤重金属进行</w:t>
      </w:r>
      <w:r>
        <w:rPr>
          <w:rFonts w:hint="eastAsia" w:ascii="宋体" w:hAnsi="宋体" w:eastAsia="宋体" w:cs="宋体"/>
          <w:sz w:val="21"/>
          <w:szCs w:val="21"/>
          <w:lang w:val="en-US" w:eastAsia="zh-CN" w:bidi="ar-SA"/>
        </w:rPr>
        <w:t>现场</w:t>
      </w:r>
      <w:r>
        <w:rPr>
          <w:rFonts w:hint="eastAsia" w:ascii="宋体" w:hAnsi="宋体" w:eastAsia="宋体" w:cs="宋体"/>
          <w:sz w:val="21"/>
          <w:szCs w:val="21"/>
          <w:lang w:val="fr-FR" w:eastAsia="zh-CN" w:bidi="ar-SA"/>
        </w:rPr>
        <w:t>快速</w:t>
      </w:r>
      <w:r>
        <w:rPr>
          <w:rFonts w:hint="eastAsia" w:ascii="宋体" w:hAnsi="宋体" w:eastAsia="宋体" w:cs="宋体"/>
          <w:sz w:val="21"/>
          <w:szCs w:val="21"/>
          <w:lang w:val="en-US" w:eastAsia="zh-CN" w:bidi="ar-SA"/>
        </w:rPr>
        <w:t>检测</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也可</w:t>
      </w:r>
      <w:r>
        <w:rPr>
          <w:rFonts w:hint="eastAsia" w:ascii="宋体" w:hAnsi="宋体" w:eastAsia="宋体" w:cs="宋体"/>
          <w:sz w:val="21"/>
          <w:szCs w:val="21"/>
          <w:lang w:val="fr-FR" w:eastAsia="zh-CN" w:bidi="ar-SA"/>
        </w:rPr>
        <w:t>采用直接贯入设备现场连续测试地层和污染物垂向分布情况，采用土壤气体现场检测手段和地球物理手段初步判断地块污染物及其分布，指导样品采集。</w:t>
      </w:r>
    </w:p>
    <w:p w14:paraId="386426EF">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2"/>
          <w:szCs w:val="22"/>
          <w:lang w:val="fr-FR" w:eastAsia="zh-CN" w:bidi="ar-SA"/>
        </w:rPr>
      </w:pPr>
      <w:r>
        <w:rPr>
          <w:rFonts w:hint="eastAsia" w:ascii="宋体" w:hAnsi="宋体" w:eastAsia="宋体" w:cs="宋体"/>
          <w:sz w:val="21"/>
          <w:szCs w:val="21"/>
          <w:lang w:val="en-US" w:eastAsia="zh-CN" w:bidi="ar-SA"/>
        </w:rPr>
        <w:t>应</w:t>
      </w:r>
      <w:r>
        <w:rPr>
          <w:rFonts w:hint="eastAsia" w:ascii="宋体" w:hAnsi="宋体" w:eastAsia="宋体" w:cs="宋体"/>
          <w:sz w:val="21"/>
          <w:szCs w:val="21"/>
          <w:lang w:val="fr-FR" w:eastAsia="zh-CN" w:bidi="ar-SA"/>
        </w:rPr>
        <w:t>采用便携式设备现场测定地下水</w:t>
      </w:r>
      <w:r>
        <w:rPr>
          <w:rFonts w:hint="eastAsia" w:ascii="宋体" w:hAnsi="宋体" w:eastAsia="宋体" w:cs="宋体"/>
          <w:sz w:val="21"/>
          <w:szCs w:val="21"/>
          <w:lang w:val="en-US" w:eastAsia="zh-CN" w:bidi="ar-SA"/>
        </w:rPr>
        <w:t>水位</w:t>
      </w:r>
      <w:r>
        <w:rPr>
          <w:rFonts w:hint="eastAsia" w:ascii="宋体" w:hAnsi="宋体" w:eastAsia="宋体" w:cs="宋体"/>
          <w:sz w:val="21"/>
          <w:szCs w:val="21"/>
          <w:lang w:val="fr-FR" w:eastAsia="zh-CN" w:bidi="ar-SA"/>
        </w:rPr>
        <w:t>、水温、pH值、电导率、浊度和氧化还原电位等。</w:t>
      </w:r>
    </w:p>
    <w:p w14:paraId="37601151">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样品采集</w:t>
      </w:r>
    </w:p>
    <w:p w14:paraId="74A0FDCC">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1"/>
          <w:sz w:val="21"/>
          <w:szCs w:val="22"/>
          <w:lang w:val="en-US" w:eastAsia="zh-CN" w:bidi="ar-SA"/>
        </w:rPr>
      </w:pPr>
      <w:r>
        <w:rPr>
          <w:rFonts w:hint="eastAsia" w:ascii="黑体" w:hAnsi="宋体" w:eastAsia="黑体" w:cs="宋体"/>
          <w:spacing w:val="-1"/>
          <w:sz w:val="21"/>
          <w:szCs w:val="22"/>
          <w:lang w:val="en-US" w:eastAsia="zh-CN" w:bidi="ar-SA"/>
        </w:rPr>
        <w:t>土壤样品采集</w:t>
      </w:r>
    </w:p>
    <w:p w14:paraId="1EE92F31">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土壤样品采集过程应符合以下要求：</w:t>
      </w:r>
    </w:p>
    <w:p w14:paraId="15DBE76F">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应当使用冲击钻探法或直压式钻探法等钻孔方式；原则上使用无浆液钻进方式，钻探过程中全程套管跟进；每次钻进深度宜为0.5～1.5米；土壤岩芯样品应按照揭露顺序依次放入岩芯箱，并对土层变层位置进行标识；</w:t>
      </w:r>
    </w:p>
    <w:p w14:paraId="2FF77F37">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将柱状的土壤岩芯取出后，应先采集用于检测VOCs的土壤样品，并在土壤岩芯取出半小时内完成VOCs样品采集；</w:t>
      </w:r>
      <w:r>
        <w:rPr>
          <w:rFonts w:hint="eastAsia" w:ascii="宋体" w:hAnsi="宋体" w:eastAsia="宋体" w:cs="宋体"/>
          <w:sz w:val="21"/>
          <w:szCs w:val="21"/>
          <w:lang w:val="en-US" w:eastAsia="zh-CN" w:bidi="ar-SA"/>
        </w:rPr>
        <w:t>可</w:t>
      </w:r>
      <w:r>
        <w:rPr>
          <w:rFonts w:hint="eastAsia" w:ascii="宋体" w:hAnsi="宋体" w:eastAsia="宋体" w:cs="宋体"/>
          <w:sz w:val="21"/>
          <w:szCs w:val="21"/>
          <w:lang w:val="fr-FR" w:eastAsia="zh-CN" w:bidi="ar-SA"/>
        </w:rPr>
        <w:t>根据现场快速</w:t>
      </w:r>
      <w:r>
        <w:rPr>
          <w:rFonts w:hint="eastAsia" w:ascii="宋体" w:hAnsi="宋体" w:eastAsia="宋体" w:cs="宋体"/>
          <w:sz w:val="21"/>
          <w:szCs w:val="21"/>
          <w:lang w:val="en-US" w:eastAsia="zh-CN" w:bidi="ar-SA"/>
        </w:rPr>
        <w:t>检测</w:t>
      </w:r>
      <w:r>
        <w:rPr>
          <w:rFonts w:hint="eastAsia" w:ascii="宋体" w:hAnsi="宋体" w:eastAsia="宋体" w:cs="宋体"/>
          <w:sz w:val="21"/>
          <w:szCs w:val="21"/>
          <w:lang w:val="fr-FR" w:eastAsia="zh-CN" w:bidi="ar-SA"/>
        </w:rPr>
        <w:t>结果辅助筛选送检土壤样品；</w:t>
      </w:r>
    </w:p>
    <w:p w14:paraId="553B3186">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挥发性有机物、易分解有机物、恶臭污染土壤的采样，应采用无扰动式的采样方法和工具，严禁对样品进行均质化处理，不应采集混合样；</w:t>
      </w:r>
    </w:p>
    <w:p w14:paraId="739B183F">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土壤样品的采集应按照HJ 25.1、HJ 25.2、HJ 1019</w:t>
      </w:r>
      <w:r>
        <w:rPr>
          <w:rFonts w:hint="eastAsia" w:ascii="宋体" w:hAnsi="宋体" w:eastAsia="宋体" w:cs="宋体"/>
          <w:sz w:val="21"/>
          <w:szCs w:val="21"/>
          <w:lang w:val="en-US" w:eastAsia="zh-CN" w:bidi="ar-SA"/>
        </w:rPr>
        <w:t>、</w:t>
      </w:r>
      <w:r>
        <w:rPr>
          <w:rFonts w:hint="eastAsia" w:ascii="宋体" w:hAnsi="宋体" w:eastAsia="宋体" w:cs="宋体"/>
          <w:sz w:val="21"/>
          <w:szCs w:val="21"/>
          <w:lang w:val="fr-FR" w:eastAsia="zh-CN" w:bidi="ar-SA"/>
        </w:rPr>
        <w:t>HJ/T 166</w:t>
      </w:r>
      <w:r>
        <w:rPr>
          <w:rFonts w:hint="eastAsia" w:ascii="宋体" w:hAnsi="宋体" w:eastAsia="宋体" w:cs="宋体"/>
          <w:spacing w:val="-3"/>
          <w:sz w:val="21"/>
          <w:szCs w:val="21"/>
          <w:lang w:val="en-US" w:eastAsia="zh-CN" w:bidi="ar-SA"/>
        </w:rPr>
        <w:t>的有关要求进行；</w:t>
      </w:r>
    </w:p>
    <w:p w14:paraId="66BED20F">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z w:val="21"/>
          <w:szCs w:val="21"/>
          <w:lang w:val="en-US" w:eastAsia="zh-CN" w:bidi="ar-SA"/>
        </w:rPr>
        <w:t>对于不需设立地下水采样井的土壤钻孔应及时进行封孔。</w:t>
      </w:r>
    </w:p>
    <w:p w14:paraId="2131233B">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1"/>
          <w:sz w:val="21"/>
          <w:szCs w:val="22"/>
          <w:lang w:val="en-US" w:eastAsia="zh-CN" w:bidi="ar-SA"/>
        </w:rPr>
      </w:pPr>
      <w:r>
        <w:rPr>
          <w:rFonts w:hint="eastAsia" w:ascii="黑体" w:hAnsi="宋体" w:eastAsia="黑体" w:cs="宋体"/>
          <w:spacing w:val="-1"/>
          <w:sz w:val="21"/>
          <w:szCs w:val="22"/>
          <w:lang w:val="en-US" w:eastAsia="zh-CN" w:bidi="ar-SA"/>
        </w:rPr>
        <w:t>地下水样品采集</w:t>
      </w:r>
    </w:p>
    <w:p w14:paraId="72401B63">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地下水样品采集过程应符合以下要求：</w:t>
      </w:r>
    </w:p>
    <w:p w14:paraId="6E2E99FE">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z w:val="22"/>
          <w:szCs w:val="22"/>
          <w:lang w:val="en-US" w:eastAsia="zh-CN" w:bidi="ar-SA"/>
        </w:rPr>
      </w:pPr>
      <w:r>
        <w:rPr>
          <w:rFonts w:hint="eastAsia" w:ascii="宋体" w:hAnsi="宋体" w:eastAsia="宋体" w:cs="宋体"/>
          <w:spacing w:val="-3"/>
          <w:sz w:val="21"/>
          <w:szCs w:val="21"/>
          <w:lang w:val="en-US" w:eastAsia="zh-CN" w:bidi="ar-SA"/>
        </w:rPr>
        <w:t>地下水采样井井管的内径要求不小于50毫米，并在满足洗井和样品采集要求的前提下，尽量选择小口径井管；钻孔直径应至少大于井管外径50毫米；井管应选择坚固、耐腐蚀、不会对地下水水质造成污染的材料制成；井管连接可采用螺纹或卡扣等进行连接，不应使用粘合剂；</w:t>
      </w:r>
    </w:p>
    <w:p w14:paraId="00AC2C22">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在地下水监测井建设完成后和地下水样品采样前应分别进行洗井。洗井过程中需要对地下水水位、水温、pH值、电导率、浊度、氧化还原电位等进行现场监测；</w:t>
      </w:r>
    </w:p>
    <w:p w14:paraId="27E5FC05">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地下水水质指标达到稳定后，应在采样前洗井后2小时内完成地下水采样。地下水样品采集应先采集用于检测VOCs的水样，然后再采集用于检测其他水质指标的水样；</w:t>
      </w:r>
    </w:p>
    <w:p w14:paraId="3C65B6B6">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z w:val="21"/>
          <w:szCs w:val="21"/>
          <w:lang w:val="fr-FR" w:eastAsia="zh-CN" w:bidi="ar-SA"/>
        </w:rPr>
      </w:pPr>
      <w:r>
        <w:rPr>
          <w:rFonts w:hint="eastAsia" w:ascii="宋体" w:hAnsi="宋体" w:eastAsia="宋体" w:cs="宋体"/>
          <w:spacing w:val="-3"/>
          <w:sz w:val="21"/>
          <w:szCs w:val="21"/>
          <w:lang w:val="en-US" w:eastAsia="zh-CN" w:bidi="ar-SA"/>
        </w:rPr>
        <w:t>地下水采样井建设、洗井、样品采集应满足HJ 25.1、HJ 25.2、HJ 1019、</w:t>
      </w:r>
      <w:r>
        <w:rPr>
          <w:rFonts w:hint="eastAsia" w:ascii="宋体" w:hAnsi="宋体" w:eastAsia="宋体" w:cs="宋体"/>
          <w:sz w:val="21"/>
          <w:szCs w:val="21"/>
          <w:lang w:val="fr-FR" w:eastAsia="zh-CN" w:bidi="ar-SA"/>
        </w:rPr>
        <w:t>HJ 164</w:t>
      </w:r>
      <w:r>
        <w:rPr>
          <w:rFonts w:hint="eastAsia" w:ascii="宋体" w:hAnsi="宋体" w:eastAsia="宋体" w:cs="宋体"/>
          <w:spacing w:val="-3"/>
          <w:sz w:val="21"/>
          <w:szCs w:val="21"/>
          <w:lang w:val="en-US" w:eastAsia="zh-CN" w:bidi="ar-SA"/>
        </w:rPr>
        <w:t>的有关要求；</w:t>
      </w:r>
    </w:p>
    <w:p w14:paraId="0D4D2EB7">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z w:val="21"/>
          <w:szCs w:val="21"/>
          <w:lang w:val="en-US" w:eastAsia="zh-CN" w:bidi="ar-SA"/>
        </w:rPr>
        <w:t>采样完成后，对于非长期监测的地下水监测井应及时进行封井。</w:t>
      </w:r>
    </w:p>
    <w:p w14:paraId="3933182A">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1"/>
          <w:sz w:val="21"/>
          <w:szCs w:val="22"/>
          <w:lang w:val="en-US" w:eastAsia="zh-CN" w:bidi="ar-SA"/>
        </w:rPr>
      </w:pPr>
      <w:r>
        <w:rPr>
          <w:rFonts w:hint="eastAsia" w:ascii="黑体" w:hAnsi="宋体" w:eastAsia="黑体" w:cs="宋体"/>
          <w:spacing w:val="-1"/>
          <w:sz w:val="21"/>
          <w:szCs w:val="22"/>
          <w:lang w:val="en-US" w:eastAsia="zh-CN" w:bidi="ar-SA"/>
        </w:rPr>
        <w:t>现场记录</w:t>
      </w:r>
    </w:p>
    <w:p w14:paraId="44173A80">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distribute"/>
        <w:textAlignment w:val="auto"/>
        <w:rPr>
          <w:rFonts w:hint="eastAsia" w:ascii="宋体" w:hAnsi="宋体" w:eastAsia="宋体" w:cs="宋体"/>
          <w:spacing w:val="-3"/>
          <w:sz w:val="21"/>
          <w:szCs w:val="21"/>
          <w:lang w:val="en-US" w:eastAsia="zh-CN" w:bidi="ar-SA"/>
        </w:rPr>
      </w:pPr>
      <w:r>
        <w:rPr>
          <w:rFonts w:hint="eastAsia" w:ascii="宋体" w:hAnsi="宋体" w:eastAsia="宋体" w:cs="宋体"/>
          <w:sz w:val="21"/>
          <w:szCs w:val="21"/>
          <w:lang w:val="fr-FR" w:eastAsia="zh-CN" w:bidi="ar-SA"/>
        </w:rPr>
        <w:t>样品采集过程中应对采样工具、</w:t>
      </w:r>
      <w:r>
        <w:rPr>
          <w:rFonts w:hint="eastAsia" w:ascii="宋体" w:hAnsi="宋体" w:eastAsia="宋体" w:cs="宋体"/>
          <w:sz w:val="21"/>
          <w:szCs w:val="21"/>
          <w:lang w:val="en-US" w:eastAsia="zh-CN" w:bidi="ar-SA"/>
        </w:rPr>
        <w:t>现场钻孔、土壤</w:t>
      </w:r>
      <w:r>
        <w:rPr>
          <w:rFonts w:hint="eastAsia" w:ascii="宋体" w:hAnsi="宋体" w:eastAsia="宋体" w:cs="宋体"/>
          <w:sz w:val="21"/>
          <w:szCs w:val="21"/>
          <w:lang w:val="fr-FR" w:eastAsia="zh-CN" w:bidi="ar-SA"/>
        </w:rPr>
        <w:t>岩芯、</w:t>
      </w:r>
      <w:r>
        <w:rPr>
          <w:rFonts w:hint="eastAsia" w:ascii="宋体" w:hAnsi="宋体" w:eastAsia="宋体" w:cs="宋体"/>
          <w:sz w:val="21"/>
          <w:szCs w:val="21"/>
          <w:lang w:val="en-US" w:eastAsia="zh-CN" w:bidi="ar-SA"/>
        </w:rPr>
        <w:t>井管处理、建井过程、洗井作业</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采样过</w:t>
      </w:r>
    </w:p>
    <w:p w14:paraId="66F5CEA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spacing w:val="-3"/>
          <w:sz w:val="21"/>
          <w:szCs w:val="21"/>
          <w:lang w:val="en-US" w:eastAsia="zh-CN"/>
        </w:rPr>
        <w:sectPr>
          <w:pgSz w:w="11910" w:h="16840"/>
          <w:pgMar w:top="1417" w:right="1134" w:bottom="1134" w:left="1417" w:header="1417" w:footer="1134" w:gutter="0"/>
          <w:pgNumType w:fmt="decimal"/>
          <w:cols w:space="0" w:num="1"/>
          <w:rtlGutter w:val="0"/>
          <w:docGrid w:linePitch="0" w:charSpace="0"/>
        </w:sectPr>
      </w:pPr>
    </w:p>
    <w:p w14:paraId="167B90C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p>
    <w:p w14:paraId="079FE34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程</w:t>
      </w:r>
      <w:r>
        <w:rPr>
          <w:rFonts w:hint="eastAsia" w:ascii="宋体" w:hAnsi="宋体" w:eastAsia="宋体" w:cs="宋体"/>
          <w:sz w:val="21"/>
          <w:szCs w:val="21"/>
          <w:lang w:val="fr-FR" w:eastAsia="zh-CN" w:bidi="ar-SA"/>
        </w:rPr>
        <w:t>、现场</w:t>
      </w:r>
      <w:r>
        <w:rPr>
          <w:rFonts w:hint="eastAsia" w:ascii="宋体" w:hAnsi="宋体" w:eastAsia="宋体" w:cs="宋体"/>
          <w:sz w:val="21"/>
          <w:szCs w:val="21"/>
          <w:lang w:val="en-US" w:eastAsia="zh-CN" w:bidi="ar-SA"/>
        </w:rPr>
        <w:t>快速检测设备</w:t>
      </w:r>
      <w:r>
        <w:rPr>
          <w:rFonts w:hint="eastAsia" w:ascii="宋体" w:hAnsi="宋体" w:eastAsia="宋体" w:cs="宋体"/>
          <w:sz w:val="21"/>
          <w:szCs w:val="21"/>
          <w:lang w:val="fr-FR" w:eastAsia="zh-CN" w:bidi="ar-SA"/>
        </w:rPr>
        <w:t>使用等关键信息进行拍照</w:t>
      </w:r>
      <w:r>
        <w:rPr>
          <w:rFonts w:hint="eastAsia" w:ascii="宋体" w:hAnsi="宋体" w:eastAsia="宋体" w:cs="宋体"/>
          <w:sz w:val="21"/>
          <w:szCs w:val="21"/>
          <w:lang w:val="en-US" w:eastAsia="zh-CN" w:bidi="ar-SA"/>
        </w:rPr>
        <w:t>或</w:t>
      </w:r>
      <w:r>
        <w:rPr>
          <w:rFonts w:hint="eastAsia" w:ascii="宋体" w:hAnsi="宋体" w:eastAsia="宋体" w:cs="宋体"/>
          <w:sz w:val="21"/>
          <w:szCs w:val="21"/>
          <w:lang w:val="fr-FR" w:eastAsia="zh-CN" w:bidi="ar-SA"/>
        </w:rPr>
        <w:t>视频记录，</w:t>
      </w:r>
      <w:r>
        <w:rPr>
          <w:rFonts w:hint="eastAsia" w:ascii="宋体" w:hAnsi="宋体" w:eastAsia="宋体" w:cs="宋体"/>
          <w:sz w:val="21"/>
          <w:szCs w:val="21"/>
          <w:lang w:val="en-US" w:eastAsia="zh-CN" w:bidi="ar-SA"/>
        </w:rPr>
        <w:t>并填写相关作业记录</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现场采样记录表</w:t>
      </w:r>
      <w:r>
        <w:rPr>
          <w:rFonts w:ascii="宋体" w:hAnsi="宋体" w:eastAsia="宋体" w:cs="宋体"/>
          <w:sz w:val="21"/>
          <w:szCs w:val="21"/>
          <w:lang w:val="fr-FR" w:eastAsia="zh-CN" w:bidi="ar-SA"/>
        </w:rPr>
        <w:t>格式</w:t>
      </w:r>
      <w:r>
        <w:rPr>
          <w:rFonts w:hint="eastAsia" w:ascii="宋体" w:hAnsi="宋体" w:eastAsia="宋体" w:cs="宋体"/>
          <w:sz w:val="21"/>
          <w:szCs w:val="21"/>
          <w:lang w:val="en-US" w:eastAsia="zh-CN" w:bidi="ar-SA"/>
        </w:rPr>
        <w:t>可参考</w:t>
      </w:r>
      <w:r>
        <w:rPr>
          <w:rFonts w:ascii="宋体" w:hAnsi="宋体" w:eastAsia="宋体" w:cs="宋体"/>
          <w:sz w:val="21"/>
          <w:szCs w:val="21"/>
          <w:lang w:val="fr-FR" w:eastAsia="zh-CN" w:bidi="ar-SA"/>
        </w:rPr>
        <w:t>附录</w:t>
      </w:r>
      <w:r>
        <w:rPr>
          <w:rFonts w:hint="eastAsia" w:ascii="宋体" w:hAnsi="宋体" w:eastAsia="宋体" w:cs="宋体"/>
          <w:sz w:val="21"/>
          <w:szCs w:val="21"/>
          <w:lang w:val="en-US" w:eastAsia="zh-CN" w:bidi="ar-SA"/>
        </w:rPr>
        <w:t>C</w:t>
      </w:r>
      <w:r>
        <w:rPr>
          <w:rFonts w:hint="eastAsia" w:ascii="宋体" w:hAnsi="宋体" w:eastAsia="宋体" w:cs="宋体"/>
          <w:sz w:val="21"/>
          <w:szCs w:val="21"/>
          <w:lang w:val="fr-FR" w:eastAsia="zh-CN" w:bidi="ar-SA"/>
        </w:rPr>
        <w:t>。</w:t>
      </w:r>
    </w:p>
    <w:p w14:paraId="7DCDA0E5">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应采用高精度专业测量设备测量记录采样点位平面坐标（</w:t>
      </w:r>
      <w:r>
        <w:rPr>
          <w:rFonts w:hint="eastAsia" w:ascii="宋体" w:hAnsi="宋体" w:eastAsia="宋体" w:cs="宋体"/>
          <w:sz w:val="21"/>
          <w:szCs w:val="21"/>
          <w:lang w:val="en-US" w:eastAsia="zh-CN" w:bidi="ar-SA"/>
        </w:rPr>
        <w:t>采用2000国家大地坐标系</w:t>
      </w:r>
      <w:r>
        <w:rPr>
          <w:rFonts w:hint="eastAsia" w:ascii="宋体" w:hAnsi="宋体" w:eastAsia="宋体" w:cs="宋体"/>
          <w:sz w:val="21"/>
          <w:szCs w:val="21"/>
          <w:lang w:val="fr-FR" w:eastAsia="zh-CN" w:bidi="ar-SA"/>
        </w:rPr>
        <w:t>）、孔口高程、</w:t>
      </w:r>
      <w:r>
        <w:rPr>
          <w:rFonts w:hint="eastAsia" w:ascii="宋体" w:hAnsi="宋体" w:eastAsia="宋体" w:cs="宋体"/>
          <w:sz w:val="21"/>
          <w:szCs w:val="21"/>
          <w:lang w:val="en-US" w:eastAsia="zh-CN" w:bidi="ar-SA"/>
        </w:rPr>
        <w:t>地下水监测井井口距地面高度等信息</w:t>
      </w:r>
      <w:r>
        <w:rPr>
          <w:rFonts w:hint="eastAsia" w:ascii="宋体" w:hAnsi="宋体" w:eastAsia="宋体" w:cs="宋体"/>
          <w:sz w:val="21"/>
          <w:szCs w:val="21"/>
          <w:lang w:val="fr-FR" w:eastAsia="zh-CN" w:bidi="ar-SA"/>
        </w:rPr>
        <w:t>。</w:t>
      </w:r>
    </w:p>
    <w:p w14:paraId="5CA5D7CA">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样品保存与流转</w:t>
      </w:r>
    </w:p>
    <w:p w14:paraId="5C668BAD">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土壤、地下水样品保存与流转要求参照HJ 25.1、HJ 25.2、HJ 1019、HJ/T 166、HJ 164等有关技术规范要求。</w:t>
      </w:r>
    </w:p>
    <w:p w14:paraId="62D18BC3">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样品流转运输应保证样品完好，采用适当的减震隔离措施，严防样品瓶破损、混淆或沾污，在保存时限内运送至样品检测实验室，样品检测实验室宜就近选择。</w:t>
      </w:r>
    </w:p>
    <w:p w14:paraId="115D20F5">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pacing w:val="-3"/>
          <w:sz w:val="21"/>
          <w:szCs w:val="22"/>
          <w:lang w:val="en-US" w:eastAsia="zh-CN" w:bidi="ar-SA"/>
        </w:rPr>
      </w:pPr>
      <w:bookmarkStart w:id="43" w:name="_bookmark20"/>
      <w:bookmarkEnd w:id="43"/>
      <w:bookmarkStart w:id="44" w:name="_Toc26662"/>
      <w:r>
        <w:rPr>
          <w:rFonts w:hint="eastAsia" w:ascii="黑体" w:hAnsi="宋体" w:eastAsia="黑体" w:cs="宋体"/>
          <w:spacing w:val="-3"/>
          <w:sz w:val="21"/>
          <w:szCs w:val="22"/>
          <w:lang w:val="en-US" w:eastAsia="zh-CN" w:bidi="ar-SA"/>
        </w:rPr>
        <w:t>数据评估与</w:t>
      </w:r>
      <w:r>
        <w:rPr>
          <w:rFonts w:hint="eastAsia" w:ascii="黑体" w:hAnsi="宋体" w:eastAsia="黑体" w:cs="宋体"/>
          <w:spacing w:val="-1"/>
          <w:sz w:val="21"/>
          <w:szCs w:val="22"/>
          <w:lang w:val="en-US" w:eastAsia="zh-CN" w:bidi="ar-SA"/>
        </w:rPr>
        <w:t>分析</w:t>
      </w:r>
      <w:bookmarkEnd w:id="44"/>
    </w:p>
    <w:p w14:paraId="1C8AA765">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检测数据质量评估</w:t>
      </w:r>
    </w:p>
    <w:p w14:paraId="2FB28F0F">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样品检测应委托有资质的实验室按照样品分析方案进行分析检测。</w:t>
      </w:r>
    </w:p>
    <w:p w14:paraId="693154C1">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开展数据评估与分析前，需整理调查信息和检测结果，评估检测数据质量，分析数据的有效性和充分性，评估质量保证和质量控制措施，确保检测数据满足数据评估与分析的要求。</w:t>
      </w:r>
    </w:p>
    <w:p w14:paraId="4A496D85">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风险筛选值选取</w:t>
      </w:r>
    </w:p>
    <w:p w14:paraId="3EC1B596">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en-US" w:eastAsia="zh-CN" w:bidi="ar-SA"/>
        </w:rPr>
      </w:pPr>
      <w:r>
        <w:rPr>
          <w:rFonts w:hint="eastAsia" w:ascii="黑体" w:hAnsi="宋体" w:eastAsia="黑体" w:cs="宋体"/>
          <w:sz w:val="21"/>
          <w:szCs w:val="22"/>
          <w:lang w:val="en-US" w:eastAsia="zh-CN" w:bidi="ar-SA"/>
        </w:rPr>
        <w:t>土壤风险筛选值</w:t>
      </w:r>
    </w:p>
    <w:p w14:paraId="02DC9782">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应选取GB 36600中对应的污染物筛选值。对于未包含在GB 36600中的污染物，可依据HJ 25.3等标准及相关技术要求推导特定污染物的土壤污染风险筛选值，或参考其他地方土壤筛选值标准，但应说明标准选取理由。湖北省如出台地方土壤筛选值标准，则优先执行。污染物筛选值的选取应结合地块的规划用途。规划用途不明确的，应执行上述标准中第一类用地筛选值。</w:t>
      </w:r>
    </w:p>
    <w:p w14:paraId="1861D25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pacing w:val="-3"/>
          <w:sz w:val="21"/>
          <w:szCs w:val="21"/>
          <w:lang w:val="en-US" w:eastAsia="zh-CN" w:bidi="ar-SA"/>
        </w:rPr>
        <w:t>湖北省或地市完成土壤环境背景值调查工作后，</w:t>
      </w:r>
      <w:r>
        <w:rPr>
          <w:rFonts w:hint="eastAsia" w:ascii="宋体" w:hAnsi="宋体" w:eastAsia="宋体" w:cs="宋体"/>
          <w:sz w:val="21"/>
          <w:szCs w:val="21"/>
          <w:lang w:val="en-US" w:eastAsia="zh-CN" w:bidi="ar-SA"/>
        </w:rPr>
        <w:t>如区域土壤环境背景值高于通过上述方式选取的筛选值，可选择区域土壤环境背景值作为土壤风险筛选值。</w:t>
      </w:r>
    </w:p>
    <w:p w14:paraId="6791E913">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en-US" w:eastAsia="zh-CN" w:bidi="ar-SA"/>
        </w:rPr>
      </w:pPr>
      <w:r>
        <w:rPr>
          <w:rFonts w:hint="eastAsia" w:ascii="黑体" w:hAnsi="宋体" w:eastAsia="黑体" w:cs="宋体"/>
          <w:sz w:val="21"/>
          <w:szCs w:val="22"/>
          <w:lang w:val="en-US" w:eastAsia="zh-CN" w:bidi="ar-SA"/>
        </w:rPr>
        <w:t>地下水风险筛选值</w:t>
      </w:r>
    </w:p>
    <w:p w14:paraId="03E463DA">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地块涉及地下水饮用水源（在用、备用、应急、规划水源）补给径流区、保护区，采用GB/T 14848中Ⅲ类标准。GB/T 14848中没有的污染物，采用GB 5749等相关的饮用水标准。</w:t>
      </w:r>
    </w:p>
    <w:p w14:paraId="6A30AB4E">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地块不涉及地下水饮用水源（在用、备用、应急、规划水源）补给径流区和保护区的，采用GB/T 14848中Ⅳ类标准。GB/T 14848没有的污染物，可依据HJ 25.3等标准及相关技术要求推导特定污染物的地下水污染风险筛选值，或参考其他地方地下水筛选值标准，但应说明标准选取理由。</w:t>
      </w:r>
    </w:p>
    <w:p w14:paraId="7BE90EAD">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lang w:val="en-US" w:eastAsia="zh-CN"/>
        </w:rPr>
        <w:sectPr>
          <w:pgSz w:w="11910" w:h="16840"/>
          <w:pgMar w:top="1417" w:right="1417" w:bottom="1134" w:left="1134" w:header="1417" w:footer="1134" w:gutter="0"/>
          <w:pgNumType w:fmt="decimal"/>
          <w:cols w:space="0" w:num="1"/>
          <w:rtlGutter w:val="0"/>
          <w:docGrid w:linePitch="0" w:charSpace="0"/>
        </w:sectPr>
      </w:pPr>
    </w:p>
    <w:p w14:paraId="7A45B71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p>
    <w:p w14:paraId="4F4C34DC">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hint="eastAsia"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土壤对照基准数据</w:t>
      </w:r>
    </w:p>
    <w:p w14:paraId="689297B8">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1"/>
          <w:sz w:val="21"/>
          <w:szCs w:val="22"/>
          <w:lang w:val="en-US" w:eastAsia="zh-CN" w:bidi="ar-SA"/>
        </w:rPr>
      </w:pPr>
      <w:r>
        <w:rPr>
          <w:rFonts w:hint="eastAsia" w:ascii="黑体" w:hAnsi="宋体" w:eastAsia="黑体" w:cs="宋体"/>
          <w:spacing w:val="-1"/>
          <w:sz w:val="21"/>
          <w:szCs w:val="22"/>
          <w:lang w:val="en-US" w:eastAsia="zh-CN" w:bidi="ar-SA"/>
        </w:rPr>
        <w:t>土壤对照监测点位布设</w:t>
      </w:r>
    </w:p>
    <w:p w14:paraId="120BE014">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有必要的情况下，对于部分背景较高的无机污染物</w:t>
      </w:r>
      <w:r>
        <w:rPr>
          <w:rFonts w:hint="eastAsia" w:ascii="宋体" w:hAnsi="宋体" w:eastAsia="宋体" w:cs="宋体"/>
          <w:sz w:val="21"/>
          <w:szCs w:val="21"/>
          <w:lang w:val="en-US" w:eastAsia="zh-CN" w:bidi="ar-SA"/>
        </w:rPr>
        <w:t>（如砷、钴、钒）</w:t>
      </w:r>
      <w:r>
        <w:rPr>
          <w:rFonts w:hint="eastAsia" w:ascii="宋体" w:hAnsi="宋体" w:eastAsia="宋体" w:cs="宋体"/>
          <w:spacing w:val="-6"/>
          <w:sz w:val="21"/>
          <w:szCs w:val="21"/>
          <w:lang w:val="en-US" w:eastAsia="zh-CN" w:bidi="ar-SA"/>
        </w:rPr>
        <w:t>，可进行土壤对照</w:t>
      </w:r>
      <w:r>
        <w:rPr>
          <w:rFonts w:hint="eastAsia" w:ascii="宋体" w:hAnsi="宋体" w:eastAsia="宋体" w:cs="宋体"/>
          <w:sz w:val="21"/>
          <w:szCs w:val="21"/>
          <w:lang w:val="en-US" w:eastAsia="zh-CN" w:bidi="ar-SA"/>
        </w:rPr>
        <w:t>监测点</w:t>
      </w:r>
      <w:r>
        <w:rPr>
          <w:rFonts w:hint="eastAsia" w:ascii="宋体" w:hAnsi="宋体" w:eastAsia="宋体" w:cs="宋体"/>
          <w:spacing w:val="-6"/>
          <w:sz w:val="21"/>
          <w:szCs w:val="21"/>
          <w:lang w:val="en-US" w:eastAsia="zh-CN" w:bidi="ar-SA"/>
        </w:rPr>
        <w:t>位布设，用于辅助判断地块污染状况，土壤对照点位的设置要求如下：</w:t>
      </w:r>
    </w:p>
    <w:p w14:paraId="21B72F8D">
      <w:pPr>
        <w:keepNext w:val="0"/>
        <w:keepLines w:val="0"/>
        <w:pageBreakBefore w:val="0"/>
        <w:widowControl w:val="0"/>
        <w:numPr>
          <w:ilvl w:val="0"/>
          <w:numId w:val="21"/>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2"/>
          <w:lang w:val="en-US" w:eastAsia="zh-CN" w:bidi="ar-SA"/>
        </w:rPr>
      </w:pPr>
      <w:r>
        <w:rPr>
          <w:rFonts w:hint="eastAsia" w:ascii="宋体" w:hAnsi="宋体" w:eastAsia="宋体" w:cs="宋体"/>
          <w:spacing w:val="-3"/>
          <w:sz w:val="21"/>
          <w:szCs w:val="22"/>
          <w:lang w:val="en-US" w:eastAsia="zh-CN" w:bidi="ar-SA"/>
        </w:rPr>
        <w:t>在地块500米范围内四个垂直轴向上，每个方向至少等间距布设3个采样点，采样点应布置在未受工业企业或其他来源污染的区域。如因地形地貌、土地利用方式、污染物扩散迁移特征等因素致使土壤特征有明显差别或采样条件受到限制时，采样点位可根据实际情况进行调整；</w:t>
      </w:r>
    </w:p>
    <w:p w14:paraId="65650CAE">
      <w:pPr>
        <w:keepNext w:val="0"/>
        <w:keepLines w:val="0"/>
        <w:pageBreakBefore w:val="0"/>
        <w:widowControl w:val="0"/>
        <w:numPr>
          <w:ilvl w:val="0"/>
          <w:numId w:val="21"/>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2"/>
          <w:lang w:val="en-US" w:eastAsia="zh-CN" w:bidi="ar-SA"/>
        </w:rPr>
      </w:pPr>
      <w:r>
        <w:rPr>
          <w:rFonts w:hint="eastAsia" w:ascii="宋体" w:hAnsi="宋体" w:eastAsia="宋体" w:cs="宋体"/>
          <w:spacing w:val="-3"/>
          <w:sz w:val="21"/>
          <w:szCs w:val="22"/>
          <w:lang w:val="en-US" w:eastAsia="zh-CN" w:bidi="ar-SA"/>
        </w:rPr>
        <w:t>每个对照点位至少采集1个样品，采集的样品应选择在一定时间内未经外界扰动的土壤，且采样位置的土壤性质尽可能与地块内需对照分析的样品层位保持一致。一般情况下，推荐钻探至不易受污染物迁移扩散影响的岩层，并采集分析对应土壤样品进行辅助判断。</w:t>
      </w:r>
    </w:p>
    <w:p w14:paraId="4E721181">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hint="default" w:ascii="宋体" w:hAnsi="宋体" w:eastAsia="宋体" w:cs="宋体"/>
          <w:sz w:val="22"/>
          <w:szCs w:val="22"/>
          <w:lang w:val="en-US" w:eastAsia="zh-CN" w:bidi="ar-SA"/>
        </w:rPr>
      </w:pPr>
      <w:r>
        <w:rPr>
          <w:rFonts w:hint="eastAsia" w:ascii="黑体" w:hAnsi="宋体" w:eastAsia="黑体" w:cs="宋体"/>
          <w:spacing w:val="-1"/>
          <w:sz w:val="21"/>
          <w:szCs w:val="22"/>
          <w:lang w:val="en-US" w:eastAsia="zh-CN" w:bidi="ar-SA"/>
        </w:rPr>
        <w:t>数据处理</w:t>
      </w:r>
    </w:p>
    <w:p w14:paraId="2841E295">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将土壤对照监测点位的检测数据进行统计分析，识别数据中的极值或异常值并分析其原因，确定是否需剔除极值或异常值；对于服从正态分布的数据，采用90%参考值上限（算术平均值＋1.65标准差）作为基准数据，对于不服从正态分布的数据，采用第90百分位数作为基准数据。</w:t>
      </w:r>
    </w:p>
    <w:p w14:paraId="537D2A9C">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评估方法</w:t>
      </w:r>
    </w:p>
    <w:p w14:paraId="1E1E36FD">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将检测结果与风险筛选值进行比较，污染物含量未超过风险筛选值的，对人体健康的风险可以忽略；超过风险筛选值的，对人体健康可能存在风险，应当开展进一步的详细采样分析和风险评估，确定具体污染范围和风险水平。</w:t>
      </w:r>
    </w:p>
    <w:p w14:paraId="1AA4F25F">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异常情形排查</w:t>
      </w:r>
    </w:p>
    <w:p w14:paraId="7BED9B25">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初步采样分析</w:t>
      </w:r>
      <w:r>
        <w:rPr>
          <w:rFonts w:hint="eastAsia" w:ascii="宋体" w:hAnsi="宋体" w:eastAsia="宋体" w:cs="宋体"/>
          <w:sz w:val="22"/>
          <w:szCs w:val="22"/>
          <w:lang w:val="en-US" w:eastAsia="zh-CN" w:bidi="ar-SA"/>
        </w:rPr>
        <w:t>阶段</w:t>
      </w:r>
      <w:r>
        <w:rPr>
          <w:rFonts w:hint="eastAsia" w:ascii="宋体" w:hAnsi="宋体" w:eastAsia="宋体" w:cs="宋体"/>
          <w:sz w:val="21"/>
          <w:szCs w:val="21"/>
          <w:lang w:val="en-US" w:eastAsia="zh-CN" w:bidi="ar-SA"/>
        </w:rPr>
        <w:t>，如</w:t>
      </w:r>
      <w:r>
        <w:rPr>
          <w:rFonts w:hint="eastAsia" w:ascii="宋体" w:hAnsi="宋体" w:eastAsia="宋体" w:cs="宋体"/>
          <w:spacing w:val="-3"/>
          <w:sz w:val="21"/>
          <w:szCs w:val="21"/>
          <w:lang w:val="en-US" w:eastAsia="zh-CN" w:bidi="ar-SA"/>
        </w:rPr>
        <w:t>疑似污染区域未达到每个采样网格均不大于1600平方米</w:t>
      </w:r>
      <w:r>
        <w:rPr>
          <w:rFonts w:hint="eastAsia" w:ascii="宋体" w:hAnsi="宋体" w:eastAsia="宋体" w:cs="宋体"/>
          <w:sz w:val="21"/>
          <w:szCs w:val="21"/>
          <w:lang w:val="en-US" w:eastAsia="zh-CN" w:bidi="ar-SA"/>
        </w:rPr>
        <w:t>，出现以下情形的，应进行异常情形排查：</w:t>
      </w:r>
    </w:p>
    <w:p w14:paraId="53E2F630">
      <w:pPr>
        <w:keepNext w:val="0"/>
        <w:keepLines w:val="0"/>
        <w:pageBreakBefore w:val="0"/>
        <w:widowControl w:val="0"/>
        <w:numPr>
          <w:ilvl w:val="0"/>
          <w:numId w:val="22"/>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有土壤环境背景的无机污染物，有超过25%的土壤样品一项及以上污染物检测结果高于土壤环境背景值。湖北省或地市未完成土壤环境背景值调查前，土壤环境背景值可根据地块所在地区地带性土壤类型选取，或参考《中国土壤元素背景值》湖北省区域含量的95%分位值，亦可参考6.4.3获取土壤对照基准数据；</w:t>
      </w:r>
    </w:p>
    <w:p w14:paraId="4BB08FC7">
      <w:pPr>
        <w:keepNext w:val="0"/>
        <w:keepLines w:val="0"/>
        <w:pageBreakBefore w:val="0"/>
        <w:widowControl w:val="0"/>
        <w:numPr>
          <w:ilvl w:val="0"/>
          <w:numId w:val="22"/>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土壤有机污染物（石油烃等混合污染物项目除外），有超过25%的土壤样品一项及以上污染物有检出。</w:t>
      </w:r>
    </w:p>
    <w:p w14:paraId="72547273">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2"/>
          <w:szCs w:val="22"/>
          <w:lang w:val="en-US" w:eastAsia="zh-CN" w:bidi="ar-SA"/>
        </w:rPr>
      </w:pPr>
      <w:r>
        <w:rPr>
          <w:rFonts w:hint="eastAsia" w:ascii="宋体" w:hAnsi="宋体" w:eastAsia="宋体" w:cs="宋体"/>
          <w:sz w:val="21"/>
          <w:szCs w:val="21"/>
          <w:lang w:val="en-US" w:eastAsia="zh-CN" w:bidi="ar-SA"/>
        </w:rPr>
        <w:t>出现6.4.5.1中情形的，应进一步对涉及的疑似污染区域（无机物超过土壤环境背景值，或有机物有检出的疑似污染区域）进行补充采样，补充采样后应满足，该疑似污染区域的土壤</w:t>
      </w:r>
      <w:r>
        <w:rPr>
          <w:rFonts w:hint="eastAsia" w:ascii="宋体" w:hAnsi="宋体" w:eastAsia="宋体" w:cs="宋体"/>
          <w:spacing w:val="-3"/>
          <w:sz w:val="21"/>
          <w:szCs w:val="21"/>
          <w:lang w:val="en-US" w:eastAsia="zh-CN" w:bidi="ar-SA"/>
        </w:rPr>
        <w:t>采样网格不大于1600平方米，且不少于两个采样点位。</w:t>
      </w:r>
    </w:p>
    <w:p w14:paraId="02F5B935">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0" w:after="0" w:line="360" w:lineRule="auto"/>
        <w:ind w:left="-840" w:leftChars="0" w:firstLine="0" w:firstLineChars="0"/>
        <w:jc w:val="both"/>
        <w:textAlignment w:val="auto"/>
        <w:rPr>
          <w:rFonts w:hint="eastAsia"/>
          <w:lang w:val="en-US" w:eastAsia="zh-CN"/>
        </w:rPr>
        <w:sectPr>
          <w:pgSz w:w="11910" w:h="16840"/>
          <w:pgMar w:top="1417" w:right="1134" w:bottom="1134" w:left="1417" w:header="1417" w:footer="1134" w:gutter="0"/>
          <w:pgNumType w:fmt="decimal"/>
          <w:cols w:space="0" w:num="1"/>
          <w:rtlGutter w:val="0"/>
          <w:docGrid w:linePitch="0" w:charSpace="0"/>
        </w:sectPr>
      </w:pPr>
    </w:p>
    <w:p w14:paraId="1B21A7F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p>
    <w:p w14:paraId="0E406E21">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初步采样分析阶段，同时满足以下条件的超筛选值污染点位，可作为疑似异常点位进行排查：</w:t>
      </w:r>
    </w:p>
    <w:p w14:paraId="48B3F39D">
      <w:pPr>
        <w:keepNext w:val="0"/>
        <w:keepLines w:val="0"/>
        <w:pageBreakBefore w:val="0"/>
        <w:widowControl w:val="0"/>
        <w:numPr>
          <w:ilvl w:val="0"/>
          <w:numId w:val="23"/>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点位所处的疑似污染区域已按照每个采样网格均不大于1600平方米进行采样分析，</w:t>
      </w:r>
      <w:r>
        <w:rPr>
          <w:rFonts w:hint="eastAsia" w:ascii="宋体" w:hAnsi="宋体" w:eastAsia="宋体" w:cs="宋体"/>
          <w:sz w:val="21"/>
          <w:szCs w:val="21"/>
          <w:lang w:val="en-US" w:eastAsia="zh-CN" w:bidi="ar-SA"/>
        </w:rPr>
        <w:t>超筛选值</w:t>
      </w:r>
      <w:r>
        <w:rPr>
          <w:rFonts w:hint="eastAsia" w:ascii="宋体" w:hAnsi="宋体" w:eastAsia="宋体" w:cs="宋体"/>
          <w:spacing w:val="-3"/>
          <w:sz w:val="21"/>
          <w:szCs w:val="21"/>
          <w:lang w:val="en-US" w:eastAsia="zh-CN" w:bidi="ar-SA"/>
        </w:rPr>
        <w:t>点位周边已按照每个采样网格不大于400平方米进行采样分析，且疑似异常污染物均未超过筛选值；</w:t>
      </w:r>
    </w:p>
    <w:p w14:paraId="4C44AF8E">
      <w:pPr>
        <w:keepNext w:val="0"/>
        <w:keepLines w:val="0"/>
        <w:pageBreakBefore w:val="0"/>
        <w:widowControl w:val="0"/>
        <w:numPr>
          <w:ilvl w:val="0"/>
          <w:numId w:val="23"/>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极个别的样品；</w:t>
      </w:r>
    </w:p>
    <w:p w14:paraId="769A5CEA">
      <w:pPr>
        <w:keepNext w:val="0"/>
        <w:keepLines w:val="0"/>
        <w:pageBreakBefore w:val="0"/>
        <w:widowControl w:val="0"/>
        <w:numPr>
          <w:ilvl w:val="0"/>
          <w:numId w:val="23"/>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en-US" w:eastAsia="zh-CN" w:bidi="ar-SA"/>
        </w:rPr>
      </w:pPr>
      <w:r>
        <w:rPr>
          <w:rFonts w:hint="eastAsia" w:ascii="宋体" w:hAnsi="宋体" w:eastAsia="宋体" w:cs="宋体"/>
          <w:spacing w:val="-3"/>
          <w:sz w:val="21"/>
          <w:szCs w:val="21"/>
          <w:lang w:val="en-US" w:eastAsia="zh-CN" w:bidi="ar-SA"/>
        </w:rPr>
        <w:t>超筛选值的疑似异常污染物非该地块特征污染物，或虽为特征污染物，但其最大值不超过相应筛选值的2倍及管制值。</w:t>
      </w:r>
    </w:p>
    <w:p w14:paraId="7BC8A7D6">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pacing w:val="-3"/>
          <w:sz w:val="21"/>
          <w:szCs w:val="22"/>
          <w:lang w:val="en-US" w:eastAsia="zh-CN" w:bidi="ar-SA"/>
        </w:rPr>
      </w:pPr>
      <w:r>
        <w:rPr>
          <w:rFonts w:hint="eastAsia" w:ascii="宋体" w:hAnsi="宋体" w:eastAsia="宋体" w:cs="宋体"/>
          <w:sz w:val="21"/>
          <w:szCs w:val="21"/>
          <w:lang w:val="en-US" w:eastAsia="zh-CN" w:bidi="ar-SA"/>
        </w:rPr>
        <w:t>出现6.4.5.3中情形的，可采取在疑似异常点位附近增加采样点的方式进行排查。</w:t>
      </w:r>
      <w:r>
        <w:rPr>
          <w:rFonts w:hint="eastAsia" w:ascii="宋体" w:hAnsi="宋体" w:eastAsia="宋体" w:cs="宋体"/>
          <w:spacing w:val="-3"/>
          <w:sz w:val="21"/>
          <w:szCs w:val="22"/>
          <w:lang w:val="en-US" w:eastAsia="zh-CN" w:bidi="ar-SA"/>
        </w:rPr>
        <w:t>在疑似异常点位0.5米范围内布设1个采样点，在四个垂直轴向上5米范围内布设至少4个采样点，对疑似异常的超筛选值污染物进行监测。每个采样点位至少采集5个土壤样品，应包含排查目标深度及其上、下各两层的土壤样品，分层间隔为0.5米。如检测结果显示各土壤样品均达标，则可认为该疑似异常点位对于本地块不具代表性，可予以排除。少量超筛选值土壤应予以妥善处置。</w:t>
      </w:r>
    </w:p>
    <w:p w14:paraId="7AC68F74">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不确定性分析</w:t>
      </w:r>
    </w:p>
    <w:p w14:paraId="4F5A491A">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说明土壤污染状况调查过程中遇到的限制条件和欠缺的信息，分析实际工作内容与工作计划内容的偏差，说明异常情形排查过程及结果，评估对调查工作和结论的影响。</w:t>
      </w:r>
    </w:p>
    <w:p w14:paraId="73902310">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2"/>
          <w:sz w:val="21"/>
          <w:szCs w:val="22"/>
          <w:lang w:val="en-US" w:eastAsia="zh-CN" w:bidi="ar-SA"/>
        </w:rPr>
      </w:pPr>
      <w:r>
        <w:rPr>
          <w:rFonts w:hint="eastAsia" w:ascii="黑体" w:hAnsi="宋体" w:eastAsia="黑体" w:cs="宋体"/>
          <w:spacing w:val="-2"/>
          <w:sz w:val="21"/>
          <w:szCs w:val="22"/>
          <w:lang w:val="en-US" w:eastAsia="zh-CN" w:bidi="ar-SA"/>
        </w:rPr>
        <w:t>调查结论</w:t>
      </w:r>
    </w:p>
    <w:p w14:paraId="3D0C7C49">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en-US" w:eastAsia="zh-CN" w:bidi="ar-SA"/>
        </w:rPr>
      </w:pPr>
      <w:r>
        <w:rPr>
          <w:rFonts w:hint="eastAsia" w:ascii="黑体" w:hAnsi="宋体" w:eastAsia="黑体" w:cs="宋体"/>
          <w:sz w:val="21"/>
          <w:szCs w:val="22"/>
          <w:lang w:val="en-US" w:eastAsia="zh-CN" w:bidi="ar-SA"/>
        </w:rPr>
        <w:t>初步采</w:t>
      </w:r>
      <w:r>
        <w:rPr>
          <w:rFonts w:hint="eastAsia" w:ascii="黑体" w:hAnsi="黑体" w:eastAsia="黑体" w:cs="黑体"/>
          <w:sz w:val="21"/>
          <w:szCs w:val="22"/>
          <w:lang w:val="en-US" w:eastAsia="zh-CN" w:bidi="ar-SA"/>
        </w:rPr>
        <w:t>样</w:t>
      </w:r>
      <w:r>
        <w:rPr>
          <w:rFonts w:hint="eastAsia" w:ascii="黑体" w:hAnsi="黑体" w:eastAsia="黑体" w:cs="黑体"/>
          <w:spacing w:val="-10"/>
          <w:sz w:val="21"/>
          <w:szCs w:val="21"/>
          <w:lang w:val="en-US" w:eastAsia="zh-CN" w:bidi="ar-SA"/>
        </w:rPr>
        <w:t>分析</w:t>
      </w:r>
      <w:r>
        <w:rPr>
          <w:rFonts w:hint="eastAsia" w:ascii="黑体" w:hAnsi="黑体" w:eastAsia="黑体" w:cs="黑体"/>
          <w:sz w:val="21"/>
          <w:szCs w:val="22"/>
          <w:lang w:val="en-US" w:eastAsia="zh-CN" w:bidi="ar-SA"/>
        </w:rPr>
        <w:t>结论</w:t>
      </w:r>
    </w:p>
    <w:p w14:paraId="10A66E47">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地块初步采样分析</w:t>
      </w:r>
      <w:r>
        <w:rPr>
          <w:rFonts w:hint="eastAsia" w:ascii="宋体" w:hAnsi="宋体" w:eastAsia="宋体" w:cs="宋体"/>
          <w:sz w:val="21"/>
          <w:szCs w:val="21"/>
          <w:lang w:val="en-US" w:eastAsia="zh-CN" w:bidi="ar-SA"/>
        </w:rPr>
        <w:t>结论</w:t>
      </w:r>
      <w:r>
        <w:rPr>
          <w:rFonts w:ascii="宋体" w:hAnsi="宋体" w:eastAsia="宋体" w:cs="宋体"/>
          <w:sz w:val="21"/>
          <w:szCs w:val="21"/>
          <w:lang w:val="fr-FR" w:eastAsia="zh-CN" w:bidi="ar-SA"/>
        </w:rPr>
        <w:t>应包括以下内容：</w:t>
      </w:r>
    </w:p>
    <w:p w14:paraId="3A2370F3">
      <w:pPr>
        <w:keepNext w:val="0"/>
        <w:keepLines w:val="0"/>
        <w:pageBreakBefore w:val="0"/>
        <w:widowControl w:val="0"/>
        <w:numPr>
          <w:ilvl w:val="0"/>
          <w:numId w:val="24"/>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明确地块土壤和地下水</w:t>
      </w:r>
      <w:r>
        <w:rPr>
          <w:rFonts w:hint="eastAsia" w:ascii="宋体" w:hAnsi="宋体" w:eastAsia="宋体" w:cs="宋体"/>
          <w:spacing w:val="-3"/>
          <w:sz w:val="21"/>
          <w:szCs w:val="21"/>
          <w:lang w:val="en-US" w:eastAsia="zh-CN" w:bidi="ar-SA"/>
        </w:rPr>
        <w:t>污染物是否超过风险筛选值</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是否需要开展第二阶段详细采样分析；</w:t>
      </w:r>
    </w:p>
    <w:p w14:paraId="7020F6A1">
      <w:pPr>
        <w:keepNext w:val="0"/>
        <w:keepLines w:val="0"/>
        <w:pageBreakBefore w:val="0"/>
        <w:widowControl w:val="0"/>
        <w:numPr>
          <w:ilvl w:val="0"/>
          <w:numId w:val="24"/>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如</w:t>
      </w:r>
      <w:r>
        <w:rPr>
          <w:rFonts w:hint="eastAsia" w:ascii="宋体" w:hAnsi="宋体" w:eastAsia="宋体" w:cs="宋体"/>
          <w:spacing w:val="-3"/>
          <w:sz w:val="21"/>
          <w:szCs w:val="21"/>
          <w:lang w:val="en-US" w:eastAsia="zh-CN" w:bidi="ar-SA"/>
        </w:rPr>
        <w:t>存在污染物</w:t>
      </w:r>
      <w:r>
        <w:rPr>
          <w:rFonts w:ascii="宋体" w:hAnsi="宋体" w:eastAsia="宋体" w:cs="宋体"/>
          <w:spacing w:val="-3"/>
          <w:sz w:val="21"/>
          <w:szCs w:val="21"/>
          <w:lang w:val="fr-FR" w:eastAsia="zh-CN" w:bidi="ar-SA"/>
        </w:rPr>
        <w:t>检测结果高于相应风险筛选值，应明确超过风险筛选值污染物的种类、含量范围和空间分布</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并初步开展污染成因分析</w:t>
      </w:r>
      <w:r>
        <w:rPr>
          <w:rFonts w:hint="eastAsia" w:ascii="宋体" w:hAnsi="宋体" w:eastAsia="宋体" w:cs="宋体"/>
          <w:spacing w:val="-3"/>
          <w:sz w:val="21"/>
          <w:szCs w:val="21"/>
          <w:lang w:val="fr-FR" w:eastAsia="zh-CN" w:bidi="ar-SA"/>
        </w:rPr>
        <w:t>；</w:t>
      </w:r>
    </w:p>
    <w:p w14:paraId="56920280">
      <w:pPr>
        <w:keepNext w:val="0"/>
        <w:keepLines w:val="0"/>
        <w:pageBreakBefore w:val="0"/>
        <w:widowControl w:val="0"/>
        <w:numPr>
          <w:ilvl w:val="0"/>
          <w:numId w:val="24"/>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如需开展第二</w:t>
      </w:r>
      <w:r>
        <w:rPr>
          <w:rFonts w:hint="eastAsia" w:ascii="宋体" w:hAnsi="宋体" w:eastAsia="宋体" w:cs="宋体"/>
          <w:spacing w:val="-3"/>
          <w:sz w:val="21"/>
          <w:szCs w:val="21"/>
          <w:lang w:val="en-US" w:eastAsia="zh-CN" w:bidi="ar-SA"/>
        </w:rPr>
        <w:t>阶段</w:t>
      </w:r>
      <w:r>
        <w:rPr>
          <w:rFonts w:hint="eastAsia" w:ascii="宋体" w:hAnsi="宋体" w:eastAsia="宋体" w:cs="宋体"/>
          <w:sz w:val="21"/>
          <w:szCs w:val="21"/>
          <w:lang w:val="en-US" w:eastAsia="zh-CN" w:bidi="ar-SA"/>
        </w:rPr>
        <w:t>详细采样分析，应进一步识别涉嫌土壤污染的区域及关注污染物，并提出</w:t>
      </w:r>
      <w:r>
        <w:rPr>
          <w:rFonts w:hint="eastAsia" w:ascii="宋体" w:hAnsi="宋体" w:eastAsia="宋体" w:cs="宋体"/>
          <w:spacing w:val="-3"/>
          <w:sz w:val="21"/>
          <w:szCs w:val="21"/>
          <w:lang w:val="en-US" w:eastAsia="zh-CN" w:bidi="ar-SA"/>
        </w:rPr>
        <w:t>详细采样分析</w:t>
      </w:r>
      <w:r>
        <w:rPr>
          <w:rFonts w:hint="eastAsia" w:ascii="宋体" w:hAnsi="宋体" w:eastAsia="宋体" w:cs="宋体"/>
          <w:sz w:val="21"/>
          <w:szCs w:val="21"/>
          <w:lang w:val="en-US" w:eastAsia="zh-CN" w:bidi="ar-SA"/>
        </w:rPr>
        <w:t>的工作建议；</w:t>
      </w:r>
    </w:p>
    <w:p w14:paraId="5E9690C5">
      <w:pPr>
        <w:keepNext w:val="0"/>
        <w:keepLines w:val="0"/>
        <w:pageBreakBefore w:val="0"/>
        <w:widowControl w:val="0"/>
        <w:numPr>
          <w:ilvl w:val="0"/>
          <w:numId w:val="24"/>
        </w:numPr>
        <w:kinsoku/>
        <w:wordWrap/>
        <w:overflowPunct/>
        <w:topLinePunct w:val="0"/>
        <w:autoSpaceDE w:val="0"/>
        <w:autoSpaceDN w:val="0"/>
        <w:bidi w:val="0"/>
        <w:adjustRightInd w:val="0"/>
        <w:snapToGrid w:val="0"/>
        <w:spacing w:line="360" w:lineRule="auto"/>
        <w:ind w:left="839" w:hanging="421"/>
        <w:jc w:val="both"/>
        <w:textAlignment w:val="auto"/>
        <w:rPr>
          <w:rFonts w:ascii="黑体" w:hAnsi="宋体" w:eastAsia="宋体" w:cs="宋体"/>
          <w:sz w:val="21"/>
          <w:szCs w:val="21"/>
          <w:lang w:val="fr-FR" w:eastAsia="zh-CN" w:bidi="ar-SA"/>
        </w:rPr>
      </w:pPr>
      <w:r>
        <w:rPr>
          <w:rFonts w:ascii="宋体" w:hAnsi="宋体" w:eastAsia="宋体" w:cs="宋体"/>
          <w:spacing w:val="-3"/>
          <w:sz w:val="21"/>
          <w:szCs w:val="21"/>
          <w:lang w:val="fr-FR" w:eastAsia="zh-CN" w:bidi="ar-SA"/>
        </w:rPr>
        <w:t>规划用途为</w:t>
      </w:r>
      <w:r>
        <w:rPr>
          <w:rFonts w:hint="eastAsia" w:ascii="宋体" w:hAnsi="宋体" w:eastAsia="宋体" w:cs="宋体"/>
          <w:spacing w:val="-3"/>
          <w:sz w:val="21"/>
          <w:szCs w:val="21"/>
          <w:lang w:val="en-US" w:eastAsia="zh-CN" w:bidi="ar-SA"/>
        </w:rPr>
        <w:t>GB 36600中</w:t>
      </w:r>
      <w:r>
        <w:rPr>
          <w:rFonts w:ascii="宋体" w:hAnsi="宋体" w:eastAsia="宋体" w:cs="宋体"/>
          <w:spacing w:val="-3"/>
          <w:sz w:val="21"/>
          <w:szCs w:val="21"/>
          <w:lang w:val="fr-FR" w:eastAsia="zh-CN" w:bidi="ar-SA"/>
        </w:rPr>
        <w:t>第二类用地的地块，如存在满足第二类用地标准但超过第一类用地标准的土壤，应</w:t>
      </w:r>
      <w:r>
        <w:rPr>
          <w:rFonts w:hint="eastAsia" w:ascii="宋体" w:hAnsi="宋体" w:eastAsia="宋体" w:cs="宋体"/>
          <w:spacing w:val="-3"/>
          <w:sz w:val="21"/>
          <w:szCs w:val="21"/>
          <w:lang w:val="en-US" w:eastAsia="zh-CN" w:bidi="ar-SA"/>
        </w:rPr>
        <w:t>对其</w:t>
      </w:r>
      <w:r>
        <w:rPr>
          <w:rFonts w:ascii="宋体" w:hAnsi="宋体" w:eastAsia="宋体" w:cs="宋体"/>
          <w:spacing w:val="-3"/>
          <w:sz w:val="21"/>
          <w:szCs w:val="21"/>
          <w:lang w:val="fr-FR" w:eastAsia="zh-CN" w:bidi="ar-SA"/>
        </w:rPr>
        <w:t>提出相应的后续环境管理要求。</w:t>
      </w:r>
    </w:p>
    <w:p w14:paraId="0F1885C1">
      <w:pPr>
        <w:keepNext w:val="0"/>
        <w:keepLines w:val="0"/>
        <w:pageBreakBefore w:val="0"/>
        <w:widowControl w:val="0"/>
        <w:numPr>
          <w:ilvl w:val="3"/>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en-US" w:eastAsia="zh-CN" w:bidi="ar-SA"/>
        </w:rPr>
      </w:pPr>
      <w:r>
        <w:rPr>
          <w:rFonts w:hint="eastAsia" w:ascii="黑体" w:hAnsi="宋体" w:eastAsia="黑体" w:cs="宋体"/>
          <w:sz w:val="21"/>
          <w:szCs w:val="22"/>
          <w:lang w:val="en-US" w:eastAsia="zh-CN" w:bidi="ar-SA"/>
        </w:rPr>
        <w:t>详细采样分析结论</w:t>
      </w:r>
    </w:p>
    <w:p w14:paraId="2135F479">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fr-FR" w:eastAsia="zh-CN" w:bidi="ar-SA"/>
        </w:rPr>
      </w:pPr>
      <w:r>
        <w:rPr>
          <w:rFonts w:ascii="宋体" w:hAnsi="宋体" w:eastAsia="宋体" w:cs="宋体"/>
          <w:sz w:val="21"/>
          <w:szCs w:val="21"/>
          <w:lang w:val="fr-FR" w:eastAsia="zh-CN" w:bidi="ar-SA"/>
        </w:rPr>
        <w:t>地块</w:t>
      </w:r>
      <w:r>
        <w:rPr>
          <w:rFonts w:hint="eastAsia" w:ascii="宋体" w:hAnsi="宋体" w:eastAsia="宋体" w:cs="宋体"/>
          <w:sz w:val="21"/>
          <w:szCs w:val="21"/>
          <w:lang w:val="en-US" w:eastAsia="zh-CN" w:bidi="ar-SA"/>
        </w:rPr>
        <w:t>详细</w:t>
      </w:r>
      <w:r>
        <w:rPr>
          <w:rFonts w:ascii="宋体" w:hAnsi="宋体" w:eastAsia="宋体" w:cs="宋体"/>
          <w:sz w:val="21"/>
          <w:szCs w:val="21"/>
          <w:lang w:val="fr-FR" w:eastAsia="zh-CN" w:bidi="ar-SA"/>
        </w:rPr>
        <w:t>采样分析结论应包括以下内容：</w:t>
      </w:r>
    </w:p>
    <w:p w14:paraId="6DF2E407">
      <w:pPr>
        <w:keepNext w:val="0"/>
        <w:keepLines w:val="0"/>
        <w:pageBreakBefore w:val="0"/>
        <w:widowControl w:val="0"/>
        <w:numPr>
          <w:ilvl w:val="0"/>
          <w:numId w:val="25"/>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ascii="宋体" w:hAnsi="宋体" w:eastAsia="宋体" w:cs="宋体"/>
          <w:spacing w:val="-3"/>
          <w:sz w:val="21"/>
          <w:szCs w:val="21"/>
          <w:lang w:val="fr-FR" w:eastAsia="zh-CN" w:bidi="ar-SA"/>
        </w:rPr>
        <w:t>明确地块土壤和地下水</w:t>
      </w:r>
      <w:r>
        <w:rPr>
          <w:rFonts w:hint="eastAsia" w:ascii="宋体" w:hAnsi="宋体" w:eastAsia="宋体" w:cs="宋体"/>
          <w:spacing w:val="-3"/>
          <w:sz w:val="21"/>
          <w:szCs w:val="21"/>
          <w:lang w:val="en-US" w:eastAsia="zh-CN" w:bidi="ar-SA"/>
        </w:rPr>
        <w:t>是否可能存在人体健康风险</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是否需要开展第三阶段土壤污染状况调查；</w:t>
      </w:r>
    </w:p>
    <w:p w14:paraId="124C67A0">
      <w:pPr>
        <w:keepNext w:val="0"/>
        <w:keepLines w:val="0"/>
        <w:pageBreakBefore w:val="0"/>
        <w:widowControl w:val="0"/>
        <w:numPr>
          <w:ilvl w:val="0"/>
          <w:numId w:val="25"/>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根据污染物超标情况，开展污染成因分析，并按不同污染类型分别划定污染范围，估算污染土方量/污染地下水量；</w:t>
      </w:r>
    </w:p>
    <w:p w14:paraId="388D0AD1">
      <w:pPr>
        <w:keepNext w:val="0"/>
        <w:keepLines w:val="0"/>
        <w:pageBreakBefore w:val="0"/>
        <w:widowControl w:val="0"/>
        <w:numPr>
          <w:ilvl w:val="0"/>
          <w:numId w:val="25"/>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3"/>
          <w:sz w:val="21"/>
          <w:szCs w:val="21"/>
          <w:lang w:val="fr-FR" w:eastAsia="zh-CN" w:bidi="ar-SA"/>
        </w:rPr>
      </w:pPr>
      <w:r>
        <w:rPr>
          <w:rFonts w:ascii="宋体" w:hAnsi="宋体" w:eastAsia="宋体" w:cs="宋体"/>
          <w:spacing w:val="-3"/>
          <w:sz w:val="21"/>
          <w:szCs w:val="21"/>
          <w:lang w:val="fr-FR" w:eastAsia="zh-CN" w:bidi="ar-SA"/>
        </w:rPr>
        <w:t>规划用途为</w:t>
      </w:r>
      <w:r>
        <w:rPr>
          <w:rFonts w:hint="eastAsia" w:ascii="宋体" w:hAnsi="宋体" w:eastAsia="宋体" w:cs="宋体"/>
          <w:spacing w:val="-3"/>
          <w:sz w:val="21"/>
          <w:szCs w:val="21"/>
          <w:lang w:val="en-US" w:eastAsia="zh-CN" w:bidi="ar-SA"/>
        </w:rPr>
        <w:t>GB 36600中</w:t>
      </w:r>
      <w:r>
        <w:rPr>
          <w:rFonts w:ascii="宋体" w:hAnsi="宋体" w:eastAsia="宋体" w:cs="宋体"/>
          <w:spacing w:val="-3"/>
          <w:sz w:val="21"/>
          <w:szCs w:val="21"/>
          <w:lang w:val="fr-FR" w:eastAsia="zh-CN" w:bidi="ar-SA"/>
        </w:rPr>
        <w:t>第二类用地的地块，如存在满足第二类用地标准但超过第一类用地标准的土壤，应</w:t>
      </w:r>
      <w:r>
        <w:rPr>
          <w:rFonts w:hint="eastAsia" w:ascii="宋体" w:hAnsi="宋体" w:eastAsia="宋体" w:cs="宋体"/>
          <w:spacing w:val="-3"/>
          <w:sz w:val="21"/>
          <w:szCs w:val="21"/>
          <w:lang w:val="en-US" w:eastAsia="zh-CN" w:bidi="ar-SA"/>
        </w:rPr>
        <w:t>对其</w:t>
      </w:r>
      <w:r>
        <w:rPr>
          <w:rFonts w:ascii="宋体" w:hAnsi="宋体" w:eastAsia="宋体" w:cs="宋体"/>
          <w:spacing w:val="-3"/>
          <w:sz w:val="21"/>
          <w:szCs w:val="21"/>
          <w:lang w:val="fr-FR" w:eastAsia="zh-CN" w:bidi="ar-SA"/>
        </w:rPr>
        <w:t>提出相应的后续环境管理要求。</w:t>
      </w:r>
    </w:p>
    <w:p w14:paraId="1AD9700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spacing w:val="-3"/>
          <w:sz w:val="21"/>
          <w:szCs w:val="21"/>
          <w:lang w:eastAsia="zh-CN"/>
        </w:rPr>
        <w:sectPr>
          <w:pgSz w:w="11910" w:h="16840"/>
          <w:pgMar w:top="1417" w:right="1417" w:bottom="1134" w:left="1134" w:header="1417" w:footer="1134" w:gutter="0"/>
          <w:pgNumType w:fmt="decimal"/>
          <w:cols w:space="0" w:num="1"/>
          <w:rtlGutter w:val="0"/>
          <w:docGrid w:linePitch="0" w:charSpace="0"/>
        </w:sectPr>
      </w:pPr>
    </w:p>
    <w:p w14:paraId="756B2FB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bookmarkStart w:id="45" w:name="_Toc26271"/>
    </w:p>
    <w:p w14:paraId="0C3F5E2C">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1"/>
        <w:rPr>
          <w:rFonts w:ascii="黑体" w:hAnsi="宋体" w:eastAsia="黑体" w:cs="宋体"/>
          <w:sz w:val="21"/>
          <w:szCs w:val="22"/>
          <w:lang w:val="fr-FR" w:eastAsia="zh-CN" w:bidi="ar-SA"/>
        </w:rPr>
      </w:pPr>
      <w:r>
        <w:rPr>
          <w:rFonts w:hint="eastAsia" w:ascii="黑体" w:hAnsi="宋体" w:eastAsia="黑体" w:cs="宋体"/>
          <w:spacing w:val="-3"/>
          <w:sz w:val="21"/>
          <w:szCs w:val="22"/>
          <w:lang w:val="fr-FR" w:eastAsia="zh-CN" w:bidi="ar-SA"/>
        </w:rPr>
        <w:t>第三</w:t>
      </w:r>
      <w:r>
        <w:rPr>
          <w:rFonts w:hint="eastAsia" w:ascii="黑体" w:hAnsi="宋体" w:eastAsia="黑体" w:cs="宋体"/>
          <w:sz w:val="21"/>
          <w:szCs w:val="22"/>
          <w:lang w:val="en-US" w:eastAsia="zh-CN" w:bidi="ar-SA"/>
        </w:rPr>
        <w:t>阶段</w:t>
      </w:r>
      <w:r>
        <w:rPr>
          <w:rFonts w:hint="eastAsia" w:ascii="黑体" w:hAnsi="宋体" w:eastAsia="黑体" w:cs="宋体"/>
          <w:sz w:val="21"/>
          <w:szCs w:val="21"/>
          <w:lang w:val="fr-FR" w:eastAsia="zh-CN" w:bidi="ar-SA"/>
        </w:rPr>
        <w:t>土壤</w:t>
      </w:r>
      <w:r>
        <w:rPr>
          <w:rFonts w:hint="eastAsia" w:ascii="黑体" w:hAnsi="宋体" w:eastAsia="黑体" w:cs="宋体"/>
          <w:spacing w:val="-3"/>
          <w:sz w:val="21"/>
          <w:szCs w:val="22"/>
          <w:lang w:val="fr-FR" w:eastAsia="zh-CN" w:bidi="ar-SA"/>
        </w:rPr>
        <w:t>污染状况调查</w:t>
      </w:r>
      <w:bookmarkEnd w:id="45"/>
    </w:p>
    <w:p w14:paraId="5FC1B4B3">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2"/>
          <w:lang w:val="fr-FR" w:eastAsia="en-US" w:bidi="ar-SA"/>
        </w:rPr>
      </w:pPr>
      <w:bookmarkStart w:id="46" w:name="_Toc5161"/>
      <w:r>
        <w:rPr>
          <w:rFonts w:hint="eastAsia" w:ascii="黑体" w:hAnsi="宋体" w:eastAsia="黑体" w:cs="宋体"/>
          <w:spacing w:val="-2"/>
          <w:sz w:val="21"/>
          <w:szCs w:val="22"/>
          <w:lang w:val="fr-FR" w:eastAsia="en-US" w:bidi="ar-SA"/>
        </w:rPr>
        <w:t>主要工作内容</w:t>
      </w:r>
      <w:bookmarkEnd w:id="46"/>
    </w:p>
    <w:p w14:paraId="192F8AB6">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z w:val="21"/>
          <w:szCs w:val="21"/>
          <w:lang w:val="en-US" w:eastAsia="zh-CN" w:bidi="ar-SA"/>
        </w:rPr>
      </w:pPr>
      <w:r>
        <w:rPr>
          <w:rFonts w:hint="eastAsia" w:ascii="宋体" w:hAnsi="宋体" w:eastAsia="宋体" w:cs="宋体"/>
          <w:spacing w:val="-3"/>
          <w:sz w:val="21"/>
          <w:szCs w:val="21"/>
          <w:lang w:val="en-US" w:eastAsia="zh-CN" w:bidi="ar-SA"/>
        </w:rPr>
        <w:t>第三</w:t>
      </w:r>
      <w:r>
        <w:rPr>
          <w:rFonts w:hint="eastAsia" w:ascii="宋体" w:hAnsi="宋体" w:eastAsia="宋体" w:cs="宋体"/>
          <w:sz w:val="21"/>
          <w:szCs w:val="21"/>
          <w:lang w:val="en-US" w:eastAsia="zh-CN" w:bidi="ar-SA"/>
        </w:rPr>
        <w:t>阶段土壤污染状况调查主要工作内容包括地块特征参数和受体暴露参数的调查。</w:t>
      </w:r>
    </w:p>
    <w:p w14:paraId="1751002A">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z w:val="21"/>
          <w:szCs w:val="22"/>
          <w:lang w:val="fr-FR" w:eastAsia="en-US" w:bidi="ar-SA"/>
        </w:rPr>
      </w:pPr>
      <w:r>
        <w:rPr>
          <w:rFonts w:hint="eastAsia" w:ascii="黑体" w:hAnsi="宋体" w:eastAsia="黑体" w:cs="宋体"/>
          <w:spacing w:val="-3"/>
          <w:sz w:val="21"/>
          <w:szCs w:val="22"/>
          <w:lang w:val="fr-FR" w:eastAsia="en-US" w:bidi="ar-SA"/>
        </w:rPr>
        <w:t>地块特征参数调查</w:t>
      </w:r>
    </w:p>
    <w:p w14:paraId="38D7F7FB">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地块特征参数包括：不同代表位置和土层或选定土层的土壤样品的理化性质分析数据，如土壤pH、容重、有机质含量、含水率、土壤质地、土壤</w:t>
      </w:r>
      <w:r>
        <w:rPr>
          <w:rFonts w:hint="eastAsia" w:ascii="宋体" w:hAnsi="宋体" w:eastAsia="宋体" w:cs="宋体"/>
          <w:sz w:val="21"/>
          <w:szCs w:val="21"/>
          <w:highlight w:val="none"/>
          <w:lang w:val="en-US" w:eastAsia="zh-CN" w:bidi="ar-SA"/>
        </w:rPr>
        <w:t>孔隙率、渗透系数</w:t>
      </w:r>
      <w:r>
        <w:rPr>
          <w:rFonts w:hint="eastAsia" w:ascii="宋体" w:hAnsi="宋体" w:eastAsia="宋体" w:cs="宋体"/>
          <w:sz w:val="21"/>
          <w:szCs w:val="21"/>
          <w:lang w:val="en-US" w:eastAsia="zh-CN" w:bidi="ar-SA"/>
        </w:rPr>
        <w:t>等；地块（所在地）气候、水文、地质特征信息和数据。根据风险评估和地块修复实际需要，选取适当的参数进行调查。</w:t>
      </w:r>
    </w:p>
    <w:p w14:paraId="58896425">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rPr>
          <w:rFonts w:ascii="黑体" w:hAnsi="宋体" w:eastAsia="黑体" w:cs="宋体"/>
          <w:spacing w:val="-3"/>
          <w:sz w:val="21"/>
          <w:szCs w:val="22"/>
          <w:lang w:val="fr-FR" w:eastAsia="en-US" w:bidi="ar-SA"/>
        </w:rPr>
      </w:pPr>
      <w:r>
        <w:rPr>
          <w:rFonts w:hint="eastAsia" w:ascii="黑体" w:hAnsi="宋体" w:eastAsia="黑体" w:cs="宋体"/>
          <w:spacing w:val="-3"/>
          <w:sz w:val="21"/>
          <w:szCs w:val="22"/>
          <w:lang w:val="fr-FR" w:eastAsia="en-US" w:bidi="ar-SA"/>
        </w:rPr>
        <w:t>受体</w:t>
      </w:r>
      <w:r>
        <w:rPr>
          <w:rFonts w:hint="eastAsia" w:ascii="黑体" w:hAnsi="宋体" w:eastAsia="黑体" w:cs="宋体"/>
          <w:spacing w:val="-2"/>
          <w:sz w:val="21"/>
          <w:szCs w:val="22"/>
          <w:lang w:val="fr-FR" w:eastAsia="en-US" w:bidi="ar-SA"/>
        </w:rPr>
        <w:t>暴露</w:t>
      </w:r>
      <w:r>
        <w:rPr>
          <w:rFonts w:hint="eastAsia" w:ascii="黑体" w:hAnsi="宋体" w:eastAsia="黑体" w:cs="宋体"/>
          <w:spacing w:val="-3"/>
          <w:sz w:val="21"/>
          <w:szCs w:val="22"/>
          <w:lang w:val="fr-FR" w:eastAsia="en-US" w:bidi="ar-SA"/>
        </w:rPr>
        <w:t>参数调查</w:t>
      </w:r>
    </w:p>
    <w:p w14:paraId="66343A9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ascii="宋体" w:hAnsi="宋体" w:eastAsia="宋体" w:cs="宋体"/>
          <w:sz w:val="21"/>
          <w:szCs w:val="21"/>
          <w:lang w:val="fr-FR" w:eastAsia="zh-CN" w:bidi="ar-SA"/>
        </w:rPr>
        <w:t>受体暴露参数包括：地块及周边地区土地利用方式</w:t>
      </w:r>
      <w:r>
        <w:rPr>
          <w:rFonts w:hint="eastAsia"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人群及建筑物</w:t>
      </w:r>
      <w:r>
        <w:rPr>
          <w:rFonts w:ascii="宋体" w:hAnsi="宋体" w:eastAsia="宋体" w:cs="宋体"/>
          <w:sz w:val="21"/>
          <w:szCs w:val="21"/>
          <w:lang w:val="fr-FR" w:eastAsia="zh-CN" w:bidi="ar-SA"/>
        </w:rPr>
        <w:t>等相关信息。</w:t>
      </w:r>
    </w:p>
    <w:p w14:paraId="7FE01A4E">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2"/>
          <w:lang w:val="fr-FR" w:eastAsia="en-US" w:bidi="ar-SA"/>
        </w:rPr>
      </w:pPr>
      <w:bookmarkStart w:id="47" w:name="_bookmark31"/>
      <w:bookmarkEnd w:id="47"/>
      <w:bookmarkStart w:id="48" w:name="_Toc8730"/>
      <w:r>
        <w:rPr>
          <w:rFonts w:hint="eastAsia" w:ascii="黑体" w:hAnsi="宋体" w:eastAsia="黑体" w:cs="宋体"/>
          <w:spacing w:val="-1"/>
          <w:sz w:val="21"/>
          <w:szCs w:val="22"/>
          <w:lang w:val="fr-FR" w:eastAsia="en-US" w:bidi="ar-SA"/>
        </w:rPr>
        <w:t>调查</w:t>
      </w:r>
      <w:r>
        <w:rPr>
          <w:rFonts w:hint="eastAsia" w:ascii="黑体" w:hAnsi="宋体" w:eastAsia="黑体" w:cs="宋体"/>
          <w:spacing w:val="-1"/>
          <w:sz w:val="21"/>
          <w:szCs w:val="21"/>
          <w:lang w:val="fr-FR" w:eastAsia="zh-CN" w:bidi="ar-SA"/>
        </w:rPr>
        <w:t>方法</w:t>
      </w:r>
      <w:bookmarkEnd w:id="48"/>
    </w:p>
    <w:p w14:paraId="287DEC26">
      <w:pPr>
        <w:keepNext w:val="0"/>
        <w:keepLines w:val="0"/>
        <w:pageBreakBefore w:val="0"/>
        <w:widowControl w:val="0"/>
        <w:kinsoku/>
        <w:wordWrap/>
        <w:overflowPunct/>
        <w:topLinePunct w:val="0"/>
        <w:autoSpaceDE w:val="0"/>
        <w:autoSpaceDN w:val="0"/>
        <w:bidi w:val="0"/>
        <w:adjustRightInd w:val="0"/>
        <w:snapToGrid w:val="0"/>
        <w:spacing w:line="360" w:lineRule="auto"/>
        <w:ind w:firstLine="42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地块特征参数和受体暴露参数的调查可采用资料查询、现场实测和实验室测试分析等方法。</w:t>
      </w:r>
    </w:p>
    <w:p w14:paraId="4E783E6B">
      <w:pPr>
        <w:keepNext w:val="0"/>
        <w:keepLines w:val="0"/>
        <w:pageBreakBefore w:val="0"/>
        <w:widowControl w:val="0"/>
        <w:numPr>
          <w:ilvl w:val="0"/>
          <w:numId w:val="1"/>
        </w:numPr>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1"/>
        <w:rPr>
          <w:rFonts w:ascii="黑体" w:hAnsi="宋体" w:eastAsia="黑体" w:cs="宋体"/>
          <w:sz w:val="21"/>
          <w:szCs w:val="22"/>
          <w:lang w:val="fr-FR" w:eastAsia="en-US" w:bidi="ar-SA"/>
        </w:rPr>
      </w:pPr>
      <w:bookmarkStart w:id="49" w:name="_bookmark33"/>
      <w:bookmarkEnd w:id="49"/>
      <w:bookmarkStart w:id="50" w:name="_Toc16458"/>
      <w:r>
        <w:rPr>
          <w:rFonts w:hint="eastAsia" w:ascii="黑体" w:hAnsi="宋体" w:eastAsia="黑体" w:cs="宋体"/>
          <w:sz w:val="21"/>
          <w:szCs w:val="21"/>
          <w:lang w:val="fr-FR" w:eastAsia="en-US" w:bidi="ar-SA"/>
        </w:rPr>
        <w:t>报告编制</w:t>
      </w:r>
      <w:bookmarkEnd w:id="50"/>
    </w:p>
    <w:p w14:paraId="333A6BD8">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2"/>
          <w:lang w:val="fr-FR" w:eastAsia="en-US" w:bidi="ar-SA"/>
        </w:rPr>
      </w:pPr>
      <w:bookmarkStart w:id="51" w:name="_bookmark34"/>
      <w:bookmarkEnd w:id="51"/>
      <w:bookmarkStart w:id="52" w:name="_Toc10914"/>
      <w:r>
        <w:rPr>
          <w:rFonts w:hint="eastAsia" w:ascii="黑体" w:hAnsi="宋体" w:eastAsia="黑体" w:cs="宋体"/>
          <w:spacing w:val="-2"/>
          <w:sz w:val="21"/>
          <w:szCs w:val="22"/>
          <w:lang w:val="fr-FR" w:eastAsia="en-US" w:bidi="ar-SA"/>
        </w:rPr>
        <w:t>报告</w:t>
      </w:r>
      <w:r>
        <w:rPr>
          <w:rFonts w:hint="eastAsia" w:ascii="黑体" w:hAnsi="宋体" w:eastAsia="黑体" w:cs="宋体"/>
          <w:spacing w:val="-1"/>
          <w:sz w:val="21"/>
          <w:szCs w:val="21"/>
          <w:lang w:val="fr-FR" w:eastAsia="zh-CN" w:bidi="ar-SA"/>
        </w:rPr>
        <w:t>内容</w:t>
      </w:r>
      <w:r>
        <w:rPr>
          <w:rFonts w:hint="eastAsia" w:ascii="黑体" w:hAnsi="宋体" w:eastAsia="黑体" w:cs="宋体"/>
          <w:spacing w:val="-2"/>
          <w:sz w:val="21"/>
          <w:szCs w:val="22"/>
          <w:lang w:val="fr-FR" w:eastAsia="en-US" w:bidi="ar-SA"/>
        </w:rPr>
        <w:t>和格式</w:t>
      </w:r>
      <w:bookmarkEnd w:id="52"/>
    </w:p>
    <w:p w14:paraId="2C33B40F">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黑体" w:hAnsi="宋体" w:eastAsia="黑体" w:cs="宋体"/>
          <w:sz w:val="21"/>
          <w:szCs w:val="22"/>
          <w:lang w:val="fr-FR" w:eastAsia="en-US" w:bidi="ar-SA"/>
        </w:rPr>
      </w:pPr>
      <w:r>
        <w:rPr>
          <w:rFonts w:ascii="宋体" w:hAnsi="宋体" w:eastAsia="宋体" w:cs="宋体"/>
          <w:sz w:val="21"/>
          <w:szCs w:val="21"/>
          <w:lang w:val="fr-FR" w:eastAsia="zh-CN" w:bidi="ar-SA"/>
        </w:rPr>
        <w:t>在对调查过程和结果进行分析、总结和评价的基础上，形成土壤污染状况调查报告。</w:t>
      </w:r>
      <w:r>
        <w:rPr>
          <w:rFonts w:hint="eastAsia" w:ascii="宋体" w:hAnsi="宋体" w:eastAsia="宋体" w:cs="宋体"/>
          <w:sz w:val="21"/>
          <w:szCs w:val="21"/>
          <w:lang w:val="en-US" w:eastAsia="zh-CN" w:bidi="ar-SA"/>
        </w:rPr>
        <w:t>调查</w:t>
      </w:r>
      <w:r>
        <w:rPr>
          <w:rFonts w:hint="eastAsia" w:ascii="宋体" w:hAnsi="宋体" w:eastAsia="宋体" w:cs="宋体"/>
          <w:sz w:val="21"/>
          <w:szCs w:val="21"/>
          <w:lang w:val="fr-FR" w:eastAsia="zh-CN" w:bidi="ar-SA"/>
        </w:rPr>
        <w:t>报告内容可参照附录D。</w:t>
      </w:r>
    </w:p>
    <w:p w14:paraId="644F239E">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第一阶段调查报告</w:t>
      </w:r>
      <w:r>
        <w:rPr>
          <w:rFonts w:ascii="宋体" w:hAnsi="宋体" w:eastAsia="宋体" w:cs="宋体"/>
          <w:sz w:val="21"/>
          <w:szCs w:val="21"/>
          <w:lang w:val="fr-FR" w:eastAsia="zh-CN" w:bidi="ar-SA"/>
        </w:rPr>
        <w:t>内容主要包括</w:t>
      </w:r>
      <w:r>
        <w:rPr>
          <w:rFonts w:hint="eastAsia" w:ascii="宋体" w:hAnsi="宋体" w:eastAsia="宋体" w:cs="宋体"/>
          <w:sz w:val="21"/>
          <w:szCs w:val="21"/>
          <w:lang w:val="fr-FR" w:eastAsia="zh-CN" w:bidi="ar-SA"/>
        </w:rPr>
        <w:t>：</w:t>
      </w:r>
      <w:r>
        <w:rPr>
          <w:rFonts w:ascii="宋体" w:hAnsi="宋体" w:eastAsia="宋体" w:cs="宋体"/>
          <w:sz w:val="21"/>
          <w:szCs w:val="21"/>
          <w:lang w:val="fr-FR" w:eastAsia="zh-CN" w:bidi="ar-SA"/>
        </w:rPr>
        <w:t>地块土壤污染状况调查的概述、地块的</w:t>
      </w:r>
      <w:r>
        <w:rPr>
          <w:rFonts w:hint="eastAsia" w:ascii="宋体" w:hAnsi="宋体" w:eastAsia="宋体" w:cs="宋体"/>
          <w:sz w:val="21"/>
          <w:szCs w:val="21"/>
          <w:lang w:val="en-US" w:eastAsia="zh-CN" w:bidi="ar-SA"/>
        </w:rPr>
        <w:t>概况</w:t>
      </w:r>
      <w:r>
        <w:rPr>
          <w:rFonts w:ascii="宋体" w:hAnsi="宋体" w:eastAsia="宋体" w:cs="宋体"/>
          <w:sz w:val="21"/>
          <w:szCs w:val="21"/>
          <w:lang w:val="fr-FR" w:eastAsia="zh-CN" w:bidi="ar-SA"/>
        </w:rPr>
        <w:t>、资料</w:t>
      </w:r>
      <w:r>
        <w:rPr>
          <w:rFonts w:hint="eastAsia" w:ascii="宋体" w:hAnsi="宋体" w:eastAsia="宋体" w:cs="宋体"/>
          <w:sz w:val="21"/>
          <w:szCs w:val="21"/>
          <w:lang w:val="en-US" w:eastAsia="zh-CN" w:bidi="ar-SA"/>
        </w:rPr>
        <w:t>收集</w:t>
      </w:r>
      <w:r>
        <w:rPr>
          <w:rFonts w:ascii="宋体" w:hAnsi="宋体" w:eastAsia="宋体" w:cs="宋体"/>
          <w:sz w:val="21"/>
          <w:szCs w:val="21"/>
          <w:lang w:val="fr-FR" w:eastAsia="zh-CN" w:bidi="ar-SA"/>
        </w:rPr>
        <w:t>、现场踏勘、人员访谈</w:t>
      </w:r>
      <w:r>
        <w:rPr>
          <w:rFonts w:hint="eastAsia" w:ascii="宋体" w:hAnsi="宋体" w:eastAsia="宋体" w:cs="宋体"/>
          <w:sz w:val="21"/>
          <w:szCs w:val="21"/>
          <w:lang w:val="en-US" w:eastAsia="zh-CN" w:bidi="ar-SA"/>
        </w:rPr>
        <w:t>开展情况</w:t>
      </w:r>
      <w:r>
        <w:rPr>
          <w:rFonts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污染识别分析</w:t>
      </w:r>
      <w:r>
        <w:rPr>
          <w:rFonts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污染识别结果</w:t>
      </w:r>
      <w:r>
        <w:rPr>
          <w:rFonts w:hint="eastAsia" w:ascii="宋体" w:hAnsi="宋体" w:eastAsia="宋体" w:cs="宋体"/>
          <w:sz w:val="21"/>
          <w:szCs w:val="21"/>
          <w:lang w:val="fr-FR" w:eastAsia="zh-CN" w:bidi="ar-SA"/>
        </w:rPr>
        <w:t>、</w:t>
      </w:r>
      <w:r>
        <w:rPr>
          <w:rFonts w:ascii="宋体" w:hAnsi="宋体" w:eastAsia="宋体" w:cs="宋体"/>
          <w:sz w:val="21"/>
          <w:szCs w:val="21"/>
          <w:lang w:val="fr-FR" w:eastAsia="zh-CN" w:bidi="ar-SA"/>
        </w:rPr>
        <w:t>结论与建议、附件等。</w:t>
      </w:r>
    </w:p>
    <w:p w14:paraId="615FBA1D">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第二阶段调查报告</w:t>
      </w:r>
      <w:r>
        <w:rPr>
          <w:rFonts w:ascii="宋体" w:hAnsi="宋体" w:eastAsia="宋体" w:cs="宋体"/>
          <w:sz w:val="21"/>
          <w:szCs w:val="21"/>
          <w:lang w:val="fr-FR" w:eastAsia="zh-CN" w:bidi="ar-SA"/>
        </w:rPr>
        <w:t>内容主要包括</w:t>
      </w:r>
      <w:r>
        <w:rPr>
          <w:rFonts w:hint="eastAsia" w:ascii="宋体" w:hAnsi="宋体" w:eastAsia="宋体" w:cs="宋体"/>
          <w:sz w:val="21"/>
          <w:szCs w:val="21"/>
          <w:lang w:val="fr-FR" w:eastAsia="zh-CN" w:bidi="ar-SA"/>
        </w:rPr>
        <w:t>：</w:t>
      </w:r>
      <w:r>
        <w:rPr>
          <w:rFonts w:ascii="宋体" w:hAnsi="宋体" w:eastAsia="宋体" w:cs="宋体"/>
          <w:sz w:val="21"/>
          <w:szCs w:val="21"/>
          <w:lang w:val="fr-FR" w:eastAsia="zh-CN" w:bidi="ar-SA"/>
        </w:rPr>
        <w:t>地块土壤污染状况调查的概述、地块的</w:t>
      </w:r>
      <w:r>
        <w:rPr>
          <w:rFonts w:hint="eastAsia" w:ascii="宋体" w:hAnsi="宋体" w:eastAsia="宋体" w:cs="宋体"/>
          <w:sz w:val="21"/>
          <w:szCs w:val="21"/>
          <w:lang w:val="en-US" w:eastAsia="zh-CN" w:bidi="ar-SA"/>
        </w:rPr>
        <w:t>概况、地块污染识别、初步调查概况</w:t>
      </w:r>
      <w:r>
        <w:rPr>
          <w:rFonts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工作计划</w:t>
      </w:r>
      <w:r>
        <w:rPr>
          <w:rFonts w:ascii="宋体" w:hAnsi="宋体" w:eastAsia="宋体" w:cs="宋体"/>
          <w:sz w:val="21"/>
          <w:szCs w:val="21"/>
          <w:lang w:val="fr-FR" w:eastAsia="zh-CN" w:bidi="ar-SA"/>
        </w:rPr>
        <w:t>、</w:t>
      </w:r>
      <w:r>
        <w:rPr>
          <w:rFonts w:hint="eastAsia" w:ascii="宋体" w:hAnsi="宋体" w:eastAsia="宋体" w:cs="宋体"/>
          <w:sz w:val="21"/>
          <w:szCs w:val="21"/>
          <w:lang w:val="en-US" w:eastAsia="zh-CN" w:bidi="ar-SA"/>
        </w:rPr>
        <w:t>现场采样和实验室分析</w:t>
      </w:r>
      <w:r>
        <w:rPr>
          <w:rFonts w:ascii="宋体" w:hAnsi="宋体" w:eastAsia="宋体" w:cs="宋体"/>
          <w:sz w:val="21"/>
          <w:szCs w:val="21"/>
          <w:lang w:val="fr-FR" w:eastAsia="zh-CN" w:bidi="ar-SA"/>
        </w:rPr>
        <w:t>、结果和分析、结论与建议、附件等。</w:t>
      </w:r>
    </w:p>
    <w:p w14:paraId="61293EE9">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2"/>
          <w:lang w:val="fr-FR" w:eastAsia="en-US" w:bidi="ar-SA"/>
        </w:rPr>
      </w:pPr>
      <w:bookmarkStart w:id="53" w:name="_bookmark35"/>
      <w:bookmarkEnd w:id="53"/>
      <w:bookmarkStart w:id="54" w:name="_bookmark36"/>
      <w:bookmarkEnd w:id="54"/>
      <w:bookmarkStart w:id="55" w:name="_Toc1552"/>
      <w:r>
        <w:rPr>
          <w:rFonts w:hint="eastAsia" w:ascii="黑体" w:hAnsi="宋体" w:eastAsia="黑体" w:cs="宋体"/>
          <w:spacing w:val="-2"/>
          <w:sz w:val="21"/>
          <w:szCs w:val="22"/>
          <w:lang w:val="fr-FR" w:eastAsia="en-US" w:bidi="ar-SA"/>
        </w:rPr>
        <w:t>报告</w:t>
      </w:r>
      <w:r>
        <w:rPr>
          <w:rFonts w:hint="eastAsia" w:ascii="黑体" w:hAnsi="宋体" w:eastAsia="黑体" w:cs="宋体"/>
          <w:spacing w:val="-1"/>
          <w:sz w:val="21"/>
          <w:szCs w:val="21"/>
          <w:lang w:val="fr-FR" w:eastAsia="zh-CN" w:bidi="ar-SA"/>
        </w:rPr>
        <w:t>形式</w:t>
      </w:r>
      <w:r>
        <w:rPr>
          <w:rFonts w:hint="eastAsia" w:ascii="黑体" w:hAnsi="宋体" w:eastAsia="黑体" w:cs="宋体"/>
          <w:spacing w:val="-2"/>
          <w:sz w:val="21"/>
          <w:szCs w:val="22"/>
          <w:lang w:val="fr-FR" w:eastAsia="en-US" w:bidi="ar-SA"/>
        </w:rPr>
        <w:t>要求</w:t>
      </w:r>
      <w:bookmarkEnd w:id="55"/>
    </w:p>
    <w:p w14:paraId="7EA27002">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fr-FR" w:eastAsia="zh-CN" w:bidi="ar-SA"/>
        </w:rPr>
      </w:pPr>
      <w:r>
        <w:rPr>
          <w:rFonts w:hint="eastAsia" w:ascii="宋体" w:hAnsi="宋体" w:eastAsia="宋体" w:cs="宋体"/>
          <w:sz w:val="21"/>
          <w:szCs w:val="21"/>
          <w:lang w:val="en-US" w:eastAsia="zh-CN" w:bidi="ar-SA"/>
        </w:rPr>
        <w:t>报告</w:t>
      </w:r>
      <w:r>
        <w:rPr>
          <w:rFonts w:ascii="宋体" w:hAnsi="宋体" w:eastAsia="宋体" w:cs="宋体"/>
          <w:sz w:val="21"/>
          <w:szCs w:val="21"/>
          <w:lang w:val="fr-FR" w:eastAsia="zh-CN" w:bidi="ar-SA"/>
        </w:rPr>
        <w:t>应附具从业人员责任页，明确项目负责人、各分项工作承担者；从业单位应建立内部审核制度，明确报告的审核、审定人员。</w:t>
      </w:r>
    </w:p>
    <w:p w14:paraId="3ACEA2C0">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hint="eastAsia" w:ascii="宋体" w:hAnsi="宋体" w:eastAsia="宋体" w:cs="宋体"/>
          <w:spacing w:val="-3"/>
          <w:sz w:val="21"/>
          <w:szCs w:val="21"/>
          <w:lang w:val="fr-FR" w:eastAsia="zh-CN" w:bidi="ar-SA"/>
        </w:rPr>
      </w:pPr>
      <w:r>
        <w:rPr>
          <w:rFonts w:ascii="宋体" w:hAnsi="宋体" w:eastAsia="宋体" w:cs="宋体"/>
          <w:sz w:val="21"/>
          <w:szCs w:val="21"/>
          <w:lang w:val="fr-FR" w:eastAsia="zh-CN" w:bidi="ar-SA"/>
        </w:rPr>
        <w:t>报告还应附具土地使用权人（土壤污染责任人）和从业单位对报告真实性、准确性和科学性负责的承诺书。</w:t>
      </w:r>
    </w:p>
    <w:p w14:paraId="5CF77641">
      <w:pPr>
        <w:keepNext w:val="0"/>
        <w:keepLines w:val="0"/>
        <w:pageBreakBefore w:val="0"/>
        <w:widowControl w:val="0"/>
        <w:numPr>
          <w:ilvl w:val="1"/>
          <w:numId w:val="1"/>
        </w:numPr>
        <w:tabs>
          <w:tab w:val="left" w:pos="420"/>
        </w:tabs>
        <w:kinsoku/>
        <w:wordWrap/>
        <w:overflowPunct/>
        <w:topLinePunct w:val="0"/>
        <w:autoSpaceDE w:val="0"/>
        <w:autoSpaceDN w:val="0"/>
        <w:bidi w:val="0"/>
        <w:adjustRightInd w:val="0"/>
        <w:snapToGrid w:val="0"/>
        <w:spacing w:before="0" w:beforeLines="50" w:after="0" w:afterLines="50" w:line="360" w:lineRule="auto"/>
        <w:ind w:left="0" w:leftChars="0" w:firstLine="0" w:firstLineChars="0"/>
        <w:jc w:val="both"/>
        <w:textAlignment w:val="auto"/>
        <w:outlineLvl w:val="2"/>
        <w:rPr>
          <w:rFonts w:ascii="黑体" w:hAnsi="宋体" w:eastAsia="黑体" w:cs="宋体"/>
          <w:sz w:val="21"/>
          <w:szCs w:val="22"/>
          <w:lang w:val="fr-FR" w:eastAsia="en-US" w:bidi="ar-SA"/>
        </w:rPr>
      </w:pPr>
      <w:r>
        <w:rPr>
          <w:rFonts w:hint="eastAsia" w:ascii="黑体" w:hAnsi="宋体" w:eastAsia="黑体" w:cs="宋体"/>
          <w:spacing w:val="-1"/>
          <w:sz w:val="21"/>
          <w:szCs w:val="21"/>
          <w:lang w:val="fr-FR" w:eastAsia="zh-CN" w:bidi="ar-SA"/>
        </w:rPr>
        <w:t>附件</w:t>
      </w:r>
      <w:r>
        <w:rPr>
          <w:rFonts w:hint="eastAsia" w:ascii="黑体" w:hAnsi="宋体" w:eastAsia="黑体" w:cs="宋体"/>
          <w:spacing w:val="-1"/>
          <w:sz w:val="21"/>
          <w:szCs w:val="22"/>
          <w:lang w:val="en-US" w:eastAsia="zh-CN" w:bidi="ar-SA"/>
        </w:rPr>
        <w:t>要求</w:t>
      </w:r>
    </w:p>
    <w:p w14:paraId="619D771C">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报告应包括</w:t>
      </w:r>
      <w:r>
        <w:rPr>
          <w:rFonts w:hint="eastAsia" w:ascii="宋体" w:hAnsi="宋体" w:eastAsia="宋体" w:cs="宋体"/>
          <w:sz w:val="21"/>
          <w:szCs w:val="21"/>
          <w:lang w:val="en-US" w:eastAsia="zh-CN" w:bidi="ar-SA"/>
        </w:rPr>
        <w:t>以下</w:t>
      </w:r>
      <w:r>
        <w:rPr>
          <w:rFonts w:ascii="宋体" w:hAnsi="宋体" w:eastAsia="宋体" w:cs="宋体"/>
          <w:sz w:val="21"/>
          <w:szCs w:val="21"/>
          <w:lang w:val="fr-FR" w:eastAsia="en-US" w:bidi="ar-SA"/>
        </w:rPr>
        <w:t>附件：</w:t>
      </w:r>
    </w:p>
    <w:p w14:paraId="23972761">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大型地块分割依据（收储红线或再开发利用控制性详细规划，如存在地块分割，此附件必备）；</w:t>
      </w:r>
    </w:p>
    <w:p w14:paraId="29687170">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hint="eastAsia"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地块规划资料；</w:t>
      </w:r>
    </w:p>
    <w:p w14:paraId="322A3D40">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jc w:val="both"/>
        <w:textAlignment w:val="auto"/>
        <w:rPr>
          <w:rFonts w:hint="eastAsia"/>
          <w:spacing w:val="-3"/>
          <w:sz w:val="21"/>
          <w:szCs w:val="21"/>
          <w:lang w:eastAsia="zh-CN"/>
        </w:rPr>
        <w:sectPr>
          <w:pgSz w:w="11910" w:h="16840"/>
          <w:pgMar w:top="1417" w:right="1134" w:bottom="1134" w:left="1417" w:header="1417" w:footer="1134" w:gutter="0"/>
          <w:pgNumType w:fmt="decimal"/>
          <w:cols w:space="0" w:num="1"/>
          <w:rtlGutter w:val="0"/>
          <w:docGrid w:linePitch="0" w:charSpace="0"/>
        </w:sectPr>
      </w:pPr>
    </w:p>
    <w:p w14:paraId="30BB714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cs="宋体"/>
          <w:spacing w:val="-3"/>
          <w:sz w:val="21"/>
          <w:szCs w:val="21"/>
          <w:lang w:val="en-US" w:eastAsia="zh-CN" w:bidi="ar-SA"/>
        </w:rPr>
      </w:pPr>
      <w:bookmarkStart w:id="56" w:name="_bookmark38"/>
      <w:bookmarkEnd w:id="56"/>
      <w:bookmarkStart w:id="57" w:name="_bookmark37"/>
      <w:bookmarkEnd w:id="57"/>
      <w:bookmarkStart w:id="58" w:name="_Toc10451"/>
    </w:p>
    <w:bookmarkEnd w:id="58"/>
    <w:p w14:paraId="10309E30">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ascii="宋体" w:hAnsi="宋体" w:eastAsia="宋体" w:cs="宋体"/>
          <w:spacing w:val="-3"/>
          <w:sz w:val="21"/>
          <w:szCs w:val="21"/>
          <w:lang w:val="fr-FR" w:eastAsia="zh-CN" w:bidi="ar-SA"/>
        </w:rPr>
        <w:t>人员访谈记录</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第一阶段报告</w:t>
      </w:r>
      <w:r>
        <w:rPr>
          <w:rFonts w:hint="eastAsia" w:ascii="宋体" w:hAnsi="宋体" w:eastAsia="宋体" w:cs="宋体"/>
          <w:spacing w:val="-3"/>
          <w:sz w:val="21"/>
          <w:szCs w:val="21"/>
          <w:lang w:val="fr-FR" w:eastAsia="zh-CN" w:bidi="ar-SA"/>
        </w:rPr>
        <w:t>）</w:t>
      </w:r>
      <w:r>
        <w:rPr>
          <w:rFonts w:ascii="宋体" w:hAnsi="宋体" w:eastAsia="宋体" w:cs="宋体"/>
          <w:spacing w:val="-3"/>
          <w:sz w:val="21"/>
          <w:szCs w:val="21"/>
          <w:lang w:val="fr-FR" w:eastAsia="zh-CN" w:bidi="ar-SA"/>
        </w:rPr>
        <w:t>；</w:t>
      </w:r>
    </w:p>
    <w:p w14:paraId="2802407C">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土壤、地下水采样关键环节照片，具体要求详见“6.3.4 样品采集”；</w:t>
      </w:r>
    </w:p>
    <w:p w14:paraId="1C9F6586">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土壤钻孔采样记录单，应包括</w:t>
      </w:r>
      <w:r>
        <w:rPr>
          <w:rFonts w:ascii="宋体" w:hAnsi="宋体" w:eastAsia="宋体" w:cs="宋体"/>
          <w:spacing w:val="-3"/>
          <w:sz w:val="21"/>
          <w:szCs w:val="21"/>
          <w:lang w:val="fr-FR" w:eastAsia="zh-CN" w:bidi="ar-SA"/>
        </w:rPr>
        <w:t>采样点位置</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坐标</w:t>
      </w:r>
      <w:r>
        <w:rPr>
          <w:rFonts w:ascii="宋体" w:hAnsi="宋体" w:eastAsia="宋体" w:cs="宋体"/>
          <w:spacing w:val="-3"/>
          <w:sz w:val="21"/>
          <w:szCs w:val="21"/>
          <w:lang w:val="fr-FR" w:eastAsia="zh-CN" w:bidi="ar-SA"/>
        </w:rPr>
        <w:t>、钻孔深度、采样深度、样品</w:t>
      </w:r>
      <w:r>
        <w:rPr>
          <w:rFonts w:hint="eastAsia" w:ascii="宋体" w:hAnsi="宋体" w:eastAsia="宋体" w:cs="宋体"/>
          <w:spacing w:val="-3"/>
          <w:sz w:val="21"/>
          <w:szCs w:val="21"/>
          <w:lang w:val="en-US" w:eastAsia="zh-CN" w:bidi="ar-SA"/>
        </w:rPr>
        <w:t>编号</w:t>
      </w:r>
      <w:r>
        <w:rPr>
          <w:rFonts w:hint="eastAsia" w:ascii="宋体" w:hAnsi="宋体" w:eastAsia="宋体" w:cs="宋体"/>
          <w:spacing w:val="-3"/>
          <w:sz w:val="21"/>
          <w:szCs w:val="21"/>
          <w:lang w:val="fr-FR" w:eastAsia="zh-CN" w:bidi="ar-SA"/>
        </w:rPr>
        <w:t>、</w:t>
      </w:r>
      <w:r>
        <w:rPr>
          <w:rFonts w:hint="eastAsia" w:ascii="宋体" w:hAnsi="宋体" w:eastAsia="宋体" w:cs="宋体"/>
          <w:spacing w:val="-3"/>
          <w:sz w:val="21"/>
          <w:szCs w:val="21"/>
          <w:lang w:val="en-US" w:eastAsia="zh-CN" w:bidi="ar-SA"/>
        </w:rPr>
        <w:t>土层性状描述、现场快速检测设备读数、现场平行样采集情况等信息；</w:t>
      </w:r>
    </w:p>
    <w:p w14:paraId="3F6BEA04">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en-US" w:bidi="ar-SA"/>
        </w:rPr>
      </w:pPr>
      <w:r>
        <w:rPr>
          <w:rFonts w:hint="eastAsia" w:ascii="宋体" w:hAnsi="宋体" w:eastAsia="宋体" w:cs="宋体"/>
          <w:spacing w:val="-3"/>
          <w:sz w:val="21"/>
          <w:szCs w:val="21"/>
          <w:lang w:val="en-US" w:eastAsia="zh-CN" w:bidi="ar-SA"/>
        </w:rPr>
        <w:t>地下水采样井成井记录单，应包括地下水采样井的建井参数，如井深、管材、滤料范围、止水材料范围等；</w:t>
      </w:r>
    </w:p>
    <w:p w14:paraId="2533C939">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地下水采样井洗井记录单，应包括地下水采样井的洗井时间、洗井设备、地下水位变化、洗井水性状、汲水速率、水质参数变化、洗井水总体积等信息；</w:t>
      </w:r>
    </w:p>
    <w:p w14:paraId="5B1DF0C7">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地下水采样记录单，应包括地下水采样井的采样时间、水位埋深、采样设备、汲水速率、水质参数、地下水性状、样品编号、现场平行样采集情况等信息；</w:t>
      </w:r>
    </w:p>
    <w:p w14:paraId="7BF3C2E1">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en-US" w:bidi="ar-SA"/>
        </w:rPr>
      </w:pPr>
      <w:r>
        <w:rPr>
          <w:rFonts w:hint="eastAsia" w:ascii="宋体" w:hAnsi="宋体" w:eastAsia="宋体" w:cs="宋体"/>
          <w:spacing w:val="-3"/>
          <w:sz w:val="21"/>
          <w:szCs w:val="21"/>
          <w:lang w:val="en-US" w:eastAsia="zh-CN" w:bidi="ar-SA"/>
        </w:rPr>
        <w:t>样品流转记录单；</w:t>
      </w:r>
    </w:p>
    <w:p w14:paraId="7823440C">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en-US" w:bidi="ar-SA"/>
        </w:rPr>
      </w:pPr>
      <w:r>
        <w:rPr>
          <w:rFonts w:hint="eastAsia" w:ascii="宋体" w:hAnsi="宋体" w:eastAsia="宋体" w:cs="宋体"/>
          <w:spacing w:val="-3"/>
          <w:sz w:val="21"/>
          <w:szCs w:val="21"/>
          <w:lang w:val="en-US" w:eastAsia="zh-CN" w:bidi="ar-SA"/>
        </w:rPr>
        <w:t>检测</w:t>
      </w:r>
      <w:r>
        <w:rPr>
          <w:rFonts w:ascii="宋体" w:hAnsi="宋体" w:eastAsia="宋体" w:cs="宋体"/>
          <w:spacing w:val="-3"/>
          <w:sz w:val="21"/>
          <w:szCs w:val="21"/>
          <w:lang w:val="fr-FR" w:eastAsia="en-US" w:bidi="ar-SA"/>
        </w:rPr>
        <w:t>实验室资质证明；</w:t>
      </w:r>
    </w:p>
    <w:p w14:paraId="34D1AD88">
      <w:pPr>
        <w:keepNext w:val="0"/>
        <w:keepLines w:val="0"/>
        <w:pageBreakBefore w:val="0"/>
        <w:widowControl w:val="0"/>
        <w:numPr>
          <w:ilvl w:val="0"/>
          <w:numId w:val="26"/>
        </w:numPr>
        <w:kinsoku/>
        <w:wordWrap/>
        <w:overflowPunct/>
        <w:topLinePunct w:val="0"/>
        <w:autoSpaceDE w:val="0"/>
        <w:autoSpaceDN w:val="0"/>
        <w:bidi w:val="0"/>
        <w:adjustRightInd w:val="0"/>
        <w:snapToGrid w:val="0"/>
        <w:spacing w:line="360" w:lineRule="auto"/>
        <w:ind w:left="839" w:hanging="421"/>
        <w:jc w:val="both"/>
        <w:textAlignment w:val="auto"/>
        <w:rPr>
          <w:rFonts w:ascii="宋体" w:hAnsi="宋体" w:eastAsia="宋体" w:cs="宋体"/>
          <w:spacing w:val="-3"/>
          <w:sz w:val="21"/>
          <w:szCs w:val="21"/>
          <w:lang w:val="fr-FR" w:eastAsia="zh-CN" w:bidi="ar-SA"/>
        </w:rPr>
      </w:pPr>
      <w:r>
        <w:rPr>
          <w:rFonts w:hint="eastAsia" w:ascii="宋体" w:hAnsi="宋体" w:eastAsia="宋体" w:cs="宋体"/>
          <w:spacing w:val="-3"/>
          <w:sz w:val="21"/>
          <w:szCs w:val="21"/>
          <w:lang w:val="en-US" w:eastAsia="zh-CN" w:bidi="ar-SA"/>
        </w:rPr>
        <w:t>土壤、地下水样品检测报告。</w:t>
      </w:r>
    </w:p>
    <w:p w14:paraId="0E05540A">
      <w:pPr>
        <w:keepNext w:val="0"/>
        <w:keepLines w:val="0"/>
        <w:pageBreakBefore w:val="0"/>
        <w:widowControl w:val="0"/>
        <w:numPr>
          <w:ilvl w:val="2"/>
          <w:numId w:val="1"/>
        </w:numPr>
        <w:kinsoku/>
        <w:wordWrap/>
        <w:overflowPunct/>
        <w:topLinePunct w:val="0"/>
        <w:autoSpaceDE w:val="0"/>
        <w:autoSpaceDN w:val="0"/>
        <w:bidi w:val="0"/>
        <w:adjustRightInd w:val="0"/>
        <w:snapToGrid w:val="0"/>
        <w:spacing w:before="0" w:after="0" w:line="360" w:lineRule="auto"/>
        <w:ind w:left="0" w:leftChars="0" w:firstLine="0" w:firstLineChars="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土壤污染状况调查报告附件应包括但不限于以上内容。</w:t>
      </w:r>
    </w:p>
    <w:p w14:paraId="183D221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宋体" w:hAnsi="宋体" w:eastAsia="宋体" w:cs="宋体"/>
          <w:sz w:val="21"/>
          <w:szCs w:val="21"/>
          <w:lang w:val="fr-FR" w:eastAsia="en-US" w:bidi="ar-SA"/>
        </w:rPr>
      </w:pPr>
    </w:p>
    <w:p w14:paraId="78988F4C">
      <w:pPr>
        <w:keepNext w:val="0"/>
        <w:keepLines w:val="0"/>
        <w:pageBreakBefore w:val="0"/>
        <w:widowControl w:val="0"/>
        <w:kinsoku/>
        <w:wordWrap/>
        <w:overflowPunct/>
        <w:topLinePunct w:val="0"/>
        <w:autoSpaceDE w:val="0"/>
        <w:autoSpaceDN w:val="0"/>
        <w:bidi w:val="0"/>
        <w:adjustRightInd w:val="0"/>
        <w:snapToGrid w:val="0"/>
        <w:spacing w:line="360" w:lineRule="auto"/>
        <w:ind w:left="295" w:right="533" w:firstLine="420"/>
        <w:jc w:val="both"/>
        <w:textAlignment w:val="auto"/>
        <w:rPr>
          <w:lang w:eastAsia="zh-CN"/>
        </w:rPr>
        <w:sectPr>
          <w:pgSz w:w="11910" w:h="16840"/>
          <w:pgMar w:top="1417" w:right="1417" w:bottom="1134" w:left="1134" w:header="1417" w:footer="1134" w:gutter="0"/>
          <w:pgNumType w:fmt="decimal"/>
          <w:cols w:space="0" w:num="1"/>
          <w:rtlGutter w:val="0"/>
          <w:docGrid w:linePitch="0" w:charSpace="0"/>
        </w:sectPr>
      </w:pPr>
    </w:p>
    <w:p w14:paraId="516C7725">
      <w:pPr>
        <w:keepNext w:val="0"/>
        <w:keepLines w:val="0"/>
        <w:pageBreakBefore w:val="0"/>
        <w:widowControl w:val="0"/>
        <w:tabs>
          <w:tab w:val="left" w:pos="422"/>
          <w:tab w:val="left" w:pos="842"/>
        </w:tabs>
        <w:kinsoku/>
        <w:wordWrap/>
        <w:overflowPunct/>
        <w:topLinePunct w:val="0"/>
        <w:autoSpaceDE w:val="0"/>
        <w:autoSpaceDN w:val="0"/>
        <w:bidi w:val="0"/>
        <w:adjustRightInd w:val="0"/>
        <w:snapToGrid w:val="0"/>
        <w:spacing w:before="850" w:line="240" w:lineRule="auto"/>
        <w:jc w:val="center"/>
        <w:textAlignment w:val="auto"/>
        <w:outlineLvl w:val="1"/>
        <w:rPr>
          <w:rFonts w:ascii="黑体" w:hAnsi="宋体" w:eastAsia="黑体" w:cs="宋体"/>
          <w:sz w:val="21"/>
          <w:szCs w:val="21"/>
          <w:lang w:val="fr-FR" w:eastAsia="zh-CN" w:bidi="ar-SA"/>
        </w:rPr>
      </w:pPr>
      <w:bookmarkStart w:id="59" w:name="_Toc21525"/>
      <w:r>
        <w:rPr>
          <w:rFonts w:hint="eastAsia" w:ascii="黑体" w:hAnsi="宋体" w:eastAsia="黑体" w:cs="宋体"/>
          <w:sz w:val="21"/>
          <w:szCs w:val="21"/>
          <w:lang w:val="fr-FR" w:eastAsia="zh-CN" w:bidi="ar-SA"/>
        </w:rPr>
        <w:t>附录</w:t>
      </w:r>
      <w:r>
        <w:rPr>
          <w:rFonts w:hint="eastAsia" w:ascii="黑体" w:hAnsi="宋体" w:eastAsia="黑体" w:cs="宋体"/>
          <w:sz w:val="21"/>
          <w:szCs w:val="21"/>
          <w:lang w:val="fr-FR" w:eastAsia="zh-CN" w:bidi="ar-SA"/>
        </w:rPr>
        <w:tab/>
      </w:r>
      <w:r>
        <w:rPr>
          <w:rFonts w:hint="eastAsia" w:ascii="黑体" w:hAnsi="宋体" w:eastAsia="黑体" w:cs="宋体"/>
          <w:sz w:val="21"/>
          <w:szCs w:val="21"/>
          <w:lang w:val="fr-FR" w:eastAsia="zh-CN" w:bidi="ar-SA"/>
        </w:rPr>
        <w:t>A</w:t>
      </w:r>
      <w:bookmarkEnd w:id="59"/>
    </w:p>
    <w:p w14:paraId="1BCD85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黑体" w:hAnsi="宋体" w:eastAsia="黑体" w:cs="宋体"/>
          <w:sz w:val="21"/>
          <w:szCs w:val="21"/>
          <w:lang w:val="fr-FR" w:eastAsia="zh-CN" w:bidi="ar-SA"/>
        </w:rPr>
      </w:pPr>
      <w:r>
        <w:rPr>
          <w:rFonts w:hint="eastAsia" w:ascii="黑体" w:hAnsi="宋体" w:eastAsia="黑体" w:cs="宋体"/>
          <w:sz w:val="21"/>
          <w:szCs w:val="21"/>
          <w:lang w:val="fr-FR" w:eastAsia="zh-CN" w:bidi="ar-SA"/>
        </w:rPr>
        <w:t>（资料性）</w:t>
      </w:r>
    </w:p>
    <w:p w14:paraId="589B60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黑体" w:hAnsi="宋体" w:eastAsia="黑体" w:cs="宋体"/>
          <w:sz w:val="21"/>
          <w:szCs w:val="21"/>
          <w:lang w:val="fr-FR" w:eastAsia="zh-CN" w:bidi="ar-SA"/>
        </w:rPr>
      </w:pPr>
      <w:r>
        <w:rPr>
          <w:rFonts w:hint="eastAsia" w:ascii="黑体" w:hAnsi="宋体" w:eastAsia="黑体" w:cs="宋体"/>
          <w:sz w:val="21"/>
          <w:szCs w:val="21"/>
          <w:lang w:val="fr-FR" w:eastAsia="zh-CN" w:bidi="ar-SA"/>
        </w:rPr>
        <w:t>现场踏勘</w:t>
      </w:r>
      <w:r>
        <w:rPr>
          <w:rFonts w:hint="eastAsia" w:ascii="黑体" w:hAnsi="宋体" w:eastAsia="黑体" w:cs="宋体"/>
          <w:sz w:val="21"/>
          <w:szCs w:val="21"/>
          <w:lang w:val="en-US" w:eastAsia="zh-CN" w:bidi="ar-SA"/>
        </w:rPr>
        <w:t>记录</w:t>
      </w:r>
      <w:r>
        <w:rPr>
          <w:rFonts w:hint="eastAsia" w:ascii="黑体" w:hAnsi="宋体" w:eastAsia="黑体" w:cs="宋体"/>
          <w:sz w:val="21"/>
          <w:szCs w:val="21"/>
          <w:lang w:val="fr-FR" w:eastAsia="zh-CN" w:bidi="ar-SA"/>
        </w:rPr>
        <w:t>表</w:t>
      </w:r>
      <w:r>
        <w:rPr>
          <w:rFonts w:hint="eastAsia" w:ascii="黑体" w:hAnsi="宋体" w:eastAsia="黑体" w:cs="宋体"/>
          <w:sz w:val="21"/>
          <w:szCs w:val="21"/>
          <w:lang w:val="en-US" w:eastAsia="zh-CN" w:bidi="ar-SA"/>
        </w:rPr>
        <w:t>参考</w:t>
      </w:r>
      <w:r>
        <w:rPr>
          <w:rFonts w:hint="eastAsia" w:ascii="黑体" w:hAnsi="宋体" w:eastAsia="黑体" w:cs="宋体"/>
          <w:sz w:val="21"/>
          <w:szCs w:val="21"/>
          <w:lang w:val="fr-FR" w:eastAsia="zh-CN" w:bidi="ar-SA"/>
        </w:rPr>
        <w:t>内容与格式</w:t>
      </w:r>
    </w:p>
    <w:p w14:paraId="267BF317">
      <w:pPr>
        <w:keepNext w:val="0"/>
        <w:keepLines w:val="0"/>
        <w:pageBreakBefore w:val="0"/>
        <w:widowControl w:val="0"/>
        <w:kinsoku/>
        <w:wordWrap/>
        <w:overflowPunct/>
        <w:topLinePunct w:val="0"/>
        <w:autoSpaceDE w:val="0"/>
        <w:autoSpaceDN w:val="0"/>
        <w:bidi w:val="0"/>
        <w:adjustRightInd w:val="0"/>
        <w:snapToGrid w:val="0"/>
        <w:spacing w:before="283" w:line="360" w:lineRule="auto"/>
        <w:jc w:val="center"/>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表A</w:t>
      </w:r>
      <w:r>
        <w:rPr>
          <w:rFonts w:hint="eastAsia" w:ascii="宋体" w:hAnsi="宋体" w:eastAsia="宋体" w:cs="宋体"/>
          <w:sz w:val="21"/>
          <w:szCs w:val="21"/>
          <w:lang w:val="en-US" w:eastAsia="zh-CN" w:bidi="ar-SA"/>
        </w:rPr>
        <w:t>.1</w:t>
      </w:r>
      <w:r>
        <w:rPr>
          <w:rFonts w:hint="eastAsia" w:ascii="宋体" w:hAnsi="宋体" w:eastAsia="宋体" w:cs="宋体"/>
          <w:sz w:val="21"/>
          <w:szCs w:val="21"/>
          <w:lang w:val="fr-FR" w:eastAsia="zh-CN" w:bidi="ar-SA"/>
        </w:rPr>
        <w:t xml:space="preserve"> 建设用地土壤污染状况调查现场踏勘记录表</w:t>
      </w:r>
    </w:p>
    <w:tbl>
      <w:tblPr>
        <w:tblStyle w:val="9"/>
        <w:tblW w:w="486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40"/>
        <w:gridCol w:w="5987"/>
        <w:gridCol w:w="981"/>
        <w:gridCol w:w="1203"/>
      </w:tblGrid>
      <w:tr w14:paraId="511FA3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shd w:val="clear" w:color="auto" w:fill="auto"/>
            <w:noWrap/>
            <w:vAlign w:val="center"/>
          </w:tcPr>
          <w:p w14:paraId="379CA26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地块名称</w:t>
            </w:r>
          </w:p>
        </w:tc>
        <w:tc>
          <w:tcPr>
            <w:tcW w:w="3214" w:type="pct"/>
            <w:tcBorders>
              <w:tl2br w:val="nil"/>
              <w:tr2bl w:val="nil"/>
            </w:tcBorders>
            <w:shd w:val="clear" w:color="auto" w:fill="auto"/>
            <w:noWrap/>
            <w:vAlign w:val="center"/>
          </w:tcPr>
          <w:p w14:paraId="0CA6125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7" w:type="pct"/>
            <w:tcBorders>
              <w:tl2br w:val="nil"/>
              <w:tr2bl w:val="nil"/>
            </w:tcBorders>
            <w:shd w:val="clear" w:color="auto" w:fill="auto"/>
            <w:noWrap/>
            <w:vAlign w:val="center"/>
          </w:tcPr>
          <w:p w14:paraId="5293742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踏勘日期</w:t>
            </w:r>
          </w:p>
        </w:tc>
        <w:tc>
          <w:tcPr>
            <w:tcW w:w="646" w:type="pct"/>
            <w:tcBorders>
              <w:tl2br w:val="nil"/>
              <w:tr2bl w:val="nil"/>
            </w:tcBorders>
            <w:shd w:val="clear" w:color="auto" w:fill="auto"/>
            <w:noWrap/>
            <w:vAlign w:val="center"/>
          </w:tcPr>
          <w:p w14:paraId="3930B15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75DE2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shd w:val="clear" w:color="auto" w:fill="auto"/>
            <w:noWrap/>
            <w:vAlign w:val="center"/>
          </w:tcPr>
          <w:p w14:paraId="707F212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踏勘人员</w:t>
            </w:r>
          </w:p>
        </w:tc>
        <w:tc>
          <w:tcPr>
            <w:tcW w:w="3214" w:type="pct"/>
            <w:tcBorders>
              <w:tl2br w:val="nil"/>
              <w:tr2bl w:val="nil"/>
            </w:tcBorders>
            <w:shd w:val="clear" w:color="auto" w:fill="auto"/>
            <w:noWrap/>
            <w:vAlign w:val="center"/>
          </w:tcPr>
          <w:p w14:paraId="065A3D3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Times New Roman" w:hAnsi="Times New Roman" w:eastAsia="宋体" w:cs="Times New Roman"/>
                <w:color w:val="000000"/>
                <w:kern w:val="0"/>
                <w:sz w:val="18"/>
                <w:szCs w:val="18"/>
                <w:lang w:val="fr-FR" w:eastAsia="zh-CN"/>
              </w:rPr>
            </w:pPr>
            <w:r>
              <w:rPr>
                <w:rFonts w:hint="eastAsia" w:ascii="宋体" w:hAnsi="宋体" w:eastAsia="宋体" w:cs="宋体"/>
                <w:kern w:val="0"/>
                <w:sz w:val="18"/>
                <w:szCs w:val="22"/>
                <w:lang w:val="en-US" w:eastAsia="zh-CN"/>
              </w:rPr>
              <w:t>姓名：       单位：                            联系电话：</w:t>
            </w:r>
          </w:p>
        </w:tc>
        <w:tc>
          <w:tcPr>
            <w:tcW w:w="527" w:type="pct"/>
            <w:tcBorders>
              <w:tl2br w:val="nil"/>
              <w:tr2bl w:val="nil"/>
            </w:tcBorders>
            <w:shd w:val="clear" w:color="auto" w:fill="auto"/>
            <w:noWrap/>
            <w:vAlign w:val="center"/>
          </w:tcPr>
          <w:p w14:paraId="173B48D2">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天气状况</w:t>
            </w:r>
          </w:p>
        </w:tc>
        <w:tc>
          <w:tcPr>
            <w:tcW w:w="646" w:type="pct"/>
            <w:tcBorders>
              <w:tl2br w:val="nil"/>
              <w:tr2bl w:val="nil"/>
            </w:tcBorders>
            <w:shd w:val="clear" w:color="auto" w:fill="auto"/>
            <w:noWrap/>
            <w:vAlign w:val="center"/>
          </w:tcPr>
          <w:p w14:paraId="58AA994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2B4BB8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shd w:val="clear" w:color="auto" w:fill="auto"/>
            <w:noWrap/>
            <w:vAlign w:val="center"/>
          </w:tcPr>
          <w:p w14:paraId="41A9165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地块联系人</w:t>
            </w:r>
          </w:p>
        </w:tc>
        <w:tc>
          <w:tcPr>
            <w:tcW w:w="4387" w:type="pct"/>
            <w:gridSpan w:val="3"/>
            <w:tcBorders>
              <w:tl2br w:val="nil"/>
              <w:tr2bl w:val="nil"/>
            </w:tcBorders>
            <w:shd w:val="clear" w:color="auto" w:fill="auto"/>
            <w:noWrap/>
            <w:vAlign w:val="center"/>
          </w:tcPr>
          <w:p w14:paraId="348EDC46">
            <w:pPr>
              <w:keepNext w:val="0"/>
              <w:keepLines w:val="0"/>
              <w:pageBreakBefore w:val="0"/>
              <w:widowControl w:val="0"/>
              <w:suppressLineNumbers w:val="0"/>
              <w:kinsoku/>
              <w:overflowPunct/>
              <w:topLinePunct w:val="0"/>
              <w:autoSpaceDE w:val="0"/>
              <w:autoSpaceDN w:val="0"/>
              <w:bidi w:val="0"/>
              <w:adjustRightInd w:val="0"/>
              <w:snapToGrid w:val="0"/>
              <w:spacing w:before="60" w:beforeLines="25" w:beforeAutospacing="0" w:after="60" w:afterLines="25" w:afterAutospacing="0"/>
              <w:ind w:left="0" w:right="0"/>
              <w:jc w:val="both"/>
              <w:rPr>
                <w:rFonts w:hint="default" w:ascii="Times New Roman" w:hAnsi="Times New Roman" w:eastAsia="宋体" w:cs="Times New Roman"/>
                <w:color w:val="000000"/>
                <w:sz w:val="18"/>
                <w:szCs w:val="18"/>
                <w:lang w:val="fr-FR" w:eastAsia="zh-CN" w:bidi="ar-SA"/>
              </w:rPr>
            </w:pPr>
            <w:r>
              <w:rPr>
                <w:rFonts w:hint="eastAsia" w:ascii="宋体" w:hAnsi="宋体" w:eastAsia="宋体" w:cs="宋体"/>
                <w:sz w:val="18"/>
                <w:szCs w:val="22"/>
                <w:lang w:val="en-US" w:eastAsia="zh-CN" w:bidi="ar-SA"/>
              </w:rPr>
              <w:t>姓名：       单位：                                  职务：           联系电话：</w:t>
            </w:r>
          </w:p>
        </w:tc>
      </w:tr>
      <w:tr w14:paraId="513DB6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612" w:type="pct"/>
            <w:vMerge w:val="restart"/>
            <w:tcBorders>
              <w:tl2br w:val="nil"/>
              <w:tr2bl w:val="nil"/>
            </w:tcBorders>
            <w:shd w:val="clear" w:color="auto" w:fill="auto"/>
            <w:noWrap/>
            <w:vAlign w:val="center"/>
          </w:tcPr>
          <w:p w14:paraId="2B6211C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踏勘重点</w:t>
            </w:r>
          </w:p>
        </w:tc>
        <w:tc>
          <w:tcPr>
            <w:tcW w:w="4387" w:type="pct"/>
            <w:gridSpan w:val="3"/>
            <w:tcBorders>
              <w:tl2br w:val="nil"/>
              <w:tr2bl w:val="nil"/>
            </w:tcBorders>
            <w:shd w:val="clear" w:color="auto" w:fill="auto"/>
            <w:noWrap/>
          </w:tcPr>
          <w:p w14:paraId="1EA61A3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简述地形、地貌现状，重点关注地面扰动，地表堆积等情况</w:t>
            </w:r>
            <w:r>
              <w:rPr>
                <w:rFonts w:hint="eastAsia" w:ascii="Times New Roman" w:hAnsi="Times New Roman" w:eastAsia="宋体" w:cs="Times New Roman"/>
                <w:color w:val="000000"/>
                <w:kern w:val="0"/>
                <w:sz w:val="18"/>
                <w:szCs w:val="18"/>
                <w:lang w:val="en-US" w:eastAsia="zh-CN" w:bidi="ar"/>
              </w:rPr>
              <w:t>：</w:t>
            </w:r>
          </w:p>
        </w:tc>
      </w:tr>
      <w:tr w14:paraId="21343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612" w:type="pct"/>
            <w:vMerge w:val="continue"/>
            <w:tcBorders>
              <w:tl2br w:val="nil"/>
              <w:tr2bl w:val="nil"/>
            </w:tcBorders>
            <w:shd w:val="clear" w:color="auto" w:fill="auto"/>
            <w:noWrap/>
            <w:vAlign w:val="center"/>
          </w:tcPr>
          <w:p w14:paraId="5DFCBF4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gridSpan w:val="3"/>
            <w:tcBorders>
              <w:tl2br w:val="nil"/>
              <w:tr2bl w:val="nil"/>
            </w:tcBorders>
            <w:shd w:val="clear" w:color="auto" w:fill="auto"/>
            <w:noWrap/>
          </w:tcPr>
          <w:p w14:paraId="00BF08F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简述植被覆盖情况，重点关注植被生长异常或损害区域</w:t>
            </w:r>
            <w:r>
              <w:rPr>
                <w:rFonts w:hint="eastAsia" w:ascii="Times New Roman" w:hAnsi="Times New Roman" w:eastAsia="宋体" w:cs="Times New Roman"/>
                <w:color w:val="000000"/>
                <w:kern w:val="0"/>
                <w:sz w:val="18"/>
                <w:szCs w:val="18"/>
                <w:lang w:val="en-US" w:eastAsia="zh-CN" w:bidi="ar"/>
              </w:rPr>
              <w:t>：</w:t>
            </w:r>
          </w:p>
        </w:tc>
      </w:tr>
      <w:tr w14:paraId="658FB3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612" w:type="pct"/>
            <w:vMerge w:val="continue"/>
            <w:tcBorders>
              <w:tl2br w:val="nil"/>
              <w:tr2bl w:val="nil"/>
            </w:tcBorders>
            <w:shd w:val="clear" w:color="auto" w:fill="auto"/>
            <w:noWrap/>
            <w:vAlign w:val="center"/>
          </w:tcPr>
          <w:p w14:paraId="18B8062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gridSpan w:val="3"/>
            <w:tcBorders>
              <w:tl2br w:val="nil"/>
              <w:tr2bl w:val="nil"/>
            </w:tcBorders>
            <w:shd w:val="clear" w:color="auto" w:fill="auto"/>
            <w:noWrap/>
          </w:tcPr>
          <w:p w14:paraId="78F9578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简述地面建构筑物、设施/设备遗留情况，重点关注物料残留、污渍和腐蚀痕迹等问题：</w:t>
            </w:r>
          </w:p>
        </w:tc>
      </w:tr>
      <w:tr w14:paraId="09B694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612" w:type="pct"/>
            <w:vMerge w:val="continue"/>
            <w:tcBorders>
              <w:tl2br w:val="nil"/>
              <w:tr2bl w:val="nil"/>
            </w:tcBorders>
            <w:shd w:val="clear" w:color="auto" w:fill="auto"/>
            <w:noWrap/>
            <w:vAlign w:val="center"/>
          </w:tcPr>
          <w:p w14:paraId="3A2105E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gridSpan w:val="3"/>
            <w:tcBorders>
              <w:tl2br w:val="nil"/>
              <w:tr2bl w:val="nil"/>
            </w:tcBorders>
            <w:shd w:val="clear" w:color="auto" w:fill="auto"/>
            <w:noWrap/>
          </w:tcPr>
          <w:p w14:paraId="025B0CE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简述地块地面防渗、硬化情况，重点关注重点区域破损裂缝、泄露/污染痕迹等问题：</w:t>
            </w:r>
          </w:p>
        </w:tc>
      </w:tr>
      <w:tr w14:paraId="0B023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612" w:type="pct"/>
            <w:vMerge w:val="continue"/>
            <w:tcBorders>
              <w:tl2br w:val="nil"/>
              <w:tr2bl w:val="nil"/>
            </w:tcBorders>
            <w:shd w:val="clear" w:color="auto" w:fill="auto"/>
            <w:noWrap/>
            <w:vAlign w:val="center"/>
          </w:tcPr>
          <w:p w14:paraId="7025317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gridSpan w:val="3"/>
            <w:tcBorders>
              <w:tl2br w:val="nil"/>
              <w:tr2bl w:val="nil"/>
            </w:tcBorders>
            <w:shd w:val="clear" w:color="auto" w:fill="auto"/>
            <w:noWrap/>
          </w:tcPr>
          <w:p w14:paraId="3653FB6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简述遗留地下管线及地下建构筑物分布，重点关注材质、埋藏深度、腐蚀/泄露痕迹等问题</w:t>
            </w:r>
            <w:r>
              <w:rPr>
                <w:rFonts w:hint="eastAsia" w:ascii="Times New Roman" w:hAnsi="Times New Roman" w:eastAsia="宋体" w:cs="Times New Roman"/>
                <w:color w:val="000000"/>
                <w:kern w:val="0"/>
                <w:sz w:val="18"/>
                <w:szCs w:val="18"/>
                <w:lang w:val="en-US" w:eastAsia="zh-CN" w:bidi="ar"/>
              </w:rPr>
              <w:t>：</w:t>
            </w:r>
          </w:p>
        </w:tc>
      </w:tr>
      <w:tr w14:paraId="760BAE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612" w:type="pct"/>
            <w:vMerge w:val="continue"/>
            <w:tcBorders>
              <w:tl2br w:val="nil"/>
              <w:tr2bl w:val="nil"/>
            </w:tcBorders>
            <w:shd w:val="clear" w:color="auto" w:fill="auto"/>
            <w:noWrap/>
            <w:vAlign w:val="center"/>
          </w:tcPr>
          <w:p w14:paraId="103719D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gridSpan w:val="3"/>
            <w:tcBorders>
              <w:tl2br w:val="nil"/>
              <w:tr2bl w:val="nil"/>
            </w:tcBorders>
            <w:shd w:val="clear" w:color="auto" w:fill="auto"/>
          </w:tcPr>
          <w:p w14:paraId="69FFD4C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现场是否有明显积水、沟渠及池塘等，简述位置分布、面积、深度、积水感官性状等</w:t>
            </w:r>
            <w:r>
              <w:rPr>
                <w:rFonts w:hint="eastAsia" w:ascii="Times New Roman" w:hAnsi="Times New Roman" w:eastAsia="宋体" w:cs="Times New Roman"/>
                <w:color w:val="000000"/>
                <w:kern w:val="0"/>
                <w:sz w:val="18"/>
                <w:szCs w:val="18"/>
                <w:lang w:val="en-US" w:eastAsia="zh-CN" w:bidi="ar"/>
              </w:rPr>
              <w:t>：</w:t>
            </w:r>
          </w:p>
        </w:tc>
      </w:tr>
      <w:tr w14:paraId="1273D4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612" w:type="pct"/>
            <w:vMerge w:val="continue"/>
            <w:tcBorders>
              <w:tl2br w:val="nil"/>
              <w:tr2bl w:val="nil"/>
            </w:tcBorders>
            <w:shd w:val="clear" w:color="auto" w:fill="auto"/>
            <w:noWrap/>
            <w:vAlign w:val="center"/>
          </w:tcPr>
          <w:p w14:paraId="7DF3186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gridSpan w:val="3"/>
            <w:tcBorders>
              <w:tl2br w:val="nil"/>
              <w:tr2bl w:val="nil"/>
            </w:tcBorders>
            <w:shd w:val="clear" w:color="auto" w:fill="auto"/>
          </w:tcPr>
          <w:p w14:paraId="5FC5BE4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简述现场污水池、排水管或渠、渗坑等位置分布、材质、污渍和腐蚀痕迹等</w:t>
            </w:r>
            <w:r>
              <w:rPr>
                <w:rFonts w:hint="eastAsia" w:ascii="Times New Roman" w:hAnsi="Times New Roman" w:eastAsia="宋体" w:cs="Times New Roman"/>
                <w:color w:val="000000"/>
                <w:kern w:val="0"/>
                <w:sz w:val="18"/>
                <w:szCs w:val="18"/>
                <w:lang w:val="en-US" w:eastAsia="zh-CN" w:bidi="ar"/>
              </w:rPr>
              <w:t>：</w:t>
            </w:r>
          </w:p>
        </w:tc>
      </w:tr>
      <w:tr w14:paraId="2CB65F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612" w:type="pct"/>
            <w:vMerge w:val="continue"/>
            <w:tcBorders>
              <w:tl2br w:val="nil"/>
              <w:tr2bl w:val="nil"/>
            </w:tcBorders>
            <w:shd w:val="clear" w:color="auto" w:fill="auto"/>
            <w:noWrap/>
            <w:vAlign w:val="center"/>
          </w:tcPr>
          <w:p w14:paraId="73EC565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gridSpan w:val="3"/>
            <w:tcBorders>
              <w:tl2br w:val="nil"/>
              <w:tr2bl w:val="nil"/>
            </w:tcBorders>
            <w:shd w:val="clear" w:color="auto" w:fill="auto"/>
          </w:tcPr>
          <w:p w14:paraId="7191F857">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是否存在固体废物堆放、倾倒、填埋迹象或土壤感官异常迹象</w:t>
            </w:r>
            <w:r>
              <w:rPr>
                <w:rFonts w:hint="default" w:ascii="Times New Roman" w:hAnsi="Times New Roman" w:eastAsia="宋体" w:cs="Times New Roman"/>
                <w:color w:val="000000"/>
                <w:kern w:val="0"/>
                <w:sz w:val="18"/>
                <w:szCs w:val="18"/>
                <w:lang w:val="en-US" w:eastAsia="zh-CN" w:bidi="ar"/>
              </w:rPr>
              <w:br w:type="textWrapping"/>
            </w:r>
            <w:r>
              <w:rPr>
                <w:rFonts w:hint="default" w:ascii="Times New Roman" w:hAnsi="Times New Roman" w:eastAsia="宋体" w:cs="Times New Roman"/>
                <w:color w:val="000000"/>
                <w:kern w:val="0"/>
                <w:sz w:val="18"/>
                <w:szCs w:val="18"/>
                <w:lang w:val="en-US" w:eastAsia="zh-CN" w:bidi="ar"/>
              </w:rPr>
              <w:t>口是</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口否</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如选是，简述位置分布、性状特征</w:t>
            </w:r>
            <w:r>
              <w:rPr>
                <w:rFonts w:hint="eastAsia" w:ascii="Times New Roman" w:hAnsi="Times New Roman" w:eastAsia="宋体" w:cs="Times New Roman"/>
                <w:color w:val="000000"/>
                <w:kern w:val="0"/>
                <w:sz w:val="18"/>
                <w:szCs w:val="18"/>
                <w:lang w:val="en-US" w:eastAsia="zh-CN" w:bidi="ar"/>
              </w:rPr>
              <w:t>：</w:t>
            </w:r>
          </w:p>
        </w:tc>
      </w:tr>
      <w:tr w14:paraId="368800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612" w:type="pct"/>
            <w:vMerge w:val="continue"/>
            <w:tcBorders>
              <w:tl2br w:val="nil"/>
              <w:tr2bl w:val="nil"/>
            </w:tcBorders>
            <w:shd w:val="clear" w:color="auto" w:fill="auto"/>
            <w:noWrap/>
            <w:vAlign w:val="center"/>
          </w:tcPr>
          <w:p w14:paraId="59460E7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gridSpan w:val="3"/>
            <w:tcBorders>
              <w:tl2br w:val="nil"/>
              <w:tr2bl w:val="nil"/>
            </w:tcBorders>
            <w:shd w:val="clear" w:color="auto" w:fill="auto"/>
          </w:tcPr>
          <w:p w14:paraId="208C3B8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是否存在可能影响现场采样的电线、市政工程管道等</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有必要时联系相关部门，现场核实交底</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br w:type="textWrapping"/>
            </w:r>
            <w:r>
              <w:rPr>
                <w:rFonts w:hint="default" w:ascii="Times New Roman" w:hAnsi="Times New Roman" w:eastAsia="宋体" w:cs="Times New Roman"/>
                <w:color w:val="000000"/>
                <w:kern w:val="0"/>
                <w:sz w:val="18"/>
                <w:szCs w:val="18"/>
                <w:lang w:val="en-US" w:eastAsia="zh-CN" w:bidi="ar"/>
              </w:rPr>
              <w:t>口给水管道  口排水管道  口燃气管道  口热力管道  口电力电缆  口电线</w:t>
            </w:r>
          </w:p>
        </w:tc>
      </w:tr>
    </w:tbl>
    <w:p w14:paraId="2591B1E8">
      <w:pPr>
        <w:keepNext w:val="0"/>
        <w:keepLines w:val="0"/>
        <w:pageBreakBefore w:val="0"/>
        <w:kinsoku/>
        <w:overflowPunct/>
        <w:topLinePunct w:val="0"/>
        <w:autoSpaceDE w:val="0"/>
        <w:autoSpaceDN w:val="0"/>
        <w:bidi w:val="0"/>
        <w:adjustRightInd w:val="0"/>
        <w:snapToGrid w:val="0"/>
        <w:rPr>
          <w:lang w:eastAsia="zh-CN"/>
        </w:rPr>
        <w:sectPr>
          <w:pgSz w:w="11910" w:h="16840"/>
          <w:pgMar w:top="1417" w:right="1134" w:bottom="1134" w:left="1417" w:header="1417" w:footer="1134" w:gutter="0"/>
          <w:pgNumType w:fmt="decimal"/>
          <w:cols w:space="0" w:num="1"/>
          <w:rtlGutter w:val="0"/>
          <w:docGrid w:linePitch="0" w:charSpace="0"/>
        </w:sectPr>
      </w:pPr>
    </w:p>
    <w:p w14:paraId="15DA017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tbl>
      <w:tblPr>
        <w:tblStyle w:val="9"/>
        <w:tblW w:w="486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40"/>
        <w:gridCol w:w="8171"/>
      </w:tblGrid>
      <w:tr w14:paraId="41E854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4" w:hRule="atLeast"/>
          <w:jc w:val="center"/>
        </w:trPr>
        <w:tc>
          <w:tcPr>
            <w:tcW w:w="612" w:type="pct"/>
            <w:tcBorders>
              <w:tl2br w:val="nil"/>
              <w:tr2bl w:val="nil"/>
            </w:tcBorders>
            <w:shd w:val="clear" w:color="auto" w:fill="auto"/>
            <w:noWrap/>
            <w:vAlign w:val="center"/>
          </w:tcPr>
          <w:p w14:paraId="53FE368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tcBorders>
              <w:tl2br w:val="nil"/>
              <w:tr2bl w:val="nil"/>
            </w:tcBorders>
            <w:shd w:val="clear" w:color="auto" w:fill="auto"/>
          </w:tcPr>
          <w:p w14:paraId="1BBDA6F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是否具备机械采样作业条件，重点关注地面湿陷、作业空间狭小等问题</w:t>
            </w:r>
            <w:r>
              <w:rPr>
                <w:rFonts w:hint="default" w:ascii="Times New Roman" w:hAnsi="Times New Roman" w:eastAsia="宋体" w:cs="Times New Roman"/>
                <w:color w:val="000000"/>
                <w:kern w:val="0"/>
                <w:sz w:val="18"/>
                <w:szCs w:val="18"/>
                <w:lang w:val="en-US" w:eastAsia="zh-CN" w:bidi="ar"/>
              </w:rPr>
              <w:br w:type="textWrapping"/>
            </w:r>
            <w:r>
              <w:rPr>
                <w:rFonts w:hint="default" w:ascii="Times New Roman" w:hAnsi="Times New Roman" w:eastAsia="宋体" w:cs="Times New Roman"/>
                <w:color w:val="000000"/>
                <w:kern w:val="0"/>
                <w:sz w:val="18"/>
                <w:szCs w:val="18"/>
                <w:lang w:val="en-US" w:eastAsia="zh-CN" w:bidi="ar"/>
              </w:rPr>
              <w:t>口是</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口否</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口其他情况</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简述</w:t>
            </w:r>
            <w:r>
              <w:rPr>
                <w:rFonts w:hint="eastAsia" w:ascii="Times New Roman" w:hAnsi="Times New Roman" w:eastAsia="宋体" w:cs="Times New Roman"/>
                <w:color w:val="000000"/>
                <w:kern w:val="0"/>
                <w:sz w:val="18"/>
                <w:szCs w:val="18"/>
                <w:lang w:val="en-US" w:eastAsia="zh-CN" w:bidi="ar"/>
              </w:rPr>
              <w:t>）：</w:t>
            </w:r>
          </w:p>
        </w:tc>
      </w:tr>
      <w:tr w14:paraId="15226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612" w:type="pct"/>
            <w:vMerge w:val="restart"/>
            <w:tcBorders>
              <w:tl2br w:val="nil"/>
              <w:tr2bl w:val="nil"/>
            </w:tcBorders>
            <w:shd w:val="clear" w:color="auto" w:fill="auto"/>
            <w:vAlign w:val="center"/>
          </w:tcPr>
          <w:p w14:paraId="3850829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周边情况</w:t>
            </w:r>
            <w:r>
              <w:rPr>
                <w:rFonts w:hint="default" w:ascii="Times New Roman" w:hAnsi="Times New Roman" w:eastAsia="宋体" w:cs="Times New Roman"/>
                <w:color w:val="000000"/>
                <w:kern w:val="0"/>
                <w:sz w:val="18"/>
                <w:szCs w:val="18"/>
                <w:lang w:val="en-US" w:eastAsia="zh-CN" w:bidi="ar"/>
              </w:rPr>
              <w:br w:type="textWrapping"/>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重点关注500m范围</w:t>
            </w:r>
            <w:r>
              <w:rPr>
                <w:rFonts w:hint="eastAsia" w:ascii="Times New Roman" w:hAnsi="Times New Roman" w:eastAsia="宋体" w:cs="Times New Roman"/>
                <w:color w:val="000000"/>
                <w:kern w:val="0"/>
                <w:sz w:val="18"/>
                <w:szCs w:val="18"/>
                <w:lang w:val="en-US" w:eastAsia="zh-CN" w:bidi="ar"/>
              </w:rPr>
              <w:t>内）</w:t>
            </w:r>
          </w:p>
        </w:tc>
        <w:tc>
          <w:tcPr>
            <w:tcW w:w="4387" w:type="pct"/>
            <w:tcBorders>
              <w:tl2br w:val="nil"/>
              <w:tr2bl w:val="nil"/>
            </w:tcBorders>
            <w:shd w:val="clear" w:color="auto" w:fill="auto"/>
          </w:tcPr>
          <w:p w14:paraId="7124605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简述地块周边土地利用情况</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包括与地块位置关系、利用现状、是否为环境敏感目标、是否存在可能的污染源及污染途径等</w:t>
            </w:r>
            <w:r>
              <w:rPr>
                <w:rFonts w:hint="eastAsia" w:ascii="Times New Roman" w:hAnsi="Times New Roman" w:eastAsia="宋体" w:cs="Times New Roman"/>
                <w:color w:val="000000"/>
                <w:kern w:val="0"/>
                <w:sz w:val="18"/>
                <w:szCs w:val="18"/>
                <w:lang w:val="en-US" w:eastAsia="zh-CN" w:bidi="ar"/>
              </w:rPr>
              <w:t>）：</w:t>
            </w:r>
          </w:p>
        </w:tc>
      </w:tr>
      <w:tr w14:paraId="71A5A4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612" w:type="pct"/>
            <w:vMerge w:val="continue"/>
            <w:tcBorders>
              <w:tl2br w:val="nil"/>
              <w:tr2bl w:val="nil"/>
            </w:tcBorders>
            <w:shd w:val="clear" w:color="auto" w:fill="auto"/>
            <w:vAlign w:val="center"/>
          </w:tcPr>
          <w:p w14:paraId="262D650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387" w:type="pct"/>
            <w:tcBorders>
              <w:tl2br w:val="nil"/>
              <w:tr2bl w:val="nil"/>
            </w:tcBorders>
            <w:shd w:val="clear" w:color="auto" w:fill="auto"/>
          </w:tcPr>
          <w:p w14:paraId="2BB5C8A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是否存在地表水体、民井、泉眼等</w:t>
            </w:r>
            <w:r>
              <w:rPr>
                <w:rFonts w:hint="default" w:ascii="Times New Roman" w:hAnsi="Times New Roman" w:eastAsia="宋体" w:cs="Times New Roman"/>
                <w:color w:val="000000"/>
                <w:kern w:val="0"/>
                <w:sz w:val="18"/>
                <w:szCs w:val="18"/>
                <w:lang w:val="en-US" w:eastAsia="zh-CN" w:bidi="ar"/>
              </w:rPr>
              <w:br w:type="textWrapping"/>
            </w:r>
            <w:r>
              <w:rPr>
                <w:rFonts w:hint="default" w:ascii="Times New Roman" w:hAnsi="Times New Roman" w:eastAsia="宋体" w:cs="Times New Roman"/>
                <w:color w:val="000000"/>
                <w:kern w:val="0"/>
                <w:sz w:val="18"/>
                <w:szCs w:val="18"/>
                <w:lang w:val="en-US" w:eastAsia="zh-CN" w:bidi="ar"/>
              </w:rPr>
              <w:t>口是</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口否</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如选是，简述位置分布、坐标、感官性状等</w:t>
            </w:r>
          </w:p>
        </w:tc>
      </w:tr>
      <w:tr w14:paraId="4D8A0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612" w:type="pct"/>
            <w:tcBorders>
              <w:tl2br w:val="nil"/>
              <w:tr2bl w:val="nil"/>
            </w:tcBorders>
            <w:shd w:val="clear" w:color="auto" w:fill="auto"/>
            <w:vAlign w:val="center"/>
          </w:tcPr>
          <w:p w14:paraId="50FF930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其他</w:t>
            </w:r>
          </w:p>
        </w:tc>
        <w:tc>
          <w:tcPr>
            <w:tcW w:w="4387" w:type="pct"/>
            <w:tcBorders>
              <w:tl2br w:val="nil"/>
              <w:tr2bl w:val="nil"/>
            </w:tcBorders>
            <w:shd w:val="clear" w:color="auto" w:fill="auto"/>
          </w:tcPr>
          <w:p w14:paraId="49BF532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其他需注明情况：</w:t>
            </w:r>
          </w:p>
        </w:tc>
      </w:tr>
      <w:tr w14:paraId="56B885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54" w:hRule="atLeast"/>
          <w:jc w:val="center"/>
        </w:trPr>
        <w:tc>
          <w:tcPr>
            <w:tcW w:w="5000" w:type="pct"/>
            <w:gridSpan w:val="2"/>
            <w:tcBorders>
              <w:tl2br w:val="nil"/>
              <w:tr2bl w:val="nil"/>
            </w:tcBorders>
            <w:shd w:val="clear" w:color="auto" w:fill="auto"/>
          </w:tcPr>
          <w:p w14:paraId="6E8C35C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top"/>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调查地块及周边平面示意图</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可手绘或使用可获取的卫星影像，异常位置逐一标识，并与现场踏勘照片对应</w:t>
            </w:r>
            <w:r>
              <w:rPr>
                <w:rFonts w:hint="eastAsia" w:ascii="Times New Roman" w:hAnsi="Times New Roman" w:eastAsia="宋体" w:cs="Times New Roman"/>
                <w:color w:val="000000"/>
                <w:kern w:val="0"/>
                <w:sz w:val="18"/>
                <w:szCs w:val="18"/>
                <w:lang w:val="en-US" w:eastAsia="zh-CN" w:bidi="ar"/>
              </w:rPr>
              <w:t>）</w:t>
            </w:r>
          </w:p>
        </w:tc>
      </w:tr>
    </w:tbl>
    <w:p w14:paraId="452EE13D">
      <w:pPr>
        <w:keepNext w:val="0"/>
        <w:keepLines w:val="0"/>
        <w:pageBreakBefore w:val="0"/>
        <w:widowControl w:val="0"/>
        <w:kinsoku/>
        <w:overflowPunct/>
        <w:topLinePunct w:val="0"/>
        <w:autoSpaceDE w:val="0"/>
        <w:autoSpaceDN w:val="0"/>
        <w:bidi w:val="0"/>
        <w:adjustRightInd w:val="0"/>
        <w:snapToGrid w:val="0"/>
        <w:jc w:val="both"/>
        <w:rPr>
          <w:rFonts w:ascii="宋体" w:hAnsi="宋体" w:eastAsia="宋体" w:cs="宋体"/>
          <w:sz w:val="20"/>
          <w:szCs w:val="21"/>
          <w:lang w:val="fr-FR" w:eastAsia="zh-CN" w:bidi="ar-SA"/>
        </w:rPr>
      </w:pPr>
    </w:p>
    <w:p w14:paraId="3E1E7A65">
      <w:pPr>
        <w:keepNext w:val="0"/>
        <w:keepLines w:val="0"/>
        <w:pageBreakBefore w:val="0"/>
        <w:kinsoku/>
        <w:overflowPunct/>
        <w:topLinePunct w:val="0"/>
        <w:autoSpaceDE w:val="0"/>
        <w:autoSpaceDN w:val="0"/>
        <w:bidi w:val="0"/>
        <w:adjustRightInd w:val="0"/>
        <w:snapToGrid w:val="0"/>
        <w:jc w:val="both"/>
        <w:rPr>
          <w:sz w:val="20"/>
          <w:lang w:eastAsia="zh-CN"/>
        </w:rPr>
        <w:sectPr>
          <w:pgSz w:w="11910" w:h="16840"/>
          <w:pgMar w:top="1417" w:right="1417" w:bottom="1134" w:left="1134" w:header="1417" w:footer="1134" w:gutter="0"/>
          <w:pgNumType w:fmt="decimal"/>
          <w:cols w:space="0" w:num="1"/>
          <w:rtlGutter w:val="0"/>
          <w:docGrid w:linePitch="0" w:charSpace="0"/>
        </w:sectPr>
      </w:pPr>
    </w:p>
    <w:p w14:paraId="27F33AD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p w14:paraId="00C86A9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eastAsia="宋体" w:cs="宋体"/>
          <w:sz w:val="21"/>
          <w:szCs w:val="21"/>
          <w:lang w:val="en-US" w:eastAsia="zh-CN" w:bidi="ar-SA"/>
        </w:rPr>
      </w:pPr>
      <w:r>
        <w:rPr>
          <w:rFonts w:hint="eastAsia" w:ascii="宋体" w:hAnsi="宋体" w:eastAsia="宋体" w:cs="宋体"/>
          <w:sz w:val="21"/>
          <w:szCs w:val="21"/>
          <w:lang w:val="fr-FR" w:eastAsia="zh-CN" w:bidi="ar-SA"/>
        </w:rPr>
        <w:t>表A</w:t>
      </w:r>
      <w:r>
        <w:rPr>
          <w:rFonts w:hint="eastAsia" w:ascii="宋体" w:hAnsi="宋体" w:eastAsia="宋体" w:cs="宋体"/>
          <w:sz w:val="21"/>
          <w:szCs w:val="21"/>
          <w:lang w:val="en-US" w:eastAsia="zh-CN" w:bidi="ar-SA"/>
        </w:rPr>
        <w:t>.2</w:t>
      </w:r>
      <w:r>
        <w:rPr>
          <w:rFonts w:hint="eastAsia" w:ascii="宋体" w:hAnsi="宋体" w:eastAsia="宋体" w:cs="宋体"/>
          <w:sz w:val="21"/>
          <w:szCs w:val="21"/>
          <w:lang w:val="fr-FR" w:eastAsia="zh-CN" w:bidi="ar-SA"/>
        </w:rPr>
        <w:t xml:space="preserve"> 建设用地土壤污染状况调查现场踏勘</w:t>
      </w:r>
      <w:r>
        <w:rPr>
          <w:rFonts w:hint="eastAsia" w:ascii="宋体" w:hAnsi="宋体" w:eastAsia="宋体" w:cs="宋体"/>
          <w:sz w:val="21"/>
          <w:szCs w:val="21"/>
          <w:lang w:val="en-US" w:eastAsia="zh-CN" w:bidi="ar-SA"/>
        </w:rPr>
        <w:t>快速检测记录表</w:t>
      </w:r>
    </w:p>
    <w:tbl>
      <w:tblPr>
        <w:tblStyle w:val="9"/>
        <w:tblW w:w="491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26"/>
        <w:gridCol w:w="1509"/>
        <w:gridCol w:w="1103"/>
        <w:gridCol w:w="744"/>
        <w:gridCol w:w="1850"/>
        <w:gridCol w:w="982"/>
        <w:gridCol w:w="824"/>
        <w:gridCol w:w="879"/>
        <w:gridCol w:w="584"/>
        <w:gridCol w:w="582"/>
        <w:gridCol w:w="582"/>
        <w:gridCol w:w="23"/>
        <w:gridCol w:w="559"/>
        <w:gridCol w:w="584"/>
        <w:gridCol w:w="582"/>
        <w:gridCol w:w="582"/>
        <w:gridCol w:w="582"/>
        <w:gridCol w:w="584"/>
      </w:tblGrid>
      <w:tr w14:paraId="265874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63" w:type="pct"/>
            <w:gridSpan w:val="6"/>
            <w:tcBorders>
              <w:tl2br w:val="nil"/>
              <w:tr2bl w:val="nil"/>
            </w:tcBorders>
            <w:shd w:val="clear" w:color="auto" w:fill="auto"/>
            <w:noWrap/>
            <w:vAlign w:val="center"/>
          </w:tcPr>
          <w:p w14:paraId="00C7D25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地块名称</w:t>
            </w:r>
            <w:r>
              <w:rPr>
                <w:rFonts w:hint="eastAsia" w:ascii="Times New Roman" w:hAnsi="Times New Roman" w:eastAsia="宋体" w:cs="Times New Roman"/>
                <w:color w:val="000000"/>
                <w:kern w:val="0"/>
                <w:sz w:val="18"/>
                <w:szCs w:val="18"/>
                <w:lang w:val="en-US" w:eastAsia="zh-CN" w:bidi="ar"/>
              </w:rPr>
              <w:t>：</w:t>
            </w:r>
          </w:p>
        </w:tc>
        <w:tc>
          <w:tcPr>
            <w:tcW w:w="802" w:type="pct"/>
            <w:gridSpan w:val="3"/>
            <w:tcBorders>
              <w:tl2br w:val="nil"/>
              <w:tr2bl w:val="nil"/>
            </w:tcBorders>
            <w:shd w:val="clear" w:color="auto" w:fill="auto"/>
            <w:noWrap/>
            <w:vAlign w:val="center"/>
          </w:tcPr>
          <w:p w14:paraId="204B44E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日期</w:t>
            </w:r>
            <w:r>
              <w:rPr>
                <w:rFonts w:hint="eastAsia" w:ascii="Times New Roman" w:hAnsi="Times New Roman" w:eastAsia="宋体" w:cs="Times New Roman"/>
                <w:color w:val="000000"/>
                <w:kern w:val="0"/>
                <w:sz w:val="18"/>
                <w:szCs w:val="18"/>
                <w:lang w:val="en-US" w:eastAsia="zh-CN" w:bidi="ar"/>
              </w:rPr>
              <w:t>：</w:t>
            </w:r>
          </w:p>
        </w:tc>
        <w:tc>
          <w:tcPr>
            <w:tcW w:w="817" w:type="pct"/>
            <w:gridSpan w:val="5"/>
            <w:tcBorders>
              <w:tl2br w:val="nil"/>
              <w:tr2bl w:val="nil"/>
            </w:tcBorders>
            <w:shd w:val="clear" w:color="auto" w:fill="auto"/>
            <w:noWrap/>
            <w:vAlign w:val="center"/>
          </w:tcPr>
          <w:p w14:paraId="2B676F4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天气</w:t>
            </w:r>
            <w:r>
              <w:rPr>
                <w:rFonts w:hint="eastAsia" w:ascii="Times New Roman" w:hAnsi="Times New Roman" w:eastAsia="宋体" w:cs="Times New Roman"/>
                <w:color w:val="000000"/>
                <w:kern w:val="0"/>
                <w:sz w:val="18"/>
                <w:szCs w:val="18"/>
                <w:lang w:val="en-US" w:eastAsia="zh-CN" w:bidi="ar"/>
              </w:rPr>
              <w:t>：</w:t>
            </w:r>
          </w:p>
        </w:tc>
        <w:tc>
          <w:tcPr>
            <w:tcW w:w="817" w:type="pct"/>
            <w:gridSpan w:val="4"/>
            <w:tcBorders>
              <w:tl2br w:val="nil"/>
              <w:tr2bl w:val="nil"/>
            </w:tcBorders>
            <w:shd w:val="clear" w:color="auto" w:fill="auto"/>
            <w:noWrap/>
            <w:vAlign w:val="center"/>
          </w:tcPr>
          <w:p w14:paraId="7F1F632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rPr>
              <w:t>记录人员：</w:t>
            </w:r>
          </w:p>
        </w:tc>
      </w:tr>
      <w:tr w14:paraId="38D4D4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10" w:type="pct"/>
            <w:gridSpan w:val="3"/>
            <w:tcBorders>
              <w:tl2br w:val="nil"/>
              <w:tr2bl w:val="nil"/>
            </w:tcBorders>
            <w:shd w:val="clear" w:color="auto" w:fill="auto"/>
            <w:noWrap/>
            <w:vAlign w:val="center"/>
          </w:tcPr>
          <w:p w14:paraId="03B3B81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XRF型号</w:t>
            </w:r>
            <w:r>
              <w:rPr>
                <w:rFonts w:hint="eastAsia" w:ascii="Times New Roman" w:hAnsi="Times New Roman" w:eastAsia="宋体" w:cs="Times New Roman"/>
                <w:color w:val="000000"/>
                <w:kern w:val="0"/>
                <w:sz w:val="18"/>
                <w:szCs w:val="18"/>
                <w:lang w:val="en-US" w:eastAsia="zh-CN" w:bidi="ar"/>
              </w:rPr>
              <w:t>：</w:t>
            </w:r>
          </w:p>
        </w:tc>
        <w:tc>
          <w:tcPr>
            <w:tcW w:w="1252" w:type="pct"/>
            <w:gridSpan w:val="3"/>
            <w:tcBorders>
              <w:tl2br w:val="nil"/>
              <w:tr2bl w:val="nil"/>
            </w:tcBorders>
            <w:shd w:val="clear" w:color="auto" w:fill="auto"/>
            <w:noWrap/>
            <w:vAlign w:val="center"/>
          </w:tcPr>
          <w:p w14:paraId="7B12C4F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PID型号</w:t>
            </w:r>
            <w:r>
              <w:rPr>
                <w:rFonts w:hint="eastAsia" w:ascii="Times New Roman" w:hAnsi="Times New Roman" w:eastAsia="宋体" w:cs="Times New Roman"/>
                <w:color w:val="000000"/>
                <w:kern w:val="0"/>
                <w:sz w:val="18"/>
                <w:szCs w:val="18"/>
                <w:lang w:val="en-US" w:eastAsia="zh-CN" w:bidi="ar"/>
              </w:rPr>
              <w:t>：</w:t>
            </w:r>
          </w:p>
        </w:tc>
        <w:tc>
          <w:tcPr>
            <w:tcW w:w="1218" w:type="pct"/>
            <w:gridSpan w:val="6"/>
            <w:tcBorders>
              <w:tl2br w:val="nil"/>
              <w:tr2bl w:val="nil"/>
            </w:tcBorders>
            <w:shd w:val="clear" w:color="auto" w:fill="auto"/>
            <w:vAlign w:val="center"/>
          </w:tcPr>
          <w:p w14:paraId="19E21BA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大气背景PID值</w:t>
            </w:r>
            <w:r>
              <w:rPr>
                <w:rFonts w:hint="eastAsia" w:ascii="Times New Roman" w:hAnsi="Times New Roman" w:eastAsia="宋体" w:cs="Times New Roman"/>
                <w:color w:val="000000"/>
                <w:kern w:val="0"/>
                <w:sz w:val="18"/>
                <w:szCs w:val="18"/>
                <w:lang w:val="en-US" w:eastAsia="zh-CN" w:bidi="ar"/>
              </w:rPr>
              <w:t>：</w:t>
            </w:r>
          </w:p>
        </w:tc>
        <w:tc>
          <w:tcPr>
            <w:tcW w:w="1218" w:type="pct"/>
            <w:gridSpan w:val="6"/>
            <w:tcBorders>
              <w:tl2br w:val="nil"/>
              <w:tr2bl w:val="nil"/>
            </w:tcBorders>
            <w:shd w:val="clear" w:color="auto" w:fill="auto"/>
            <w:vAlign w:val="center"/>
          </w:tcPr>
          <w:p w14:paraId="15C6D097">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自封袋PID值</w:t>
            </w:r>
            <w:r>
              <w:rPr>
                <w:rFonts w:hint="eastAsia" w:ascii="Times New Roman" w:hAnsi="Times New Roman" w:eastAsia="宋体" w:cs="Times New Roman"/>
                <w:color w:val="000000"/>
                <w:kern w:val="0"/>
                <w:sz w:val="18"/>
                <w:szCs w:val="18"/>
                <w:lang w:val="en-US" w:eastAsia="zh-CN" w:bidi="ar"/>
              </w:rPr>
              <w:t>：</w:t>
            </w:r>
          </w:p>
        </w:tc>
      </w:tr>
      <w:tr w14:paraId="04A138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4" w:type="pct"/>
            <w:vMerge w:val="restart"/>
            <w:tcBorders>
              <w:tl2br w:val="nil"/>
              <w:tr2bl w:val="nil"/>
            </w:tcBorders>
            <w:shd w:val="clear" w:color="auto" w:fill="auto"/>
            <w:noWrap/>
            <w:vAlign w:val="center"/>
          </w:tcPr>
          <w:p w14:paraId="2D7F9AC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点位编码</w:t>
            </w:r>
          </w:p>
        </w:tc>
        <w:tc>
          <w:tcPr>
            <w:tcW w:w="529" w:type="pct"/>
            <w:vMerge w:val="restart"/>
            <w:tcBorders>
              <w:tl2br w:val="nil"/>
              <w:tr2bl w:val="nil"/>
            </w:tcBorders>
            <w:shd w:val="clear" w:color="auto" w:fill="auto"/>
            <w:noWrap/>
            <w:vAlign w:val="center"/>
          </w:tcPr>
          <w:p w14:paraId="6C04D3C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坐标</w:t>
            </w:r>
          </w:p>
        </w:tc>
        <w:tc>
          <w:tcPr>
            <w:tcW w:w="648" w:type="pct"/>
            <w:gridSpan w:val="2"/>
            <w:vMerge w:val="restart"/>
            <w:tcBorders>
              <w:tl2br w:val="nil"/>
              <w:tr2bl w:val="nil"/>
            </w:tcBorders>
            <w:shd w:val="clear" w:color="auto" w:fill="auto"/>
            <w:noWrap/>
            <w:vAlign w:val="center"/>
          </w:tcPr>
          <w:p w14:paraId="5578D94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采样位置描述</w:t>
            </w:r>
          </w:p>
        </w:tc>
        <w:tc>
          <w:tcPr>
            <w:tcW w:w="648" w:type="pct"/>
            <w:vMerge w:val="restart"/>
            <w:tcBorders>
              <w:tl2br w:val="nil"/>
              <w:tr2bl w:val="nil"/>
            </w:tcBorders>
            <w:shd w:val="clear" w:color="auto" w:fill="auto"/>
            <w:noWrap/>
            <w:vAlign w:val="center"/>
          </w:tcPr>
          <w:p w14:paraId="4BC674B5">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样品性状描述</w:t>
            </w:r>
          </w:p>
        </w:tc>
        <w:tc>
          <w:tcPr>
            <w:tcW w:w="342" w:type="pct"/>
            <w:vMerge w:val="restart"/>
            <w:tcBorders>
              <w:tl2br w:val="nil"/>
              <w:tr2bl w:val="nil"/>
            </w:tcBorders>
            <w:shd w:val="clear" w:color="auto" w:fill="auto"/>
            <w:vAlign w:val="center"/>
          </w:tcPr>
          <w:p w14:paraId="1E43DB5A">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筛查深度</w:t>
            </w:r>
            <w:r>
              <w:rPr>
                <w:rFonts w:hint="default" w:ascii="Times New Roman" w:hAnsi="Times New Roman" w:eastAsia="宋体" w:cs="Times New Roman"/>
                <w:color w:val="000000"/>
                <w:kern w:val="0"/>
                <w:sz w:val="18"/>
                <w:szCs w:val="18"/>
                <w:lang w:val="en-US" w:eastAsia="zh-CN" w:bidi="ar"/>
              </w:rPr>
              <w:br w:type="textWrapping"/>
            </w:r>
            <w:r>
              <w:rPr>
                <w:rFonts w:hint="default" w:ascii="Times New Roman" w:hAnsi="Times New Roman" w:eastAsia="宋体" w:cs="Times New Roman"/>
                <w:color w:val="000000"/>
                <w:kern w:val="0"/>
                <w:sz w:val="18"/>
                <w:szCs w:val="18"/>
                <w:lang w:val="en-US" w:eastAsia="zh-CN" w:bidi="ar"/>
              </w:rPr>
              <w:t>（m）</w:t>
            </w:r>
          </w:p>
        </w:tc>
        <w:tc>
          <w:tcPr>
            <w:tcW w:w="289" w:type="pct"/>
            <w:vMerge w:val="restart"/>
            <w:tcBorders>
              <w:tl2br w:val="nil"/>
              <w:tr2bl w:val="nil"/>
            </w:tcBorders>
            <w:shd w:val="clear" w:color="auto" w:fill="auto"/>
            <w:noWrap/>
            <w:vAlign w:val="center"/>
          </w:tcPr>
          <w:p w14:paraId="11F04BE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时间</w:t>
            </w:r>
          </w:p>
        </w:tc>
        <w:tc>
          <w:tcPr>
            <w:tcW w:w="308" w:type="pct"/>
            <w:tcBorders>
              <w:tl2br w:val="nil"/>
              <w:tr2bl w:val="nil"/>
            </w:tcBorders>
            <w:shd w:val="clear" w:color="auto" w:fill="auto"/>
            <w:noWrap/>
            <w:vAlign w:val="center"/>
          </w:tcPr>
          <w:p w14:paraId="29BAE87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PID读数</w:t>
            </w:r>
          </w:p>
        </w:tc>
        <w:tc>
          <w:tcPr>
            <w:tcW w:w="1838" w:type="pct"/>
            <w:gridSpan w:val="10"/>
            <w:tcBorders>
              <w:tl2br w:val="nil"/>
              <w:tr2bl w:val="nil"/>
            </w:tcBorders>
            <w:shd w:val="clear" w:color="auto" w:fill="auto"/>
            <w:noWrap/>
            <w:vAlign w:val="center"/>
          </w:tcPr>
          <w:p w14:paraId="56C5830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XRF读数（ppm）</w:t>
            </w:r>
          </w:p>
        </w:tc>
      </w:tr>
      <w:tr w14:paraId="4C8532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4" w:type="pct"/>
            <w:vMerge w:val="continue"/>
            <w:tcBorders>
              <w:tl2br w:val="nil"/>
              <w:tr2bl w:val="nil"/>
            </w:tcBorders>
            <w:shd w:val="clear" w:color="auto" w:fill="auto"/>
            <w:noWrap/>
            <w:vAlign w:val="center"/>
          </w:tcPr>
          <w:p w14:paraId="44D8EDF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529" w:type="pct"/>
            <w:vMerge w:val="continue"/>
            <w:tcBorders>
              <w:tl2br w:val="nil"/>
              <w:tr2bl w:val="nil"/>
            </w:tcBorders>
            <w:shd w:val="clear" w:color="auto" w:fill="auto"/>
            <w:noWrap/>
            <w:vAlign w:val="center"/>
          </w:tcPr>
          <w:p w14:paraId="16CEE2A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48" w:type="pct"/>
            <w:gridSpan w:val="2"/>
            <w:vMerge w:val="continue"/>
            <w:tcBorders>
              <w:tl2br w:val="nil"/>
              <w:tr2bl w:val="nil"/>
            </w:tcBorders>
            <w:shd w:val="clear" w:color="auto" w:fill="auto"/>
            <w:noWrap/>
            <w:vAlign w:val="center"/>
          </w:tcPr>
          <w:p w14:paraId="4F6819D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48" w:type="pct"/>
            <w:vMerge w:val="continue"/>
            <w:tcBorders>
              <w:tl2br w:val="nil"/>
              <w:tr2bl w:val="nil"/>
            </w:tcBorders>
            <w:shd w:val="clear" w:color="auto" w:fill="auto"/>
            <w:noWrap/>
            <w:vAlign w:val="center"/>
          </w:tcPr>
          <w:p w14:paraId="585D9CD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342" w:type="pct"/>
            <w:vMerge w:val="continue"/>
            <w:tcBorders>
              <w:tl2br w:val="nil"/>
              <w:tr2bl w:val="nil"/>
            </w:tcBorders>
            <w:shd w:val="clear" w:color="auto" w:fill="auto"/>
            <w:vAlign w:val="center"/>
          </w:tcPr>
          <w:p w14:paraId="1CA0A65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89" w:type="pct"/>
            <w:vMerge w:val="continue"/>
            <w:tcBorders>
              <w:tl2br w:val="nil"/>
              <w:tr2bl w:val="nil"/>
            </w:tcBorders>
            <w:shd w:val="clear" w:color="auto" w:fill="auto"/>
            <w:noWrap/>
            <w:vAlign w:val="center"/>
          </w:tcPr>
          <w:p w14:paraId="00E3C85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308" w:type="pct"/>
            <w:tcBorders>
              <w:tl2br w:val="nil"/>
              <w:tr2bl w:val="nil"/>
            </w:tcBorders>
            <w:shd w:val="clear" w:color="auto" w:fill="auto"/>
            <w:noWrap/>
            <w:vAlign w:val="center"/>
          </w:tcPr>
          <w:p w14:paraId="5FAB0F3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ppm</w:t>
            </w:r>
          </w:p>
        </w:tc>
        <w:tc>
          <w:tcPr>
            <w:tcW w:w="204" w:type="pct"/>
            <w:tcBorders>
              <w:tl2br w:val="nil"/>
              <w:tr2bl w:val="nil"/>
            </w:tcBorders>
            <w:shd w:val="clear" w:color="auto" w:fill="auto"/>
            <w:noWrap/>
            <w:vAlign w:val="center"/>
          </w:tcPr>
          <w:p w14:paraId="559FAF6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砷</w:t>
            </w:r>
          </w:p>
        </w:tc>
        <w:tc>
          <w:tcPr>
            <w:tcW w:w="204" w:type="pct"/>
            <w:tcBorders>
              <w:tl2br w:val="nil"/>
              <w:tr2bl w:val="nil"/>
            </w:tcBorders>
            <w:shd w:val="clear" w:color="auto" w:fill="auto"/>
            <w:noWrap/>
            <w:vAlign w:val="center"/>
          </w:tcPr>
          <w:p w14:paraId="73BF093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镉</w:t>
            </w:r>
          </w:p>
        </w:tc>
        <w:tc>
          <w:tcPr>
            <w:tcW w:w="204" w:type="pct"/>
            <w:tcBorders>
              <w:tl2br w:val="nil"/>
              <w:tr2bl w:val="nil"/>
            </w:tcBorders>
            <w:shd w:val="clear" w:color="auto" w:fill="auto"/>
            <w:noWrap/>
            <w:vAlign w:val="center"/>
          </w:tcPr>
          <w:p w14:paraId="2F2C455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铬</w:t>
            </w:r>
          </w:p>
        </w:tc>
        <w:tc>
          <w:tcPr>
            <w:tcW w:w="204" w:type="pct"/>
            <w:gridSpan w:val="2"/>
            <w:tcBorders>
              <w:tl2br w:val="nil"/>
              <w:tr2bl w:val="nil"/>
            </w:tcBorders>
            <w:shd w:val="clear" w:color="auto" w:fill="auto"/>
            <w:noWrap/>
            <w:vAlign w:val="center"/>
          </w:tcPr>
          <w:p w14:paraId="2FDA084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铜</w:t>
            </w:r>
          </w:p>
        </w:tc>
        <w:tc>
          <w:tcPr>
            <w:tcW w:w="204" w:type="pct"/>
            <w:tcBorders>
              <w:tl2br w:val="nil"/>
              <w:tr2bl w:val="nil"/>
            </w:tcBorders>
            <w:shd w:val="clear" w:color="auto" w:fill="auto"/>
            <w:noWrap/>
            <w:vAlign w:val="center"/>
          </w:tcPr>
          <w:p w14:paraId="2593544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铅</w:t>
            </w:r>
          </w:p>
        </w:tc>
        <w:tc>
          <w:tcPr>
            <w:tcW w:w="204" w:type="pct"/>
            <w:tcBorders>
              <w:tl2br w:val="nil"/>
              <w:tr2bl w:val="nil"/>
            </w:tcBorders>
            <w:shd w:val="clear" w:color="auto" w:fill="auto"/>
            <w:noWrap/>
            <w:vAlign w:val="center"/>
          </w:tcPr>
          <w:p w14:paraId="659D0A2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汞</w:t>
            </w:r>
          </w:p>
        </w:tc>
        <w:tc>
          <w:tcPr>
            <w:tcW w:w="204" w:type="pct"/>
            <w:tcBorders>
              <w:tl2br w:val="nil"/>
              <w:tr2bl w:val="nil"/>
            </w:tcBorders>
            <w:shd w:val="clear" w:color="auto" w:fill="auto"/>
            <w:noWrap/>
            <w:vAlign w:val="center"/>
          </w:tcPr>
          <w:p w14:paraId="43FFFFA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镍</w:t>
            </w:r>
          </w:p>
        </w:tc>
        <w:tc>
          <w:tcPr>
            <w:tcW w:w="204" w:type="pct"/>
            <w:tcBorders>
              <w:tl2br w:val="nil"/>
              <w:tr2bl w:val="nil"/>
            </w:tcBorders>
            <w:shd w:val="clear" w:color="auto" w:fill="auto"/>
            <w:noWrap/>
            <w:vAlign w:val="center"/>
          </w:tcPr>
          <w:p w14:paraId="5BD018C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锌</w:t>
            </w:r>
          </w:p>
        </w:tc>
        <w:tc>
          <w:tcPr>
            <w:tcW w:w="204" w:type="pct"/>
            <w:tcBorders>
              <w:tl2br w:val="nil"/>
              <w:tr2bl w:val="nil"/>
            </w:tcBorders>
            <w:shd w:val="clear" w:color="auto" w:fill="auto"/>
            <w:noWrap/>
            <w:vAlign w:val="center"/>
          </w:tcPr>
          <w:p w14:paraId="24E4A3C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r>
              <w:rPr>
                <w:rFonts w:hint="eastAsia" w:ascii="Times New Roman" w:hAnsi="Times New Roman" w:eastAsia="宋体" w:cs="Times New Roman"/>
                <w:color w:val="000000"/>
                <w:kern w:val="0"/>
                <w:sz w:val="18"/>
                <w:szCs w:val="18"/>
                <w:lang w:val="en-US" w:eastAsia="zh-CN" w:bidi="ar"/>
              </w:rPr>
              <w:t>…</w:t>
            </w:r>
          </w:p>
        </w:tc>
      </w:tr>
      <w:tr w14:paraId="4FA4A3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394" w:type="pct"/>
            <w:tcBorders>
              <w:tl2br w:val="nil"/>
              <w:tr2bl w:val="nil"/>
            </w:tcBorders>
            <w:shd w:val="clear" w:color="auto" w:fill="auto"/>
            <w:noWrap/>
            <w:vAlign w:val="center"/>
          </w:tcPr>
          <w:p w14:paraId="334B741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7B30696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7AD3105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1CB7F4F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1D91C30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098C910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762AE10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C70AA6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6FE5731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38BEAD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2AD29FA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8023F9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4F6EB1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DD8AD0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818D74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0DB6CF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51CAAA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47C1F63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53C5D6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14A6740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328C7C8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7FC6A12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6D6677D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7E3C3E6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5AE92A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2F5B90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FA7106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7C055A3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5436E6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867301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D45B78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1D35A4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42347F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1D0D8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708CAF7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7A0A736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42EE970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5419F9A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5DB0A70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2C1FC49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1319F4A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BDCEB9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12563E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7ADCAE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6D0A37D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0066C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651EBE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5C9482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351E52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3DFD66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26395B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12D2779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18230D5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02769CF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36F3B2D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1CC4EBE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662A5AB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20803E9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041F04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622BED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85303A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43829D4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A39FAA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6BE1A8D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D7EDB1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0738B9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6D81F3E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4F6FB5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0BC15C7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29C55EF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4A8142D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16AF5A7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2BE341D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60097DD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400A3C8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66DCDF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F864A7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DCE282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590F2B5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222ACF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4592B1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671D4C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3D3DC9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ED5892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19CE70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2B5FF18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4DBE504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00462EC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6C75B24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724A8CC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48372E6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7203E7E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FF28EA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88849C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0ABEE4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71B8AEA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D98D67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6A20F12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7AEFBF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FE7D76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21041F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31F126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5850C96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62D9C4F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2E1DB31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20CA1A4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0A3D056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506BD11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109CAF0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69D390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ACAE5B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683490B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721D475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E4438B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342852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147820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4B08A2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0500D9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78C23C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22563F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0286B9E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3A66001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071BFDD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2FCDDE2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644033C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4FB8D03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06A383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5D6398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6215EE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2BCA5C1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6A26EBC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062352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CA160E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6006DC4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FAB5E3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30364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2FAAD01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5A8EE38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1BCFA5B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5B3B20A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0081CB9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637D0CB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1999718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37353C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60B32D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1BF769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4B8B96F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E3C764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96E341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F7FF7A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CE1C2E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71FD46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4A4073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44BB5F0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375A9A6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2D3E7EF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0FA9241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5CE8358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3491F30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25CA5E4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F7B871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8612B1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CD80E3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55F9E77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FAECCD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8A7478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294EF9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6F739C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AB35B2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603D8E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4CC8F47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15A0713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2A59A50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69B56DC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2444A9A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55221CC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4EE621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655D0E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EC55C2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C1C418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3B6EBAB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332C26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14EBCF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33424CF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1B7AD0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0E9E045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1DF4B7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394" w:type="pct"/>
            <w:tcBorders>
              <w:tl2br w:val="nil"/>
              <w:tr2bl w:val="nil"/>
            </w:tcBorders>
            <w:shd w:val="clear" w:color="auto" w:fill="auto"/>
            <w:noWrap/>
            <w:vAlign w:val="center"/>
          </w:tcPr>
          <w:p w14:paraId="1F292A2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29" w:type="pct"/>
            <w:tcBorders>
              <w:tl2br w:val="nil"/>
              <w:tr2bl w:val="nil"/>
            </w:tcBorders>
            <w:shd w:val="clear" w:color="auto" w:fill="auto"/>
            <w:noWrap/>
            <w:vAlign w:val="center"/>
          </w:tcPr>
          <w:p w14:paraId="54468FF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gridSpan w:val="2"/>
            <w:tcBorders>
              <w:tl2br w:val="nil"/>
              <w:tr2bl w:val="nil"/>
            </w:tcBorders>
            <w:shd w:val="clear" w:color="auto" w:fill="auto"/>
            <w:noWrap/>
            <w:vAlign w:val="center"/>
          </w:tcPr>
          <w:p w14:paraId="1821B8C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48" w:type="pct"/>
            <w:tcBorders>
              <w:tl2br w:val="nil"/>
              <w:tr2bl w:val="nil"/>
            </w:tcBorders>
            <w:shd w:val="clear" w:color="auto" w:fill="auto"/>
            <w:noWrap/>
            <w:vAlign w:val="center"/>
          </w:tcPr>
          <w:p w14:paraId="47C5BAD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42" w:type="pct"/>
            <w:tcBorders>
              <w:tl2br w:val="nil"/>
              <w:tr2bl w:val="nil"/>
            </w:tcBorders>
            <w:shd w:val="clear" w:color="auto" w:fill="auto"/>
            <w:noWrap/>
            <w:vAlign w:val="center"/>
          </w:tcPr>
          <w:p w14:paraId="356BE57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89" w:type="pct"/>
            <w:tcBorders>
              <w:tl2br w:val="nil"/>
              <w:tr2bl w:val="nil"/>
            </w:tcBorders>
            <w:shd w:val="clear" w:color="auto" w:fill="auto"/>
            <w:noWrap/>
            <w:vAlign w:val="center"/>
          </w:tcPr>
          <w:p w14:paraId="11EC757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 w:type="pct"/>
            <w:tcBorders>
              <w:tl2br w:val="nil"/>
              <w:tr2bl w:val="nil"/>
            </w:tcBorders>
            <w:shd w:val="clear" w:color="auto" w:fill="auto"/>
            <w:noWrap/>
            <w:vAlign w:val="center"/>
          </w:tcPr>
          <w:p w14:paraId="582A92A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9952D3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512F6FC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4617D1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gridSpan w:val="2"/>
            <w:tcBorders>
              <w:tl2br w:val="nil"/>
              <w:tr2bl w:val="nil"/>
            </w:tcBorders>
            <w:shd w:val="clear" w:color="auto" w:fill="auto"/>
            <w:noWrap/>
            <w:vAlign w:val="center"/>
          </w:tcPr>
          <w:p w14:paraId="67279D1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66306C3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2C6164D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78118B1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1F01D08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204" w:type="pct"/>
            <w:tcBorders>
              <w:tl2br w:val="nil"/>
              <w:tr2bl w:val="nil"/>
            </w:tcBorders>
            <w:shd w:val="clear" w:color="auto" w:fill="auto"/>
            <w:noWrap/>
            <w:vAlign w:val="center"/>
          </w:tcPr>
          <w:p w14:paraId="4D197B8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bl>
    <w:p w14:paraId="430FCB6A">
      <w:pPr>
        <w:keepNext w:val="0"/>
        <w:keepLines w:val="0"/>
        <w:pageBreakBefore w:val="0"/>
        <w:widowControl w:val="0"/>
        <w:kinsoku/>
        <w:overflowPunct/>
        <w:topLinePunct w:val="0"/>
        <w:autoSpaceDE w:val="0"/>
        <w:autoSpaceDN w:val="0"/>
        <w:bidi w:val="0"/>
        <w:adjustRightInd w:val="0"/>
        <w:snapToGrid w:val="0"/>
        <w:jc w:val="both"/>
        <w:rPr>
          <w:rFonts w:ascii="宋体" w:hAnsi="宋体" w:eastAsia="宋体" w:cs="宋体"/>
          <w:sz w:val="20"/>
          <w:szCs w:val="21"/>
          <w:lang w:val="fr-FR" w:eastAsia="en-US" w:bidi="ar-SA"/>
        </w:rPr>
      </w:pPr>
    </w:p>
    <w:p w14:paraId="6E7E6704">
      <w:pPr>
        <w:keepNext w:val="0"/>
        <w:keepLines w:val="0"/>
        <w:pageBreakBefore w:val="0"/>
        <w:kinsoku/>
        <w:overflowPunct/>
        <w:topLinePunct w:val="0"/>
        <w:autoSpaceDE w:val="0"/>
        <w:autoSpaceDN w:val="0"/>
        <w:bidi w:val="0"/>
        <w:adjustRightInd w:val="0"/>
        <w:snapToGrid w:val="0"/>
        <w:jc w:val="both"/>
        <w:rPr>
          <w:sz w:val="20"/>
        </w:rPr>
        <w:sectPr>
          <w:pgSz w:w="16840" w:h="11910" w:orient="landscape"/>
          <w:pgMar w:top="1417" w:right="1134" w:bottom="1134" w:left="1417" w:header="1417" w:footer="1134" w:gutter="0"/>
          <w:pgNumType w:fmt="decimal"/>
          <w:cols w:space="0" w:num="1"/>
          <w:rtlGutter w:val="0"/>
          <w:docGrid w:linePitch="0" w:charSpace="0"/>
        </w:sectPr>
      </w:pPr>
    </w:p>
    <w:p w14:paraId="09981BFE">
      <w:pPr>
        <w:keepNext w:val="0"/>
        <w:keepLines w:val="0"/>
        <w:pageBreakBefore w:val="0"/>
        <w:widowControl w:val="0"/>
        <w:tabs>
          <w:tab w:val="left" w:pos="422"/>
          <w:tab w:val="left" w:pos="842"/>
        </w:tabs>
        <w:kinsoku/>
        <w:wordWrap/>
        <w:overflowPunct/>
        <w:topLinePunct w:val="0"/>
        <w:autoSpaceDE w:val="0"/>
        <w:autoSpaceDN w:val="0"/>
        <w:bidi w:val="0"/>
        <w:adjustRightInd w:val="0"/>
        <w:snapToGrid w:val="0"/>
        <w:spacing w:before="850" w:line="240" w:lineRule="auto"/>
        <w:jc w:val="center"/>
        <w:textAlignment w:val="auto"/>
        <w:outlineLvl w:val="1"/>
        <w:rPr>
          <w:rFonts w:ascii="黑体" w:hAnsi="宋体" w:eastAsia="黑体" w:cs="宋体"/>
          <w:sz w:val="21"/>
          <w:szCs w:val="21"/>
          <w:lang w:val="en-US" w:eastAsia="zh-CN" w:bidi="ar-SA"/>
        </w:rPr>
      </w:pPr>
      <w:bookmarkStart w:id="60" w:name="_bookmark39"/>
      <w:bookmarkEnd w:id="60"/>
      <w:bookmarkStart w:id="61" w:name="_Toc16291"/>
      <w:r>
        <w:rPr>
          <w:rFonts w:hint="eastAsia" w:ascii="黑体" w:hAnsi="宋体" w:eastAsia="黑体" w:cs="宋体"/>
          <w:sz w:val="21"/>
          <w:szCs w:val="21"/>
          <w:lang w:val="fr-FR" w:eastAsia="en-US" w:bidi="ar-SA"/>
        </w:rPr>
        <w:t>附录</w:t>
      </w:r>
      <w:r>
        <w:rPr>
          <w:rFonts w:hint="eastAsia" w:ascii="黑体" w:hAnsi="宋体" w:eastAsia="黑体" w:cs="宋体"/>
          <w:sz w:val="21"/>
          <w:szCs w:val="21"/>
          <w:lang w:val="fr-FR" w:eastAsia="en-US" w:bidi="ar-SA"/>
        </w:rPr>
        <w:tab/>
      </w:r>
      <w:r>
        <w:rPr>
          <w:rFonts w:hint="eastAsia" w:ascii="黑体" w:hAnsi="宋体" w:eastAsia="黑体" w:cs="宋体"/>
          <w:sz w:val="21"/>
          <w:szCs w:val="21"/>
          <w:lang w:val="en-US" w:eastAsia="zh-CN" w:bidi="ar-SA"/>
        </w:rPr>
        <w:t>B</w:t>
      </w:r>
      <w:bookmarkEnd w:id="61"/>
    </w:p>
    <w:p w14:paraId="122A37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黑体" w:hAnsi="宋体" w:eastAsia="黑体" w:cs="宋体"/>
          <w:sz w:val="21"/>
          <w:szCs w:val="21"/>
          <w:lang w:val="fr-FR" w:eastAsia="en-US" w:bidi="ar-SA"/>
        </w:rPr>
      </w:pPr>
      <w:r>
        <w:rPr>
          <w:rFonts w:hint="eastAsia" w:ascii="黑体" w:hAnsi="宋体" w:eastAsia="黑体" w:cs="宋体"/>
          <w:sz w:val="21"/>
          <w:szCs w:val="21"/>
          <w:lang w:val="fr-FR" w:eastAsia="en-US" w:bidi="ar-SA"/>
        </w:rPr>
        <w:t>（资料性）</w:t>
      </w:r>
    </w:p>
    <w:p w14:paraId="16D2CE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黑体" w:hAnsi="宋体" w:eastAsia="黑体" w:cs="宋体"/>
          <w:sz w:val="21"/>
          <w:szCs w:val="21"/>
          <w:lang w:val="fr-FR" w:eastAsia="zh-CN" w:bidi="ar-SA"/>
        </w:rPr>
      </w:pPr>
      <w:r>
        <w:rPr>
          <w:rFonts w:hint="eastAsia" w:ascii="黑体" w:hAnsi="宋体" w:eastAsia="黑体" w:cs="宋体"/>
          <w:sz w:val="21"/>
          <w:szCs w:val="21"/>
          <w:lang w:val="fr-FR" w:eastAsia="zh-CN" w:bidi="ar-SA"/>
        </w:rPr>
        <w:t>人员访谈</w:t>
      </w:r>
      <w:r>
        <w:rPr>
          <w:rFonts w:hint="eastAsia" w:ascii="黑体" w:hAnsi="宋体" w:eastAsia="黑体" w:cs="宋体"/>
          <w:sz w:val="21"/>
          <w:szCs w:val="21"/>
          <w:lang w:val="en-US" w:eastAsia="zh-CN" w:bidi="ar-SA"/>
        </w:rPr>
        <w:t>记录</w:t>
      </w:r>
      <w:r>
        <w:rPr>
          <w:rFonts w:hint="eastAsia" w:ascii="黑体" w:hAnsi="宋体" w:eastAsia="黑体" w:cs="宋体"/>
          <w:sz w:val="21"/>
          <w:szCs w:val="21"/>
          <w:lang w:val="fr-FR" w:eastAsia="zh-CN" w:bidi="ar-SA"/>
        </w:rPr>
        <w:t>表</w:t>
      </w:r>
      <w:r>
        <w:rPr>
          <w:rFonts w:hint="eastAsia" w:ascii="黑体" w:hAnsi="宋体" w:eastAsia="黑体" w:cs="宋体"/>
          <w:sz w:val="21"/>
          <w:szCs w:val="21"/>
          <w:lang w:val="en-US" w:eastAsia="zh-CN" w:bidi="ar-SA"/>
        </w:rPr>
        <w:t>参考</w:t>
      </w:r>
      <w:r>
        <w:rPr>
          <w:rFonts w:hint="eastAsia" w:ascii="黑体" w:hAnsi="宋体" w:eastAsia="黑体" w:cs="宋体"/>
          <w:sz w:val="21"/>
          <w:szCs w:val="21"/>
          <w:lang w:val="fr-FR" w:eastAsia="zh-CN" w:bidi="ar-SA"/>
        </w:rPr>
        <w:t>内容与格式</w:t>
      </w:r>
    </w:p>
    <w:p w14:paraId="79018E67">
      <w:pPr>
        <w:keepNext w:val="0"/>
        <w:keepLines w:val="0"/>
        <w:pageBreakBefore w:val="0"/>
        <w:widowControl w:val="0"/>
        <w:kinsoku/>
        <w:wordWrap/>
        <w:overflowPunct/>
        <w:topLinePunct w:val="0"/>
        <w:autoSpaceDE w:val="0"/>
        <w:autoSpaceDN w:val="0"/>
        <w:bidi w:val="0"/>
        <w:adjustRightInd w:val="0"/>
        <w:snapToGrid w:val="0"/>
        <w:spacing w:before="283" w:line="360" w:lineRule="auto"/>
        <w:jc w:val="center"/>
        <w:textAlignment w:val="auto"/>
        <w:rPr>
          <w:rFonts w:ascii="宋体" w:hAnsi="宋体" w:eastAsia="宋体" w:cs="宋体"/>
          <w:sz w:val="21"/>
          <w:szCs w:val="21"/>
          <w:lang w:val="fr-FR" w:eastAsia="zh-CN" w:bidi="ar-SA"/>
        </w:rPr>
      </w:pPr>
      <w:r>
        <w:rPr>
          <w:rFonts w:hint="eastAsia" w:ascii="宋体" w:hAnsi="宋体" w:eastAsia="宋体" w:cs="宋体"/>
          <w:sz w:val="21"/>
          <w:szCs w:val="21"/>
          <w:lang w:val="fr-FR" w:eastAsia="zh-CN" w:bidi="ar-SA"/>
        </w:rPr>
        <w:t>表</w:t>
      </w:r>
      <w:r>
        <w:rPr>
          <w:rFonts w:hint="eastAsia" w:ascii="宋体" w:hAnsi="宋体" w:eastAsia="宋体" w:cs="宋体"/>
          <w:sz w:val="21"/>
          <w:szCs w:val="21"/>
          <w:lang w:val="en-US" w:eastAsia="zh-CN" w:bidi="ar-SA"/>
        </w:rPr>
        <w:t>B</w:t>
      </w:r>
      <w:r>
        <w:rPr>
          <w:rFonts w:hint="eastAsia" w:ascii="宋体" w:hAnsi="宋体" w:eastAsia="宋体" w:cs="宋体"/>
          <w:sz w:val="21"/>
          <w:szCs w:val="21"/>
          <w:lang w:val="fr-FR" w:eastAsia="zh-CN" w:bidi="ar-SA"/>
        </w:rPr>
        <w:t xml:space="preserve"> 建设用地土壤污染状况调查</w:t>
      </w:r>
      <w:r>
        <w:rPr>
          <w:rFonts w:hint="eastAsia" w:ascii="宋体" w:hAnsi="宋体" w:eastAsia="宋体" w:cs="宋体"/>
          <w:sz w:val="21"/>
          <w:szCs w:val="21"/>
          <w:lang w:val="en-US" w:eastAsia="zh-CN" w:bidi="ar-SA"/>
        </w:rPr>
        <w:t>人员</w:t>
      </w:r>
      <w:r>
        <w:rPr>
          <w:rFonts w:hint="eastAsia" w:ascii="宋体" w:hAnsi="宋体" w:eastAsia="宋体" w:cs="宋体"/>
          <w:sz w:val="21"/>
          <w:szCs w:val="21"/>
          <w:lang w:val="fr-FR" w:eastAsia="zh-CN" w:bidi="ar-SA"/>
        </w:rPr>
        <w:t>访谈</w:t>
      </w:r>
      <w:r>
        <w:rPr>
          <w:rFonts w:hint="eastAsia" w:ascii="宋体" w:hAnsi="宋体" w:eastAsia="宋体" w:cs="宋体"/>
          <w:sz w:val="21"/>
          <w:szCs w:val="21"/>
          <w:lang w:val="en-US" w:eastAsia="zh-CN" w:bidi="ar-SA"/>
        </w:rPr>
        <w:t>记录</w:t>
      </w:r>
      <w:r>
        <w:rPr>
          <w:rFonts w:hint="eastAsia" w:ascii="宋体" w:hAnsi="宋体" w:eastAsia="宋体" w:cs="宋体"/>
          <w:sz w:val="21"/>
          <w:szCs w:val="21"/>
          <w:lang w:val="fr-FR" w:eastAsia="zh-CN" w:bidi="ar-SA"/>
        </w:rPr>
        <w:t>表</w:t>
      </w:r>
    </w:p>
    <w:tbl>
      <w:tblPr>
        <w:tblStyle w:val="9"/>
        <w:tblW w:w="936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98"/>
        <w:gridCol w:w="545"/>
        <w:gridCol w:w="5305"/>
        <w:gridCol w:w="964"/>
        <w:gridCol w:w="2149"/>
      </w:tblGrid>
      <w:tr w14:paraId="083567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3" w:type="dxa"/>
            <w:gridSpan w:val="2"/>
            <w:tcBorders>
              <w:tl2br w:val="nil"/>
              <w:tr2bl w:val="nil"/>
            </w:tcBorders>
            <w:vAlign w:val="center"/>
          </w:tcPr>
          <w:p w14:paraId="197638B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地块名称</w:t>
            </w:r>
          </w:p>
        </w:tc>
        <w:tc>
          <w:tcPr>
            <w:tcW w:w="5305" w:type="dxa"/>
            <w:tcBorders>
              <w:tl2br w:val="nil"/>
              <w:tr2bl w:val="nil"/>
            </w:tcBorders>
            <w:vAlign w:val="center"/>
          </w:tcPr>
          <w:p w14:paraId="3446F0A3">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rPr>
                <w:rFonts w:hint="default" w:ascii="宋体" w:hAnsi="宋体" w:eastAsia="宋体" w:cs="宋体"/>
                <w:sz w:val="18"/>
                <w:szCs w:val="22"/>
                <w:lang w:val="en-US" w:eastAsia="zh-CN" w:bidi="ar-SA"/>
              </w:rPr>
            </w:pPr>
          </w:p>
        </w:tc>
        <w:tc>
          <w:tcPr>
            <w:tcW w:w="964" w:type="dxa"/>
            <w:tcBorders>
              <w:tl2br w:val="nil"/>
              <w:tr2bl w:val="nil"/>
            </w:tcBorders>
            <w:vAlign w:val="center"/>
          </w:tcPr>
          <w:p w14:paraId="4832758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访谈日期</w:t>
            </w:r>
          </w:p>
        </w:tc>
        <w:tc>
          <w:tcPr>
            <w:tcW w:w="2149" w:type="dxa"/>
            <w:tcBorders>
              <w:tl2br w:val="nil"/>
              <w:tr2bl w:val="nil"/>
            </w:tcBorders>
            <w:vAlign w:val="center"/>
          </w:tcPr>
          <w:p w14:paraId="55762ED1">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rPr>
                <w:rFonts w:hint="default" w:ascii="宋体" w:hAnsi="宋体" w:eastAsia="宋体" w:cs="宋体"/>
                <w:sz w:val="18"/>
                <w:szCs w:val="22"/>
                <w:lang w:val="en-US" w:eastAsia="zh-CN" w:bidi="ar-SA"/>
              </w:rPr>
            </w:pPr>
          </w:p>
        </w:tc>
      </w:tr>
      <w:tr w14:paraId="4C6DB4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3" w:type="dxa"/>
            <w:gridSpan w:val="2"/>
            <w:tcBorders>
              <w:tl2br w:val="nil"/>
              <w:tr2bl w:val="nil"/>
            </w:tcBorders>
            <w:vAlign w:val="center"/>
          </w:tcPr>
          <w:p w14:paraId="67711EA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访谈人员</w:t>
            </w:r>
          </w:p>
        </w:tc>
        <w:tc>
          <w:tcPr>
            <w:tcW w:w="8418" w:type="dxa"/>
            <w:gridSpan w:val="3"/>
            <w:tcBorders>
              <w:tl2br w:val="nil"/>
              <w:tr2bl w:val="nil"/>
            </w:tcBorders>
            <w:vAlign w:val="center"/>
          </w:tcPr>
          <w:p w14:paraId="41DBBDA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rPr>
                <w:rFonts w:hint="default" w:ascii="宋体" w:hAnsi="宋体" w:eastAsia="宋体" w:cs="宋体"/>
                <w:sz w:val="18"/>
                <w:szCs w:val="22"/>
                <w:lang w:val="fr-FR" w:eastAsia="zh-CN" w:bidi="ar-SA"/>
              </w:rPr>
            </w:pPr>
            <w:r>
              <w:rPr>
                <w:rFonts w:hint="eastAsia" w:ascii="宋体" w:hAnsi="宋体" w:eastAsia="宋体" w:cs="宋体"/>
                <w:sz w:val="18"/>
                <w:szCs w:val="22"/>
                <w:lang w:val="en-US" w:eastAsia="zh-CN" w:bidi="ar-SA"/>
              </w:rPr>
              <w:t>姓名：        单位：                                            联系电话：</w:t>
            </w:r>
          </w:p>
        </w:tc>
      </w:tr>
      <w:tr w14:paraId="7CFCF2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57" w:hRule="atLeast"/>
          <w:jc w:val="center"/>
        </w:trPr>
        <w:tc>
          <w:tcPr>
            <w:tcW w:w="943" w:type="dxa"/>
            <w:gridSpan w:val="2"/>
            <w:vMerge w:val="restart"/>
            <w:tcBorders>
              <w:tl2br w:val="nil"/>
              <w:tr2bl w:val="nil"/>
            </w:tcBorders>
            <w:vAlign w:val="center"/>
          </w:tcPr>
          <w:p w14:paraId="5BC13EE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受访人员</w:t>
            </w:r>
          </w:p>
        </w:tc>
        <w:tc>
          <w:tcPr>
            <w:tcW w:w="8418" w:type="dxa"/>
            <w:gridSpan w:val="3"/>
            <w:tcBorders>
              <w:tl2br w:val="nil"/>
              <w:tr2bl w:val="nil"/>
            </w:tcBorders>
            <w:vAlign w:val="center"/>
          </w:tcPr>
          <w:p w14:paraId="7A909DB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1260" w:right="0" w:hanging="1260" w:hangingChars="70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受访对象类型：</w:t>
            </w:r>
            <w:r>
              <w:rPr>
                <w:rFonts w:hint="eastAsia" w:ascii="宋体" w:hAnsi="宋体" w:eastAsia="宋体" w:cs="宋体"/>
                <w:sz w:val="18"/>
                <w:szCs w:val="18"/>
                <w:lang w:val="en-US" w:eastAsia="zh-CN" w:bidi="ar-SA"/>
              </w:rPr>
              <w:t>（1）</w:t>
            </w:r>
            <w:r>
              <w:rPr>
                <w:rFonts w:hint="eastAsia" w:ascii="宋体" w:hAnsi="宋体" w:eastAsia="宋体" w:cs="宋体"/>
                <w:sz w:val="18"/>
                <w:szCs w:val="22"/>
                <w:lang w:val="fr-FR" w:eastAsia="zh-CN" w:bidi="ar-SA"/>
              </w:rPr>
              <w:t>□</w:t>
            </w:r>
            <w:r>
              <w:rPr>
                <w:rFonts w:hint="eastAsia" w:ascii="宋体" w:hAnsi="宋体" w:eastAsia="宋体" w:cs="宋体"/>
                <w:sz w:val="18"/>
                <w:szCs w:val="18"/>
                <w:lang w:val="fr-FR" w:eastAsia="zh-CN" w:bidi="ar-SA"/>
              </w:rPr>
              <w:t>地块使用者</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w:t>
            </w:r>
            <w:r>
              <w:rPr>
                <w:rFonts w:hint="eastAsia" w:ascii="宋体" w:hAnsi="宋体" w:eastAsia="宋体" w:cs="宋体"/>
                <w:sz w:val="18"/>
                <w:szCs w:val="18"/>
                <w:lang w:val="en-US" w:eastAsia="zh-CN" w:bidi="ar-SA"/>
              </w:rPr>
              <w:t>企业管理人员</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w:t>
            </w:r>
            <w:r>
              <w:rPr>
                <w:rFonts w:hint="eastAsia" w:ascii="宋体" w:hAnsi="宋体" w:eastAsia="宋体" w:cs="宋体"/>
                <w:sz w:val="18"/>
                <w:szCs w:val="18"/>
                <w:lang w:val="en-US" w:eastAsia="zh-CN" w:bidi="ar-SA"/>
              </w:rPr>
              <w:t>企业员工</w:t>
            </w:r>
          </w:p>
          <w:p w14:paraId="38311098">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1260" w:firstLineChars="70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（2）</w:t>
            </w:r>
            <w:r>
              <w:rPr>
                <w:rFonts w:hint="eastAsia"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生态环境部门管理人员</w:t>
            </w:r>
          </w:p>
          <w:p w14:paraId="2DBF4FD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1260" w:firstLineChars="70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（3）</w:t>
            </w:r>
            <w:r>
              <w:rPr>
                <w:rFonts w:hint="eastAsia"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 xml:space="preserve">地块管理机构管理人员  </w:t>
            </w:r>
            <w:r>
              <w:rPr>
                <w:rFonts w:hint="eastAsia"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政府管理人员</w:t>
            </w:r>
          </w:p>
          <w:p w14:paraId="2A3D40E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1203" w:leftChars="573" w:right="0"/>
              <w:jc w:val="both"/>
              <w:rPr>
                <w:rFonts w:hint="default" w:ascii="宋体" w:hAnsi="宋体" w:eastAsia="宋体" w:cs="宋体"/>
                <w:sz w:val="18"/>
                <w:szCs w:val="22"/>
                <w:u w:val="single"/>
                <w:lang w:val="en-US" w:eastAsia="zh-CN" w:bidi="ar-SA"/>
              </w:rPr>
            </w:pPr>
            <w:r>
              <w:rPr>
                <w:rFonts w:hint="eastAsia"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4</w:t>
            </w:r>
            <w:r>
              <w:rPr>
                <w:rFonts w:hint="eastAsia"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 xml:space="preserve">地块周边区域工作人员  </w:t>
            </w:r>
            <w:r>
              <w:rPr>
                <w:rFonts w:hint="eastAsia"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 xml:space="preserve">地块周边区域居民  </w:t>
            </w:r>
            <w:r>
              <w:rPr>
                <w:rFonts w:hint="eastAsia" w:ascii="宋体" w:hAnsi="宋体" w:eastAsia="宋体" w:cs="宋体"/>
                <w:sz w:val="18"/>
                <w:szCs w:val="22"/>
                <w:lang w:val="fr-FR" w:eastAsia="zh-CN" w:bidi="ar-SA"/>
              </w:rPr>
              <w:t>□其</w:t>
            </w:r>
            <w:r>
              <w:rPr>
                <w:rFonts w:hint="eastAsia" w:ascii="宋体" w:hAnsi="宋体" w:eastAsia="宋体" w:cs="宋体"/>
                <w:spacing w:val="-3"/>
                <w:sz w:val="18"/>
                <w:szCs w:val="22"/>
                <w:lang w:val="fr-FR" w:eastAsia="zh-CN" w:bidi="ar-SA"/>
              </w:rPr>
              <w:t>他：</w:t>
            </w:r>
            <w:r>
              <w:rPr>
                <w:rFonts w:hint="eastAsia" w:ascii="宋体" w:hAnsi="宋体" w:eastAsia="宋体" w:cs="宋体"/>
                <w:sz w:val="18"/>
                <w:szCs w:val="22"/>
                <w:u w:val="single"/>
                <w:lang w:val="en-US" w:eastAsia="zh-CN" w:bidi="ar-SA"/>
              </w:rPr>
              <w:t xml:space="preserve">                  </w:t>
            </w:r>
          </w:p>
          <w:p w14:paraId="3673773D">
            <w:pPr>
              <w:keepNext w:val="0"/>
              <w:keepLines w:val="0"/>
              <w:pageBreakBefore w:val="0"/>
              <w:widowControl w:val="0"/>
              <w:suppressLineNumbers w:val="0"/>
              <w:kinsoku/>
              <w:overflowPunct/>
              <w:topLinePunct w:val="0"/>
              <w:autoSpaceDE w:val="0"/>
              <w:autoSpaceDN w:val="0"/>
              <w:bidi w:val="0"/>
              <w:adjustRightInd w:val="0"/>
              <w:snapToGrid w:val="0"/>
              <w:spacing w:before="120" w:beforeLines="50" w:beforeAutospacing="0" w:after="120" w:afterLines="50" w:afterAutospacing="0"/>
              <w:ind w:left="0" w:right="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姓名：        单位：                                  职务：           联系电话：</w:t>
            </w:r>
          </w:p>
          <w:p w14:paraId="656293D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en-US" w:eastAsia="zh-CN" w:bidi="ar-SA"/>
              </w:rPr>
            </w:pPr>
            <w:r>
              <w:rPr>
                <w:rFonts w:hint="default" w:ascii="宋体" w:hAnsi="宋体" w:eastAsia="宋体" w:cs="宋体"/>
                <w:sz w:val="18"/>
                <w:szCs w:val="22"/>
                <w:lang w:val="fr-FR" w:eastAsia="zh-CN" w:bidi="ar-SA"/>
              </w:rPr>
              <w:t>工作或居住时间</w:t>
            </w:r>
            <w:r>
              <w:rPr>
                <w:rFonts w:hint="eastAsia" w:ascii="宋体" w:hAnsi="宋体" w:eastAsia="宋体" w:cs="宋体"/>
                <w:sz w:val="18"/>
                <w:szCs w:val="22"/>
                <w:lang w:val="fr-FR" w:eastAsia="zh-CN" w:bidi="ar-SA"/>
              </w:rPr>
              <w:t>：</w:t>
            </w:r>
            <w:r>
              <w:rPr>
                <w:rFonts w:hint="default" w:ascii="宋体" w:hAnsi="宋体" w:eastAsia="宋体" w:cs="宋体"/>
                <w:sz w:val="18"/>
                <w:szCs w:val="22"/>
                <w:lang w:val="fr-FR" w:eastAsia="zh-CN" w:bidi="ar-SA"/>
              </w:rPr>
              <w:t>自</w:t>
            </w:r>
            <w:r>
              <w:rPr>
                <w:rFonts w:hint="default" w:ascii="宋体" w:hAnsi="宋体" w:eastAsia="宋体" w:cs="宋体"/>
                <w:sz w:val="18"/>
                <w:szCs w:val="22"/>
                <w:u w:val="single"/>
                <w:lang w:val="fr-FR" w:eastAsia="zh-CN" w:bidi="ar-SA"/>
              </w:rPr>
              <w:t xml:space="preserve"> </w:t>
            </w:r>
            <w:r>
              <w:rPr>
                <w:rFonts w:hint="eastAsia" w:ascii="宋体" w:hAnsi="宋体" w:eastAsia="宋体" w:cs="宋体"/>
                <w:sz w:val="18"/>
                <w:szCs w:val="22"/>
                <w:u w:val="single"/>
                <w:lang w:val="en-US" w:eastAsia="zh-CN" w:bidi="ar-SA"/>
              </w:rPr>
              <w:t xml:space="preserve">       </w:t>
            </w:r>
            <w:r>
              <w:rPr>
                <w:rFonts w:hint="default" w:ascii="宋体" w:hAnsi="宋体" w:eastAsia="宋体" w:cs="宋体"/>
                <w:spacing w:val="-3"/>
                <w:sz w:val="18"/>
                <w:szCs w:val="22"/>
                <w:lang w:val="fr-FR" w:eastAsia="zh-CN" w:bidi="ar-SA"/>
              </w:rPr>
              <w:t>年</w:t>
            </w:r>
            <w:r>
              <w:rPr>
                <w:rFonts w:hint="eastAsia" w:ascii="宋体" w:hAnsi="宋体" w:eastAsia="宋体" w:cs="宋体"/>
                <w:spacing w:val="-3"/>
                <w:sz w:val="18"/>
                <w:szCs w:val="22"/>
                <w:u w:val="single"/>
                <w:lang w:val="en-US" w:eastAsia="zh-CN" w:bidi="ar-SA"/>
              </w:rPr>
              <w:t xml:space="preserve">    </w:t>
            </w:r>
            <w:r>
              <w:rPr>
                <w:rFonts w:hint="default" w:ascii="宋体" w:hAnsi="宋体" w:eastAsia="宋体" w:cs="宋体"/>
                <w:sz w:val="18"/>
                <w:szCs w:val="22"/>
                <w:lang w:val="fr-FR" w:eastAsia="zh-CN" w:bidi="ar-SA"/>
              </w:rPr>
              <w:t>月至</w:t>
            </w:r>
            <w:r>
              <w:rPr>
                <w:rFonts w:hint="eastAsia" w:ascii="宋体" w:hAnsi="宋体" w:eastAsia="宋体" w:cs="宋体"/>
                <w:sz w:val="18"/>
                <w:szCs w:val="22"/>
                <w:u w:val="single"/>
                <w:lang w:val="en-US" w:eastAsia="zh-CN" w:bidi="ar-SA"/>
              </w:rPr>
              <w:t xml:space="preserve">        </w:t>
            </w:r>
            <w:r>
              <w:rPr>
                <w:rFonts w:hint="default" w:ascii="宋体" w:hAnsi="宋体" w:eastAsia="宋体" w:cs="宋体"/>
                <w:sz w:val="18"/>
                <w:szCs w:val="22"/>
                <w:lang w:val="fr-FR" w:eastAsia="zh-CN" w:bidi="ar-SA"/>
              </w:rPr>
              <w:t>年</w:t>
            </w:r>
            <w:r>
              <w:rPr>
                <w:rFonts w:hint="eastAsia" w:ascii="宋体" w:hAnsi="宋体" w:eastAsia="宋体" w:cs="宋体"/>
                <w:sz w:val="18"/>
                <w:szCs w:val="22"/>
                <w:u w:val="single"/>
                <w:lang w:val="en-US" w:eastAsia="zh-CN" w:bidi="ar-SA"/>
              </w:rPr>
              <w:t xml:space="preserve">    </w:t>
            </w:r>
            <w:r>
              <w:rPr>
                <w:rFonts w:hint="default" w:ascii="宋体" w:hAnsi="宋体" w:eastAsia="宋体" w:cs="宋体"/>
                <w:sz w:val="18"/>
                <w:szCs w:val="22"/>
                <w:lang w:val="fr-FR" w:eastAsia="zh-CN" w:bidi="ar-SA"/>
              </w:rPr>
              <w:t>月</w:t>
            </w:r>
          </w:p>
        </w:tc>
      </w:tr>
      <w:tr w14:paraId="4EB627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99" w:hRule="atLeast"/>
          <w:jc w:val="center"/>
        </w:trPr>
        <w:tc>
          <w:tcPr>
            <w:tcW w:w="943" w:type="dxa"/>
            <w:gridSpan w:val="2"/>
            <w:vMerge w:val="continue"/>
            <w:tcBorders>
              <w:tl2br w:val="nil"/>
              <w:tr2bl w:val="nil"/>
            </w:tcBorders>
            <w:vAlign w:val="center"/>
          </w:tcPr>
          <w:p w14:paraId="0FF4E81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宋体" w:hAnsi="宋体" w:eastAsia="宋体" w:cs="宋体"/>
                <w:sz w:val="18"/>
                <w:szCs w:val="22"/>
                <w:lang w:val="en-US" w:eastAsia="zh-CN" w:bidi="ar-SA"/>
              </w:rPr>
            </w:pPr>
          </w:p>
        </w:tc>
        <w:tc>
          <w:tcPr>
            <w:tcW w:w="8418" w:type="dxa"/>
            <w:gridSpan w:val="3"/>
            <w:tcBorders>
              <w:tl2br w:val="nil"/>
              <w:tr2bl w:val="nil"/>
            </w:tcBorders>
            <w:vAlign w:val="top"/>
          </w:tcPr>
          <w:p w14:paraId="00D516B7">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u w:val="single"/>
                <w:lang w:val="en-US" w:eastAsia="zh-CN" w:bidi="ar-SA"/>
              </w:rPr>
            </w:pPr>
            <w:r>
              <w:rPr>
                <w:rFonts w:hint="eastAsia" w:ascii="宋体" w:hAnsi="宋体" w:eastAsia="宋体" w:cs="宋体"/>
                <w:sz w:val="18"/>
                <w:szCs w:val="22"/>
                <w:lang w:val="en-US" w:eastAsia="zh-CN" w:bidi="ar-SA"/>
              </w:rPr>
              <w:t>简述熟悉地块过去或现在哪些阶段的使用情况：</w:t>
            </w:r>
          </w:p>
        </w:tc>
      </w:tr>
      <w:tr w14:paraId="4CAED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2" w:hRule="atLeast"/>
          <w:jc w:val="center"/>
        </w:trPr>
        <w:tc>
          <w:tcPr>
            <w:tcW w:w="398" w:type="dxa"/>
            <w:vMerge w:val="restart"/>
            <w:tcBorders>
              <w:tl2br w:val="nil"/>
              <w:tr2bl w:val="nil"/>
            </w:tcBorders>
            <w:vAlign w:val="center"/>
          </w:tcPr>
          <w:p w14:paraId="1854B3B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324" w:lineRule="auto"/>
              <w:ind w:left="0" w:right="0"/>
              <w:jc w:val="center"/>
              <w:rPr>
                <w:rFonts w:hint="default" w:ascii="宋体" w:hAnsi="宋体" w:eastAsia="宋体" w:cs="宋体"/>
                <w:sz w:val="18"/>
                <w:szCs w:val="22"/>
                <w:lang w:val="fr-FR" w:eastAsia="en-US" w:bidi="ar-SA"/>
              </w:rPr>
            </w:pPr>
            <w:r>
              <w:rPr>
                <w:rFonts w:hint="default" w:ascii="宋体" w:hAnsi="宋体" w:eastAsia="宋体" w:cs="宋体"/>
                <w:sz w:val="18"/>
                <w:szCs w:val="22"/>
                <w:lang w:val="fr-FR" w:eastAsia="en-US" w:bidi="ar-SA"/>
              </w:rPr>
              <w:t>访</w:t>
            </w:r>
          </w:p>
          <w:p w14:paraId="3B5BC165">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324" w:lineRule="auto"/>
              <w:ind w:left="0" w:right="0"/>
              <w:jc w:val="center"/>
              <w:rPr>
                <w:rFonts w:hint="default" w:ascii="宋体" w:hAnsi="宋体" w:eastAsia="宋体" w:cs="宋体"/>
                <w:sz w:val="18"/>
                <w:szCs w:val="22"/>
                <w:lang w:val="fr-FR" w:eastAsia="en-US" w:bidi="ar-SA"/>
              </w:rPr>
            </w:pPr>
            <w:r>
              <w:rPr>
                <w:rFonts w:hint="default" w:ascii="宋体" w:hAnsi="宋体" w:eastAsia="宋体" w:cs="宋体"/>
                <w:sz w:val="18"/>
                <w:szCs w:val="22"/>
                <w:lang w:val="fr-FR" w:eastAsia="en-US" w:bidi="ar-SA"/>
              </w:rPr>
              <w:t>谈</w:t>
            </w:r>
          </w:p>
          <w:p w14:paraId="49E9F5E0">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324" w:lineRule="auto"/>
              <w:ind w:left="0" w:right="0"/>
              <w:jc w:val="center"/>
              <w:rPr>
                <w:rFonts w:hint="default" w:ascii="宋体" w:hAnsi="宋体" w:eastAsia="宋体" w:cs="宋体"/>
                <w:sz w:val="18"/>
                <w:szCs w:val="22"/>
                <w:lang w:val="fr-FR" w:eastAsia="en-US" w:bidi="ar-SA"/>
              </w:rPr>
            </w:pPr>
            <w:r>
              <w:rPr>
                <w:rFonts w:hint="default" w:ascii="宋体" w:hAnsi="宋体" w:eastAsia="宋体" w:cs="宋体"/>
                <w:sz w:val="18"/>
                <w:szCs w:val="22"/>
                <w:lang w:val="fr-FR" w:eastAsia="en-US" w:bidi="ar-SA"/>
              </w:rPr>
              <w:t>内</w:t>
            </w:r>
          </w:p>
          <w:p w14:paraId="04AA9C0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line="324" w:lineRule="auto"/>
              <w:ind w:left="0" w:right="0"/>
              <w:jc w:val="center"/>
              <w:rPr>
                <w:rFonts w:hint="default" w:ascii="宋体" w:hAnsi="宋体" w:eastAsia="宋体" w:cs="宋体"/>
                <w:sz w:val="18"/>
                <w:szCs w:val="22"/>
                <w:lang w:val="fr-FR" w:eastAsia="en-US" w:bidi="ar-SA"/>
              </w:rPr>
            </w:pPr>
            <w:r>
              <w:rPr>
                <w:rFonts w:hint="default" w:ascii="宋体" w:hAnsi="宋体" w:eastAsia="宋体" w:cs="宋体"/>
                <w:sz w:val="18"/>
                <w:szCs w:val="22"/>
                <w:lang w:val="fr-FR" w:eastAsia="en-US" w:bidi="ar-SA"/>
              </w:rPr>
              <w:t>容</w:t>
            </w:r>
          </w:p>
        </w:tc>
        <w:tc>
          <w:tcPr>
            <w:tcW w:w="8963" w:type="dxa"/>
            <w:gridSpan w:val="4"/>
            <w:tcBorders>
              <w:tl2br w:val="nil"/>
              <w:tr2bl w:val="nil"/>
            </w:tcBorders>
            <w:vAlign w:val="center"/>
          </w:tcPr>
          <w:p w14:paraId="533CE9A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（1）</w:t>
            </w:r>
            <w:r>
              <w:rPr>
                <w:rFonts w:hint="eastAsia" w:ascii="宋体" w:hAnsi="宋体" w:eastAsia="宋体" w:cs="宋体"/>
                <w:sz w:val="18"/>
                <w:szCs w:val="22"/>
                <w:lang w:val="fr-FR" w:eastAsia="zh-CN" w:bidi="ar-SA"/>
              </w:rPr>
              <w:t>本地块历史上是否有其他工业企业存在？</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□是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□否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67D40B3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若选是，企业名称、主要生产工艺、主要产品是什么？</w:t>
            </w:r>
          </w:p>
          <w:p w14:paraId="44EF42E7">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7B0EB26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1E1E2B3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066DC66C">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起止时间是        年至        年</w:t>
            </w:r>
          </w:p>
        </w:tc>
      </w:tr>
      <w:tr w14:paraId="48809B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398" w:type="dxa"/>
            <w:vMerge w:val="continue"/>
            <w:tcBorders>
              <w:tl2br w:val="nil"/>
              <w:tr2bl w:val="nil"/>
            </w:tcBorders>
          </w:tcPr>
          <w:p w14:paraId="1E54332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en-US"/>
              </w:rPr>
            </w:pPr>
          </w:p>
        </w:tc>
        <w:tc>
          <w:tcPr>
            <w:tcW w:w="8963" w:type="dxa"/>
            <w:gridSpan w:val="4"/>
            <w:tcBorders>
              <w:tl2br w:val="nil"/>
              <w:tr2bl w:val="nil"/>
            </w:tcBorders>
            <w:vAlign w:val="center"/>
          </w:tcPr>
          <w:p w14:paraId="0018AAA3">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（2）</w:t>
            </w:r>
            <w:r>
              <w:rPr>
                <w:rFonts w:hint="eastAsia" w:ascii="宋体" w:hAnsi="宋体" w:eastAsia="宋体" w:cs="宋体"/>
                <w:sz w:val="18"/>
                <w:szCs w:val="22"/>
                <w:lang w:val="en-US" w:eastAsia="zh-CN" w:bidi="ar-SA"/>
              </w:rPr>
              <w:t>本地块</w:t>
            </w:r>
            <w:r>
              <w:rPr>
                <w:rFonts w:hint="default" w:ascii="宋体" w:hAnsi="宋体" w:eastAsia="宋体" w:cs="宋体"/>
                <w:sz w:val="18"/>
                <w:szCs w:val="22"/>
                <w:lang w:val="fr-FR" w:eastAsia="zh-CN" w:bidi="ar-SA"/>
              </w:rPr>
              <w:t>企业</w:t>
            </w:r>
            <w:r>
              <w:rPr>
                <w:rFonts w:hint="eastAsia" w:ascii="宋体" w:hAnsi="宋体" w:eastAsia="宋体" w:cs="宋体"/>
                <w:sz w:val="18"/>
                <w:szCs w:val="22"/>
                <w:lang w:val="en-US" w:eastAsia="zh-CN" w:bidi="ar-SA"/>
              </w:rPr>
              <w:t>主要生产</w:t>
            </w:r>
            <w:r>
              <w:rPr>
                <w:rFonts w:hint="default" w:ascii="宋体" w:hAnsi="宋体" w:eastAsia="宋体" w:cs="宋体"/>
                <w:sz w:val="18"/>
                <w:szCs w:val="22"/>
                <w:lang w:val="fr-FR" w:eastAsia="zh-CN" w:bidi="ar-SA"/>
              </w:rPr>
              <w:t>工艺</w:t>
            </w:r>
            <w:r>
              <w:rPr>
                <w:rFonts w:hint="eastAsia"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主要产品</w:t>
            </w:r>
            <w:r>
              <w:rPr>
                <w:rFonts w:hint="default" w:ascii="宋体" w:hAnsi="宋体" w:eastAsia="宋体" w:cs="宋体"/>
                <w:sz w:val="18"/>
                <w:szCs w:val="22"/>
                <w:lang w:val="fr-FR" w:eastAsia="zh-CN" w:bidi="ar-SA"/>
              </w:rPr>
              <w:t>简介及变化情况</w:t>
            </w:r>
            <w:r>
              <w:rPr>
                <w:rFonts w:hint="eastAsia" w:ascii="宋体" w:hAnsi="宋体" w:eastAsia="宋体" w:cs="宋体"/>
                <w:sz w:val="18"/>
                <w:szCs w:val="22"/>
                <w:lang w:val="fr-FR" w:eastAsia="zh-CN" w:bidi="ar-SA"/>
              </w:rPr>
              <w:t>：</w:t>
            </w:r>
          </w:p>
          <w:p w14:paraId="4DE86525">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p w14:paraId="4AA556C7">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p w14:paraId="443758C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tc>
      </w:tr>
      <w:tr w14:paraId="5D7294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98" w:type="dxa"/>
            <w:vMerge w:val="continue"/>
            <w:tcBorders>
              <w:tl2br w:val="nil"/>
              <w:tr2bl w:val="nil"/>
            </w:tcBorders>
          </w:tcPr>
          <w:p w14:paraId="47A7BF2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zh-CN"/>
              </w:rPr>
            </w:pPr>
          </w:p>
        </w:tc>
        <w:tc>
          <w:tcPr>
            <w:tcW w:w="8963" w:type="dxa"/>
            <w:gridSpan w:val="4"/>
            <w:tcBorders>
              <w:tl2br w:val="nil"/>
              <w:tr2bl w:val="nil"/>
            </w:tcBorders>
            <w:vAlign w:val="center"/>
          </w:tcPr>
          <w:p w14:paraId="5934E6D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（3）</w:t>
            </w:r>
            <w:r>
              <w:rPr>
                <w:rFonts w:hint="eastAsia" w:ascii="宋体" w:hAnsi="宋体" w:eastAsia="宋体" w:cs="宋体"/>
                <w:sz w:val="18"/>
                <w:szCs w:val="22"/>
                <w:lang w:val="en-US" w:eastAsia="zh-CN" w:bidi="ar-SA"/>
              </w:rPr>
              <w:t xml:space="preserve">地块内是否仍然存在原辅材料、中间产物、产品、污染物堆存？  </w:t>
            </w:r>
            <w:r>
              <w:rPr>
                <w:rFonts w:hint="eastAsia" w:ascii="宋体" w:hAnsi="宋体" w:eastAsia="宋体" w:cs="宋体"/>
                <w:sz w:val="18"/>
                <w:szCs w:val="22"/>
                <w:lang w:val="fr-FR" w:eastAsia="zh-CN" w:bidi="ar-SA"/>
              </w:rPr>
              <w:t xml:space="preserve">□是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□否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611D9233">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若选是，堆放地点、堆放方式及名称是什么？</w:t>
            </w:r>
          </w:p>
          <w:p w14:paraId="7B24F3C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1880C3F3">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6AD8E07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tc>
      </w:tr>
      <w:tr w14:paraId="4554C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8" w:type="dxa"/>
            <w:vMerge w:val="continue"/>
            <w:tcBorders>
              <w:tl2br w:val="nil"/>
              <w:tr2bl w:val="nil"/>
            </w:tcBorders>
          </w:tcPr>
          <w:p w14:paraId="5EDD61A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zh-CN"/>
              </w:rPr>
            </w:pPr>
          </w:p>
        </w:tc>
        <w:tc>
          <w:tcPr>
            <w:tcW w:w="8963" w:type="dxa"/>
            <w:gridSpan w:val="4"/>
            <w:tcBorders>
              <w:tl2br w:val="nil"/>
              <w:tr2bl w:val="nil"/>
            </w:tcBorders>
            <w:vAlign w:val="center"/>
          </w:tcPr>
          <w:p w14:paraId="7A9E9809">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en-US"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4</w:t>
            </w:r>
            <w:r>
              <w:rPr>
                <w:rFonts w:hint="default" w:ascii="宋体" w:hAnsi="宋体" w:eastAsia="宋体" w:cs="宋体"/>
                <w:sz w:val="18"/>
                <w:szCs w:val="22"/>
                <w:lang w:val="fr-FR" w:eastAsia="zh-CN" w:bidi="ar-SA"/>
              </w:rPr>
              <w:t>）</w:t>
            </w:r>
            <w:r>
              <w:rPr>
                <w:rFonts w:hint="eastAsia" w:ascii="宋体" w:hAnsi="宋体" w:eastAsia="宋体" w:cs="宋体"/>
                <w:sz w:val="18"/>
                <w:szCs w:val="22"/>
                <w:lang w:val="fr-FR" w:eastAsia="zh-CN" w:bidi="ar-SA"/>
              </w:rPr>
              <w:t>本地块内是否有原辅材料、</w:t>
            </w:r>
            <w:r>
              <w:rPr>
                <w:rFonts w:hint="eastAsia" w:ascii="宋体" w:hAnsi="宋体" w:eastAsia="宋体" w:cs="宋体"/>
                <w:sz w:val="18"/>
                <w:szCs w:val="22"/>
                <w:lang w:val="en-US" w:eastAsia="zh-CN" w:bidi="ar-SA"/>
              </w:rPr>
              <w:t>中间产物、</w:t>
            </w:r>
            <w:r>
              <w:rPr>
                <w:rFonts w:hint="eastAsia" w:ascii="宋体" w:hAnsi="宋体" w:eastAsia="宋体" w:cs="宋体"/>
                <w:sz w:val="18"/>
                <w:szCs w:val="22"/>
                <w:lang w:val="fr-FR" w:eastAsia="zh-CN" w:bidi="ar-SA"/>
              </w:rPr>
              <w:t>产品、油品的地下储罐或地下输送管道？</w:t>
            </w:r>
            <w:r>
              <w:rPr>
                <w:rFonts w:hint="eastAsia" w:ascii="宋体" w:hAnsi="宋体" w:eastAsia="宋体" w:cs="宋体"/>
                <w:sz w:val="18"/>
                <w:szCs w:val="22"/>
                <w:lang w:val="en-US" w:eastAsia="zh-CN" w:bidi="ar-SA"/>
              </w:rPr>
              <w:t xml:space="preserve">  □是  □否  □不确定</w:t>
            </w:r>
          </w:p>
          <w:p w14:paraId="21EB2B28">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eastAsia"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若选是，是否发生过泄漏？  □是（发生过    次）  □否  □不确定</w:t>
            </w:r>
          </w:p>
          <w:p w14:paraId="33CF4CD4">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若选是，位置在哪里？储存或输送什么物质？</w:t>
            </w:r>
          </w:p>
          <w:p w14:paraId="4DDE14F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eastAsia" w:ascii="宋体" w:hAnsi="宋体" w:eastAsia="宋体" w:cs="宋体"/>
                <w:sz w:val="18"/>
                <w:szCs w:val="22"/>
                <w:lang w:val="en-US" w:eastAsia="zh-CN" w:bidi="ar-SA"/>
              </w:rPr>
            </w:pPr>
          </w:p>
          <w:p w14:paraId="73129159">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eastAsia" w:ascii="宋体" w:hAnsi="宋体" w:eastAsia="宋体" w:cs="宋体"/>
                <w:sz w:val="18"/>
                <w:szCs w:val="22"/>
                <w:lang w:val="en-US" w:eastAsia="zh-CN" w:bidi="ar-SA"/>
              </w:rPr>
            </w:pPr>
          </w:p>
          <w:p w14:paraId="143553A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tc>
      </w:tr>
      <w:tr w14:paraId="760055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9" w:hRule="atLeast"/>
          <w:jc w:val="center"/>
        </w:trPr>
        <w:tc>
          <w:tcPr>
            <w:tcW w:w="398" w:type="dxa"/>
            <w:vMerge w:val="continue"/>
            <w:tcBorders>
              <w:tl2br w:val="nil"/>
              <w:tr2bl w:val="nil"/>
            </w:tcBorders>
          </w:tcPr>
          <w:p w14:paraId="0E81748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zh-CN"/>
              </w:rPr>
            </w:pPr>
          </w:p>
        </w:tc>
        <w:tc>
          <w:tcPr>
            <w:tcW w:w="8963" w:type="dxa"/>
            <w:gridSpan w:val="4"/>
            <w:tcBorders>
              <w:tl2br w:val="nil"/>
              <w:tr2bl w:val="nil"/>
            </w:tcBorders>
            <w:vAlign w:val="center"/>
          </w:tcPr>
          <w:p w14:paraId="0C41FAD7">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en-US"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5</w:t>
            </w: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本地块内是否有任何正规或非正规的工业固体废物堆放场？  □正规   □非正规   □无   □不确定</w:t>
            </w:r>
          </w:p>
          <w:p w14:paraId="304DD954">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若选是，堆放场在哪？堆放什么废弃物？</w:t>
            </w:r>
          </w:p>
          <w:p w14:paraId="6A462E41">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p w14:paraId="510AEE79">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p w14:paraId="6C25DED4">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p w14:paraId="330F6340">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r>
              <w:rPr>
                <w:rFonts w:hint="eastAsia" w:ascii="宋体" w:hAnsi="宋体" w:eastAsia="宋体" w:cs="宋体"/>
                <w:sz w:val="18"/>
                <w:szCs w:val="22"/>
                <w:lang w:val="fr-FR" w:eastAsia="zh-CN" w:bidi="ar-SA"/>
              </w:rPr>
              <w:t>本地块内危险废物是否曾自行利用、处置？</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 □是</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 □否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26DB9FC9">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若选是，利用、处置场地在哪？利用、处置什么</w:t>
            </w:r>
            <w:r>
              <w:rPr>
                <w:rFonts w:hint="eastAsia" w:ascii="宋体" w:hAnsi="宋体" w:eastAsia="宋体" w:cs="宋体"/>
                <w:sz w:val="18"/>
                <w:szCs w:val="22"/>
                <w:lang w:val="fr-FR" w:eastAsia="zh-CN" w:bidi="ar-SA"/>
              </w:rPr>
              <w:t>危险废物</w:t>
            </w:r>
            <w:r>
              <w:rPr>
                <w:rFonts w:hint="eastAsia" w:ascii="宋体" w:hAnsi="宋体" w:eastAsia="宋体" w:cs="宋体"/>
                <w:sz w:val="18"/>
                <w:szCs w:val="22"/>
                <w:lang w:val="en-US" w:eastAsia="zh-CN" w:bidi="ar-SA"/>
              </w:rPr>
              <w:t>？</w:t>
            </w:r>
          </w:p>
          <w:p w14:paraId="25D739C5">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p w14:paraId="586E089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p w14:paraId="28CC4757">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p>
        </w:tc>
      </w:tr>
      <w:tr w14:paraId="087908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82" w:hRule="atLeast"/>
          <w:jc w:val="center"/>
        </w:trPr>
        <w:tc>
          <w:tcPr>
            <w:tcW w:w="398" w:type="dxa"/>
            <w:vMerge w:val="continue"/>
            <w:tcBorders>
              <w:tl2br w:val="nil"/>
              <w:tr2bl w:val="nil"/>
            </w:tcBorders>
          </w:tcPr>
          <w:p w14:paraId="4A0E949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zh-CN"/>
              </w:rPr>
            </w:pPr>
          </w:p>
        </w:tc>
        <w:tc>
          <w:tcPr>
            <w:tcW w:w="8963" w:type="dxa"/>
            <w:gridSpan w:val="4"/>
            <w:tcBorders>
              <w:tl2br w:val="nil"/>
              <w:tr2bl w:val="nil"/>
            </w:tcBorders>
            <w:vAlign w:val="center"/>
          </w:tcPr>
          <w:p w14:paraId="37344C75">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6</w:t>
            </w:r>
            <w:r>
              <w:rPr>
                <w:rFonts w:hint="default" w:ascii="宋体" w:hAnsi="宋体" w:eastAsia="宋体" w:cs="宋体"/>
                <w:sz w:val="18"/>
                <w:szCs w:val="22"/>
                <w:lang w:val="fr-FR" w:eastAsia="zh-CN" w:bidi="ar-SA"/>
              </w:rPr>
              <w:t>）</w:t>
            </w:r>
            <w:r>
              <w:rPr>
                <w:rFonts w:hint="eastAsia" w:ascii="宋体" w:hAnsi="宋体" w:eastAsia="宋体" w:cs="宋体"/>
                <w:sz w:val="18"/>
                <w:szCs w:val="22"/>
                <w:lang w:val="fr-FR" w:eastAsia="zh-CN" w:bidi="ar-SA"/>
              </w:rPr>
              <w:t xml:space="preserve">是否有废气排放？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□是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□否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47DAD449">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是否有废气治理设施？           □是  □否  □不确定</w:t>
            </w:r>
          </w:p>
          <w:p w14:paraId="33054FE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en-US" w:bidi="ar-SA"/>
              </w:rPr>
            </w:pPr>
            <w:r>
              <w:rPr>
                <w:rFonts w:hint="eastAsia" w:ascii="宋体" w:hAnsi="宋体" w:eastAsia="宋体" w:cs="宋体"/>
                <w:sz w:val="18"/>
                <w:szCs w:val="22"/>
                <w:lang w:val="en-US" w:eastAsia="zh-CN" w:bidi="ar-SA"/>
              </w:rPr>
              <w:t>是否有废气在线监测装置？       □是  □否  □不确定</w:t>
            </w:r>
          </w:p>
        </w:tc>
      </w:tr>
    </w:tbl>
    <w:p w14:paraId="2C595801">
      <w:pPr>
        <w:keepNext w:val="0"/>
        <w:keepLines w:val="0"/>
        <w:pageBreakBefore w:val="0"/>
        <w:kinsoku/>
        <w:overflowPunct/>
        <w:topLinePunct w:val="0"/>
        <w:autoSpaceDE w:val="0"/>
        <w:autoSpaceDN w:val="0"/>
        <w:bidi w:val="0"/>
        <w:adjustRightInd w:val="0"/>
        <w:snapToGrid w:val="0"/>
        <w:sectPr>
          <w:pgSz w:w="11910" w:h="16840"/>
          <w:pgMar w:top="1417" w:right="1417" w:bottom="1134" w:left="1134" w:header="1417" w:footer="1134" w:gutter="0"/>
          <w:pgNumType w:fmt="decimal"/>
          <w:cols w:space="0" w:num="1"/>
          <w:rtlGutter w:val="0"/>
          <w:docGrid w:linePitch="0" w:charSpace="0"/>
        </w:sectPr>
      </w:pPr>
    </w:p>
    <w:p w14:paraId="4F1DFFC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tbl>
      <w:tblPr>
        <w:tblStyle w:val="9"/>
        <w:tblW w:w="936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98"/>
        <w:gridCol w:w="3519"/>
        <w:gridCol w:w="5444"/>
      </w:tblGrid>
      <w:tr w14:paraId="1B24D9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72" w:hRule="atLeast"/>
          <w:jc w:val="center"/>
        </w:trPr>
        <w:tc>
          <w:tcPr>
            <w:tcW w:w="398" w:type="dxa"/>
            <w:tcBorders>
              <w:tl2br w:val="nil"/>
              <w:tr2bl w:val="nil"/>
            </w:tcBorders>
          </w:tcPr>
          <w:p w14:paraId="34C3A7A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en-US"/>
              </w:rPr>
            </w:pPr>
          </w:p>
        </w:tc>
        <w:tc>
          <w:tcPr>
            <w:tcW w:w="8963" w:type="dxa"/>
            <w:gridSpan w:val="2"/>
            <w:tcBorders>
              <w:tl2br w:val="nil"/>
              <w:tr2bl w:val="nil"/>
            </w:tcBorders>
            <w:vAlign w:val="center"/>
          </w:tcPr>
          <w:p w14:paraId="1F106BF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（7）是否有工业废水产生？           □是  □否  □不确定</w:t>
            </w:r>
          </w:p>
          <w:p w14:paraId="35F1CE87">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是否有废水治理设施？           □是  □否  □不确定</w:t>
            </w:r>
          </w:p>
          <w:p w14:paraId="29D36BD9">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是否有废水在线监测装置？       □是  □否  □不确定</w:t>
            </w:r>
          </w:p>
        </w:tc>
      </w:tr>
      <w:tr w14:paraId="30EB4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84" w:hRule="atLeast"/>
          <w:jc w:val="center"/>
        </w:trPr>
        <w:tc>
          <w:tcPr>
            <w:tcW w:w="398" w:type="dxa"/>
            <w:vMerge w:val="restart"/>
            <w:tcBorders>
              <w:tl2br w:val="nil"/>
              <w:tr2bl w:val="nil"/>
            </w:tcBorders>
          </w:tcPr>
          <w:p w14:paraId="73A06CB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en-US"/>
              </w:rPr>
            </w:pPr>
          </w:p>
        </w:tc>
        <w:tc>
          <w:tcPr>
            <w:tcW w:w="8963" w:type="dxa"/>
            <w:gridSpan w:val="2"/>
            <w:tcBorders>
              <w:tl2br w:val="nil"/>
              <w:tr2bl w:val="nil"/>
            </w:tcBorders>
            <w:vAlign w:val="center"/>
          </w:tcPr>
          <w:p w14:paraId="5BAEE264">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8</w:t>
            </w:r>
            <w:r>
              <w:rPr>
                <w:rFonts w:hint="default" w:ascii="宋体" w:hAnsi="宋体" w:eastAsia="宋体" w:cs="宋体"/>
                <w:sz w:val="18"/>
                <w:szCs w:val="22"/>
                <w:lang w:val="fr-FR" w:eastAsia="zh-CN" w:bidi="ar-SA"/>
              </w:rPr>
              <w:t>）</w:t>
            </w:r>
            <w:r>
              <w:rPr>
                <w:rFonts w:hint="eastAsia" w:ascii="宋体" w:hAnsi="宋体" w:eastAsia="宋体" w:cs="宋体"/>
                <w:sz w:val="18"/>
                <w:szCs w:val="22"/>
                <w:lang w:val="fr-FR" w:eastAsia="zh-CN" w:bidi="ar-SA"/>
              </w:rPr>
              <w:t xml:space="preserve">本地块内是否有工业废水排放沟渠或渗坑？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□是</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 □否</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 □不确定</w:t>
            </w:r>
          </w:p>
          <w:p w14:paraId="5441281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若选是，排放沟渠的材料是什么？地点在哪里？</w:t>
            </w:r>
          </w:p>
          <w:p w14:paraId="5CF2E9E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3187325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7B149A9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5302A640">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en-US" w:bidi="ar-SA"/>
              </w:rPr>
            </w:pPr>
            <w:r>
              <w:rPr>
                <w:rFonts w:hint="eastAsia" w:ascii="宋体" w:hAnsi="宋体" w:eastAsia="宋体" w:cs="宋体"/>
                <w:sz w:val="18"/>
                <w:szCs w:val="22"/>
                <w:lang w:val="en-US" w:eastAsia="zh-CN" w:bidi="ar-SA"/>
              </w:rPr>
              <w:t>是否有无硬化或防渗的情况？  □是  □否  □不确定</w:t>
            </w:r>
          </w:p>
        </w:tc>
      </w:tr>
      <w:tr w14:paraId="1C917A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398" w:type="dxa"/>
            <w:vMerge w:val="continue"/>
            <w:tcBorders>
              <w:tl2br w:val="nil"/>
              <w:tr2bl w:val="nil"/>
            </w:tcBorders>
          </w:tcPr>
          <w:p w14:paraId="1D0E21C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en-US"/>
              </w:rPr>
            </w:pPr>
          </w:p>
        </w:tc>
        <w:tc>
          <w:tcPr>
            <w:tcW w:w="8963" w:type="dxa"/>
            <w:gridSpan w:val="2"/>
            <w:tcBorders>
              <w:tl2br w:val="nil"/>
              <w:tr2bl w:val="nil"/>
            </w:tcBorders>
            <w:vAlign w:val="center"/>
          </w:tcPr>
          <w:p w14:paraId="6DCA7590">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9</w:t>
            </w:r>
            <w:r>
              <w:rPr>
                <w:rFonts w:hint="default" w:ascii="宋体" w:hAnsi="宋体" w:eastAsia="宋体" w:cs="宋体"/>
                <w:sz w:val="18"/>
                <w:szCs w:val="22"/>
                <w:lang w:val="fr-FR" w:eastAsia="zh-CN" w:bidi="ar-SA"/>
              </w:rPr>
              <w:t>）</w:t>
            </w:r>
            <w:r>
              <w:rPr>
                <w:rFonts w:hint="eastAsia" w:ascii="宋体" w:hAnsi="宋体" w:eastAsia="宋体" w:cs="宋体"/>
                <w:sz w:val="18"/>
                <w:szCs w:val="22"/>
                <w:lang w:val="fr-FR" w:eastAsia="zh-CN" w:bidi="ar-SA"/>
              </w:rPr>
              <w:t xml:space="preserve">本地块内是否有工业废水的地下输送管道或储存池？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□是</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 □否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73AE9B0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eastAsia"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若选是，是否发生过泄漏？  □是（发生过    次）  □否  □不确定</w:t>
            </w:r>
          </w:p>
          <w:p w14:paraId="01A44F5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若选是，位置在哪里？输送或储存什么废水？</w:t>
            </w:r>
          </w:p>
          <w:p w14:paraId="55359953">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eastAsia" w:ascii="宋体" w:hAnsi="宋体" w:eastAsia="宋体" w:cs="宋体"/>
                <w:sz w:val="18"/>
                <w:szCs w:val="22"/>
                <w:lang w:val="en-US" w:eastAsia="zh-CN" w:bidi="ar-SA"/>
              </w:rPr>
            </w:pPr>
          </w:p>
          <w:p w14:paraId="43F837FC">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eastAsia" w:ascii="宋体" w:hAnsi="宋体" w:eastAsia="宋体" w:cs="宋体"/>
                <w:sz w:val="18"/>
                <w:szCs w:val="22"/>
                <w:lang w:val="en-US" w:eastAsia="zh-CN" w:bidi="ar-SA"/>
              </w:rPr>
            </w:pPr>
          </w:p>
          <w:p w14:paraId="03982D48">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tc>
      </w:tr>
      <w:tr w14:paraId="5DE2BC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34" w:hRule="atLeast"/>
          <w:jc w:val="center"/>
        </w:trPr>
        <w:tc>
          <w:tcPr>
            <w:tcW w:w="398" w:type="dxa"/>
            <w:vMerge w:val="continue"/>
            <w:tcBorders>
              <w:tl2br w:val="nil"/>
              <w:tr2bl w:val="nil"/>
            </w:tcBorders>
          </w:tcPr>
          <w:p w14:paraId="0312003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zh-CN"/>
              </w:rPr>
            </w:pPr>
          </w:p>
        </w:tc>
        <w:tc>
          <w:tcPr>
            <w:tcW w:w="8963" w:type="dxa"/>
            <w:gridSpan w:val="2"/>
            <w:tcBorders>
              <w:tl2br w:val="nil"/>
              <w:tr2bl w:val="nil"/>
            </w:tcBorders>
            <w:vAlign w:val="center"/>
          </w:tcPr>
          <w:p w14:paraId="3A1E1B10">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en-US"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10</w:t>
            </w: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本地块内是否闻到过土壤散发的异常气味或观察到土壤颜色异常？</w:t>
            </w:r>
            <w:r>
              <w:rPr>
                <w:rFonts w:hint="eastAsia" w:ascii="宋体" w:hAnsi="宋体" w:eastAsia="宋体" w:cs="宋体"/>
                <w:sz w:val="18"/>
                <w:szCs w:val="22"/>
                <w:lang w:val="fr-FR" w:eastAsia="zh-CN" w:bidi="ar-SA"/>
              </w:rPr>
              <w:t xml:space="preserve">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□是</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 □否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1D14C371">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若选是，地点在哪里？</w:t>
            </w:r>
          </w:p>
          <w:p w14:paraId="791CA8E4">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17ECEA8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2529BF6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5D51315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本地块内是否观察到植被生长异常或损害？</w:t>
            </w:r>
            <w:r>
              <w:rPr>
                <w:rFonts w:hint="eastAsia" w:ascii="宋体" w:hAnsi="宋体" w:eastAsia="宋体" w:cs="宋体"/>
                <w:sz w:val="18"/>
                <w:szCs w:val="22"/>
                <w:lang w:val="fr-FR" w:eastAsia="zh-CN" w:bidi="ar-SA"/>
              </w:rPr>
              <w:t xml:space="preserve">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□是</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 □否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6C9F3427">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若选是，地点在哪里？</w:t>
            </w:r>
          </w:p>
          <w:p w14:paraId="688D4CC4">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6BF6BB9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41EE02A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tc>
      </w:tr>
      <w:tr w14:paraId="581FDD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85" w:hRule="atLeast"/>
          <w:jc w:val="center"/>
        </w:trPr>
        <w:tc>
          <w:tcPr>
            <w:tcW w:w="398" w:type="dxa"/>
            <w:vMerge w:val="continue"/>
            <w:tcBorders>
              <w:tl2br w:val="nil"/>
              <w:tr2bl w:val="nil"/>
            </w:tcBorders>
          </w:tcPr>
          <w:p w14:paraId="74FFEA3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zh-CN"/>
              </w:rPr>
            </w:pPr>
          </w:p>
        </w:tc>
        <w:tc>
          <w:tcPr>
            <w:tcW w:w="8963" w:type="dxa"/>
            <w:gridSpan w:val="2"/>
            <w:tcBorders>
              <w:tl2br w:val="nil"/>
              <w:tr2bl w:val="nil"/>
            </w:tcBorders>
            <w:vAlign w:val="center"/>
          </w:tcPr>
          <w:p w14:paraId="5BCB7D04">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11</w:t>
            </w:r>
            <w:r>
              <w:rPr>
                <w:rFonts w:hint="default" w:ascii="宋体" w:hAnsi="宋体" w:eastAsia="宋体" w:cs="宋体"/>
                <w:sz w:val="18"/>
                <w:szCs w:val="22"/>
                <w:lang w:val="fr-FR" w:eastAsia="zh-CN" w:bidi="ar-SA"/>
              </w:rPr>
              <w:t>）</w:t>
            </w:r>
            <w:r>
              <w:rPr>
                <w:rFonts w:hint="eastAsia" w:ascii="宋体" w:hAnsi="宋体" w:eastAsia="宋体" w:cs="宋体"/>
                <w:sz w:val="18"/>
                <w:szCs w:val="22"/>
                <w:lang w:val="fr-FR" w:eastAsia="zh-CN" w:bidi="ar-SA"/>
              </w:rPr>
              <w:t>本地块内是否曾发生过化学品泄漏事故？或是否曾发生过其他环境污染事故？</w:t>
            </w:r>
          </w:p>
          <w:p w14:paraId="6F2C16A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□是（发生过    次）  □否  □不确定</w:t>
            </w:r>
          </w:p>
          <w:p w14:paraId="3CE1B6C1">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若选是，发生地点在哪里？具体事项是什么？</w:t>
            </w:r>
          </w:p>
          <w:p w14:paraId="6854BFD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37B408C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72341E75">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1C0F495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本地块周边邻近地块是否曾发生过化学品泄漏事故？或是否曾发生过其他环境污染事故？</w:t>
            </w:r>
          </w:p>
          <w:p w14:paraId="0EC1A3C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□是（发生过    次）  □否  □不确定</w:t>
            </w:r>
          </w:p>
          <w:p w14:paraId="6E189F28">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若选是，发生地点在哪里？具体事项是什么？</w:t>
            </w:r>
          </w:p>
          <w:p w14:paraId="73BA7497">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76F93A68">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1D72FED6">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tc>
      </w:tr>
      <w:tr w14:paraId="411DB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84" w:hRule="atLeast"/>
          <w:jc w:val="center"/>
        </w:trPr>
        <w:tc>
          <w:tcPr>
            <w:tcW w:w="398" w:type="dxa"/>
            <w:vMerge w:val="continue"/>
            <w:tcBorders>
              <w:tl2br w:val="nil"/>
              <w:tr2bl w:val="nil"/>
            </w:tcBorders>
          </w:tcPr>
          <w:p w14:paraId="1E6F09B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zh-CN"/>
              </w:rPr>
            </w:pPr>
          </w:p>
        </w:tc>
        <w:tc>
          <w:tcPr>
            <w:tcW w:w="8963" w:type="dxa"/>
            <w:gridSpan w:val="2"/>
            <w:tcBorders>
              <w:tl2br w:val="nil"/>
              <w:tr2bl w:val="nil"/>
            </w:tcBorders>
            <w:vAlign w:val="center"/>
          </w:tcPr>
          <w:p w14:paraId="724DC67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12</w:t>
            </w:r>
            <w:r>
              <w:rPr>
                <w:rFonts w:hint="default" w:ascii="宋体" w:hAnsi="宋体" w:eastAsia="宋体" w:cs="宋体"/>
                <w:sz w:val="18"/>
                <w:szCs w:val="22"/>
                <w:lang w:val="fr-FR" w:eastAsia="zh-CN" w:bidi="ar-SA"/>
              </w:rPr>
              <w:t>）</w:t>
            </w:r>
            <w:r>
              <w:rPr>
                <w:rFonts w:hint="eastAsia" w:ascii="宋体" w:hAnsi="宋体" w:eastAsia="宋体" w:cs="宋体"/>
                <w:sz w:val="18"/>
                <w:szCs w:val="22"/>
                <w:lang w:val="fr-FR" w:eastAsia="zh-CN" w:bidi="ar-SA"/>
              </w:rPr>
              <w:t>本地块内是否曾开展过土壤</w:t>
            </w:r>
            <w:r>
              <w:rPr>
                <w:rFonts w:hint="eastAsia" w:ascii="宋体" w:hAnsi="宋体" w:eastAsia="宋体" w:cs="宋体"/>
                <w:sz w:val="18"/>
                <w:szCs w:val="22"/>
                <w:lang w:val="en-US" w:eastAsia="zh-CN" w:bidi="ar-SA"/>
              </w:rPr>
              <w:t>或地下水</w:t>
            </w:r>
            <w:r>
              <w:rPr>
                <w:rFonts w:hint="eastAsia" w:ascii="宋体" w:hAnsi="宋体" w:eastAsia="宋体" w:cs="宋体"/>
                <w:sz w:val="18"/>
                <w:szCs w:val="22"/>
                <w:lang w:val="fr-FR" w:eastAsia="zh-CN" w:bidi="ar-SA"/>
              </w:rPr>
              <w:t>环境调查监测工作？</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 □是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 xml:space="preserve">□否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6C671EB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若选是，调查情况怎么样？</w:t>
            </w:r>
          </w:p>
          <w:p w14:paraId="7834FB7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4C7E28E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6974F79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7E8C718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620C94F2">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是否开展过场地环境调查评估工作？</w:t>
            </w:r>
          </w:p>
          <w:p w14:paraId="52EFC8C5">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zh-CN" w:bidi="ar-SA"/>
              </w:rPr>
            </w:pPr>
            <w:r>
              <w:rPr>
                <w:rFonts w:hint="eastAsia" w:ascii="宋体" w:hAnsi="宋体" w:eastAsia="宋体" w:cs="宋体"/>
                <w:sz w:val="18"/>
                <w:szCs w:val="22"/>
                <w:lang w:val="en-US" w:eastAsia="zh-CN" w:bidi="ar-SA"/>
              </w:rPr>
              <w:t>□是（□正在开展  □已经完成）  □否  □不确定</w:t>
            </w:r>
          </w:p>
        </w:tc>
      </w:tr>
      <w:tr w14:paraId="14CA99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398" w:type="dxa"/>
            <w:vMerge w:val="continue"/>
            <w:tcBorders>
              <w:tl2br w:val="nil"/>
              <w:tr2bl w:val="nil"/>
            </w:tcBorders>
          </w:tcPr>
          <w:p w14:paraId="5EB221B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zh-CN"/>
              </w:rPr>
            </w:pPr>
          </w:p>
        </w:tc>
        <w:tc>
          <w:tcPr>
            <w:tcW w:w="8963" w:type="dxa"/>
            <w:gridSpan w:val="2"/>
            <w:tcBorders>
              <w:tl2br w:val="nil"/>
              <w:tr2bl w:val="nil"/>
            </w:tcBorders>
            <w:vAlign w:val="center"/>
          </w:tcPr>
          <w:p w14:paraId="5DA0EF9A">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zh-CN" w:bidi="ar-SA"/>
              </w:rPr>
            </w:pPr>
            <w:r>
              <w:rPr>
                <w:rFonts w:hint="default"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13</w:t>
            </w:r>
            <w:r>
              <w:rPr>
                <w:rFonts w:hint="default" w:ascii="宋体" w:hAnsi="宋体" w:eastAsia="宋体" w:cs="宋体"/>
                <w:sz w:val="18"/>
                <w:szCs w:val="22"/>
                <w:lang w:val="fr-FR" w:eastAsia="zh-CN" w:bidi="ar-SA"/>
              </w:rPr>
              <w:t>）</w:t>
            </w:r>
            <w:r>
              <w:rPr>
                <w:rFonts w:hint="eastAsia" w:ascii="宋体" w:hAnsi="宋体" w:eastAsia="宋体" w:cs="宋体"/>
                <w:sz w:val="18"/>
                <w:szCs w:val="22"/>
                <w:lang w:val="fr-FR" w:eastAsia="zh-CN" w:bidi="ar-SA"/>
              </w:rPr>
              <w:t>本地块</w:t>
            </w:r>
            <w:r>
              <w:rPr>
                <w:rFonts w:hint="eastAsia" w:ascii="宋体" w:hAnsi="宋体" w:eastAsia="宋体" w:cs="宋体"/>
                <w:sz w:val="18"/>
                <w:szCs w:val="22"/>
                <w:lang w:val="en-US" w:eastAsia="zh-CN" w:bidi="ar-SA"/>
              </w:rPr>
              <w:t xml:space="preserve">后期利用规划用途是什么？ </w:t>
            </w:r>
            <w:r>
              <w:rPr>
                <w:rFonts w:hint="eastAsia" w:ascii="宋体" w:hAnsi="宋体" w:eastAsia="宋体" w:cs="宋体"/>
                <w:sz w:val="18"/>
                <w:szCs w:val="22"/>
                <w:lang w:val="fr-FR" w:eastAsia="zh-CN" w:bidi="ar-SA"/>
              </w:rPr>
              <w:t xml:space="preserve"> □</w:t>
            </w:r>
            <w:r>
              <w:rPr>
                <w:rFonts w:hint="eastAsia" w:ascii="宋体" w:hAnsi="宋体" w:eastAsia="宋体" w:cs="宋体"/>
                <w:sz w:val="18"/>
                <w:szCs w:val="22"/>
                <w:lang w:val="en-US" w:eastAsia="zh-CN" w:bidi="ar-SA"/>
              </w:rPr>
              <w:t>一类用地</w:t>
            </w:r>
            <w:r>
              <w:rPr>
                <w:rFonts w:hint="eastAsia" w:ascii="宋体" w:hAnsi="宋体" w:eastAsia="宋体" w:cs="宋体"/>
                <w:sz w:val="18"/>
                <w:szCs w:val="22"/>
                <w:lang w:val="fr-FR" w:eastAsia="zh-CN" w:bidi="ar-SA"/>
              </w:rPr>
              <w:t xml:space="preserve">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w:t>
            </w:r>
            <w:r>
              <w:rPr>
                <w:rFonts w:hint="eastAsia" w:ascii="宋体" w:hAnsi="宋体" w:eastAsia="宋体" w:cs="宋体"/>
                <w:sz w:val="18"/>
                <w:szCs w:val="22"/>
                <w:lang w:val="en-US" w:eastAsia="zh-CN" w:bidi="ar-SA"/>
              </w:rPr>
              <w:t>二类用地</w:t>
            </w:r>
            <w:r>
              <w:rPr>
                <w:rFonts w:hint="eastAsia" w:ascii="宋体" w:hAnsi="宋体" w:eastAsia="宋体" w:cs="宋体"/>
                <w:sz w:val="18"/>
                <w:szCs w:val="22"/>
                <w:lang w:val="fr-FR" w:eastAsia="zh-CN" w:bidi="ar-SA"/>
              </w:rPr>
              <w:t xml:space="preserve"> </w:t>
            </w:r>
            <w:r>
              <w:rPr>
                <w:rFonts w:hint="eastAsia" w:ascii="宋体" w:hAnsi="宋体" w:eastAsia="宋体" w:cs="宋体"/>
                <w:sz w:val="18"/>
                <w:szCs w:val="22"/>
                <w:lang w:val="en-US" w:eastAsia="zh-CN" w:bidi="ar-SA"/>
              </w:rPr>
              <w:t xml:space="preserve"> </w:t>
            </w:r>
            <w:r>
              <w:rPr>
                <w:rFonts w:hint="eastAsia" w:ascii="宋体" w:hAnsi="宋体" w:eastAsia="宋体" w:cs="宋体"/>
                <w:sz w:val="18"/>
                <w:szCs w:val="22"/>
                <w:lang w:val="fr-FR" w:eastAsia="zh-CN" w:bidi="ar-SA"/>
              </w:rPr>
              <w:t>□不确定</w:t>
            </w:r>
          </w:p>
          <w:p w14:paraId="6A6032AC">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依据：</w:t>
            </w:r>
          </w:p>
        </w:tc>
      </w:tr>
      <w:tr w14:paraId="110D30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84" w:hRule="atLeast"/>
          <w:jc w:val="center"/>
        </w:trPr>
        <w:tc>
          <w:tcPr>
            <w:tcW w:w="398" w:type="dxa"/>
            <w:vMerge w:val="continue"/>
            <w:tcBorders>
              <w:tl2br w:val="nil"/>
              <w:tr2bl w:val="nil"/>
            </w:tcBorders>
          </w:tcPr>
          <w:p w14:paraId="1745314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2"/>
                <w:szCs w:val="2"/>
                <w:lang w:val="fr-FR" w:eastAsia="en-US"/>
              </w:rPr>
            </w:pPr>
          </w:p>
        </w:tc>
        <w:tc>
          <w:tcPr>
            <w:tcW w:w="8963" w:type="dxa"/>
            <w:gridSpan w:val="2"/>
            <w:tcBorders>
              <w:tl2br w:val="nil"/>
              <w:tr2bl w:val="nil"/>
            </w:tcBorders>
            <w:vAlign w:val="center"/>
          </w:tcPr>
          <w:p w14:paraId="10D64CFD">
            <w:pPr>
              <w:keepNext w:val="0"/>
              <w:keepLines w:val="0"/>
              <w:pageBreakBefore w:val="0"/>
              <w:widowControl w:val="0"/>
              <w:numPr>
                <w:ilvl w:val="0"/>
                <w:numId w:val="27"/>
              </w:numPr>
              <w:suppressLineNumbers w:val="0"/>
              <w:kinsoku/>
              <w:overflowPunct/>
              <w:topLinePunct w:val="0"/>
              <w:autoSpaceDE w:val="0"/>
              <w:autoSpaceDN w:val="0"/>
              <w:bidi w:val="0"/>
              <w:adjustRightInd w:val="0"/>
              <w:snapToGrid w:val="0"/>
              <w:spacing w:before="0" w:beforeAutospacing="0" w:after="0" w:afterAutospacing="0"/>
              <w:ind w:left="0" w:right="0"/>
              <w:jc w:val="both"/>
              <w:rPr>
                <w:rFonts w:hint="default" w:ascii="宋体" w:hAnsi="宋体" w:eastAsia="宋体" w:cs="宋体"/>
                <w:sz w:val="18"/>
                <w:szCs w:val="22"/>
                <w:lang w:val="fr-FR" w:eastAsia="en-US" w:bidi="ar-SA"/>
              </w:rPr>
            </w:pPr>
            <w:r>
              <w:rPr>
                <w:rFonts w:hint="default" w:ascii="宋体" w:hAnsi="宋体" w:eastAsia="宋体" w:cs="宋体"/>
                <w:sz w:val="18"/>
                <w:szCs w:val="22"/>
                <w:lang w:val="fr-FR" w:eastAsia="en-US" w:bidi="ar-SA"/>
              </w:rPr>
              <w:t>其它内容。</w:t>
            </w:r>
          </w:p>
          <w:p w14:paraId="6D8E7D23">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0B8A321B">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4B401A1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3D590142">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4F87E5F2">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50D241FE">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en-US" w:eastAsia="zh-CN" w:bidi="ar-SA"/>
              </w:rPr>
            </w:pPr>
          </w:p>
          <w:p w14:paraId="46D50E33">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firstLine="450" w:firstLineChars="250"/>
              <w:jc w:val="both"/>
              <w:rPr>
                <w:rFonts w:hint="default" w:ascii="宋体" w:hAnsi="宋体" w:eastAsia="宋体" w:cs="宋体"/>
                <w:sz w:val="18"/>
                <w:szCs w:val="22"/>
                <w:lang w:val="fr-FR" w:eastAsia="en-US" w:bidi="ar-SA"/>
              </w:rPr>
            </w:pPr>
          </w:p>
        </w:tc>
      </w:tr>
      <w:tr w14:paraId="453CCD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17" w:type="dxa"/>
            <w:gridSpan w:val="2"/>
            <w:tcBorders>
              <w:tl2br w:val="nil"/>
              <w:tr2bl w:val="nil"/>
            </w:tcBorders>
            <w:vAlign w:val="center"/>
          </w:tcPr>
          <w:p w14:paraId="301F813F">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rPr>
                <w:rFonts w:hint="default" w:ascii="宋体" w:hAnsi="宋体" w:eastAsia="宋体" w:cs="宋体"/>
                <w:sz w:val="18"/>
                <w:szCs w:val="22"/>
                <w:lang w:val="fr-FR" w:eastAsia="en-US" w:bidi="ar-SA"/>
              </w:rPr>
            </w:pPr>
            <w:r>
              <w:rPr>
                <w:rFonts w:hint="default" w:ascii="宋体" w:hAnsi="宋体" w:eastAsia="宋体" w:cs="宋体"/>
                <w:sz w:val="18"/>
                <w:szCs w:val="22"/>
                <w:lang w:val="fr-FR" w:eastAsia="en-US" w:bidi="ar-SA"/>
              </w:rPr>
              <w:t>受访人签名：</w:t>
            </w:r>
            <w:r>
              <w:rPr>
                <w:rFonts w:hint="eastAsia" w:ascii="宋体" w:hAnsi="宋体" w:eastAsia="宋体" w:cs="宋体"/>
                <w:sz w:val="18"/>
                <w:szCs w:val="22"/>
                <w:lang w:val="en-US" w:eastAsia="zh-CN" w:bidi="ar-SA"/>
              </w:rPr>
              <w:t xml:space="preserve">               </w:t>
            </w:r>
            <w:r>
              <w:rPr>
                <w:rFonts w:hint="default" w:ascii="宋体" w:hAnsi="宋体" w:eastAsia="宋体" w:cs="宋体"/>
                <w:sz w:val="18"/>
                <w:szCs w:val="22"/>
                <w:lang w:val="fr-FR" w:eastAsia="en-US" w:bidi="ar-SA"/>
              </w:rPr>
              <w:t>年</w:t>
            </w:r>
            <w:r>
              <w:rPr>
                <w:rFonts w:hint="eastAsia" w:ascii="宋体" w:hAnsi="宋体" w:eastAsia="宋体" w:cs="宋体"/>
                <w:sz w:val="18"/>
                <w:szCs w:val="22"/>
                <w:lang w:val="en-US" w:eastAsia="zh-CN" w:bidi="ar-SA"/>
              </w:rPr>
              <w:t xml:space="preserve">    </w:t>
            </w:r>
            <w:r>
              <w:rPr>
                <w:rFonts w:hint="default" w:ascii="宋体" w:hAnsi="宋体" w:eastAsia="宋体" w:cs="宋体"/>
                <w:sz w:val="18"/>
                <w:szCs w:val="22"/>
                <w:lang w:val="fr-FR" w:eastAsia="en-US" w:bidi="ar-SA"/>
              </w:rPr>
              <w:t>月</w:t>
            </w:r>
            <w:r>
              <w:rPr>
                <w:rFonts w:hint="eastAsia" w:ascii="宋体" w:hAnsi="宋体" w:eastAsia="宋体" w:cs="宋体"/>
                <w:sz w:val="18"/>
                <w:szCs w:val="22"/>
                <w:lang w:val="en-US" w:eastAsia="zh-CN" w:bidi="ar-SA"/>
              </w:rPr>
              <w:t xml:space="preserve">    </w:t>
            </w:r>
            <w:r>
              <w:rPr>
                <w:rFonts w:hint="default" w:ascii="宋体" w:hAnsi="宋体" w:eastAsia="宋体" w:cs="宋体"/>
                <w:sz w:val="18"/>
                <w:szCs w:val="22"/>
                <w:lang w:val="fr-FR" w:eastAsia="en-US" w:bidi="ar-SA"/>
              </w:rPr>
              <w:t>日</w:t>
            </w:r>
          </w:p>
        </w:tc>
        <w:tc>
          <w:tcPr>
            <w:tcW w:w="5444" w:type="dxa"/>
            <w:tcBorders>
              <w:tl2br w:val="nil"/>
              <w:tr2bl w:val="nil"/>
            </w:tcBorders>
            <w:vAlign w:val="center"/>
          </w:tcPr>
          <w:p w14:paraId="46114BCD">
            <w:pPr>
              <w:keepNext w:val="0"/>
              <w:keepLines w:val="0"/>
              <w:pageBreakBefore w:val="0"/>
              <w:widowControl w:val="0"/>
              <w:suppressLineNumbers w:val="0"/>
              <w:kinsoku/>
              <w:overflowPunct/>
              <w:topLinePunct w:val="0"/>
              <w:autoSpaceDE w:val="0"/>
              <w:autoSpaceDN w:val="0"/>
              <w:bidi w:val="0"/>
              <w:adjustRightInd w:val="0"/>
              <w:snapToGrid w:val="0"/>
              <w:spacing w:before="0" w:beforeAutospacing="0" w:after="0" w:afterAutospacing="0"/>
              <w:ind w:left="0" w:right="0"/>
              <w:rPr>
                <w:rFonts w:hint="default" w:ascii="宋体" w:hAnsi="宋体" w:eastAsia="宋体" w:cs="宋体"/>
                <w:sz w:val="18"/>
                <w:szCs w:val="22"/>
                <w:lang w:val="en-US" w:eastAsia="zh-CN" w:bidi="ar-SA"/>
              </w:rPr>
            </w:pPr>
            <w:r>
              <w:rPr>
                <w:rFonts w:hint="eastAsia" w:ascii="宋体" w:hAnsi="宋体" w:eastAsia="宋体" w:cs="宋体"/>
                <w:sz w:val="18"/>
                <w:szCs w:val="22"/>
                <w:lang w:val="en-US" w:eastAsia="zh-CN" w:bidi="ar-SA"/>
              </w:rPr>
              <w:t>录音/录像等档案储存情况：</w:t>
            </w:r>
          </w:p>
        </w:tc>
      </w:tr>
    </w:tbl>
    <w:p w14:paraId="1FBDF751">
      <w:pPr>
        <w:keepNext w:val="0"/>
        <w:keepLines w:val="0"/>
        <w:pageBreakBefore w:val="0"/>
        <w:kinsoku/>
        <w:overflowPunct/>
        <w:topLinePunct w:val="0"/>
        <w:autoSpaceDE w:val="0"/>
        <w:autoSpaceDN w:val="0"/>
        <w:bidi w:val="0"/>
        <w:adjustRightInd w:val="0"/>
        <w:snapToGrid w:val="0"/>
        <w:rPr>
          <w:sz w:val="18"/>
          <w:lang w:eastAsia="zh-CN"/>
        </w:rPr>
        <w:sectPr>
          <w:pgSz w:w="11910" w:h="16840"/>
          <w:pgMar w:top="1417" w:right="1134" w:bottom="1134" w:left="1417" w:header="1417" w:footer="1134" w:gutter="0"/>
          <w:pgNumType w:fmt="decimal"/>
          <w:cols w:space="0" w:num="1"/>
          <w:rtlGutter w:val="0"/>
          <w:docGrid w:linePitch="0" w:charSpace="0"/>
        </w:sectPr>
      </w:pPr>
    </w:p>
    <w:p w14:paraId="6E9ADE82">
      <w:pPr>
        <w:keepNext w:val="0"/>
        <w:keepLines w:val="0"/>
        <w:pageBreakBefore w:val="0"/>
        <w:widowControl w:val="0"/>
        <w:tabs>
          <w:tab w:val="left" w:pos="422"/>
          <w:tab w:val="left" w:pos="842"/>
        </w:tabs>
        <w:kinsoku/>
        <w:wordWrap/>
        <w:overflowPunct/>
        <w:topLinePunct w:val="0"/>
        <w:autoSpaceDE w:val="0"/>
        <w:autoSpaceDN w:val="0"/>
        <w:bidi w:val="0"/>
        <w:adjustRightInd w:val="0"/>
        <w:snapToGrid w:val="0"/>
        <w:spacing w:before="850" w:line="240" w:lineRule="auto"/>
        <w:jc w:val="center"/>
        <w:textAlignment w:val="auto"/>
        <w:outlineLvl w:val="1"/>
        <w:rPr>
          <w:rFonts w:ascii="黑体" w:hAnsi="宋体" w:eastAsia="黑体" w:cs="宋体"/>
          <w:sz w:val="21"/>
          <w:szCs w:val="21"/>
          <w:lang w:val="en-US" w:eastAsia="zh-CN" w:bidi="ar-SA"/>
        </w:rPr>
      </w:pPr>
      <w:bookmarkStart w:id="62" w:name="_Toc32042"/>
      <w:r>
        <w:rPr>
          <w:rFonts w:hint="eastAsia" w:ascii="黑体" w:hAnsi="宋体" w:eastAsia="黑体" w:cs="宋体"/>
          <w:sz w:val="21"/>
          <w:szCs w:val="21"/>
          <w:lang w:val="fr-FR" w:eastAsia="zh-CN" w:bidi="ar-SA"/>
        </w:rPr>
        <w:t>附录</w:t>
      </w:r>
      <w:r>
        <w:rPr>
          <w:rFonts w:hint="eastAsia" w:ascii="黑体" w:hAnsi="宋体" w:eastAsia="黑体" w:cs="宋体"/>
          <w:sz w:val="21"/>
          <w:szCs w:val="21"/>
          <w:lang w:val="fr-FR" w:eastAsia="zh-CN" w:bidi="ar-SA"/>
        </w:rPr>
        <w:tab/>
      </w:r>
      <w:r>
        <w:rPr>
          <w:rFonts w:hint="eastAsia" w:ascii="黑体" w:hAnsi="宋体" w:eastAsia="黑体" w:cs="宋体"/>
          <w:sz w:val="21"/>
          <w:szCs w:val="21"/>
          <w:lang w:val="en-US" w:eastAsia="zh-CN" w:bidi="ar-SA"/>
        </w:rPr>
        <w:t>C</w:t>
      </w:r>
      <w:bookmarkEnd w:id="62"/>
    </w:p>
    <w:p w14:paraId="20478B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黑体" w:hAnsi="宋体" w:eastAsia="黑体" w:cs="宋体"/>
          <w:sz w:val="21"/>
          <w:szCs w:val="21"/>
          <w:lang w:val="fr-FR" w:eastAsia="zh-CN" w:bidi="ar-SA"/>
        </w:rPr>
      </w:pPr>
      <w:r>
        <w:rPr>
          <w:rFonts w:hint="eastAsia" w:ascii="黑体" w:hAnsi="宋体" w:eastAsia="黑体" w:cs="宋体"/>
          <w:sz w:val="21"/>
          <w:szCs w:val="21"/>
          <w:lang w:val="fr-FR" w:eastAsia="zh-CN" w:bidi="ar-SA"/>
        </w:rPr>
        <w:t>（资料性）</w:t>
      </w:r>
    </w:p>
    <w:p w14:paraId="1C4F2D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黑体" w:hAnsi="宋体" w:eastAsia="黑体" w:cs="宋体"/>
          <w:sz w:val="21"/>
          <w:szCs w:val="21"/>
          <w:lang w:val="fr-FR" w:eastAsia="zh-CN" w:bidi="ar-SA"/>
        </w:rPr>
      </w:pPr>
      <w:r>
        <w:rPr>
          <w:rFonts w:hint="eastAsia" w:ascii="黑体" w:hAnsi="宋体" w:eastAsia="黑体" w:cs="宋体"/>
          <w:sz w:val="21"/>
          <w:szCs w:val="21"/>
          <w:lang w:val="en-US" w:eastAsia="zh-CN" w:bidi="ar-SA"/>
        </w:rPr>
        <w:t>现场采样记录表参考</w:t>
      </w:r>
      <w:r>
        <w:rPr>
          <w:rFonts w:hint="eastAsia" w:ascii="黑体" w:hAnsi="宋体" w:eastAsia="黑体" w:cs="宋体"/>
          <w:sz w:val="21"/>
          <w:szCs w:val="21"/>
          <w:lang w:val="fr-FR" w:eastAsia="zh-CN" w:bidi="ar-SA"/>
        </w:rPr>
        <w:t>内容与格式</w:t>
      </w:r>
    </w:p>
    <w:p w14:paraId="6BB4EB7D">
      <w:pPr>
        <w:keepNext w:val="0"/>
        <w:keepLines w:val="0"/>
        <w:pageBreakBefore w:val="0"/>
        <w:widowControl w:val="0"/>
        <w:kinsoku/>
        <w:wordWrap/>
        <w:overflowPunct/>
        <w:topLinePunct w:val="0"/>
        <w:autoSpaceDE w:val="0"/>
        <w:autoSpaceDN w:val="0"/>
        <w:bidi w:val="0"/>
        <w:adjustRightInd w:val="0"/>
        <w:snapToGrid w:val="0"/>
        <w:spacing w:before="283" w:line="360" w:lineRule="auto"/>
        <w:jc w:val="center"/>
        <w:textAlignment w:val="auto"/>
        <w:rPr>
          <w:rFonts w:ascii="宋体" w:hAnsi="宋体" w:eastAsia="宋体" w:cs="宋体"/>
          <w:sz w:val="21"/>
          <w:szCs w:val="21"/>
          <w:lang w:val="en-US" w:eastAsia="zh-CN" w:bidi="ar-SA"/>
        </w:rPr>
      </w:pPr>
      <w:r>
        <w:rPr>
          <w:rFonts w:hint="eastAsia" w:ascii="宋体" w:hAnsi="宋体" w:eastAsia="宋体" w:cs="宋体"/>
          <w:sz w:val="21"/>
          <w:szCs w:val="21"/>
          <w:lang w:val="fr-FR" w:eastAsia="zh-CN" w:bidi="ar-SA"/>
        </w:rPr>
        <w:t>表</w:t>
      </w:r>
      <w:r>
        <w:rPr>
          <w:rFonts w:hint="eastAsia" w:ascii="宋体" w:hAnsi="宋体" w:eastAsia="宋体" w:cs="宋体"/>
          <w:sz w:val="21"/>
          <w:szCs w:val="21"/>
          <w:lang w:val="en-US" w:eastAsia="zh-CN" w:bidi="ar-SA"/>
        </w:rPr>
        <w:t>C.1</w:t>
      </w:r>
      <w:r>
        <w:rPr>
          <w:rFonts w:hint="eastAsia" w:ascii="宋体" w:hAnsi="宋体" w:eastAsia="宋体" w:cs="宋体"/>
          <w:sz w:val="21"/>
          <w:szCs w:val="21"/>
          <w:lang w:val="fr-FR" w:eastAsia="zh-CN" w:bidi="ar-SA"/>
        </w:rPr>
        <w:t xml:space="preserve"> </w:t>
      </w:r>
      <w:r>
        <w:rPr>
          <w:rFonts w:hint="eastAsia" w:ascii="宋体" w:hAnsi="宋体" w:eastAsia="宋体" w:cs="宋体"/>
          <w:sz w:val="21"/>
          <w:szCs w:val="21"/>
          <w:lang w:val="en-US" w:eastAsia="zh-CN" w:bidi="ar-SA"/>
        </w:rPr>
        <w:t>土壤钻孔采样记录单</w:t>
      </w:r>
    </w:p>
    <w:tbl>
      <w:tblPr>
        <w:tblStyle w:val="9"/>
        <w:tblW w:w="48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9"/>
        <w:gridCol w:w="586"/>
        <w:gridCol w:w="1009"/>
        <w:gridCol w:w="232"/>
        <w:gridCol w:w="1364"/>
        <w:gridCol w:w="859"/>
        <w:gridCol w:w="653"/>
        <w:gridCol w:w="333"/>
        <w:gridCol w:w="245"/>
        <w:gridCol w:w="382"/>
        <w:gridCol w:w="292"/>
        <w:gridCol w:w="90"/>
        <w:gridCol w:w="382"/>
        <w:gridCol w:w="127"/>
        <w:gridCol w:w="258"/>
        <w:gridCol w:w="382"/>
        <w:gridCol w:w="382"/>
        <w:gridCol w:w="382"/>
        <w:gridCol w:w="382"/>
        <w:gridCol w:w="389"/>
      </w:tblGrid>
      <w:tr w14:paraId="6EFBB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99" w:type="pct"/>
            <w:gridSpan w:val="6"/>
            <w:tcBorders>
              <w:tl2br w:val="nil"/>
              <w:tr2bl w:val="nil"/>
            </w:tcBorders>
            <w:shd w:val="clear" w:color="auto" w:fill="auto"/>
            <w:noWrap/>
            <w:vAlign w:val="center"/>
          </w:tcPr>
          <w:p w14:paraId="6DE7250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地块名称</w:t>
            </w:r>
            <w:r>
              <w:rPr>
                <w:rFonts w:hint="eastAsia" w:ascii="Times New Roman" w:hAnsi="Times New Roman" w:eastAsia="宋体" w:cs="Times New Roman"/>
                <w:color w:val="000000"/>
                <w:kern w:val="0"/>
                <w:sz w:val="18"/>
                <w:szCs w:val="18"/>
                <w:lang w:val="en-US" w:eastAsia="zh-CN" w:bidi="ar"/>
              </w:rPr>
              <w:t>：</w:t>
            </w:r>
          </w:p>
        </w:tc>
        <w:tc>
          <w:tcPr>
            <w:tcW w:w="1338" w:type="pct"/>
            <w:gridSpan w:val="8"/>
            <w:tcBorders>
              <w:tl2br w:val="nil"/>
              <w:tr2bl w:val="nil"/>
            </w:tcBorders>
            <w:shd w:val="clear" w:color="auto" w:fill="auto"/>
            <w:noWrap/>
            <w:vAlign w:val="center"/>
          </w:tcPr>
          <w:p w14:paraId="2E94956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采样日期</w:t>
            </w:r>
            <w:r>
              <w:rPr>
                <w:rFonts w:hint="eastAsia" w:ascii="Times New Roman" w:hAnsi="Times New Roman" w:eastAsia="宋体" w:cs="Times New Roman"/>
                <w:color w:val="000000"/>
                <w:kern w:val="0"/>
                <w:sz w:val="18"/>
                <w:szCs w:val="18"/>
                <w:lang w:val="en-US" w:eastAsia="zh-CN" w:bidi="ar"/>
              </w:rPr>
              <w:t>：</w:t>
            </w:r>
          </w:p>
        </w:tc>
        <w:tc>
          <w:tcPr>
            <w:tcW w:w="1162" w:type="pct"/>
            <w:gridSpan w:val="6"/>
            <w:tcBorders>
              <w:tl2br w:val="nil"/>
              <w:tr2bl w:val="nil"/>
            </w:tcBorders>
            <w:shd w:val="clear" w:color="auto" w:fill="auto"/>
            <w:noWrap/>
            <w:vAlign w:val="center"/>
          </w:tcPr>
          <w:p w14:paraId="3A82C96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天气</w:t>
            </w:r>
            <w:r>
              <w:rPr>
                <w:rFonts w:hint="eastAsia" w:ascii="Times New Roman" w:hAnsi="Times New Roman" w:eastAsia="宋体" w:cs="Times New Roman"/>
                <w:color w:val="000000"/>
                <w:kern w:val="0"/>
                <w:sz w:val="18"/>
                <w:szCs w:val="18"/>
                <w:lang w:val="en-US" w:eastAsia="zh-CN" w:bidi="ar"/>
              </w:rPr>
              <w:t>：</w:t>
            </w:r>
          </w:p>
        </w:tc>
      </w:tr>
      <w:tr w14:paraId="5A481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87" w:type="pct"/>
            <w:gridSpan w:val="3"/>
            <w:tcBorders>
              <w:tl2br w:val="nil"/>
              <w:tr2bl w:val="nil"/>
            </w:tcBorders>
            <w:shd w:val="clear" w:color="auto" w:fill="auto"/>
            <w:noWrap/>
            <w:vAlign w:val="center"/>
          </w:tcPr>
          <w:p w14:paraId="626E675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采样点编号</w:t>
            </w:r>
            <w:r>
              <w:rPr>
                <w:rFonts w:hint="eastAsia" w:ascii="Times New Roman" w:hAnsi="Times New Roman" w:eastAsia="宋体" w:cs="Times New Roman"/>
                <w:color w:val="000000"/>
                <w:kern w:val="0"/>
                <w:sz w:val="18"/>
                <w:szCs w:val="18"/>
                <w:lang w:val="en-US" w:eastAsia="zh-CN" w:bidi="ar"/>
              </w:rPr>
              <w:t>：</w:t>
            </w:r>
          </w:p>
        </w:tc>
        <w:tc>
          <w:tcPr>
            <w:tcW w:w="2649" w:type="pct"/>
            <w:gridSpan w:val="11"/>
            <w:tcBorders>
              <w:tl2br w:val="nil"/>
              <w:tr2bl w:val="nil"/>
            </w:tcBorders>
            <w:shd w:val="clear" w:color="auto" w:fill="auto"/>
            <w:noWrap/>
            <w:vAlign w:val="center"/>
          </w:tcPr>
          <w:p w14:paraId="33C292D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坐标</w:t>
            </w:r>
            <w:r>
              <w:rPr>
                <w:rFonts w:hint="eastAsia" w:ascii="Times New Roman" w:hAnsi="Times New Roman" w:eastAsia="宋体" w:cs="Times New Roman"/>
                <w:color w:val="000000"/>
                <w:kern w:val="0"/>
                <w:sz w:val="18"/>
                <w:szCs w:val="18"/>
                <w:lang w:val="en-US" w:eastAsia="zh-CN" w:bidi="ar"/>
              </w:rPr>
              <w:t>：</w:t>
            </w:r>
          </w:p>
        </w:tc>
        <w:tc>
          <w:tcPr>
            <w:tcW w:w="1162" w:type="pct"/>
            <w:gridSpan w:val="6"/>
            <w:tcBorders>
              <w:tl2br w:val="nil"/>
              <w:tr2bl w:val="nil"/>
            </w:tcBorders>
            <w:shd w:val="clear" w:color="auto" w:fill="auto"/>
            <w:noWrap/>
            <w:vAlign w:val="center"/>
          </w:tcPr>
          <w:p w14:paraId="1996011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高程</w:t>
            </w:r>
            <w:r>
              <w:rPr>
                <w:rFonts w:hint="eastAsia" w:ascii="Times New Roman" w:hAnsi="Times New Roman" w:eastAsia="宋体" w:cs="Times New Roman"/>
                <w:color w:val="000000"/>
                <w:kern w:val="0"/>
                <w:sz w:val="18"/>
                <w:szCs w:val="18"/>
                <w:lang w:val="en-US" w:eastAsia="zh-CN" w:bidi="ar"/>
              </w:rPr>
              <w:t>（m）：</w:t>
            </w:r>
          </w:p>
        </w:tc>
      </w:tr>
      <w:tr w14:paraId="41271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40" w:type="pct"/>
            <w:gridSpan w:val="5"/>
            <w:tcBorders>
              <w:tl2br w:val="nil"/>
              <w:tr2bl w:val="nil"/>
            </w:tcBorders>
            <w:shd w:val="clear" w:color="auto" w:fill="auto"/>
            <w:noWrap/>
            <w:vAlign w:val="center"/>
          </w:tcPr>
          <w:p w14:paraId="2AB5A19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钻</w:t>
            </w:r>
            <w:r>
              <w:rPr>
                <w:rFonts w:hint="eastAsia" w:ascii="Times New Roman" w:hAnsi="Times New Roman" w:eastAsia="宋体" w:cs="Times New Roman"/>
                <w:color w:val="000000"/>
                <w:kern w:val="0"/>
                <w:sz w:val="18"/>
                <w:szCs w:val="18"/>
                <w:lang w:val="en-US" w:eastAsia="zh-CN" w:bidi="ar"/>
              </w:rPr>
              <w:t>机类型：</w:t>
            </w:r>
          </w:p>
        </w:tc>
        <w:tc>
          <w:tcPr>
            <w:tcW w:w="1477" w:type="pct"/>
            <w:gridSpan w:val="6"/>
            <w:tcBorders>
              <w:tl2br w:val="nil"/>
              <w:tr2bl w:val="nil"/>
            </w:tcBorders>
            <w:shd w:val="clear" w:color="auto" w:fill="auto"/>
            <w:noWrap/>
            <w:vAlign w:val="center"/>
          </w:tcPr>
          <w:p w14:paraId="34AD4B7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钻孔深度</w:t>
            </w:r>
            <w:r>
              <w:rPr>
                <w:rFonts w:hint="eastAsia" w:ascii="Times New Roman" w:hAnsi="Times New Roman" w:eastAsia="宋体" w:cs="Times New Roman"/>
                <w:color w:val="000000"/>
                <w:kern w:val="0"/>
                <w:sz w:val="18"/>
                <w:szCs w:val="18"/>
                <w:lang w:val="en-US" w:eastAsia="zh-CN" w:bidi="ar"/>
              </w:rPr>
              <w:t>（m）：</w:t>
            </w:r>
          </w:p>
        </w:tc>
        <w:tc>
          <w:tcPr>
            <w:tcW w:w="1481" w:type="pct"/>
            <w:gridSpan w:val="9"/>
            <w:tcBorders>
              <w:tl2br w:val="nil"/>
              <w:tr2bl w:val="nil"/>
            </w:tcBorders>
            <w:shd w:val="clear" w:color="auto" w:fill="auto"/>
            <w:noWrap/>
            <w:vAlign w:val="center"/>
          </w:tcPr>
          <w:p w14:paraId="5B63B11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钻孔直径</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mm</w:t>
            </w:r>
            <w:r>
              <w:rPr>
                <w:rFonts w:hint="eastAsia" w:ascii="Times New Roman" w:hAnsi="Times New Roman" w:eastAsia="宋体" w:cs="Times New Roman"/>
                <w:color w:val="000000"/>
                <w:kern w:val="0"/>
                <w:sz w:val="18"/>
                <w:szCs w:val="18"/>
                <w:lang w:val="en-US" w:eastAsia="zh-CN" w:bidi="ar"/>
              </w:rPr>
              <w:t>）：</w:t>
            </w:r>
          </w:p>
        </w:tc>
      </w:tr>
      <w:tr w14:paraId="6F002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40" w:type="pct"/>
            <w:gridSpan w:val="5"/>
            <w:tcBorders>
              <w:tl2br w:val="nil"/>
              <w:tr2bl w:val="nil"/>
            </w:tcBorders>
            <w:shd w:val="clear" w:color="auto" w:fill="auto"/>
            <w:noWrap/>
            <w:vAlign w:val="center"/>
          </w:tcPr>
          <w:p w14:paraId="141155F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rPr>
              <w:t>起止时间：</w:t>
            </w:r>
          </w:p>
        </w:tc>
        <w:tc>
          <w:tcPr>
            <w:tcW w:w="1477" w:type="pct"/>
            <w:gridSpan w:val="6"/>
            <w:tcBorders>
              <w:tl2br w:val="nil"/>
              <w:tr2bl w:val="nil"/>
            </w:tcBorders>
            <w:shd w:val="clear" w:color="auto" w:fill="auto"/>
            <w:noWrap/>
            <w:vAlign w:val="center"/>
          </w:tcPr>
          <w:p w14:paraId="28AEEA1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初见水位</w:t>
            </w:r>
            <w:r>
              <w:rPr>
                <w:rFonts w:hint="eastAsia" w:ascii="Times New Roman" w:hAnsi="Times New Roman" w:eastAsia="宋体" w:cs="Times New Roman"/>
                <w:color w:val="000000"/>
                <w:kern w:val="0"/>
                <w:sz w:val="18"/>
                <w:szCs w:val="18"/>
                <w:lang w:val="en-US" w:eastAsia="zh-CN" w:bidi="ar"/>
              </w:rPr>
              <w:t>（m）：</w:t>
            </w:r>
          </w:p>
        </w:tc>
        <w:tc>
          <w:tcPr>
            <w:tcW w:w="1481" w:type="pct"/>
            <w:gridSpan w:val="9"/>
            <w:tcBorders>
              <w:tl2br w:val="nil"/>
              <w:tr2bl w:val="nil"/>
            </w:tcBorders>
            <w:shd w:val="clear" w:color="auto" w:fill="auto"/>
            <w:noWrap/>
            <w:vAlign w:val="center"/>
          </w:tcPr>
          <w:p w14:paraId="7DAEA34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稳定水位</w:t>
            </w:r>
            <w:r>
              <w:rPr>
                <w:rFonts w:hint="eastAsia" w:ascii="Times New Roman" w:hAnsi="Times New Roman" w:eastAsia="宋体" w:cs="Times New Roman"/>
                <w:color w:val="000000"/>
                <w:kern w:val="0"/>
                <w:sz w:val="18"/>
                <w:szCs w:val="18"/>
                <w:lang w:val="en-US" w:eastAsia="zh-CN" w:bidi="ar"/>
              </w:rPr>
              <w:t>（m）：</w:t>
            </w:r>
          </w:p>
        </w:tc>
      </w:tr>
      <w:tr w14:paraId="223BC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99" w:type="pct"/>
            <w:gridSpan w:val="6"/>
            <w:tcBorders>
              <w:tl2br w:val="nil"/>
              <w:tr2bl w:val="nil"/>
            </w:tcBorders>
            <w:shd w:val="clear" w:color="auto" w:fill="auto"/>
            <w:noWrap/>
            <w:vAlign w:val="center"/>
          </w:tcPr>
          <w:p w14:paraId="0A17BBF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XRF型号：</w:t>
            </w:r>
          </w:p>
        </w:tc>
        <w:tc>
          <w:tcPr>
            <w:tcW w:w="2500" w:type="pct"/>
            <w:gridSpan w:val="14"/>
            <w:tcBorders>
              <w:tl2br w:val="nil"/>
              <w:tr2bl w:val="nil"/>
            </w:tcBorders>
            <w:shd w:val="clear" w:color="auto" w:fill="auto"/>
            <w:vAlign w:val="center"/>
          </w:tcPr>
          <w:p w14:paraId="7856F3C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ascii="宋体" w:hAnsi="宋体" w:eastAsia="宋体" w:cs="宋体"/>
                <w:kern w:val="0"/>
                <w:sz w:val="22"/>
                <w:szCs w:val="22"/>
                <w:lang w:val="en-US" w:eastAsia="zh-CN" w:bidi="ar"/>
              </w:rPr>
            </w:pPr>
            <w:r>
              <w:rPr>
                <w:rFonts w:hint="default" w:ascii="Times New Roman" w:hAnsi="Times New Roman" w:eastAsia="宋体" w:cs="Times New Roman"/>
                <w:color w:val="000000"/>
                <w:kern w:val="0"/>
                <w:sz w:val="18"/>
                <w:szCs w:val="18"/>
                <w:u w:val="none"/>
                <w:lang w:val="en-US" w:eastAsia="zh-CN" w:bidi="ar"/>
              </w:rPr>
              <w:t>PID型号：</w:t>
            </w:r>
          </w:p>
        </w:tc>
      </w:tr>
      <w:tr w14:paraId="74539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99" w:type="pct"/>
            <w:gridSpan w:val="6"/>
            <w:tcBorders>
              <w:tl2br w:val="nil"/>
              <w:tr2bl w:val="nil"/>
            </w:tcBorders>
            <w:shd w:val="clear" w:color="auto" w:fill="auto"/>
            <w:noWrap/>
            <w:vAlign w:val="center"/>
          </w:tcPr>
          <w:p w14:paraId="0FC1891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大气背景PID值：</w:t>
            </w:r>
          </w:p>
        </w:tc>
        <w:tc>
          <w:tcPr>
            <w:tcW w:w="2500" w:type="pct"/>
            <w:gridSpan w:val="14"/>
            <w:tcBorders>
              <w:tl2br w:val="nil"/>
              <w:tr2bl w:val="nil"/>
            </w:tcBorders>
            <w:shd w:val="clear" w:color="auto" w:fill="auto"/>
            <w:vAlign w:val="center"/>
          </w:tcPr>
          <w:p w14:paraId="4CB4DAD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自封袋PID值：</w:t>
            </w:r>
          </w:p>
        </w:tc>
      </w:tr>
      <w:tr w14:paraId="5E7DD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restart"/>
            <w:tcBorders>
              <w:tl2br w:val="nil"/>
              <w:tr2bl w:val="nil"/>
            </w:tcBorders>
            <w:shd w:val="clear" w:color="auto" w:fill="auto"/>
            <w:vAlign w:val="center"/>
          </w:tcPr>
          <w:p w14:paraId="405FF85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钻进深度</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w:t>
            </w:r>
          </w:p>
        </w:tc>
        <w:tc>
          <w:tcPr>
            <w:tcW w:w="313" w:type="pct"/>
            <w:vMerge w:val="restart"/>
            <w:tcBorders>
              <w:tl2br w:val="nil"/>
              <w:tr2bl w:val="nil"/>
            </w:tcBorders>
            <w:shd w:val="clear" w:color="auto" w:fill="auto"/>
            <w:vAlign w:val="center"/>
          </w:tcPr>
          <w:p w14:paraId="2E03DA0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变层深度</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w:t>
            </w:r>
          </w:p>
        </w:tc>
        <w:tc>
          <w:tcPr>
            <w:tcW w:w="663" w:type="pct"/>
            <w:gridSpan w:val="2"/>
            <w:tcBorders>
              <w:tl2br w:val="nil"/>
              <w:tr2bl w:val="nil"/>
            </w:tcBorders>
            <w:shd w:val="clear" w:color="auto" w:fill="auto"/>
            <w:noWrap/>
            <w:vAlign w:val="center"/>
          </w:tcPr>
          <w:p w14:paraId="226C9B5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地层描述</w:t>
            </w:r>
          </w:p>
        </w:tc>
        <w:tc>
          <w:tcPr>
            <w:tcW w:w="728" w:type="pct"/>
            <w:tcBorders>
              <w:tl2br w:val="nil"/>
              <w:tr2bl w:val="nil"/>
            </w:tcBorders>
            <w:shd w:val="clear" w:color="auto" w:fill="auto"/>
            <w:noWrap/>
            <w:vAlign w:val="center"/>
          </w:tcPr>
          <w:p w14:paraId="54F33D3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污染描述</w:t>
            </w:r>
          </w:p>
        </w:tc>
        <w:tc>
          <w:tcPr>
            <w:tcW w:w="2959" w:type="pct"/>
            <w:gridSpan w:val="15"/>
            <w:tcBorders>
              <w:tl2br w:val="nil"/>
              <w:tr2bl w:val="nil"/>
            </w:tcBorders>
            <w:shd w:val="clear" w:color="auto" w:fill="auto"/>
            <w:noWrap/>
            <w:vAlign w:val="center"/>
          </w:tcPr>
          <w:p w14:paraId="030E182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土壤采样</w:t>
            </w:r>
          </w:p>
        </w:tc>
      </w:tr>
      <w:tr w14:paraId="5B655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35" w:type="pct"/>
            <w:vMerge w:val="continue"/>
            <w:tcBorders>
              <w:tl2br w:val="nil"/>
              <w:tr2bl w:val="nil"/>
            </w:tcBorders>
            <w:shd w:val="clear" w:color="auto" w:fill="auto"/>
            <w:vAlign w:val="center"/>
          </w:tcPr>
          <w:p w14:paraId="7E218F8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13" w:type="pct"/>
            <w:vMerge w:val="continue"/>
            <w:tcBorders>
              <w:tl2br w:val="nil"/>
              <w:tr2bl w:val="nil"/>
            </w:tcBorders>
            <w:shd w:val="clear" w:color="auto" w:fill="auto"/>
            <w:vAlign w:val="center"/>
          </w:tcPr>
          <w:p w14:paraId="7522FEF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663" w:type="pct"/>
            <w:gridSpan w:val="2"/>
            <w:vMerge w:val="restart"/>
            <w:tcBorders>
              <w:tl2br w:val="nil"/>
              <w:tr2bl w:val="nil"/>
            </w:tcBorders>
            <w:shd w:val="clear" w:color="auto" w:fill="auto"/>
            <w:vAlign w:val="center"/>
          </w:tcPr>
          <w:p w14:paraId="7BFB6E7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土质分类、密度、湿度等</w:t>
            </w:r>
          </w:p>
        </w:tc>
        <w:tc>
          <w:tcPr>
            <w:tcW w:w="728" w:type="pct"/>
            <w:vMerge w:val="restart"/>
            <w:tcBorders>
              <w:tl2br w:val="nil"/>
              <w:tr2bl w:val="nil"/>
            </w:tcBorders>
            <w:shd w:val="clear" w:color="auto" w:fill="auto"/>
            <w:vAlign w:val="center"/>
          </w:tcPr>
          <w:p w14:paraId="4520879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颜色、气味、污染痕迹、油状物等</w:t>
            </w:r>
          </w:p>
        </w:tc>
        <w:tc>
          <w:tcPr>
            <w:tcW w:w="459" w:type="pct"/>
            <w:vMerge w:val="restart"/>
            <w:tcBorders>
              <w:tl2br w:val="nil"/>
              <w:tr2bl w:val="nil"/>
            </w:tcBorders>
            <w:shd w:val="clear" w:color="auto" w:fill="auto"/>
            <w:vAlign w:val="center"/>
          </w:tcPr>
          <w:p w14:paraId="5BAD64C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采样深度</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m</w:t>
            </w:r>
            <w:r>
              <w:rPr>
                <w:rFonts w:hint="eastAsia" w:ascii="Times New Roman" w:hAnsi="Times New Roman" w:eastAsia="宋体" w:cs="Times New Roman"/>
                <w:color w:val="000000"/>
                <w:kern w:val="0"/>
                <w:sz w:val="18"/>
                <w:szCs w:val="18"/>
                <w:lang w:val="en-US" w:eastAsia="zh-CN" w:bidi="ar"/>
              </w:rPr>
              <w:t>)</w:t>
            </w:r>
          </w:p>
        </w:tc>
        <w:tc>
          <w:tcPr>
            <w:tcW w:w="349" w:type="pct"/>
            <w:vMerge w:val="restart"/>
            <w:tcBorders>
              <w:tl2br w:val="nil"/>
              <w:tr2bl w:val="nil"/>
            </w:tcBorders>
            <w:shd w:val="clear" w:color="auto" w:fill="auto"/>
            <w:vAlign w:val="center"/>
          </w:tcPr>
          <w:p w14:paraId="60174DC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样品</w:t>
            </w:r>
          </w:p>
          <w:p w14:paraId="163909B1">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编号</w:t>
            </w:r>
          </w:p>
        </w:tc>
        <w:tc>
          <w:tcPr>
            <w:tcW w:w="309" w:type="pct"/>
            <w:gridSpan w:val="2"/>
            <w:vMerge w:val="restart"/>
            <w:tcBorders>
              <w:tl2br w:val="nil"/>
              <w:tr2bl w:val="nil"/>
            </w:tcBorders>
            <w:shd w:val="clear" w:color="auto" w:fill="auto"/>
            <w:vAlign w:val="center"/>
          </w:tcPr>
          <w:p w14:paraId="4F67A83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PID</w:t>
            </w:r>
          </w:p>
          <w:p w14:paraId="3AD3B3D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ppm</w:t>
            </w:r>
          </w:p>
        </w:tc>
        <w:tc>
          <w:tcPr>
            <w:tcW w:w="1841" w:type="pct"/>
            <w:gridSpan w:val="11"/>
            <w:tcBorders>
              <w:tl2br w:val="nil"/>
              <w:tr2bl w:val="nil"/>
            </w:tcBorders>
            <w:shd w:val="clear" w:color="auto" w:fill="auto"/>
            <w:noWrap/>
            <w:vAlign w:val="center"/>
          </w:tcPr>
          <w:p w14:paraId="2FA3ED6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XRF</w:t>
            </w:r>
            <w:r>
              <w:rPr>
                <w:rFonts w:hint="eastAsia" w:ascii="Times New Roman" w:hAnsi="Times New Roman" w:eastAsia="宋体" w:cs="Times New Roman"/>
                <w:color w:val="000000"/>
                <w:kern w:val="0"/>
                <w:sz w:val="18"/>
                <w:szCs w:val="18"/>
                <w:lang w:val="en-US" w:eastAsia="zh-CN" w:bidi="ar"/>
              </w:rPr>
              <w:t>读数</w:t>
            </w:r>
            <w:r>
              <w:rPr>
                <w:rFonts w:hint="default" w:ascii="Times New Roman" w:hAnsi="Times New Roman" w:eastAsia="宋体" w:cs="Times New Roman"/>
                <w:color w:val="000000"/>
                <w:kern w:val="0"/>
                <w:sz w:val="18"/>
                <w:szCs w:val="18"/>
                <w:lang w:val="en-US" w:eastAsia="zh-CN" w:bidi="ar"/>
              </w:rPr>
              <w:t>（ppm）</w:t>
            </w:r>
          </w:p>
        </w:tc>
      </w:tr>
      <w:tr w14:paraId="6B799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tcBorders>
              <w:tl2br w:val="nil"/>
              <w:tr2bl w:val="nil"/>
            </w:tcBorders>
            <w:shd w:val="clear" w:color="auto" w:fill="auto"/>
            <w:vAlign w:val="center"/>
          </w:tcPr>
          <w:p w14:paraId="105C9B5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313" w:type="pct"/>
            <w:vMerge w:val="continue"/>
            <w:tcBorders>
              <w:tl2br w:val="nil"/>
              <w:tr2bl w:val="nil"/>
            </w:tcBorders>
            <w:shd w:val="clear" w:color="auto" w:fill="auto"/>
            <w:vAlign w:val="center"/>
          </w:tcPr>
          <w:p w14:paraId="531D648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63" w:type="pct"/>
            <w:gridSpan w:val="2"/>
            <w:vMerge w:val="continue"/>
            <w:tcBorders>
              <w:tl2br w:val="nil"/>
              <w:tr2bl w:val="nil"/>
            </w:tcBorders>
            <w:shd w:val="clear" w:color="auto" w:fill="auto"/>
            <w:vAlign w:val="center"/>
          </w:tcPr>
          <w:p w14:paraId="0DBB3D9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28" w:type="pct"/>
            <w:vMerge w:val="continue"/>
            <w:tcBorders>
              <w:tl2br w:val="nil"/>
              <w:tr2bl w:val="nil"/>
            </w:tcBorders>
            <w:shd w:val="clear" w:color="auto" w:fill="auto"/>
            <w:vAlign w:val="center"/>
          </w:tcPr>
          <w:p w14:paraId="056B8D1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59" w:type="pct"/>
            <w:vMerge w:val="continue"/>
            <w:tcBorders>
              <w:tl2br w:val="nil"/>
              <w:tr2bl w:val="nil"/>
            </w:tcBorders>
            <w:shd w:val="clear" w:color="auto" w:fill="auto"/>
            <w:vAlign w:val="center"/>
          </w:tcPr>
          <w:p w14:paraId="4BCC4E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349" w:type="pct"/>
            <w:vMerge w:val="continue"/>
            <w:tcBorders>
              <w:tl2br w:val="nil"/>
              <w:tr2bl w:val="nil"/>
            </w:tcBorders>
            <w:shd w:val="clear" w:color="auto" w:fill="auto"/>
            <w:vAlign w:val="center"/>
          </w:tcPr>
          <w:p w14:paraId="696D99F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309" w:type="pct"/>
            <w:gridSpan w:val="2"/>
            <w:vMerge w:val="continue"/>
            <w:tcBorders>
              <w:tl2br w:val="nil"/>
              <w:tr2bl w:val="nil"/>
            </w:tcBorders>
            <w:shd w:val="clear" w:color="auto" w:fill="auto"/>
            <w:vAlign w:val="center"/>
          </w:tcPr>
          <w:p w14:paraId="018A218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04" w:type="pct"/>
            <w:tcBorders>
              <w:tl2br w:val="nil"/>
              <w:tr2bl w:val="nil"/>
            </w:tcBorders>
            <w:shd w:val="clear" w:color="auto" w:fill="auto"/>
            <w:noWrap/>
            <w:vAlign w:val="center"/>
          </w:tcPr>
          <w:p w14:paraId="16BC631A">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砷</w:t>
            </w:r>
          </w:p>
        </w:tc>
        <w:tc>
          <w:tcPr>
            <w:tcW w:w="204" w:type="pct"/>
            <w:gridSpan w:val="2"/>
            <w:tcBorders>
              <w:tl2br w:val="nil"/>
              <w:tr2bl w:val="nil"/>
            </w:tcBorders>
            <w:shd w:val="clear" w:color="auto" w:fill="auto"/>
            <w:noWrap/>
            <w:vAlign w:val="center"/>
          </w:tcPr>
          <w:p w14:paraId="4B2AE0BA">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镉</w:t>
            </w:r>
          </w:p>
        </w:tc>
        <w:tc>
          <w:tcPr>
            <w:tcW w:w="204" w:type="pct"/>
            <w:tcBorders>
              <w:tl2br w:val="nil"/>
              <w:tr2bl w:val="nil"/>
            </w:tcBorders>
            <w:shd w:val="clear" w:color="auto" w:fill="auto"/>
            <w:noWrap/>
            <w:vAlign w:val="center"/>
          </w:tcPr>
          <w:p w14:paraId="405D0A8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铬</w:t>
            </w:r>
          </w:p>
        </w:tc>
        <w:tc>
          <w:tcPr>
            <w:tcW w:w="204" w:type="pct"/>
            <w:gridSpan w:val="2"/>
            <w:tcBorders>
              <w:tl2br w:val="nil"/>
              <w:tr2bl w:val="nil"/>
            </w:tcBorders>
            <w:shd w:val="clear" w:color="auto" w:fill="auto"/>
            <w:noWrap/>
            <w:vAlign w:val="center"/>
          </w:tcPr>
          <w:p w14:paraId="6181C951">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铜</w:t>
            </w:r>
          </w:p>
        </w:tc>
        <w:tc>
          <w:tcPr>
            <w:tcW w:w="204" w:type="pct"/>
            <w:tcBorders>
              <w:tl2br w:val="nil"/>
              <w:tr2bl w:val="nil"/>
            </w:tcBorders>
            <w:shd w:val="clear" w:color="auto" w:fill="auto"/>
            <w:noWrap/>
            <w:vAlign w:val="center"/>
          </w:tcPr>
          <w:p w14:paraId="7771F51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铅</w:t>
            </w:r>
          </w:p>
        </w:tc>
        <w:tc>
          <w:tcPr>
            <w:tcW w:w="204" w:type="pct"/>
            <w:tcBorders>
              <w:tl2br w:val="nil"/>
              <w:tr2bl w:val="nil"/>
            </w:tcBorders>
            <w:shd w:val="clear" w:color="auto" w:fill="auto"/>
            <w:noWrap/>
            <w:vAlign w:val="center"/>
          </w:tcPr>
          <w:p w14:paraId="0F737C0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汞</w:t>
            </w:r>
          </w:p>
        </w:tc>
        <w:tc>
          <w:tcPr>
            <w:tcW w:w="204" w:type="pct"/>
            <w:tcBorders>
              <w:tl2br w:val="nil"/>
              <w:tr2bl w:val="nil"/>
            </w:tcBorders>
            <w:shd w:val="clear" w:color="auto" w:fill="auto"/>
            <w:noWrap/>
            <w:vAlign w:val="center"/>
          </w:tcPr>
          <w:p w14:paraId="638A24A2">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镍</w:t>
            </w:r>
          </w:p>
        </w:tc>
        <w:tc>
          <w:tcPr>
            <w:tcW w:w="204" w:type="pct"/>
            <w:tcBorders>
              <w:tl2br w:val="nil"/>
              <w:tr2bl w:val="nil"/>
            </w:tcBorders>
            <w:shd w:val="clear" w:color="auto" w:fill="auto"/>
            <w:noWrap/>
            <w:vAlign w:val="center"/>
          </w:tcPr>
          <w:p w14:paraId="1A8E2D1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锌</w:t>
            </w:r>
          </w:p>
        </w:tc>
        <w:tc>
          <w:tcPr>
            <w:tcW w:w="204" w:type="pct"/>
            <w:tcBorders>
              <w:tl2br w:val="nil"/>
              <w:tr2bl w:val="nil"/>
            </w:tcBorders>
            <w:shd w:val="clear" w:color="auto" w:fill="auto"/>
            <w:noWrap/>
            <w:vAlign w:val="center"/>
          </w:tcPr>
          <w:p w14:paraId="4206C78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bidi="ar"/>
              </w:rPr>
              <w:t>…</w:t>
            </w:r>
          </w:p>
        </w:tc>
      </w:tr>
      <w:tr w14:paraId="18869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7" w:hRule="atLeast"/>
          <w:jc w:val="center"/>
        </w:trPr>
        <w:tc>
          <w:tcPr>
            <w:tcW w:w="335" w:type="pct"/>
            <w:shd w:val="clear" w:color="auto" w:fill="auto"/>
            <w:noWrap/>
            <w:vAlign w:val="center"/>
          </w:tcPr>
          <w:p w14:paraId="0ABDE3B7">
            <w:pPr>
              <w:keepNext w:val="0"/>
              <w:keepLines w:val="0"/>
              <w:pageBreakBefore w:val="0"/>
              <w:suppressLineNumbers w:val="0"/>
              <w:tabs>
                <w:tab w:val="left" w:pos="363"/>
              </w:tabs>
              <w:kinsoku/>
              <w:overflowPunct/>
              <w:topLinePunct w:val="0"/>
              <w:autoSpaceDE w:val="0"/>
              <w:autoSpaceDN w:val="0"/>
              <w:bidi w:val="0"/>
              <w:adjustRightInd w:val="0"/>
              <w:snapToGrid w:val="0"/>
              <w:spacing w:before="0" w:beforeAutospacing="0" w:after="0" w:afterAutospacing="0"/>
              <w:ind w:left="0" w:right="0"/>
              <w:jc w:val="both"/>
              <w:rPr>
                <w:rFonts w:hint="default" w:ascii="Times New Roman" w:hAnsi="Times New Roman" w:eastAsia="宋体" w:cs="Times New Roman"/>
                <w:color w:val="000000"/>
                <w:kern w:val="0"/>
                <w:sz w:val="18"/>
                <w:szCs w:val="18"/>
                <w:lang w:val="fr-FR" w:eastAsia="zh-CN"/>
              </w:rPr>
            </w:pPr>
            <w:r>
              <w:rPr>
                <w:rFonts w:hint="default" w:ascii="宋体" w:hAnsi="宋体" w:eastAsia="宋体" w:cs="宋体"/>
                <w:kern w:val="0"/>
                <w:sz w:val="22"/>
                <w:szCs w:val="22"/>
                <w:lang w:val="en-US" w:eastAsia="zh-CN"/>
              </w:rPr>
              <w:drawing>
                <wp:anchor distT="0" distB="0" distL="114935" distR="114935" simplePos="0" relativeHeight="251689984" behindDoc="1" locked="0" layoutInCell="1" allowOverlap="1">
                  <wp:simplePos x="0" y="0"/>
                  <wp:positionH relativeFrom="column">
                    <wp:posOffset>-66675</wp:posOffset>
                  </wp:positionH>
                  <wp:positionV relativeFrom="paragraph">
                    <wp:posOffset>-2540</wp:posOffset>
                  </wp:positionV>
                  <wp:extent cx="127000" cy="5255895"/>
                  <wp:effectExtent l="0" t="0" r="6350" b="19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7"/>
                          <a:srcRect l="-10527" t="1714" r="-4552" b="9521"/>
                          <a:stretch>
                            <a:fillRect/>
                          </a:stretch>
                        </pic:blipFill>
                        <pic:spPr>
                          <a:xfrm>
                            <a:off x="0" y="0"/>
                            <a:ext cx="127000" cy="5255895"/>
                          </a:xfrm>
                          <a:prstGeom prst="rect">
                            <a:avLst/>
                          </a:prstGeom>
                          <a:noFill/>
                          <a:ln>
                            <a:noFill/>
                          </a:ln>
                        </pic:spPr>
                      </pic:pic>
                    </a:graphicData>
                  </a:graphic>
                </wp:anchor>
              </w:drawing>
            </w:r>
          </w:p>
        </w:tc>
        <w:tc>
          <w:tcPr>
            <w:tcW w:w="313" w:type="pct"/>
            <w:shd w:val="clear" w:color="auto" w:fill="auto"/>
            <w:noWrap/>
            <w:vAlign w:val="center"/>
          </w:tcPr>
          <w:p w14:paraId="301B44E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663" w:type="pct"/>
            <w:gridSpan w:val="2"/>
            <w:shd w:val="clear" w:color="auto" w:fill="auto"/>
            <w:noWrap/>
            <w:vAlign w:val="center"/>
          </w:tcPr>
          <w:p w14:paraId="2915E92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728" w:type="pct"/>
            <w:shd w:val="clear" w:color="auto" w:fill="auto"/>
            <w:noWrap/>
            <w:vAlign w:val="center"/>
          </w:tcPr>
          <w:p w14:paraId="6E03924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459" w:type="pct"/>
            <w:shd w:val="clear" w:color="auto" w:fill="auto"/>
            <w:noWrap/>
            <w:vAlign w:val="center"/>
          </w:tcPr>
          <w:p w14:paraId="59D10E4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宋体" w:hAnsi="宋体" w:eastAsia="宋体" w:cs="宋体"/>
                <w:kern w:val="0"/>
                <w:sz w:val="22"/>
                <w:szCs w:val="22"/>
                <w:lang w:val="en-US" w:eastAsia="zh-CN"/>
              </w:rPr>
              <w:drawing>
                <wp:anchor distT="0" distB="0" distL="114935" distR="114935" simplePos="0" relativeHeight="251691008" behindDoc="1" locked="0" layoutInCell="1" allowOverlap="1">
                  <wp:simplePos x="0" y="0"/>
                  <wp:positionH relativeFrom="column">
                    <wp:posOffset>-66675</wp:posOffset>
                  </wp:positionH>
                  <wp:positionV relativeFrom="paragraph">
                    <wp:posOffset>-2540</wp:posOffset>
                  </wp:positionV>
                  <wp:extent cx="127635" cy="5255895"/>
                  <wp:effectExtent l="0" t="0" r="5715" b="190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7"/>
                          <a:srcRect l="-10527" t="1714" r="-4552" b="9521"/>
                          <a:stretch>
                            <a:fillRect/>
                          </a:stretch>
                        </pic:blipFill>
                        <pic:spPr>
                          <a:xfrm>
                            <a:off x="0" y="0"/>
                            <a:ext cx="127635" cy="5255895"/>
                          </a:xfrm>
                          <a:prstGeom prst="rect">
                            <a:avLst/>
                          </a:prstGeom>
                          <a:noFill/>
                          <a:ln>
                            <a:noFill/>
                          </a:ln>
                        </pic:spPr>
                      </pic:pic>
                    </a:graphicData>
                  </a:graphic>
                </wp:anchor>
              </w:drawing>
            </w:r>
          </w:p>
        </w:tc>
        <w:tc>
          <w:tcPr>
            <w:tcW w:w="349" w:type="pct"/>
            <w:shd w:val="clear" w:color="auto" w:fill="auto"/>
            <w:noWrap/>
            <w:vAlign w:val="center"/>
          </w:tcPr>
          <w:p w14:paraId="5873DCE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309" w:type="pct"/>
            <w:gridSpan w:val="2"/>
            <w:shd w:val="clear" w:color="auto" w:fill="auto"/>
            <w:noWrap/>
            <w:vAlign w:val="center"/>
          </w:tcPr>
          <w:p w14:paraId="4B4316A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shd w:val="clear" w:color="auto" w:fill="auto"/>
            <w:noWrap/>
            <w:vAlign w:val="center"/>
          </w:tcPr>
          <w:p w14:paraId="2F51373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gridSpan w:val="2"/>
            <w:shd w:val="clear" w:color="auto" w:fill="auto"/>
            <w:noWrap/>
            <w:vAlign w:val="center"/>
          </w:tcPr>
          <w:p w14:paraId="6F6EBB8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shd w:val="clear" w:color="auto" w:fill="auto"/>
            <w:noWrap/>
            <w:vAlign w:val="center"/>
          </w:tcPr>
          <w:p w14:paraId="70742D9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gridSpan w:val="2"/>
            <w:shd w:val="clear" w:color="auto" w:fill="auto"/>
            <w:noWrap/>
            <w:vAlign w:val="center"/>
          </w:tcPr>
          <w:p w14:paraId="7CE2870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shd w:val="clear" w:color="auto" w:fill="auto"/>
            <w:noWrap/>
            <w:vAlign w:val="center"/>
          </w:tcPr>
          <w:p w14:paraId="6D76052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shd w:val="clear" w:color="auto" w:fill="auto"/>
            <w:noWrap/>
            <w:vAlign w:val="center"/>
          </w:tcPr>
          <w:p w14:paraId="7664D47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shd w:val="clear" w:color="auto" w:fill="auto"/>
            <w:noWrap/>
            <w:vAlign w:val="center"/>
          </w:tcPr>
          <w:p w14:paraId="1B1A459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shd w:val="clear" w:color="auto" w:fill="auto"/>
            <w:noWrap/>
            <w:vAlign w:val="center"/>
          </w:tcPr>
          <w:p w14:paraId="4B82544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c>
          <w:tcPr>
            <w:tcW w:w="204" w:type="pct"/>
            <w:shd w:val="clear" w:color="auto" w:fill="auto"/>
            <w:noWrap/>
            <w:vAlign w:val="center"/>
          </w:tcPr>
          <w:p w14:paraId="760FA42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p>
        </w:tc>
      </w:tr>
      <w:tr w14:paraId="09786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40" w:type="pct"/>
            <w:gridSpan w:val="5"/>
            <w:tcBorders>
              <w:tl2br w:val="nil"/>
              <w:tr2bl w:val="nil"/>
            </w:tcBorders>
            <w:shd w:val="clear" w:color="auto" w:fill="auto"/>
            <w:noWrap/>
            <w:vAlign w:val="center"/>
          </w:tcPr>
          <w:p w14:paraId="3DD05C6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钻探单位</w:t>
            </w:r>
            <w:r>
              <w:rPr>
                <w:rFonts w:hint="eastAsia" w:ascii="Times New Roman" w:hAnsi="Times New Roman" w:eastAsia="宋体" w:cs="Times New Roman"/>
                <w:color w:val="000000"/>
                <w:kern w:val="0"/>
                <w:sz w:val="18"/>
                <w:szCs w:val="18"/>
                <w:lang w:val="en-US" w:eastAsia="zh-CN" w:bidi="ar"/>
              </w:rPr>
              <w:t>：</w:t>
            </w:r>
          </w:p>
        </w:tc>
        <w:tc>
          <w:tcPr>
            <w:tcW w:w="986" w:type="pct"/>
            <w:gridSpan w:val="3"/>
            <w:tcBorders>
              <w:tl2br w:val="nil"/>
              <w:tr2bl w:val="nil"/>
            </w:tcBorders>
            <w:shd w:val="clear" w:color="auto" w:fill="auto"/>
            <w:noWrap/>
            <w:vAlign w:val="center"/>
          </w:tcPr>
          <w:p w14:paraId="4E00838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钻孔负责人</w:t>
            </w:r>
            <w:r>
              <w:rPr>
                <w:rFonts w:hint="eastAsia" w:ascii="Times New Roman" w:hAnsi="Times New Roman" w:eastAsia="宋体" w:cs="Times New Roman"/>
                <w:color w:val="000000"/>
                <w:kern w:val="0"/>
                <w:sz w:val="18"/>
                <w:szCs w:val="18"/>
                <w:lang w:val="en-US" w:eastAsia="zh-CN" w:bidi="ar"/>
              </w:rPr>
              <w:t>：</w:t>
            </w:r>
          </w:p>
        </w:tc>
        <w:tc>
          <w:tcPr>
            <w:tcW w:w="949" w:type="pct"/>
            <w:gridSpan w:val="7"/>
            <w:tcBorders>
              <w:tl2br w:val="nil"/>
              <w:tr2bl w:val="nil"/>
            </w:tcBorders>
            <w:shd w:val="clear" w:color="auto" w:fill="auto"/>
            <w:noWrap/>
            <w:vAlign w:val="center"/>
          </w:tcPr>
          <w:p w14:paraId="401C92A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en-US"/>
              </w:rPr>
            </w:pPr>
            <w:r>
              <w:rPr>
                <w:rFonts w:hint="default" w:ascii="Times New Roman" w:hAnsi="Times New Roman" w:eastAsia="宋体" w:cs="Times New Roman"/>
                <w:color w:val="000000"/>
                <w:kern w:val="0"/>
                <w:sz w:val="18"/>
                <w:szCs w:val="18"/>
                <w:lang w:val="en-US" w:eastAsia="zh-CN" w:bidi="ar"/>
              </w:rPr>
              <w:t>采样</w:t>
            </w:r>
            <w:r>
              <w:rPr>
                <w:rFonts w:hint="eastAsia" w:ascii="Times New Roman" w:hAnsi="Times New Roman" w:eastAsia="宋体" w:cs="Times New Roman"/>
                <w:color w:val="000000"/>
                <w:kern w:val="0"/>
                <w:sz w:val="18"/>
                <w:szCs w:val="18"/>
                <w:lang w:val="en-US" w:eastAsia="zh-CN" w:bidi="ar"/>
              </w:rPr>
              <w:t>人员：</w:t>
            </w:r>
          </w:p>
        </w:tc>
        <w:tc>
          <w:tcPr>
            <w:tcW w:w="1023" w:type="pct"/>
            <w:gridSpan w:val="5"/>
            <w:tcBorders>
              <w:tl2br w:val="nil"/>
              <w:tr2bl w:val="nil"/>
            </w:tcBorders>
            <w:shd w:val="clear" w:color="auto" w:fill="auto"/>
            <w:noWrap/>
            <w:vAlign w:val="center"/>
          </w:tcPr>
          <w:p w14:paraId="45F583D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bidi="ar"/>
              </w:rPr>
              <w:t>钻探</w:t>
            </w:r>
            <w:r>
              <w:rPr>
                <w:rFonts w:hint="default" w:ascii="Times New Roman" w:hAnsi="Times New Roman" w:eastAsia="宋体" w:cs="Times New Roman"/>
                <w:color w:val="000000"/>
                <w:kern w:val="0"/>
                <w:sz w:val="18"/>
                <w:szCs w:val="18"/>
                <w:lang w:val="en-US" w:eastAsia="zh-CN" w:bidi="ar"/>
              </w:rPr>
              <w:t>单位内审</w:t>
            </w:r>
            <w:r>
              <w:rPr>
                <w:rFonts w:hint="eastAsia" w:ascii="Times New Roman" w:hAnsi="Times New Roman" w:eastAsia="宋体" w:cs="Times New Roman"/>
                <w:color w:val="000000"/>
                <w:kern w:val="0"/>
                <w:sz w:val="18"/>
                <w:szCs w:val="18"/>
                <w:lang w:val="en-US" w:eastAsia="zh-CN" w:bidi="ar"/>
              </w:rPr>
              <w:t>：</w:t>
            </w:r>
          </w:p>
        </w:tc>
      </w:tr>
    </w:tbl>
    <w:p w14:paraId="4448DB99">
      <w:pPr>
        <w:keepNext w:val="0"/>
        <w:keepLines w:val="0"/>
        <w:pageBreakBefore w:val="0"/>
        <w:kinsoku/>
        <w:overflowPunct/>
        <w:topLinePunct w:val="0"/>
        <w:autoSpaceDE w:val="0"/>
        <w:autoSpaceDN w:val="0"/>
        <w:bidi w:val="0"/>
        <w:adjustRightInd w:val="0"/>
        <w:snapToGrid w:val="0"/>
        <w:rPr>
          <w:sz w:val="18"/>
        </w:rPr>
        <w:sectPr>
          <w:pgSz w:w="11910" w:h="16840"/>
          <w:pgMar w:top="1417" w:right="1417" w:bottom="1134" w:left="1134" w:header="1417" w:footer="1134" w:gutter="0"/>
          <w:pgNumType w:fmt="decimal"/>
          <w:cols w:space="0" w:num="1"/>
          <w:rtlGutter w:val="0"/>
          <w:docGrid w:linePitch="0" w:charSpace="0"/>
        </w:sectPr>
      </w:pPr>
    </w:p>
    <w:p w14:paraId="1DBEC60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p w14:paraId="6670F96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eastAsia="宋体" w:cs="宋体"/>
          <w:sz w:val="21"/>
          <w:szCs w:val="21"/>
          <w:lang w:val="en-US" w:eastAsia="zh-CN" w:bidi="ar-SA"/>
        </w:rPr>
      </w:pPr>
      <w:r>
        <w:rPr>
          <w:rFonts w:hint="eastAsia" w:ascii="宋体" w:hAnsi="宋体" w:eastAsia="宋体" w:cs="宋体"/>
          <w:sz w:val="21"/>
          <w:szCs w:val="21"/>
          <w:lang w:val="fr-FR" w:eastAsia="zh-CN" w:bidi="ar-SA"/>
        </w:rPr>
        <w:t>表</w:t>
      </w:r>
      <w:r>
        <w:rPr>
          <w:rFonts w:hint="eastAsia" w:ascii="宋体" w:hAnsi="宋体" w:eastAsia="宋体" w:cs="宋体"/>
          <w:sz w:val="21"/>
          <w:szCs w:val="21"/>
          <w:lang w:val="en-US" w:eastAsia="zh-CN" w:bidi="ar-SA"/>
        </w:rPr>
        <w:t>C.2</w:t>
      </w:r>
      <w:r>
        <w:rPr>
          <w:rFonts w:hint="eastAsia" w:ascii="宋体" w:hAnsi="宋体" w:eastAsia="宋体" w:cs="宋体"/>
          <w:sz w:val="21"/>
          <w:szCs w:val="21"/>
          <w:lang w:val="fr-FR" w:eastAsia="zh-CN" w:bidi="ar-SA"/>
        </w:rPr>
        <w:t xml:space="preserve"> </w:t>
      </w:r>
      <w:r>
        <w:rPr>
          <w:rFonts w:hint="eastAsia" w:ascii="宋体" w:hAnsi="宋体" w:eastAsia="宋体" w:cs="宋体"/>
          <w:sz w:val="21"/>
          <w:szCs w:val="21"/>
          <w:lang w:val="en-US" w:eastAsia="zh-CN" w:bidi="ar-SA"/>
        </w:rPr>
        <w:t>地下水采样井成井记录单</w:t>
      </w:r>
    </w:p>
    <w:tbl>
      <w:tblPr>
        <w:tblStyle w:val="9"/>
        <w:tblW w:w="486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260"/>
        <w:gridCol w:w="1150"/>
        <w:gridCol w:w="779"/>
        <w:gridCol w:w="648"/>
        <w:gridCol w:w="416"/>
        <w:gridCol w:w="283"/>
        <w:gridCol w:w="581"/>
        <w:gridCol w:w="343"/>
        <w:gridCol w:w="361"/>
        <w:gridCol w:w="2070"/>
      </w:tblGrid>
      <w:tr w14:paraId="545BE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8" w:type="pct"/>
            <w:gridSpan w:val="7"/>
            <w:tcBorders>
              <w:top w:val="single" w:color="auto" w:sz="12" w:space="0"/>
              <w:tl2br w:val="nil"/>
              <w:tr2bl w:val="nil"/>
            </w:tcBorders>
            <w:shd w:val="clear" w:color="auto" w:fill="auto"/>
            <w:vAlign w:val="center"/>
          </w:tcPr>
          <w:p w14:paraId="643EEFD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地块名称</w:t>
            </w:r>
            <w:r>
              <w:rPr>
                <w:rFonts w:hint="eastAsia" w:ascii="Times New Roman" w:hAnsi="Times New Roman" w:eastAsia="宋体" w:cs="Times New Roman"/>
                <w:color w:val="000000"/>
                <w:kern w:val="0"/>
                <w:sz w:val="18"/>
                <w:szCs w:val="18"/>
                <w:lang w:val="en-US" w:eastAsia="zh-CN" w:bidi="ar"/>
              </w:rPr>
              <w:t>：</w:t>
            </w:r>
          </w:p>
        </w:tc>
        <w:tc>
          <w:tcPr>
            <w:tcW w:w="1801" w:type="pct"/>
            <w:gridSpan w:val="4"/>
            <w:tcBorders>
              <w:top w:val="single" w:color="auto" w:sz="12" w:space="0"/>
              <w:tl2br w:val="nil"/>
              <w:tr2bl w:val="nil"/>
            </w:tcBorders>
            <w:shd w:val="clear" w:color="auto" w:fill="auto"/>
            <w:vAlign w:val="center"/>
          </w:tcPr>
          <w:p w14:paraId="21863A4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钻孔方式：</w:t>
            </w:r>
          </w:p>
        </w:tc>
      </w:tr>
      <w:tr w14:paraId="319CD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pct"/>
            <w:gridSpan w:val="2"/>
            <w:tcBorders>
              <w:tl2br w:val="nil"/>
              <w:tr2bl w:val="nil"/>
            </w:tcBorders>
            <w:shd w:val="clear" w:color="auto" w:fill="auto"/>
            <w:vAlign w:val="center"/>
          </w:tcPr>
          <w:p w14:paraId="62D2294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采样井编号：</w:t>
            </w:r>
          </w:p>
        </w:tc>
        <w:tc>
          <w:tcPr>
            <w:tcW w:w="2254" w:type="pct"/>
            <w:gridSpan w:val="7"/>
            <w:tcBorders>
              <w:tl2br w:val="nil"/>
              <w:tr2bl w:val="nil"/>
            </w:tcBorders>
            <w:shd w:val="clear" w:color="auto" w:fill="auto"/>
            <w:vAlign w:val="center"/>
          </w:tcPr>
          <w:p w14:paraId="7DE2C196">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坐标：</w:t>
            </w:r>
          </w:p>
        </w:tc>
        <w:tc>
          <w:tcPr>
            <w:tcW w:w="1305" w:type="pct"/>
            <w:gridSpan w:val="2"/>
            <w:tcBorders>
              <w:bottom w:val="nil"/>
            </w:tcBorders>
            <w:shd w:val="clear" w:color="auto" w:fill="auto"/>
            <w:vAlign w:val="center"/>
          </w:tcPr>
          <w:p w14:paraId="7C2979E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地面高程（m）：</w:t>
            </w:r>
          </w:p>
        </w:tc>
      </w:tr>
      <w:tr w14:paraId="0A9AD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pct"/>
            <w:tcBorders>
              <w:tl2br w:val="nil"/>
              <w:tr2bl w:val="nil"/>
            </w:tcBorders>
            <w:shd w:val="clear" w:color="auto" w:fill="auto"/>
            <w:vAlign w:val="center"/>
          </w:tcPr>
          <w:p w14:paraId="39A6210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建</w:t>
            </w:r>
            <w:r>
              <w:rPr>
                <w:rFonts w:hint="eastAsia" w:ascii="Times New Roman" w:hAnsi="Times New Roman" w:eastAsia="宋体" w:cs="Times New Roman"/>
                <w:color w:val="000000"/>
                <w:kern w:val="0"/>
                <w:sz w:val="18"/>
                <w:szCs w:val="18"/>
                <w:lang w:val="en-US" w:eastAsia="zh-CN" w:bidi="ar"/>
              </w:rPr>
              <w:t>井</w:t>
            </w:r>
            <w:r>
              <w:rPr>
                <w:rFonts w:hint="default" w:ascii="Times New Roman" w:hAnsi="Times New Roman" w:eastAsia="宋体" w:cs="Times New Roman"/>
                <w:color w:val="000000"/>
                <w:kern w:val="0"/>
                <w:sz w:val="18"/>
                <w:szCs w:val="18"/>
                <w:lang w:val="en-US" w:eastAsia="zh-CN" w:bidi="ar"/>
              </w:rPr>
              <w:t>日期</w:t>
            </w:r>
          </w:p>
        </w:tc>
        <w:tc>
          <w:tcPr>
            <w:tcW w:w="2059" w:type="pct"/>
            <w:gridSpan w:val="4"/>
            <w:tcBorders>
              <w:tl2br w:val="nil"/>
              <w:tr2bl w:val="nil"/>
            </w:tcBorders>
            <w:shd w:val="clear" w:color="auto" w:fill="auto"/>
            <w:vAlign w:val="center"/>
          </w:tcPr>
          <w:p w14:paraId="5B5E3DB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 xml:space="preserve">自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 年</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月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日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  开始</w:t>
            </w:r>
          </w:p>
        </w:tc>
        <w:tc>
          <w:tcPr>
            <w:tcW w:w="2176" w:type="pct"/>
            <w:gridSpan w:val="6"/>
            <w:tcBorders>
              <w:tl2br w:val="nil"/>
              <w:tr2bl w:val="nil"/>
            </w:tcBorders>
            <w:shd w:val="clear" w:color="auto" w:fill="auto"/>
            <w:vAlign w:val="center"/>
          </w:tcPr>
          <w:p w14:paraId="0EC22FD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至</w:t>
            </w:r>
            <w:r>
              <w:rPr>
                <w:rFonts w:hint="default" w:ascii="Times New Roman" w:hAnsi="Times New Roman" w:eastAsia="宋体" w:cs="Times New Roman"/>
                <w:color w:val="000000"/>
                <w:kern w:val="0"/>
                <w:sz w:val="18"/>
                <w:szCs w:val="18"/>
                <w:lang w:val="en-US" w:eastAsia="zh-CN" w:bidi="ar"/>
              </w:rPr>
              <w:t xml:space="preserve">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 年</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月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日  </w:t>
            </w:r>
            <w:r>
              <w:rPr>
                <w:rFonts w:hint="eastAsia" w:ascii="Times New Roman" w:hAnsi="Times New Roman" w:eastAsia="宋体" w:cs="Times New Roman"/>
                <w:color w:val="000000"/>
                <w:kern w:val="0"/>
                <w:sz w:val="18"/>
                <w:szCs w:val="18"/>
                <w:lang w:val="en-US" w:eastAsia="zh-CN" w:bidi="ar"/>
              </w:rPr>
              <w:t xml:space="preserve">    </w:t>
            </w:r>
            <w:r>
              <w:rPr>
                <w:rFonts w:hint="default" w:ascii="Times New Roman" w:hAnsi="Times New Roman" w:eastAsia="宋体" w:cs="Times New Roman"/>
                <w:color w:val="000000"/>
                <w:kern w:val="0"/>
                <w:sz w:val="18"/>
                <w:szCs w:val="18"/>
                <w:lang w:val="en-US" w:eastAsia="zh-CN" w:bidi="ar"/>
              </w:rPr>
              <w:t xml:space="preserve">  </w:t>
            </w:r>
            <w:r>
              <w:rPr>
                <w:rFonts w:hint="eastAsia" w:ascii="Times New Roman" w:hAnsi="Times New Roman" w:eastAsia="宋体" w:cs="Times New Roman"/>
                <w:color w:val="000000"/>
                <w:kern w:val="0"/>
                <w:sz w:val="18"/>
                <w:szCs w:val="18"/>
                <w:lang w:val="en-US" w:eastAsia="zh-CN" w:bidi="ar"/>
              </w:rPr>
              <w:t>结束</w:t>
            </w:r>
          </w:p>
        </w:tc>
      </w:tr>
      <w:tr w14:paraId="71E85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tcBorders>
              <w:tl2br w:val="nil"/>
              <w:tr2bl w:val="nil"/>
            </w:tcBorders>
            <w:shd w:val="clear" w:color="auto" w:fill="auto"/>
            <w:vAlign w:val="center"/>
          </w:tcPr>
          <w:p w14:paraId="0010A4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采样井结构示意图</w:t>
            </w:r>
          </w:p>
        </w:tc>
        <w:tc>
          <w:tcPr>
            <w:tcW w:w="1453" w:type="pct"/>
            <w:gridSpan w:val="5"/>
            <w:tcBorders>
              <w:tl2br w:val="nil"/>
              <w:tr2bl w:val="nil"/>
            </w:tcBorders>
            <w:shd w:val="clear" w:color="auto" w:fill="auto"/>
            <w:vAlign w:val="center"/>
          </w:tcPr>
          <w:p w14:paraId="5605ED4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rPr>
              <w:t>钻孔深度（m）：</w:t>
            </w:r>
          </w:p>
        </w:tc>
        <w:tc>
          <w:tcPr>
            <w:tcW w:w="1488" w:type="pct"/>
            <w:gridSpan w:val="3"/>
            <w:tcBorders>
              <w:tl2br w:val="nil"/>
              <w:tr2bl w:val="nil"/>
            </w:tcBorders>
            <w:shd w:val="clear" w:color="auto" w:fill="auto"/>
            <w:vAlign w:val="center"/>
          </w:tcPr>
          <w:p w14:paraId="1CAF92A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bidi="ar"/>
              </w:rPr>
              <w:t>钻孔直径</w:t>
            </w:r>
            <w:r>
              <w:rPr>
                <w:rFonts w:hint="default" w:ascii="Times New Roman" w:hAnsi="Times New Roman" w:eastAsia="宋体" w:cs="Times New Roman"/>
                <w:color w:val="000000"/>
                <w:kern w:val="0"/>
                <w:sz w:val="18"/>
                <w:szCs w:val="18"/>
                <w:lang w:val="en-US" w:eastAsia="zh-CN" w:bidi="ar"/>
              </w:rPr>
              <w:t>（mm）</w:t>
            </w:r>
            <w:r>
              <w:rPr>
                <w:rFonts w:hint="eastAsia" w:ascii="Times New Roman" w:hAnsi="Times New Roman" w:eastAsia="宋体" w:cs="Times New Roman"/>
                <w:color w:val="000000"/>
                <w:kern w:val="0"/>
                <w:sz w:val="18"/>
                <w:szCs w:val="18"/>
                <w:lang w:val="en-US" w:eastAsia="zh-CN" w:bidi="ar"/>
              </w:rPr>
              <w:t>：</w:t>
            </w:r>
          </w:p>
        </w:tc>
      </w:tr>
      <w:tr w14:paraId="15BD8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restart"/>
            <w:tcBorders>
              <w:tl2br w:val="nil"/>
              <w:tr2bl w:val="nil"/>
            </w:tcBorders>
            <w:shd w:val="clear" w:color="auto" w:fill="auto"/>
            <w:vAlign w:val="center"/>
          </w:tcPr>
          <w:p w14:paraId="030A964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rPr>
            </w:pPr>
          </w:p>
        </w:tc>
        <w:tc>
          <w:tcPr>
            <w:tcW w:w="2942" w:type="pct"/>
            <w:gridSpan w:val="8"/>
            <w:tcBorders>
              <w:tl2br w:val="nil"/>
              <w:tr2bl w:val="nil"/>
            </w:tcBorders>
            <w:shd w:val="clear" w:color="auto" w:fill="auto"/>
            <w:vAlign w:val="center"/>
          </w:tcPr>
          <w:p w14:paraId="468FA16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地下水水位（m）：</w:t>
            </w:r>
          </w:p>
        </w:tc>
      </w:tr>
      <w:tr w14:paraId="3D6D5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3BC2AD0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418" w:type="pct"/>
            <w:vMerge w:val="restart"/>
            <w:tcBorders>
              <w:tl2br w:val="nil"/>
              <w:tr2bl w:val="nil"/>
            </w:tcBorders>
            <w:shd w:val="clear" w:color="auto" w:fill="auto"/>
            <w:vAlign w:val="center"/>
          </w:tcPr>
          <w:p w14:paraId="3205766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井台</w:t>
            </w:r>
          </w:p>
        </w:tc>
        <w:tc>
          <w:tcPr>
            <w:tcW w:w="347" w:type="pct"/>
            <w:tcBorders>
              <w:tl2br w:val="nil"/>
              <w:tr2bl w:val="nil"/>
            </w:tcBorders>
            <w:shd w:val="clear" w:color="auto" w:fill="auto"/>
            <w:vAlign w:val="center"/>
          </w:tcPr>
          <w:p w14:paraId="3B8B0F9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类型</w:t>
            </w:r>
          </w:p>
        </w:tc>
        <w:tc>
          <w:tcPr>
            <w:tcW w:w="2176" w:type="pct"/>
            <w:gridSpan w:val="6"/>
            <w:tcBorders>
              <w:tl2br w:val="nil"/>
              <w:tr2bl w:val="nil"/>
            </w:tcBorders>
            <w:shd w:val="clear" w:color="auto" w:fill="auto"/>
            <w:vAlign w:val="center"/>
          </w:tcPr>
          <w:p w14:paraId="2183D18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 xml:space="preserve">无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 xml:space="preserve">明显式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隐藏式</w:t>
            </w:r>
          </w:p>
        </w:tc>
      </w:tr>
      <w:tr w14:paraId="42260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677EA1D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18" w:type="pct"/>
            <w:vMerge w:val="continue"/>
            <w:tcBorders>
              <w:tl2br w:val="nil"/>
              <w:tr2bl w:val="nil"/>
            </w:tcBorders>
            <w:shd w:val="clear" w:color="auto" w:fill="auto"/>
            <w:vAlign w:val="center"/>
          </w:tcPr>
          <w:p w14:paraId="44007C6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12D22A4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22"/>
                <w:lang w:val="fr-FR" w:eastAsia="en-US"/>
              </w:rPr>
            </w:pPr>
            <w:r>
              <w:rPr>
                <w:rFonts w:hint="eastAsia" w:ascii="Times New Roman" w:hAnsi="Times New Roman" w:eastAsia="宋体" w:cs="Times New Roman"/>
                <w:color w:val="000000"/>
                <w:kern w:val="0"/>
                <w:sz w:val="18"/>
                <w:szCs w:val="18"/>
                <w:lang w:val="en-US" w:eastAsia="zh-CN" w:bidi="ar"/>
              </w:rPr>
              <w:t>井</w:t>
            </w:r>
            <w:r>
              <w:rPr>
                <w:rFonts w:hint="default" w:ascii="Times New Roman" w:hAnsi="Times New Roman" w:eastAsia="宋体" w:cs="Times New Roman"/>
                <w:color w:val="000000"/>
                <w:kern w:val="0"/>
                <w:sz w:val="18"/>
                <w:szCs w:val="18"/>
                <w:lang w:val="en-US" w:eastAsia="zh-CN" w:bidi="ar"/>
              </w:rPr>
              <w:t>口距地面高度（m）</w:t>
            </w:r>
            <w:r>
              <w:rPr>
                <w:rFonts w:hint="eastAsia" w:ascii="Times New Roman" w:hAnsi="Times New Roman" w:eastAsia="宋体" w:cs="Times New Roman"/>
                <w:color w:val="000000"/>
                <w:kern w:val="0"/>
                <w:sz w:val="18"/>
                <w:szCs w:val="18"/>
                <w:lang w:val="en-US" w:eastAsia="zh-CN" w:bidi="ar"/>
              </w:rPr>
              <w:t>：</w:t>
            </w:r>
          </w:p>
        </w:tc>
      </w:tr>
      <w:tr w14:paraId="0AE6B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6E27FA5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418" w:type="pct"/>
            <w:vMerge w:val="continue"/>
            <w:tcBorders>
              <w:tl2br w:val="nil"/>
              <w:tr2bl w:val="nil"/>
            </w:tcBorders>
            <w:shd w:val="clear" w:color="auto" w:fill="auto"/>
            <w:vAlign w:val="center"/>
          </w:tcPr>
          <w:p w14:paraId="24FEE84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5D68330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护台高度（m）：</w:t>
            </w:r>
          </w:p>
        </w:tc>
      </w:tr>
      <w:tr w14:paraId="76EC5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6AF218F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418" w:type="pct"/>
            <w:vMerge w:val="restart"/>
            <w:tcBorders>
              <w:tl2br w:val="nil"/>
              <w:tr2bl w:val="nil"/>
            </w:tcBorders>
            <w:shd w:val="clear" w:color="auto" w:fill="auto"/>
            <w:vAlign w:val="center"/>
          </w:tcPr>
          <w:p w14:paraId="234BF73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回填层</w:t>
            </w:r>
          </w:p>
        </w:tc>
        <w:tc>
          <w:tcPr>
            <w:tcW w:w="347" w:type="pct"/>
            <w:tcBorders>
              <w:tl2br w:val="nil"/>
              <w:tr2bl w:val="nil"/>
            </w:tcBorders>
            <w:shd w:val="clear" w:color="auto" w:fill="auto"/>
            <w:vAlign w:val="center"/>
          </w:tcPr>
          <w:p w14:paraId="0127688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材料</w:t>
            </w:r>
          </w:p>
        </w:tc>
        <w:tc>
          <w:tcPr>
            <w:tcW w:w="2176" w:type="pct"/>
            <w:gridSpan w:val="6"/>
            <w:tcBorders>
              <w:tl2br w:val="nil"/>
              <w:tr2bl w:val="nil"/>
            </w:tcBorders>
            <w:shd w:val="clear" w:color="auto" w:fill="auto"/>
            <w:vAlign w:val="center"/>
          </w:tcPr>
          <w:p w14:paraId="43DA1AA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 xml:space="preserve">膨润土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 xml:space="preserve">混凝土浆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其他</w:t>
            </w:r>
            <w:r>
              <w:rPr>
                <w:rFonts w:hint="eastAsia" w:ascii="宋体" w:hAnsi="宋体" w:eastAsia="宋体" w:cs="宋体"/>
                <w:kern w:val="0"/>
                <w:sz w:val="18"/>
                <w:szCs w:val="22"/>
                <w:u w:val="single"/>
                <w:lang w:val="en-US" w:eastAsia="zh-CN"/>
              </w:rPr>
              <w:t xml:space="preserve">            </w:t>
            </w:r>
          </w:p>
        </w:tc>
      </w:tr>
      <w:tr w14:paraId="5F024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629E7AA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418" w:type="pct"/>
            <w:vMerge w:val="continue"/>
            <w:tcBorders>
              <w:tl2br w:val="nil"/>
              <w:tr2bl w:val="nil"/>
            </w:tcBorders>
            <w:shd w:val="clear" w:color="auto" w:fill="auto"/>
            <w:vAlign w:val="center"/>
          </w:tcPr>
          <w:p w14:paraId="7C1CCA0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48B6031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宋体" w:hAnsi="宋体" w:eastAsia="宋体" w:cs="宋体"/>
                <w:kern w:val="0"/>
                <w:sz w:val="18"/>
                <w:szCs w:val="18"/>
                <w:lang w:val="en-US" w:eastAsia="zh-CN"/>
              </w:rPr>
              <w:t>起止深度（m）：</w:t>
            </w:r>
          </w:p>
        </w:tc>
      </w:tr>
      <w:tr w14:paraId="34BFF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3C8A7AD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fr-FR" w:eastAsia="en-US"/>
              </w:rPr>
            </w:pPr>
          </w:p>
        </w:tc>
        <w:tc>
          <w:tcPr>
            <w:tcW w:w="418" w:type="pct"/>
            <w:vMerge w:val="restart"/>
            <w:tcBorders>
              <w:tl2br w:val="nil"/>
              <w:tr2bl w:val="nil"/>
            </w:tcBorders>
            <w:shd w:val="clear" w:color="auto" w:fill="auto"/>
            <w:vAlign w:val="center"/>
          </w:tcPr>
          <w:p w14:paraId="4B30BCE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止水层</w:t>
            </w:r>
          </w:p>
        </w:tc>
        <w:tc>
          <w:tcPr>
            <w:tcW w:w="347" w:type="pct"/>
            <w:tcBorders>
              <w:tl2br w:val="nil"/>
              <w:tr2bl w:val="nil"/>
            </w:tcBorders>
            <w:shd w:val="clear" w:color="auto" w:fill="auto"/>
            <w:vAlign w:val="center"/>
          </w:tcPr>
          <w:p w14:paraId="41FF3CD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材料</w:t>
            </w:r>
          </w:p>
        </w:tc>
        <w:tc>
          <w:tcPr>
            <w:tcW w:w="2176" w:type="pct"/>
            <w:gridSpan w:val="6"/>
            <w:tcBorders>
              <w:tl2br w:val="nil"/>
              <w:tr2bl w:val="nil"/>
            </w:tcBorders>
            <w:shd w:val="clear" w:color="auto" w:fill="auto"/>
            <w:vAlign w:val="center"/>
          </w:tcPr>
          <w:p w14:paraId="553967B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膨润土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其他</w:t>
            </w:r>
            <w:r>
              <w:rPr>
                <w:rFonts w:hint="eastAsia" w:ascii="宋体" w:hAnsi="宋体" w:eastAsia="宋体" w:cs="宋体"/>
                <w:kern w:val="0"/>
                <w:sz w:val="18"/>
                <w:szCs w:val="22"/>
                <w:u w:val="single"/>
                <w:lang w:val="en-US" w:eastAsia="zh-CN"/>
              </w:rPr>
              <w:t xml:space="preserve">              </w:t>
            </w:r>
          </w:p>
        </w:tc>
      </w:tr>
      <w:tr w14:paraId="7BEF1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0D07785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fr-FR" w:eastAsia="en-US"/>
              </w:rPr>
            </w:pPr>
          </w:p>
        </w:tc>
        <w:tc>
          <w:tcPr>
            <w:tcW w:w="418" w:type="pct"/>
            <w:vMerge w:val="continue"/>
            <w:tcBorders>
              <w:tl2br w:val="nil"/>
              <w:tr2bl w:val="nil"/>
            </w:tcBorders>
            <w:shd w:val="clear" w:color="auto" w:fill="auto"/>
            <w:vAlign w:val="center"/>
          </w:tcPr>
          <w:p w14:paraId="7588572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宋体" w:hAnsi="宋体" w:eastAsia="宋体" w:cs="宋体"/>
                <w:kern w:val="0"/>
                <w:sz w:val="18"/>
                <w:szCs w:val="18"/>
                <w:lang w:val="en-US" w:eastAsia="zh-CN"/>
              </w:rPr>
            </w:pPr>
          </w:p>
        </w:tc>
        <w:tc>
          <w:tcPr>
            <w:tcW w:w="2523" w:type="pct"/>
            <w:gridSpan w:val="7"/>
            <w:tcBorders>
              <w:tl2br w:val="nil"/>
              <w:tr2bl w:val="nil"/>
            </w:tcBorders>
            <w:shd w:val="clear" w:color="auto" w:fill="auto"/>
            <w:vAlign w:val="center"/>
          </w:tcPr>
          <w:p w14:paraId="73583A0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宋体" w:hAnsi="宋体" w:eastAsia="宋体" w:cs="宋体"/>
                <w:kern w:val="0"/>
                <w:sz w:val="18"/>
                <w:szCs w:val="18"/>
                <w:lang w:val="en-US" w:eastAsia="zh-CN"/>
              </w:rPr>
              <w:t>起止深度（m）：</w:t>
            </w:r>
          </w:p>
        </w:tc>
      </w:tr>
      <w:tr w14:paraId="1D441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70D68D2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fr-FR" w:eastAsia="en-US"/>
              </w:rPr>
            </w:pPr>
          </w:p>
        </w:tc>
        <w:tc>
          <w:tcPr>
            <w:tcW w:w="418" w:type="pct"/>
            <w:vMerge w:val="continue"/>
            <w:tcBorders>
              <w:tl2br w:val="nil"/>
              <w:tr2bl w:val="nil"/>
            </w:tcBorders>
            <w:shd w:val="clear" w:color="auto" w:fill="auto"/>
            <w:vAlign w:val="center"/>
          </w:tcPr>
          <w:p w14:paraId="64FCCF3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宋体" w:hAnsi="宋体" w:eastAsia="宋体" w:cs="宋体"/>
                <w:kern w:val="0"/>
                <w:sz w:val="18"/>
                <w:szCs w:val="18"/>
                <w:lang w:val="en-US" w:eastAsia="zh-CN"/>
              </w:rPr>
            </w:pPr>
          </w:p>
        </w:tc>
        <w:tc>
          <w:tcPr>
            <w:tcW w:w="2523" w:type="pct"/>
            <w:gridSpan w:val="7"/>
            <w:tcBorders>
              <w:tl2br w:val="nil"/>
              <w:tr2bl w:val="nil"/>
            </w:tcBorders>
            <w:shd w:val="clear" w:color="auto" w:fill="auto"/>
            <w:vAlign w:val="center"/>
          </w:tcPr>
          <w:p w14:paraId="6A66FD3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止水方式：</w:t>
            </w:r>
          </w:p>
        </w:tc>
      </w:tr>
      <w:tr w14:paraId="7A0DF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68573E4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fr-FR" w:eastAsia="en-US"/>
              </w:rPr>
            </w:pPr>
          </w:p>
        </w:tc>
        <w:tc>
          <w:tcPr>
            <w:tcW w:w="418" w:type="pct"/>
            <w:vMerge w:val="restart"/>
            <w:tcBorders>
              <w:tl2br w:val="nil"/>
              <w:tr2bl w:val="nil"/>
            </w:tcBorders>
            <w:shd w:val="clear" w:color="auto" w:fill="auto"/>
            <w:vAlign w:val="center"/>
          </w:tcPr>
          <w:p w14:paraId="7B06F03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宋体" w:hAnsi="宋体" w:eastAsia="宋体" w:cs="宋体"/>
                <w:kern w:val="0"/>
                <w:sz w:val="18"/>
                <w:szCs w:val="18"/>
                <w:lang w:val="en-US" w:eastAsia="zh-CN"/>
              </w:rPr>
            </w:pPr>
            <w:r>
              <w:rPr>
                <w:rFonts w:hint="eastAsia" w:ascii="Times New Roman" w:hAnsi="Times New Roman" w:eastAsia="宋体" w:cs="Times New Roman"/>
                <w:color w:val="000000"/>
                <w:kern w:val="0"/>
                <w:sz w:val="18"/>
                <w:szCs w:val="18"/>
                <w:lang w:val="en-US" w:eastAsia="zh-CN" w:bidi="ar"/>
              </w:rPr>
              <w:t>滤料层</w:t>
            </w:r>
          </w:p>
        </w:tc>
        <w:tc>
          <w:tcPr>
            <w:tcW w:w="347" w:type="pct"/>
            <w:tcBorders>
              <w:tl2br w:val="nil"/>
              <w:tr2bl w:val="nil"/>
            </w:tcBorders>
            <w:shd w:val="clear" w:color="auto" w:fill="auto"/>
            <w:vAlign w:val="center"/>
          </w:tcPr>
          <w:p w14:paraId="5D7B01A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材料</w:t>
            </w:r>
          </w:p>
        </w:tc>
        <w:tc>
          <w:tcPr>
            <w:tcW w:w="2176" w:type="pct"/>
            <w:gridSpan w:val="6"/>
            <w:tcBorders>
              <w:tl2br w:val="nil"/>
              <w:tr2bl w:val="nil"/>
            </w:tcBorders>
            <w:shd w:val="clear" w:color="auto" w:fill="auto"/>
            <w:vAlign w:val="center"/>
          </w:tcPr>
          <w:p w14:paraId="69D05DE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石英砂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其他</w:t>
            </w:r>
            <w:r>
              <w:rPr>
                <w:rFonts w:hint="eastAsia" w:ascii="宋体" w:hAnsi="宋体" w:eastAsia="宋体" w:cs="宋体"/>
                <w:kern w:val="0"/>
                <w:sz w:val="18"/>
                <w:szCs w:val="22"/>
                <w:u w:val="single"/>
                <w:lang w:val="en-US" w:eastAsia="zh-CN"/>
              </w:rPr>
              <w:t xml:space="preserve">              </w:t>
            </w:r>
          </w:p>
        </w:tc>
      </w:tr>
      <w:tr w14:paraId="26524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3BEF26B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fr-FR" w:eastAsia="en-US"/>
              </w:rPr>
            </w:pPr>
          </w:p>
        </w:tc>
        <w:tc>
          <w:tcPr>
            <w:tcW w:w="418" w:type="pct"/>
            <w:vMerge w:val="continue"/>
            <w:tcBorders>
              <w:tl2br w:val="nil"/>
              <w:tr2bl w:val="nil"/>
            </w:tcBorders>
            <w:shd w:val="clear" w:color="auto" w:fill="auto"/>
            <w:vAlign w:val="center"/>
          </w:tcPr>
          <w:p w14:paraId="63AC248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p>
        </w:tc>
        <w:tc>
          <w:tcPr>
            <w:tcW w:w="347" w:type="pct"/>
            <w:tcBorders>
              <w:tl2br w:val="nil"/>
              <w:tr2bl w:val="nil"/>
            </w:tcBorders>
            <w:shd w:val="clear" w:color="auto" w:fill="auto"/>
            <w:vAlign w:val="center"/>
          </w:tcPr>
          <w:p w14:paraId="111B90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粒径</w:t>
            </w:r>
          </w:p>
        </w:tc>
        <w:tc>
          <w:tcPr>
            <w:tcW w:w="2176" w:type="pct"/>
            <w:gridSpan w:val="6"/>
            <w:tcBorders>
              <w:tl2br w:val="nil"/>
              <w:tr2bl w:val="nil"/>
            </w:tcBorders>
            <w:shd w:val="clear" w:color="auto" w:fill="auto"/>
            <w:vAlign w:val="center"/>
          </w:tcPr>
          <w:p w14:paraId="5EC4911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r>
      <w:tr w14:paraId="0ECAD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48A30A6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18"/>
                <w:lang w:val="fr-FR" w:eastAsia="en-US"/>
              </w:rPr>
            </w:pPr>
          </w:p>
        </w:tc>
        <w:tc>
          <w:tcPr>
            <w:tcW w:w="418" w:type="pct"/>
            <w:vMerge w:val="continue"/>
            <w:tcBorders>
              <w:tl2br w:val="nil"/>
              <w:tr2bl w:val="nil"/>
            </w:tcBorders>
            <w:shd w:val="clear" w:color="auto" w:fill="auto"/>
            <w:vAlign w:val="center"/>
          </w:tcPr>
          <w:p w14:paraId="25567C8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76EDF63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宋体" w:hAnsi="宋体" w:eastAsia="宋体" w:cs="宋体"/>
                <w:kern w:val="0"/>
                <w:sz w:val="18"/>
                <w:szCs w:val="18"/>
                <w:lang w:val="en-US" w:eastAsia="zh-CN"/>
              </w:rPr>
              <w:t>起止深度（m）：</w:t>
            </w:r>
          </w:p>
        </w:tc>
      </w:tr>
      <w:tr w14:paraId="7F192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5CA8FD6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restart"/>
            <w:tcBorders>
              <w:tl2br w:val="nil"/>
              <w:tr2bl w:val="nil"/>
            </w:tcBorders>
            <w:shd w:val="clear" w:color="auto" w:fill="auto"/>
            <w:vAlign w:val="center"/>
          </w:tcPr>
          <w:p w14:paraId="7AFDC0D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井结构</w:t>
            </w:r>
          </w:p>
          <w:p w14:paraId="62BF350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参数</w:t>
            </w:r>
          </w:p>
        </w:tc>
        <w:tc>
          <w:tcPr>
            <w:tcW w:w="2523" w:type="pct"/>
            <w:gridSpan w:val="7"/>
            <w:tcBorders>
              <w:tl2br w:val="nil"/>
              <w:tr2bl w:val="nil"/>
            </w:tcBorders>
            <w:shd w:val="clear" w:color="auto" w:fill="auto"/>
            <w:vAlign w:val="center"/>
          </w:tcPr>
          <w:p w14:paraId="5E02D07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井管总长（m）</w:t>
            </w:r>
            <w:r>
              <w:rPr>
                <w:rFonts w:hint="eastAsia" w:ascii="Times New Roman" w:hAnsi="Times New Roman" w:eastAsia="宋体" w:cs="Times New Roman"/>
                <w:color w:val="000000"/>
                <w:kern w:val="0"/>
                <w:sz w:val="18"/>
                <w:szCs w:val="18"/>
                <w:lang w:val="en-US" w:eastAsia="zh-CN" w:bidi="ar"/>
              </w:rPr>
              <w:t>：</w:t>
            </w:r>
          </w:p>
        </w:tc>
      </w:tr>
      <w:tr w14:paraId="62D62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09DFE91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continue"/>
            <w:tcBorders>
              <w:tl2br w:val="nil"/>
              <w:tr2bl w:val="nil"/>
            </w:tcBorders>
            <w:shd w:val="clear" w:color="auto" w:fill="auto"/>
            <w:vAlign w:val="center"/>
          </w:tcPr>
          <w:p w14:paraId="5C85450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249A195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井管直径（mm）</w:t>
            </w:r>
            <w:r>
              <w:rPr>
                <w:rFonts w:hint="eastAsia" w:ascii="Times New Roman" w:hAnsi="Times New Roman" w:eastAsia="宋体" w:cs="Times New Roman"/>
                <w:color w:val="000000"/>
                <w:kern w:val="0"/>
                <w:sz w:val="18"/>
                <w:szCs w:val="18"/>
                <w:lang w:val="en-US" w:eastAsia="zh-CN" w:bidi="ar"/>
              </w:rPr>
              <w:t>：</w:t>
            </w:r>
          </w:p>
        </w:tc>
      </w:tr>
      <w:tr w14:paraId="50A84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48CC4A3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continue"/>
            <w:tcBorders>
              <w:tl2br w:val="nil"/>
              <w:tr2bl w:val="nil"/>
            </w:tcBorders>
            <w:shd w:val="clear" w:color="auto" w:fill="auto"/>
            <w:vAlign w:val="center"/>
          </w:tcPr>
          <w:p w14:paraId="717F6CB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7637C6F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实管长度（m）</w:t>
            </w:r>
          </w:p>
        </w:tc>
      </w:tr>
      <w:tr w14:paraId="7A247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1F1A003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continue"/>
            <w:tcBorders>
              <w:tl2br w:val="nil"/>
              <w:tr2bl w:val="nil"/>
            </w:tcBorders>
            <w:shd w:val="clear" w:color="auto" w:fill="auto"/>
            <w:vAlign w:val="center"/>
          </w:tcPr>
          <w:p w14:paraId="6D1F464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1778934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滤水管长度（m）</w:t>
            </w:r>
          </w:p>
        </w:tc>
      </w:tr>
      <w:tr w14:paraId="15358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65CF0AF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continue"/>
            <w:tcBorders>
              <w:tl2br w:val="nil"/>
              <w:tr2bl w:val="nil"/>
            </w:tcBorders>
            <w:shd w:val="clear" w:color="auto" w:fill="auto"/>
            <w:vAlign w:val="center"/>
          </w:tcPr>
          <w:p w14:paraId="68720EB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660C402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沉淀管长度（m）</w:t>
            </w:r>
          </w:p>
        </w:tc>
      </w:tr>
      <w:tr w14:paraId="67E17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7F02A90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restart"/>
            <w:tcBorders>
              <w:tl2br w:val="nil"/>
              <w:tr2bl w:val="nil"/>
            </w:tcBorders>
            <w:shd w:val="clear" w:color="auto" w:fill="auto"/>
            <w:vAlign w:val="center"/>
          </w:tcPr>
          <w:p w14:paraId="7D9DC37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井管</w:t>
            </w:r>
          </w:p>
          <w:p w14:paraId="58F798F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设计</w:t>
            </w:r>
          </w:p>
        </w:tc>
        <w:tc>
          <w:tcPr>
            <w:tcW w:w="721" w:type="pct"/>
            <w:gridSpan w:val="3"/>
            <w:tcBorders>
              <w:tl2br w:val="nil"/>
              <w:tr2bl w:val="nil"/>
            </w:tcBorders>
            <w:shd w:val="clear" w:color="auto" w:fill="auto"/>
            <w:vAlign w:val="center"/>
          </w:tcPr>
          <w:p w14:paraId="10003B6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井管材料</w:t>
            </w:r>
          </w:p>
        </w:tc>
        <w:tc>
          <w:tcPr>
            <w:tcW w:w="1801" w:type="pct"/>
            <w:gridSpan w:val="4"/>
            <w:tcBorders>
              <w:tl2br w:val="nil"/>
              <w:tr2bl w:val="nil"/>
            </w:tcBorders>
            <w:shd w:val="clear" w:color="auto" w:fill="auto"/>
            <w:vAlign w:val="center"/>
          </w:tcPr>
          <w:p w14:paraId="3F2CC06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r>
      <w:tr w14:paraId="63165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49F64D1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continue"/>
            <w:tcBorders>
              <w:tl2br w:val="nil"/>
              <w:tr2bl w:val="nil"/>
            </w:tcBorders>
            <w:shd w:val="clear" w:color="auto" w:fill="auto"/>
            <w:vAlign w:val="center"/>
          </w:tcPr>
          <w:p w14:paraId="0C344C6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721" w:type="pct"/>
            <w:gridSpan w:val="3"/>
            <w:tcBorders>
              <w:tl2br w:val="nil"/>
              <w:tr2bl w:val="nil"/>
            </w:tcBorders>
            <w:shd w:val="clear" w:color="auto" w:fill="auto"/>
            <w:vAlign w:val="center"/>
          </w:tcPr>
          <w:p w14:paraId="643141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rPr>
              <w:t>井管连接方式</w:t>
            </w:r>
          </w:p>
        </w:tc>
        <w:tc>
          <w:tcPr>
            <w:tcW w:w="1801" w:type="pct"/>
            <w:gridSpan w:val="4"/>
            <w:tcBorders>
              <w:tl2br w:val="nil"/>
              <w:tr2bl w:val="nil"/>
            </w:tcBorders>
            <w:shd w:val="clear" w:color="auto" w:fill="auto"/>
            <w:vAlign w:val="center"/>
          </w:tcPr>
          <w:p w14:paraId="322BC7D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螺纹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卡扣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其他</w:t>
            </w:r>
            <w:r>
              <w:rPr>
                <w:rFonts w:hint="eastAsia" w:ascii="宋体" w:hAnsi="宋体" w:eastAsia="宋体" w:cs="宋体"/>
                <w:kern w:val="0"/>
                <w:sz w:val="18"/>
                <w:szCs w:val="22"/>
                <w:u w:val="single"/>
                <w:lang w:val="en-US" w:eastAsia="zh-CN"/>
              </w:rPr>
              <w:t xml:space="preserve">            </w:t>
            </w:r>
          </w:p>
        </w:tc>
      </w:tr>
      <w:tr w14:paraId="4610E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6BAE4B9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continue"/>
            <w:tcBorders>
              <w:tl2br w:val="nil"/>
              <w:tr2bl w:val="nil"/>
            </w:tcBorders>
            <w:shd w:val="clear" w:color="auto" w:fill="auto"/>
            <w:vAlign w:val="center"/>
          </w:tcPr>
          <w:p w14:paraId="586B496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721" w:type="pct"/>
            <w:gridSpan w:val="3"/>
            <w:tcBorders>
              <w:tl2br w:val="nil"/>
              <w:tr2bl w:val="nil"/>
            </w:tcBorders>
            <w:shd w:val="clear" w:color="auto" w:fill="auto"/>
            <w:vAlign w:val="center"/>
          </w:tcPr>
          <w:p w14:paraId="3EC0817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滤水管类型</w:t>
            </w:r>
          </w:p>
        </w:tc>
        <w:tc>
          <w:tcPr>
            <w:tcW w:w="1801" w:type="pct"/>
            <w:gridSpan w:val="4"/>
            <w:tcBorders>
              <w:tl2br w:val="nil"/>
              <w:tr2bl w:val="nil"/>
            </w:tcBorders>
            <w:shd w:val="clear" w:color="auto" w:fill="auto"/>
            <w:vAlign w:val="center"/>
          </w:tcPr>
          <w:p w14:paraId="5412B9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r>
      <w:tr w14:paraId="06720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vMerge w:val="continue"/>
            <w:tcBorders>
              <w:tl2br w:val="nil"/>
              <w:tr2bl w:val="nil"/>
            </w:tcBorders>
            <w:shd w:val="clear" w:color="auto" w:fill="auto"/>
            <w:vAlign w:val="center"/>
          </w:tcPr>
          <w:p w14:paraId="77B3878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418" w:type="pct"/>
            <w:vMerge w:val="continue"/>
            <w:tcBorders>
              <w:tl2br w:val="nil"/>
              <w:tr2bl w:val="nil"/>
            </w:tcBorders>
            <w:shd w:val="clear" w:color="auto" w:fill="auto"/>
            <w:vAlign w:val="center"/>
          </w:tcPr>
          <w:p w14:paraId="41EC019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p>
        </w:tc>
        <w:tc>
          <w:tcPr>
            <w:tcW w:w="2523" w:type="pct"/>
            <w:gridSpan w:val="7"/>
            <w:tcBorders>
              <w:tl2br w:val="nil"/>
              <w:tr2bl w:val="nil"/>
            </w:tcBorders>
            <w:shd w:val="clear" w:color="auto" w:fill="auto"/>
            <w:vAlign w:val="center"/>
          </w:tcPr>
          <w:p w14:paraId="38C94DF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rPr>
              <w:t>滤水管孔隙直径（mm）：</w:t>
            </w:r>
          </w:p>
        </w:tc>
      </w:tr>
      <w:tr w14:paraId="6F4F9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7" w:type="pct"/>
            <w:gridSpan w:val="3"/>
            <w:tcBorders>
              <w:tl2br w:val="nil"/>
              <w:tr2bl w:val="nil"/>
            </w:tcBorders>
            <w:shd w:val="clear" w:color="auto" w:fill="auto"/>
            <w:vAlign w:val="center"/>
          </w:tcPr>
          <w:p w14:paraId="41E9F366">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bidi="ar"/>
              </w:rPr>
              <w:t>建井</w:t>
            </w:r>
            <w:r>
              <w:rPr>
                <w:rFonts w:hint="default" w:ascii="Times New Roman" w:hAnsi="Times New Roman" w:eastAsia="宋体" w:cs="Times New Roman"/>
                <w:color w:val="000000"/>
                <w:kern w:val="0"/>
                <w:sz w:val="18"/>
                <w:szCs w:val="18"/>
                <w:lang w:val="en-US" w:eastAsia="zh-CN" w:bidi="ar"/>
              </w:rPr>
              <w:t>单位</w:t>
            </w:r>
            <w:r>
              <w:rPr>
                <w:rFonts w:hint="eastAsia" w:ascii="Times New Roman" w:hAnsi="Times New Roman" w:eastAsia="宋体" w:cs="Times New Roman"/>
                <w:color w:val="000000"/>
                <w:kern w:val="0"/>
                <w:sz w:val="18"/>
                <w:szCs w:val="18"/>
                <w:lang w:val="en-US" w:eastAsia="zh-CN" w:bidi="ar"/>
              </w:rPr>
              <w:t>：</w:t>
            </w:r>
          </w:p>
        </w:tc>
        <w:tc>
          <w:tcPr>
            <w:tcW w:w="989" w:type="pct"/>
            <w:gridSpan w:val="3"/>
            <w:tcBorders>
              <w:tl2br w:val="nil"/>
              <w:tr2bl w:val="nil"/>
            </w:tcBorders>
            <w:shd w:val="clear" w:color="auto" w:fill="auto"/>
            <w:vAlign w:val="center"/>
          </w:tcPr>
          <w:p w14:paraId="5CDB5C1A">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bidi="ar"/>
              </w:rPr>
              <w:t>建井</w:t>
            </w:r>
            <w:r>
              <w:rPr>
                <w:rFonts w:hint="default" w:ascii="Times New Roman" w:hAnsi="Times New Roman" w:eastAsia="宋体" w:cs="Times New Roman"/>
                <w:color w:val="000000"/>
                <w:kern w:val="0"/>
                <w:sz w:val="18"/>
                <w:szCs w:val="18"/>
                <w:lang w:val="en-US" w:eastAsia="zh-CN" w:bidi="ar"/>
              </w:rPr>
              <w:t>负责人</w:t>
            </w:r>
            <w:r>
              <w:rPr>
                <w:rFonts w:hint="eastAsia" w:ascii="Times New Roman" w:hAnsi="Times New Roman" w:eastAsia="宋体" w:cs="Times New Roman"/>
                <w:color w:val="000000"/>
                <w:kern w:val="0"/>
                <w:sz w:val="18"/>
                <w:szCs w:val="18"/>
                <w:lang w:val="en-US" w:eastAsia="zh-CN" w:bidi="ar"/>
              </w:rPr>
              <w:t>：</w:t>
            </w:r>
          </w:p>
        </w:tc>
        <w:tc>
          <w:tcPr>
            <w:tcW w:w="842" w:type="pct"/>
            <w:gridSpan w:val="4"/>
            <w:tcBorders>
              <w:tl2br w:val="nil"/>
              <w:tr2bl w:val="nil"/>
            </w:tcBorders>
            <w:shd w:val="clear" w:color="auto" w:fill="auto"/>
            <w:vAlign w:val="center"/>
          </w:tcPr>
          <w:p w14:paraId="0291A037">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bidi="ar"/>
              </w:rPr>
              <w:t>记录人员：</w:t>
            </w:r>
          </w:p>
        </w:tc>
        <w:tc>
          <w:tcPr>
            <w:tcW w:w="1109" w:type="pct"/>
            <w:tcBorders>
              <w:tl2br w:val="nil"/>
              <w:tr2bl w:val="nil"/>
            </w:tcBorders>
            <w:shd w:val="clear" w:color="auto" w:fill="auto"/>
            <w:vAlign w:val="center"/>
          </w:tcPr>
          <w:p w14:paraId="491450B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bidi="ar"/>
              </w:rPr>
              <w:t>建井</w:t>
            </w:r>
            <w:r>
              <w:rPr>
                <w:rFonts w:hint="default" w:ascii="Times New Roman" w:hAnsi="Times New Roman" w:eastAsia="宋体" w:cs="Times New Roman"/>
                <w:color w:val="000000"/>
                <w:kern w:val="0"/>
                <w:sz w:val="18"/>
                <w:szCs w:val="18"/>
                <w:lang w:val="en-US" w:eastAsia="zh-CN" w:bidi="ar"/>
              </w:rPr>
              <w:t>单位内审</w:t>
            </w:r>
            <w:r>
              <w:rPr>
                <w:rFonts w:hint="eastAsia" w:ascii="Times New Roman" w:hAnsi="Times New Roman" w:eastAsia="宋体" w:cs="Times New Roman"/>
                <w:color w:val="000000"/>
                <w:kern w:val="0"/>
                <w:sz w:val="18"/>
                <w:szCs w:val="18"/>
                <w:lang w:val="en-US" w:eastAsia="zh-CN" w:bidi="ar"/>
              </w:rPr>
              <w:t>：</w:t>
            </w:r>
          </w:p>
        </w:tc>
      </w:tr>
    </w:tbl>
    <w:p w14:paraId="09CEEBC2">
      <w:pPr>
        <w:keepNext w:val="0"/>
        <w:keepLines w:val="0"/>
        <w:pageBreakBefore w:val="0"/>
        <w:kinsoku/>
        <w:overflowPunct/>
        <w:topLinePunct w:val="0"/>
        <w:autoSpaceDE w:val="0"/>
        <w:autoSpaceDN w:val="0"/>
        <w:bidi w:val="0"/>
        <w:adjustRightInd w:val="0"/>
        <w:snapToGrid w:val="0"/>
        <w:rPr>
          <w:sz w:val="18"/>
        </w:rPr>
        <w:sectPr>
          <w:pgSz w:w="11910" w:h="16840"/>
          <w:pgMar w:top="1417" w:right="1134" w:bottom="1134" w:left="1417" w:header="1417" w:footer="1134" w:gutter="0"/>
          <w:pgNumType w:fmt="decimal"/>
          <w:cols w:space="0" w:num="1"/>
          <w:rtlGutter w:val="0"/>
          <w:docGrid w:linePitch="0" w:charSpace="0"/>
        </w:sectPr>
      </w:pPr>
    </w:p>
    <w:p w14:paraId="0B0A215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p w14:paraId="03AEE1BD">
      <w:pPr>
        <w:keepNext w:val="0"/>
        <w:keepLines w:val="0"/>
        <w:pageBreakBefore w:val="0"/>
        <w:widowControl w:val="0"/>
        <w:kinsoku/>
        <w:overflowPunct/>
        <w:topLinePunct w:val="0"/>
        <w:autoSpaceDE w:val="0"/>
        <w:autoSpaceDN w:val="0"/>
        <w:bidi w:val="0"/>
        <w:adjustRightInd w:val="0"/>
        <w:snapToGrid w:val="0"/>
        <w:spacing w:line="360" w:lineRule="auto"/>
        <w:jc w:val="center"/>
        <w:rPr>
          <w:rFonts w:ascii="宋体" w:hAnsi="宋体" w:eastAsia="宋体" w:cs="宋体"/>
          <w:sz w:val="21"/>
          <w:szCs w:val="21"/>
          <w:lang w:val="en-US" w:eastAsia="zh-CN" w:bidi="ar-SA"/>
        </w:rPr>
      </w:pPr>
      <w:r>
        <w:rPr>
          <w:rFonts w:hint="eastAsia" w:ascii="宋体" w:hAnsi="宋体" w:eastAsia="宋体" w:cs="宋体"/>
          <w:sz w:val="21"/>
          <w:szCs w:val="21"/>
          <w:lang w:val="fr-FR" w:eastAsia="zh-CN" w:bidi="ar-SA"/>
        </w:rPr>
        <w:t>表</w:t>
      </w:r>
      <w:r>
        <w:rPr>
          <w:rFonts w:hint="eastAsia" w:ascii="宋体" w:hAnsi="宋体" w:eastAsia="宋体" w:cs="宋体"/>
          <w:sz w:val="21"/>
          <w:szCs w:val="21"/>
          <w:lang w:val="en-US" w:eastAsia="zh-CN" w:bidi="ar-SA"/>
        </w:rPr>
        <w:t>C.3</w:t>
      </w:r>
      <w:r>
        <w:rPr>
          <w:rFonts w:hint="eastAsia" w:ascii="宋体" w:hAnsi="宋体" w:eastAsia="宋体" w:cs="宋体"/>
          <w:sz w:val="21"/>
          <w:szCs w:val="21"/>
          <w:lang w:val="fr-FR" w:eastAsia="zh-CN" w:bidi="ar-SA"/>
        </w:rPr>
        <w:t xml:space="preserve"> </w:t>
      </w:r>
      <w:r>
        <w:rPr>
          <w:rFonts w:hint="eastAsia" w:ascii="宋体" w:hAnsi="宋体" w:eastAsia="宋体" w:cs="宋体"/>
          <w:sz w:val="21"/>
          <w:szCs w:val="21"/>
          <w:lang w:val="en-US" w:eastAsia="zh-CN" w:bidi="ar-SA"/>
        </w:rPr>
        <w:t>地下水采样井洗井记录单</w:t>
      </w:r>
    </w:p>
    <w:tbl>
      <w:tblPr>
        <w:tblStyle w:val="9"/>
        <w:tblW w:w="142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9"/>
        <w:gridCol w:w="578"/>
        <w:gridCol w:w="517"/>
        <w:gridCol w:w="1230"/>
        <w:gridCol w:w="474"/>
        <w:gridCol w:w="651"/>
        <w:gridCol w:w="1080"/>
        <w:gridCol w:w="806"/>
        <w:gridCol w:w="810"/>
        <w:gridCol w:w="1063"/>
        <w:gridCol w:w="1023"/>
        <w:gridCol w:w="1118"/>
        <w:gridCol w:w="605"/>
        <w:gridCol w:w="445"/>
        <w:gridCol w:w="1036"/>
        <w:gridCol w:w="2046"/>
      </w:tblGrid>
      <w:tr w14:paraId="1FE88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5" w:type="dxa"/>
            <w:gridSpan w:val="9"/>
            <w:tcBorders>
              <w:tl2br w:val="nil"/>
              <w:tr2bl w:val="nil"/>
            </w:tcBorders>
            <w:shd w:val="clear" w:color="auto" w:fill="auto"/>
            <w:noWrap/>
            <w:vAlign w:val="center"/>
          </w:tcPr>
          <w:p w14:paraId="50004E8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地块名称：</w:t>
            </w:r>
          </w:p>
        </w:tc>
        <w:tc>
          <w:tcPr>
            <w:tcW w:w="3204" w:type="dxa"/>
            <w:gridSpan w:val="3"/>
            <w:tcBorders>
              <w:tl2br w:val="nil"/>
              <w:tr2bl w:val="nil"/>
            </w:tcBorders>
            <w:shd w:val="clear" w:color="auto" w:fill="auto"/>
            <w:noWrap/>
            <w:vAlign w:val="center"/>
          </w:tcPr>
          <w:p w14:paraId="73C2428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kern w:val="0"/>
                <w:sz w:val="18"/>
                <w:szCs w:val="18"/>
                <w:lang w:val="en-US" w:eastAsia="zh-CN" w:bidi="ar"/>
              </w:rPr>
            </w:pP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成井洗井</w:t>
            </w:r>
            <w:r>
              <w:rPr>
                <w:rFonts w:hint="default" w:ascii="Times New Roman" w:hAnsi="Times New Roman" w:eastAsia="宋体" w:cs="Times New Roman"/>
                <w:color w:val="000000"/>
                <w:kern w:val="0"/>
                <w:sz w:val="18"/>
                <w:szCs w:val="18"/>
                <w:u w:val="none"/>
                <w:lang w:val="en-US" w:eastAsia="zh-CN" w:bidi="ar"/>
              </w:rPr>
              <w:t xml:space="preserve">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采样前洗井</w:t>
            </w:r>
          </w:p>
        </w:tc>
        <w:tc>
          <w:tcPr>
            <w:tcW w:w="2086" w:type="dxa"/>
            <w:gridSpan w:val="3"/>
            <w:tcBorders>
              <w:tl2br w:val="nil"/>
              <w:tr2bl w:val="nil"/>
            </w:tcBorders>
            <w:shd w:val="clear" w:color="auto" w:fill="auto"/>
            <w:noWrap/>
            <w:vAlign w:val="center"/>
          </w:tcPr>
          <w:p w14:paraId="424682D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洗井日期：</w:t>
            </w:r>
          </w:p>
        </w:tc>
        <w:tc>
          <w:tcPr>
            <w:tcW w:w="2046" w:type="dxa"/>
            <w:tcBorders>
              <w:tl2br w:val="nil"/>
              <w:tr2bl w:val="nil"/>
            </w:tcBorders>
            <w:shd w:val="clear" w:color="auto" w:fill="auto"/>
            <w:noWrap/>
            <w:vAlign w:val="center"/>
          </w:tcPr>
          <w:p w14:paraId="6BBC7FF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天气：</w:t>
            </w:r>
          </w:p>
        </w:tc>
      </w:tr>
      <w:tr w14:paraId="1D505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8" w:type="dxa"/>
            <w:gridSpan w:val="5"/>
            <w:tcBorders>
              <w:tl2br w:val="nil"/>
              <w:tr2bl w:val="nil"/>
            </w:tcBorders>
            <w:shd w:val="clear" w:color="auto" w:fill="auto"/>
            <w:noWrap/>
            <w:vAlign w:val="center"/>
          </w:tcPr>
          <w:p w14:paraId="731ACE9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采样井编号：</w:t>
            </w:r>
          </w:p>
        </w:tc>
        <w:tc>
          <w:tcPr>
            <w:tcW w:w="3347" w:type="dxa"/>
            <w:gridSpan w:val="4"/>
            <w:tcBorders>
              <w:tl2br w:val="nil"/>
              <w:tr2bl w:val="nil"/>
            </w:tcBorders>
            <w:shd w:val="clear" w:color="auto" w:fill="auto"/>
            <w:noWrap/>
            <w:vAlign w:val="center"/>
          </w:tcPr>
          <w:p w14:paraId="0C0CF66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u w:val="none"/>
                <w:lang w:val="en-US" w:eastAsia="zh-CN" w:bidi="ar"/>
              </w:rPr>
              <w:t xml:space="preserve">采样井是否完整：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是</w:t>
            </w:r>
            <w:r>
              <w:rPr>
                <w:rFonts w:hint="default" w:ascii="Times New Roman" w:hAnsi="Times New Roman" w:eastAsia="宋体" w:cs="Times New Roman"/>
                <w:color w:val="000000"/>
                <w:kern w:val="0"/>
                <w:sz w:val="18"/>
                <w:szCs w:val="18"/>
                <w:u w:val="none"/>
                <w:lang w:val="en-US" w:eastAsia="zh-CN" w:bidi="ar"/>
              </w:rPr>
              <w:t xml:space="preserve">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否</w:t>
            </w:r>
          </w:p>
        </w:tc>
        <w:tc>
          <w:tcPr>
            <w:tcW w:w="3809" w:type="dxa"/>
            <w:gridSpan w:val="4"/>
            <w:tcBorders>
              <w:tl2br w:val="nil"/>
              <w:tr2bl w:val="nil"/>
            </w:tcBorders>
            <w:shd w:val="clear" w:color="auto" w:fill="auto"/>
            <w:noWrap/>
            <w:vAlign w:val="center"/>
          </w:tcPr>
          <w:p w14:paraId="3073E16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48</w:t>
            </w:r>
            <w:r>
              <w:rPr>
                <w:rFonts w:hint="default" w:ascii="Times New Roman" w:hAnsi="Times New Roman" w:eastAsia="宋体" w:cs="Times New Roman"/>
                <w:color w:val="000000"/>
                <w:kern w:val="0"/>
                <w:sz w:val="18"/>
                <w:szCs w:val="18"/>
                <w:u w:val="none"/>
                <w:lang w:val="en-US" w:eastAsia="zh-CN" w:bidi="ar"/>
              </w:rPr>
              <w:t xml:space="preserve">小时内是否强降雨：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是</w:t>
            </w:r>
            <w:r>
              <w:rPr>
                <w:rFonts w:hint="default" w:ascii="Times New Roman" w:hAnsi="Times New Roman" w:eastAsia="宋体" w:cs="Times New Roman"/>
                <w:color w:val="000000"/>
                <w:kern w:val="0"/>
                <w:sz w:val="18"/>
                <w:szCs w:val="18"/>
                <w:u w:val="none"/>
                <w:lang w:val="en-US" w:eastAsia="zh-CN" w:bidi="ar"/>
              </w:rPr>
              <w:t xml:space="preserve">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否</w:t>
            </w:r>
          </w:p>
        </w:tc>
        <w:tc>
          <w:tcPr>
            <w:tcW w:w="3527" w:type="dxa"/>
            <w:gridSpan w:val="3"/>
            <w:tcBorders>
              <w:tl2br w:val="nil"/>
              <w:tr2bl w:val="nil"/>
            </w:tcBorders>
            <w:shd w:val="clear" w:color="auto" w:fill="auto"/>
            <w:noWrap/>
            <w:vAlign w:val="center"/>
          </w:tcPr>
          <w:p w14:paraId="28625B0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u w:val="none"/>
                <w:lang w:val="en-US" w:eastAsia="zh-CN" w:bidi="ar"/>
              </w:rPr>
              <w:t xml:space="preserve">采样点地面是否积水：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是</w:t>
            </w:r>
            <w:r>
              <w:rPr>
                <w:rFonts w:hint="default" w:ascii="Times New Roman" w:hAnsi="Times New Roman" w:eastAsia="宋体" w:cs="Times New Roman"/>
                <w:color w:val="000000"/>
                <w:kern w:val="0"/>
                <w:sz w:val="18"/>
                <w:szCs w:val="18"/>
                <w:u w:val="none"/>
                <w:lang w:val="en-US" w:eastAsia="zh-CN" w:bidi="ar"/>
              </w:rPr>
              <w:t xml:space="preserve">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否</w:t>
            </w:r>
          </w:p>
        </w:tc>
      </w:tr>
      <w:tr w14:paraId="688EB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78" w:type="dxa"/>
            <w:gridSpan w:val="5"/>
            <w:tcBorders>
              <w:tl2br w:val="nil"/>
              <w:tr2bl w:val="nil"/>
            </w:tcBorders>
            <w:shd w:val="clear" w:color="auto" w:fill="auto"/>
            <w:noWrap/>
            <w:vAlign w:val="center"/>
          </w:tcPr>
          <w:p w14:paraId="3E979F3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洗井设备</w:t>
            </w:r>
            <w:r>
              <w:rPr>
                <w:rFonts w:hint="default"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u w:val="none"/>
                <w:lang w:val="en-US" w:eastAsia="zh-CN" w:bidi="ar"/>
              </w:rPr>
              <w:t>方式：</w:t>
            </w:r>
          </w:p>
        </w:tc>
        <w:tc>
          <w:tcPr>
            <w:tcW w:w="3347" w:type="dxa"/>
            <w:gridSpan w:val="4"/>
            <w:tcBorders>
              <w:tl2br w:val="nil"/>
              <w:tr2bl w:val="nil"/>
            </w:tcBorders>
            <w:shd w:val="clear" w:color="auto" w:fill="auto"/>
            <w:noWrap/>
            <w:vAlign w:val="center"/>
          </w:tcPr>
          <w:p w14:paraId="078E540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水位面至井口高度</w:t>
            </w:r>
            <w:r>
              <w:rPr>
                <w:rFonts w:hint="default" w:ascii="Times New Roman" w:hAnsi="Times New Roman" w:eastAsia="宋体" w:cs="Times New Roman"/>
                <w:color w:val="000000"/>
                <w:kern w:val="0"/>
                <w:sz w:val="18"/>
                <w:szCs w:val="18"/>
                <w:u w:val="none"/>
                <w:lang w:val="fr-FR" w:eastAsia="zh-CN" w:bidi="ar"/>
              </w:rPr>
              <w:t>（</w:t>
            </w:r>
            <w:r>
              <w:rPr>
                <w:rFonts w:hint="default" w:ascii="Times New Roman" w:hAnsi="Times New Roman" w:eastAsia="宋体" w:cs="Times New Roman"/>
                <w:color w:val="000000"/>
                <w:kern w:val="0"/>
                <w:sz w:val="18"/>
                <w:szCs w:val="18"/>
                <w:lang w:val="fr-FR" w:eastAsia="zh-CN" w:bidi="ar"/>
              </w:rPr>
              <w:t>m</w:t>
            </w:r>
            <w:r>
              <w:rPr>
                <w:rFonts w:hint="default" w:ascii="Times New Roman" w:hAnsi="Times New Roman" w:eastAsia="宋体" w:cs="Times New Roman"/>
                <w:color w:val="000000"/>
                <w:kern w:val="0"/>
                <w:sz w:val="18"/>
                <w:szCs w:val="18"/>
                <w:u w:val="none"/>
                <w:lang w:val="fr-FR" w:eastAsia="zh-CN" w:bidi="ar"/>
              </w:rPr>
              <w:t>）：</w:t>
            </w:r>
          </w:p>
        </w:tc>
        <w:tc>
          <w:tcPr>
            <w:tcW w:w="3809" w:type="dxa"/>
            <w:gridSpan w:val="4"/>
            <w:tcBorders>
              <w:tl2br w:val="nil"/>
              <w:tr2bl w:val="nil"/>
            </w:tcBorders>
            <w:shd w:val="clear" w:color="auto" w:fill="auto"/>
            <w:noWrap/>
            <w:vAlign w:val="center"/>
          </w:tcPr>
          <w:p w14:paraId="5C9F2DC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井水深度（</w:t>
            </w:r>
            <w:r>
              <w:rPr>
                <w:rFonts w:hint="default" w:ascii="Times New Roman" w:hAnsi="Times New Roman" w:eastAsia="宋体" w:cs="Times New Roman"/>
                <w:color w:val="000000"/>
                <w:kern w:val="0"/>
                <w:sz w:val="18"/>
                <w:szCs w:val="18"/>
                <w:lang w:val="en-US" w:eastAsia="zh-CN" w:bidi="ar"/>
              </w:rPr>
              <w:t>m</w:t>
            </w:r>
            <w:r>
              <w:rPr>
                <w:rFonts w:hint="default" w:ascii="Times New Roman" w:hAnsi="Times New Roman" w:eastAsia="宋体" w:cs="Times New Roman"/>
                <w:color w:val="000000"/>
                <w:kern w:val="0"/>
                <w:sz w:val="18"/>
                <w:szCs w:val="18"/>
                <w:u w:val="none"/>
                <w:lang w:val="en-US" w:eastAsia="zh-CN" w:bidi="ar"/>
              </w:rPr>
              <w:t>）：</w:t>
            </w:r>
          </w:p>
        </w:tc>
        <w:tc>
          <w:tcPr>
            <w:tcW w:w="3527" w:type="dxa"/>
            <w:gridSpan w:val="3"/>
            <w:tcBorders>
              <w:tl2br w:val="nil"/>
              <w:tr2bl w:val="nil"/>
            </w:tcBorders>
            <w:shd w:val="clear" w:color="auto" w:fill="auto"/>
            <w:noWrap/>
            <w:vAlign w:val="center"/>
          </w:tcPr>
          <w:p w14:paraId="55E0A23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井水体积（</w:t>
            </w:r>
            <w:r>
              <w:rPr>
                <w:rFonts w:hint="default" w:ascii="Times New Roman" w:hAnsi="Times New Roman" w:eastAsia="宋体" w:cs="Times New Roman"/>
                <w:color w:val="000000"/>
                <w:kern w:val="0"/>
                <w:sz w:val="18"/>
                <w:szCs w:val="18"/>
                <w:lang w:val="en-US" w:eastAsia="zh-CN" w:bidi="ar"/>
              </w:rPr>
              <w:t>L</w:t>
            </w:r>
            <w:r>
              <w:rPr>
                <w:rFonts w:hint="default" w:ascii="Times New Roman" w:hAnsi="Times New Roman" w:eastAsia="宋体" w:cs="Times New Roman"/>
                <w:color w:val="000000"/>
                <w:kern w:val="0"/>
                <w:sz w:val="18"/>
                <w:szCs w:val="18"/>
                <w:u w:val="none"/>
                <w:lang w:val="en-US" w:eastAsia="zh-CN" w:bidi="ar"/>
              </w:rPr>
              <w:t>）：</w:t>
            </w:r>
          </w:p>
        </w:tc>
      </w:tr>
      <w:tr w14:paraId="6A826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5" w:type="dxa"/>
            <w:gridSpan w:val="9"/>
            <w:tcBorders>
              <w:bottom w:val="double" w:color="auto" w:sz="4" w:space="0"/>
              <w:tl2br w:val="nil"/>
              <w:tr2bl w:val="nil"/>
            </w:tcBorders>
            <w:shd w:val="clear" w:color="auto" w:fill="auto"/>
            <w:noWrap/>
            <w:vAlign w:val="center"/>
          </w:tcPr>
          <w:p w14:paraId="0E62565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洗井开始时间：</w:t>
            </w:r>
          </w:p>
        </w:tc>
        <w:tc>
          <w:tcPr>
            <w:tcW w:w="7336" w:type="dxa"/>
            <w:gridSpan w:val="7"/>
            <w:tcBorders>
              <w:bottom w:val="double" w:color="auto" w:sz="4" w:space="0"/>
              <w:tl2br w:val="nil"/>
              <w:tr2bl w:val="nil"/>
            </w:tcBorders>
            <w:shd w:val="clear" w:color="auto" w:fill="auto"/>
            <w:noWrap/>
            <w:vAlign w:val="center"/>
          </w:tcPr>
          <w:p w14:paraId="5264438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洗井结束时间：</w:t>
            </w:r>
          </w:p>
        </w:tc>
      </w:tr>
      <w:tr w14:paraId="467B0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1" w:type="dxa"/>
            <w:gridSpan w:val="16"/>
            <w:tcBorders>
              <w:top w:val="double" w:color="auto" w:sz="4" w:space="0"/>
            </w:tcBorders>
            <w:shd w:val="clear" w:color="auto" w:fill="auto"/>
            <w:noWrap/>
            <w:vAlign w:val="center"/>
          </w:tcPr>
          <w:p w14:paraId="394465A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b/>
                <w:bCs/>
                <w:color w:val="000000"/>
                <w:kern w:val="0"/>
                <w:sz w:val="18"/>
                <w:szCs w:val="18"/>
                <w:lang w:val="en-US" w:eastAsia="zh-CN" w:bidi="ar"/>
              </w:rPr>
              <w:t>现场检测仪器设备信息</w:t>
            </w:r>
          </w:p>
        </w:tc>
      </w:tr>
      <w:tr w14:paraId="18DCA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9" w:type="dxa"/>
            <w:gridSpan w:val="6"/>
            <w:shd w:val="clear" w:color="auto" w:fill="auto"/>
            <w:vAlign w:val="center"/>
          </w:tcPr>
          <w:p w14:paraId="25521FD5">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仪器型号</w:t>
            </w:r>
          </w:p>
        </w:tc>
        <w:tc>
          <w:tcPr>
            <w:tcW w:w="10032" w:type="dxa"/>
            <w:gridSpan w:val="10"/>
            <w:shd w:val="clear" w:color="auto" w:fill="auto"/>
            <w:vAlign w:val="center"/>
          </w:tcPr>
          <w:p w14:paraId="78F22F27">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仪器校正情况</w:t>
            </w:r>
          </w:p>
        </w:tc>
      </w:tr>
      <w:tr w14:paraId="60E21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gridSpan w:val="2"/>
            <w:shd w:val="clear" w:color="auto" w:fill="auto"/>
            <w:vAlign w:val="center"/>
          </w:tcPr>
          <w:p w14:paraId="1298469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pH</w:t>
            </w:r>
          </w:p>
        </w:tc>
        <w:tc>
          <w:tcPr>
            <w:tcW w:w="2872" w:type="dxa"/>
            <w:gridSpan w:val="4"/>
            <w:shd w:val="clear" w:color="auto" w:fill="auto"/>
            <w:vAlign w:val="center"/>
          </w:tcPr>
          <w:p w14:paraId="31334E4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032" w:type="dxa"/>
            <w:gridSpan w:val="10"/>
            <w:shd w:val="clear" w:color="auto" w:fill="auto"/>
            <w:vAlign w:val="center"/>
          </w:tcPr>
          <w:p w14:paraId="77EC8965">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使用缓冲溶液后的确认值：</w:t>
            </w:r>
          </w:p>
        </w:tc>
      </w:tr>
      <w:tr w14:paraId="5B7E2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gridSpan w:val="2"/>
            <w:shd w:val="clear" w:color="auto" w:fill="auto"/>
            <w:vAlign w:val="center"/>
          </w:tcPr>
          <w:p w14:paraId="3FB9FC1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电导率</w:t>
            </w:r>
          </w:p>
        </w:tc>
        <w:tc>
          <w:tcPr>
            <w:tcW w:w="2872" w:type="dxa"/>
            <w:gridSpan w:val="4"/>
            <w:shd w:val="clear" w:color="auto" w:fill="auto"/>
            <w:vAlign w:val="center"/>
          </w:tcPr>
          <w:p w14:paraId="3771D25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032" w:type="dxa"/>
            <w:gridSpan w:val="10"/>
            <w:shd w:val="clear" w:color="auto" w:fill="auto"/>
            <w:vAlign w:val="center"/>
          </w:tcPr>
          <w:p w14:paraId="10012D46">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校正标准液：</w:t>
            </w:r>
            <w:r>
              <w:rPr>
                <w:rFonts w:hint="eastAsia" w:ascii="Times New Roman" w:hAnsi="Times New Roman" w:eastAsia="宋体" w:cs="Times New Roman"/>
                <w:color w:val="000000"/>
                <w:kern w:val="0"/>
                <w:sz w:val="18"/>
                <w:szCs w:val="18"/>
                <w:u w:val="single"/>
                <w:lang w:val="en-US" w:eastAsia="zh-CN" w:bidi="ar"/>
              </w:rPr>
              <w:t xml:space="preserve">                </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标准液的电导率：</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μS/cm</w:t>
            </w:r>
          </w:p>
        </w:tc>
      </w:tr>
      <w:tr w14:paraId="77F97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gridSpan w:val="2"/>
            <w:shd w:val="clear" w:color="auto" w:fill="auto"/>
            <w:vAlign w:val="center"/>
          </w:tcPr>
          <w:p w14:paraId="6E94141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溶解氧</w:t>
            </w:r>
          </w:p>
        </w:tc>
        <w:tc>
          <w:tcPr>
            <w:tcW w:w="2872" w:type="dxa"/>
            <w:gridSpan w:val="4"/>
            <w:shd w:val="clear" w:color="auto" w:fill="auto"/>
            <w:vAlign w:val="center"/>
          </w:tcPr>
          <w:p w14:paraId="7C7BD7B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032" w:type="dxa"/>
            <w:gridSpan w:val="10"/>
            <w:shd w:val="clear" w:color="auto" w:fill="auto"/>
            <w:vAlign w:val="center"/>
          </w:tcPr>
          <w:p w14:paraId="38E7C16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满点校正读数</w:t>
            </w:r>
            <w:r>
              <w:rPr>
                <w:rFonts w:hint="eastAsia" w:ascii="Times New Roman" w:hAnsi="Times New Roman" w:eastAsia="宋体" w:cs="Times New Roman"/>
                <w:color w:val="000000"/>
                <w:kern w:val="0"/>
                <w:sz w:val="18"/>
                <w:szCs w:val="18"/>
                <w:lang w:val="en-US" w:eastAsia="zh-CN" w:bidi="ar"/>
              </w:rPr>
              <w:t>：</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mg/L，校正时温度</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℃，校正值：</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mg/L</w:t>
            </w:r>
          </w:p>
        </w:tc>
      </w:tr>
      <w:tr w14:paraId="1E4D1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gridSpan w:val="2"/>
            <w:shd w:val="clear" w:color="auto" w:fill="auto"/>
            <w:vAlign w:val="center"/>
          </w:tcPr>
          <w:p w14:paraId="70A77A1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氧化还原电位</w:t>
            </w:r>
          </w:p>
        </w:tc>
        <w:tc>
          <w:tcPr>
            <w:tcW w:w="2872" w:type="dxa"/>
            <w:gridSpan w:val="4"/>
            <w:shd w:val="clear" w:color="auto" w:fill="auto"/>
            <w:vAlign w:val="center"/>
          </w:tcPr>
          <w:p w14:paraId="093B3C2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032" w:type="dxa"/>
            <w:gridSpan w:val="10"/>
            <w:shd w:val="clear" w:color="auto" w:fill="auto"/>
            <w:vAlign w:val="center"/>
          </w:tcPr>
          <w:p w14:paraId="7D6AAE16">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校正标准液：</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，标准液的氧化还原电位值：</w:t>
            </w:r>
            <w:r>
              <w:rPr>
                <w:rFonts w:hint="eastAsia" w:ascii="Times New Roman" w:hAnsi="Times New Roman" w:eastAsia="宋体" w:cs="Times New Roman"/>
                <w:color w:val="000000"/>
                <w:kern w:val="0"/>
                <w:sz w:val="18"/>
                <w:szCs w:val="18"/>
                <w:u w:val="single"/>
                <w:lang w:val="en-US" w:eastAsia="zh-CN" w:bidi="ar"/>
              </w:rPr>
              <w:t xml:space="preserve">                </w:t>
            </w:r>
            <w:r>
              <w:rPr>
                <w:rFonts w:hint="eastAsia" w:ascii="Times New Roman" w:hAnsi="Times New Roman" w:eastAsia="宋体" w:cs="Times New Roman"/>
                <w:color w:val="000000"/>
                <w:kern w:val="0"/>
                <w:sz w:val="18"/>
                <w:szCs w:val="18"/>
                <w:lang w:val="en-US" w:eastAsia="zh-CN" w:bidi="ar"/>
              </w:rPr>
              <w:t>mV</w:t>
            </w:r>
          </w:p>
        </w:tc>
      </w:tr>
      <w:tr w14:paraId="343A8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gridSpan w:val="2"/>
            <w:shd w:val="clear" w:color="auto" w:fill="auto"/>
            <w:vAlign w:val="center"/>
          </w:tcPr>
          <w:p w14:paraId="720CFE17">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浊度</w:t>
            </w:r>
          </w:p>
        </w:tc>
        <w:tc>
          <w:tcPr>
            <w:tcW w:w="2872" w:type="dxa"/>
            <w:gridSpan w:val="4"/>
            <w:shd w:val="clear" w:color="auto" w:fill="auto"/>
            <w:vAlign w:val="center"/>
          </w:tcPr>
          <w:p w14:paraId="675AA35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032" w:type="dxa"/>
            <w:gridSpan w:val="10"/>
            <w:shd w:val="clear" w:color="auto" w:fill="auto"/>
            <w:vAlign w:val="center"/>
          </w:tcPr>
          <w:p w14:paraId="090FD0C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校正标准液：</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，标准液的</w:t>
            </w:r>
            <w:r>
              <w:rPr>
                <w:rFonts w:hint="eastAsia" w:ascii="Times New Roman" w:hAnsi="Times New Roman" w:eastAsia="宋体" w:cs="Times New Roman"/>
                <w:color w:val="000000"/>
                <w:kern w:val="0"/>
                <w:sz w:val="18"/>
                <w:szCs w:val="18"/>
                <w:lang w:val="en-US" w:eastAsia="zh-CN" w:bidi="ar"/>
              </w:rPr>
              <w:t>浊度</w:t>
            </w:r>
            <w:r>
              <w:rPr>
                <w:rFonts w:hint="default" w:ascii="Times New Roman" w:hAnsi="Times New Roman" w:eastAsia="宋体" w:cs="Times New Roman"/>
                <w:color w:val="000000"/>
                <w:kern w:val="0"/>
                <w:sz w:val="18"/>
                <w:szCs w:val="18"/>
                <w:lang w:val="en-US" w:eastAsia="zh-CN" w:bidi="ar"/>
              </w:rPr>
              <w:t>值：</w:t>
            </w:r>
            <w:r>
              <w:rPr>
                <w:rFonts w:hint="eastAsia" w:ascii="Times New Roman" w:hAnsi="Times New Roman" w:eastAsia="宋体" w:cs="Times New Roman"/>
                <w:color w:val="000000"/>
                <w:kern w:val="0"/>
                <w:sz w:val="18"/>
                <w:szCs w:val="18"/>
                <w:u w:val="single"/>
                <w:lang w:val="en-US" w:eastAsia="zh-CN" w:bidi="ar"/>
              </w:rPr>
              <w:t xml:space="preserve">                </w:t>
            </w:r>
            <w:r>
              <w:rPr>
                <w:rFonts w:hint="eastAsia" w:ascii="Times New Roman" w:hAnsi="Times New Roman" w:eastAsia="宋体" w:cs="Times New Roman"/>
                <w:color w:val="000000"/>
                <w:kern w:val="0"/>
                <w:sz w:val="18"/>
                <w:szCs w:val="18"/>
                <w:lang w:val="en-US" w:eastAsia="zh-CN" w:bidi="ar"/>
              </w:rPr>
              <w:t>NTU</w:t>
            </w:r>
          </w:p>
        </w:tc>
      </w:tr>
      <w:tr w14:paraId="2BB2F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gridSpan w:val="2"/>
            <w:tcBorders>
              <w:bottom w:val="double" w:color="auto" w:sz="4" w:space="0"/>
            </w:tcBorders>
            <w:shd w:val="clear" w:color="auto" w:fill="auto"/>
            <w:noWrap/>
            <w:vAlign w:val="center"/>
          </w:tcPr>
          <w:p w14:paraId="1464E82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温度</w:t>
            </w:r>
          </w:p>
        </w:tc>
        <w:tc>
          <w:tcPr>
            <w:tcW w:w="2872" w:type="dxa"/>
            <w:gridSpan w:val="4"/>
            <w:tcBorders>
              <w:bottom w:val="double" w:color="auto" w:sz="4" w:space="0"/>
            </w:tcBorders>
            <w:shd w:val="clear" w:color="auto" w:fill="auto"/>
            <w:vAlign w:val="center"/>
          </w:tcPr>
          <w:p w14:paraId="7929555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032" w:type="dxa"/>
            <w:gridSpan w:val="10"/>
            <w:tcBorders>
              <w:bottom w:val="double" w:color="auto" w:sz="4" w:space="0"/>
            </w:tcBorders>
            <w:shd w:val="clear" w:color="auto" w:fill="auto"/>
            <w:vAlign w:val="center"/>
          </w:tcPr>
          <w:p w14:paraId="4C4DB9F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w:t>
            </w:r>
          </w:p>
        </w:tc>
      </w:tr>
      <w:tr w14:paraId="27620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1" w:type="dxa"/>
            <w:gridSpan w:val="16"/>
            <w:tcBorders>
              <w:top w:val="double" w:color="auto" w:sz="4" w:space="0"/>
            </w:tcBorders>
            <w:shd w:val="clear" w:color="auto" w:fill="auto"/>
            <w:vAlign w:val="center"/>
          </w:tcPr>
          <w:p w14:paraId="612B413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b/>
                <w:bCs/>
                <w:color w:val="000000"/>
                <w:kern w:val="0"/>
                <w:sz w:val="18"/>
                <w:szCs w:val="18"/>
                <w:lang w:val="en-US" w:eastAsia="zh-CN" w:bidi="ar"/>
              </w:rPr>
              <w:t>洗井过程记录</w:t>
            </w:r>
          </w:p>
        </w:tc>
      </w:tr>
      <w:tr w14:paraId="622C1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4" w:type="dxa"/>
            <w:gridSpan w:val="3"/>
            <w:shd w:val="clear" w:color="auto" w:fill="auto"/>
            <w:vAlign w:val="center"/>
          </w:tcPr>
          <w:p w14:paraId="5065E6B5">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时间（</w:t>
            </w:r>
            <w:r>
              <w:rPr>
                <w:rFonts w:hint="default" w:ascii="Times New Roman" w:hAnsi="Times New Roman" w:eastAsia="宋体" w:cs="Times New Roman"/>
                <w:color w:val="000000"/>
                <w:kern w:val="0"/>
                <w:sz w:val="18"/>
                <w:szCs w:val="18"/>
                <w:lang w:val="en-US" w:eastAsia="zh-CN" w:bidi="ar"/>
              </w:rPr>
              <w:t>min</w:t>
            </w:r>
            <w:r>
              <w:rPr>
                <w:rFonts w:hint="default" w:ascii="Times New Roman" w:hAnsi="Times New Roman" w:eastAsia="宋体" w:cs="Times New Roman"/>
                <w:color w:val="000000"/>
                <w:kern w:val="0"/>
                <w:sz w:val="18"/>
                <w:szCs w:val="18"/>
                <w:u w:val="none"/>
                <w:lang w:val="en-US" w:eastAsia="zh-CN" w:bidi="ar"/>
              </w:rPr>
              <w:t>）</w:t>
            </w:r>
          </w:p>
        </w:tc>
        <w:tc>
          <w:tcPr>
            <w:tcW w:w="1230" w:type="dxa"/>
            <w:shd w:val="clear" w:color="auto" w:fill="auto"/>
            <w:vAlign w:val="center"/>
          </w:tcPr>
          <w:p w14:paraId="27B9828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洗井汲水速率</w:t>
            </w:r>
            <w:r>
              <w:rPr>
                <w:rFonts w:hint="default" w:ascii="Times New Roman" w:hAnsi="Times New Roman" w:eastAsia="宋体" w:cs="Times New Roman"/>
                <w:color w:val="000000"/>
                <w:kern w:val="0"/>
                <w:sz w:val="18"/>
                <w:szCs w:val="18"/>
                <w:u w:val="none"/>
                <w:lang w:val="fr-FR" w:eastAsia="zh-CN" w:bidi="ar"/>
              </w:rPr>
              <w:t>（</w:t>
            </w:r>
            <w:r>
              <w:rPr>
                <w:rFonts w:hint="default" w:ascii="Times New Roman" w:hAnsi="Times New Roman" w:eastAsia="宋体" w:cs="Times New Roman"/>
                <w:color w:val="000000"/>
                <w:kern w:val="0"/>
                <w:sz w:val="18"/>
                <w:szCs w:val="18"/>
                <w:lang w:val="fr-FR" w:eastAsia="zh-CN" w:bidi="ar"/>
              </w:rPr>
              <w:t>L/min</w:t>
            </w:r>
            <w:r>
              <w:rPr>
                <w:rFonts w:hint="default" w:ascii="Times New Roman" w:hAnsi="Times New Roman" w:eastAsia="宋体" w:cs="Times New Roman"/>
                <w:color w:val="000000"/>
                <w:kern w:val="0"/>
                <w:sz w:val="18"/>
                <w:szCs w:val="18"/>
                <w:u w:val="none"/>
                <w:lang w:val="fr-FR" w:eastAsia="zh-CN" w:bidi="ar"/>
              </w:rPr>
              <w:t>）</w:t>
            </w:r>
          </w:p>
        </w:tc>
        <w:tc>
          <w:tcPr>
            <w:tcW w:w="1125" w:type="dxa"/>
            <w:gridSpan w:val="2"/>
            <w:shd w:val="clear" w:color="auto" w:fill="auto"/>
            <w:vAlign w:val="center"/>
          </w:tcPr>
          <w:p w14:paraId="42CBAB6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水面距井口高度</w:t>
            </w:r>
            <w:r>
              <w:rPr>
                <w:rFonts w:hint="default" w:ascii="Times New Roman" w:hAnsi="Times New Roman" w:eastAsia="宋体" w:cs="Times New Roman"/>
                <w:color w:val="000000"/>
                <w:kern w:val="0"/>
                <w:sz w:val="18"/>
                <w:szCs w:val="18"/>
                <w:u w:val="none"/>
                <w:lang w:val="fr-FR" w:eastAsia="zh-CN" w:bidi="ar"/>
              </w:rPr>
              <w:t>（</w:t>
            </w:r>
            <w:r>
              <w:rPr>
                <w:rFonts w:hint="default" w:ascii="Times New Roman" w:hAnsi="Times New Roman" w:eastAsia="宋体" w:cs="Times New Roman"/>
                <w:color w:val="000000"/>
                <w:kern w:val="0"/>
                <w:sz w:val="18"/>
                <w:szCs w:val="18"/>
                <w:lang w:val="fr-FR" w:eastAsia="zh-CN" w:bidi="ar"/>
              </w:rPr>
              <w:t>m</w:t>
            </w:r>
            <w:r>
              <w:rPr>
                <w:rFonts w:hint="default" w:ascii="Times New Roman" w:hAnsi="Times New Roman" w:eastAsia="宋体" w:cs="Times New Roman"/>
                <w:color w:val="000000"/>
                <w:kern w:val="0"/>
                <w:sz w:val="18"/>
                <w:szCs w:val="18"/>
                <w:u w:val="none"/>
                <w:lang w:val="fr-FR" w:eastAsia="zh-CN" w:bidi="ar"/>
              </w:rPr>
              <w:t>）</w:t>
            </w:r>
          </w:p>
        </w:tc>
        <w:tc>
          <w:tcPr>
            <w:tcW w:w="1080" w:type="dxa"/>
            <w:shd w:val="clear" w:color="auto" w:fill="auto"/>
            <w:vAlign w:val="center"/>
          </w:tcPr>
          <w:p w14:paraId="4E2CB32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洗井出水体积（</w:t>
            </w:r>
            <w:r>
              <w:rPr>
                <w:rFonts w:hint="default" w:ascii="Times New Roman" w:hAnsi="Times New Roman" w:eastAsia="宋体" w:cs="Times New Roman"/>
                <w:color w:val="000000"/>
                <w:kern w:val="0"/>
                <w:sz w:val="18"/>
                <w:szCs w:val="18"/>
                <w:lang w:val="en-US" w:eastAsia="zh-CN" w:bidi="ar"/>
              </w:rPr>
              <w:t>L</w:t>
            </w:r>
            <w:r>
              <w:rPr>
                <w:rFonts w:hint="default" w:ascii="Times New Roman" w:hAnsi="Times New Roman" w:eastAsia="宋体" w:cs="Times New Roman"/>
                <w:color w:val="000000"/>
                <w:kern w:val="0"/>
                <w:sz w:val="18"/>
                <w:szCs w:val="18"/>
                <w:u w:val="none"/>
                <w:lang w:val="en-US" w:eastAsia="zh-CN" w:bidi="ar"/>
              </w:rPr>
              <w:t>）</w:t>
            </w:r>
          </w:p>
        </w:tc>
        <w:tc>
          <w:tcPr>
            <w:tcW w:w="806" w:type="dxa"/>
            <w:shd w:val="clear" w:color="auto" w:fill="auto"/>
            <w:vAlign w:val="center"/>
          </w:tcPr>
          <w:p w14:paraId="1C8F348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温度（</w:t>
            </w:r>
            <w:r>
              <w:rPr>
                <w:rFonts w:hint="default"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u w:val="none"/>
                <w:lang w:val="en-US" w:eastAsia="zh-CN" w:bidi="ar"/>
              </w:rPr>
              <w:t>）</w:t>
            </w:r>
          </w:p>
        </w:tc>
        <w:tc>
          <w:tcPr>
            <w:tcW w:w="810" w:type="dxa"/>
            <w:shd w:val="clear" w:color="auto" w:fill="auto"/>
            <w:vAlign w:val="center"/>
          </w:tcPr>
          <w:p w14:paraId="51E3D75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pH</w:t>
            </w:r>
          </w:p>
        </w:tc>
        <w:tc>
          <w:tcPr>
            <w:tcW w:w="1063" w:type="dxa"/>
            <w:shd w:val="clear" w:color="auto" w:fill="auto"/>
            <w:vAlign w:val="center"/>
          </w:tcPr>
          <w:p w14:paraId="11638C31">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电导率</w:t>
            </w:r>
            <w:r>
              <w:rPr>
                <w:rFonts w:hint="default" w:ascii="Times New Roman" w:hAnsi="Times New Roman" w:eastAsia="宋体" w:cs="Times New Roman"/>
                <w:color w:val="000000"/>
                <w:kern w:val="0"/>
                <w:sz w:val="18"/>
                <w:szCs w:val="18"/>
                <w:lang w:val="en-US" w:eastAsia="zh-CN" w:bidi="ar"/>
              </w:rPr>
              <w:br w:type="textWrapping"/>
            </w:r>
            <w:r>
              <w:rPr>
                <w:rFonts w:hint="default" w:ascii="Times New Roman" w:hAnsi="Times New Roman" w:eastAsia="宋体" w:cs="Times New Roman"/>
                <w:color w:val="000000"/>
                <w:kern w:val="0"/>
                <w:sz w:val="18"/>
                <w:szCs w:val="18"/>
                <w:u w:val="none"/>
                <w:lang w:val="en-US" w:eastAsia="zh-CN" w:bidi="ar"/>
              </w:rPr>
              <w:t>（</w:t>
            </w:r>
            <w:r>
              <w:rPr>
                <w:rFonts w:hint="default" w:ascii="Times New Roman" w:hAnsi="Times New Roman" w:eastAsia="宋体" w:cs="Times New Roman"/>
                <w:color w:val="000000"/>
                <w:kern w:val="0"/>
                <w:sz w:val="18"/>
                <w:szCs w:val="18"/>
                <w:lang w:val="en-US" w:eastAsia="zh-CN" w:bidi="ar"/>
              </w:rPr>
              <w:t>μS/cm</w:t>
            </w:r>
            <w:r>
              <w:rPr>
                <w:rFonts w:hint="default" w:ascii="Times New Roman" w:hAnsi="Times New Roman" w:eastAsia="宋体" w:cs="Times New Roman"/>
                <w:color w:val="000000"/>
                <w:kern w:val="0"/>
                <w:sz w:val="18"/>
                <w:szCs w:val="18"/>
                <w:u w:val="none"/>
                <w:lang w:val="en-US" w:eastAsia="zh-CN" w:bidi="ar"/>
              </w:rPr>
              <w:t>）</w:t>
            </w:r>
          </w:p>
        </w:tc>
        <w:tc>
          <w:tcPr>
            <w:tcW w:w="1023" w:type="dxa"/>
            <w:shd w:val="clear" w:color="auto" w:fill="auto"/>
            <w:vAlign w:val="center"/>
          </w:tcPr>
          <w:p w14:paraId="2F704E7A">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溶解氧（</w:t>
            </w:r>
            <w:r>
              <w:rPr>
                <w:rFonts w:hint="default" w:ascii="Times New Roman" w:hAnsi="Times New Roman" w:eastAsia="宋体" w:cs="Times New Roman"/>
                <w:color w:val="000000"/>
                <w:kern w:val="0"/>
                <w:sz w:val="18"/>
                <w:szCs w:val="18"/>
                <w:lang w:val="en-US" w:eastAsia="zh-CN" w:bidi="ar"/>
              </w:rPr>
              <w:t>mg/L</w:t>
            </w:r>
            <w:r>
              <w:rPr>
                <w:rFonts w:hint="default" w:ascii="Times New Roman" w:hAnsi="Times New Roman" w:eastAsia="宋体" w:cs="Times New Roman"/>
                <w:color w:val="000000"/>
                <w:kern w:val="0"/>
                <w:sz w:val="18"/>
                <w:szCs w:val="18"/>
                <w:u w:val="none"/>
                <w:lang w:val="en-US" w:eastAsia="zh-CN" w:bidi="ar"/>
              </w:rPr>
              <w:t>）</w:t>
            </w:r>
          </w:p>
        </w:tc>
        <w:tc>
          <w:tcPr>
            <w:tcW w:w="1118" w:type="dxa"/>
            <w:shd w:val="clear" w:color="auto" w:fill="auto"/>
            <w:vAlign w:val="center"/>
          </w:tcPr>
          <w:p w14:paraId="26FA9E6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u w:val="none"/>
                <w:lang w:val="en-US" w:eastAsia="zh-CN" w:bidi="ar"/>
              </w:rPr>
              <w:t>氧化还原电位（</w:t>
            </w:r>
            <w:r>
              <w:rPr>
                <w:rFonts w:hint="default" w:ascii="Times New Roman" w:hAnsi="Times New Roman" w:eastAsia="宋体" w:cs="Times New Roman"/>
                <w:color w:val="000000"/>
                <w:kern w:val="0"/>
                <w:sz w:val="18"/>
                <w:szCs w:val="18"/>
                <w:lang w:val="en-US" w:eastAsia="zh-CN" w:bidi="ar"/>
              </w:rPr>
              <w:t>mV</w:t>
            </w:r>
            <w:r>
              <w:rPr>
                <w:rFonts w:hint="default" w:ascii="Times New Roman" w:hAnsi="Times New Roman" w:eastAsia="宋体" w:cs="Times New Roman"/>
                <w:color w:val="000000"/>
                <w:kern w:val="0"/>
                <w:sz w:val="18"/>
                <w:szCs w:val="18"/>
                <w:u w:val="none"/>
                <w:lang w:val="en-US" w:eastAsia="zh-CN" w:bidi="ar"/>
              </w:rPr>
              <w:t>）</w:t>
            </w:r>
          </w:p>
        </w:tc>
        <w:tc>
          <w:tcPr>
            <w:tcW w:w="1050" w:type="dxa"/>
            <w:gridSpan w:val="2"/>
            <w:shd w:val="clear" w:color="auto" w:fill="auto"/>
            <w:vAlign w:val="center"/>
          </w:tcPr>
          <w:p w14:paraId="33866E3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浊度（</w:t>
            </w:r>
            <w:r>
              <w:rPr>
                <w:rFonts w:hint="default" w:ascii="Times New Roman" w:hAnsi="Times New Roman" w:eastAsia="宋体" w:cs="Times New Roman"/>
                <w:color w:val="000000"/>
                <w:kern w:val="0"/>
                <w:sz w:val="18"/>
                <w:szCs w:val="18"/>
                <w:lang w:val="en-US" w:eastAsia="zh-CN" w:bidi="ar"/>
              </w:rPr>
              <w:t>NTU</w:t>
            </w:r>
            <w:r>
              <w:rPr>
                <w:rFonts w:hint="default" w:ascii="Times New Roman" w:hAnsi="Times New Roman" w:eastAsia="宋体" w:cs="Times New Roman"/>
                <w:color w:val="000000"/>
                <w:kern w:val="0"/>
                <w:sz w:val="18"/>
                <w:szCs w:val="18"/>
                <w:u w:val="none"/>
                <w:lang w:val="en-US" w:eastAsia="zh-CN" w:bidi="ar"/>
              </w:rPr>
              <w:t>）</w:t>
            </w:r>
          </w:p>
        </w:tc>
        <w:tc>
          <w:tcPr>
            <w:tcW w:w="3082" w:type="dxa"/>
            <w:gridSpan w:val="2"/>
            <w:shd w:val="clear" w:color="auto" w:fill="auto"/>
            <w:vAlign w:val="center"/>
          </w:tcPr>
          <w:p w14:paraId="3CB4EA7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u w:val="none"/>
                <w:lang w:val="en-US" w:eastAsia="zh-CN" w:bidi="ar"/>
              </w:rPr>
              <w:t>洗井水性状（颜色、气味、杂质，是否存在</w:t>
            </w:r>
            <w:r>
              <w:rPr>
                <w:rFonts w:hint="default" w:ascii="Times New Roman" w:hAnsi="Times New Roman" w:eastAsia="宋体" w:cs="Times New Roman"/>
                <w:color w:val="000000"/>
                <w:kern w:val="0"/>
                <w:sz w:val="18"/>
                <w:szCs w:val="18"/>
                <w:lang w:val="en-US" w:eastAsia="zh-CN" w:bidi="ar"/>
              </w:rPr>
              <w:t>NAPLs</w:t>
            </w:r>
            <w:r>
              <w:rPr>
                <w:rFonts w:hint="default" w:ascii="Times New Roman" w:hAnsi="Times New Roman" w:eastAsia="宋体" w:cs="Times New Roman"/>
                <w:color w:val="000000"/>
                <w:kern w:val="0"/>
                <w:sz w:val="18"/>
                <w:szCs w:val="18"/>
                <w:u w:val="none"/>
                <w:lang w:val="en-US" w:eastAsia="zh-CN" w:bidi="ar"/>
              </w:rPr>
              <w:t>等）</w:t>
            </w:r>
          </w:p>
        </w:tc>
      </w:tr>
      <w:tr w14:paraId="4CFE5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shd w:val="clear" w:color="auto" w:fill="auto"/>
            <w:vAlign w:val="center"/>
          </w:tcPr>
          <w:p w14:paraId="72D0D706">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洗井前</w:t>
            </w:r>
          </w:p>
        </w:tc>
        <w:tc>
          <w:tcPr>
            <w:tcW w:w="1095" w:type="dxa"/>
            <w:gridSpan w:val="2"/>
            <w:shd w:val="clear" w:color="auto" w:fill="auto"/>
            <w:vAlign w:val="center"/>
          </w:tcPr>
          <w:p w14:paraId="7A0AE78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230" w:type="dxa"/>
            <w:shd w:val="clear" w:color="auto" w:fill="auto"/>
            <w:vAlign w:val="center"/>
          </w:tcPr>
          <w:p w14:paraId="5F18158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25" w:type="dxa"/>
            <w:gridSpan w:val="2"/>
            <w:shd w:val="clear" w:color="auto" w:fill="auto"/>
            <w:vAlign w:val="center"/>
          </w:tcPr>
          <w:p w14:paraId="00ACCCE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80" w:type="dxa"/>
            <w:shd w:val="clear" w:color="auto" w:fill="auto"/>
            <w:vAlign w:val="center"/>
          </w:tcPr>
          <w:p w14:paraId="545FC88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06" w:type="dxa"/>
            <w:shd w:val="clear" w:color="auto" w:fill="auto"/>
            <w:vAlign w:val="center"/>
          </w:tcPr>
          <w:p w14:paraId="79C0CE7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10" w:type="dxa"/>
            <w:shd w:val="clear" w:color="auto" w:fill="auto"/>
            <w:vAlign w:val="center"/>
          </w:tcPr>
          <w:p w14:paraId="279CE0B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63" w:type="dxa"/>
            <w:shd w:val="clear" w:color="auto" w:fill="auto"/>
            <w:vAlign w:val="center"/>
          </w:tcPr>
          <w:p w14:paraId="1A6628F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23" w:type="dxa"/>
            <w:shd w:val="clear" w:color="auto" w:fill="auto"/>
            <w:vAlign w:val="center"/>
          </w:tcPr>
          <w:p w14:paraId="1A02AB7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18" w:type="dxa"/>
            <w:shd w:val="clear" w:color="auto" w:fill="auto"/>
            <w:vAlign w:val="center"/>
          </w:tcPr>
          <w:p w14:paraId="4D62BF1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50" w:type="dxa"/>
            <w:gridSpan w:val="2"/>
            <w:shd w:val="clear" w:color="auto" w:fill="auto"/>
            <w:vAlign w:val="center"/>
          </w:tcPr>
          <w:p w14:paraId="32B9850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2" w:type="dxa"/>
            <w:gridSpan w:val="2"/>
            <w:shd w:val="clear" w:color="auto" w:fill="auto"/>
            <w:vAlign w:val="center"/>
          </w:tcPr>
          <w:p w14:paraId="6C487A8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0A096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shd w:val="clear" w:color="auto" w:fill="auto"/>
            <w:vAlign w:val="center"/>
          </w:tcPr>
          <w:p w14:paraId="7CE11DC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洗井中</w:t>
            </w:r>
          </w:p>
        </w:tc>
        <w:tc>
          <w:tcPr>
            <w:tcW w:w="1095" w:type="dxa"/>
            <w:gridSpan w:val="2"/>
            <w:shd w:val="clear" w:color="auto" w:fill="auto"/>
            <w:vAlign w:val="center"/>
          </w:tcPr>
          <w:p w14:paraId="69720DF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230" w:type="dxa"/>
            <w:shd w:val="clear" w:color="auto" w:fill="auto"/>
            <w:vAlign w:val="center"/>
          </w:tcPr>
          <w:p w14:paraId="4FD0FB1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25" w:type="dxa"/>
            <w:gridSpan w:val="2"/>
            <w:shd w:val="clear" w:color="auto" w:fill="auto"/>
            <w:vAlign w:val="center"/>
          </w:tcPr>
          <w:p w14:paraId="0C60472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80" w:type="dxa"/>
            <w:shd w:val="clear" w:color="auto" w:fill="auto"/>
            <w:vAlign w:val="center"/>
          </w:tcPr>
          <w:p w14:paraId="57F03A5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06" w:type="dxa"/>
            <w:shd w:val="clear" w:color="auto" w:fill="auto"/>
            <w:vAlign w:val="center"/>
          </w:tcPr>
          <w:p w14:paraId="5D8158E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10" w:type="dxa"/>
            <w:shd w:val="clear" w:color="auto" w:fill="auto"/>
            <w:vAlign w:val="center"/>
          </w:tcPr>
          <w:p w14:paraId="71CF973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63" w:type="dxa"/>
            <w:shd w:val="clear" w:color="auto" w:fill="auto"/>
            <w:vAlign w:val="center"/>
          </w:tcPr>
          <w:p w14:paraId="0026F20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23" w:type="dxa"/>
            <w:shd w:val="clear" w:color="auto" w:fill="auto"/>
            <w:vAlign w:val="center"/>
          </w:tcPr>
          <w:p w14:paraId="357C175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18" w:type="dxa"/>
            <w:shd w:val="clear" w:color="auto" w:fill="auto"/>
            <w:vAlign w:val="center"/>
          </w:tcPr>
          <w:p w14:paraId="5AA7B7E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50" w:type="dxa"/>
            <w:gridSpan w:val="2"/>
            <w:shd w:val="clear" w:color="auto" w:fill="auto"/>
            <w:vAlign w:val="center"/>
          </w:tcPr>
          <w:p w14:paraId="2C6AEE2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2" w:type="dxa"/>
            <w:gridSpan w:val="2"/>
            <w:shd w:val="clear" w:color="auto" w:fill="auto"/>
            <w:vAlign w:val="center"/>
          </w:tcPr>
          <w:p w14:paraId="0727B12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0E730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shd w:val="clear" w:color="auto" w:fill="auto"/>
            <w:vAlign w:val="center"/>
          </w:tcPr>
          <w:p w14:paraId="7CA9F6A7">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洗井中</w:t>
            </w:r>
          </w:p>
        </w:tc>
        <w:tc>
          <w:tcPr>
            <w:tcW w:w="1095" w:type="dxa"/>
            <w:gridSpan w:val="2"/>
            <w:shd w:val="clear" w:color="auto" w:fill="auto"/>
            <w:vAlign w:val="center"/>
          </w:tcPr>
          <w:p w14:paraId="69DFEF1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230" w:type="dxa"/>
            <w:shd w:val="clear" w:color="auto" w:fill="auto"/>
            <w:vAlign w:val="center"/>
          </w:tcPr>
          <w:p w14:paraId="210B006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25" w:type="dxa"/>
            <w:gridSpan w:val="2"/>
            <w:shd w:val="clear" w:color="auto" w:fill="auto"/>
            <w:vAlign w:val="center"/>
          </w:tcPr>
          <w:p w14:paraId="37FBF91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80" w:type="dxa"/>
            <w:shd w:val="clear" w:color="auto" w:fill="auto"/>
            <w:vAlign w:val="center"/>
          </w:tcPr>
          <w:p w14:paraId="3886117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06" w:type="dxa"/>
            <w:shd w:val="clear" w:color="auto" w:fill="auto"/>
            <w:vAlign w:val="center"/>
          </w:tcPr>
          <w:p w14:paraId="77014CF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10" w:type="dxa"/>
            <w:shd w:val="clear" w:color="auto" w:fill="auto"/>
            <w:vAlign w:val="center"/>
          </w:tcPr>
          <w:p w14:paraId="4E1940F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63" w:type="dxa"/>
            <w:shd w:val="clear" w:color="auto" w:fill="auto"/>
            <w:vAlign w:val="center"/>
          </w:tcPr>
          <w:p w14:paraId="697982E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23" w:type="dxa"/>
            <w:shd w:val="clear" w:color="auto" w:fill="auto"/>
            <w:vAlign w:val="center"/>
          </w:tcPr>
          <w:p w14:paraId="1DEEED9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18" w:type="dxa"/>
            <w:shd w:val="clear" w:color="auto" w:fill="auto"/>
            <w:vAlign w:val="center"/>
          </w:tcPr>
          <w:p w14:paraId="699A905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50" w:type="dxa"/>
            <w:gridSpan w:val="2"/>
            <w:shd w:val="clear" w:color="auto" w:fill="auto"/>
            <w:vAlign w:val="center"/>
          </w:tcPr>
          <w:p w14:paraId="3E691E3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2" w:type="dxa"/>
            <w:gridSpan w:val="2"/>
            <w:shd w:val="clear" w:color="auto" w:fill="auto"/>
            <w:vAlign w:val="center"/>
          </w:tcPr>
          <w:p w14:paraId="25FB6CB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7A631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shd w:val="clear" w:color="auto" w:fill="auto"/>
            <w:noWrap/>
            <w:vAlign w:val="center"/>
          </w:tcPr>
          <w:p w14:paraId="72B4B33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color w:val="000000"/>
                <w:kern w:val="0"/>
                <w:sz w:val="18"/>
                <w:szCs w:val="18"/>
                <w:lang w:val="en-US" w:eastAsia="zh-CN" w:bidi="ar"/>
              </w:rPr>
              <w:t>………</w:t>
            </w:r>
          </w:p>
        </w:tc>
        <w:tc>
          <w:tcPr>
            <w:tcW w:w="1095" w:type="dxa"/>
            <w:gridSpan w:val="2"/>
            <w:shd w:val="clear" w:color="auto" w:fill="auto"/>
            <w:vAlign w:val="center"/>
          </w:tcPr>
          <w:p w14:paraId="0105A5E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230" w:type="dxa"/>
            <w:shd w:val="clear" w:color="auto" w:fill="auto"/>
            <w:vAlign w:val="center"/>
          </w:tcPr>
          <w:p w14:paraId="11CB4B9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25" w:type="dxa"/>
            <w:gridSpan w:val="2"/>
            <w:shd w:val="clear" w:color="auto" w:fill="auto"/>
            <w:vAlign w:val="center"/>
          </w:tcPr>
          <w:p w14:paraId="0A9EF57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80" w:type="dxa"/>
            <w:shd w:val="clear" w:color="auto" w:fill="auto"/>
            <w:vAlign w:val="center"/>
          </w:tcPr>
          <w:p w14:paraId="6F8F079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06" w:type="dxa"/>
            <w:shd w:val="clear" w:color="auto" w:fill="auto"/>
            <w:vAlign w:val="center"/>
          </w:tcPr>
          <w:p w14:paraId="64B40D9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10" w:type="dxa"/>
            <w:shd w:val="clear" w:color="auto" w:fill="auto"/>
            <w:vAlign w:val="center"/>
          </w:tcPr>
          <w:p w14:paraId="427B6C4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63" w:type="dxa"/>
            <w:shd w:val="clear" w:color="auto" w:fill="auto"/>
            <w:vAlign w:val="center"/>
          </w:tcPr>
          <w:p w14:paraId="1F2C64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23" w:type="dxa"/>
            <w:shd w:val="clear" w:color="auto" w:fill="auto"/>
            <w:vAlign w:val="center"/>
          </w:tcPr>
          <w:p w14:paraId="2438984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18" w:type="dxa"/>
            <w:shd w:val="clear" w:color="auto" w:fill="auto"/>
            <w:vAlign w:val="center"/>
          </w:tcPr>
          <w:p w14:paraId="4FB37D9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50" w:type="dxa"/>
            <w:gridSpan w:val="2"/>
            <w:shd w:val="clear" w:color="auto" w:fill="auto"/>
            <w:vAlign w:val="center"/>
          </w:tcPr>
          <w:p w14:paraId="013302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2" w:type="dxa"/>
            <w:gridSpan w:val="2"/>
            <w:shd w:val="clear" w:color="auto" w:fill="auto"/>
            <w:vAlign w:val="center"/>
          </w:tcPr>
          <w:p w14:paraId="6E9F33C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65754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shd w:val="clear" w:color="auto" w:fill="auto"/>
            <w:vAlign w:val="center"/>
          </w:tcPr>
          <w:p w14:paraId="55D1A5A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洗井中</w:t>
            </w:r>
          </w:p>
        </w:tc>
        <w:tc>
          <w:tcPr>
            <w:tcW w:w="1095" w:type="dxa"/>
            <w:gridSpan w:val="2"/>
            <w:shd w:val="clear" w:color="auto" w:fill="auto"/>
            <w:vAlign w:val="center"/>
          </w:tcPr>
          <w:p w14:paraId="38AF9DE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230" w:type="dxa"/>
            <w:shd w:val="clear" w:color="auto" w:fill="auto"/>
            <w:vAlign w:val="center"/>
          </w:tcPr>
          <w:p w14:paraId="2D224BB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25" w:type="dxa"/>
            <w:gridSpan w:val="2"/>
            <w:shd w:val="clear" w:color="auto" w:fill="auto"/>
            <w:vAlign w:val="center"/>
          </w:tcPr>
          <w:p w14:paraId="7E7C7C9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80" w:type="dxa"/>
            <w:shd w:val="clear" w:color="auto" w:fill="auto"/>
            <w:vAlign w:val="center"/>
          </w:tcPr>
          <w:p w14:paraId="459C91A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06" w:type="dxa"/>
            <w:shd w:val="clear" w:color="auto" w:fill="auto"/>
            <w:vAlign w:val="center"/>
          </w:tcPr>
          <w:p w14:paraId="1C92217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10" w:type="dxa"/>
            <w:shd w:val="clear" w:color="auto" w:fill="auto"/>
            <w:vAlign w:val="center"/>
          </w:tcPr>
          <w:p w14:paraId="793136F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63" w:type="dxa"/>
            <w:shd w:val="clear" w:color="auto" w:fill="auto"/>
            <w:vAlign w:val="center"/>
          </w:tcPr>
          <w:p w14:paraId="76515CE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23" w:type="dxa"/>
            <w:shd w:val="clear" w:color="auto" w:fill="auto"/>
            <w:vAlign w:val="center"/>
          </w:tcPr>
          <w:p w14:paraId="2DF20FD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18" w:type="dxa"/>
            <w:shd w:val="clear" w:color="auto" w:fill="auto"/>
            <w:vAlign w:val="center"/>
          </w:tcPr>
          <w:p w14:paraId="308966B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50" w:type="dxa"/>
            <w:gridSpan w:val="2"/>
            <w:shd w:val="clear" w:color="auto" w:fill="auto"/>
            <w:vAlign w:val="center"/>
          </w:tcPr>
          <w:p w14:paraId="6B0A272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2" w:type="dxa"/>
            <w:gridSpan w:val="2"/>
            <w:shd w:val="clear" w:color="auto" w:fill="auto"/>
            <w:vAlign w:val="center"/>
          </w:tcPr>
          <w:p w14:paraId="44CE2F8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7F8F1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shd w:val="clear" w:color="auto" w:fill="auto"/>
            <w:vAlign w:val="center"/>
          </w:tcPr>
          <w:p w14:paraId="017A0002">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洗井后</w:t>
            </w:r>
          </w:p>
        </w:tc>
        <w:tc>
          <w:tcPr>
            <w:tcW w:w="1095" w:type="dxa"/>
            <w:gridSpan w:val="2"/>
            <w:shd w:val="clear" w:color="auto" w:fill="auto"/>
            <w:vAlign w:val="center"/>
          </w:tcPr>
          <w:p w14:paraId="5483E57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230" w:type="dxa"/>
            <w:shd w:val="clear" w:color="auto" w:fill="auto"/>
            <w:vAlign w:val="center"/>
          </w:tcPr>
          <w:p w14:paraId="51024BB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25" w:type="dxa"/>
            <w:gridSpan w:val="2"/>
            <w:shd w:val="clear" w:color="auto" w:fill="auto"/>
            <w:vAlign w:val="center"/>
          </w:tcPr>
          <w:p w14:paraId="40CE1B5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80" w:type="dxa"/>
            <w:shd w:val="clear" w:color="auto" w:fill="auto"/>
            <w:vAlign w:val="center"/>
          </w:tcPr>
          <w:p w14:paraId="59D9750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06" w:type="dxa"/>
            <w:shd w:val="clear" w:color="auto" w:fill="auto"/>
            <w:vAlign w:val="center"/>
          </w:tcPr>
          <w:p w14:paraId="78E07EA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810" w:type="dxa"/>
            <w:shd w:val="clear" w:color="auto" w:fill="auto"/>
            <w:vAlign w:val="center"/>
          </w:tcPr>
          <w:p w14:paraId="3202336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63" w:type="dxa"/>
            <w:shd w:val="clear" w:color="auto" w:fill="auto"/>
            <w:vAlign w:val="center"/>
          </w:tcPr>
          <w:p w14:paraId="17411D8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23" w:type="dxa"/>
            <w:shd w:val="clear" w:color="auto" w:fill="auto"/>
            <w:vAlign w:val="center"/>
          </w:tcPr>
          <w:p w14:paraId="1F7EC31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118" w:type="dxa"/>
            <w:shd w:val="clear" w:color="auto" w:fill="auto"/>
            <w:vAlign w:val="center"/>
          </w:tcPr>
          <w:p w14:paraId="4DE132E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050" w:type="dxa"/>
            <w:gridSpan w:val="2"/>
            <w:shd w:val="clear" w:color="auto" w:fill="auto"/>
            <w:vAlign w:val="center"/>
          </w:tcPr>
          <w:p w14:paraId="54BE197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3082" w:type="dxa"/>
            <w:gridSpan w:val="2"/>
            <w:shd w:val="clear" w:color="auto" w:fill="auto"/>
            <w:vAlign w:val="center"/>
          </w:tcPr>
          <w:p w14:paraId="67C544C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r w14:paraId="4F36F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5" w:type="dxa"/>
            <w:gridSpan w:val="9"/>
            <w:tcBorders>
              <w:bottom w:val="double" w:color="auto" w:sz="4" w:space="0"/>
            </w:tcBorders>
            <w:shd w:val="clear" w:color="auto" w:fill="auto"/>
            <w:vAlign w:val="center"/>
          </w:tcPr>
          <w:p w14:paraId="5153432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洗井水总体积（L）</w:t>
            </w:r>
            <w:r>
              <w:rPr>
                <w:rFonts w:hint="eastAsia" w:ascii="Times New Roman" w:hAnsi="Times New Roman" w:eastAsia="宋体" w:cs="Times New Roman"/>
                <w:color w:val="000000"/>
                <w:kern w:val="0"/>
                <w:sz w:val="18"/>
                <w:szCs w:val="18"/>
                <w:lang w:val="en-US" w:eastAsia="zh-CN" w:bidi="ar"/>
              </w:rPr>
              <w:t>：</w:t>
            </w:r>
          </w:p>
        </w:tc>
        <w:tc>
          <w:tcPr>
            <w:tcW w:w="7336" w:type="dxa"/>
            <w:gridSpan w:val="7"/>
            <w:tcBorders>
              <w:bottom w:val="double" w:color="auto" w:sz="4" w:space="0"/>
            </w:tcBorders>
            <w:shd w:val="clear" w:color="auto" w:fill="auto"/>
            <w:vAlign w:val="center"/>
          </w:tcPr>
          <w:p w14:paraId="5DE1F79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洗井结束时水位面至井口高度（m）</w:t>
            </w:r>
            <w:r>
              <w:rPr>
                <w:rFonts w:hint="eastAsia" w:ascii="Times New Roman" w:hAnsi="Times New Roman" w:eastAsia="宋体" w:cs="Times New Roman"/>
                <w:color w:val="000000"/>
                <w:kern w:val="0"/>
                <w:sz w:val="18"/>
                <w:szCs w:val="18"/>
                <w:lang w:val="en-US" w:eastAsia="zh-CN" w:bidi="ar"/>
              </w:rPr>
              <w:t>：</w:t>
            </w:r>
          </w:p>
        </w:tc>
      </w:tr>
      <w:tr w14:paraId="2A368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5" w:type="dxa"/>
            <w:gridSpan w:val="9"/>
            <w:tcBorders>
              <w:top w:val="double" w:color="auto" w:sz="4" w:space="0"/>
              <w:tl2br w:val="nil"/>
              <w:tr2bl w:val="nil"/>
            </w:tcBorders>
            <w:shd w:val="clear" w:color="auto" w:fill="auto"/>
            <w:vAlign w:val="center"/>
          </w:tcPr>
          <w:p w14:paraId="53D55B7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洗井单位</w:t>
            </w:r>
            <w:r>
              <w:rPr>
                <w:rFonts w:hint="eastAsia" w:ascii="Times New Roman" w:hAnsi="Times New Roman" w:eastAsia="宋体" w:cs="Times New Roman"/>
                <w:color w:val="000000"/>
                <w:kern w:val="0"/>
                <w:sz w:val="18"/>
                <w:szCs w:val="18"/>
                <w:lang w:val="en-US" w:eastAsia="zh-CN" w:bidi="ar"/>
              </w:rPr>
              <w:t>：</w:t>
            </w:r>
          </w:p>
        </w:tc>
        <w:tc>
          <w:tcPr>
            <w:tcW w:w="3204" w:type="dxa"/>
            <w:gridSpan w:val="3"/>
            <w:tcBorders>
              <w:top w:val="double" w:color="auto" w:sz="4" w:space="0"/>
              <w:tl2br w:val="nil"/>
              <w:tr2bl w:val="nil"/>
            </w:tcBorders>
            <w:shd w:val="clear" w:color="auto" w:fill="auto"/>
            <w:vAlign w:val="center"/>
          </w:tcPr>
          <w:p w14:paraId="0D59BF5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洗井负责人：</w:t>
            </w:r>
          </w:p>
        </w:tc>
        <w:tc>
          <w:tcPr>
            <w:tcW w:w="2086" w:type="dxa"/>
            <w:gridSpan w:val="3"/>
            <w:tcBorders>
              <w:top w:val="double" w:color="auto" w:sz="4" w:space="0"/>
              <w:tl2br w:val="nil"/>
              <w:tr2bl w:val="nil"/>
            </w:tcBorders>
            <w:shd w:val="clear" w:color="auto" w:fill="auto"/>
            <w:vAlign w:val="center"/>
          </w:tcPr>
          <w:p w14:paraId="21C7D5E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记录人员：</w:t>
            </w:r>
          </w:p>
        </w:tc>
        <w:tc>
          <w:tcPr>
            <w:tcW w:w="2046" w:type="dxa"/>
            <w:tcBorders>
              <w:top w:val="double" w:color="auto" w:sz="4" w:space="0"/>
              <w:tl2br w:val="nil"/>
              <w:tr2bl w:val="nil"/>
            </w:tcBorders>
            <w:shd w:val="clear" w:color="auto" w:fill="auto"/>
            <w:vAlign w:val="center"/>
          </w:tcPr>
          <w:p w14:paraId="458868F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洗井单位内审：</w:t>
            </w:r>
          </w:p>
        </w:tc>
      </w:tr>
    </w:tbl>
    <w:p w14:paraId="60952D9F">
      <w:pPr>
        <w:keepNext w:val="0"/>
        <w:keepLines w:val="0"/>
        <w:pageBreakBefore w:val="0"/>
        <w:kinsoku/>
        <w:overflowPunct/>
        <w:topLinePunct w:val="0"/>
        <w:autoSpaceDE w:val="0"/>
        <w:autoSpaceDN w:val="0"/>
        <w:bidi w:val="0"/>
        <w:adjustRightInd w:val="0"/>
        <w:snapToGrid w:val="0"/>
        <w:rPr>
          <w:sz w:val="18"/>
        </w:rPr>
        <w:sectPr>
          <w:pgSz w:w="16840" w:h="11910" w:orient="landscape"/>
          <w:pgMar w:top="1417" w:right="1417" w:bottom="1134" w:left="1134" w:header="1417" w:footer="1134" w:gutter="0"/>
          <w:pgNumType w:fmt="decimal"/>
          <w:cols w:space="0" w:num="1"/>
          <w:rtlGutter w:val="0"/>
          <w:docGrid w:linePitch="0" w:charSpace="0"/>
        </w:sectPr>
      </w:pPr>
    </w:p>
    <w:p w14:paraId="4111583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p w14:paraId="7252FED1">
      <w:pPr>
        <w:keepNext w:val="0"/>
        <w:keepLines w:val="0"/>
        <w:pageBreakBefore w:val="0"/>
        <w:widowControl w:val="0"/>
        <w:kinsoku/>
        <w:overflowPunct/>
        <w:topLinePunct w:val="0"/>
        <w:autoSpaceDE w:val="0"/>
        <w:autoSpaceDN w:val="0"/>
        <w:bidi w:val="0"/>
        <w:adjustRightInd w:val="0"/>
        <w:snapToGrid w:val="0"/>
        <w:spacing w:line="360" w:lineRule="auto"/>
        <w:jc w:val="center"/>
        <w:rPr>
          <w:rFonts w:ascii="宋体" w:hAnsi="宋体" w:eastAsia="宋体" w:cs="宋体"/>
          <w:sz w:val="21"/>
          <w:szCs w:val="21"/>
          <w:lang w:val="en-US" w:eastAsia="zh-CN" w:bidi="ar-SA"/>
        </w:rPr>
      </w:pPr>
      <w:r>
        <w:rPr>
          <w:rFonts w:hint="eastAsia" w:ascii="宋体" w:hAnsi="宋体" w:eastAsia="宋体" w:cs="宋体"/>
          <w:sz w:val="21"/>
          <w:szCs w:val="21"/>
          <w:lang w:val="fr-FR" w:eastAsia="en-US" w:bidi="ar-SA"/>
        </w:rPr>
        <w:t>表</w:t>
      </w:r>
      <w:r>
        <w:rPr>
          <w:rFonts w:hint="eastAsia" w:ascii="宋体" w:hAnsi="宋体" w:eastAsia="宋体" w:cs="宋体"/>
          <w:sz w:val="21"/>
          <w:szCs w:val="21"/>
          <w:lang w:val="en-US" w:eastAsia="zh-CN" w:bidi="ar-SA"/>
        </w:rPr>
        <w:t>C.4</w:t>
      </w:r>
      <w:r>
        <w:rPr>
          <w:rFonts w:hint="eastAsia" w:ascii="宋体" w:hAnsi="宋体" w:eastAsia="宋体" w:cs="宋体"/>
          <w:sz w:val="21"/>
          <w:szCs w:val="21"/>
          <w:lang w:val="fr-FR" w:eastAsia="en-US" w:bidi="ar-SA"/>
        </w:rPr>
        <w:t xml:space="preserve"> </w:t>
      </w:r>
      <w:r>
        <w:rPr>
          <w:rFonts w:hint="eastAsia" w:ascii="宋体" w:hAnsi="宋体" w:eastAsia="宋体" w:cs="宋体"/>
          <w:sz w:val="21"/>
          <w:szCs w:val="21"/>
          <w:lang w:val="en-US" w:eastAsia="zh-CN" w:bidi="ar-SA"/>
        </w:rPr>
        <w:t>地下水采样记录单</w:t>
      </w:r>
    </w:p>
    <w:tbl>
      <w:tblPr>
        <w:tblStyle w:val="9"/>
        <w:tblW w:w="142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534"/>
        <w:gridCol w:w="707"/>
        <w:gridCol w:w="913"/>
        <w:gridCol w:w="780"/>
        <w:gridCol w:w="915"/>
        <w:gridCol w:w="930"/>
        <w:gridCol w:w="1020"/>
        <w:gridCol w:w="526"/>
        <w:gridCol w:w="239"/>
        <w:gridCol w:w="630"/>
        <w:gridCol w:w="1110"/>
        <w:gridCol w:w="395"/>
        <w:gridCol w:w="610"/>
        <w:gridCol w:w="578"/>
        <w:gridCol w:w="337"/>
        <w:gridCol w:w="740"/>
        <w:gridCol w:w="300"/>
        <w:gridCol w:w="2185"/>
      </w:tblGrid>
      <w:tr w14:paraId="78F71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4" w:type="dxa"/>
            <w:gridSpan w:val="9"/>
            <w:tcBorders>
              <w:tl2br w:val="nil"/>
              <w:tr2bl w:val="nil"/>
            </w:tcBorders>
            <w:shd w:val="clear" w:color="auto" w:fill="auto"/>
            <w:noWrap/>
            <w:vAlign w:val="center"/>
          </w:tcPr>
          <w:p w14:paraId="058B9266">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地块名称：</w:t>
            </w:r>
          </w:p>
        </w:tc>
        <w:tc>
          <w:tcPr>
            <w:tcW w:w="3562" w:type="dxa"/>
            <w:gridSpan w:val="6"/>
            <w:tcBorders>
              <w:tl2br w:val="nil"/>
              <w:tr2bl w:val="nil"/>
            </w:tcBorders>
            <w:shd w:val="clear" w:color="auto" w:fill="auto"/>
            <w:noWrap/>
            <w:vAlign w:val="center"/>
          </w:tcPr>
          <w:p w14:paraId="0E83700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color w:val="000000"/>
                <w:kern w:val="0"/>
                <w:sz w:val="18"/>
                <w:szCs w:val="18"/>
                <w:u w:val="none"/>
                <w:lang w:val="en-US" w:eastAsia="zh-CN" w:bidi="ar"/>
              </w:rPr>
              <w:t>采样日期：</w:t>
            </w:r>
          </w:p>
        </w:tc>
        <w:tc>
          <w:tcPr>
            <w:tcW w:w="3562" w:type="dxa"/>
            <w:gridSpan w:val="4"/>
            <w:tcBorders>
              <w:tl2br w:val="nil"/>
              <w:tr2bl w:val="nil"/>
            </w:tcBorders>
            <w:shd w:val="clear" w:color="auto" w:fill="auto"/>
            <w:noWrap/>
            <w:vAlign w:val="center"/>
          </w:tcPr>
          <w:p w14:paraId="4F2A836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天气：</w:t>
            </w:r>
          </w:p>
        </w:tc>
      </w:tr>
      <w:tr w14:paraId="28DE4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4" w:type="dxa"/>
            <w:gridSpan w:val="9"/>
            <w:tcBorders>
              <w:tl2br w:val="nil"/>
              <w:tr2bl w:val="nil"/>
            </w:tcBorders>
            <w:shd w:val="clear" w:color="auto" w:fill="auto"/>
            <w:noWrap/>
            <w:vAlign w:val="center"/>
          </w:tcPr>
          <w:p w14:paraId="1FE752E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48</w:t>
            </w:r>
            <w:r>
              <w:rPr>
                <w:rFonts w:hint="default" w:ascii="Times New Roman" w:hAnsi="Times New Roman" w:eastAsia="宋体" w:cs="Times New Roman"/>
                <w:color w:val="000000"/>
                <w:kern w:val="0"/>
                <w:sz w:val="18"/>
                <w:szCs w:val="18"/>
                <w:u w:val="none"/>
                <w:lang w:val="en-US" w:eastAsia="zh-CN" w:bidi="ar"/>
              </w:rPr>
              <w:t xml:space="preserve">小时内是否强降雨：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是</w:t>
            </w:r>
            <w:r>
              <w:rPr>
                <w:rFonts w:hint="default" w:ascii="Times New Roman" w:hAnsi="Times New Roman" w:eastAsia="宋体" w:cs="Times New Roman"/>
                <w:color w:val="000000"/>
                <w:kern w:val="0"/>
                <w:sz w:val="18"/>
                <w:szCs w:val="18"/>
                <w:u w:val="none"/>
                <w:lang w:val="en-US" w:eastAsia="zh-CN" w:bidi="ar"/>
              </w:rPr>
              <w:t xml:space="preserve">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否</w:t>
            </w:r>
          </w:p>
        </w:tc>
        <w:tc>
          <w:tcPr>
            <w:tcW w:w="7124" w:type="dxa"/>
            <w:gridSpan w:val="10"/>
            <w:tcBorders>
              <w:tl2br w:val="nil"/>
              <w:tr2bl w:val="nil"/>
            </w:tcBorders>
            <w:shd w:val="clear" w:color="auto" w:fill="auto"/>
            <w:noWrap/>
            <w:vAlign w:val="center"/>
          </w:tcPr>
          <w:p w14:paraId="70ABF3C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u w:val="none"/>
                <w:lang w:val="en-US" w:eastAsia="zh-CN" w:bidi="ar"/>
              </w:rPr>
              <w:t xml:space="preserve">采样点地面是否积水：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是</w:t>
            </w:r>
            <w:r>
              <w:rPr>
                <w:rFonts w:hint="default" w:ascii="Times New Roman" w:hAnsi="Times New Roman" w:eastAsia="宋体" w:cs="Times New Roman"/>
                <w:color w:val="000000"/>
                <w:kern w:val="0"/>
                <w:sz w:val="18"/>
                <w:szCs w:val="18"/>
                <w:u w:val="none"/>
                <w:lang w:val="en-US" w:eastAsia="zh-CN" w:bidi="ar"/>
              </w:rPr>
              <w:t xml:space="preserve">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否</w:t>
            </w:r>
          </w:p>
        </w:tc>
      </w:tr>
      <w:tr w14:paraId="370B0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8" w:type="dxa"/>
            <w:gridSpan w:val="19"/>
            <w:tcBorders>
              <w:top w:val="double" w:color="auto" w:sz="4" w:space="0"/>
            </w:tcBorders>
            <w:shd w:val="clear" w:color="auto" w:fill="auto"/>
            <w:noWrap/>
            <w:vAlign w:val="center"/>
          </w:tcPr>
          <w:p w14:paraId="3B13A3F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b/>
                <w:bCs/>
                <w:color w:val="000000"/>
                <w:kern w:val="0"/>
                <w:sz w:val="18"/>
                <w:szCs w:val="18"/>
                <w:lang w:val="en-US" w:eastAsia="zh-CN" w:bidi="ar"/>
              </w:rPr>
              <w:t>现场检测仪器设备信息</w:t>
            </w:r>
          </w:p>
        </w:tc>
      </w:tr>
      <w:tr w14:paraId="332DF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8" w:type="dxa"/>
            <w:gridSpan w:val="6"/>
            <w:shd w:val="clear" w:color="auto" w:fill="auto"/>
            <w:vAlign w:val="center"/>
          </w:tcPr>
          <w:p w14:paraId="165A8762">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仪器型号</w:t>
            </w:r>
          </w:p>
        </w:tc>
        <w:tc>
          <w:tcPr>
            <w:tcW w:w="9600" w:type="dxa"/>
            <w:gridSpan w:val="13"/>
            <w:shd w:val="clear" w:color="auto" w:fill="auto"/>
            <w:vAlign w:val="center"/>
          </w:tcPr>
          <w:p w14:paraId="25F2C14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仪器校正情况</w:t>
            </w:r>
          </w:p>
        </w:tc>
      </w:tr>
      <w:tr w14:paraId="7D49A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3" w:type="dxa"/>
            <w:gridSpan w:val="2"/>
            <w:shd w:val="clear" w:color="auto" w:fill="auto"/>
            <w:vAlign w:val="center"/>
          </w:tcPr>
          <w:p w14:paraId="0AF4BF1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pH</w:t>
            </w:r>
          </w:p>
        </w:tc>
        <w:tc>
          <w:tcPr>
            <w:tcW w:w="3315" w:type="dxa"/>
            <w:gridSpan w:val="4"/>
            <w:shd w:val="clear" w:color="auto" w:fill="auto"/>
            <w:vAlign w:val="center"/>
          </w:tcPr>
          <w:p w14:paraId="1B87304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600" w:type="dxa"/>
            <w:gridSpan w:val="13"/>
            <w:shd w:val="clear" w:color="auto" w:fill="auto"/>
            <w:vAlign w:val="center"/>
          </w:tcPr>
          <w:p w14:paraId="4A9E6FE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使用缓冲溶液后的确认值：</w:t>
            </w:r>
          </w:p>
        </w:tc>
      </w:tr>
      <w:tr w14:paraId="16A5A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3" w:type="dxa"/>
            <w:gridSpan w:val="2"/>
            <w:shd w:val="clear" w:color="auto" w:fill="auto"/>
            <w:vAlign w:val="center"/>
          </w:tcPr>
          <w:p w14:paraId="5E663EA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电导率</w:t>
            </w:r>
          </w:p>
        </w:tc>
        <w:tc>
          <w:tcPr>
            <w:tcW w:w="3315" w:type="dxa"/>
            <w:gridSpan w:val="4"/>
            <w:shd w:val="clear" w:color="auto" w:fill="auto"/>
            <w:vAlign w:val="center"/>
          </w:tcPr>
          <w:p w14:paraId="44748C4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600" w:type="dxa"/>
            <w:gridSpan w:val="13"/>
            <w:shd w:val="clear" w:color="auto" w:fill="auto"/>
            <w:vAlign w:val="center"/>
          </w:tcPr>
          <w:p w14:paraId="5BE89535">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校正标准液：</w:t>
            </w:r>
            <w:r>
              <w:rPr>
                <w:rFonts w:hint="eastAsia" w:ascii="Times New Roman" w:hAnsi="Times New Roman" w:eastAsia="宋体" w:cs="Times New Roman"/>
                <w:color w:val="000000"/>
                <w:kern w:val="0"/>
                <w:sz w:val="18"/>
                <w:szCs w:val="18"/>
                <w:u w:val="single"/>
                <w:lang w:val="en-US" w:eastAsia="zh-CN" w:bidi="ar"/>
              </w:rPr>
              <w:t xml:space="preserve">                </w:t>
            </w:r>
            <w:r>
              <w:rPr>
                <w:rFonts w:hint="eastAsia"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标准液的电导率：</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μS/cm</w:t>
            </w:r>
          </w:p>
        </w:tc>
      </w:tr>
      <w:tr w14:paraId="320E3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3" w:type="dxa"/>
            <w:gridSpan w:val="2"/>
            <w:shd w:val="clear" w:color="auto" w:fill="auto"/>
            <w:vAlign w:val="center"/>
          </w:tcPr>
          <w:p w14:paraId="3EF185D1">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溶解氧</w:t>
            </w:r>
          </w:p>
        </w:tc>
        <w:tc>
          <w:tcPr>
            <w:tcW w:w="3315" w:type="dxa"/>
            <w:gridSpan w:val="4"/>
            <w:shd w:val="clear" w:color="auto" w:fill="auto"/>
            <w:vAlign w:val="center"/>
          </w:tcPr>
          <w:p w14:paraId="1AFDA5E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600" w:type="dxa"/>
            <w:gridSpan w:val="13"/>
            <w:shd w:val="clear" w:color="auto" w:fill="auto"/>
            <w:vAlign w:val="center"/>
          </w:tcPr>
          <w:p w14:paraId="5DC2276A">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满点校正读数</w:t>
            </w:r>
            <w:r>
              <w:rPr>
                <w:rFonts w:hint="eastAsia" w:ascii="Times New Roman" w:hAnsi="Times New Roman" w:eastAsia="宋体" w:cs="Times New Roman"/>
                <w:color w:val="000000"/>
                <w:kern w:val="0"/>
                <w:sz w:val="18"/>
                <w:szCs w:val="18"/>
                <w:lang w:val="en-US" w:eastAsia="zh-CN" w:bidi="ar"/>
              </w:rPr>
              <w:t>：</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mg/L，校正时温度</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℃，校正值：</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mg/L</w:t>
            </w:r>
          </w:p>
        </w:tc>
      </w:tr>
      <w:tr w14:paraId="36B2B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3" w:type="dxa"/>
            <w:gridSpan w:val="2"/>
            <w:shd w:val="clear" w:color="auto" w:fill="auto"/>
            <w:vAlign w:val="center"/>
          </w:tcPr>
          <w:p w14:paraId="5897E7F9">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氧化还原电位</w:t>
            </w:r>
          </w:p>
        </w:tc>
        <w:tc>
          <w:tcPr>
            <w:tcW w:w="3315" w:type="dxa"/>
            <w:gridSpan w:val="4"/>
            <w:shd w:val="clear" w:color="auto" w:fill="auto"/>
            <w:vAlign w:val="center"/>
          </w:tcPr>
          <w:p w14:paraId="6A59D9B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600" w:type="dxa"/>
            <w:gridSpan w:val="13"/>
            <w:shd w:val="clear" w:color="auto" w:fill="auto"/>
            <w:vAlign w:val="center"/>
          </w:tcPr>
          <w:p w14:paraId="36C2EB4C">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校正标准液：</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，标准液的氧化还原电位值：</w:t>
            </w:r>
            <w:r>
              <w:rPr>
                <w:rFonts w:hint="eastAsia" w:ascii="Times New Roman" w:hAnsi="Times New Roman" w:eastAsia="宋体" w:cs="Times New Roman"/>
                <w:color w:val="000000"/>
                <w:kern w:val="0"/>
                <w:sz w:val="18"/>
                <w:szCs w:val="18"/>
                <w:u w:val="single"/>
                <w:lang w:val="en-US" w:eastAsia="zh-CN" w:bidi="ar"/>
              </w:rPr>
              <w:t xml:space="preserve">                </w:t>
            </w:r>
            <w:r>
              <w:rPr>
                <w:rFonts w:hint="eastAsia" w:ascii="Times New Roman" w:hAnsi="Times New Roman" w:eastAsia="宋体" w:cs="Times New Roman"/>
                <w:color w:val="000000"/>
                <w:kern w:val="0"/>
                <w:sz w:val="18"/>
                <w:szCs w:val="18"/>
                <w:lang w:val="en-US" w:eastAsia="zh-CN" w:bidi="ar"/>
              </w:rPr>
              <w:t>mV</w:t>
            </w:r>
          </w:p>
        </w:tc>
      </w:tr>
      <w:tr w14:paraId="73316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3" w:type="dxa"/>
            <w:gridSpan w:val="2"/>
            <w:shd w:val="clear" w:color="auto" w:fill="auto"/>
            <w:vAlign w:val="center"/>
          </w:tcPr>
          <w:p w14:paraId="5A82FA0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浊度</w:t>
            </w:r>
          </w:p>
        </w:tc>
        <w:tc>
          <w:tcPr>
            <w:tcW w:w="3315" w:type="dxa"/>
            <w:gridSpan w:val="4"/>
            <w:shd w:val="clear" w:color="auto" w:fill="auto"/>
            <w:vAlign w:val="center"/>
          </w:tcPr>
          <w:p w14:paraId="79926B7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600" w:type="dxa"/>
            <w:gridSpan w:val="13"/>
            <w:shd w:val="clear" w:color="auto" w:fill="auto"/>
            <w:vAlign w:val="center"/>
          </w:tcPr>
          <w:p w14:paraId="71479BA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校正标准液：</w:t>
            </w:r>
            <w:r>
              <w:rPr>
                <w:rFonts w:hint="eastAsia" w:ascii="Times New Roman" w:hAnsi="Times New Roman" w:eastAsia="宋体" w:cs="Times New Roman"/>
                <w:color w:val="000000"/>
                <w:kern w:val="0"/>
                <w:sz w:val="18"/>
                <w:szCs w:val="18"/>
                <w:u w:val="single"/>
                <w:lang w:val="en-US" w:eastAsia="zh-CN" w:bidi="ar"/>
              </w:rPr>
              <w:t xml:space="preserve">                </w:t>
            </w:r>
            <w:r>
              <w:rPr>
                <w:rFonts w:hint="default" w:ascii="Times New Roman" w:hAnsi="Times New Roman" w:eastAsia="宋体" w:cs="Times New Roman"/>
                <w:color w:val="000000"/>
                <w:kern w:val="0"/>
                <w:sz w:val="18"/>
                <w:szCs w:val="18"/>
                <w:lang w:val="en-US" w:eastAsia="zh-CN" w:bidi="ar"/>
              </w:rPr>
              <w:t>，标准液的</w:t>
            </w:r>
            <w:r>
              <w:rPr>
                <w:rFonts w:hint="eastAsia" w:ascii="Times New Roman" w:hAnsi="Times New Roman" w:eastAsia="宋体" w:cs="Times New Roman"/>
                <w:color w:val="000000"/>
                <w:kern w:val="0"/>
                <w:sz w:val="18"/>
                <w:szCs w:val="18"/>
                <w:lang w:val="en-US" w:eastAsia="zh-CN" w:bidi="ar"/>
              </w:rPr>
              <w:t>浊度</w:t>
            </w:r>
            <w:r>
              <w:rPr>
                <w:rFonts w:hint="default" w:ascii="Times New Roman" w:hAnsi="Times New Roman" w:eastAsia="宋体" w:cs="Times New Roman"/>
                <w:color w:val="000000"/>
                <w:kern w:val="0"/>
                <w:sz w:val="18"/>
                <w:szCs w:val="18"/>
                <w:lang w:val="en-US" w:eastAsia="zh-CN" w:bidi="ar"/>
              </w:rPr>
              <w:t>值：</w:t>
            </w:r>
            <w:r>
              <w:rPr>
                <w:rFonts w:hint="eastAsia" w:ascii="Times New Roman" w:hAnsi="Times New Roman" w:eastAsia="宋体" w:cs="Times New Roman"/>
                <w:color w:val="000000"/>
                <w:kern w:val="0"/>
                <w:sz w:val="18"/>
                <w:szCs w:val="18"/>
                <w:u w:val="single"/>
                <w:lang w:val="en-US" w:eastAsia="zh-CN" w:bidi="ar"/>
              </w:rPr>
              <w:t xml:space="preserve">                </w:t>
            </w:r>
            <w:r>
              <w:rPr>
                <w:rFonts w:hint="eastAsia" w:ascii="Times New Roman" w:hAnsi="Times New Roman" w:eastAsia="宋体" w:cs="Times New Roman"/>
                <w:color w:val="000000"/>
                <w:kern w:val="0"/>
                <w:sz w:val="18"/>
                <w:szCs w:val="18"/>
                <w:lang w:val="en-US" w:eastAsia="zh-CN" w:bidi="ar"/>
              </w:rPr>
              <w:t>NTU</w:t>
            </w:r>
          </w:p>
        </w:tc>
      </w:tr>
      <w:tr w14:paraId="6B55F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3" w:type="dxa"/>
            <w:gridSpan w:val="2"/>
            <w:tcBorders>
              <w:bottom w:val="double" w:color="auto" w:sz="4" w:space="0"/>
            </w:tcBorders>
            <w:shd w:val="clear" w:color="auto" w:fill="auto"/>
            <w:noWrap/>
            <w:vAlign w:val="center"/>
          </w:tcPr>
          <w:p w14:paraId="1D54EE4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温度</w:t>
            </w:r>
          </w:p>
        </w:tc>
        <w:tc>
          <w:tcPr>
            <w:tcW w:w="3315" w:type="dxa"/>
            <w:gridSpan w:val="4"/>
            <w:tcBorders>
              <w:bottom w:val="double" w:color="auto" w:sz="4" w:space="0"/>
            </w:tcBorders>
            <w:shd w:val="clear" w:color="auto" w:fill="auto"/>
            <w:vAlign w:val="center"/>
          </w:tcPr>
          <w:p w14:paraId="3E18A6D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600" w:type="dxa"/>
            <w:gridSpan w:val="13"/>
            <w:tcBorders>
              <w:bottom w:val="double" w:color="auto" w:sz="4" w:space="0"/>
            </w:tcBorders>
            <w:shd w:val="clear" w:color="auto" w:fill="auto"/>
            <w:vAlign w:val="center"/>
          </w:tcPr>
          <w:p w14:paraId="5AB741A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w:t>
            </w:r>
          </w:p>
        </w:tc>
      </w:tr>
      <w:tr w14:paraId="62965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48" w:type="dxa"/>
            <w:gridSpan w:val="19"/>
            <w:tcBorders>
              <w:top w:val="double" w:color="auto" w:sz="4" w:space="0"/>
            </w:tcBorders>
            <w:shd w:val="clear" w:color="auto" w:fill="auto"/>
            <w:vAlign w:val="center"/>
          </w:tcPr>
          <w:p w14:paraId="60D4E29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b/>
                <w:bCs/>
                <w:color w:val="000000"/>
                <w:kern w:val="0"/>
                <w:sz w:val="18"/>
                <w:szCs w:val="18"/>
                <w:lang w:val="en-US" w:eastAsia="zh-CN" w:bidi="ar"/>
              </w:rPr>
              <w:t>采样</w:t>
            </w:r>
            <w:r>
              <w:rPr>
                <w:rFonts w:hint="default" w:ascii="Times New Roman" w:hAnsi="Times New Roman" w:eastAsia="宋体" w:cs="Times New Roman"/>
                <w:b/>
                <w:bCs/>
                <w:color w:val="000000"/>
                <w:kern w:val="0"/>
                <w:sz w:val="18"/>
                <w:szCs w:val="18"/>
                <w:lang w:val="en-US" w:eastAsia="zh-CN" w:bidi="ar"/>
              </w:rPr>
              <w:t>过程记录</w:t>
            </w:r>
          </w:p>
        </w:tc>
      </w:tr>
      <w:tr w14:paraId="61B46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shd w:val="clear" w:color="auto" w:fill="auto"/>
            <w:vAlign w:val="center"/>
          </w:tcPr>
          <w:p w14:paraId="5B1AA01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采样井编号</w:t>
            </w:r>
          </w:p>
        </w:tc>
        <w:tc>
          <w:tcPr>
            <w:tcW w:w="1241" w:type="dxa"/>
            <w:gridSpan w:val="2"/>
            <w:shd w:val="clear" w:color="auto" w:fill="auto"/>
            <w:vAlign w:val="center"/>
          </w:tcPr>
          <w:p w14:paraId="093856C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color w:val="000000"/>
                <w:kern w:val="0"/>
                <w:sz w:val="18"/>
                <w:szCs w:val="18"/>
                <w:u w:val="none"/>
                <w:lang w:val="en-US" w:eastAsia="zh-CN" w:bidi="ar"/>
              </w:rPr>
              <w:t>采样起止时间（</w:t>
            </w:r>
            <w:r>
              <w:rPr>
                <w:rFonts w:hint="default" w:ascii="Times New Roman" w:hAnsi="Times New Roman" w:eastAsia="宋体" w:cs="Times New Roman"/>
                <w:color w:val="000000"/>
                <w:kern w:val="0"/>
                <w:sz w:val="18"/>
                <w:szCs w:val="18"/>
                <w:lang w:val="en-US" w:eastAsia="zh-CN" w:bidi="ar"/>
              </w:rPr>
              <w:t>min</w:t>
            </w:r>
            <w:r>
              <w:rPr>
                <w:rFonts w:hint="default" w:ascii="Times New Roman" w:hAnsi="Times New Roman" w:eastAsia="宋体" w:cs="Times New Roman"/>
                <w:color w:val="000000"/>
                <w:kern w:val="0"/>
                <w:sz w:val="18"/>
                <w:szCs w:val="18"/>
                <w:u w:val="none"/>
                <w:lang w:val="en-US" w:eastAsia="zh-CN" w:bidi="ar"/>
              </w:rPr>
              <w:t>）</w:t>
            </w:r>
          </w:p>
        </w:tc>
        <w:tc>
          <w:tcPr>
            <w:tcW w:w="913" w:type="dxa"/>
            <w:shd w:val="clear" w:color="auto" w:fill="auto"/>
            <w:vAlign w:val="center"/>
          </w:tcPr>
          <w:p w14:paraId="0A8E9172">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采样井是否完整</w:t>
            </w:r>
          </w:p>
        </w:tc>
        <w:tc>
          <w:tcPr>
            <w:tcW w:w="780" w:type="dxa"/>
            <w:shd w:val="clear" w:color="auto" w:fill="auto"/>
            <w:vAlign w:val="center"/>
          </w:tcPr>
          <w:p w14:paraId="5481E09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水位</w:t>
            </w:r>
          </w:p>
          <w:p w14:paraId="134138F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埋深（m）</w:t>
            </w:r>
          </w:p>
        </w:tc>
        <w:tc>
          <w:tcPr>
            <w:tcW w:w="915" w:type="dxa"/>
            <w:shd w:val="clear" w:color="auto" w:fill="auto"/>
            <w:vAlign w:val="center"/>
          </w:tcPr>
          <w:p w14:paraId="1C0EBEB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采样设备类型</w:t>
            </w:r>
          </w:p>
        </w:tc>
        <w:tc>
          <w:tcPr>
            <w:tcW w:w="930" w:type="dxa"/>
            <w:shd w:val="clear" w:color="auto" w:fill="auto"/>
            <w:vAlign w:val="center"/>
          </w:tcPr>
          <w:p w14:paraId="5E27496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u w:val="none"/>
                <w:lang w:val="en-US" w:eastAsia="zh-CN" w:bidi="ar"/>
              </w:rPr>
              <w:t>采样器放置深度（</w:t>
            </w:r>
            <w:r>
              <w:rPr>
                <w:rFonts w:hint="default" w:ascii="Times New Roman" w:hAnsi="Times New Roman" w:eastAsia="宋体" w:cs="Times New Roman"/>
                <w:color w:val="000000"/>
                <w:kern w:val="0"/>
                <w:sz w:val="18"/>
                <w:szCs w:val="18"/>
                <w:lang w:val="en-US" w:eastAsia="zh-CN" w:bidi="ar"/>
              </w:rPr>
              <w:t>m</w:t>
            </w:r>
            <w:r>
              <w:rPr>
                <w:rFonts w:hint="default" w:ascii="Times New Roman" w:hAnsi="Times New Roman" w:eastAsia="宋体" w:cs="Times New Roman"/>
                <w:color w:val="000000"/>
                <w:kern w:val="0"/>
                <w:sz w:val="18"/>
                <w:szCs w:val="18"/>
                <w:u w:val="none"/>
                <w:lang w:val="en-US" w:eastAsia="zh-CN" w:bidi="ar"/>
              </w:rPr>
              <w:t>）</w:t>
            </w:r>
          </w:p>
        </w:tc>
        <w:tc>
          <w:tcPr>
            <w:tcW w:w="1020" w:type="dxa"/>
            <w:shd w:val="clear" w:color="auto" w:fill="auto"/>
            <w:vAlign w:val="center"/>
          </w:tcPr>
          <w:p w14:paraId="58B49E0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color w:val="000000"/>
                <w:kern w:val="0"/>
                <w:sz w:val="18"/>
                <w:szCs w:val="18"/>
                <w:u w:val="none"/>
                <w:lang w:val="en-US" w:eastAsia="zh-CN" w:bidi="ar"/>
              </w:rPr>
              <w:t>采样水</w:t>
            </w:r>
          </w:p>
          <w:p w14:paraId="1617725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流速（</w:t>
            </w:r>
            <w:r>
              <w:rPr>
                <w:rFonts w:hint="default" w:ascii="Times New Roman" w:hAnsi="Times New Roman" w:eastAsia="宋体" w:cs="Times New Roman"/>
                <w:color w:val="000000"/>
                <w:kern w:val="0"/>
                <w:sz w:val="18"/>
                <w:szCs w:val="18"/>
                <w:lang w:val="en-US" w:eastAsia="zh-CN" w:bidi="ar"/>
              </w:rPr>
              <w:t>L/min</w:t>
            </w:r>
            <w:r>
              <w:rPr>
                <w:rFonts w:hint="default" w:ascii="Times New Roman" w:hAnsi="Times New Roman" w:eastAsia="宋体" w:cs="Times New Roman"/>
                <w:color w:val="000000"/>
                <w:kern w:val="0"/>
                <w:sz w:val="18"/>
                <w:szCs w:val="18"/>
                <w:u w:val="none"/>
                <w:lang w:val="en-US" w:eastAsia="zh-CN" w:bidi="ar"/>
              </w:rPr>
              <w:t>）</w:t>
            </w:r>
          </w:p>
        </w:tc>
        <w:tc>
          <w:tcPr>
            <w:tcW w:w="765" w:type="dxa"/>
            <w:gridSpan w:val="2"/>
            <w:shd w:val="clear" w:color="auto" w:fill="auto"/>
            <w:vAlign w:val="center"/>
          </w:tcPr>
          <w:p w14:paraId="5055F34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温度（</w:t>
            </w:r>
            <w:r>
              <w:rPr>
                <w:rFonts w:hint="default" w:ascii="Times New Roman" w:hAnsi="Times New Roman" w:eastAsia="宋体" w:cs="Times New Roman"/>
                <w:color w:val="000000"/>
                <w:kern w:val="0"/>
                <w:sz w:val="18"/>
                <w:szCs w:val="18"/>
                <w:lang w:val="en-US" w:eastAsia="zh-CN" w:bidi="ar"/>
              </w:rPr>
              <w:t>℃</w:t>
            </w:r>
            <w:r>
              <w:rPr>
                <w:rFonts w:hint="default" w:ascii="Times New Roman" w:hAnsi="Times New Roman" w:eastAsia="宋体" w:cs="Times New Roman"/>
                <w:color w:val="000000"/>
                <w:kern w:val="0"/>
                <w:sz w:val="18"/>
                <w:szCs w:val="18"/>
                <w:u w:val="none"/>
                <w:lang w:val="en-US" w:eastAsia="zh-CN" w:bidi="ar"/>
              </w:rPr>
              <w:t>）</w:t>
            </w:r>
          </w:p>
        </w:tc>
        <w:tc>
          <w:tcPr>
            <w:tcW w:w="630" w:type="dxa"/>
            <w:shd w:val="clear" w:color="auto" w:fill="auto"/>
            <w:vAlign w:val="center"/>
          </w:tcPr>
          <w:p w14:paraId="2CD67A5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pH</w:t>
            </w:r>
          </w:p>
        </w:tc>
        <w:tc>
          <w:tcPr>
            <w:tcW w:w="1110" w:type="dxa"/>
            <w:shd w:val="clear" w:color="auto" w:fill="auto"/>
            <w:vAlign w:val="center"/>
          </w:tcPr>
          <w:p w14:paraId="415D4DC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电导率</w:t>
            </w:r>
            <w:r>
              <w:rPr>
                <w:rFonts w:hint="default" w:ascii="Times New Roman" w:hAnsi="Times New Roman" w:eastAsia="宋体" w:cs="Times New Roman"/>
                <w:color w:val="000000"/>
                <w:kern w:val="0"/>
                <w:sz w:val="18"/>
                <w:szCs w:val="18"/>
                <w:lang w:val="en-US" w:eastAsia="zh-CN" w:bidi="ar"/>
              </w:rPr>
              <w:br w:type="textWrapping"/>
            </w:r>
            <w:r>
              <w:rPr>
                <w:rFonts w:hint="default" w:ascii="Times New Roman" w:hAnsi="Times New Roman" w:eastAsia="宋体" w:cs="Times New Roman"/>
                <w:color w:val="000000"/>
                <w:kern w:val="0"/>
                <w:sz w:val="18"/>
                <w:szCs w:val="18"/>
                <w:u w:val="none"/>
                <w:lang w:val="en-US" w:eastAsia="zh-CN" w:bidi="ar"/>
              </w:rPr>
              <w:t>（</w:t>
            </w:r>
            <w:r>
              <w:rPr>
                <w:rFonts w:hint="default" w:ascii="Times New Roman" w:hAnsi="Times New Roman" w:eastAsia="宋体" w:cs="Times New Roman"/>
                <w:color w:val="000000"/>
                <w:kern w:val="0"/>
                <w:sz w:val="18"/>
                <w:szCs w:val="18"/>
                <w:lang w:val="en-US" w:eastAsia="zh-CN" w:bidi="ar"/>
              </w:rPr>
              <w:t>μS/cm</w:t>
            </w:r>
            <w:r>
              <w:rPr>
                <w:rFonts w:hint="default" w:ascii="Times New Roman" w:hAnsi="Times New Roman" w:eastAsia="宋体" w:cs="Times New Roman"/>
                <w:color w:val="000000"/>
                <w:kern w:val="0"/>
                <w:sz w:val="18"/>
                <w:szCs w:val="18"/>
                <w:u w:val="none"/>
                <w:lang w:val="en-US" w:eastAsia="zh-CN" w:bidi="ar"/>
              </w:rPr>
              <w:t>）</w:t>
            </w:r>
          </w:p>
        </w:tc>
        <w:tc>
          <w:tcPr>
            <w:tcW w:w="1005" w:type="dxa"/>
            <w:gridSpan w:val="2"/>
            <w:shd w:val="clear" w:color="auto" w:fill="auto"/>
            <w:vAlign w:val="center"/>
          </w:tcPr>
          <w:p w14:paraId="52E1E511">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溶解氧（</w:t>
            </w:r>
            <w:r>
              <w:rPr>
                <w:rFonts w:hint="default" w:ascii="Times New Roman" w:hAnsi="Times New Roman" w:eastAsia="宋体" w:cs="Times New Roman"/>
                <w:color w:val="000000"/>
                <w:kern w:val="0"/>
                <w:sz w:val="18"/>
                <w:szCs w:val="18"/>
                <w:lang w:val="en-US" w:eastAsia="zh-CN" w:bidi="ar"/>
              </w:rPr>
              <w:t>mg/L</w:t>
            </w:r>
            <w:r>
              <w:rPr>
                <w:rFonts w:hint="default" w:ascii="Times New Roman" w:hAnsi="Times New Roman" w:eastAsia="宋体" w:cs="Times New Roman"/>
                <w:color w:val="000000"/>
                <w:kern w:val="0"/>
                <w:sz w:val="18"/>
                <w:szCs w:val="18"/>
                <w:u w:val="none"/>
                <w:lang w:val="en-US" w:eastAsia="zh-CN" w:bidi="ar"/>
              </w:rPr>
              <w:t>）</w:t>
            </w:r>
          </w:p>
        </w:tc>
        <w:tc>
          <w:tcPr>
            <w:tcW w:w="915" w:type="dxa"/>
            <w:gridSpan w:val="2"/>
            <w:shd w:val="clear" w:color="auto" w:fill="auto"/>
            <w:vAlign w:val="center"/>
          </w:tcPr>
          <w:p w14:paraId="22DB90D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u w:val="none"/>
                <w:lang w:val="en-US" w:eastAsia="zh-CN" w:bidi="ar"/>
              </w:rPr>
              <w:t>氧化还原电位（</w:t>
            </w:r>
            <w:r>
              <w:rPr>
                <w:rFonts w:hint="default" w:ascii="Times New Roman" w:hAnsi="Times New Roman" w:eastAsia="宋体" w:cs="Times New Roman"/>
                <w:color w:val="000000"/>
                <w:kern w:val="0"/>
                <w:sz w:val="18"/>
                <w:szCs w:val="18"/>
                <w:lang w:val="en-US" w:eastAsia="zh-CN" w:bidi="ar"/>
              </w:rPr>
              <w:t>mV</w:t>
            </w:r>
            <w:r>
              <w:rPr>
                <w:rFonts w:hint="default" w:ascii="Times New Roman" w:hAnsi="Times New Roman" w:eastAsia="宋体" w:cs="Times New Roman"/>
                <w:color w:val="000000"/>
                <w:kern w:val="0"/>
                <w:sz w:val="18"/>
                <w:szCs w:val="18"/>
                <w:u w:val="none"/>
                <w:lang w:val="en-US" w:eastAsia="zh-CN" w:bidi="ar"/>
              </w:rPr>
              <w:t>）</w:t>
            </w:r>
          </w:p>
        </w:tc>
        <w:tc>
          <w:tcPr>
            <w:tcW w:w="1040" w:type="dxa"/>
            <w:gridSpan w:val="2"/>
            <w:shd w:val="clear" w:color="auto" w:fill="auto"/>
            <w:vAlign w:val="center"/>
          </w:tcPr>
          <w:p w14:paraId="123D4B8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u w:val="none"/>
                <w:lang w:val="en-US" w:eastAsia="zh-CN" w:bidi="ar"/>
              </w:rPr>
              <w:t>浊度（</w:t>
            </w:r>
            <w:r>
              <w:rPr>
                <w:rFonts w:hint="default" w:ascii="Times New Roman" w:hAnsi="Times New Roman" w:eastAsia="宋体" w:cs="Times New Roman"/>
                <w:color w:val="000000"/>
                <w:kern w:val="0"/>
                <w:sz w:val="18"/>
                <w:szCs w:val="18"/>
                <w:lang w:val="en-US" w:eastAsia="zh-CN" w:bidi="ar"/>
              </w:rPr>
              <w:t>NTU</w:t>
            </w:r>
            <w:r>
              <w:rPr>
                <w:rFonts w:hint="default" w:ascii="Times New Roman" w:hAnsi="Times New Roman" w:eastAsia="宋体" w:cs="Times New Roman"/>
                <w:color w:val="000000"/>
                <w:kern w:val="0"/>
                <w:sz w:val="18"/>
                <w:szCs w:val="18"/>
                <w:u w:val="none"/>
                <w:lang w:val="en-US" w:eastAsia="zh-CN" w:bidi="ar"/>
              </w:rPr>
              <w:t>）</w:t>
            </w:r>
          </w:p>
        </w:tc>
        <w:tc>
          <w:tcPr>
            <w:tcW w:w="2185" w:type="dxa"/>
            <w:shd w:val="clear" w:color="auto" w:fill="auto"/>
            <w:vAlign w:val="center"/>
          </w:tcPr>
          <w:p w14:paraId="4AD9049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u w:val="none"/>
                <w:lang w:val="en-US" w:eastAsia="zh-CN" w:bidi="ar"/>
              </w:rPr>
              <w:t>地下水性状（颜色、气味、杂质，是否存在</w:t>
            </w:r>
            <w:r>
              <w:rPr>
                <w:rFonts w:hint="default" w:ascii="Times New Roman" w:hAnsi="Times New Roman" w:eastAsia="宋体" w:cs="Times New Roman"/>
                <w:color w:val="000000"/>
                <w:kern w:val="0"/>
                <w:sz w:val="18"/>
                <w:szCs w:val="18"/>
                <w:lang w:val="en-US" w:eastAsia="zh-CN" w:bidi="ar"/>
              </w:rPr>
              <w:t>NAPLs</w:t>
            </w:r>
            <w:r>
              <w:rPr>
                <w:rFonts w:hint="default" w:ascii="Times New Roman" w:hAnsi="Times New Roman" w:eastAsia="宋体" w:cs="Times New Roman"/>
                <w:color w:val="000000"/>
                <w:kern w:val="0"/>
                <w:sz w:val="18"/>
                <w:szCs w:val="18"/>
                <w:u w:val="none"/>
                <w:lang w:val="en-US" w:eastAsia="zh-CN" w:bidi="ar"/>
              </w:rPr>
              <w:t>等）</w:t>
            </w:r>
          </w:p>
        </w:tc>
      </w:tr>
      <w:tr w14:paraId="7F967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dxa"/>
            <w:shd w:val="clear" w:color="auto" w:fill="auto"/>
            <w:vAlign w:val="center"/>
          </w:tcPr>
          <w:p w14:paraId="4BA6D06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p>
        </w:tc>
        <w:tc>
          <w:tcPr>
            <w:tcW w:w="1241" w:type="dxa"/>
            <w:gridSpan w:val="2"/>
            <w:shd w:val="clear" w:color="auto" w:fill="auto"/>
            <w:vAlign w:val="center"/>
          </w:tcPr>
          <w:p w14:paraId="46ADF11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3" w:type="dxa"/>
            <w:shd w:val="clear" w:color="auto" w:fill="auto"/>
            <w:vAlign w:val="center"/>
          </w:tcPr>
          <w:p w14:paraId="5B16AD1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80" w:type="dxa"/>
            <w:shd w:val="clear" w:color="auto" w:fill="auto"/>
            <w:vAlign w:val="center"/>
          </w:tcPr>
          <w:p w14:paraId="16CB32E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shd w:val="clear" w:color="auto" w:fill="auto"/>
            <w:vAlign w:val="center"/>
          </w:tcPr>
          <w:p w14:paraId="7FFE70B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30" w:type="dxa"/>
            <w:shd w:val="clear" w:color="auto" w:fill="auto"/>
            <w:vAlign w:val="center"/>
          </w:tcPr>
          <w:p w14:paraId="7A5DDE4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20" w:type="dxa"/>
            <w:shd w:val="clear" w:color="auto" w:fill="auto"/>
            <w:vAlign w:val="center"/>
          </w:tcPr>
          <w:p w14:paraId="5372BEC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65" w:type="dxa"/>
            <w:gridSpan w:val="2"/>
            <w:shd w:val="clear" w:color="auto" w:fill="auto"/>
            <w:vAlign w:val="center"/>
          </w:tcPr>
          <w:p w14:paraId="025D221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30" w:type="dxa"/>
            <w:shd w:val="clear" w:color="auto" w:fill="auto"/>
            <w:vAlign w:val="center"/>
          </w:tcPr>
          <w:p w14:paraId="1ED223C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110" w:type="dxa"/>
            <w:shd w:val="clear" w:color="auto" w:fill="auto"/>
            <w:vAlign w:val="center"/>
          </w:tcPr>
          <w:p w14:paraId="39B89A4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05" w:type="dxa"/>
            <w:gridSpan w:val="2"/>
            <w:shd w:val="clear" w:color="auto" w:fill="auto"/>
            <w:vAlign w:val="center"/>
          </w:tcPr>
          <w:p w14:paraId="50F572F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gridSpan w:val="2"/>
            <w:shd w:val="clear" w:color="auto" w:fill="auto"/>
            <w:vAlign w:val="center"/>
          </w:tcPr>
          <w:p w14:paraId="775BE8F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40" w:type="dxa"/>
            <w:gridSpan w:val="2"/>
            <w:shd w:val="clear" w:color="auto" w:fill="auto"/>
            <w:vAlign w:val="center"/>
          </w:tcPr>
          <w:p w14:paraId="4AAE50D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185" w:type="dxa"/>
            <w:shd w:val="clear" w:color="auto" w:fill="auto"/>
            <w:vAlign w:val="center"/>
          </w:tcPr>
          <w:p w14:paraId="7F0AF29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r>
      <w:tr w14:paraId="53591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dxa"/>
            <w:shd w:val="clear" w:color="auto" w:fill="auto"/>
            <w:vAlign w:val="center"/>
          </w:tcPr>
          <w:p w14:paraId="0EB9EC9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p>
        </w:tc>
        <w:tc>
          <w:tcPr>
            <w:tcW w:w="1241" w:type="dxa"/>
            <w:gridSpan w:val="2"/>
            <w:shd w:val="clear" w:color="auto" w:fill="auto"/>
            <w:vAlign w:val="center"/>
          </w:tcPr>
          <w:p w14:paraId="6826048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3" w:type="dxa"/>
            <w:shd w:val="clear" w:color="auto" w:fill="auto"/>
            <w:vAlign w:val="center"/>
          </w:tcPr>
          <w:p w14:paraId="741166E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80" w:type="dxa"/>
            <w:shd w:val="clear" w:color="auto" w:fill="auto"/>
            <w:vAlign w:val="center"/>
          </w:tcPr>
          <w:p w14:paraId="17C7A78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shd w:val="clear" w:color="auto" w:fill="auto"/>
            <w:vAlign w:val="center"/>
          </w:tcPr>
          <w:p w14:paraId="5233FFA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30" w:type="dxa"/>
            <w:shd w:val="clear" w:color="auto" w:fill="auto"/>
            <w:vAlign w:val="center"/>
          </w:tcPr>
          <w:p w14:paraId="70E3EC7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20" w:type="dxa"/>
            <w:shd w:val="clear" w:color="auto" w:fill="auto"/>
            <w:vAlign w:val="center"/>
          </w:tcPr>
          <w:p w14:paraId="6DC0012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65" w:type="dxa"/>
            <w:gridSpan w:val="2"/>
            <w:shd w:val="clear" w:color="auto" w:fill="auto"/>
            <w:vAlign w:val="center"/>
          </w:tcPr>
          <w:p w14:paraId="29D5026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30" w:type="dxa"/>
            <w:shd w:val="clear" w:color="auto" w:fill="auto"/>
            <w:vAlign w:val="center"/>
          </w:tcPr>
          <w:p w14:paraId="575C299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110" w:type="dxa"/>
            <w:shd w:val="clear" w:color="auto" w:fill="auto"/>
            <w:vAlign w:val="center"/>
          </w:tcPr>
          <w:p w14:paraId="7E8D2FE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05" w:type="dxa"/>
            <w:gridSpan w:val="2"/>
            <w:shd w:val="clear" w:color="auto" w:fill="auto"/>
            <w:vAlign w:val="center"/>
          </w:tcPr>
          <w:p w14:paraId="78BB78A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gridSpan w:val="2"/>
            <w:shd w:val="clear" w:color="auto" w:fill="auto"/>
            <w:vAlign w:val="center"/>
          </w:tcPr>
          <w:p w14:paraId="4963D45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40" w:type="dxa"/>
            <w:gridSpan w:val="2"/>
            <w:shd w:val="clear" w:color="auto" w:fill="auto"/>
            <w:vAlign w:val="center"/>
          </w:tcPr>
          <w:p w14:paraId="28B8F1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185" w:type="dxa"/>
            <w:shd w:val="clear" w:color="auto" w:fill="auto"/>
            <w:vAlign w:val="center"/>
          </w:tcPr>
          <w:p w14:paraId="68AFA60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r>
      <w:tr w14:paraId="0C24F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dxa"/>
            <w:shd w:val="clear" w:color="auto" w:fill="auto"/>
            <w:vAlign w:val="center"/>
          </w:tcPr>
          <w:p w14:paraId="6876590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p>
        </w:tc>
        <w:tc>
          <w:tcPr>
            <w:tcW w:w="1241" w:type="dxa"/>
            <w:gridSpan w:val="2"/>
            <w:shd w:val="clear" w:color="auto" w:fill="auto"/>
            <w:vAlign w:val="center"/>
          </w:tcPr>
          <w:p w14:paraId="27EAD9F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3" w:type="dxa"/>
            <w:shd w:val="clear" w:color="auto" w:fill="auto"/>
            <w:vAlign w:val="center"/>
          </w:tcPr>
          <w:p w14:paraId="7EFDED1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80" w:type="dxa"/>
            <w:shd w:val="clear" w:color="auto" w:fill="auto"/>
            <w:vAlign w:val="center"/>
          </w:tcPr>
          <w:p w14:paraId="5366474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shd w:val="clear" w:color="auto" w:fill="auto"/>
            <w:vAlign w:val="center"/>
          </w:tcPr>
          <w:p w14:paraId="258DC1F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30" w:type="dxa"/>
            <w:shd w:val="clear" w:color="auto" w:fill="auto"/>
            <w:vAlign w:val="center"/>
          </w:tcPr>
          <w:p w14:paraId="3891A43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20" w:type="dxa"/>
            <w:shd w:val="clear" w:color="auto" w:fill="auto"/>
            <w:vAlign w:val="center"/>
          </w:tcPr>
          <w:p w14:paraId="4F8A32D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65" w:type="dxa"/>
            <w:gridSpan w:val="2"/>
            <w:shd w:val="clear" w:color="auto" w:fill="auto"/>
            <w:vAlign w:val="center"/>
          </w:tcPr>
          <w:p w14:paraId="640DC4A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30" w:type="dxa"/>
            <w:shd w:val="clear" w:color="auto" w:fill="auto"/>
            <w:vAlign w:val="center"/>
          </w:tcPr>
          <w:p w14:paraId="484B94B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110" w:type="dxa"/>
            <w:shd w:val="clear" w:color="auto" w:fill="auto"/>
            <w:vAlign w:val="center"/>
          </w:tcPr>
          <w:p w14:paraId="321D276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05" w:type="dxa"/>
            <w:gridSpan w:val="2"/>
            <w:shd w:val="clear" w:color="auto" w:fill="auto"/>
            <w:vAlign w:val="center"/>
          </w:tcPr>
          <w:p w14:paraId="6123C45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gridSpan w:val="2"/>
            <w:shd w:val="clear" w:color="auto" w:fill="auto"/>
            <w:vAlign w:val="center"/>
          </w:tcPr>
          <w:p w14:paraId="4D92AB1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40" w:type="dxa"/>
            <w:gridSpan w:val="2"/>
            <w:shd w:val="clear" w:color="auto" w:fill="auto"/>
            <w:vAlign w:val="center"/>
          </w:tcPr>
          <w:p w14:paraId="1297115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185" w:type="dxa"/>
            <w:shd w:val="clear" w:color="auto" w:fill="auto"/>
            <w:vAlign w:val="center"/>
          </w:tcPr>
          <w:p w14:paraId="2DD4531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r>
      <w:tr w14:paraId="75CA8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dxa"/>
            <w:shd w:val="clear" w:color="auto" w:fill="auto"/>
            <w:vAlign w:val="center"/>
          </w:tcPr>
          <w:p w14:paraId="2A0EDD3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p>
        </w:tc>
        <w:tc>
          <w:tcPr>
            <w:tcW w:w="1241" w:type="dxa"/>
            <w:gridSpan w:val="2"/>
            <w:shd w:val="clear" w:color="auto" w:fill="auto"/>
            <w:vAlign w:val="center"/>
          </w:tcPr>
          <w:p w14:paraId="42B057F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3" w:type="dxa"/>
            <w:shd w:val="clear" w:color="auto" w:fill="auto"/>
            <w:vAlign w:val="center"/>
          </w:tcPr>
          <w:p w14:paraId="4B119EF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80" w:type="dxa"/>
            <w:shd w:val="clear" w:color="auto" w:fill="auto"/>
            <w:vAlign w:val="center"/>
          </w:tcPr>
          <w:p w14:paraId="5424B19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shd w:val="clear" w:color="auto" w:fill="auto"/>
            <w:vAlign w:val="center"/>
          </w:tcPr>
          <w:p w14:paraId="0B75FFC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30" w:type="dxa"/>
            <w:shd w:val="clear" w:color="auto" w:fill="auto"/>
            <w:vAlign w:val="center"/>
          </w:tcPr>
          <w:p w14:paraId="7CA45D8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20" w:type="dxa"/>
            <w:shd w:val="clear" w:color="auto" w:fill="auto"/>
            <w:vAlign w:val="center"/>
          </w:tcPr>
          <w:p w14:paraId="56E6C10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65" w:type="dxa"/>
            <w:gridSpan w:val="2"/>
            <w:shd w:val="clear" w:color="auto" w:fill="auto"/>
            <w:vAlign w:val="center"/>
          </w:tcPr>
          <w:p w14:paraId="269DE1C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30" w:type="dxa"/>
            <w:shd w:val="clear" w:color="auto" w:fill="auto"/>
            <w:vAlign w:val="center"/>
          </w:tcPr>
          <w:p w14:paraId="3498E68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110" w:type="dxa"/>
            <w:shd w:val="clear" w:color="auto" w:fill="auto"/>
            <w:vAlign w:val="center"/>
          </w:tcPr>
          <w:p w14:paraId="3368F8E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05" w:type="dxa"/>
            <w:gridSpan w:val="2"/>
            <w:shd w:val="clear" w:color="auto" w:fill="auto"/>
            <w:vAlign w:val="center"/>
          </w:tcPr>
          <w:p w14:paraId="0EC7F70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gridSpan w:val="2"/>
            <w:shd w:val="clear" w:color="auto" w:fill="auto"/>
            <w:vAlign w:val="center"/>
          </w:tcPr>
          <w:p w14:paraId="1332CFF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40" w:type="dxa"/>
            <w:gridSpan w:val="2"/>
            <w:shd w:val="clear" w:color="auto" w:fill="auto"/>
            <w:vAlign w:val="center"/>
          </w:tcPr>
          <w:p w14:paraId="0D40A20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185" w:type="dxa"/>
            <w:shd w:val="clear" w:color="auto" w:fill="auto"/>
            <w:vAlign w:val="center"/>
          </w:tcPr>
          <w:p w14:paraId="52C3735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r>
      <w:tr w14:paraId="73573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dxa"/>
            <w:shd w:val="clear" w:color="auto" w:fill="auto"/>
            <w:vAlign w:val="center"/>
          </w:tcPr>
          <w:p w14:paraId="0FFBEFD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p>
        </w:tc>
        <w:tc>
          <w:tcPr>
            <w:tcW w:w="1241" w:type="dxa"/>
            <w:gridSpan w:val="2"/>
            <w:shd w:val="clear" w:color="auto" w:fill="auto"/>
            <w:vAlign w:val="center"/>
          </w:tcPr>
          <w:p w14:paraId="300B18C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3" w:type="dxa"/>
            <w:shd w:val="clear" w:color="auto" w:fill="auto"/>
            <w:vAlign w:val="center"/>
          </w:tcPr>
          <w:p w14:paraId="7DEFF32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80" w:type="dxa"/>
            <w:shd w:val="clear" w:color="auto" w:fill="auto"/>
            <w:vAlign w:val="center"/>
          </w:tcPr>
          <w:p w14:paraId="323EDDC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shd w:val="clear" w:color="auto" w:fill="auto"/>
            <w:vAlign w:val="center"/>
          </w:tcPr>
          <w:p w14:paraId="4163710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30" w:type="dxa"/>
            <w:shd w:val="clear" w:color="auto" w:fill="auto"/>
            <w:vAlign w:val="center"/>
          </w:tcPr>
          <w:p w14:paraId="0A9D9EB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20" w:type="dxa"/>
            <w:shd w:val="clear" w:color="auto" w:fill="auto"/>
            <w:vAlign w:val="center"/>
          </w:tcPr>
          <w:p w14:paraId="04670A0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65" w:type="dxa"/>
            <w:gridSpan w:val="2"/>
            <w:shd w:val="clear" w:color="auto" w:fill="auto"/>
            <w:vAlign w:val="center"/>
          </w:tcPr>
          <w:p w14:paraId="7BBB01D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30" w:type="dxa"/>
            <w:shd w:val="clear" w:color="auto" w:fill="auto"/>
            <w:vAlign w:val="center"/>
          </w:tcPr>
          <w:p w14:paraId="3175340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110" w:type="dxa"/>
            <w:shd w:val="clear" w:color="auto" w:fill="auto"/>
            <w:vAlign w:val="center"/>
          </w:tcPr>
          <w:p w14:paraId="30778C6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05" w:type="dxa"/>
            <w:gridSpan w:val="2"/>
            <w:shd w:val="clear" w:color="auto" w:fill="auto"/>
            <w:vAlign w:val="center"/>
          </w:tcPr>
          <w:p w14:paraId="4231AA0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gridSpan w:val="2"/>
            <w:shd w:val="clear" w:color="auto" w:fill="auto"/>
            <w:vAlign w:val="center"/>
          </w:tcPr>
          <w:p w14:paraId="20C07C0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40" w:type="dxa"/>
            <w:gridSpan w:val="2"/>
            <w:shd w:val="clear" w:color="auto" w:fill="auto"/>
            <w:vAlign w:val="center"/>
          </w:tcPr>
          <w:p w14:paraId="730851B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185" w:type="dxa"/>
            <w:shd w:val="clear" w:color="auto" w:fill="auto"/>
            <w:vAlign w:val="center"/>
          </w:tcPr>
          <w:p w14:paraId="02E58CD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r>
      <w:tr w14:paraId="630E0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dxa"/>
            <w:shd w:val="clear" w:color="auto" w:fill="auto"/>
            <w:noWrap/>
            <w:vAlign w:val="center"/>
          </w:tcPr>
          <w:p w14:paraId="713343B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p>
        </w:tc>
        <w:tc>
          <w:tcPr>
            <w:tcW w:w="1241" w:type="dxa"/>
            <w:gridSpan w:val="2"/>
            <w:shd w:val="clear" w:color="auto" w:fill="auto"/>
            <w:vAlign w:val="center"/>
          </w:tcPr>
          <w:p w14:paraId="7EB0D30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3" w:type="dxa"/>
            <w:shd w:val="clear" w:color="auto" w:fill="auto"/>
            <w:vAlign w:val="center"/>
          </w:tcPr>
          <w:p w14:paraId="6C4D834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80" w:type="dxa"/>
            <w:shd w:val="clear" w:color="auto" w:fill="auto"/>
            <w:vAlign w:val="center"/>
          </w:tcPr>
          <w:p w14:paraId="165ABE8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shd w:val="clear" w:color="auto" w:fill="auto"/>
            <w:vAlign w:val="center"/>
          </w:tcPr>
          <w:p w14:paraId="468DCFC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30" w:type="dxa"/>
            <w:shd w:val="clear" w:color="auto" w:fill="auto"/>
            <w:vAlign w:val="center"/>
          </w:tcPr>
          <w:p w14:paraId="21712ED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20" w:type="dxa"/>
            <w:shd w:val="clear" w:color="auto" w:fill="auto"/>
            <w:vAlign w:val="center"/>
          </w:tcPr>
          <w:p w14:paraId="7F4DF21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65" w:type="dxa"/>
            <w:gridSpan w:val="2"/>
            <w:shd w:val="clear" w:color="auto" w:fill="auto"/>
            <w:vAlign w:val="center"/>
          </w:tcPr>
          <w:p w14:paraId="625AD8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30" w:type="dxa"/>
            <w:shd w:val="clear" w:color="auto" w:fill="auto"/>
            <w:vAlign w:val="center"/>
          </w:tcPr>
          <w:p w14:paraId="6D59317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110" w:type="dxa"/>
            <w:shd w:val="clear" w:color="auto" w:fill="auto"/>
            <w:vAlign w:val="center"/>
          </w:tcPr>
          <w:p w14:paraId="24C0061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05" w:type="dxa"/>
            <w:gridSpan w:val="2"/>
            <w:shd w:val="clear" w:color="auto" w:fill="auto"/>
            <w:vAlign w:val="center"/>
          </w:tcPr>
          <w:p w14:paraId="6935663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gridSpan w:val="2"/>
            <w:shd w:val="clear" w:color="auto" w:fill="auto"/>
            <w:vAlign w:val="center"/>
          </w:tcPr>
          <w:p w14:paraId="79E636D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40" w:type="dxa"/>
            <w:gridSpan w:val="2"/>
            <w:shd w:val="clear" w:color="auto" w:fill="auto"/>
            <w:vAlign w:val="center"/>
          </w:tcPr>
          <w:p w14:paraId="2F6F0ED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185" w:type="dxa"/>
            <w:shd w:val="clear" w:color="auto" w:fill="auto"/>
            <w:vAlign w:val="center"/>
          </w:tcPr>
          <w:p w14:paraId="56AE0F2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r>
      <w:tr w14:paraId="45FB5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dxa"/>
            <w:shd w:val="clear" w:color="auto" w:fill="auto"/>
            <w:vAlign w:val="center"/>
          </w:tcPr>
          <w:p w14:paraId="0225DE33">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p>
        </w:tc>
        <w:tc>
          <w:tcPr>
            <w:tcW w:w="1241" w:type="dxa"/>
            <w:gridSpan w:val="2"/>
            <w:shd w:val="clear" w:color="auto" w:fill="auto"/>
            <w:vAlign w:val="center"/>
          </w:tcPr>
          <w:p w14:paraId="7094C3D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3" w:type="dxa"/>
            <w:shd w:val="clear" w:color="auto" w:fill="auto"/>
            <w:vAlign w:val="center"/>
          </w:tcPr>
          <w:p w14:paraId="603BE5E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80" w:type="dxa"/>
            <w:shd w:val="clear" w:color="auto" w:fill="auto"/>
            <w:vAlign w:val="center"/>
          </w:tcPr>
          <w:p w14:paraId="7B8DD99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shd w:val="clear" w:color="auto" w:fill="auto"/>
            <w:vAlign w:val="center"/>
          </w:tcPr>
          <w:p w14:paraId="7EE65BC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30" w:type="dxa"/>
            <w:shd w:val="clear" w:color="auto" w:fill="auto"/>
            <w:vAlign w:val="center"/>
          </w:tcPr>
          <w:p w14:paraId="1A7196D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20" w:type="dxa"/>
            <w:shd w:val="clear" w:color="auto" w:fill="auto"/>
            <w:vAlign w:val="center"/>
          </w:tcPr>
          <w:p w14:paraId="2C97D71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65" w:type="dxa"/>
            <w:gridSpan w:val="2"/>
            <w:shd w:val="clear" w:color="auto" w:fill="auto"/>
            <w:vAlign w:val="center"/>
          </w:tcPr>
          <w:p w14:paraId="4E38F9F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30" w:type="dxa"/>
            <w:shd w:val="clear" w:color="auto" w:fill="auto"/>
            <w:vAlign w:val="center"/>
          </w:tcPr>
          <w:p w14:paraId="58F2B6E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110" w:type="dxa"/>
            <w:shd w:val="clear" w:color="auto" w:fill="auto"/>
            <w:vAlign w:val="center"/>
          </w:tcPr>
          <w:p w14:paraId="5CD9415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05" w:type="dxa"/>
            <w:gridSpan w:val="2"/>
            <w:shd w:val="clear" w:color="auto" w:fill="auto"/>
            <w:vAlign w:val="center"/>
          </w:tcPr>
          <w:p w14:paraId="50FBCCD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gridSpan w:val="2"/>
            <w:shd w:val="clear" w:color="auto" w:fill="auto"/>
            <w:vAlign w:val="center"/>
          </w:tcPr>
          <w:p w14:paraId="61F5CA2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40" w:type="dxa"/>
            <w:gridSpan w:val="2"/>
            <w:shd w:val="clear" w:color="auto" w:fill="auto"/>
            <w:vAlign w:val="center"/>
          </w:tcPr>
          <w:p w14:paraId="0621964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185" w:type="dxa"/>
            <w:shd w:val="clear" w:color="auto" w:fill="auto"/>
            <w:vAlign w:val="center"/>
          </w:tcPr>
          <w:p w14:paraId="7ED552D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r>
      <w:tr w14:paraId="61DAE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dxa"/>
            <w:tcBorders>
              <w:bottom w:val="double" w:color="auto" w:sz="4" w:space="0"/>
            </w:tcBorders>
            <w:shd w:val="clear" w:color="auto" w:fill="auto"/>
            <w:vAlign w:val="center"/>
          </w:tcPr>
          <w:p w14:paraId="2DAE6F1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zh-CN"/>
              </w:rPr>
            </w:pPr>
          </w:p>
        </w:tc>
        <w:tc>
          <w:tcPr>
            <w:tcW w:w="1241" w:type="dxa"/>
            <w:gridSpan w:val="2"/>
            <w:tcBorders>
              <w:bottom w:val="double" w:color="auto" w:sz="4" w:space="0"/>
            </w:tcBorders>
            <w:shd w:val="clear" w:color="auto" w:fill="auto"/>
            <w:vAlign w:val="center"/>
          </w:tcPr>
          <w:p w14:paraId="4783462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3" w:type="dxa"/>
            <w:tcBorders>
              <w:bottom w:val="double" w:color="auto" w:sz="4" w:space="0"/>
            </w:tcBorders>
            <w:shd w:val="clear" w:color="auto" w:fill="auto"/>
            <w:vAlign w:val="center"/>
          </w:tcPr>
          <w:p w14:paraId="1D9F262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80" w:type="dxa"/>
            <w:tcBorders>
              <w:bottom w:val="double" w:color="auto" w:sz="4" w:space="0"/>
            </w:tcBorders>
            <w:shd w:val="clear" w:color="auto" w:fill="auto"/>
            <w:vAlign w:val="center"/>
          </w:tcPr>
          <w:p w14:paraId="6465A40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tcBorders>
              <w:bottom w:val="double" w:color="auto" w:sz="4" w:space="0"/>
            </w:tcBorders>
            <w:shd w:val="clear" w:color="auto" w:fill="auto"/>
            <w:vAlign w:val="center"/>
          </w:tcPr>
          <w:p w14:paraId="0DB06D2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30" w:type="dxa"/>
            <w:tcBorders>
              <w:bottom w:val="double" w:color="auto" w:sz="4" w:space="0"/>
            </w:tcBorders>
            <w:shd w:val="clear" w:color="auto" w:fill="auto"/>
            <w:vAlign w:val="center"/>
          </w:tcPr>
          <w:p w14:paraId="6A8F8EA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20" w:type="dxa"/>
            <w:tcBorders>
              <w:bottom w:val="double" w:color="auto" w:sz="4" w:space="0"/>
            </w:tcBorders>
            <w:shd w:val="clear" w:color="auto" w:fill="auto"/>
            <w:vAlign w:val="center"/>
          </w:tcPr>
          <w:p w14:paraId="6D208C0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765" w:type="dxa"/>
            <w:gridSpan w:val="2"/>
            <w:tcBorders>
              <w:bottom w:val="double" w:color="auto" w:sz="4" w:space="0"/>
            </w:tcBorders>
            <w:shd w:val="clear" w:color="auto" w:fill="auto"/>
            <w:vAlign w:val="center"/>
          </w:tcPr>
          <w:p w14:paraId="577C9AA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630" w:type="dxa"/>
            <w:tcBorders>
              <w:bottom w:val="double" w:color="auto" w:sz="4" w:space="0"/>
            </w:tcBorders>
            <w:shd w:val="clear" w:color="auto" w:fill="auto"/>
            <w:vAlign w:val="center"/>
          </w:tcPr>
          <w:p w14:paraId="2C97426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110" w:type="dxa"/>
            <w:tcBorders>
              <w:bottom w:val="double" w:color="auto" w:sz="4" w:space="0"/>
            </w:tcBorders>
            <w:shd w:val="clear" w:color="auto" w:fill="auto"/>
            <w:vAlign w:val="center"/>
          </w:tcPr>
          <w:p w14:paraId="68A1CA2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05" w:type="dxa"/>
            <w:gridSpan w:val="2"/>
            <w:tcBorders>
              <w:bottom w:val="double" w:color="auto" w:sz="4" w:space="0"/>
            </w:tcBorders>
            <w:shd w:val="clear" w:color="auto" w:fill="auto"/>
            <w:vAlign w:val="center"/>
          </w:tcPr>
          <w:p w14:paraId="27CE834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915" w:type="dxa"/>
            <w:gridSpan w:val="2"/>
            <w:tcBorders>
              <w:bottom w:val="double" w:color="auto" w:sz="4" w:space="0"/>
            </w:tcBorders>
            <w:shd w:val="clear" w:color="auto" w:fill="auto"/>
            <w:vAlign w:val="center"/>
          </w:tcPr>
          <w:p w14:paraId="168C8A3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1040" w:type="dxa"/>
            <w:gridSpan w:val="2"/>
            <w:tcBorders>
              <w:bottom w:val="double" w:color="auto" w:sz="4" w:space="0"/>
            </w:tcBorders>
            <w:shd w:val="clear" w:color="auto" w:fill="auto"/>
            <w:vAlign w:val="center"/>
          </w:tcPr>
          <w:p w14:paraId="0280B5D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c>
          <w:tcPr>
            <w:tcW w:w="2185" w:type="dxa"/>
            <w:tcBorders>
              <w:bottom w:val="double" w:color="auto" w:sz="4" w:space="0"/>
            </w:tcBorders>
            <w:shd w:val="clear" w:color="auto" w:fill="auto"/>
            <w:vAlign w:val="center"/>
          </w:tcPr>
          <w:p w14:paraId="2EF3393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p>
        </w:tc>
      </w:tr>
      <w:tr w14:paraId="375B4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4" w:type="dxa"/>
            <w:gridSpan w:val="9"/>
            <w:tcBorders>
              <w:top w:val="double" w:color="auto" w:sz="4" w:space="0"/>
              <w:tl2br w:val="nil"/>
              <w:tr2bl w:val="nil"/>
            </w:tcBorders>
            <w:shd w:val="clear" w:color="auto" w:fill="auto"/>
            <w:vAlign w:val="center"/>
          </w:tcPr>
          <w:p w14:paraId="3F93E51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bidi="ar"/>
              </w:rPr>
              <w:t>采样</w:t>
            </w:r>
            <w:r>
              <w:rPr>
                <w:rFonts w:hint="default" w:ascii="Times New Roman" w:hAnsi="Times New Roman" w:eastAsia="宋体" w:cs="Times New Roman"/>
                <w:color w:val="000000"/>
                <w:kern w:val="0"/>
                <w:sz w:val="18"/>
                <w:szCs w:val="18"/>
                <w:lang w:val="en-US" w:eastAsia="zh-CN" w:bidi="ar"/>
              </w:rPr>
              <w:t>单位</w:t>
            </w:r>
            <w:r>
              <w:rPr>
                <w:rFonts w:hint="eastAsia" w:ascii="Times New Roman" w:hAnsi="Times New Roman" w:eastAsia="宋体" w:cs="Times New Roman"/>
                <w:color w:val="000000"/>
                <w:kern w:val="0"/>
                <w:sz w:val="18"/>
                <w:szCs w:val="18"/>
                <w:lang w:val="en-US" w:eastAsia="zh-CN" w:bidi="ar"/>
              </w:rPr>
              <w:t>：</w:t>
            </w:r>
          </w:p>
        </w:tc>
        <w:tc>
          <w:tcPr>
            <w:tcW w:w="2374" w:type="dxa"/>
            <w:gridSpan w:val="4"/>
            <w:tcBorders>
              <w:top w:val="double" w:color="auto" w:sz="4" w:space="0"/>
              <w:tl2br w:val="nil"/>
              <w:tr2bl w:val="nil"/>
            </w:tcBorders>
            <w:shd w:val="clear" w:color="auto" w:fill="auto"/>
            <w:vAlign w:val="center"/>
          </w:tcPr>
          <w:p w14:paraId="4325265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bidi="ar"/>
              </w:rPr>
              <w:t>采样</w:t>
            </w:r>
            <w:r>
              <w:rPr>
                <w:rFonts w:hint="default" w:ascii="Times New Roman" w:hAnsi="Times New Roman" w:eastAsia="宋体" w:cs="Times New Roman"/>
                <w:color w:val="000000"/>
                <w:kern w:val="0"/>
                <w:sz w:val="18"/>
                <w:szCs w:val="18"/>
                <w:lang w:val="en-US" w:eastAsia="zh-CN" w:bidi="ar"/>
              </w:rPr>
              <w:t>负责人：</w:t>
            </w:r>
          </w:p>
        </w:tc>
        <w:tc>
          <w:tcPr>
            <w:tcW w:w="2265" w:type="dxa"/>
            <w:gridSpan w:val="4"/>
            <w:tcBorders>
              <w:top w:val="double" w:color="auto" w:sz="4" w:space="0"/>
              <w:tl2br w:val="nil"/>
              <w:tr2bl w:val="nil"/>
            </w:tcBorders>
            <w:shd w:val="clear" w:color="auto" w:fill="auto"/>
            <w:vAlign w:val="center"/>
          </w:tcPr>
          <w:p w14:paraId="1916103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记录人员：</w:t>
            </w:r>
          </w:p>
        </w:tc>
        <w:tc>
          <w:tcPr>
            <w:tcW w:w="2485" w:type="dxa"/>
            <w:gridSpan w:val="2"/>
            <w:tcBorders>
              <w:top w:val="double" w:color="auto" w:sz="4" w:space="0"/>
              <w:tl2br w:val="nil"/>
              <w:tr2bl w:val="nil"/>
            </w:tcBorders>
            <w:shd w:val="clear" w:color="auto" w:fill="auto"/>
            <w:vAlign w:val="center"/>
          </w:tcPr>
          <w:p w14:paraId="03F5D1A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bidi="ar"/>
              </w:rPr>
              <w:t>采样</w:t>
            </w:r>
            <w:r>
              <w:rPr>
                <w:rFonts w:hint="default" w:ascii="Times New Roman" w:hAnsi="Times New Roman" w:eastAsia="宋体" w:cs="Times New Roman"/>
                <w:color w:val="000000"/>
                <w:kern w:val="0"/>
                <w:sz w:val="18"/>
                <w:szCs w:val="18"/>
                <w:lang w:val="en-US" w:eastAsia="zh-CN" w:bidi="ar"/>
              </w:rPr>
              <w:t>单位内审：</w:t>
            </w:r>
          </w:p>
        </w:tc>
      </w:tr>
    </w:tbl>
    <w:p w14:paraId="475D7615">
      <w:pPr>
        <w:keepNext w:val="0"/>
        <w:keepLines w:val="0"/>
        <w:pageBreakBefore w:val="0"/>
        <w:kinsoku/>
        <w:overflowPunct/>
        <w:topLinePunct w:val="0"/>
        <w:autoSpaceDE w:val="0"/>
        <w:autoSpaceDN w:val="0"/>
        <w:bidi w:val="0"/>
        <w:adjustRightInd w:val="0"/>
        <w:snapToGrid w:val="0"/>
        <w:rPr>
          <w:sz w:val="18"/>
        </w:rPr>
        <w:sectPr>
          <w:pgSz w:w="16840" w:h="11910" w:orient="landscape"/>
          <w:pgMar w:top="1417" w:right="1134" w:bottom="1134" w:left="1417" w:header="1417" w:footer="1134" w:gutter="0"/>
          <w:pgNumType w:fmt="decimal"/>
          <w:cols w:space="0" w:num="1"/>
          <w:rtlGutter w:val="0"/>
          <w:docGrid w:linePitch="0" w:charSpace="0"/>
        </w:sectPr>
      </w:pPr>
    </w:p>
    <w:p w14:paraId="045A963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p w14:paraId="6BE66165">
      <w:pPr>
        <w:keepNext w:val="0"/>
        <w:keepLines w:val="0"/>
        <w:pageBreakBefore w:val="0"/>
        <w:widowControl w:val="0"/>
        <w:kinsoku/>
        <w:overflowPunct/>
        <w:topLinePunct w:val="0"/>
        <w:autoSpaceDE w:val="0"/>
        <w:autoSpaceDN w:val="0"/>
        <w:bidi w:val="0"/>
        <w:adjustRightInd w:val="0"/>
        <w:snapToGrid w:val="0"/>
        <w:spacing w:line="360" w:lineRule="auto"/>
        <w:jc w:val="center"/>
        <w:rPr>
          <w:rFonts w:ascii="宋体" w:hAnsi="宋体" w:eastAsia="宋体" w:cs="宋体"/>
          <w:sz w:val="21"/>
          <w:szCs w:val="21"/>
          <w:lang w:val="fr-FR" w:eastAsia="en-US" w:bidi="ar-SA"/>
        </w:rPr>
      </w:pPr>
      <w:r>
        <w:rPr>
          <w:rFonts w:hint="eastAsia" w:ascii="宋体" w:hAnsi="宋体" w:eastAsia="宋体" w:cs="宋体"/>
          <w:sz w:val="21"/>
          <w:szCs w:val="21"/>
          <w:lang w:val="fr-FR" w:eastAsia="en-US" w:bidi="ar-SA"/>
        </w:rPr>
        <w:t>表</w:t>
      </w:r>
      <w:r>
        <w:rPr>
          <w:rFonts w:hint="eastAsia" w:ascii="宋体" w:hAnsi="宋体" w:eastAsia="宋体" w:cs="宋体"/>
          <w:sz w:val="21"/>
          <w:szCs w:val="21"/>
          <w:lang w:val="en-US" w:eastAsia="zh-CN" w:bidi="ar-SA"/>
        </w:rPr>
        <w:t>C.5</w:t>
      </w:r>
      <w:r>
        <w:rPr>
          <w:rFonts w:hint="eastAsia" w:ascii="宋体" w:hAnsi="宋体" w:eastAsia="宋体" w:cs="宋体"/>
          <w:sz w:val="21"/>
          <w:szCs w:val="21"/>
          <w:lang w:val="fr-FR" w:eastAsia="en-US" w:bidi="ar-SA"/>
        </w:rPr>
        <w:t xml:space="preserve"> </w:t>
      </w:r>
      <w:r>
        <w:rPr>
          <w:rFonts w:hint="eastAsia" w:ascii="宋体" w:hAnsi="宋体" w:eastAsia="宋体" w:cs="宋体"/>
          <w:sz w:val="21"/>
          <w:szCs w:val="21"/>
          <w:lang w:val="en-US" w:eastAsia="zh-CN" w:bidi="ar-SA"/>
        </w:rPr>
        <w:t>样品流转记录单</w:t>
      </w:r>
    </w:p>
    <w:tbl>
      <w:tblPr>
        <w:tblStyle w:val="9"/>
        <w:tblW w:w="142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459"/>
        <w:gridCol w:w="1024"/>
        <w:gridCol w:w="559"/>
        <w:gridCol w:w="391"/>
        <w:gridCol w:w="955"/>
        <w:gridCol w:w="238"/>
        <w:gridCol w:w="702"/>
        <w:gridCol w:w="545"/>
        <w:gridCol w:w="336"/>
        <w:gridCol w:w="209"/>
        <w:gridCol w:w="545"/>
        <w:gridCol w:w="38"/>
        <w:gridCol w:w="497"/>
        <w:gridCol w:w="294"/>
        <w:gridCol w:w="261"/>
        <w:gridCol w:w="545"/>
        <w:gridCol w:w="545"/>
        <w:gridCol w:w="234"/>
        <w:gridCol w:w="311"/>
        <w:gridCol w:w="545"/>
        <w:gridCol w:w="330"/>
        <w:gridCol w:w="215"/>
        <w:gridCol w:w="545"/>
        <w:gridCol w:w="545"/>
        <w:gridCol w:w="546"/>
        <w:gridCol w:w="1713"/>
      </w:tblGrid>
      <w:tr w14:paraId="2E98A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4" w:type="dxa"/>
            <w:gridSpan w:val="13"/>
            <w:tcBorders>
              <w:tl2br w:val="nil"/>
              <w:tr2bl w:val="nil"/>
            </w:tcBorders>
            <w:shd w:val="clear" w:color="auto" w:fill="auto"/>
            <w:noWrap/>
            <w:vAlign w:val="center"/>
          </w:tcPr>
          <w:p w14:paraId="7343441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地块名称：</w:t>
            </w:r>
          </w:p>
        </w:tc>
        <w:tc>
          <w:tcPr>
            <w:tcW w:w="7126" w:type="dxa"/>
            <w:gridSpan w:val="14"/>
            <w:tcBorders>
              <w:tl2br w:val="nil"/>
              <w:tr2bl w:val="nil"/>
            </w:tcBorders>
            <w:shd w:val="clear" w:color="auto" w:fill="auto"/>
            <w:noWrap/>
            <w:vAlign w:val="center"/>
          </w:tcPr>
          <w:p w14:paraId="0B47110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样品运送批次：</w:t>
            </w:r>
          </w:p>
        </w:tc>
      </w:tr>
      <w:tr w14:paraId="73FF6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4" w:type="dxa"/>
            <w:gridSpan w:val="13"/>
            <w:tcBorders>
              <w:tl2br w:val="nil"/>
              <w:tr2bl w:val="nil"/>
            </w:tcBorders>
            <w:shd w:val="clear" w:color="auto" w:fill="auto"/>
            <w:noWrap/>
            <w:vAlign w:val="center"/>
          </w:tcPr>
          <w:p w14:paraId="7E25BC2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采样单位：</w:t>
            </w:r>
          </w:p>
        </w:tc>
        <w:tc>
          <w:tcPr>
            <w:tcW w:w="3562" w:type="dxa"/>
            <w:gridSpan w:val="9"/>
            <w:tcBorders>
              <w:tl2br w:val="nil"/>
              <w:tr2bl w:val="nil"/>
            </w:tcBorders>
            <w:shd w:val="clear" w:color="auto" w:fill="auto"/>
            <w:noWrap/>
            <w:vAlign w:val="center"/>
          </w:tcPr>
          <w:p w14:paraId="3C81D02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联系人：</w:t>
            </w:r>
          </w:p>
        </w:tc>
        <w:tc>
          <w:tcPr>
            <w:tcW w:w="3564" w:type="dxa"/>
            <w:gridSpan w:val="5"/>
            <w:tcBorders>
              <w:tl2br w:val="nil"/>
              <w:tr2bl w:val="nil"/>
            </w:tcBorders>
            <w:shd w:val="clear" w:color="auto" w:fill="auto"/>
            <w:noWrap/>
            <w:vAlign w:val="center"/>
          </w:tcPr>
          <w:p w14:paraId="706E2B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联系方式：</w:t>
            </w:r>
          </w:p>
        </w:tc>
      </w:tr>
      <w:tr w14:paraId="2CB0C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4" w:type="dxa"/>
            <w:gridSpan w:val="13"/>
            <w:tcBorders>
              <w:tl2br w:val="nil"/>
              <w:tr2bl w:val="nil"/>
            </w:tcBorders>
            <w:shd w:val="clear" w:color="auto" w:fill="auto"/>
            <w:noWrap/>
            <w:vAlign w:val="center"/>
          </w:tcPr>
          <w:p w14:paraId="083B8B7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调查单位：</w:t>
            </w:r>
          </w:p>
        </w:tc>
        <w:tc>
          <w:tcPr>
            <w:tcW w:w="3562" w:type="dxa"/>
            <w:gridSpan w:val="9"/>
            <w:tcBorders>
              <w:tl2br w:val="nil"/>
              <w:tr2bl w:val="nil"/>
            </w:tcBorders>
            <w:shd w:val="clear" w:color="auto" w:fill="auto"/>
            <w:noWrap/>
            <w:vAlign w:val="center"/>
          </w:tcPr>
          <w:p w14:paraId="747364E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联系人：</w:t>
            </w:r>
          </w:p>
        </w:tc>
        <w:tc>
          <w:tcPr>
            <w:tcW w:w="3564" w:type="dxa"/>
            <w:gridSpan w:val="5"/>
            <w:tcBorders>
              <w:tl2br w:val="nil"/>
              <w:tr2bl w:val="nil"/>
            </w:tcBorders>
            <w:shd w:val="clear" w:color="auto" w:fill="auto"/>
            <w:noWrap/>
            <w:vAlign w:val="center"/>
          </w:tcPr>
          <w:p w14:paraId="3A66A3D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联系方式：</w:t>
            </w:r>
          </w:p>
        </w:tc>
      </w:tr>
      <w:tr w14:paraId="5EE74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0" w:type="dxa"/>
            <w:gridSpan w:val="27"/>
            <w:tcBorders>
              <w:tl2br w:val="nil"/>
              <w:tr2bl w:val="nil"/>
            </w:tcBorders>
            <w:shd w:val="clear" w:color="auto" w:fill="auto"/>
            <w:noWrap/>
            <w:vAlign w:val="center"/>
          </w:tcPr>
          <w:p w14:paraId="54FBDDE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val="en-US" w:eastAsia="zh-CN" w:bidi="ar"/>
              </w:rPr>
              <w:t>质控要求：</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 xml:space="preserve">标准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其他（详细说明）：</w:t>
            </w:r>
            <w:r>
              <w:rPr>
                <w:rFonts w:hint="eastAsia" w:ascii="宋体" w:hAnsi="宋体" w:eastAsia="宋体" w:cs="宋体"/>
                <w:kern w:val="0"/>
                <w:sz w:val="18"/>
                <w:szCs w:val="22"/>
                <w:u w:val="single"/>
                <w:lang w:val="en-US" w:eastAsia="zh-CN"/>
              </w:rPr>
              <w:t xml:space="preserve">                                                </w:t>
            </w:r>
          </w:p>
        </w:tc>
      </w:tr>
      <w:tr w14:paraId="668DF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0" w:type="dxa"/>
            <w:gridSpan w:val="27"/>
            <w:tcBorders>
              <w:bottom w:val="double" w:color="auto" w:sz="4" w:space="0"/>
              <w:tl2br w:val="nil"/>
              <w:tr2bl w:val="nil"/>
            </w:tcBorders>
            <w:shd w:val="clear" w:color="auto" w:fill="auto"/>
            <w:noWrap/>
            <w:vAlign w:val="center"/>
          </w:tcPr>
          <w:p w14:paraId="5DD910E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测试方法：</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 xml:space="preserve">国标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其他（详细说明）：</w:t>
            </w:r>
            <w:r>
              <w:rPr>
                <w:rFonts w:hint="eastAsia" w:ascii="宋体" w:hAnsi="宋体" w:eastAsia="宋体" w:cs="宋体"/>
                <w:kern w:val="0"/>
                <w:sz w:val="18"/>
                <w:szCs w:val="22"/>
                <w:u w:val="single"/>
                <w:lang w:val="en-US" w:eastAsia="zh-CN"/>
              </w:rPr>
              <w:t xml:space="preserve">                                                </w:t>
            </w:r>
          </w:p>
        </w:tc>
      </w:tr>
      <w:tr w14:paraId="33A5C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tcBorders>
              <w:top w:val="double" w:color="auto" w:sz="4" w:space="0"/>
            </w:tcBorders>
            <w:shd w:val="clear" w:color="auto" w:fill="auto"/>
            <w:noWrap/>
            <w:vAlign w:val="center"/>
          </w:tcPr>
          <w:p w14:paraId="53E86C58">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样品编号</w:t>
            </w:r>
          </w:p>
        </w:tc>
        <w:tc>
          <w:tcPr>
            <w:tcW w:w="1483" w:type="dxa"/>
            <w:gridSpan w:val="2"/>
            <w:tcBorders>
              <w:top w:val="double" w:color="auto" w:sz="4" w:space="0"/>
            </w:tcBorders>
            <w:shd w:val="clear" w:color="auto" w:fill="auto"/>
            <w:noWrap/>
            <w:vAlign w:val="center"/>
          </w:tcPr>
          <w:p w14:paraId="6CC05B7E">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实验室样品</w:t>
            </w:r>
            <w:r>
              <w:rPr>
                <w:rFonts w:hint="eastAsia" w:ascii="Times New Roman" w:hAnsi="Times New Roman" w:eastAsia="宋体" w:cs="Times New Roman"/>
                <w:color w:val="000000"/>
                <w:kern w:val="0"/>
                <w:sz w:val="18"/>
                <w:szCs w:val="18"/>
                <w:lang w:val="en-US" w:eastAsia="zh-CN" w:bidi="ar"/>
              </w:rPr>
              <w:t>号</w:t>
            </w:r>
          </w:p>
        </w:tc>
        <w:tc>
          <w:tcPr>
            <w:tcW w:w="950" w:type="dxa"/>
            <w:gridSpan w:val="2"/>
            <w:tcBorders>
              <w:top w:val="double" w:color="auto" w:sz="4" w:space="0"/>
            </w:tcBorders>
            <w:shd w:val="clear" w:color="auto" w:fill="auto"/>
            <w:noWrap/>
            <w:vAlign w:val="center"/>
          </w:tcPr>
          <w:p w14:paraId="618E3E1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采样日期</w:t>
            </w:r>
          </w:p>
        </w:tc>
        <w:tc>
          <w:tcPr>
            <w:tcW w:w="955" w:type="dxa"/>
            <w:tcBorders>
              <w:top w:val="double" w:color="auto" w:sz="4" w:space="0"/>
            </w:tcBorders>
            <w:shd w:val="clear" w:color="auto" w:fill="auto"/>
            <w:noWrap/>
            <w:vAlign w:val="center"/>
          </w:tcPr>
          <w:p w14:paraId="53E74C64">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采样时间</w:t>
            </w:r>
          </w:p>
        </w:tc>
        <w:tc>
          <w:tcPr>
            <w:tcW w:w="940" w:type="dxa"/>
            <w:gridSpan w:val="2"/>
            <w:tcBorders>
              <w:top w:val="double" w:color="auto" w:sz="4" w:space="0"/>
            </w:tcBorders>
            <w:shd w:val="clear" w:color="auto" w:fill="auto"/>
            <w:noWrap/>
            <w:vAlign w:val="center"/>
          </w:tcPr>
          <w:p w14:paraId="4A255720">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样品类型</w:t>
            </w:r>
          </w:p>
        </w:tc>
        <w:tc>
          <w:tcPr>
            <w:tcW w:w="2725" w:type="dxa"/>
            <w:gridSpan w:val="8"/>
            <w:tcBorders>
              <w:top w:val="double" w:color="auto" w:sz="4" w:space="0"/>
            </w:tcBorders>
            <w:shd w:val="clear" w:color="auto" w:fill="auto"/>
            <w:noWrap/>
            <w:vAlign w:val="center"/>
          </w:tcPr>
          <w:p w14:paraId="5EE11D2B">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容器</w:t>
            </w:r>
            <w:r>
              <w:rPr>
                <w:rFonts w:hint="eastAsia" w:ascii="Times New Roman" w:hAnsi="Times New Roman" w:eastAsia="宋体" w:cs="Times New Roman"/>
                <w:color w:val="000000"/>
                <w:kern w:val="0"/>
                <w:sz w:val="18"/>
                <w:szCs w:val="18"/>
                <w:lang w:val="en-US" w:eastAsia="zh-CN"/>
              </w:rPr>
              <w:t>和</w:t>
            </w:r>
            <w:r>
              <w:rPr>
                <w:rFonts w:hint="default" w:ascii="Times New Roman" w:hAnsi="Times New Roman" w:eastAsia="宋体" w:cs="Times New Roman"/>
                <w:color w:val="000000"/>
                <w:kern w:val="0"/>
                <w:sz w:val="18"/>
                <w:szCs w:val="18"/>
                <w:lang w:val="en-US" w:eastAsia="zh-CN" w:bidi="ar"/>
              </w:rPr>
              <w:t>保护剂</w:t>
            </w:r>
          </w:p>
        </w:tc>
        <w:tc>
          <w:tcPr>
            <w:tcW w:w="4361" w:type="dxa"/>
            <w:gridSpan w:val="10"/>
            <w:tcBorders>
              <w:top w:val="double" w:color="auto" w:sz="4" w:space="0"/>
            </w:tcBorders>
            <w:shd w:val="clear" w:color="auto" w:fill="auto"/>
            <w:noWrap/>
            <w:vAlign w:val="center"/>
          </w:tcPr>
          <w:p w14:paraId="08A2F15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zh-CN"/>
              </w:rPr>
            </w:pPr>
            <w:r>
              <w:rPr>
                <w:rFonts w:hint="default" w:ascii="Times New Roman" w:hAnsi="Times New Roman" w:eastAsia="宋体" w:cs="Times New Roman"/>
                <w:color w:val="000000"/>
                <w:kern w:val="0"/>
                <w:sz w:val="18"/>
                <w:szCs w:val="18"/>
                <w:lang w:val="en-US" w:eastAsia="zh-CN" w:bidi="ar"/>
              </w:rPr>
              <w:t>要求分析参数（可加附件）</w:t>
            </w:r>
          </w:p>
        </w:tc>
        <w:tc>
          <w:tcPr>
            <w:tcW w:w="1713" w:type="dxa"/>
            <w:tcBorders>
              <w:top w:val="double" w:color="auto" w:sz="4" w:space="0"/>
            </w:tcBorders>
            <w:shd w:val="clear" w:color="auto" w:fill="auto"/>
            <w:noWrap/>
            <w:vAlign w:val="center"/>
          </w:tcPr>
          <w:p w14:paraId="68EA129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eastAsia="宋体" w:cs="Times New Roman"/>
                <w:color w:val="000000"/>
                <w:kern w:val="0"/>
                <w:sz w:val="18"/>
                <w:szCs w:val="18"/>
                <w:lang w:val="en-US" w:eastAsia="zh-CN"/>
              </w:rPr>
              <w:t>保存方法</w:t>
            </w:r>
          </w:p>
        </w:tc>
      </w:tr>
      <w:tr w14:paraId="615A6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0C8C43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793FA13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4B643F7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09344FD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0D277DA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9D023A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477F31A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6D4627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59B06D6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2C0808C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A9B480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01E506C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794E73E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27B530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032DDFF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BB2658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CC71C7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206F8C9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4A419F9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180" w:right="0" w:hanging="180" w:hangingChars="100"/>
              <w:jc w:val="center"/>
              <w:rPr>
                <w:rFonts w:hint="default" w:ascii="Times New Roman" w:hAnsi="Times New Roman" w:eastAsia="宋体" w:cs="Times New Roman"/>
                <w:color w:val="000000"/>
                <w:kern w:val="0"/>
                <w:sz w:val="18"/>
                <w:szCs w:val="18"/>
                <w:lang w:val="en-US" w:eastAsia="zh-CN"/>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1041D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43A5267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525A8C5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00658CC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4B2429B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3837972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82805E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382059D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1E8BE4F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6D2A9AB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5558EF1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09F3F10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E64E59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3F33002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F9B954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524D95A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E157AC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E5FB12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14D55D6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44BDA17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35171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14F7522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6555AAE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214DA85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2889581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59CED1A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38FC9D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47C4E49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141FD4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1F8F493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4610F20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DCC5A5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A24AF6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0B9A29A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CF394A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79D052F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247688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2EE9E8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6FE6C02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38B0567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5D354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5D84688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517281F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47F5A37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002BC19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31E3683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30DFEE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608585E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7175A4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5AADA2B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5B1E473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B6BEAA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149FED2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2B6C17A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73B93C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3BF6095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ABE1ED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07FB735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00897D5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53D747A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14B80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204395A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494A768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71F76AE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4FC100A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013F0EB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464611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6E6DC7F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1FA3B8D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08ED465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6ACDB1E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88E567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8070FB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0491A9C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04871BC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7C93A61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71BC233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397490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19308B2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40A86AE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652D8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30C6665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79615E9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39E9FCD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64CA2BD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4804BB6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D48D1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7E01ABC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694DAE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4C26F6C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7D26A39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1D2E234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12523B9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088F651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2446B8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3E80EF8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F13095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18F6C6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20D9955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289FA69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0F1BA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5C1A427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42ADD0F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7C799CF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08A5842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1D7B61C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E67C68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682377A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0CE013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51CCAE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66BE7D9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0D922BF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66F65C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5FD00B5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72786B0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46910A4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178D870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6B33F3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2248F35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1DD42C2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485A8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48C852E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470CEE1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3900003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2BB9088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34681BE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E8E9EC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1B5C88C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02B8622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78886C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01C8A83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7E1CFAE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104F01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6EF526F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37711B6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678CCFC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8FE7CA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7A170F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59528DA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02338BD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7C58A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01AF44E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0388BAF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5A6B9F5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2DC95D5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44E1C7B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8D5201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10127A7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BCBB28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6565519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7D5DC2C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DF6636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782B1B4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60034FF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74470B2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4A9DBB8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0C39021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78AA5A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6C864C3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4E56BAB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40D21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00189EE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3B91055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5E41515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6897C4B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6CB90C6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69E849A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5A41172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73C067A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1AFF059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3FC314B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0019C0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5E9EEA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2ADBAB4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0F49F6B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4A0BE38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21DE69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4EF78C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45DDFA0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437E2086">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宋体" w:hAnsi="宋体" w:eastAsia="宋体" w:cs="宋体"/>
                <w:kern w:val="0"/>
                <w:sz w:val="18"/>
                <w:szCs w:val="22"/>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42518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shd w:val="clear" w:color="auto" w:fill="auto"/>
            <w:noWrap/>
            <w:vAlign w:val="center"/>
          </w:tcPr>
          <w:p w14:paraId="69AF4FD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shd w:val="clear" w:color="auto" w:fill="auto"/>
            <w:noWrap/>
            <w:vAlign w:val="center"/>
          </w:tcPr>
          <w:p w14:paraId="010D945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shd w:val="clear" w:color="auto" w:fill="auto"/>
            <w:noWrap/>
            <w:vAlign w:val="center"/>
          </w:tcPr>
          <w:p w14:paraId="5B3737B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shd w:val="clear" w:color="auto" w:fill="auto"/>
            <w:noWrap/>
            <w:vAlign w:val="center"/>
          </w:tcPr>
          <w:p w14:paraId="01116B7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shd w:val="clear" w:color="auto" w:fill="auto"/>
            <w:noWrap/>
            <w:vAlign w:val="center"/>
          </w:tcPr>
          <w:p w14:paraId="5F93927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2937444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6D94D71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CF97DF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shd w:val="clear" w:color="auto" w:fill="auto"/>
            <w:noWrap/>
            <w:vAlign w:val="center"/>
          </w:tcPr>
          <w:p w14:paraId="7692952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shd w:val="clear" w:color="auto" w:fill="auto"/>
            <w:noWrap/>
            <w:vAlign w:val="center"/>
          </w:tcPr>
          <w:p w14:paraId="51FFAC9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01C884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2A2536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0216D7E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755120A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shd w:val="clear" w:color="auto" w:fill="auto"/>
            <w:noWrap/>
            <w:vAlign w:val="center"/>
          </w:tcPr>
          <w:p w14:paraId="06FA136D">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53F923F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shd w:val="clear" w:color="auto" w:fill="auto"/>
            <w:noWrap/>
            <w:vAlign w:val="center"/>
          </w:tcPr>
          <w:p w14:paraId="496CB5F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shd w:val="clear" w:color="auto" w:fill="auto"/>
            <w:noWrap/>
            <w:vAlign w:val="center"/>
          </w:tcPr>
          <w:p w14:paraId="577F7EF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shd w:val="clear" w:color="auto" w:fill="auto"/>
            <w:noWrap/>
            <w:vAlign w:val="center"/>
          </w:tcPr>
          <w:p w14:paraId="2FBC570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379C0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tcBorders>
              <w:bottom w:val="double" w:color="auto" w:sz="4" w:space="0"/>
            </w:tcBorders>
            <w:shd w:val="clear" w:color="auto" w:fill="auto"/>
            <w:noWrap/>
            <w:vAlign w:val="center"/>
          </w:tcPr>
          <w:p w14:paraId="7E80AB3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483" w:type="dxa"/>
            <w:gridSpan w:val="2"/>
            <w:tcBorders>
              <w:bottom w:val="double" w:color="auto" w:sz="4" w:space="0"/>
            </w:tcBorders>
            <w:shd w:val="clear" w:color="auto" w:fill="auto"/>
            <w:noWrap/>
            <w:vAlign w:val="center"/>
          </w:tcPr>
          <w:p w14:paraId="6E2E642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0" w:type="dxa"/>
            <w:gridSpan w:val="2"/>
            <w:tcBorders>
              <w:bottom w:val="double" w:color="auto" w:sz="4" w:space="0"/>
            </w:tcBorders>
            <w:shd w:val="clear" w:color="auto" w:fill="auto"/>
            <w:noWrap/>
            <w:vAlign w:val="center"/>
          </w:tcPr>
          <w:p w14:paraId="4FB143B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55" w:type="dxa"/>
            <w:tcBorders>
              <w:bottom w:val="double" w:color="auto" w:sz="4" w:space="0"/>
            </w:tcBorders>
            <w:shd w:val="clear" w:color="auto" w:fill="auto"/>
            <w:noWrap/>
            <w:vAlign w:val="center"/>
          </w:tcPr>
          <w:p w14:paraId="2A55BAE5">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940" w:type="dxa"/>
            <w:gridSpan w:val="2"/>
            <w:tcBorders>
              <w:bottom w:val="double" w:color="auto" w:sz="4" w:space="0"/>
            </w:tcBorders>
            <w:shd w:val="clear" w:color="auto" w:fill="auto"/>
            <w:noWrap/>
            <w:vAlign w:val="center"/>
          </w:tcPr>
          <w:p w14:paraId="5347ECE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tcBorders>
              <w:bottom w:val="double" w:color="auto" w:sz="4" w:space="0"/>
            </w:tcBorders>
            <w:shd w:val="clear" w:color="auto" w:fill="auto"/>
            <w:noWrap/>
            <w:vAlign w:val="center"/>
          </w:tcPr>
          <w:p w14:paraId="2D4B35A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tcBorders>
              <w:bottom w:val="double" w:color="auto" w:sz="4" w:space="0"/>
            </w:tcBorders>
            <w:shd w:val="clear" w:color="auto" w:fill="auto"/>
            <w:noWrap/>
            <w:vAlign w:val="center"/>
          </w:tcPr>
          <w:p w14:paraId="27333D3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tcBorders>
              <w:bottom w:val="double" w:color="auto" w:sz="4" w:space="0"/>
            </w:tcBorders>
            <w:shd w:val="clear" w:color="auto" w:fill="auto"/>
            <w:noWrap/>
            <w:vAlign w:val="center"/>
          </w:tcPr>
          <w:p w14:paraId="15A8B70C">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35" w:type="dxa"/>
            <w:gridSpan w:val="2"/>
            <w:tcBorders>
              <w:bottom w:val="double" w:color="auto" w:sz="4" w:space="0"/>
            </w:tcBorders>
            <w:shd w:val="clear" w:color="auto" w:fill="auto"/>
            <w:noWrap/>
            <w:vAlign w:val="center"/>
          </w:tcPr>
          <w:p w14:paraId="073922C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55" w:type="dxa"/>
            <w:gridSpan w:val="2"/>
            <w:tcBorders>
              <w:bottom w:val="double" w:color="auto" w:sz="4" w:space="0"/>
            </w:tcBorders>
            <w:shd w:val="clear" w:color="auto" w:fill="auto"/>
            <w:noWrap/>
            <w:vAlign w:val="center"/>
          </w:tcPr>
          <w:p w14:paraId="4855B089">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tcBorders>
              <w:bottom w:val="double" w:color="auto" w:sz="4" w:space="0"/>
            </w:tcBorders>
            <w:shd w:val="clear" w:color="auto" w:fill="auto"/>
            <w:noWrap/>
            <w:vAlign w:val="center"/>
          </w:tcPr>
          <w:p w14:paraId="614E3A2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tcBorders>
              <w:bottom w:val="double" w:color="auto" w:sz="4" w:space="0"/>
            </w:tcBorders>
            <w:shd w:val="clear" w:color="auto" w:fill="auto"/>
            <w:noWrap/>
            <w:vAlign w:val="center"/>
          </w:tcPr>
          <w:p w14:paraId="2548962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tcBorders>
              <w:bottom w:val="double" w:color="auto" w:sz="4" w:space="0"/>
            </w:tcBorders>
            <w:shd w:val="clear" w:color="auto" w:fill="auto"/>
            <w:noWrap/>
            <w:vAlign w:val="center"/>
          </w:tcPr>
          <w:p w14:paraId="1CC4DF6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tcBorders>
              <w:bottom w:val="double" w:color="auto" w:sz="4" w:space="0"/>
            </w:tcBorders>
            <w:shd w:val="clear" w:color="auto" w:fill="auto"/>
            <w:noWrap/>
            <w:vAlign w:val="center"/>
          </w:tcPr>
          <w:p w14:paraId="66AEF053">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gridSpan w:val="2"/>
            <w:tcBorders>
              <w:bottom w:val="double" w:color="auto" w:sz="4" w:space="0"/>
            </w:tcBorders>
            <w:shd w:val="clear" w:color="auto" w:fill="auto"/>
            <w:noWrap/>
            <w:vAlign w:val="center"/>
          </w:tcPr>
          <w:p w14:paraId="6374EAD0">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tcBorders>
              <w:bottom w:val="double" w:color="auto" w:sz="4" w:space="0"/>
            </w:tcBorders>
            <w:shd w:val="clear" w:color="auto" w:fill="auto"/>
            <w:noWrap/>
            <w:vAlign w:val="center"/>
          </w:tcPr>
          <w:p w14:paraId="2EFBD067">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5" w:type="dxa"/>
            <w:tcBorders>
              <w:bottom w:val="double" w:color="auto" w:sz="4" w:space="0"/>
            </w:tcBorders>
            <w:shd w:val="clear" w:color="auto" w:fill="auto"/>
            <w:noWrap/>
            <w:vAlign w:val="center"/>
          </w:tcPr>
          <w:p w14:paraId="32A97BC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546" w:type="dxa"/>
            <w:tcBorders>
              <w:bottom w:val="double" w:color="auto" w:sz="4" w:space="0"/>
            </w:tcBorders>
            <w:shd w:val="clear" w:color="auto" w:fill="auto"/>
            <w:noWrap/>
            <w:vAlign w:val="center"/>
          </w:tcPr>
          <w:p w14:paraId="5681274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c>
          <w:tcPr>
            <w:tcW w:w="1713" w:type="dxa"/>
            <w:tcBorders>
              <w:bottom w:val="double" w:color="auto" w:sz="4" w:space="0"/>
            </w:tcBorders>
            <w:shd w:val="clear" w:color="auto" w:fill="auto"/>
            <w:noWrap/>
            <w:vAlign w:val="center"/>
          </w:tcPr>
          <w:p w14:paraId="4CCE75F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 xml:space="preserve">冷藏 </w:t>
            </w:r>
            <w:r>
              <w:rPr>
                <w:rFonts w:hint="eastAsia" w:ascii="宋体" w:hAnsi="宋体" w:eastAsia="宋体" w:cs="宋体"/>
                <w:kern w:val="0"/>
                <w:sz w:val="18"/>
                <w:szCs w:val="22"/>
                <w:lang w:val="fr-FR" w:eastAsia="en-US"/>
              </w:rPr>
              <w:t>□</w:t>
            </w:r>
            <w:r>
              <w:rPr>
                <w:rFonts w:hint="eastAsia" w:ascii="宋体" w:hAnsi="宋体" w:eastAsia="宋体" w:cs="宋体"/>
                <w:kern w:val="0"/>
                <w:sz w:val="18"/>
                <w:szCs w:val="22"/>
                <w:lang w:val="en-US" w:eastAsia="zh-CN"/>
              </w:rPr>
              <w:t>常温</w:t>
            </w:r>
          </w:p>
        </w:tc>
      </w:tr>
      <w:tr w14:paraId="7961A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3" w:type="dxa"/>
            <w:tcBorders>
              <w:top w:val="double" w:color="auto" w:sz="4" w:space="0"/>
              <w:bottom w:val="double" w:color="auto" w:sz="4" w:space="0"/>
            </w:tcBorders>
            <w:shd w:val="clear" w:color="auto" w:fill="auto"/>
            <w:noWrap/>
            <w:vAlign w:val="center"/>
          </w:tcPr>
          <w:p w14:paraId="3A016B28">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宋体" w:hAnsi="宋体" w:eastAsia="宋体" w:cs="宋体"/>
                <w:kern w:val="0"/>
                <w:sz w:val="18"/>
                <w:szCs w:val="22"/>
                <w:lang w:val="en-US" w:eastAsia="zh-CN"/>
              </w:rPr>
            </w:pPr>
            <w:r>
              <w:rPr>
                <w:rFonts w:hint="eastAsia" w:ascii="宋体" w:hAnsi="宋体" w:eastAsia="宋体" w:cs="宋体"/>
                <w:kern w:val="0"/>
                <w:sz w:val="18"/>
                <w:szCs w:val="22"/>
                <w:lang w:val="en-US" w:eastAsia="zh-CN"/>
              </w:rPr>
              <w:t>收样检查</w:t>
            </w:r>
          </w:p>
        </w:tc>
        <w:tc>
          <w:tcPr>
            <w:tcW w:w="3388" w:type="dxa"/>
            <w:gridSpan w:val="5"/>
            <w:tcBorders>
              <w:top w:val="double" w:color="auto" w:sz="4" w:space="0"/>
              <w:bottom w:val="double" w:color="auto" w:sz="4" w:space="0"/>
            </w:tcBorders>
            <w:shd w:val="clear" w:color="auto" w:fill="auto"/>
            <w:noWrap/>
            <w:vAlign w:val="center"/>
          </w:tcPr>
          <w:p w14:paraId="00C0089E">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22"/>
                <w:lang w:val="en-US" w:eastAsia="zh-CN"/>
              </w:rPr>
            </w:pPr>
            <w:r>
              <w:rPr>
                <w:rFonts w:hint="eastAsia" w:ascii="宋体" w:hAnsi="宋体" w:eastAsia="宋体" w:cs="宋体"/>
                <w:kern w:val="0"/>
                <w:sz w:val="18"/>
                <w:szCs w:val="22"/>
                <w:lang w:val="en-US" w:eastAsia="zh-CN"/>
              </w:rPr>
              <w:t>保温箱是否完整：</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 xml:space="preserve">是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否</w:t>
            </w:r>
          </w:p>
        </w:tc>
        <w:tc>
          <w:tcPr>
            <w:tcW w:w="3665" w:type="dxa"/>
            <w:gridSpan w:val="10"/>
            <w:tcBorders>
              <w:top w:val="double" w:color="auto" w:sz="4" w:space="0"/>
              <w:bottom w:val="double" w:color="auto" w:sz="4" w:space="0"/>
            </w:tcBorders>
            <w:shd w:val="clear" w:color="auto" w:fill="auto"/>
            <w:noWrap/>
            <w:vAlign w:val="center"/>
          </w:tcPr>
          <w:p w14:paraId="18C30F6B">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22"/>
                <w:lang w:val="en-US" w:eastAsia="zh-CN"/>
              </w:rPr>
            </w:pPr>
            <w:r>
              <w:rPr>
                <w:rFonts w:hint="eastAsia" w:ascii="宋体" w:hAnsi="宋体" w:eastAsia="宋体" w:cs="宋体"/>
                <w:kern w:val="0"/>
                <w:sz w:val="18"/>
                <w:szCs w:val="22"/>
                <w:lang w:val="en-US" w:eastAsia="zh-CN"/>
              </w:rPr>
              <w:t>样品瓶是否有破损：</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 xml:space="preserve">是    </w:t>
            </w:r>
            <w:r>
              <w:rPr>
                <w:rFonts w:hint="eastAsia" w:ascii="宋体" w:hAnsi="宋体" w:eastAsia="宋体" w:cs="宋体"/>
                <w:kern w:val="0"/>
                <w:sz w:val="18"/>
                <w:szCs w:val="22"/>
                <w:lang w:val="fr-FR" w:eastAsia="zh-CN"/>
              </w:rPr>
              <w:t>□</w:t>
            </w:r>
            <w:r>
              <w:rPr>
                <w:rFonts w:hint="eastAsia" w:ascii="宋体" w:hAnsi="宋体" w:eastAsia="宋体" w:cs="宋体"/>
                <w:kern w:val="0"/>
                <w:sz w:val="18"/>
                <w:szCs w:val="22"/>
                <w:lang w:val="en-US" w:eastAsia="zh-CN"/>
              </w:rPr>
              <w:t>否</w:t>
            </w:r>
          </w:p>
        </w:tc>
        <w:tc>
          <w:tcPr>
            <w:tcW w:w="6074" w:type="dxa"/>
            <w:gridSpan w:val="11"/>
            <w:tcBorders>
              <w:top w:val="double" w:color="auto" w:sz="4" w:space="0"/>
              <w:bottom w:val="double" w:color="auto" w:sz="4" w:space="0"/>
            </w:tcBorders>
            <w:shd w:val="clear" w:color="auto" w:fill="auto"/>
            <w:noWrap/>
            <w:vAlign w:val="center"/>
          </w:tcPr>
          <w:p w14:paraId="6C6279F2">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宋体" w:hAnsi="宋体" w:eastAsia="宋体" w:cs="宋体"/>
                <w:kern w:val="0"/>
                <w:sz w:val="18"/>
                <w:szCs w:val="22"/>
                <w:lang w:val="en-US" w:eastAsia="zh-CN"/>
              </w:rPr>
            </w:pPr>
            <w:r>
              <w:rPr>
                <w:rFonts w:hint="eastAsia" w:ascii="宋体" w:hAnsi="宋体" w:eastAsia="宋体" w:cs="宋体"/>
                <w:kern w:val="0"/>
                <w:sz w:val="18"/>
                <w:szCs w:val="22"/>
                <w:lang w:val="en-US" w:eastAsia="zh-CN"/>
              </w:rPr>
              <w:t>其他：</w:t>
            </w:r>
            <w:r>
              <w:rPr>
                <w:rFonts w:hint="default" w:ascii="Times New Roman" w:hAnsi="Times New Roman" w:eastAsia="宋体" w:cs="Times New Roman"/>
                <w:kern w:val="0"/>
                <w:sz w:val="18"/>
                <w:szCs w:val="22"/>
                <w:u w:val="single"/>
                <w:lang w:val="en-US" w:eastAsia="zh-CN"/>
              </w:rPr>
              <w:t xml:space="preserve">        </w:t>
            </w:r>
            <w:r>
              <w:rPr>
                <w:rFonts w:hint="eastAsia" w:ascii="Times New Roman" w:hAnsi="Times New Roman" w:eastAsia="宋体" w:cs="Times New Roman"/>
                <w:kern w:val="0"/>
                <w:sz w:val="18"/>
                <w:szCs w:val="22"/>
                <w:u w:val="single"/>
                <w:lang w:val="en-US" w:eastAsia="zh-CN"/>
              </w:rPr>
              <w:t xml:space="preserve">                        </w:t>
            </w:r>
          </w:p>
        </w:tc>
      </w:tr>
      <w:tr w14:paraId="726A5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9" w:type="dxa"/>
            <w:gridSpan w:val="7"/>
            <w:tcBorders>
              <w:top w:val="double" w:color="auto" w:sz="4" w:space="0"/>
              <w:right w:val="double" w:color="auto" w:sz="4" w:space="0"/>
            </w:tcBorders>
            <w:shd w:val="clear" w:color="auto" w:fill="auto"/>
            <w:noWrap/>
            <w:vAlign w:val="center"/>
          </w:tcPr>
          <w:p w14:paraId="3E692D1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样品送出</w:t>
            </w:r>
          </w:p>
        </w:tc>
        <w:tc>
          <w:tcPr>
            <w:tcW w:w="4751" w:type="dxa"/>
            <w:gridSpan w:val="12"/>
            <w:tcBorders>
              <w:top w:val="double" w:color="auto" w:sz="4" w:space="0"/>
              <w:left w:val="double" w:color="auto" w:sz="4" w:space="0"/>
              <w:right w:val="double" w:color="auto" w:sz="4" w:space="0"/>
            </w:tcBorders>
            <w:shd w:val="clear" w:color="auto" w:fill="auto"/>
            <w:noWrap/>
            <w:vAlign w:val="center"/>
          </w:tcPr>
          <w:p w14:paraId="0AC8BE11">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样品接收</w:t>
            </w:r>
          </w:p>
        </w:tc>
        <w:tc>
          <w:tcPr>
            <w:tcW w:w="4750" w:type="dxa"/>
            <w:gridSpan w:val="8"/>
            <w:tcBorders>
              <w:top w:val="double" w:color="auto" w:sz="4" w:space="0"/>
              <w:left w:val="double" w:color="auto" w:sz="4" w:space="0"/>
            </w:tcBorders>
            <w:shd w:val="clear" w:color="auto" w:fill="auto"/>
            <w:noWrap/>
            <w:vAlign w:val="center"/>
          </w:tcPr>
          <w:p w14:paraId="217F7C95">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kern w:val="0"/>
                <w:sz w:val="18"/>
                <w:szCs w:val="18"/>
                <w:lang w:val="fr-FR" w:eastAsia="en-US"/>
              </w:rPr>
            </w:pPr>
            <w:r>
              <w:rPr>
                <w:rFonts w:hint="eastAsia" w:ascii="Times New Roman" w:hAnsi="Times New Roman" w:eastAsia="宋体" w:cs="Times New Roman"/>
                <w:color w:val="000000"/>
                <w:kern w:val="0"/>
                <w:sz w:val="18"/>
                <w:szCs w:val="18"/>
                <w:lang w:val="en-US" w:eastAsia="zh-CN" w:bidi="ar"/>
              </w:rPr>
              <w:t>运送</w:t>
            </w:r>
            <w:r>
              <w:rPr>
                <w:rFonts w:hint="default" w:ascii="Times New Roman" w:hAnsi="Times New Roman" w:eastAsia="宋体" w:cs="Times New Roman"/>
                <w:color w:val="000000"/>
                <w:kern w:val="0"/>
                <w:sz w:val="18"/>
                <w:szCs w:val="18"/>
                <w:lang w:val="en-US" w:eastAsia="zh-CN" w:bidi="ar"/>
              </w:rPr>
              <w:t>方式</w:t>
            </w:r>
          </w:p>
        </w:tc>
      </w:tr>
      <w:tr w14:paraId="43C0B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2" w:type="dxa"/>
            <w:gridSpan w:val="2"/>
            <w:shd w:val="clear" w:color="auto" w:fill="auto"/>
            <w:noWrap/>
            <w:vAlign w:val="center"/>
          </w:tcPr>
          <w:p w14:paraId="536F79DD">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姓名</w:t>
            </w:r>
            <w:r>
              <w:rPr>
                <w:rFonts w:hint="eastAsia" w:ascii="Times New Roman" w:hAnsi="Times New Roman" w:eastAsia="宋体" w:cs="Times New Roman"/>
                <w:color w:val="000000"/>
                <w:kern w:val="0"/>
                <w:sz w:val="18"/>
                <w:szCs w:val="18"/>
                <w:lang w:val="en-US" w:eastAsia="zh-CN" w:bidi="ar"/>
              </w:rPr>
              <w:t>：</w:t>
            </w:r>
          </w:p>
        </w:tc>
        <w:tc>
          <w:tcPr>
            <w:tcW w:w="1583" w:type="dxa"/>
            <w:gridSpan w:val="2"/>
            <w:shd w:val="clear" w:color="auto" w:fill="auto"/>
            <w:noWrap/>
            <w:vAlign w:val="center"/>
          </w:tcPr>
          <w:p w14:paraId="2FD460E4">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日期</w:t>
            </w:r>
            <w:r>
              <w:rPr>
                <w:rFonts w:hint="eastAsia" w:ascii="Times New Roman" w:hAnsi="Times New Roman" w:eastAsia="宋体" w:cs="Times New Roman"/>
                <w:color w:val="000000"/>
                <w:kern w:val="0"/>
                <w:sz w:val="18"/>
                <w:szCs w:val="18"/>
                <w:lang w:val="en-US" w:eastAsia="zh-CN" w:bidi="ar"/>
              </w:rPr>
              <w:t>：</w:t>
            </w:r>
          </w:p>
        </w:tc>
        <w:tc>
          <w:tcPr>
            <w:tcW w:w="1584" w:type="dxa"/>
            <w:gridSpan w:val="3"/>
            <w:tcBorders>
              <w:right w:val="double" w:color="auto" w:sz="4" w:space="0"/>
            </w:tcBorders>
            <w:shd w:val="clear" w:color="auto" w:fill="auto"/>
            <w:noWrap/>
            <w:vAlign w:val="center"/>
          </w:tcPr>
          <w:p w14:paraId="2AFF8D0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时间</w:t>
            </w:r>
            <w:r>
              <w:rPr>
                <w:rFonts w:hint="eastAsia" w:ascii="Times New Roman" w:hAnsi="Times New Roman" w:eastAsia="宋体" w:cs="Times New Roman"/>
                <w:color w:val="000000"/>
                <w:kern w:val="0"/>
                <w:sz w:val="18"/>
                <w:szCs w:val="18"/>
                <w:lang w:val="en-US" w:eastAsia="zh-CN" w:bidi="ar"/>
              </w:rPr>
              <w:t>：</w:t>
            </w:r>
          </w:p>
        </w:tc>
        <w:tc>
          <w:tcPr>
            <w:tcW w:w="1583" w:type="dxa"/>
            <w:gridSpan w:val="3"/>
            <w:tcBorders>
              <w:left w:val="double" w:color="auto" w:sz="4" w:space="0"/>
              <w:tl2br w:val="nil"/>
              <w:tr2bl w:val="nil"/>
            </w:tcBorders>
            <w:shd w:val="clear" w:color="auto" w:fill="auto"/>
            <w:noWrap/>
            <w:vAlign w:val="center"/>
          </w:tcPr>
          <w:p w14:paraId="4151DBFF">
            <w:pPr>
              <w:keepNext w:val="0"/>
              <w:keepLines w:val="0"/>
              <w:pageBreakBefore w:val="0"/>
              <w:widowControl/>
              <w:suppressLineNumbers w:val="0"/>
              <w:kinsoku/>
              <w:overflowPunct/>
              <w:topLinePunct w:val="0"/>
              <w:autoSpaceDE w:val="0"/>
              <w:autoSpaceDN w:val="0"/>
              <w:bidi w:val="0"/>
              <w:adjustRightInd w:val="0"/>
              <w:snapToGrid w:val="0"/>
              <w:spacing w:before="0" w:beforeAutospacing="0" w:after="0" w:afterAutospacing="0"/>
              <w:ind w:left="0" w:right="0"/>
              <w:jc w:val="left"/>
              <w:textAlignment w:val="center"/>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姓名</w:t>
            </w:r>
            <w:r>
              <w:rPr>
                <w:rFonts w:hint="eastAsia" w:ascii="Times New Roman" w:hAnsi="Times New Roman" w:eastAsia="宋体" w:cs="Times New Roman"/>
                <w:color w:val="000000"/>
                <w:kern w:val="0"/>
                <w:sz w:val="18"/>
                <w:szCs w:val="18"/>
                <w:lang w:val="en-US" w:eastAsia="zh-CN" w:bidi="ar"/>
              </w:rPr>
              <w:t>：</w:t>
            </w:r>
          </w:p>
        </w:tc>
        <w:tc>
          <w:tcPr>
            <w:tcW w:w="1583" w:type="dxa"/>
            <w:gridSpan w:val="5"/>
            <w:tcBorders>
              <w:tl2br w:val="nil"/>
              <w:tr2bl w:val="nil"/>
            </w:tcBorders>
            <w:shd w:val="clear" w:color="auto" w:fill="auto"/>
            <w:noWrap/>
            <w:vAlign w:val="center"/>
          </w:tcPr>
          <w:p w14:paraId="78BDA85F">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日期</w:t>
            </w:r>
            <w:r>
              <w:rPr>
                <w:rFonts w:hint="eastAsia" w:ascii="Times New Roman" w:hAnsi="Times New Roman" w:eastAsia="宋体" w:cs="Times New Roman"/>
                <w:color w:val="000000"/>
                <w:kern w:val="0"/>
                <w:sz w:val="18"/>
                <w:szCs w:val="18"/>
                <w:lang w:val="en-US" w:eastAsia="zh-CN" w:bidi="ar"/>
              </w:rPr>
              <w:t>：</w:t>
            </w:r>
          </w:p>
        </w:tc>
        <w:tc>
          <w:tcPr>
            <w:tcW w:w="1585" w:type="dxa"/>
            <w:gridSpan w:val="4"/>
            <w:tcBorders>
              <w:right w:val="double" w:color="auto" w:sz="4" w:space="0"/>
              <w:tl2br w:val="nil"/>
              <w:tr2bl w:val="nil"/>
            </w:tcBorders>
            <w:shd w:val="clear" w:color="auto" w:fill="auto"/>
            <w:noWrap/>
            <w:vAlign w:val="center"/>
          </w:tcPr>
          <w:p w14:paraId="54923AE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 w:val="18"/>
                <w:szCs w:val="18"/>
                <w:lang w:val="fr-FR" w:eastAsia="en-US"/>
              </w:rPr>
            </w:pPr>
            <w:r>
              <w:rPr>
                <w:rFonts w:hint="default" w:ascii="Times New Roman" w:hAnsi="Times New Roman" w:eastAsia="宋体" w:cs="Times New Roman"/>
                <w:color w:val="000000"/>
                <w:kern w:val="0"/>
                <w:sz w:val="18"/>
                <w:szCs w:val="18"/>
                <w:lang w:val="en-US" w:eastAsia="zh-CN" w:bidi="ar"/>
              </w:rPr>
              <w:t>时间</w:t>
            </w:r>
            <w:r>
              <w:rPr>
                <w:rFonts w:hint="eastAsia" w:ascii="Times New Roman" w:hAnsi="Times New Roman" w:eastAsia="宋体" w:cs="Times New Roman"/>
                <w:color w:val="000000"/>
                <w:kern w:val="0"/>
                <w:sz w:val="18"/>
                <w:szCs w:val="18"/>
                <w:lang w:val="en-US" w:eastAsia="zh-CN" w:bidi="ar"/>
              </w:rPr>
              <w:t>：</w:t>
            </w:r>
          </w:p>
        </w:tc>
        <w:tc>
          <w:tcPr>
            <w:tcW w:w="4750" w:type="dxa"/>
            <w:gridSpan w:val="8"/>
            <w:tcBorders>
              <w:left w:val="double" w:color="auto" w:sz="4" w:space="0"/>
            </w:tcBorders>
            <w:shd w:val="clear" w:color="auto" w:fill="auto"/>
            <w:noWrap/>
            <w:vAlign w:val="center"/>
          </w:tcPr>
          <w:p w14:paraId="4F8EA33A">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 w:val="18"/>
                <w:szCs w:val="18"/>
                <w:lang w:val="fr-FR" w:eastAsia="en-US"/>
              </w:rPr>
            </w:pPr>
          </w:p>
        </w:tc>
      </w:tr>
    </w:tbl>
    <w:p w14:paraId="1A7AB8F8">
      <w:pPr>
        <w:keepNext w:val="0"/>
        <w:keepLines w:val="0"/>
        <w:pageBreakBefore w:val="0"/>
        <w:kinsoku/>
        <w:overflowPunct/>
        <w:topLinePunct w:val="0"/>
        <w:autoSpaceDE w:val="0"/>
        <w:autoSpaceDN w:val="0"/>
        <w:bidi w:val="0"/>
        <w:adjustRightInd w:val="0"/>
        <w:snapToGrid w:val="0"/>
        <w:rPr>
          <w:sz w:val="18"/>
        </w:rPr>
        <w:sectPr>
          <w:pgSz w:w="16840" w:h="11910" w:orient="landscape"/>
          <w:pgMar w:top="1417" w:right="1417" w:bottom="1134" w:left="1134" w:header="1417" w:footer="1134" w:gutter="0"/>
          <w:pgNumType w:fmt="decimal"/>
          <w:cols w:space="0" w:num="1"/>
          <w:rtlGutter w:val="0"/>
          <w:docGrid w:linePitch="0" w:charSpace="0"/>
        </w:sectPr>
      </w:pPr>
    </w:p>
    <w:p w14:paraId="6B22DAE8">
      <w:pPr>
        <w:keepNext w:val="0"/>
        <w:keepLines w:val="0"/>
        <w:pageBreakBefore w:val="0"/>
        <w:widowControl w:val="0"/>
        <w:tabs>
          <w:tab w:val="left" w:pos="422"/>
          <w:tab w:val="left" w:pos="842"/>
        </w:tabs>
        <w:kinsoku/>
        <w:wordWrap/>
        <w:overflowPunct/>
        <w:topLinePunct w:val="0"/>
        <w:autoSpaceDE w:val="0"/>
        <w:autoSpaceDN w:val="0"/>
        <w:bidi w:val="0"/>
        <w:adjustRightInd w:val="0"/>
        <w:snapToGrid w:val="0"/>
        <w:spacing w:before="850" w:line="240" w:lineRule="auto"/>
        <w:jc w:val="center"/>
        <w:textAlignment w:val="auto"/>
        <w:outlineLvl w:val="1"/>
        <w:rPr>
          <w:rFonts w:hint="default" w:ascii="黑体" w:hAnsi="宋体" w:eastAsia="黑体" w:cs="宋体"/>
          <w:sz w:val="21"/>
          <w:szCs w:val="21"/>
          <w:lang w:val="en-US" w:eastAsia="zh-CN" w:bidi="ar-SA"/>
        </w:rPr>
      </w:pPr>
      <w:bookmarkStart w:id="63" w:name="_bookmark40"/>
      <w:bookmarkEnd w:id="63"/>
      <w:bookmarkStart w:id="64" w:name="_Toc11117"/>
      <w:r>
        <w:rPr>
          <w:rFonts w:hint="eastAsia" w:ascii="黑体" w:hAnsi="宋体" w:eastAsia="黑体" w:cs="宋体"/>
          <w:sz w:val="21"/>
          <w:szCs w:val="21"/>
          <w:lang w:val="fr-FR" w:eastAsia="zh-CN" w:bidi="ar-SA"/>
        </w:rPr>
        <w:t>附录</w:t>
      </w:r>
      <w:r>
        <w:rPr>
          <w:rFonts w:hint="eastAsia" w:ascii="黑体" w:hAnsi="宋体" w:eastAsia="黑体" w:cs="宋体"/>
          <w:sz w:val="21"/>
          <w:szCs w:val="21"/>
          <w:lang w:val="fr-FR" w:eastAsia="zh-CN" w:bidi="ar-SA"/>
        </w:rPr>
        <w:tab/>
      </w:r>
      <w:r>
        <w:rPr>
          <w:rFonts w:hint="eastAsia" w:ascii="黑体" w:hAnsi="宋体" w:eastAsia="黑体" w:cs="宋体"/>
          <w:sz w:val="21"/>
          <w:szCs w:val="21"/>
          <w:lang w:val="en-US" w:eastAsia="zh-CN" w:bidi="ar-SA"/>
        </w:rPr>
        <w:t>D</w:t>
      </w:r>
      <w:bookmarkEnd w:id="64"/>
    </w:p>
    <w:p w14:paraId="61EAC0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黑体" w:hAnsi="宋体" w:eastAsia="黑体" w:cs="宋体"/>
          <w:sz w:val="21"/>
          <w:szCs w:val="21"/>
          <w:lang w:val="fr-FR" w:eastAsia="en-US" w:bidi="ar-SA"/>
        </w:rPr>
      </w:pPr>
      <w:r>
        <w:rPr>
          <w:rFonts w:hint="eastAsia" w:ascii="黑体" w:hAnsi="宋体" w:eastAsia="黑体" w:cs="宋体"/>
          <w:sz w:val="21"/>
          <w:szCs w:val="21"/>
          <w:lang w:val="fr-FR" w:eastAsia="en-US" w:bidi="ar-SA"/>
        </w:rPr>
        <w:t>（资料性）</w:t>
      </w:r>
    </w:p>
    <w:p w14:paraId="337C1F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黑体" w:hAnsi="宋体" w:eastAsia="黑体" w:cs="宋体"/>
          <w:sz w:val="21"/>
          <w:szCs w:val="21"/>
          <w:lang w:val="en-US" w:eastAsia="zh-CN" w:bidi="ar-SA"/>
        </w:rPr>
      </w:pPr>
      <w:r>
        <w:rPr>
          <w:rFonts w:hint="eastAsia" w:ascii="黑体" w:hAnsi="宋体" w:eastAsia="黑体" w:cs="宋体"/>
          <w:sz w:val="21"/>
          <w:szCs w:val="21"/>
          <w:lang w:val="fr-FR" w:eastAsia="zh-CN" w:bidi="ar-SA"/>
        </w:rPr>
        <w:t>调查报告编制大纲</w:t>
      </w:r>
      <w:r>
        <w:rPr>
          <w:rFonts w:hint="eastAsia" w:ascii="黑体" w:hAnsi="宋体" w:eastAsia="黑体" w:cs="宋体"/>
          <w:sz w:val="21"/>
          <w:szCs w:val="21"/>
          <w:lang w:val="en-US" w:eastAsia="zh-CN" w:bidi="ar-SA"/>
        </w:rPr>
        <w:t>参考内容与格式</w:t>
      </w:r>
    </w:p>
    <w:p w14:paraId="0A87526D">
      <w:pPr>
        <w:keepNext w:val="0"/>
        <w:keepLines w:val="0"/>
        <w:pageBreakBefore w:val="0"/>
        <w:widowControl w:val="0"/>
        <w:kinsoku/>
        <w:overflowPunct/>
        <w:topLinePunct w:val="0"/>
        <w:autoSpaceDE w:val="0"/>
        <w:autoSpaceDN w:val="0"/>
        <w:bidi w:val="0"/>
        <w:adjustRightInd w:val="0"/>
        <w:snapToGrid w:val="0"/>
        <w:spacing w:before="283" w:line="360" w:lineRule="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D.1 </w:t>
      </w:r>
      <w:r>
        <w:rPr>
          <w:rFonts w:hint="eastAsia" w:ascii="宋体" w:hAnsi="宋体" w:eastAsia="宋体" w:cs="宋体"/>
          <w:sz w:val="21"/>
          <w:szCs w:val="21"/>
          <w:lang w:val="fr-FR" w:eastAsia="zh-CN" w:bidi="ar-SA"/>
        </w:rPr>
        <w:t>第一阶段</w:t>
      </w:r>
      <w:r>
        <w:rPr>
          <w:rFonts w:hint="eastAsia" w:ascii="宋体" w:hAnsi="宋体" w:eastAsia="宋体" w:cs="宋体"/>
          <w:sz w:val="21"/>
          <w:szCs w:val="21"/>
          <w:lang w:val="en-US" w:eastAsia="zh-CN" w:bidi="ar-SA"/>
        </w:rPr>
        <w:t>调查</w:t>
      </w:r>
      <w:r>
        <w:rPr>
          <w:rFonts w:hint="eastAsia" w:ascii="宋体" w:hAnsi="宋体" w:eastAsia="宋体" w:cs="宋体"/>
          <w:sz w:val="21"/>
          <w:szCs w:val="21"/>
          <w:lang w:val="fr-FR" w:eastAsia="zh-CN" w:bidi="ar-SA"/>
        </w:rPr>
        <w:t>报告编制</w:t>
      </w:r>
      <w:r>
        <w:rPr>
          <w:rFonts w:hint="eastAsia" w:ascii="宋体" w:hAnsi="宋体" w:eastAsia="宋体" w:cs="宋体"/>
          <w:sz w:val="21"/>
          <w:szCs w:val="21"/>
          <w:lang w:val="en-US" w:eastAsia="zh-CN" w:bidi="ar-SA"/>
        </w:rPr>
        <w:t>大纲</w:t>
      </w:r>
    </w:p>
    <w:p w14:paraId="48924629">
      <w:pPr>
        <w:keepNext w:val="0"/>
        <w:keepLines w:val="0"/>
        <w:pageBreakBefore w:val="0"/>
        <w:widowControl w:val="0"/>
        <w:numPr>
          <w:ilvl w:val="0"/>
          <w:numId w:val="28"/>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z w:val="21"/>
          <w:szCs w:val="21"/>
          <w:lang w:val="fr-FR" w:eastAsia="en-US" w:bidi="ar-SA"/>
        </w:rPr>
        <w:t>项目概述</w:t>
      </w:r>
    </w:p>
    <w:p w14:paraId="699BFAB1">
      <w:pPr>
        <w:keepNext w:val="0"/>
        <w:keepLines w:val="0"/>
        <w:pageBreakBefore w:val="0"/>
        <w:widowControl w:val="0"/>
        <w:numPr>
          <w:ilvl w:val="1"/>
          <w:numId w:val="29"/>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项目背景</w:t>
      </w:r>
    </w:p>
    <w:p w14:paraId="63D988E3">
      <w:pPr>
        <w:keepNext w:val="0"/>
        <w:keepLines w:val="0"/>
        <w:pageBreakBefore w:val="0"/>
        <w:widowControl w:val="0"/>
        <w:numPr>
          <w:ilvl w:val="1"/>
          <w:numId w:val="29"/>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调查范围</w:t>
      </w:r>
    </w:p>
    <w:p w14:paraId="3A3D7333">
      <w:pPr>
        <w:keepNext w:val="0"/>
        <w:keepLines w:val="0"/>
        <w:pageBreakBefore w:val="0"/>
        <w:widowControl w:val="0"/>
        <w:numPr>
          <w:ilvl w:val="1"/>
          <w:numId w:val="29"/>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工作依据</w:t>
      </w:r>
    </w:p>
    <w:p w14:paraId="31C1D1F1">
      <w:pPr>
        <w:keepNext w:val="0"/>
        <w:keepLines w:val="0"/>
        <w:pageBreakBefore w:val="0"/>
        <w:widowControl w:val="0"/>
        <w:numPr>
          <w:ilvl w:val="1"/>
          <w:numId w:val="29"/>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调查方法</w:t>
      </w:r>
    </w:p>
    <w:p w14:paraId="05B9F143">
      <w:pPr>
        <w:keepNext w:val="0"/>
        <w:keepLines w:val="0"/>
        <w:pageBreakBefore w:val="0"/>
        <w:widowControl w:val="0"/>
        <w:numPr>
          <w:ilvl w:val="0"/>
          <w:numId w:val="28"/>
        </w:numPr>
        <w:kinsoku/>
        <w:wordWrap/>
        <w:overflowPunct/>
        <w:topLinePunct w:val="0"/>
        <w:autoSpaceDE w:val="0"/>
        <w:autoSpaceDN w:val="0"/>
        <w:bidi w:val="0"/>
        <w:adjustRightInd w:val="0"/>
        <w:snapToGrid w:val="0"/>
        <w:spacing w:line="279" w:lineRule="auto"/>
        <w:ind w:left="0" w:leftChars="0" w:firstLine="0" w:firstLineChars="0"/>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t>地块概况</w:t>
      </w:r>
    </w:p>
    <w:p w14:paraId="746636A8">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地块地理位置</w:t>
      </w:r>
    </w:p>
    <w:p w14:paraId="321A8FE8">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区域环境概况</w:t>
      </w:r>
    </w:p>
    <w:p w14:paraId="1CA660A4">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地块现状及历史</w:t>
      </w:r>
    </w:p>
    <w:p w14:paraId="00AF34A3">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地块土地利用规划</w:t>
      </w:r>
    </w:p>
    <w:p w14:paraId="3799DF5B">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相邻地块现状及历史</w:t>
      </w:r>
    </w:p>
    <w:p w14:paraId="63742EB9">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周边环境敏感目标</w:t>
      </w:r>
    </w:p>
    <w:p w14:paraId="58A0B8BD">
      <w:pPr>
        <w:keepNext w:val="0"/>
        <w:keepLines w:val="0"/>
        <w:pageBreakBefore w:val="0"/>
        <w:widowControl w:val="0"/>
        <w:numPr>
          <w:ilvl w:val="0"/>
          <w:numId w:val="28"/>
        </w:numPr>
        <w:kinsoku/>
        <w:wordWrap/>
        <w:overflowPunct/>
        <w:topLinePunct w:val="0"/>
        <w:autoSpaceDE w:val="0"/>
        <w:autoSpaceDN w:val="0"/>
        <w:bidi w:val="0"/>
        <w:adjustRightInd w:val="0"/>
        <w:snapToGrid w:val="0"/>
        <w:spacing w:line="279" w:lineRule="auto"/>
        <w:ind w:left="0" w:leftChars="0" w:firstLine="0" w:firstLineChars="0"/>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en-US" w:eastAsia="zh-CN" w:bidi="ar-SA"/>
        </w:rPr>
        <w:t>污染调查开展情况</w:t>
      </w:r>
    </w:p>
    <w:p w14:paraId="0256AFCB">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资料收集开展情况</w:t>
      </w:r>
    </w:p>
    <w:p w14:paraId="32FEB210">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现场踏勘开展情况</w:t>
      </w:r>
    </w:p>
    <w:p w14:paraId="63E4D812">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人员访谈开展情况</w:t>
      </w:r>
    </w:p>
    <w:p w14:paraId="036ABFB5">
      <w:pPr>
        <w:keepNext w:val="0"/>
        <w:keepLines w:val="0"/>
        <w:pageBreakBefore w:val="0"/>
        <w:widowControl w:val="0"/>
        <w:numPr>
          <w:ilvl w:val="0"/>
          <w:numId w:val="28"/>
        </w:numPr>
        <w:kinsoku/>
        <w:wordWrap/>
        <w:overflowPunct/>
        <w:topLinePunct w:val="0"/>
        <w:autoSpaceDE w:val="0"/>
        <w:autoSpaceDN w:val="0"/>
        <w:bidi w:val="0"/>
        <w:adjustRightInd w:val="0"/>
        <w:snapToGrid w:val="0"/>
        <w:spacing w:line="279" w:lineRule="auto"/>
        <w:ind w:left="0" w:leftChars="0" w:firstLine="0" w:firstLineChars="0"/>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en-US" w:eastAsia="zh-CN" w:bidi="ar-SA"/>
        </w:rPr>
        <w:t>污染识别分析</w:t>
      </w:r>
    </w:p>
    <w:p w14:paraId="1459E96E">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地块历史生产活动分析</w:t>
      </w:r>
    </w:p>
    <w:p w14:paraId="4AB29176">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有毒有害物质储存、使用和处置评价</w:t>
      </w:r>
    </w:p>
    <w:p w14:paraId="206BC3E3">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各类槽罐内的物质和泄漏评价</w:t>
      </w:r>
    </w:p>
    <w:p w14:paraId="2C53FD21">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固体废物和危险废物的处理评价</w:t>
      </w:r>
    </w:p>
    <w:p w14:paraId="229047BC">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管线、沟渠泄漏评价</w:t>
      </w:r>
    </w:p>
    <w:p w14:paraId="1A913407">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地块内其他影响因素</w:t>
      </w:r>
    </w:p>
    <w:p w14:paraId="6E130609">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地块周边潜在污染源分析</w:t>
      </w:r>
    </w:p>
    <w:p w14:paraId="4970DF71">
      <w:pPr>
        <w:keepNext w:val="0"/>
        <w:keepLines w:val="0"/>
        <w:pageBreakBefore w:val="0"/>
        <w:widowControl w:val="0"/>
        <w:numPr>
          <w:ilvl w:val="0"/>
          <w:numId w:val="28"/>
        </w:numPr>
        <w:kinsoku/>
        <w:wordWrap/>
        <w:overflowPunct/>
        <w:topLinePunct w:val="0"/>
        <w:autoSpaceDE w:val="0"/>
        <w:autoSpaceDN w:val="0"/>
        <w:bidi w:val="0"/>
        <w:adjustRightInd w:val="0"/>
        <w:snapToGrid w:val="0"/>
        <w:spacing w:line="279" w:lineRule="auto"/>
        <w:ind w:left="0" w:leftChars="0" w:firstLine="0" w:firstLineChars="0"/>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en-US" w:eastAsia="zh-CN" w:bidi="ar-SA"/>
        </w:rPr>
        <w:t>污染识别结果</w:t>
      </w:r>
    </w:p>
    <w:p w14:paraId="0A58322B">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地块特征污染物</w:t>
      </w:r>
    </w:p>
    <w:p w14:paraId="65FCDF60">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地块内潜在污染区域</w:t>
      </w:r>
    </w:p>
    <w:p w14:paraId="2BE04CB9">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污染物潜在迁移特征</w:t>
      </w:r>
    </w:p>
    <w:p w14:paraId="0DE3FEED">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地块周边潜在污染影响</w:t>
      </w:r>
    </w:p>
    <w:p w14:paraId="5206DB32">
      <w:pPr>
        <w:keepNext w:val="0"/>
        <w:keepLines w:val="0"/>
        <w:pageBreakBefore w:val="0"/>
        <w:widowControl w:val="0"/>
        <w:numPr>
          <w:ilvl w:val="1"/>
          <w:numId w:val="28"/>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不确定性分析</w:t>
      </w:r>
    </w:p>
    <w:p w14:paraId="08324CCD">
      <w:pPr>
        <w:keepNext w:val="0"/>
        <w:keepLines w:val="0"/>
        <w:pageBreakBefore w:val="0"/>
        <w:widowControl w:val="0"/>
        <w:numPr>
          <w:ilvl w:val="0"/>
          <w:numId w:val="28"/>
        </w:numPr>
        <w:kinsoku/>
        <w:wordWrap/>
        <w:overflowPunct/>
        <w:topLinePunct w:val="0"/>
        <w:autoSpaceDE w:val="0"/>
        <w:autoSpaceDN w:val="0"/>
        <w:bidi w:val="0"/>
        <w:adjustRightInd w:val="0"/>
        <w:snapToGrid w:val="0"/>
        <w:spacing w:line="279" w:lineRule="auto"/>
        <w:ind w:left="0" w:leftChars="0" w:firstLine="0" w:firstLineChars="0"/>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t>结论</w:t>
      </w:r>
      <w:r>
        <w:rPr>
          <w:rFonts w:hint="eastAsia" w:ascii="宋体" w:hAnsi="宋体" w:eastAsia="宋体" w:cs="宋体"/>
          <w:sz w:val="21"/>
          <w:szCs w:val="21"/>
          <w:lang w:val="en-US" w:eastAsia="zh-CN" w:bidi="ar-SA"/>
        </w:rPr>
        <w:t>与</w:t>
      </w:r>
      <w:r>
        <w:rPr>
          <w:rFonts w:hint="eastAsia" w:ascii="宋体" w:hAnsi="宋体" w:eastAsia="宋体" w:cs="宋体"/>
          <w:sz w:val="21"/>
          <w:szCs w:val="21"/>
          <w:lang w:val="fr-FR" w:eastAsia="en-US" w:bidi="ar-SA"/>
        </w:rPr>
        <w:t>建议</w:t>
      </w:r>
    </w:p>
    <w:p w14:paraId="513013B3">
      <w:pPr>
        <w:keepNext w:val="0"/>
        <w:keepLines w:val="0"/>
        <w:pageBreakBefore w:val="0"/>
        <w:widowControl w:val="0"/>
        <w:numPr>
          <w:ilvl w:val="0"/>
          <w:numId w:val="28"/>
        </w:numPr>
        <w:kinsoku/>
        <w:wordWrap/>
        <w:overflowPunct/>
        <w:topLinePunct w:val="0"/>
        <w:autoSpaceDE w:val="0"/>
        <w:autoSpaceDN w:val="0"/>
        <w:bidi w:val="0"/>
        <w:adjustRightInd w:val="0"/>
        <w:snapToGrid w:val="0"/>
        <w:spacing w:line="279" w:lineRule="auto"/>
        <w:ind w:left="0" w:leftChars="0" w:firstLine="0" w:firstLineChars="0"/>
        <w:textAlignment w:val="auto"/>
        <w:rPr>
          <w:rFonts w:hint="eastAsia" w:ascii="宋体" w:hAnsi="宋体" w:eastAsia="宋体" w:cs="宋体"/>
          <w:sz w:val="21"/>
          <w:szCs w:val="21"/>
          <w:lang w:val="fr-FR" w:eastAsia="en-US" w:bidi="ar-SA"/>
        </w:rPr>
      </w:pPr>
      <w:r>
        <w:rPr>
          <w:rFonts w:hint="eastAsia" w:ascii="宋体" w:hAnsi="宋体" w:eastAsia="宋体" w:cs="宋体"/>
          <w:sz w:val="21"/>
          <w:szCs w:val="21"/>
          <w:lang w:val="fr-FR" w:eastAsia="en-US" w:bidi="ar-SA"/>
        </w:rPr>
        <w:t>附件</w:t>
      </w:r>
    </w:p>
    <w:p w14:paraId="3D0A197C">
      <w:pPr>
        <w:keepNext w:val="0"/>
        <w:keepLines w:val="0"/>
        <w:pageBreakBefore w:val="0"/>
        <w:widowControl w:val="0"/>
        <w:kinsoku/>
        <w:overflowPunct/>
        <w:topLinePunct w:val="0"/>
        <w:autoSpaceDE w:val="0"/>
        <w:autoSpaceDN w:val="0"/>
        <w:bidi w:val="0"/>
        <w:adjustRightInd w:val="0"/>
        <w:snapToGrid w:val="0"/>
        <w:spacing w:line="240" w:lineRule="auto"/>
        <w:ind w:left="0" w:firstLine="0"/>
        <w:rPr>
          <w:rFonts w:ascii="宋体" w:hAnsi="宋体" w:eastAsia="宋体" w:cs="宋体"/>
          <w:sz w:val="21"/>
          <w:szCs w:val="21"/>
          <w:lang w:val="fr-FR" w:eastAsia="en-US" w:bidi="ar-SA"/>
        </w:rPr>
      </w:pPr>
    </w:p>
    <w:p w14:paraId="1DEB15A1">
      <w:pPr>
        <w:keepNext w:val="0"/>
        <w:keepLines w:val="0"/>
        <w:pageBreakBefore w:val="0"/>
        <w:kinsoku/>
        <w:overflowPunct/>
        <w:topLinePunct w:val="0"/>
        <w:autoSpaceDE w:val="0"/>
        <w:autoSpaceDN w:val="0"/>
        <w:bidi w:val="0"/>
        <w:adjustRightInd w:val="0"/>
        <w:snapToGrid w:val="0"/>
        <w:spacing w:line="240" w:lineRule="auto"/>
        <w:ind w:left="0" w:firstLine="0"/>
        <w:rPr>
          <w:sz w:val="21"/>
          <w:szCs w:val="21"/>
        </w:rPr>
        <w:sectPr>
          <w:pgSz w:w="11910" w:h="16840"/>
          <w:pgMar w:top="1417" w:right="1134" w:bottom="1134" w:left="1417" w:header="1417" w:footer="1134" w:gutter="0"/>
          <w:pgNumType w:fmt="decimal"/>
          <w:cols w:space="0" w:num="1"/>
          <w:rtlGutter w:val="0"/>
          <w:docGrid w:linePitch="0" w:charSpace="0"/>
        </w:sectPr>
      </w:pPr>
    </w:p>
    <w:p w14:paraId="657AD63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p w14:paraId="432D2EB4">
      <w:pPr>
        <w:keepNext w:val="0"/>
        <w:keepLines w:val="0"/>
        <w:pageBreakBefore w:val="0"/>
        <w:widowControl w:val="0"/>
        <w:kinsoku/>
        <w:overflowPunct/>
        <w:topLinePunct w:val="0"/>
        <w:autoSpaceDE w:val="0"/>
        <w:autoSpaceDN w:val="0"/>
        <w:bidi w:val="0"/>
        <w:adjustRightInd w:val="0"/>
        <w:snapToGrid w:val="0"/>
        <w:spacing w:line="360" w:lineRule="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D.2 </w:t>
      </w:r>
      <w:r>
        <w:rPr>
          <w:rFonts w:hint="eastAsia" w:ascii="宋体" w:hAnsi="宋体" w:eastAsia="宋体" w:cs="宋体"/>
          <w:sz w:val="21"/>
          <w:szCs w:val="21"/>
          <w:lang w:val="fr-FR" w:eastAsia="zh-CN" w:bidi="ar-SA"/>
        </w:rPr>
        <w:t>第</w:t>
      </w:r>
      <w:r>
        <w:rPr>
          <w:rFonts w:hint="eastAsia" w:ascii="宋体" w:hAnsi="宋体" w:eastAsia="宋体" w:cs="宋体"/>
          <w:sz w:val="21"/>
          <w:szCs w:val="21"/>
          <w:lang w:val="en-US" w:eastAsia="zh-CN" w:bidi="ar-SA"/>
        </w:rPr>
        <w:t>二</w:t>
      </w:r>
      <w:r>
        <w:rPr>
          <w:rFonts w:hint="eastAsia" w:ascii="宋体" w:hAnsi="宋体" w:eastAsia="宋体" w:cs="宋体"/>
          <w:sz w:val="21"/>
          <w:szCs w:val="21"/>
          <w:lang w:val="fr-FR" w:eastAsia="zh-CN" w:bidi="ar-SA"/>
        </w:rPr>
        <w:t>阶段</w:t>
      </w:r>
      <w:r>
        <w:rPr>
          <w:rFonts w:hint="eastAsia" w:ascii="宋体" w:hAnsi="宋体" w:eastAsia="宋体" w:cs="宋体"/>
          <w:sz w:val="21"/>
          <w:szCs w:val="21"/>
          <w:lang w:val="en-US" w:eastAsia="zh-CN" w:bidi="ar-SA"/>
        </w:rPr>
        <w:t>调查</w:t>
      </w:r>
      <w:r>
        <w:rPr>
          <w:rFonts w:hint="eastAsia" w:ascii="宋体" w:hAnsi="宋体" w:eastAsia="宋体" w:cs="宋体"/>
          <w:sz w:val="21"/>
          <w:szCs w:val="21"/>
          <w:lang w:val="fr-FR" w:eastAsia="zh-CN" w:bidi="ar-SA"/>
        </w:rPr>
        <w:t>报告编制</w:t>
      </w:r>
      <w:r>
        <w:rPr>
          <w:rFonts w:hint="eastAsia" w:ascii="宋体" w:hAnsi="宋体" w:eastAsia="宋体" w:cs="宋体"/>
          <w:sz w:val="21"/>
          <w:szCs w:val="21"/>
          <w:lang w:val="en-US" w:eastAsia="zh-CN" w:bidi="ar-SA"/>
        </w:rPr>
        <w:t>大纲——初步调查报告</w:t>
      </w:r>
    </w:p>
    <w:p w14:paraId="5735A3DC">
      <w:pPr>
        <w:keepNext w:val="0"/>
        <w:keepLines w:val="0"/>
        <w:pageBreakBefore w:val="0"/>
        <w:widowControl w:val="0"/>
        <w:numPr>
          <w:ilvl w:val="0"/>
          <w:numId w:val="30"/>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项目概述</w:t>
      </w:r>
    </w:p>
    <w:p w14:paraId="557FA697">
      <w:pPr>
        <w:keepNext w:val="0"/>
        <w:keepLines w:val="0"/>
        <w:pageBreakBefore w:val="0"/>
        <w:widowControl w:val="0"/>
        <w:numPr>
          <w:ilvl w:val="1"/>
          <w:numId w:val="31"/>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项目背景</w:t>
      </w:r>
    </w:p>
    <w:p w14:paraId="529FBB75">
      <w:pPr>
        <w:keepNext w:val="0"/>
        <w:keepLines w:val="0"/>
        <w:pageBreakBefore w:val="0"/>
        <w:widowControl w:val="0"/>
        <w:numPr>
          <w:ilvl w:val="1"/>
          <w:numId w:val="31"/>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调查范围</w:t>
      </w:r>
    </w:p>
    <w:p w14:paraId="3EA8C546">
      <w:pPr>
        <w:keepNext w:val="0"/>
        <w:keepLines w:val="0"/>
        <w:pageBreakBefore w:val="0"/>
        <w:widowControl w:val="0"/>
        <w:numPr>
          <w:ilvl w:val="1"/>
          <w:numId w:val="31"/>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工作依据</w:t>
      </w:r>
    </w:p>
    <w:p w14:paraId="47D1C296">
      <w:pPr>
        <w:keepNext w:val="0"/>
        <w:keepLines w:val="0"/>
        <w:pageBreakBefore w:val="0"/>
        <w:widowControl w:val="0"/>
        <w:numPr>
          <w:ilvl w:val="1"/>
          <w:numId w:val="31"/>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调查方法</w:t>
      </w:r>
    </w:p>
    <w:p w14:paraId="15F7AECE">
      <w:pPr>
        <w:keepNext w:val="0"/>
        <w:keepLines w:val="0"/>
        <w:pageBreakBefore w:val="0"/>
        <w:widowControl w:val="0"/>
        <w:numPr>
          <w:ilvl w:val="0"/>
          <w:numId w:val="30"/>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地块概况</w:t>
      </w:r>
    </w:p>
    <w:p w14:paraId="4AF2F57A">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地块地理位置</w:t>
      </w:r>
    </w:p>
    <w:p w14:paraId="58EA79DC">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区域环境概况</w:t>
      </w:r>
    </w:p>
    <w:p w14:paraId="42D75CFF">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地块地质与水文地质概况</w:t>
      </w:r>
    </w:p>
    <w:p w14:paraId="46B0A240">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地块现状及历史</w:t>
      </w:r>
    </w:p>
    <w:p w14:paraId="4130F10E">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地块土地利用规划</w:t>
      </w:r>
    </w:p>
    <w:p w14:paraId="4B541C49">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相邻地块土现状及历史</w:t>
      </w:r>
    </w:p>
    <w:p w14:paraId="68380608">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周边环境敏感目标</w:t>
      </w:r>
    </w:p>
    <w:p w14:paraId="46AB85C8">
      <w:pPr>
        <w:keepNext w:val="0"/>
        <w:keepLines w:val="0"/>
        <w:pageBreakBefore w:val="0"/>
        <w:widowControl w:val="0"/>
        <w:numPr>
          <w:ilvl w:val="0"/>
          <w:numId w:val="30"/>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地块污染识别</w:t>
      </w:r>
    </w:p>
    <w:p w14:paraId="4DCD3F2C">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第一阶段调查工作总结（参考D.1）</w:t>
      </w:r>
    </w:p>
    <w:p w14:paraId="2ABFE815">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疑似污染区域识别</w:t>
      </w:r>
    </w:p>
    <w:p w14:paraId="06C21252">
      <w:pPr>
        <w:keepNext w:val="0"/>
        <w:keepLines w:val="0"/>
        <w:pageBreakBefore w:val="0"/>
        <w:widowControl w:val="0"/>
        <w:numPr>
          <w:ilvl w:val="0"/>
          <w:numId w:val="30"/>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工作计划</w:t>
      </w:r>
    </w:p>
    <w:p w14:paraId="78FBCAA2">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点位布设原则</w:t>
      </w:r>
    </w:p>
    <w:p w14:paraId="76FD854E">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布点采样方案</w:t>
      </w:r>
    </w:p>
    <w:p w14:paraId="30F44B91">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样品保存与流转</w:t>
      </w:r>
    </w:p>
    <w:p w14:paraId="37085CCB">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样品分析方案</w:t>
      </w:r>
    </w:p>
    <w:p w14:paraId="62D725D5">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质量保证与质量控制</w:t>
      </w:r>
    </w:p>
    <w:p w14:paraId="4433F645">
      <w:pPr>
        <w:keepNext w:val="0"/>
        <w:keepLines w:val="0"/>
        <w:pageBreakBefore w:val="0"/>
        <w:widowControl w:val="0"/>
        <w:numPr>
          <w:ilvl w:val="0"/>
          <w:numId w:val="30"/>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pacing w:val="-2"/>
          <w:sz w:val="21"/>
          <w:szCs w:val="21"/>
          <w:lang w:val="en-US" w:eastAsia="zh-CN" w:bidi="ar-SA"/>
        </w:rPr>
        <w:t>现场</w:t>
      </w:r>
      <w:r>
        <w:rPr>
          <w:rFonts w:hint="eastAsia" w:ascii="宋体" w:hAnsi="宋体" w:eastAsia="宋体" w:cs="宋体"/>
          <w:sz w:val="21"/>
          <w:szCs w:val="21"/>
          <w:lang w:val="en-US" w:eastAsia="zh-CN" w:bidi="ar-SA"/>
        </w:rPr>
        <w:t>采样</w:t>
      </w:r>
      <w:r>
        <w:rPr>
          <w:rFonts w:hint="eastAsia" w:ascii="宋体" w:hAnsi="宋体" w:eastAsia="宋体" w:cs="宋体"/>
          <w:spacing w:val="-2"/>
          <w:sz w:val="21"/>
          <w:szCs w:val="21"/>
          <w:lang w:val="en-US" w:eastAsia="zh-CN" w:bidi="ar-SA"/>
        </w:rPr>
        <w:t>和实验室分析</w:t>
      </w:r>
    </w:p>
    <w:p w14:paraId="779B2600">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现场采样工作总结</w:t>
      </w:r>
    </w:p>
    <w:p w14:paraId="6A55C7DE">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实验室分析工作总结</w:t>
      </w:r>
    </w:p>
    <w:p w14:paraId="3C02824A">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质量控制有效性评估</w:t>
      </w:r>
    </w:p>
    <w:p w14:paraId="1E31F55A">
      <w:pPr>
        <w:keepNext w:val="0"/>
        <w:keepLines w:val="0"/>
        <w:pageBreakBefore w:val="0"/>
        <w:widowControl w:val="0"/>
        <w:numPr>
          <w:ilvl w:val="0"/>
          <w:numId w:val="30"/>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结果和分析</w:t>
      </w:r>
    </w:p>
    <w:p w14:paraId="3435EF72">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风险筛选值选取</w:t>
      </w:r>
    </w:p>
    <w:p w14:paraId="49B35054">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调查结果分析</w:t>
      </w:r>
    </w:p>
    <w:p w14:paraId="6C365EA6">
      <w:pPr>
        <w:keepNext w:val="0"/>
        <w:keepLines w:val="0"/>
        <w:pageBreakBefore w:val="0"/>
        <w:widowControl w:val="0"/>
        <w:numPr>
          <w:ilvl w:val="1"/>
          <w:numId w:val="30"/>
        </w:numPr>
        <w:kinsoku/>
        <w:wordWrap/>
        <w:overflowPunct/>
        <w:topLinePunct w:val="0"/>
        <w:autoSpaceDE w:val="0"/>
        <w:autoSpaceDN w:val="0"/>
        <w:bidi w:val="0"/>
        <w:adjustRightInd w:val="0"/>
        <w:snapToGrid w:val="0"/>
        <w:spacing w:line="279" w:lineRule="auto"/>
        <w:ind w:left="0" w:leftChars="0" w:firstLine="420" w:firstLineChars="200"/>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不确定性分析</w:t>
      </w:r>
    </w:p>
    <w:p w14:paraId="62CD4AFF">
      <w:pPr>
        <w:keepNext w:val="0"/>
        <w:keepLines w:val="0"/>
        <w:pageBreakBefore w:val="0"/>
        <w:widowControl w:val="0"/>
        <w:numPr>
          <w:ilvl w:val="0"/>
          <w:numId w:val="30"/>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结论</w:t>
      </w:r>
      <w:r>
        <w:rPr>
          <w:rFonts w:hint="eastAsia" w:ascii="宋体" w:hAnsi="宋体" w:eastAsia="宋体" w:cs="宋体"/>
          <w:sz w:val="21"/>
          <w:szCs w:val="21"/>
          <w:lang w:val="en-US" w:eastAsia="zh-CN" w:bidi="ar-SA"/>
        </w:rPr>
        <w:t>与</w:t>
      </w:r>
      <w:r>
        <w:rPr>
          <w:rFonts w:ascii="宋体" w:hAnsi="宋体" w:eastAsia="宋体" w:cs="宋体"/>
          <w:sz w:val="21"/>
          <w:szCs w:val="21"/>
          <w:lang w:val="fr-FR" w:eastAsia="en-US" w:bidi="ar-SA"/>
        </w:rPr>
        <w:t>建议</w:t>
      </w:r>
    </w:p>
    <w:p w14:paraId="2AA6BF2D">
      <w:pPr>
        <w:keepNext w:val="0"/>
        <w:keepLines w:val="0"/>
        <w:pageBreakBefore w:val="0"/>
        <w:widowControl w:val="0"/>
        <w:numPr>
          <w:ilvl w:val="0"/>
          <w:numId w:val="30"/>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18"/>
          <w:szCs w:val="18"/>
          <w:lang w:val="fr-FR" w:eastAsia="en-US" w:bidi="ar-SA"/>
        </w:rPr>
      </w:pPr>
      <w:r>
        <w:rPr>
          <w:rFonts w:ascii="宋体" w:hAnsi="宋体" w:eastAsia="宋体" w:cs="宋体"/>
          <w:sz w:val="21"/>
          <w:szCs w:val="21"/>
          <w:lang w:val="fr-FR" w:eastAsia="en-US" w:bidi="ar-SA"/>
        </w:rPr>
        <w:t>附件</w:t>
      </w:r>
    </w:p>
    <w:p w14:paraId="02661ED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79" w:lineRule="auto"/>
        <w:ind w:left="1139" w:leftChars="0" w:hanging="421"/>
        <w:textAlignment w:val="auto"/>
        <w:rPr>
          <w:rFonts w:ascii="宋体" w:hAnsi="宋体" w:eastAsia="宋体" w:cs="宋体"/>
          <w:sz w:val="21"/>
          <w:szCs w:val="21"/>
          <w:lang w:val="fr-FR" w:eastAsia="en-US" w:bidi="ar-SA"/>
        </w:rPr>
      </w:pPr>
    </w:p>
    <w:p w14:paraId="0AE5521A">
      <w:pPr>
        <w:keepNext w:val="0"/>
        <w:keepLines w:val="0"/>
        <w:pageBreakBefore w:val="0"/>
        <w:kinsoku/>
        <w:overflowPunct/>
        <w:topLinePunct w:val="0"/>
        <w:autoSpaceDE w:val="0"/>
        <w:autoSpaceDN w:val="0"/>
        <w:bidi w:val="0"/>
        <w:adjustRightInd w:val="0"/>
        <w:snapToGrid w:val="0"/>
        <w:spacing w:line="360" w:lineRule="auto"/>
        <w:rPr>
          <w:sz w:val="21"/>
          <w:szCs w:val="21"/>
        </w:rPr>
        <w:sectPr>
          <w:pgSz w:w="11910" w:h="16840"/>
          <w:pgMar w:top="1417" w:right="1417" w:bottom="1134" w:left="1134" w:header="1417" w:footer="1134" w:gutter="0"/>
          <w:pgNumType w:fmt="decimal"/>
          <w:cols w:space="0" w:num="1"/>
          <w:rtlGutter w:val="0"/>
          <w:docGrid w:linePitch="0" w:charSpace="0"/>
        </w:sectPr>
      </w:pPr>
    </w:p>
    <w:p w14:paraId="41EF174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宋体" w:hAnsi="宋体" w:eastAsia="宋体" w:cs="宋体"/>
          <w:sz w:val="21"/>
          <w:szCs w:val="21"/>
          <w:lang w:val="fr-FR" w:eastAsia="en-US" w:bidi="ar-SA"/>
        </w:rPr>
      </w:pPr>
    </w:p>
    <w:p w14:paraId="57F9C6B2">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D.3 </w:t>
      </w:r>
      <w:r>
        <w:rPr>
          <w:rFonts w:hint="eastAsia" w:ascii="宋体" w:hAnsi="宋体" w:eastAsia="宋体" w:cs="宋体"/>
          <w:sz w:val="21"/>
          <w:szCs w:val="21"/>
          <w:lang w:val="fr-FR" w:eastAsia="zh-CN" w:bidi="ar-SA"/>
        </w:rPr>
        <w:t>第</w:t>
      </w:r>
      <w:r>
        <w:rPr>
          <w:rFonts w:hint="eastAsia" w:ascii="宋体" w:hAnsi="宋体" w:eastAsia="宋体" w:cs="宋体"/>
          <w:sz w:val="21"/>
          <w:szCs w:val="21"/>
          <w:lang w:val="en-US" w:eastAsia="zh-CN" w:bidi="ar-SA"/>
        </w:rPr>
        <w:t>二</w:t>
      </w:r>
      <w:r>
        <w:rPr>
          <w:rFonts w:hint="eastAsia" w:ascii="宋体" w:hAnsi="宋体" w:eastAsia="宋体" w:cs="宋体"/>
          <w:sz w:val="21"/>
          <w:szCs w:val="21"/>
          <w:lang w:val="fr-FR" w:eastAsia="zh-CN" w:bidi="ar-SA"/>
        </w:rPr>
        <w:t>阶段</w:t>
      </w:r>
      <w:r>
        <w:rPr>
          <w:rFonts w:hint="eastAsia" w:ascii="宋体" w:hAnsi="宋体" w:eastAsia="宋体" w:cs="宋体"/>
          <w:sz w:val="21"/>
          <w:szCs w:val="21"/>
          <w:lang w:val="en-US" w:eastAsia="zh-CN" w:bidi="ar-SA"/>
        </w:rPr>
        <w:t>调查</w:t>
      </w:r>
      <w:r>
        <w:rPr>
          <w:rFonts w:hint="eastAsia" w:ascii="宋体" w:hAnsi="宋体" w:eastAsia="宋体" w:cs="宋体"/>
          <w:sz w:val="21"/>
          <w:szCs w:val="21"/>
          <w:lang w:val="fr-FR" w:eastAsia="zh-CN" w:bidi="ar-SA"/>
        </w:rPr>
        <w:t>报告编制</w:t>
      </w:r>
      <w:r>
        <w:rPr>
          <w:rFonts w:hint="eastAsia" w:ascii="宋体" w:hAnsi="宋体" w:eastAsia="宋体" w:cs="宋体"/>
          <w:sz w:val="21"/>
          <w:szCs w:val="21"/>
          <w:lang w:val="en-US" w:eastAsia="zh-CN" w:bidi="ar-SA"/>
        </w:rPr>
        <w:t>大纲——详细调查报告</w:t>
      </w:r>
    </w:p>
    <w:p w14:paraId="53FB5BAB">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项目概述</w:t>
      </w:r>
    </w:p>
    <w:p w14:paraId="72BA8842">
      <w:pPr>
        <w:keepNext w:val="0"/>
        <w:keepLines w:val="0"/>
        <w:pageBreakBefore w:val="0"/>
        <w:widowControl w:val="0"/>
        <w:numPr>
          <w:ilvl w:val="1"/>
          <w:numId w:val="33"/>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项目背景</w:t>
      </w:r>
    </w:p>
    <w:p w14:paraId="4E97283F">
      <w:pPr>
        <w:keepNext w:val="0"/>
        <w:keepLines w:val="0"/>
        <w:pageBreakBefore w:val="0"/>
        <w:widowControl w:val="0"/>
        <w:numPr>
          <w:ilvl w:val="1"/>
          <w:numId w:val="33"/>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调查范围</w:t>
      </w:r>
    </w:p>
    <w:p w14:paraId="02DE69D8">
      <w:pPr>
        <w:keepNext w:val="0"/>
        <w:keepLines w:val="0"/>
        <w:pageBreakBefore w:val="0"/>
        <w:widowControl w:val="0"/>
        <w:numPr>
          <w:ilvl w:val="1"/>
          <w:numId w:val="33"/>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工作依据</w:t>
      </w:r>
    </w:p>
    <w:p w14:paraId="1A30A1DF">
      <w:pPr>
        <w:keepNext w:val="0"/>
        <w:keepLines w:val="0"/>
        <w:pageBreakBefore w:val="0"/>
        <w:widowControl w:val="0"/>
        <w:numPr>
          <w:ilvl w:val="1"/>
          <w:numId w:val="33"/>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调查方法</w:t>
      </w:r>
    </w:p>
    <w:p w14:paraId="4EFAA68A">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地块概况</w:t>
      </w:r>
    </w:p>
    <w:p w14:paraId="1273743C">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地块地理位置</w:t>
      </w:r>
    </w:p>
    <w:p w14:paraId="5FFDB1F1">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区域环境概况</w:t>
      </w:r>
    </w:p>
    <w:p w14:paraId="18672BA7">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地块地质与水文地质概况</w:t>
      </w:r>
    </w:p>
    <w:p w14:paraId="255BC8F2">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地块现状及历史</w:t>
      </w:r>
    </w:p>
    <w:p w14:paraId="62BBBE61">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地块土地利用规划</w:t>
      </w:r>
    </w:p>
    <w:p w14:paraId="5BF22C72">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相邻地块土现状及历史</w:t>
      </w:r>
    </w:p>
    <w:p w14:paraId="0D1133A5">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周边环境敏感目标</w:t>
      </w:r>
    </w:p>
    <w:p w14:paraId="71D82996">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地块污染识别（参考D.1）</w:t>
      </w:r>
    </w:p>
    <w:p w14:paraId="412FBBFB">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初步调查概况</w:t>
      </w:r>
    </w:p>
    <w:p w14:paraId="1DB942DF">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初步调查工作总结（参考D.2）</w:t>
      </w:r>
    </w:p>
    <w:p w14:paraId="5CF2E881">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涉嫌污染的区域识别</w:t>
      </w:r>
    </w:p>
    <w:p w14:paraId="686E4ECC">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工作计划</w:t>
      </w:r>
    </w:p>
    <w:p w14:paraId="13CC71C0">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点位布设原则</w:t>
      </w:r>
    </w:p>
    <w:p w14:paraId="4452F755">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布点采样方案</w:t>
      </w:r>
    </w:p>
    <w:p w14:paraId="1007B496">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样品保存与流转</w:t>
      </w:r>
    </w:p>
    <w:p w14:paraId="30F18C35">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样品分析方案</w:t>
      </w:r>
    </w:p>
    <w:p w14:paraId="650161F6">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质量保证与质量控制</w:t>
      </w:r>
    </w:p>
    <w:p w14:paraId="489C90A9">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pacing w:val="-2"/>
          <w:sz w:val="21"/>
          <w:szCs w:val="21"/>
          <w:lang w:val="en-US" w:eastAsia="zh-CN" w:bidi="ar-SA"/>
        </w:rPr>
        <w:t>现场采样和实验室分析</w:t>
      </w:r>
    </w:p>
    <w:p w14:paraId="6B1FB8EC">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现场采样工作总结</w:t>
      </w:r>
    </w:p>
    <w:p w14:paraId="0AB5DA46">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实验室分析工作总结</w:t>
      </w:r>
    </w:p>
    <w:p w14:paraId="6DA249D2">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质量控制有效性评估</w:t>
      </w:r>
    </w:p>
    <w:p w14:paraId="577C3017">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hint="eastAsia" w:ascii="宋体" w:hAnsi="宋体" w:eastAsia="宋体" w:cs="宋体"/>
          <w:sz w:val="21"/>
          <w:szCs w:val="21"/>
          <w:lang w:val="en-US" w:eastAsia="zh-CN" w:bidi="ar-SA"/>
        </w:rPr>
        <w:t>结果和分析</w:t>
      </w:r>
    </w:p>
    <w:p w14:paraId="415A0EEB">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风险筛选值选取</w:t>
      </w:r>
    </w:p>
    <w:p w14:paraId="651E4B48">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地块水文地质情况</w:t>
      </w:r>
    </w:p>
    <w:p w14:paraId="3B17E547">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调查结果分析</w:t>
      </w:r>
    </w:p>
    <w:p w14:paraId="0CAB5CDA">
      <w:pPr>
        <w:keepNext w:val="0"/>
        <w:keepLines w:val="0"/>
        <w:pageBreakBefore w:val="0"/>
        <w:widowControl w:val="0"/>
        <w:numPr>
          <w:ilvl w:val="1"/>
          <w:numId w:val="32"/>
        </w:numPr>
        <w:kinsoku/>
        <w:wordWrap/>
        <w:overflowPunct/>
        <w:topLinePunct w:val="0"/>
        <w:autoSpaceDE w:val="0"/>
        <w:autoSpaceDN w:val="0"/>
        <w:bidi w:val="0"/>
        <w:adjustRightInd w:val="0"/>
        <w:snapToGrid w:val="0"/>
        <w:spacing w:line="279" w:lineRule="auto"/>
        <w:ind w:left="0" w:leftChars="0" w:firstLine="420" w:firstLineChars="200"/>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不确定性分析</w:t>
      </w:r>
    </w:p>
    <w:p w14:paraId="63B71481">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结论</w:t>
      </w:r>
      <w:r>
        <w:rPr>
          <w:rFonts w:hint="eastAsia" w:ascii="宋体" w:hAnsi="宋体" w:eastAsia="宋体" w:cs="宋体"/>
          <w:sz w:val="21"/>
          <w:szCs w:val="21"/>
          <w:lang w:val="en-US" w:eastAsia="zh-CN" w:bidi="ar-SA"/>
        </w:rPr>
        <w:t>与</w:t>
      </w:r>
      <w:r>
        <w:rPr>
          <w:rFonts w:ascii="宋体" w:hAnsi="宋体" w:eastAsia="宋体" w:cs="宋体"/>
          <w:sz w:val="21"/>
          <w:szCs w:val="21"/>
          <w:lang w:val="fr-FR" w:eastAsia="en-US" w:bidi="ar-SA"/>
        </w:rPr>
        <w:t>建议</w:t>
      </w:r>
    </w:p>
    <w:p w14:paraId="389B7D24">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279" w:lineRule="auto"/>
        <w:ind w:left="0" w:leftChars="0" w:firstLine="0" w:firstLineChars="0"/>
        <w:textAlignment w:val="auto"/>
        <w:rPr>
          <w:rFonts w:ascii="宋体" w:hAnsi="宋体" w:eastAsia="宋体" w:cs="宋体"/>
          <w:sz w:val="21"/>
          <w:szCs w:val="21"/>
          <w:lang w:val="fr-FR" w:eastAsia="en-US" w:bidi="ar-SA"/>
        </w:rPr>
      </w:pPr>
      <w:r>
        <w:rPr>
          <w:rFonts w:ascii="宋体" w:hAnsi="宋体" w:eastAsia="宋体" w:cs="宋体"/>
          <w:sz w:val="21"/>
          <w:szCs w:val="21"/>
          <w:lang w:val="fr-FR" w:eastAsia="en-US" w:bidi="ar-SA"/>
        </w:rPr>
        <w:t>附件</w:t>
      </w:r>
    </w:p>
    <w:p w14:paraId="462D8498">
      <w:pPr>
        <w:keepNext w:val="0"/>
        <w:keepLines w:val="0"/>
        <w:pageBreakBefore w:val="0"/>
        <w:widowControl w:val="0"/>
        <w:kinsoku/>
        <w:overflowPunct/>
        <w:topLinePunct w:val="0"/>
        <w:autoSpaceDE w:val="0"/>
        <w:autoSpaceDN w:val="0"/>
        <w:bidi w:val="0"/>
        <w:adjustRightInd w:val="0"/>
        <w:snapToGrid w:val="0"/>
        <w:rPr>
          <w:rFonts w:ascii="宋体" w:hAnsi="宋体" w:eastAsia="宋体" w:cs="宋体"/>
          <w:sz w:val="21"/>
          <w:szCs w:val="21"/>
          <w:lang w:val="fr-FR" w:eastAsia="en-US" w:bidi="ar-SA"/>
        </w:rPr>
      </w:pPr>
    </w:p>
    <w:p w14:paraId="12F11B51">
      <w:pPr>
        <w:keepNext w:val="0"/>
        <w:keepLines w:val="0"/>
        <w:pageBreakBefore w:val="0"/>
        <w:widowControl w:val="0"/>
        <w:kinsoku/>
        <w:overflowPunct/>
        <w:topLinePunct w:val="0"/>
        <w:autoSpaceDE w:val="0"/>
        <w:autoSpaceDN w:val="0"/>
        <w:bidi w:val="0"/>
        <w:adjustRightInd w:val="0"/>
        <w:snapToGrid w:val="0"/>
        <w:rPr>
          <w:rFonts w:ascii="宋体" w:hAnsi="宋体" w:eastAsia="宋体" w:cs="宋体"/>
          <w:sz w:val="21"/>
          <w:szCs w:val="21"/>
          <w:lang w:val="fr-FR" w:eastAsia="en-US" w:bidi="ar-SA"/>
        </w:rPr>
      </w:pPr>
    </w:p>
    <w:p w14:paraId="0F710BB7">
      <w:pPr>
        <w:keepNext w:val="0"/>
        <w:keepLines w:val="0"/>
        <w:pageBreakBefore w:val="0"/>
        <w:widowControl w:val="0"/>
        <w:kinsoku/>
        <w:overflowPunct/>
        <w:topLinePunct w:val="0"/>
        <w:autoSpaceDE w:val="0"/>
        <w:autoSpaceDN w:val="0"/>
        <w:bidi w:val="0"/>
        <w:adjustRightInd w:val="0"/>
        <w:snapToGrid w:val="0"/>
        <w:rPr>
          <w:rFonts w:ascii="宋体" w:hAnsi="宋体" w:eastAsia="宋体" w:cs="宋体"/>
          <w:sz w:val="21"/>
          <w:szCs w:val="21"/>
          <w:lang w:val="fr-FR" w:eastAsia="en-US" w:bidi="ar-SA"/>
        </w:rPr>
      </w:pPr>
    </w:p>
    <w:p w14:paraId="036AAED0">
      <w:pPr>
        <w:keepNext w:val="0"/>
        <w:keepLines w:val="0"/>
        <w:pageBreakBefore w:val="0"/>
        <w:widowControl w:val="0"/>
        <w:kinsoku/>
        <w:overflowPunct/>
        <w:topLinePunct w:val="0"/>
        <w:autoSpaceDE w:val="0"/>
        <w:autoSpaceDN w:val="0"/>
        <w:bidi w:val="0"/>
        <w:adjustRightInd w:val="0"/>
        <w:snapToGrid w:val="0"/>
        <w:rPr>
          <w:rFonts w:ascii="宋体" w:hAnsi="宋体" w:eastAsia="宋体" w:cs="宋体"/>
          <w:sz w:val="21"/>
          <w:szCs w:val="21"/>
          <w:lang w:val="fr-FR" w:eastAsia="en-US" w:bidi="ar-SA"/>
        </w:rPr>
      </w:pPr>
    </w:p>
    <w:p w14:paraId="5CCDBC96">
      <w:pPr>
        <w:keepNext w:val="0"/>
        <w:keepLines w:val="0"/>
        <w:pageBreakBefore w:val="0"/>
        <w:kinsoku/>
        <w:overflowPunct/>
        <w:topLinePunct w:val="0"/>
        <w:autoSpaceDE w:val="0"/>
        <w:autoSpaceDN w:val="0"/>
        <w:bidi w:val="0"/>
        <w:adjustRightInd w:val="0"/>
        <w:snapToGrid w:val="0"/>
        <w:spacing w:before="7"/>
        <w:rPr>
          <w:sz w:val="21"/>
          <w:szCs w:val="21"/>
        </w:rPr>
        <w:sectPr>
          <w:headerReference r:id="rId25" w:type="default"/>
          <w:headerReference r:id="rId26" w:type="even"/>
          <w:pgSz w:w="11910" w:h="16840"/>
          <w:pgMar w:top="1417" w:right="1134" w:bottom="1134" w:left="1417" w:header="1417" w:footer="1134" w:gutter="0"/>
          <w:pgNumType w:fmt="decimal"/>
          <w:cols w:space="0" w:num="1"/>
          <w:rtlGutter w:val="0"/>
          <w:docGrid w:linePitch="0" w:charSpace="0"/>
        </w:sectPr>
      </w:pPr>
      <w:r>
        <w:rPr>
          <w:rFonts w:ascii="宋体" w:hAnsi="宋体" w:eastAsia="宋体" w:cs="宋体"/>
          <w:sz w:val="21"/>
          <w:szCs w:val="21"/>
          <w:lang w:val="fr-FR" w:eastAsia="en-US" w:bidi="ar-SA"/>
        </w:rPr>
        <mc:AlternateContent>
          <mc:Choice Requires="wps">
            <w:drawing>
              <wp:anchor distT="0" distB="0" distL="114300" distR="114300" simplePos="0" relativeHeight="251693056" behindDoc="1" locked="0" layoutInCell="1" allowOverlap="1">
                <wp:simplePos x="0" y="0"/>
                <wp:positionH relativeFrom="page">
                  <wp:posOffset>2849880</wp:posOffset>
                </wp:positionH>
                <wp:positionV relativeFrom="paragraph">
                  <wp:posOffset>-41275</wp:posOffset>
                </wp:positionV>
                <wp:extent cx="1889760" cy="1270"/>
                <wp:effectExtent l="0" t="0" r="0" b="0"/>
                <wp:wrapTopAndBottom/>
                <wp:docPr id="75" name="任意多边形 75"/>
                <wp:cNvGraphicFramePr/>
                <a:graphic xmlns:a="http://schemas.openxmlformats.org/drawingml/2006/main">
                  <a:graphicData uri="http://schemas.microsoft.com/office/word/2010/wordprocessingShape">
                    <wps:wsp>
                      <wps:cNvSpPr/>
                      <wps:spPr>
                        <a:xfrm>
                          <a:off x="0" y="0"/>
                          <a:ext cx="1889760" cy="1270"/>
                        </a:xfrm>
                        <a:custGeom>
                          <a:avLst/>
                          <a:gdLst/>
                          <a:ahLst/>
                          <a:cxnLst/>
                          <a:pathLst>
                            <a:path w="2976">
                              <a:moveTo>
                                <a:pt x="0" y="0"/>
                              </a:moveTo>
                              <a:lnTo>
                                <a:pt x="2976" y="0"/>
                              </a:lnTo>
                            </a:path>
                          </a:pathLst>
                        </a:custGeom>
                        <a:noFill/>
                        <a:ln w="158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24.4pt;margin-top:-3.25pt;height:0.1pt;width:148.8pt;mso-position-horizontal-relative:page;mso-wrap-distance-bottom:0pt;mso-wrap-distance-top:0pt;z-index:-251623424;mso-width-relative:page;mso-height-relative:page;" filled="f" stroked="t" coordsize="2976,1" o:gfxdata="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LC5YdcAAAAJAQAADwAAAAAAAAABACAAAAAiAAAAZHJzL2Rvd25yZXYueG1sUEsB&#10;AhQAFAAAAAgAh07iQMG3rdAvAgAAiAQAAA4AAAAAAAAAAQAgAAAAJgEAAGRycy9lMm9Eb2MueG1s&#10;UEsFBgAAAAAGAAYAWQEAAMcFAAAAAA==&#10;" path="m0,0l2976,0e">
                <v:fill on="f" focussize="0,0"/>
                <v:stroke weight="1.25pt" color="#000000" joinstyle="round"/>
                <v:imagedata o:title=""/>
                <o:lock v:ext="edit" aspectratio="f"/>
                <w10:wrap type="topAndBottom"/>
              </v:shape>
            </w:pict>
          </mc:Fallback>
        </mc:AlternateContent>
      </w:r>
    </w:p>
    <w:p w14:paraId="2F6EBB7B">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3</w:t>
      </w:r>
    </w:p>
    <w:p w14:paraId="277D35D4">
      <w:pPr>
        <w:jc w:val="right"/>
        <w:rPr>
          <w:rFonts w:hint="default" w:eastAsia="宋体" w:cs="Times New Roman"/>
          <w:lang w:val="en-US" w:eastAsia="zh-CN"/>
        </w:rPr>
      </w:pPr>
      <w:r>
        <w:rPr>
          <w:rFonts w:hint="eastAsia" w:eastAsia="宋体" w:cs="Times New Roman"/>
          <w:lang w:val="en-US" w:eastAsia="zh-CN"/>
        </w:rPr>
        <w:t>计划编号：T-Z-06-2022221</w:t>
      </w:r>
    </w:p>
    <w:p w14:paraId="61E2511D">
      <w:pPr>
        <w:jc w:val="center"/>
        <w:rPr>
          <w:rFonts w:hint="eastAsia" w:ascii="黑体" w:hAnsi="黑体" w:eastAsia="黑体" w:cs="黑体"/>
          <w:sz w:val="52"/>
          <w:szCs w:val="52"/>
          <w:lang w:val="en-US" w:eastAsia="zh-CN"/>
        </w:rPr>
      </w:pPr>
    </w:p>
    <w:p w14:paraId="4782D682">
      <w:pPr>
        <w:jc w:val="center"/>
        <w:rPr>
          <w:rFonts w:hint="eastAsia" w:ascii="黑体" w:hAnsi="黑体" w:eastAsia="黑体" w:cs="黑体"/>
          <w:b w:val="0"/>
          <w:bCs w:val="0"/>
          <w:sz w:val="52"/>
          <w:szCs w:val="52"/>
          <w:lang w:val="en-US" w:eastAsia="zh-CN"/>
        </w:rPr>
      </w:pPr>
      <w:r>
        <w:rPr>
          <w:rFonts w:hint="eastAsia" w:ascii="黑体" w:hAnsi="黑体" w:eastAsia="黑体" w:cs="黑体"/>
          <w:b w:val="0"/>
          <w:bCs w:val="0"/>
          <w:sz w:val="52"/>
          <w:szCs w:val="52"/>
          <w:lang w:val="en-US" w:eastAsia="zh-CN"/>
        </w:rPr>
        <w:t>湖北省地方标准</w:t>
      </w:r>
    </w:p>
    <w:p w14:paraId="058B50B4">
      <w:pPr>
        <w:jc w:val="center"/>
        <w:rPr>
          <w:rFonts w:hint="default" w:eastAsia="宋体" w:cs="Times New Roman"/>
          <w:sz w:val="44"/>
          <w:szCs w:val="44"/>
          <w:lang w:val="en-US" w:eastAsia="zh-CN"/>
        </w:rPr>
      </w:pPr>
      <w:r>
        <w:rPr>
          <w:rFonts w:hint="eastAsia" w:ascii="宋体" w:hAnsi="宋体" w:eastAsia="宋体" w:cs="宋体"/>
          <w:b/>
          <w:bCs/>
          <w:sz w:val="36"/>
          <w:szCs w:val="36"/>
          <w:lang w:eastAsia="zh-CN"/>
        </w:rPr>
        <w:t>《</w:t>
      </w:r>
      <w:r>
        <w:rPr>
          <w:rFonts w:hint="eastAsia" w:ascii="宋体" w:hAnsi="宋体" w:eastAsia="宋体" w:cs="宋体"/>
          <w:b/>
          <w:bCs/>
          <w:sz w:val="36"/>
          <w:szCs w:val="36"/>
        </w:rPr>
        <w:t>建设用地土壤污染风险管控和修复</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第1部分：土壤污染状况调查技术规范</w:t>
      </w:r>
      <w:r>
        <w:rPr>
          <w:rFonts w:hint="eastAsia" w:ascii="宋体" w:hAnsi="宋体" w:eastAsia="宋体" w:cs="宋体"/>
          <w:b/>
          <w:bCs/>
          <w:sz w:val="36"/>
          <w:szCs w:val="36"/>
          <w:lang w:eastAsia="zh-CN"/>
        </w:rPr>
        <w:t>》</w:t>
      </w:r>
      <w:r>
        <w:rPr>
          <w:rFonts w:hint="eastAsia" w:ascii="宋体" w:hAnsi="宋体" w:eastAsia="宋体" w:cs="宋体"/>
          <w:b/>
          <w:bCs/>
          <w:sz w:val="36"/>
          <w:szCs w:val="36"/>
          <w:lang w:val="en-US" w:eastAsia="zh-CN"/>
        </w:rPr>
        <w:t>编制说明</w:t>
      </w:r>
    </w:p>
    <w:p w14:paraId="0D52F82F">
      <w:pPr>
        <w:rPr>
          <w:rFonts w:eastAsia="宋体" w:cs="Times New Roman"/>
        </w:rPr>
      </w:pPr>
    </w:p>
    <w:p w14:paraId="4F1F002D">
      <w:pPr>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征求意见稿</w:t>
      </w:r>
      <w:r>
        <w:rPr>
          <w:rFonts w:hint="eastAsia" w:ascii="黑体" w:hAnsi="黑体" w:eastAsia="黑体" w:cs="黑体"/>
          <w:sz w:val="28"/>
          <w:szCs w:val="28"/>
          <w:lang w:eastAsia="zh-CN"/>
        </w:rPr>
        <w:t>）</w:t>
      </w:r>
    </w:p>
    <w:p w14:paraId="1F707C0F">
      <w:pPr>
        <w:rPr>
          <w:rFonts w:eastAsia="宋体" w:cs="Times New Roman"/>
        </w:rPr>
      </w:pPr>
    </w:p>
    <w:p w14:paraId="270B8E80">
      <w:pPr>
        <w:rPr>
          <w:rFonts w:eastAsia="宋体" w:cs="Times New Roman"/>
        </w:rPr>
      </w:pPr>
    </w:p>
    <w:p w14:paraId="41A34868">
      <w:pPr>
        <w:rPr>
          <w:rFonts w:eastAsia="宋体" w:cs="Times New Roman"/>
        </w:rPr>
      </w:pPr>
    </w:p>
    <w:p w14:paraId="20348CF3">
      <w:pPr>
        <w:rPr>
          <w:rFonts w:eastAsia="宋体" w:cs="Times New Roman"/>
        </w:rPr>
      </w:pPr>
    </w:p>
    <w:p w14:paraId="73A97BEA">
      <w:pPr>
        <w:rPr>
          <w:rFonts w:eastAsia="宋体" w:cs="Times New Roman"/>
        </w:rPr>
      </w:pPr>
    </w:p>
    <w:p w14:paraId="16FF5E86">
      <w:pPr>
        <w:rPr>
          <w:rFonts w:eastAsia="宋体" w:cs="Times New Roman"/>
        </w:rPr>
      </w:pPr>
    </w:p>
    <w:p w14:paraId="143489A3">
      <w:pPr>
        <w:rPr>
          <w:rFonts w:eastAsia="宋体" w:cs="Times New Roman"/>
        </w:rPr>
      </w:pPr>
    </w:p>
    <w:p w14:paraId="04D86FF2">
      <w:pPr>
        <w:rPr>
          <w:rFonts w:eastAsia="宋体" w:cs="Times New Roman"/>
        </w:rPr>
      </w:pPr>
    </w:p>
    <w:p w14:paraId="2E788A17">
      <w:pPr>
        <w:rPr>
          <w:rFonts w:eastAsia="宋体" w:cs="Times New Roman"/>
        </w:rPr>
      </w:pPr>
    </w:p>
    <w:p w14:paraId="7117B3F3">
      <w:pPr>
        <w:rPr>
          <w:rFonts w:eastAsia="宋体" w:cs="Times New Roman"/>
        </w:rPr>
      </w:pPr>
    </w:p>
    <w:p w14:paraId="3B3E6C96">
      <w:pPr>
        <w:rPr>
          <w:rFonts w:eastAsia="宋体" w:cs="Times New Roman"/>
        </w:rPr>
      </w:pPr>
    </w:p>
    <w:p w14:paraId="0858CCFF">
      <w:pPr>
        <w:rPr>
          <w:rFonts w:eastAsia="宋体" w:cs="Times New Roman"/>
        </w:rPr>
      </w:pPr>
    </w:p>
    <w:p w14:paraId="37A00987">
      <w:pPr>
        <w:rPr>
          <w:rFonts w:eastAsia="宋体" w:cs="Times New Roman"/>
        </w:rPr>
      </w:pPr>
    </w:p>
    <w:p w14:paraId="590E44F3">
      <w:pPr>
        <w:rPr>
          <w:rFonts w:eastAsia="宋体" w:cs="Times New Roman"/>
        </w:rPr>
      </w:pPr>
    </w:p>
    <w:p w14:paraId="6BFE59BF">
      <w:pPr>
        <w:rPr>
          <w:rFonts w:eastAsia="宋体" w:cs="Times New Roman"/>
        </w:rPr>
      </w:pPr>
    </w:p>
    <w:p w14:paraId="150247B6">
      <w:pPr>
        <w:rPr>
          <w:rFonts w:eastAsia="宋体" w:cs="Times New Roman"/>
        </w:rPr>
      </w:pPr>
    </w:p>
    <w:p w14:paraId="0ED6384C">
      <w:pPr>
        <w:rPr>
          <w:rFonts w:eastAsia="宋体" w:cs="Times New Roman"/>
        </w:rPr>
      </w:pPr>
    </w:p>
    <w:p w14:paraId="4303C0C3">
      <w:pPr>
        <w:rPr>
          <w:rFonts w:eastAsia="宋体" w:cs="Times New Roman"/>
        </w:rPr>
      </w:pPr>
    </w:p>
    <w:p w14:paraId="631E6085">
      <w:pPr>
        <w:rPr>
          <w:rFonts w:eastAsia="宋体" w:cs="Times New Roman"/>
        </w:rPr>
      </w:pPr>
    </w:p>
    <w:p w14:paraId="4652E31E">
      <w:pPr>
        <w:rPr>
          <w:rFonts w:eastAsia="宋体" w:cs="Times New Roman"/>
        </w:rPr>
      </w:pPr>
    </w:p>
    <w:p w14:paraId="557F6A16">
      <w:pPr>
        <w:rPr>
          <w:rFonts w:eastAsia="宋体" w:cs="Times New Roman"/>
        </w:rPr>
      </w:pPr>
    </w:p>
    <w:p w14:paraId="58A52DD8">
      <w:pPr>
        <w:rPr>
          <w:rFonts w:eastAsia="宋体" w:cs="Times New Roman"/>
        </w:rPr>
      </w:pPr>
    </w:p>
    <w:p w14:paraId="5B9C9AEE">
      <w:pPr>
        <w:rPr>
          <w:rFonts w:eastAsia="宋体" w:cs="Times New Roman"/>
        </w:rPr>
      </w:pPr>
    </w:p>
    <w:p w14:paraId="2048148B">
      <w:pPr>
        <w:rPr>
          <w:rFonts w:eastAsia="宋体" w:cs="Times New Roman"/>
        </w:rPr>
      </w:pPr>
    </w:p>
    <w:p w14:paraId="04724965">
      <w:pPr>
        <w:jc w:val="center"/>
        <w:rPr>
          <w:rFonts w:hint="eastAsia" w:eastAsia="宋体" w:cs="Times New Roman"/>
          <w:b/>
          <w:bCs/>
          <w:sz w:val="32"/>
          <w:szCs w:val="32"/>
          <w:lang w:val="en-US" w:eastAsia="zh-CN"/>
        </w:rPr>
      </w:pPr>
      <w:r>
        <w:rPr>
          <w:rFonts w:hint="eastAsia" w:eastAsia="宋体" w:cs="Times New Roman"/>
          <w:b/>
          <w:bCs/>
          <w:sz w:val="32"/>
          <w:szCs w:val="32"/>
          <w:lang w:eastAsia="zh-CN"/>
        </w:rPr>
        <w:t>标准编制</w:t>
      </w:r>
      <w:r>
        <w:rPr>
          <w:rFonts w:hint="eastAsia" w:eastAsia="宋体" w:cs="Times New Roman"/>
          <w:b/>
          <w:bCs/>
          <w:sz w:val="32"/>
          <w:szCs w:val="32"/>
          <w:lang w:val="en-US" w:eastAsia="zh-CN"/>
        </w:rPr>
        <w:t>组</w:t>
      </w:r>
    </w:p>
    <w:p w14:paraId="5455A005">
      <w:pPr>
        <w:jc w:val="center"/>
        <w:rPr>
          <w:rFonts w:hint="eastAsia"/>
          <w:b/>
          <w:bCs/>
          <w:sz w:val="32"/>
          <w:szCs w:val="32"/>
          <w:lang w:val="en-US" w:eastAsia="zh-CN"/>
        </w:rPr>
        <w:sectPr>
          <w:headerReference r:id="rId27" w:type="default"/>
          <w:footerReference r:id="rId28" w:type="default"/>
          <w:pgSz w:w="11906" w:h="16838"/>
          <w:pgMar w:top="1440" w:right="1800" w:bottom="1440" w:left="1800" w:header="851" w:footer="992" w:gutter="0"/>
          <w:cols w:space="720" w:num="1"/>
          <w:docGrid w:type="lines" w:linePitch="312" w:charSpace="0"/>
        </w:sectPr>
      </w:pPr>
      <w:r>
        <w:rPr>
          <w:rFonts w:hint="eastAsia" w:eastAsia="宋体" w:cs="Times New Roman"/>
          <w:b/>
          <w:bCs/>
          <w:sz w:val="32"/>
          <w:szCs w:val="32"/>
          <w:lang w:val="en-US" w:eastAsia="zh-CN"/>
        </w:rPr>
        <w:t>二〇二四年四月</w:t>
      </w:r>
    </w:p>
    <w:p w14:paraId="440AC90D">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0"/>
        <w:rPr>
          <w:rFonts w:hint="default" w:ascii="Times New Roman" w:hAnsi="Times New Roman" w:eastAsia="宋体" w:cs="Times New Roman"/>
          <w:b/>
          <w:kern w:val="44"/>
          <w:sz w:val="44"/>
          <w:szCs w:val="24"/>
          <w:lang w:val="en-US" w:eastAsia="zh-CN" w:bidi="ar-SA"/>
        </w:rPr>
      </w:pPr>
      <w:r>
        <w:rPr>
          <w:rFonts w:hint="default" w:ascii="Times New Roman" w:hAnsi="Times New Roman" w:eastAsia="宋体" w:cs="Times New Roman"/>
          <w:b/>
          <w:kern w:val="44"/>
          <w:sz w:val="44"/>
          <w:szCs w:val="24"/>
          <w:lang w:val="en-US" w:eastAsia="zh-CN" w:bidi="ar-SA"/>
        </w:rPr>
        <w:t>1项目简介</w:t>
      </w:r>
    </w:p>
    <w:p w14:paraId="7273F2CF">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1.1研究背景</w:t>
      </w:r>
    </w:p>
    <w:p w14:paraId="58E34745">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随着城市化进程的加快，2010年前后，湖北省产生了大量的工矿企业搬迁腾退后的遗留地块，由于早期的工矿企业存在产品更新换代快、生产管理粗犷、集约化水平低、污染防治意识淡薄等一系列问题，导致大量的污染物泄露或排放至土壤中，污染物在土壤中迁移、转化和降解的速率低，且由于土壤污染的隐蔽性、滞后性、累计性和不可逆转性等特点，致使工矿企业遗留地块对场地后续开发造成了诸多不利的影响，如不经调查、修复，直接进入后续使用，极易对人类健康安全造成危害。另外伴随着产业转型升级政策的实施，推进城镇人口密集区危险化学品生产企业搬迁改造及长江大保护等工作的实施，湖北省产生了大量的化工企业停产后的遗留地块。</w:t>
      </w:r>
    </w:p>
    <w:p w14:paraId="3894BCBF">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武汉市赫山农药厂地块因开发过程中发生施工工人中毒事件，引起我省对化工场地搬迁腾退后遗留地块土壤污染风险的重视，自2007年起赫山地块前后开展了多次调查，揭开了我省建设用地土壤污染防治工作的开端，其后我省先后完成了诸如武汉染料厂、武汉无机盐厂、武汉环宇化工、</w:t>
      </w:r>
      <w:r>
        <w:rPr>
          <w:rFonts w:hint="default" w:ascii="Times New Roman" w:hAnsi="Times New Roman" w:eastAsia="宋体" w:cs="Times New Roman"/>
          <w:sz w:val="24"/>
          <w:szCs w:val="24"/>
          <w:lang w:val="en-US" w:eastAsia="zh-CN"/>
        </w:rPr>
        <w:t>武汉远大制药</w:t>
      </w:r>
      <w:r>
        <w:rPr>
          <w:rFonts w:hint="eastAsia" w:ascii="Times New Roman" w:hAnsi="Times New Roman" w:eastAsia="宋体" w:cs="Times New Roman"/>
          <w:sz w:val="24"/>
          <w:szCs w:val="24"/>
          <w:lang w:val="en-US" w:eastAsia="zh-CN"/>
        </w:rPr>
        <w:t>、武汉力诺化学、原葛店化工厂、武汉滨江化工、武汉冶炼厂、武汉有机实业、黄石东钢场地、荆州沙隆达场地等一系列调查难度大、污染程度深且污染情况复杂的建设用地土壤污染状况调查工作。在实际工作实施过程中，由于早期我国并未建立行之有效的土壤污染防治工作体系，相关的法律法规、标准体系、管理体系等均不完善，对我省建设用地土壤污染防治工作产生了一定程度的影响，省内数宗重污染场地存在多次调查甚至二次修复等情况，严重制约着我省建设用地土壤污染防治工作的开展。</w:t>
      </w:r>
    </w:p>
    <w:p w14:paraId="71985462">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2016年湖北省率先通过立法，颁布实施了《湖北省土壤污染防治条例》，对我省土壤污染防治工作进行了相关法律规定；同年，国务院印发《土壤污染防治行动计划》（国发〔2016〕31号）正式拉开了全国土壤污染防治的序幕，我省黄石市启动土壤污染综合防治先行区建设；湖北</w:t>
      </w:r>
      <w:r>
        <w:rPr>
          <w:rFonts w:hint="default" w:ascii="Times New Roman" w:hAnsi="Times New Roman" w:eastAsia="宋体" w:cs="Times New Roman"/>
          <w:sz w:val="24"/>
          <w:szCs w:val="24"/>
          <w:lang w:val="en-US" w:eastAsia="zh-CN"/>
        </w:rPr>
        <w:t>省人民政府</w:t>
      </w:r>
      <w:r>
        <w:rPr>
          <w:rFonts w:hint="eastAsia" w:ascii="Times New Roman" w:hAnsi="Times New Roman" w:eastAsia="宋体" w:cs="Times New Roman"/>
          <w:sz w:val="24"/>
          <w:szCs w:val="24"/>
          <w:lang w:val="en-US" w:eastAsia="zh-CN"/>
        </w:rPr>
        <w:t>随后</w:t>
      </w:r>
      <w:r>
        <w:rPr>
          <w:rFonts w:hint="default" w:ascii="Times New Roman" w:hAnsi="Times New Roman" w:eastAsia="宋体" w:cs="Times New Roman"/>
          <w:sz w:val="24"/>
          <w:szCs w:val="24"/>
          <w:lang w:val="en-US" w:eastAsia="zh-CN"/>
        </w:rPr>
        <w:t>印发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湖北省土壤污染防治行动计划工作方案</w:t>
      </w:r>
      <w:r>
        <w:rPr>
          <w:rFonts w:hint="eastAsia" w:ascii="Times New Roman" w:hAnsi="Times New Roman" w:eastAsia="宋体" w:cs="Times New Roman"/>
          <w:sz w:val="24"/>
          <w:szCs w:val="24"/>
          <w:lang w:val="en-US" w:eastAsia="zh-CN"/>
        </w:rPr>
        <w:t>》（鄂政发</w:t>
      </w:r>
      <w:r>
        <w:rPr>
          <w:rFonts w:hint="default" w:ascii="Times New Roman" w:hAnsi="Times New Roman" w:eastAsia="宋体" w:cs="Times New Roman"/>
          <w:b w:val="0"/>
          <w:bCs w:val="0"/>
          <w:i w:val="0"/>
          <w:iCs w:val="0"/>
          <w:caps w:val="0"/>
          <w:color w:val="auto"/>
          <w:spacing w:val="0"/>
          <w:sz w:val="24"/>
          <w:szCs w:val="24"/>
          <w:u w:val="none"/>
          <w:shd w:val="clear" w:color="auto" w:fill="FFFFFF"/>
          <w:lang w:val="en-US" w:eastAsia="zh-CN"/>
        </w:rPr>
        <w:t>〔20</w:t>
      </w:r>
      <w:r>
        <w:rPr>
          <w:rFonts w:hint="eastAsia" w:ascii="Times New Roman" w:hAnsi="Times New Roman" w:eastAsia="宋体" w:cs="Times New Roman"/>
          <w:b w:val="0"/>
          <w:bCs w:val="0"/>
          <w:i w:val="0"/>
          <w:iCs w:val="0"/>
          <w:caps w:val="0"/>
          <w:color w:val="auto"/>
          <w:spacing w:val="0"/>
          <w:sz w:val="24"/>
          <w:szCs w:val="24"/>
          <w:u w:val="none"/>
          <w:shd w:val="clear" w:color="auto" w:fill="FFFFFF"/>
          <w:lang w:val="en-US" w:eastAsia="zh-CN"/>
        </w:rPr>
        <w:t>16</w:t>
      </w:r>
      <w:r>
        <w:rPr>
          <w:rFonts w:hint="default" w:ascii="Times New Roman" w:hAnsi="Times New Roman" w:eastAsia="宋体" w:cs="Times New Roman"/>
          <w:b w:val="0"/>
          <w:bCs w:val="0"/>
          <w:i w:val="0"/>
          <w:iCs w:val="0"/>
          <w:caps w:val="0"/>
          <w:color w:val="auto"/>
          <w:spacing w:val="0"/>
          <w:sz w:val="24"/>
          <w:szCs w:val="24"/>
          <w:u w:val="none"/>
          <w:shd w:val="clear" w:color="auto" w:fill="FFFFFF"/>
          <w:lang w:val="en-US" w:eastAsia="zh-CN"/>
        </w:rPr>
        <w:t>〕</w:t>
      </w:r>
      <w:r>
        <w:rPr>
          <w:rFonts w:hint="eastAsia" w:ascii="Times New Roman" w:hAnsi="Times New Roman" w:eastAsia="宋体" w:cs="Times New Roman"/>
          <w:sz w:val="24"/>
          <w:szCs w:val="24"/>
          <w:lang w:val="en-US" w:eastAsia="zh-CN"/>
        </w:rPr>
        <w:t>85号），对我省土壤污染防治的任务进行了详细部署。《湖北省土壤污染防治条例》、《</w:t>
      </w:r>
      <w:r>
        <w:rPr>
          <w:rFonts w:hint="default" w:ascii="Times New Roman" w:hAnsi="Times New Roman" w:eastAsia="宋体" w:cs="Times New Roman"/>
          <w:sz w:val="24"/>
          <w:szCs w:val="24"/>
          <w:lang w:val="en-US" w:eastAsia="zh-CN"/>
        </w:rPr>
        <w:t>湖北省土壤污染防治行动计划工作方案</w:t>
      </w:r>
      <w:r>
        <w:rPr>
          <w:rFonts w:hint="eastAsia" w:ascii="Times New Roman" w:hAnsi="Times New Roman" w:eastAsia="宋体" w:cs="Times New Roman"/>
          <w:sz w:val="24"/>
          <w:szCs w:val="24"/>
          <w:lang w:val="en-US" w:eastAsia="zh-CN"/>
        </w:rPr>
        <w:t>》中均明确提出建立健全我省土壤环境保护有关标准体系。</w:t>
      </w:r>
    </w:p>
    <w:p w14:paraId="39B57A35">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2016年至2022年，国家先后蕴酿《污染地块土壤环境管理办法（试行）》、《建设用地土壤环境调查评估技术指南》、《土壤环境质量 建设用地土壤污染风险管控标准（试行）》（GB 36600-2018）、《中华人民共和国土壤污染防治法》、《污染地块风险管控与土壤修复效果评估技术导则（试行）》（HJ 25.5-2018）、《污染地块地下水修复和风险管控技术导则》（HJ 25.6-2019）、《建设用地土壤污染状况初步调查监督检查工作指南（试行）》、《建设用地土壤污染状况调查质量控制技术规定（试行）》等一系列与建设用地土壤污染防治有关的法律法规及标准规范，同时对HJ 25.1、HJ 25.2、HJ 25.3、HJ 25.4及HJ 682等相关环境保护行业技术规范进行了修订，使之更行之有效。至此，我国在建设用地土壤污染防治方面已基本形成成熟、系统、稳定的法律体系和技术标准体系。但国家层面的技术标准体系起草时需要考虑全国的整体状况，而且在一些方面的规定相对模糊，因此在我省实际实践过程中，也暴露了一些亟待解决的问题。</w:t>
      </w:r>
    </w:p>
    <w:p w14:paraId="6280763E">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鉴于此，我省认为研制湖北省建设用地土壤污染防治相关标准体系具有现实的迫切性，同时也有切实有效的前提和保障。结合我省近十年来在建设用地土壤污染防治工作实践方面积累的经验和教训，以及国内外相关的研究成果，进一步细化建设用地土壤污染防治技术要求、统一尺度，建立立足于我省经济发展状况、技术积累水平的地方标准，以便更好的指导我省建设用地土壤污染防治工作的开展，同时将有助于进一步了解和掌握地块土壤污染状况，明确土壤污染责任，对地块修复、风险管控、土地利用规划、开发利用等起到关键性的指引。</w:t>
      </w:r>
    </w:p>
    <w:p w14:paraId="6270D5FA">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2工作过程</w:t>
      </w:r>
    </w:p>
    <w:p w14:paraId="388905DC">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2021年，湖北省成立</w:t>
      </w:r>
      <w:r>
        <w:rPr>
          <w:rFonts w:hint="default" w:ascii="Times New Roman" w:hAnsi="Times New Roman" w:eastAsia="宋体" w:cs="Times New Roman"/>
          <w:sz w:val="24"/>
          <w:szCs w:val="24"/>
          <w:lang w:val="en-US" w:eastAsia="zh-CN"/>
        </w:rPr>
        <w:t>建设用地土壤污染防治</w:t>
      </w:r>
      <w:r>
        <w:rPr>
          <w:rFonts w:hint="eastAsia" w:ascii="Times New Roman" w:hAnsi="Times New Roman" w:eastAsia="宋体" w:cs="Times New Roman"/>
          <w:sz w:val="24"/>
          <w:szCs w:val="24"/>
          <w:lang w:val="en-US" w:eastAsia="zh-CN"/>
        </w:rPr>
        <w:t>标准编制组（以下简称“编制组”），开始筹划</w:t>
      </w:r>
      <w:r>
        <w:rPr>
          <w:rFonts w:hint="default" w:ascii="Times New Roman" w:hAnsi="Times New Roman" w:eastAsia="宋体" w:cs="Times New Roman"/>
          <w:sz w:val="24"/>
          <w:szCs w:val="24"/>
          <w:lang w:val="en-US" w:eastAsia="zh-CN"/>
        </w:rPr>
        <w:t>建设用地土壤污染防治</w:t>
      </w:r>
      <w:r>
        <w:rPr>
          <w:rFonts w:hint="eastAsia" w:ascii="Times New Roman" w:hAnsi="Times New Roman" w:eastAsia="宋体" w:cs="Times New Roman"/>
          <w:sz w:val="24"/>
          <w:szCs w:val="24"/>
          <w:lang w:val="en-US" w:eastAsia="zh-CN"/>
        </w:rPr>
        <w:t>系列标准的制订工作；</w:t>
      </w:r>
    </w:p>
    <w:p w14:paraId="6FBDABEB">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2022年3月，编制组完成《建设用地土壤污染状况调查技术规范标准查新报告》，为标准申报立项提供客观依据；</w:t>
      </w:r>
    </w:p>
    <w:p w14:paraId="5087899F">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2022年3-6月，编制组在系统分析国家相关技术规范的基础上，结合国际最新科研成果、国内其他省市地方标准、技术指南、技术审查要点制订情况，结合省内多个实际建设用地调查案例，形成了《建设用地土壤污染状况调查技术规范（草案）》及相关申报材料，并向湖北省市场监督管理局提交标准制订项目申报；</w:t>
      </w:r>
    </w:p>
    <w:p w14:paraId="0AC182AB">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2022年6月，湖北省市场监督管理局在武汉组织召开标准立项专家论证会，经专家组质询讨论，通过本标准立项评审；2022年7月，湖北省市场监督局发布《省市场监管局关于下达2022年度湖北省地方标准制修订项目计划（第一批）的通知》将本标准纳入制修订计划；</w:t>
      </w:r>
    </w:p>
    <w:p w14:paraId="4B275750">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2022年8月-2023年6月，标准编制组召开项目启动会，对标准的制订工作进行了分工，同时确定在全面调研我省已有污染地块调查报告的基础上开展本标准的制订工作；编制组对我省117个污染地块调查报告进行了全面调研，其后结合调研成果，修改完成了《建设用地土壤污染防治 第1部分：建设用地土壤污染状况调查技术规范（草案）》；</w:t>
      </w:r>
    </w:p>
    <w:p w14:paraId="36149158">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2023年7月-2023年9月，编制组多次组织建设</w:t>
      </w:r>
      <w:r>
        <w:rPr>
          <w:rFonts w:hint="default" w:ascii="Times New Roman" w:hAnsi="Times New Roman" w:eastAsia="宋体" w:cs="Times New Roman"/>
          <w:sz w:val="24"/>
          <w:szCs w:val="24"/>
          <w:lang w:val="en-US" w:eastAsia="zh-CN"/>
        </w:rPr>
        <w:t>用地土壤污染防治</w:t>
      </w:r>
      <w:r>
        <w:rPr>
          <w:rFonts w:hint="eastAsia" w:ascii="Times New Roman" w:hAnsi="Times New Roman" w:eastAsia="宋体" w:cs="Times New Roman"/>
          <w:sz w:val="24"/>
          <w:szCs w:val="24"/>
          <w:lang w:val="en-US" w:eastAsia="zh-CN"/>
        </w:rPr>
        <w:t>标准制订工作会议，就本标准组成、定位、范围、主要内容进行了反复研讨，并按照工作会议决议做出了相应修改；2023年10月，编制组编写完成了《建设用地土壤污染防治 第1部分：土壤污染状况调查技术规范（征求意见稿）》及其编制说明；</w:t>
      </w:r>
    </w:p>
    <w:p w14:paraId="2B7FA861">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2023年10月-2023年12月，编制组为提高本标准编制的可靠性，邀请10名国内相关领域的知名专家对本标准进行函审；</w:t>
      </w:r>
    </w:p>
    <w:p w14:paraId="14644472">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2024年1月-2024年3月，编制组结合专家函审意见对标准进行了修改，并修改了标准的名称，形成《建设用地土壤污染风险管控和修复 第1部分：土壤污染状况调查技术规范（征求意见稿）》及其编制说明。</w:t>
      </w:r>
    </w:p>
    <w:p w14:paraId="5F847118">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3</w:t>
      </w:r>
      <w:r>
        <w:rPr>
          <w:rFonts w:hint="default" w:ascii="Times New Roman" w:hAnsi="Times New Roman" w:eastAsia="宋体" w:cs="Times New Roman"/>
          <w:sz w:val="32"/>
          <w:szCs w:val="32"/>
          <w:lang w:val="en-US" w:eastAsia="zh-CN"/>
        </w:rPr>
        <w:t>政策依据</w:t>
      </w:r>
    </w:p>
    <w:p w14:paraId="2BB52C5A">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湖北省地方标准</w:t>
      </w:r>
      <w:r>
        <w:rPr>
          <w:rFonts w:hint="default" w:ascii="Times New Roman" w:hAnsi="Times New Roman" w:eastAsia="宋体" w:cs="Times New Roman"/>
          <w:sz w:val="24"/>
          <w:szCs w:val="24"/>
          <w:lang w:val="en-US" w:eastAsia="zh-CN"/>
        </w:rPr>
        <w:t>建设用地土壤污染风险管控和修复</w:t>
      </w:r>
      <w:r>
        <w:rPr>
          <w:rFonts w:hint="eastAsia" w:ascii="Times New Roman" w:hAnsi="Times New Roman" w:eastAsia="宋体" w:cs="Times New Roman"/>
          <w:sz w:val="24"/>
          <w:szCs w:val="24"/>
          <w:lang w:val="en-US" w:eastAsia="zh-CN"/>
        </w:rPr>
        <w:t>标准，计划围绕建设用地土壤污染风险管控和修复工作的不同方面，编制若干部分，力求在建设用地土壤污染风险管控和修复方面建立适合我省实际情况的系统性的标准体系。本标准为</w:t>
      </w:r>
      <w:r>
        <w:rPr>
          <w:rFonts w:hint="default" w:ascii="Times New Roman" w:hAnsi="Times New Roman" w:eastAsia="宋体" w:cs="Times New Roman"/>
          <w:sz w:val="24"/>
          <w:szCs w:val="24"/>
          <w:lang w:val="en-US" w:eastAsia="zh-CN"/>
        </w:rPr>
        <w:t>建设用地土壤污染风险管控和修复</w:t>
      </w:r>
      <w:r>
        <w:rPr>
          <w:rFonts w:hint="eastAsia" w:ascii="Times New Roman" w:hAnsi="Times New Roman" w:eastAsia="宋体" w:cs="Times New Roman"/>
          <w:sz w:val="24"/>
          <w:szCs w:val="24"/>
          <w:lang w:val="en-US" w:eastAsia="zh-CN"/>
        </w:rPr>
        <w:t>系列标准的第1部分：土壤污染状况调查技术规范，主要用于收集建设用地土壤污染相关信息、开展土壤污染状况调查、评估土壤污染水平等，为污染场地风险评估及修复提供重要的基础信息和数据。</w:t>
      </w:r>
    </w:p>
    <w:p w14:paraId="5CC04B5C">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《湖北省土壤污染防治条例》</w:t>
      </w:r>
      <w:r>
        <w:rPr>
          <w:rFonts w:hint="eastAsia" w:ascii="Times New Roman" w:hAnsi="Times New Roman" w:eastAsia="宋体" w:cs="Times New Roman"/>
          <w:sz w:val="24"/>
          <w:szCs w:val="24"/>
          <w:lang w:val="en-US" w:eastAsia="zh-CN"/>
        </w:rPr>
        <w:t>第十一条第一款规定：“省人民政府应当严格执行国家土壤环境保护和管理的标准，建立健全本省土壤环境保护有关标准体系，制定、完善土壤环境质量标准和土壤污染控制与修复技术规范。”本标准属于土壤污染控制与修复技术规范的范畴，本标准的制定是落实《</w:t>
      </w:r>
      <w:r>
        <w:rPr>
          <w:rFonts w:hint="default" w:ascii="Times New Roman" w:hAnsi="Times New Roman" w:eastAsia="宋体" w:cs="Times New Roman"/>
          <w:sz w:val="24"/>
          <w:szCs w:val="24"/>
          <w:lang w:val="en-US" w:eastAsia="zh-CN"/>
        </w:rPr>
        <w:t>湖北省土壤污染防治条例</w:t>
      </w:r>
      <w:r>
        <w:rPr>
          <w:rFonts w:hint="eastAsia" w:ascii="Times New Roman" w:hAnsi="Times New Roman" w:eastAsia="宋体" w:cs="Times New Roman"/>
          <w:sz w:val="24"/>
          <w:szCs w:val="24"/>
          <w:lang w:val="en-US" w:eastAsia="zh-CN"/>
        </w:rPr>
        <w:t>》有力举措。</w:t>
      </w:r>
    </w:p>
    <w:p w14:paraId="517D2CC9">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湖北省土壤污染防治行动计划工作方案</w:t>
      </w:r>
      <w:r>
        <w:rPr>
          <w:rFonts w:hint="eastAsia" w:ascii="Times New Roman" w:hAnsi="Times New Roman" w:eastAsia="宋体" w:cs="Times New Roman"/>
          <w:sz w:val="24"/>
          <w:szCs w:val="24"/>
          <w:lang w:val="en-US" w:eastAsia="zh-CN"/>
        </w:rPr>
        <w:t>》（一）总体要求中规定：“</w:t>
      </w:r>
      <w:r>
        <w:rPr>
          <w:rFonts w:hint="default" w:ascii="Times New Roman" w:hAnsi="Times New Roman" w:eastAsia="宋体" w:cs="Times New Roman"/>
          <w:sz w:val="24"/>
          <w:szCs w:val="24"/>
          <w:lang w:val="en-US" w:eastAsia="zh-CN"/>
        </w:rPr>
        <w:t>着力构建全省土壤环境保护的法规标准体系、能力基础体系、治理修复体系、监管执法体系、技术支撑体系、考核评估体系和责任追究体系，夯实全省土壤环境保护基础</w:t>
      </w:r>
      <w:r>
        <w:rPr>
          <w:rFonts w:hint="eastAsia" w:ascii="Times New Roman" w:hAnsi="Times New Roman" w:eastAsia="宋体" w:cs="Times New Roman"/>
          <w:sz w:val="24"/>
          <w:szCs w:val="24"/>
          <w:lang w:val="en-US" w:eastAsia="zh-CN"/>
        </w:rPr>
        <w:t>。”（二十七）完善全省土壤污染防治法规标准中规定：“根据国家土壤污染防治相关标准和技术规范，针对全省优先保护区、潜在风险防控区土壤污染特征因子，适时制定地方污染物排放标准，进一步严格污染物控制要求。”本标准制定是落实《</w:t>
      </w:r>
      <w:r>
        <w:rPr>
          <w:rFonts w:hint="default" w:ascii="Times New Roman" w:hAnsi="Times New Roman" w:eastAsia="宋体" w:cs="Times New Roman"/>
          <w:sz w:val="24"/>
          <w:szCs w:val="24"/>
          <w:lang w:val="en-US" w:eastAsia="zh-CN"/>
        </w:rPr>
        <w:t>湖北省土壤污染防治行动计划工作方案</w:t>
      </w:r>
      <w:r>
        <w:rPr>
          <w:rFonts w:hint="eastAsia" w:ascii="Times New Roman" w:hAnsi="Times New Roman" w:eastAsia="宋体" w:cs="Times New Roman"/>
          <w:sz w:val="24"/>
          <w:szCs w:val="24"/>
          <w:lang w:val="en-US" w:eastAsia="zh-CN"/>
        </w:rPr>
        <w:t>》的有关要求。</w:t>
      </w:r>
    </w:p>
    <w:p w14:paraId="3ADE58CB">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sz w:val="32"/>
          <w:szCs w:val="32"/>
          <w:lang w:val="en-US" w:eastAsia="zh-CN"/>
        </w:rPr>
      </w:pPr>
      <w:r>
        <w:rPr>
          <w:rFonts w:hint="eastAsia" w:ascii="Times New Roman" w:hAnsi="Times New Roman" w:eastAsia="宋体" w:cs="Times New Roman"/>
          <w:b/>
          <w:sz w:val="32"/>
          <w:szCs w:val="32"/>
          <w:lang w:val="en-US" w:eastAsia="zh-CN"/>
        </w:rPr>
        <w:t>1.4编制依据</w:t>
      </w:r>
    </w:p>
    <w:p w14:paraId="0C225E17">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1.4.1法律法规</w:t>
      </w:r>
    </w:p>
    <w:p w14:paraId="3EE649A6">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（1）《中华人民共和国环境保护法》（1989年12月26日第七届全国人民代表大会常务委员会第十一次会议通过，2014年4月24日第十二届全国人民代表大会常务委员会第八次会议修订）；</w:t>
      </w:r>
    </w:p>
    <w:p w14:paraId="5D6A132D">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（2）《中华人民共和国土壤污染防治法》（2018年8月31日第十三届全国人民代表大会常务委员会第五次会议通过）；</w:t>
      </w:r>
    </w:p>
    <w:p w14:paraId="44FDD9AA">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中华人民共和国固体废物污染环境防治法》（1995年10月30日第八届全国人民代表大会常务委员会第十六次会议通过，2004年12月29日第十届全国人民代表大会常务委员会第十三次会议第一次修订，根据2013年6月29日第十二届全国人民代表大会常务委员会第三次会议《关于修改〈中华人民共和国文物保护法〉等十二部法律的决定》第一次修正，根据2015年4月24日第十二届全国人民代表大会常务委员会第十四次会议《关于修改〈中华人民共和国港口法〉等七部法律的决定》第二次修正，根据2016年11月7日第十二届全国人民代表大会常务委员会第二十四次会议《关于修改〈中华人民共和国对外贸易法〉等十二部法律的决定》第三次修正，2020年4月29日第十三届全国人民代表大会常务委员会第十七次会议第二次修订）；</w:t>
      </w:r>
    </w:p>
    <w:p w14:paraId="666D72A9">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湖北省土壤污染防治条例》（2016年2月1日湖北省第十二届人民代表大会第四次会议通过，根据2019年11月29日湖北省第十三届人民代表大会常务委员会第十二次会议《关于集中修改、废止部分省本级地方性法规的决定》修正）。</w:t>
      </w:r>
    </w:p>
    <w:p w14:paraId="37496366">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1.4.2部门规章</w:t>
      </w:r>
    </w:p>
    <w:p w14:paraId="6E253663">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（1）《污染地块土壤环境管理办法》（2016年12月31日环境保护部令第42号公布，自2017年7月1日起施行）；</w:t>
      </w:r>
    </w:p>
    <w:p w14:paraId="497D7A61">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（2）《工矿用地土壤环境管理办法（试行）》（2018年5月3日生态环境部令第3号公布，自2018年8月1日起施行）。</w:t>
      </w:r>
    </w:p>
    <w:p w14:paraId="0429A41C">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1.4.3政策及相关文件</w:t>
      </w:r>
    </w:p>
    <w:p w14:paraId="1AF8AFFB">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（1）《关于保障工业企业场地再开发利用环境安全的通知》（环发〔2012〕140号）；</w:t>
      </w:r>
    </w:p>
    <w:p w14:paraId="71207CA0">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（2）《关于加强工业企业关停、搬迁及原址场地再开发利用过程中污染防治工作的通知》（环发〔2014〕66号）；</w:t>
      </w:r>
    </w:p>
    <w:p w14:paraId="77B374B5">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（3）《关于发布&lt;工业企业场地环境调查评估与修复工作指南（试行）&gt;的公告》（环境保护部 公告 2014年 第78号）；</w:t>
      </w:r>
    </w:p>
    <w:p w14:paraId="72F4958A">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（4）《国务院关于印发土壤污染防治行动计划的通知》（国发〔2016〕31号）；</w:t>
      </w:r>
    </w:p>
    <w:p w14:paraId="76D62753">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（5）《关于发布&lt;建设用地土壤环境调查评估技术指南&gt;的公告》（生态环境部 公告 2017年第72号）；</w:t>
      </w:r>
    </w:p>
    <w:p w14:paraId="5511171D">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（6）《建设用地土壤污染状况调查、风险评估、风险管控及修复效果评估报告评审指南》（环办土壤〔2019〕63号）</w:t>
      </w:r>
    </w:p>
    <w:p w14:paraId="7B954DCF">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（7）《关于印发&lt;地下水环境状况调查评价工作指南&gt;等4项技术文件的通知》（环办土壤函〔2019〕770号）；</w:t>
      </w:r>
    </w:p>
    <w:p w14:paraId="3CC9179D">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（8）《关于发布&lt;建设用地土壤污染状况初步调查监督检查工作指南（试行）&gt;&lt;建设用地土壤污染状况调查质量控制技术规定（试行）&gt;的公告》（生态环境部 公告 2022年 第17号）；</w:t>
      </w:r>
    </w:p>
    <w:p w14:paraId="05B5773F">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（9）《省人民政府关于印发湖北省土壤污染防治行动计划工作方案的通知》（鄂政发〔2016〕85号）。</w:t>
      </w:r>
    </w:p>
    <w:p w14:paraId="460E71F9">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1.4.4标准规范</w:t>
      </w:r>
    </w:p>
    <w:p w14:paraId="112EB091">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（1）《地下水质量标准》（GB/T 14848）；</w:t>
      </w:r>
    </w:p>
    <w:p w14:paraId="1FF8D7C2">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（2）《土壤环境质量 建设用地土壤污染风险管控标准（试行）》（GB 36600）；</w:t>
      </w:r>
    </w:p>
    <w:p w14:paraId="325F7D15">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（3）《危险废物鉴别标准 腐蚀性鉴别》（GB 5085.1）；</w:t>
      </w:r>
    </w:p>
    <w:p w14:paraId="553AB30E">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（4）《危险废物鉴别标准 急性毒性初筛》（GB 5085.2）；</w:t>
      </w:r>
    </w:p>
    <w:p w14:paraId="6AFCFBCC">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（5）《危险废物鉴别标准 浸出毒性鉴别》（GB 5085.3）；</w:t>
      </w:r>
    </w:p>
    <w:p w14:paraId="31AE7627">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（6）《危险废物鉴别标准 易燃性鉴别》（GB 5085.4）；</w:t>
      </w:r>
    </w:p>
    <w:p w14:paraId="42C341F9">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（7）《危险废物鉴别标准 反应性鉴别》（GB 5085.5）；</w:t>
      </w:r>
    </w:p>
    <w:p w14:paraId="43D247F3">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（8）《危险废物鉴别标准 毒性物质含量鉴别》（GB 5085.6）；</w:t>
      </w:r>
    </w:p>
    <w:p w14:paraId="34FA6217">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（9）《危险废物鉴别标准 通则》（GB 5085.7）；</w:t>
      </w:r>
    </w:p>
    <w:p w14:paraId="2625929C">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（10）《生活饮用水卫生标准》（GB 5749）；</w:t>
      </w:r>
    </w:p>
    <w:p w14:paraId="3CBDBC10">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（11）《建设用地土壤污染状况调查技术导则》（HJ 25.1）；</w:t>
      </w:r>
    </w:p>
    <w:p w14:paraId="6893DDD7">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（12）《建设用地土壤污染风险管控和修复监测技术导则》（HJ 25.2）；</w:t>
      </w:r>
    </w:p>
    <w:p w14:paraId="1B544DC8">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（13）《建设用地土壤污染风险评估技术导则》（HJ 25.3）；</w:t>
      </w:r>
    </w:p>
    <w:p w14:paraId="0C8E4B37">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（14）《建设用地土壤修复技术导则》（HJ 25.4）；</w:t>
      </w:r>
    </w:p>
    <w:p w14:paraId="04CB777F">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（15）《污染地块风险管控与土壤修复效果评估技术导则》（HJ 25.5）；</w:t>
      </w:r>
    </w:p>
    <w:p w14:paraId="5A09EBDD">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（16）《地下水环境监测技术规范》（HJ 164）；</w:t>
      </w:r>
    </w:p>
    <w:p w14:paraId="19FC478A">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（17）《土壤环境监测技术规范》（HJ/T 166）；</w:t>
      </w:r>
    </w:p>
    <w:p w14:paraId="60507AFE">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（18）《危险废物鉴别技术规范》（HJ 298）；</w:t>
      </w:r>
    </w:p>
    <w:p w14:paraId="3C997AEB">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（19）《建设用地土壤污染风险管控和修复术语》（HJ 682）；</w:t>
      </w:r>
    </w:p>
    <w:p w14:paraId="2DF7472D">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（20）《地块土壤和地下水中挥发性有机物采样技术导则》（HJ 1019）；</w:t>
      </w:r>
    </w:p>
    <w:p w14:paraId="1BB5A4F8">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（21）《工业企业土壤和地下水自行监测技术指南（试行）》（HJ 1209）。</w:t>
      </w:r>
    </w:p>
    <w:p w14:paraId="4F4F76A3">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1.4.5参考资料</w:t>
      </w:r>
    </w:p>
    <w:p w14:paraId="6E4CAB0E">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（1）深圳市地方标准《建设用地土壤污染风险筛选值和管制值》（DB/T 67-2020）；</w:t>
      </w:r>
    </w:p>
    <w:p w14:paraId="2496ECD3">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（2）广州市地方标准《建设用地土壤污染防治 第1部分：污染状况调查技术规范》（DB4401/T 102.1—2020）；</w:t>
      </w:r>
    </w:p>
    <w:p w14:paraId="71FD26C8">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（3）《上海市建设用地土壤污染状况调查、风险评估、风险管控与修复方案编制、风险管控与修复效果评估工作的补充规定（试行）》（沪环土〔2020〕62号）；</w:t>
      </w:r>
    </w:p>
    <w:p w14:paraId="2284D153">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（4）《武汉市建设用地土壤污染状况调查工作指南（试行）》。</w:t>
      </w:r>
    </w:p>
    <w:p w14:paraId="60C3EB35">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5主要内容</w:t>
      </w:r>
    </w:p>
    <w:p w14:paraId="216BE727">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标准共由11部分组成，包括：前言、引言、1范围、2规范性引用文件、3术语和定义、4工作程序、5第一阶段土壤污染状况调查、6第二阶段土壤污染状况调查、7第三阶段土壤污染状况调查、8报告编制和资料性附录。</w:t>
      </w:r>
    </w:p>
    <w:p w14:paraId="1018E840">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6与相关法律法规、产业政策的符合性</w:t>
      </w:r>
    </w:p>
    <w:p w14:paraId="1B3DA9E3">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2016年发布的</w:t>
      </w:r>
      <w:r>
        <w:rPr>
          <w:rFonts w:hint="default" w:ascii="Times New Roman" w:hAnsi="Times New Roman" w:eastAsia="宋体" w:cs="Times New Roman"/>
          <w:sz w:val="24"/>
          <w:szCs w:val="24"/>
          <w:lang w:val="en-US" w:eastAsia="zh-CN"/>
        </w:rPr>
        <w:t>《湖北省土壤污染防治条例》</w:t>
      </w:r>
      <w:r>
        <w:rPr>
          <w:rFonts w:hint="eastAsia" w:ascii="Times New Roman" w:hAnsi="Times New Roman" w:eastAsia="宋体" w:cs="Times New Roman"/>
          <w:sz w:val="24"/>
          <w:szCs w:val="24"/>
          <w:lang w:val="en-US" w:eastAsia="zh-CN"/>
        </w:rPr>
        <w:t>要求“建立健全本省土壤环境保护有关标准体系”，《土壤污染防治行动计划》要求“健全土壤污染防治相关标准和技术规范”，《</w:t>
      </w:r>
      <w:r>
        <w:rPr>
          <w:rFonts w:hint="default" w:ascii="Times New Roman" w:hAnsi="Times New Roman" w:eastAsia="宋体" w:cs="Times New Roman"/>
          <w:sz w:val="24"/>
          <w:szCs w:val="24"/>
          <w:lang w:val="en-US" w:eastAsia="zh-CN"/>
        </w:rPr>
        <w:t>湖北省土壤污染防治行动计划工作方案</w:t>
      </w:r>
      <w:r>
        <w:rPr>
          <w:rFonts w:hint="eastAsia" w:ascii="Times New Roman" w:hAnsi="Times New Roman" w:eastAsia="宋体" w:cs="Times New Roman"/>
          <w:sz w:val="24"/>
          <w:szCs w:val="24"/>
          <w:lang w:val="en-US" w:eastAsia="zh-CN"/>
        </w:rPr>
        <w:t>》要求“</w:t>
      </w:r>
      <w:r>
        <w:rPr>
          <w:rFonts w:hint="default" w:ascii="Times New Roman" w:hAnsi="Times New Roman" w:eastAsia="宋体" w:cs="Times New Roman"/>
          <w:sz w:val="24"/>
          <w:szCs w:val="24"/>
          <w:lang w:val="en-US" w:eastAsia="zh-CN"/>
        </w:rPr>
        <w:t>着力构建全省土壤环境保护的法规标准体系</w:t>
      </w:r>
      <w:r>
        <w:rPr>
          <w:rFonts w:hint="eastAsia" w:ascii="Times New Roman" w:hAnsi="Times New Roman" w:eastAsia="宋体" w:cs="Times New Roman"/>
          <w:sz w:val="24"/>
          <w:szCs w:val="24"/>
          <w:lang w:val="en-US" w:eastAsia="zh-CN"/>
        </w:rPr>
        <w:t>”；2019年《中华人民共和国土壤污染防治法》要求“加强土壤污染防治标准体系建设”。</w:t>
      </w:r>
    </w:p>
    <w:p w14:paraId="248C3929">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因此本标准的制订是上述法律法规、政策文件的工作要求，是推动我省</w:t>
      </w:r>
      <w:r>
        <w:rPr>
          <w:rFonts w:hint="default" w:ascii="Times New Roman" w:hAnsi="Times New Roman" w:eastAsia="宋体" w:cs="Times New Roman"/>
          <w:sz w:val="24"/>
          <w:szCs w:val="24"/>
          <w:lang w:val="en-US" w:eastAsia="zh-CN"/>
        </w:rPr>
        <w:t>建设用地土壤污染风险管控和修复</w:t>
      </w:r>
      <w:r>
        <w:rPr>
          <w:rFonts w:hint="eastAsia" w:ascii="Times New Roman" w:hAnsi="Times New Roman" w:eastAsia="宋体" w:cs="Times New Roman"/>
          <w:sz w:val="24"/>
          <w:szCs w:val="24"/>
          <w:lang w:val="en-US" w:eastAsia="zh-CN"/>
        </w:rPr>
        <w:t>工作的有力保障，是我省土壤环境质量改善、保障公众健康和人居环境安全的重要举措。</w:t>
      </w:r>
    </w:p>
    <w:p w14:paraId="7E1F62C8">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sz w:val="32"/>
          <w:szCs w:val="32"/>
          <w:lang w:val="en-US" w:eastAsia="zh-CN"/>
        </w:rPr>
      </w:pPr>
      <w:r>
        <w:rPr>
          <w:rFonts w:hint="eastAsia" w:ascii="Times New Roman" w:hAnsi="Times New Roman" w:eastAsia="宋体" w:cs="Times New Roman"/>
          <w:b/>
          <w:sz w:val="32"/>
          <w:szCs w:val="32"/>
          <w:lang w:val="en-US" w:eastAsia="zh-CN"/>
        </w:rPr>
        <w:t>1.7与相关国家标准和行业标准的协调性</w:t>
      </w:r>
    </w:p>
    <w:p w14:paraId="07CBAEB9">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本标准为湖北省地方标准，</w:t>
      </w:r>
      <w:r>
        <w:rPr>
          <w:rFonts w:hint="default" w:ascii="Times New Roman" w:hAnsi="Times New Roman" w:eastAsia="宋体" w:cs="Times New Roman"/>
          <w:sz w:val="24"/>
          <w:szCs w:val="24"/>
          <w:lang w:val="en-US" w:eastAsia="zh-CN"/>
        </w:rPr>
        <w:t>建设用地土壤污染风险管控和修复</w:t>
      </w:r>
      <w:r>
        <w:rPr>
          <w:rFonts w:hint="eastAsia" w:ascii="Times New Roman" w:hAnsi="Times New Roman" w:eastAsia="宋体" w:cs="Times New Roman"/>
          <w:sz w:val="24"/>
          <w:szCs w:val="24"/>
          <w:lang w:val="en-US" w:eastAsia="zh-CN"/>
        </w:rPr>
        <w:t>系列标准的组成部分，主要针对建设用地土壤污染状况调查，对范围、工程程序、工作内容等进行了相关要求。</w:t>
      </w:r>
    </w:p>
    <w:p w14:paraId="4BD98387">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2014年，原环境保护部（现生态环境部）为保护生态环境、保障人体健康，加强污染场地环境监督管理，规范场地环境调查，制订了《场地环境调查技术导则》（HJ 25.1-2014）和《场地环境监测技术导则》（HJ 25.2-2014），2019年，对其进行了修订，并更名为《建设用地土壤污染状况调查技术导则》（HJ 25.1-2019）和《建设用地土壤污染风险管控和修复监测技术导则》（HJ 25.2-2019）。</w:t>
      </w:r>
    </w:p>
    <w:p w14:paraId="7EBBA719">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从本标准与相关国家标准和行业标准的关系来看，本标准属于对环境保护行业标准《建设用地土壤污染状况调查技术导则》（HJ 25.1）、《建设用地土壤污染风险管控和修复监测技术导则》（HJ 25.2）和生态环境部相关文件中关于建设用地土壤污染状况调查技术要求，结合湖北省实情的进一步细化及补充，是对我省开展建设用地土壤污染状况调查工作实际过程中发现的、亟待解决的问题的探索，是对我省近十年来开展建设用地土壤污染状况调查研究成果的应用。</w:t>
      </w:r>
    </w:p>
    <w:p w14:paraId="45656813">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0"/>
        <w:rPr>
          <w:rFonts w:hint="default" w:ascii="Times New Roman" w:hAnsi="Times New Roman" w:eastAsia="宋体" w:cs="Times New Roman"/>
          <w:b/>
          <w:kern w:val="44"/>
          <w:sz w:val="44"/>
          <w:szCs w:val="24"/>
          <w:lang w:val="en-US" w:eastAsia="zh-CN" w:bidi="ar-SA"/>
        </w:rPr>
      </w:pPr>
      <w:r>
        <w:rPr>
          <w:rFonts w:hint="eastAsia" w:ascii="Times New Roman" w:hAnsi="Times New Roman" w:eastAsia="宋体" w:cs="Times New Roman"/>
          <w:b/>
          <w:kern w:val="44"/>
          <w:sz w:val="44"/>
          <w:szCs w:val="24"/>
          <w:lang w:val="en-US" w:eastAsia="zh-CN" w:bidi="ar-SA"/>
        </w:rPr>
        <w:t>2技术路线</w:t>
      </w:r>
    </w:p>
    <w:p w14:paraId="63DBCE53">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2</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层次结构</w:t>
      </w:r>
    </w:p>
    <w:p w14:paraId="07DF3CBF">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标准共由11部分组成</w:t>
      </w:r>
      <w:r>
        <w:rPr>
          <w:rFonts w:hint="eastAsia" w:ascii="Times New Roman" w:hAnsi="Times New Roman" w:eastAsia="宋体" w:cs="Times New Roman"/>
          <w:sz w:val="24"/>
          <w:szCs w:val="24"/>
          <w:lang w:val="en-US" w:eastAsia="zh-CN"/>
        </w:rPr>
        <w:t>，包括：</w:t>
      </w:r>
    </w:p>
    <w:p w14:paraId="4680433B">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前  言</w:t>
      </w:r>
    </w:p>
    <w:p w14:paraId="6B0AC42B">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引  言</w:t>
      </w:r>
    </w:p>
    <w:p w14:paraId="664E3565">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 范围</w:t>
      </w:r>
    </w:p>
    <w:p w14:paraId="132EEE61">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 规范性引用文件</w:t>
      </w:r>
    </w:p>
    <w:p w14:paraId="39AC45F0">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 术语和定义</w:t>
      </w:r>
    </w:p>
    <w:p w14:paraId="0A8AC2C6">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 工作程序</w:t>
      </w:r>
    </w:p>
    <w:p w14:paraId="0C721355">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 第一阶段土壤污染状况调查</w:t>
      </w:r>
    </w:p>
    <w:p w14:paraId="7C267C8B">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4.2 第二阶段土壤污染状况调查</w:t>
      </w:r>
    </w:p>
    <w:p w14:paraId="633BA4F0">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4.3 第三阶段土壤污染状况调查</w:t>
      </w:r>
    </w:p>
    <w:p w14:paraId="6C390054">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 第一阶段土壤污染状况调查</w:t>
      </w:r>
    </w:p>
    <w:p w14:paraId="04B9D9E4">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5.1 资料收集与分析</w:t>
      </w:r>
    </w:p>
    <w:p w14:paraId="17F4A46E">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5.2 现场踏勘</w:t>
      </w:r>
    </w:p>
    <w:p w14:paraId="184982E3">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5.3 人员访谈</w:t>
      </w:r>
    </w:p>
    <w:p w14:paraId="46622C7D">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5.4 结果分析与结论</w:t>
      </w:r>
    </w:p>
    <w:p w14:paraId="029DCF8A">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 第二阶段土壤污染状况调查</w:t>
      </w:r>
    </w:p>
    <w:p w14:paraId="7ECF5648">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6.1 初步采样分析工作计划</w:t>
      </w:r>
    </w:p>
    <w:p w14:paraId="4835632B">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6.2 详细采样分析工作计划</w:t>
      </w:r>
    </w:p>
    <w:p w14:paraId="79D3614E">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6.3 现场采样</w:t>
      </w:r>
    </w:p>
    <w:p w14:paraId="4035E259">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6.4 数据评估与分析</w:t>
      </w:r>
    </w:p>
    <w:p w14:paraId="22D1761B">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 第三阶段土壤污染状况调查</w:t>
      </w:r>
    </w:p>
    <w:p w14:paraId="17119FE3">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7.1 主要工作内容</w:t>
      </w:r>
    </w:p>
    <w:p w14:paraId="637D9970">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7.2 调查方法</w:t>
      </w:r>
    </w:p>
    <w:p w14:paraId="72072088">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 报告编制</w:t>
      </w:r>
    </w:p>
    <w:p w14:paraId="224E1B58">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8.1 报告内容和格式</w:t>
      </w:r>
    </w:p>
    <w:p w14:paraId="415AF72D">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8.2 报告形式要求</w:t>
      </w:r>
    </w:p>
    <w:p w14:paraId="2048DAB5">
      <w:pPr>
        <w:spacing w:line="360" w:lineRule="auto"/>
        <w:ind w:left="420" w:leftChars="0"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8.3 附件要求</w:t>
      </w:r>
    </w:p>
    <w:p w14:paraId="5506E884">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附录A 现场踏勘记录表参考内容与格式</w:t>
      </w:r>
    </w:p>
    <w:p w14:paraId="1EAEE64C">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附录B 人员访谈记录表参考内容与格式</w:t>
      </w:r>
    </w:p>
    <w:p w14:paraId="3E88846A">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附录C 现场采样记录表参考内容与格式</w:t>
      </w:r>
    </w:p>
    <w:p w14:paraId="1578EA43">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附录D 调查报告编制大纲参考内容与格式</w:t>
      </w:r>
    </w:p>
    <w:p w14:paraId="41576AF4">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2</w:t>
      </w:r>
      <w:r>
        <w:rPr>
          <w:rFonts w:hint="default" w:ascii="Times New Roman" w:hAnsi="Times New Roman" w:eastAsia="宋体" w:cs="Times New Roman"/>
          <w:sz w:val="32"/>
          <w:szCs w:val="32"/>
          <w:lang w:val="en-US" w:eastAsia="zh-CN"/>
        </w:rPr>
        <w:t>.</w:t>
      </w:r>
      <w:r>
        <w:rPr>
          <w:rFonts w:hint="eastAsia" w:ascii="Times New Roman" w:hAnsi="Times New Roman" w:eastAsia="宋体" w:cs="Times New Roman"/>
          <w:sz w:val="32"/>
          <w:szCs w:val="32"/>
          <w:lang w:val="en-US" w:eastAsia="zh-CN"/>
        </w:rPr>
        <w:t>2主要技术要点</w:t>
      </w:r>
    </w:p>
    <w:p w14:paraId="7F6E8E73">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2.2.1范围</w:t>
      </w:r>
    </w:p>
    <w:p w14:paraId="3C58B64F">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本文件规定了建设用地土壤污染状况调查的范围、工作程序和技术要求。</w:t>
      </w:r>
    </w:p>
    <w:p w14:paraId="593338AC">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本文件适用于开展湖北省建设用地及用途变更为住宅、公共管理与公共服务用地的地块的土壤污染状况调查。其他情形的建设用地土壤污染状况调查可参照执行。</w:t>
      </w:r>
    </w:p>
    <w:p w14:paraId="2180E590">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本文件不适用于含放射性污染和致病性生物污染的建设用地土壤污染状况调查。</w:t>
      </w:r>
    </w:p>
    <w:p w14:paraId="7774278C">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2.2.2规范性引用文件</w:t>
      </w:r>
    </w:p>
    <w:p w14:paraId="22613F98">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本文件引用了以下15个规范性文件，具体的引用内容如下：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790"/>
        <w:gridCol w:w="1350"/>
        <w:gridCol w:w="3667"/>
      </w:tblGrid>
      <w:tr w14:paraId="37BF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3B349457">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2790" w:type="dxa"/>
            <w:noWrap w:val="0"/>
            <w:vAlign w:val="center"/>
          </w:tcPr>
          <w:p w14:paraId="1361EB36">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规范性引用文件</w:t>
            </w:r>
          </w:p>
        </w:tc>
        <w:tc>
          <w:tcPr>
            <w:tcW w:w="1350" w:type="dxa"/>
            <w:noWrap w:val="0"/>
            <w:vAlign w:val="center"/>
          </w:tcPr>
          <w:p w14:paraId="0423B82E">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文件号</w:t>
            </w:r>
          </w:p>
        </w:tc>
        <w:tc>
          <w:tcPr>
            <w:tcW w:w="3667" w:type="dxa"/>
            <w:noWrap w:val="0"/>
            <w:vAlign w:val="center"/>
          </w:tcPr>
          <w:p w14:paraId="4D8ABDB3">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引用内容</w:t>
            </w:r>
          </w:p>
        </w:tc>
      </w:tr>
      <w:tr w14:paraId="1E95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63A92A45">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790" w:type="dxa"/>
            <w:noWrap w:val="0"/>
            <w:vAlign w:val="center"/>
          </w:tcPr>
          <w:p w14:paraId="108B4AA3">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危险废物鉴别标准</w:t>
            </w:r>
          </w:p>
        </w:tc>
        <w:tc>
          <w:tcPr>
            <w:tcW w:w="1350" w:type="dxa"/>
            <w:noWrap w:val="0"/>
            <w:vAlign w:val="center"/>
          </w:tcPr>
          <w:p w14:paraId="6DA0EEED">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GB 5085</w:t>
            </w:r>
          </w:p>
        </w:tc>
        <w:tc>
          <w:tcPr>
            <w:tcW w:w="3667" w:type="dxa"/>
            <w:noWrap w:val="0"/>
            <w:vAlign w:val="center"/>
          </w:tcPr>
          <w:p w14:paraId="55841851">
            <w:pPr>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涉及污染土壤的危险废物特征鉴别分析</w:t>
            </w:r>
            <w:r>
              <w:rPr>
                <w:rFonts w:hint="eastAsia" w:ascii="Times New Roman" w:hAnsi="Times New Roman" w:eastAsia="宋体" w:cs="Times New Roman"/>
                <w:sz w:val="21"/>
                <w:szCs w:val="21"/>
                <w:vertAlign w:val="baseline"/>
                <w:lang w:val="en-US" w:eastAsia="zh-CN"/>
              </w:rPr>
              <w:t>要求</w:t>
            </w:r>
          </w:p>
        </w:tc>
      </w:tr>
      <w:tr w14:paraId="09CE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5C51B814">
            <w:pPr>
              <w:spacing w:line="240" w:lineRule="auto"/>
              <w:jc w:val="center"/>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2</w:t>
            </w:r>
          </w:p>
        </w:tc>
        <w:tc>
          <w:tcPr>
            <w:tcW w:w="2790" w:type="dxa"/>
            <w:noWrap w:val="0"/>
            <w:vAlign w:val="center"/>
          </w:tcPr>
          <w:p w14:paraId="348F12FF">
            <w:pPr>
              <w:spacing w:line="240" w:lineRule="auto"/>
              <w:jc w:val="center"/>
              <w:rPr>
                <w:rFonts w:hint="default" w:ascii="Times New Roman" w:hAnsi="Times New Roman" w:eastAsia="宋体" w:cs="Times New Roman"/>
                <w:lang w:val="en-US" w:eastAsia="zh-CN"/>
              </w:rPr>
            </w:pPr>
            <w:r>
              <w:rPr>
                <w:rFonts w:hint="eastAsia" w:eastAsia="宋体" w:cs="Times New Roman"/>
                <w:lang w:val="en-US" w:eastAsia="zh-CN"/>
              </w:rPr>
              <w:t>生活饮用水卫生标准</w:t>
            </w:r>
          </w:p>
        </w:tc>
        <w:tc>
          <w:tcPr>
            <w:tcW w:w="1350" w:type="dxa"/>
            <w:noWrap w:val="0"/>
            <w:vAlign w:val="center"/>
          </w:tcPr>
          <w:p w14:paraId="2B4B60F5">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GB 5749</w:t>
            </w:r>
          </w:p>
        </w:tc>
        <w:tc>
          <w:tcPr>
            <w:tcW w:w="3667" w:type="dxa"/>
            <w:noWrap w:val="0"/>
            <w:vAlign w:val="center"/>
          </w:tcPr>
          <w:p w14:paraId="7708BBEB">
            <w:pPr>
              <w:spacing w:line="240" w:lineRule="auto"/>
              <w:jc w:val="both"/>
              <w:rPr>
                <w:rFonts w:hint="default" w:ascii="Times New Roman" w:hAnsi="Times New Roman" w:eastAsia="宋体" w:cs="Times New Roman"/>
                <w:sz w:val="21"/>
                <w:szCs w:val="21"/>
                <w:vertAlign w:val="baseline"/>
                <w:lang w:val="en-US" w:eastAsia="zh-CN"/>
              </w:rPr>
            </w:pPr>
            <w:r>
              <w:rPr>
                <w:rFonts w:hint="eastAsia" w:eastAsia="宋体" w:cs="Times New Roman"/>
                <w:lang w:val="en-US" w:eastAsia="zh-CN"/>
              </w:rPr>
              <w:t>地块涉及地下水饮用水源（在用、备用、应急、规划水源）补给径流区、保护区时，规定GB/T 14848中没有的污染物的判断标准</w:t>
            </w:r>
          </w:p>
        </w:tc>
      </w:tr>
      <w:tr w14:paraId="6AB9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5CCB9B0B">
            <w:pPr>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w:t>
            </w:r>
          </w:p>
        </w:tc>
        <w:tc>
          <w:tcPr>
            <w:tcW w:w="2790" w:type="dxa"/>
            <w:noWrap w:val="0"/>
            <w:vAlign w:val="center"/>
          </w:tcPr>
          <w:p w14:paraId="4AF42CD0">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地下水质量标准</w:t>
            </w:r>
          </w:p>
        </w:tc>
        <w:tc>
          <w:tcPr>
            <w:tcW w:w="1350" w:type="dxa"/>
            <w:noWrap w:val="0"/>
            <w:vAlign w:val="center"/>
          </w:tcPr>
          <w:p w14:paraId="4D4293E9">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GB/T 14848</w:t>
            </w:r>
          </w:p>
        </w:tc>
        <w:tc>
          <w:tcPr>
            <w:tcW w:w="3667" w:type="dxa"/>
            <w:noWrap w:val="0"/>
            <w:vAlign w:val="center"/>
          </w:tcPr>
          <w:p w14:paraId="1E42179E">
            <w:pPr>
              <w:spacing w:line="24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1、地下水检测指标及分析测试方法；2、</w:t>
            </w:r>
            <w:r>
              <w:rPr>
                <w:rFonts w:hint="default" w:ascii="Times New Roman" w:hAnsi="Times New Roman" w:eastAsia="宋体" w:cs="Times New Roman"/>
                <w:sz w:val="21"/>
                <w:szCs w:val="21"/>
                <w:vertAlign w:val="baseline"/>
                <w:lang w:val="en-US" w:eastAsia="zh-CN"/>
              </w:rPr>
              <w:t>地下水风险筛选值</w:t>
            </w:r>
            <w:r>
              <w:rPr>
                <w:rFonts w:hint="eastAsia" w:ascii="Times New Roman" w:hAnsi="Times New Roman" w:eastAsia="宋体" w:cs="Times New Roman"/>
                <w:sz w:val="21"/>
                <w:szCs w:val="21"/>
                <w:vertAlign w:val="baseline"/>
                <w:lang w:val="en-US" w:eastAsia="zh-CN"/>
              </w:rPr>
              <w:t>选取</w:t>
            </w:r>
          </w:p>
        </w:tc>
      </w:tr>
      <w:tr w14:paraId="73F3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73AD65CB">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790" w:type="dxa"/>
            <w:noWrap w:val="0"/>
            <w:vAlign w:val="center"/>
          </w:tcPr>
          <w:p w14:paraId="06FD8524">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土壤环境质量 建设用地土壤污染风险管控标准（试行）</w:t>
            </w:r>
          </w:p>
        </w:tc>
        <w:tc>
          <w:tcPr>
            <w:tcW w:w="1350" w:type="dxa"/>
            <w:noWrap w:val="0"/>
            <w:vAlign w:val="center"/>
          </w:tcPr>
          <w:p w14:paraId="1DB76B0B">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GB 36600</w:t>
            </w:r>
          </w:p>
        </w:tc>
        <w:tc>
          <w:tcPr>
            <w:tcW w:w="3667" w:type="dxa"/>
            <w:noWrap w:val="0"/>
            <w:vAlign w:val="center"/>
          </w:tcPr>
          <w:p w14:paraId="4E012BB3">
            <w:pPr>
              <w:spacing w:line="24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1、土壤检测指标及分析测试方法；2、土壤</w:t>
            </w:r>
            <w:r>
              <w:rPr>
                <w:rFonts w:hint="default" w:ascii="Times New Roman" w:hAnsi="Times New Roman" w:eastAsia="宋体" w:cs="Times New Roman"/>
                <w:sz w:val="21"/>
                <w:szCs w:val="21"/>
                <w:vertAlign w:val="baseline"/>
                <w:lang w:val="en-US" w:eastAsia="zh-CN"/>
              </w:rPr>
              <w:t>风险筛选值</w:t>
            </w:r>
            <w:r>
              <w:rPr>
                <w:rFonts w:hint="eastAsia" w:ascii="Times New Roman" w:hAnsi="Times New Roman" w:eastAsia="宋体" w:cs="Times New Roman"/>
                <w:sz w:val="21"/>
                <w:szCs w:val="21"/>
                <w:vertAlign w:val="baseline"/>
                <w:lang w:val="en-US" w:eastAsia="zh-CN"/>
              </w:rPr>
              <w:t>选取</w:t>
            </w:r>
          </w:p>
        </w:tc>
      </w:tr>
      <w:tr w14:paraId="5AE2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1B10DBC0">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790" w:type="dxa"/>
            <w:noWrap w:val="0"/>
            <w:vAlign w:val="center"/>
          </w:tcPr>
          <w:p w14:paraId="08F41E39">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建设用地土壤污染状况调查技术导则</w:t>
            </w:r>
          </w:p>
        </w:tc>
        <w:tc>
          <w:tcPr>
            <w:tcW w:w="1350" w:type="dxa"/>
            <w:noWrap w:val="0"/>
            <w:vAlign w:val="center"/>
          </w:tcPr>
          <w:p w14:paraId="01225890">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HJ 25.1</w:t>
            </w:r>
          </w:p>
        </w:tc>
        <w:tc>
          <w:tcPr>
            <w:tcW w:w="3667" w:type="dxa"/>
            <w:noWrap w:val="0"/>
            <w:vAlign w:val="center"/>
          </w:tcPr>
          <w:p w14:paraId="59BD6FA7">
            <w:pPr>
              <w:spacing w:line="24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1、土壤和地下水样品采集、保存与流转要求；2、地下水采样井建设、洗井要求</w:t>
            </w:r>
          </w:p>
        </w:tc>
      </w:tr>
      <w:tr w14:paraId="5B78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1174E381">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790" w:type="dxa"/>
            <w:noWrap w:val="0"/>
            <w:vAlign w:val="center"/>
          </w:tcPr>
          <w:p w14:paraId="7DD3DB30">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建设用地土壤污染风险管控和修复监测技术导则</w:t>
            </w:r>
          </w:p>
        </w:tc>
        <w:tc>
          <w:tcPr>
            <w:tcW w:w="1350" w:type="dxa"/>
            <w:noWrap w:val="0"/>
            <w:vAlign w:val="center"/>
          </w:tcPr>
          <w:p w14:paraId="2EB45B0D">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HJ 25.2</w:t>
            </w:r>
          </w:p>
        </w:tc>
        <w:tc>
          <w:tcPr>
            <w:tcW w:w="3667" w:type="dxa"/>
            <w:noWrap w:val="0"/>
            <w:vAlign w:val="center"/>
          </w:tcPr>
          <w:p w14:paraId="67F3A071">
            <w:pPr>
              <w:spacing w:line="24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1、土壤和地下水样品采集、保存与流转要求；2、地表水进行采样监测要求；3、现场质量保证和质量控制要求；4、地下水采样井建设、洗井要求</w:t>
            </w:r>
          </w:p>
        </w:tc>
      </w:tr>
      <w:tr w14:paraId="51CE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503AC8E9">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2790" w:type="dxa"/>
            <w:noWrap w:val="0"/>
            <w:vAlign w:val="center"/>
          </w:tcPr>
          <w:p w14:paraId="44EC7E7C">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建设用地土壤污染风险评估技术导则</w:t>
            </w:r>
          </w:p>
        </w:tc>
        <w:tc>
          <w:tcPr>
            <w:tcW w:w="1350" w:type="dxa"/>
            <w:noWrap w:val="0"/>
            <w:vAlign w:val="center"/>
          </w:tcPr>
          <w:p w14:paraId="14781CB8">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HJ 25.3</w:t>
            </w:r>
          </w:p>
        </w:tc>
        <w:tc>
          <w:tcPr>
            <w:tcW w:w="3667" w:type="dxa"/>
            <w:noWrap w:val="0"/>
            <w:vAlign w:val="center"/>
          </w:tcPr>
          <w:p w14:paraId="14FCA40E">
            <w:pPr>
              <w:spacing w:line="24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推导特定污染物的土壤和地下水风险筛选值方法</w:t>
            </w:r>
          </w:p>
        </w:tc>
      </w:tr>
      <w:tr w14:paraId="72A3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121706BB">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w:t>
            </w:r>
          </w:p>
        </w:tc>
        <w:tc>
          <w:tcPr>
            <w:tcW w:w="2790" w:type="dxa"/>
            <w:noWrap w:val="0"/>
            <w:vAlign w:val="center"/>
          </w:tcPr>
          <w:p w14:paraId="1F6BDD03">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地下水环境监测技术规范</w:t>
            </w:r>
          </w:p>
        </w:tc>
        <w:tc>
          <w:tcPr>
            <w:tcW w:w="1350" w:type="dxa"/>
            <w:noWrap w:val="0"/>
            <w:vAlign w:val="center"/>
          </w:tcPr>
          <w:p w14:paraId="77295117">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HJ 164</w:t>
            </w:r>
          </w:p>
        </w:tc>
        <w:tc>
          <w:tcPr>
            <w:tcW w:w="3667" w:type="dxa"/>
            <w:noWrap w:val="0"/>
            <w:vAlign w:val="center"/>
          </w:tcPr>
          <w:p w14:paraId="4B6B8148">
            <w:pPr>
              <w:spacing w:line="24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1、地下水采样井建设、洗井、样品采集要求；2、</w:t>
            </w:r>
            <w:r>
              <w:rPr>
                <w:rFonts w:hint="eastAsia" w:ascii="宋体" w:hAnsi="宋体" w:eastAsia="宋体" w:cs="宋体"/>
                <w:sz w:val="21"/>
                <w:szCs w:val="21"/>
                <w:lang w:val="en-US" w:eastAsia="zh-CN"/>
              </w:rPr>
              <w:t>地下水样品保存与流转要求；3、</w:t>
            </w:r>
            <w:r>
              <w:rPr>
                <w:rFonts w:hint="eastAsia" w:eastAsia="宋体" w:cs="Times New Roman"/>
                <w:sz w:val="21"/>
                <w:szCs w:val="21"/>
                <w:lang w:eastAsia="zh-CN"/>
              </w:rPr>
              <w:t>实验室分析的质量保证和质量控制要求</w:t>
            </w:r>
          </w:p>
        </w:tc>
      </w:tr>
      <w:tr w14:paraId="2161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15CB1FF1">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w:t>
            </w:r>
          </w:p>
        </w:tc>
        <w:tc>
          <w:tcPr>
            <w:tcW w:w="2790" w:type="dxa"/>
            <w:noWrap w:val="0"/>
            <w:vAlign w:val="center"/>
          </w:tcPr>
          <w:p w14:paraId="6E1D94A1">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土壤环境监测技术规范</w:t>
            </w:r>
          </w:p>
        </w:tc>
        <w:tc>
          <w:tcPr>
            <w:tcW w:w="1350" w:type="dxa"/>
            <w:noWrap w:val="0"/>
            <w:vAlign w:val="center"/>
          </w:tcPr>
          <w:p w14:paraId="1CBFE12D">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HJ/T 166</w:t>
            </w:r>
          </w:p>
        </w:tc>
        <w:tc>
          <w:tcPr>
            <w:tcW w:w="3667" w:type="dxa"/>
            <w:noWrap w:val="0"/>
            <w:vAlign w:val="center"/>
          </w:tcPr>
          <w:p w14:paraId="1ADB9CF2">
            <w:pPr>
              <w:spacing w:line="24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1、土壤样品采集要求；2、</w:t>
            </w:r>
            <w:r>
              <w:rPr>
                <w:rFonts w:hint="eastAsia" w:ascii="宋体" w:hAnsi="宋体" w:eastAsia="宋体" w:cs="宋体"/>
                <w:sz w:val="21"/>
                <w:szCs w:val="21"/>
                <w:lang w:val="en-US" w:eastAsia="zh-CN"/>
              </w:rPr>
              <w:t>土壤样品保存与流转要求；3、</w:t>
            </w:r>
            <w:r>
              <w:rPr>
                <w:rFonts w:hint="eastAsia" w:eastAsia="宋体" w:cs="Times New Roman"/>
                <w:sz w:val="21"/>
                <w:szCs w:val="21"/>
                <w:lang w:eastAsia="zh-CN"/>
              </w:rPr>
              <w:t>实验室分析的质量保证和质量控制要求</w:t>
            </w:r>
          </w:p>
        </w:tc>
      </w:tr>
      <w:tr w14:paraId="47DE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7504860C">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2790" w:type="dxa"/>
            <w:noWrap w:val="0"/>
            <w:vAlign w:val="center"/>
          </w:tcPr>
          <w:p w14:paraId="57B1E4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危险废物鉴别技术规范</w:t>
            </w:r>
          </w:p>
        </w:tc>
        <w:tc>
          <w:tcPr>
            <w:tcW w:w="1350" w:type="dxa"/>
            <w:noWrap w:val="0"/>
            <w:vAlign w:val="center"/>
          </w:tcPr>
          <w:p w14:paraId="57C5B56D">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HJ 298</w:t>
            </w:r>
          </w:p>
        </w:tc>
        <w:tc>
          <w:tcPr>
            <w:tcW w:w="3667" w:type="dxa"/>
            <w:noWrap w:val="0"/>
            <w:vAlign w:val="center"/>
          </w:tcPr>
          <w:p w14:paraId="7CE56CA7">
            <w:pPr>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涉及污染土壤的危险废物特征鉴别分析</w:t>
            </w:r>
            <w:r>
              <w:rPr>
                <w:rFonts w:hint="eastAsia" w:ascii="Times New Roman" w:hAnsi="Times New Roman" w:eastAsia="宋体" w:cs="Times New Roman"/>
                <w:sz w:val="21"/>
                <w:szCs w:val="21"/>
                <w:vertAlign w:val="baseline"/>
                <w:lang w:val="en-US" w:eastAsia="zh-CN"/>
              </w:rPr>
              <w:t>要求</w:t>
            </w:r>
          </w:p>
        </w:tc>
      </w:tr>
      <w:tr w14:paraId="624D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7BF690BA">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w:t>
            </w:r>
          </w:p>
        </w:tc>
        <w:tc>
          <w:tcPr>
            <w:tcW w:w="2790" w:type="dxa"/>
            <w:noWrap w:val="0"/>
            <w:vAlign w:val="center"/>
          </w:tcPr>
          <w:p w14:paraId="02588FCD">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建设用地土壤污染风险管控和修复术语</w:t>
            </w:r>
          </w:p>
        </w:tc>
        <w:tc>
          <w:tcPr>
            <w:tcW w:w="1350" w:type="dxa"/>
            <w:noWrap w:val="0"/>
            <w:vAlign w:val="center"/>
          </w:tcPr>
          <w:p w14:paraId="4F94453F">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HJ 682</w:t>
            </w:r>
          </w:p>
        </w:tc>
        <w:tc>
          <w:tcPr>
            <w:tcW w:w="3667" w:type="dxa"/>
            <w:noWrap w:val="0"/>
            <w:vAlign w:val="center"/>
          </w:tcPr>
          <w:p w14:paraId="5733B778">
            <w:pPr>
              <w:spacing w:line="240" w:lineRule="auto"/>
              <w:jc w:val="both"/>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风险筛选值、关注污染物、土壤环境背景值的术语定义</w:t>
            </w:r>
          </w:p>
        </w:tc>
      </w:tr>
      <w:tr w14:paraId="0112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7D1F3FD0">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w:t>
            </w:r>
          </w:p>
        </w:tc>
        <w:tc>
          <w:tcPr>
            <w:tcW w:w="2790" w:type="dxa"/>
            <w:noWrap w:val="0"/>
            <w:vAlign w:val="center"/>
          </w:tcPr>
          <w:p w14:paraId="59D1EAA1">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地块土壤和地下水中挥发性有机物采样技术导则</w:t>
            </w:r>
          </w:p>
        </w:tc>
        <w:tc>
          <w:tcPr>
            <w:tcW w:w="1350" w:type="dxa"/>
            <w:noWrap w:val="0"/>
            <w:vAlign w:val="center"/>
          </w:tcPr>
          <w:p w14:paraId="23E1FB80">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HJ 1019</w:t>
            </w:r>
          </w:p>
        </w:tc>
        <w:tc>
          <w:tcPr>
            <w:tcW w:w="3667" w:type="dxa"/>
            <w:noWrap w:val="0"/>
            <w:vAlign w:val="center"/>
          </w:tcPr>
          <w:p w14:paraId="5DD6B6E7">
            <w:pPr>
              <w:spacing w:line="240" w:lineRule="auto"/>
              <w:jc w:val="both"/>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lang w:val="en-US" w:eastAsia="zh-CN"/>
              </w:rPr>
              <w:t>涉及挥发性有机物（VOCs）的土壤和地下水样品采集、保存与流转要求，</w:t>
            </w:r>
            <w:r>
              <w:rPr>
                <w:rFonts w:hint="eastAsia" w:eastAsia="宋体" w:cs="Times New Roman"/>
                <w:sz w:val="21"/>
                <w:szCs w:val="21"/>
                <w:lang w:eastAsia="zh-CN"/>
              </w:rPr>
              <w:t>现场质量保证和质量控制</w:t>
            </w:r>
            <w:r>
              <w:rPr>
                <w:rFonts w:hint="eastAsia" w:eastAsia="宋体" w:cs="Times New Roman"/>
                <w:sz w:val="21"/>
                <w:szCs w:val="21"/>
                <w:lang w:val="en-US" w:eastAsia="zh-CN"/>
              </w:rPr>
              <w:t>要求，</w:t>
            </w:r>
            <w:r>
              <w:rPr>
                <w:rFonts w:hint="eastAsia" w:eastAsia="宋体" w:cs="Times New Roman"/>
                <w:spacing w:val="-3"/>
                <w:sz w:val="21"/>
                <w:szCs w:val="21"/>
                <w:lang w:val="en-US" w:eastAsia="zh-CN"/>
              </w:rPr>
              <w:t>地下水采样井建设、洗井要求</w:t>
            </w:r>
          </w:p>
        </w:tc>
      </w:tr>
      <w:tr w14:paraId="7DBD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6F6F2630">
            <w:pPr>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13</w:t>
            </w:r>
          </w:p>
        </w:tc>
        <w:tc>
          <w:tcPr>
            <w:tcW w:w="2790" w:type="dxa"/>
            <w:noWrap w:val="0"/>
            <w:vAlign w:val="center"/>
          </w:tcPr>
          <w:p w14:paraId="32857BF1">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工业企业土壤和地下水自行监测技术指南（试行）</w:t>
            </w:r>
          </w:p>
        </w:tc>
        <w:tc>
          <w:tcPr>
            <w:tcW w:w="1350" w:type="dxa"/>
            <w:noWrap w:val="0"/>
            <w:vAlign w:val="center"/>
          </w:tcPr>
          <w:p w14:paraId="4C1CFC77">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HJ 1209</w:t>
            </w:r>
          </w:p>
        </w:tc>
        <w:tc>
          <w:tcPr>
            <w:tcW w:w="3667" w:type="dxa"/>
            <w:noWrap w:val="0"/>
            <w:vAlign w:val="center"/>
          </w:tcPr>
          <w:p w14:paraId="4F23991B">
            <w:pPr>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lang w:val="en-US" w:eastAsia="zh-CN"/>
              </w:rPr>
              <w:t>工业企业土壤和地下水</w:t>
            </w:r>
            <w:r>
              <w:rPr>
                <w:rFonts w:hint="default" w:ascii="Times New Roman" w:hAnsi="Times New Roman" w:eastAsia="宋体" w:cs="Times New Roman"/>
                <w:sz w:val="21"/>
                <w:szCs w:val="21"/>
                <w:vertAlign w:val="baseline"/>
                <w:lang w:val="en-US" w:eastAsia="zh-CN"/>
              </w:rPr>
              <w:t>自行监测</w:t>
            </w:r>
            <w:r>
              <w:rPr>
                <w:rFonts w:hint="eastAsia" w:ascii="Times New Roman" w:hAnsi="Times New Roman" w:eastAsia="宋体" w:cs="Times New Roman"/>
                <w:sz w:val="21"/>
                <w:szCs w:val="21"/>
                <w:vertAlign w:val="baseline"/>
                <w:lang w:val="en-US" w:eastAsia="zh-CN"/>
              </w:rPr>
              <w:t>要求</w:t>
            </w:r>
          </w:p>
        </w:tc>
      </w:tr>
      <w:tr w14:paraId="1486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162BE839">
            <w:pPr>
              <w:spacing w:line="240" w:lineRule="auto"/>
              <w:jc w:val="center"/>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14</w:t>
            </w:r>
          </w:p>
        </w:tc>
        <w:tc>
          <w:tcPr>
            <w:tcW w:w="2790" w:type="dxa"/>
            <w:noWrap w:val="0"/>
            <w:vAlign w:val="center"/>
          </w:tcPr>
          <w:p w14:paraId="74CF20C0">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工矿用地土壤环境管理办法（试行）</w:t>
            </w:r>
          </w:p>
        </w:tc>
        <w:tc>
          <w:tcPr>
            <w:tcW w:w="1350" w:type="dxa"/>
            <w:noWrap w:val="0"/>
            <w:vAlign w:val="center"/>
          </w:tcPr>
          <w:p w14:paraId="61AFC68D">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3667" w:type="dxa"/>
            <w:noWrap w:val="0"/>
            <w:vAlign w:val="center"/>
          </w:tcPr>
          <w:p w14:paraId="53F7C88F">
            <w:pPr>
              <w:spacing w:line="240" w:lineRule="auto"/>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有毒有害物质术语</w:t>
            </w:r>
          </w:p>
        </w:tc>
      </w:tr>
      <w:tr w14:paraId="1066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noWrap w:val="0"/>
            <w:vAlign w:val="center"/>
          </w:tcPr>
          <w:p w14:paraId="1744B2F1">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2790" w:type="dxa"/>
            <w:noWrap w:val="0"/>
            <w:vAlign w:val="center"/>
          </w:tcPr>
          <w:p w14:paraId="6CC9064F">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建设用地土壤污染状况调查质量控制技术规定（试行）</w:t>
            </w:r>
          </w:p>
        </w:tc>
        <w:tc>
          <w:tcPr>
            <w:tcW w:w="1350" w:type="dxa"/>
            <w:noWrap w:val="0"/>
            <w:vAlign w:val="center"/>
          </w:tcPr>
          <w:p w14:paraId="56BCD02C">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3667" w:type="dxa"/>
            <w:noWrap w:val="0"/>
            <w:vAlign w:val="center"/>
          </w:tcPr>
          <w:p w14:paraId="1F00AF97">
            <w:pPr>
              <w:spacing w:line="240" w:lineRule="auto"/>
              <w:jc w:val="both"/>
              <w:rPr>
                <w:rFonts w:hint="default" w:ascii="Times New Roman" w:hAnsi="Times New Roman" w:eastAsia="宋体" w:cs="Times New Roman"/>
                <w:lang w:val="en-US" w:eastAsia="zh-CN"/>
              </w:rPr>
            </w:pPr>
            <w:r>
              <w:rPr>
                <w:rFonts w:hint="eastAsia" w:eastAsia="宋体" w:cs="Times New Roman"/>
                <w:sz w:val="21"/>
                <w:szCs w:val="21"/>
                <w:lang w:eastAsia="zh-CN"/>
              </w:rPr>
              <w:t>质量保证和质量控制</w:t>
            </w:r>
            <w:r>
              <w:rPr>
                <w:rFonts w:hint="eastAsia" w:eastAsia="宋体" w:cs="Times New Roman"/>
                <w:sz w:val="21"/>
                <w:szCs w:val="21"/>
                <w:lang w:val="en-US" w:eastAsia="zh-CN"/>
              </w:rPr>
              <w:t>要求</w:t>
            </w:r>
          </w:p>
        </w:tc>
      </w:tr>
    </w:tbl>
    <w:p w14:paraId="451D2F96">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2.2.3术语和定义</w:t>
      </w:r>
    </w:p>
    <w:p w14:paraId="1CE805AA">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标准主要对以下术语进行定义，其定义的依据主要来自于国家</w:t>
      </w:r>
      <w:r>
        <w:rPr>
          <w:rFonts w:hint="eastAsia" w:ascii="Times New Roman" w:hAnsi="Times New Roman" w:eastAsia="宋体" w:cs="Times New Roman"/>
          <w:sz w:val="24"/>
          <w:szCs w:val="24"/>
          <w:lang w:val="en-US" w:eastAsia="zh-CN"/>
        </w:rPr>
        <w:t>及行业</w:t>
      </w:r>
      <w:r>
        <w:rPr>
          <w:rFonts w:hint="default" w:ascii="Times New Roman" w:hAnsi="Times New Roman" w:eastAsia="宋体" w:cs="Times New Roman"/>
          <w:sz w:val="24"/>
          <w:szCs w:val="24"/>
          <w:lang w:val="en-US" w:eastAsia="zh-CN"/>
        </w:rPr>
        <w:t>标准，</w:t>
      </w:r>
      <w:r>
        <w:rPr>
          <w:rFonts w:hint="eastAsia" w:ascii="Times New Roman" w:hAnsi="Times New Roman" w:eastAsia="宋体" w:cs="Times New Roman"/>
          <w:sz w:val="24"/>
          <w:szCs w:val="24"/>
          <w:lang w:val="en-US" w:eastAsia="zh-CN"/>
        </w:rPr>
        <w:t>部分</w:t>
      </w:r>
      <w:r>
        <w:rPr>
          <w:rFonts w:hint="default" w:ascii="Times New Roman" w:hAnsi="Times New Roman" w:eastAsia="宋体" w:cs="Times New Roman"/>
          <w:sz w:val="24"/>
          <w:szCs w:val="24"/>
          <w:lang w:val="en-US" w:eastAsia="zh-CN"/>
        </w:rPr>
        <w:t>结合本标准</w:t>
      </w:r>
      <w:r>
        <w:rPr>
          <w:rFonts w:hint="eastAsia" w:ascii="Times New Roman" w:hAnsi="Times New Roman" w:eastAsia="宋体" w:cs="Times New Roman"/>
          <w:sz w:val="24"/>
          <w:szCs w:val="24"/>
          <w:lang w:val="en-US" w:eastAsia="zh-CN"/>
        </w:rPr>
        <w:t>需要</w:t>
      </w:r>
      <w:r>
        <w:rPr>
          <w:rFonts w:hint="default" w:ascii="Times New Roman" w:hAnsi="Times New Roman" w:eastAsia="宋体" w:cs="Times New Roman"/>
          <w:sz w:val="24"/>
          <w:szCs w:val="24"/>
          <w:lang w:val="en-US" w:eastAsia="zh-CN"/>
        </w:rPr>
        <w:t>进行</w:t>
      </w:r>
      <w:r>
        <w:rPr>
          <w:rFonts w:hint="eastAsia" w:ascii="Times New Roman" w:hAnsi="Times New Roman" w:eastAsia="宋体" w:cs="Times New Roman"/>
          <w:sz w:val="24"/>
          <w:szCs w:val="24"/>
          <w:lang w:val="en-US" w:eastAsia="zh-CN"/>
        </w:rPr>
        <w:t>修改</w:t>
      </w:r>
      <w:r>
        <w:rPr>
          <w:rFonts w:hint="default" w:ascii="Times New Roman" w:hAnsi="Times New Roman" w:eastAsia="宋体" w:cs="Times New Roman"/>
          <w:sz w:val="24"/>
          <w:szCs w:val="24"/>
          <w:lang w:val="en-US" w:eastAsia="zh-CN"/>
        </w:rPr>
        <w:t>。</w:t>
      </w:r>
    </w:p>
    <w:p w14:paraId="4A1B7F77">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风险筛选值</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risk screening values</w:t>
      </w:r>
      <w:r>
        <w:rPr>
          <w:rFonts w:hint="eastAsia" w:ascii="Times New Roman" w:hAnsi="Times New Roman" w:eastAsia="宋体" w:cs="Times New Roman"/>
          <w:b/>
          <w:bCs/>
          <w:sz w:val="24"/>
          <w:szCs w:val="24"/>
          <w:lang w:val="en-US" w:eastAsia="zh-CN"/>
        </w:rPr>
        <w:t>）：</w:t>
      </w:r>
      <w:r>
        <w:rPr>
          <w:rFonts w:hint="eastAsia" w:ascii="Times New Roman" w:hAnsi="Times New Roman" w:eastAsia="宋体" w:cs="Times New Roman"/>
          <w:sz w:val="24"/>
          <w:szCs w:val="24"/>
          <w:lang w:val="en-US" w:eastAsia="zh-CN"/>
        </w:rPr>
        <w:t>改自《建设用地土壤污染风险管控和修复术语》（HJ 682）2.4.23 建设用地土壤污染风险筛选值：“</w:t>
      </w:r>
      <w:r>
        <w:rPr>
          <w:rFonts w:hint="default" w:ascii="Times New Roman" w:hAnsi="Times New Roman" w:eastAsia="宋体" w:cs="Times New Roman"/>
          <w:sz w:val="24"/>
          <w:szCs w:val="24"/>
          <w:lang w:val="en-US" w:eastAsia="zh-CN"/>
        </w:rPr>
        <w:t>指在特定土地利用方式下，建设用地土壤中污染物含量等于或者低于该值的，对人体健康的风险可以忽略；超过该值的，对人体健康可能存在风险，应当开展进一步的详细调查和风险评估，确定具体污染范围和风险水平。</w:t>
      </w:r>
      <w:r>
        <w:rPr>
          <w:rFonts w:hint="eastAsia" w:ascii="Times New Roman" w:hAnsi="Times New Roman" w:eastAsia="宋体" w:cs="Times New Roman"/>
          <w:sz w:val="24"/>
          <w:szCs w:val="24"/>
          <w:lang w:val="en-US" w:eastAsia="zh-CN"/>
        </w:rPr>
        <w:t>”</w:t>
      </w:r>
    </w:p>
    <w:p w14:paraId="2A5F900B">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关注污染物</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contaminant of concern</w:t>
      </w:r>
      <w:r>
        <w:rPr>
          <w:rFonts w:hint="eastAsia" w:ascii="Times New Roman" w:hAnsi="Times New Roman" w:eastAsia="宋体" w:cs="Times New Roman"/>
          <w:b/>
          <w:bCs/>
          <w:sz w:val="24"/>
          <w:szCs w:val="24"/>
          <w:lang w:val="en-US" w:eastAsia="zh-CN"/>
        </w:rPr>
        <w:t>）：</w:t>
      </w:r>
      <w:r>
        <w:rPr>
          <w:rFonts w:hint="eastAsia" w:ascii="Times New Roman" w:hAnsi="Times New Roman" w:eastAsia="宋体" w:cs="Times New Roman"/>
          <w:sz w:val="24"/>
          <w:szCs w:val="24"/>
          <w:lang w:val="en-US" w:eastAsia="zh-CN"/>
        </w:rPr>
        <w:t>引自《建设用地土壤污染风险管控和修复术语》（HJ 682）2.2.1：“</w:t>
      </w:r>
      <w:r>
        <w:rPr>
          <w:rFonts w:hint="default" w:ascii="Times New Roman" w:hAnsi="Times New Roman" w:eastAsia="宋体" w:cs="Times New Roman"/>
          <w:sz w:val="24"/>
          <w:szCs w:val="24"/>
          <w:lang w:val="en-US" w:eastAsia="zh-CN"/>
        </w:rPr>
        <w:t>根据地块污染特征、相关标准规范要求和地块利益相关方意见，确定需要进行土壤污染状况调查和土壤污染风险评估的污染物。</w:t>
      </w:r>
      <w:r>
        <w:rPr>
          <w:rFonts w:hint="eastAsia" w:ascii="Times New Roman" w:hAnsi="Times New Roman" w:eastAsia="宋体" w:cs="Times New Roman"/>
          <w:sz w:val="24"/>
          <w:szCs w:val="24"/>
          <w:lang w:val="en-US" w:eastAsia="zh-CN"/>
        </w:rPr>
        <w:t>”</w:t>
      </w:r>
    </w:p>
    <w:p w14:paraId="5460571C">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土壤环境背景值</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environmental background values of soil</w:t>
      </w:r>
      <w:r>
        <w:rPr>
          <w:rFonts w:hint="eastAsia" w:ascii="Times New Roman" w:hAnsi="Times New Roman" w:eastAsia="宋体" w:cs="Times New Roman"/>
          <w:b/>
          <w:bCs/>
          <w:sz w:val="24"/>
          <w:szCs w:val="24"/>
          <w:lang w:val="en-US" w:eastAsia="zh-CN"/>
        </w:rPr>
        <w:t>）：</w:t>
      </w:r>
      <w:r>
        <w:rPr>
          <w:rFonts w:hint="eastAsia" w:ascii="Times New Roman" w:hAnsi="Times New Roman" w:eastAsia="宋体" w:cs="Times New Roman"/>
          <w:sz w:val="24"/>
          <w:szCs w:val="24"/>
          <w:lang w:val="en-US" w:eastAsia="zh-CN"/>
        </w:rPr>
        <w:t>引自《建设用地土壤污染风险管控和修复术语》（HJ 682）2.4.30：“</w:t>
      </w:r>
      <w:r>
        <w:rPr>
          <w:rFonts w:hint="default" w:ascii="Times New Roman" w:hAnsi="Times New Roman" w:eastAsia="宋体" w:cs="Times New Roman"/>
          <w:sz w:val="24"/>
          <w:szCs w:val="24"/>
          <w:lang w:val="en-US" w:eastAsia="zh-CN"/>
        </w:rPr>
        <w:t>基于土壤环境背景含量的统计值。通常以土壤环境背景含量的某一分位值表示。其中土壤环境背景含量是指在一定时间条件下，仅受地球化学过程和非点源输入影响的土壤中元素或化合物的含量。</w:t>
      </w:r>
      <w:r>
        <w:rPr>
          <w:rFonts w:hint="eastAsia" w:ascii="Times New Roman" w:hAnsi="Times New Roman" w:eastAsia="宋体" w:cs="Times New Roman"/>
          <w:sz w:val="24"/>
          <w:szCs w:val="24"/>
          <w:lang w:val="en-US" w:eastAsia="zh-CN"/>
        </w:rPr>
        <w:t>”</w:t>
      </w:r>
    </w:p>
    <w:p w14:paraId="5F31C035">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有毒有害物质</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poisonous and deleterious substances</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sz w:val="24"/>
          <w:szCs w:val="24"/>
          <w:lang w:val="en-US" w:eastAsia="zh-CN"/>
        </w:rPr>
        <w:t>《工矿用地土壤环境管理办法（试行）》第二十条（二）中所述物质，以及其他对人体健康和生态环境造成危害的化学物质。</w:t>
      </w:r>
    </w:p>
    <w:p w14:paraId="12530CF3">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2.2.4工作程序</w:t>
      </w:r>
    </w:p>
    <w:p w14:paraId="00FCD05E">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本标准规定的建设用地土壤污染状况调查工作程序包括三个阶段的调查工作，分别为：第一阶段土壤污染状况调查、第二阶段土壤污染状况调查、第三阶段土壤污染状况调查。</w:t>
      </w:r>
    </w:p>
    <w:p w14:paraId="6AB86F67">
      <w:pPr>
        <w:spacing w:line="360" w:lineRule="auto"/>
        <w:jc w:val="center"/>
        <w:rPr>
          <w:rFonts w:hint="default" w:ascii="Times New Roman" w:hAnsi="Times New Roman" w:eastAsia="宋体" w:cs="Times New Roman"/>
          <w:sz w:val="24"/>
          <w:szCs w:val="24"/>
          <w:lang w:val="en-US" w:eastAsia="zh-CN"/>
        </w:rPr>
      </w:pPr>
      <w:r>
        <w:rPr>
          <w:rFonts w:eastAsia="宋体" w:cs="Times New Roman"/>
          <w:lang w:eastAsia="zh-CN"/>
        </w:rPr>
        <w:object>
          <v:shape id="_x0000_i1026" o:spt="75" type="#_x0000_t75" style="height:564.85pt;width:368.5pt;" o:ole="t" filled="f" o:preferrelative="t" stroked="f" coordsize="21600,21600">
            <v:path/>
            <v:fill on="f" focussize="0,0"/>
            <v:stroke on="f"/>
            <v:imagedata r:id="rId76" o:title=""/>
            <o:lock v:ext="edit" aspectratio="t"/>
            <w10:wrap type="none"/>
            <w10:anchorlock/>
          </v:shape>
          <o:OLEObject Type="Embed" ProgID="Visio.Drawing.15" ShapeID="_x0000_i1026" DrawAspect="Content" ObjectID="_1468075726" r:id="rId78">
            <o:LockedField>false</o:LockedField>
          </o:OLEObject>
        </w:object>
      </w:r>
    </w:p>
    <w:p w14:paraId="3523AB20">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第一阶段调查是以资料收集与分析、现场踏勘和人员访谈为主的污染识别阶段，原则上只判断地块是否存在潜在污染，不进行现场采样分析。</w:t>
      </w:r>
    </w:p>
    <w:p w14:paraId="4F903E4B">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第二阶段调查是以采样与分析为主的污染证实阶段。确定地块是否存在污染及污染物种类、浓度（程度）和空间分布。</w:t>
      </w:r>
    </w:p>
    <w:p w14:paraId="7864E5DA">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第三阶段调查以资料调查、补充采样和测试为主，获得满足风险评估所需的环境特征参数及受体暴露参数。</w:t>
      </w:r>
    </w:p>
    <w:p w14:paraId="0D9AE410">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2.2.5第一阶段土壤污染状况调查技术要点说明</w:t>
      </w:r>
    </w:p>
    <w:p w14:paraId="1630917A">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场地土壤环境污染通常是因地块内有毒有害物质的储存和使用过程中，有毒有害物质泄漏或排放造成的，因此通过第一阶段阶段调查，判断场地内是否存在有毒有害物质暴露风险，可初步识别场地土壤环境是否存在污染的可能性。第一阶段调查工作一般是通过资料收集与分析、现场踏勘和人员访谈为主。</w:t>
      </w:r>
    </w:p>
    <w:p w14:paraId="51F591BF">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2.2.5.1调查范围</w:t>
      </w:r>
    </w:p>
    <w:p w14:paraId="009BBD5E">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规定</w:t>
      </w:r>
      <w:r>
        <w:rPr>
          <w:rFonts w:hint="default" w:ascii="Times New Roman" w:hAnsi="Times New Roman" w:eastAsia="宋体" w:cs="Times New Roman"/>
          <w:sz w:val="24"/>
          <w:szCs w:val="24"/>
          <w:lang w:val="en-US" w:eastAsia="zh-CN"/>
        </w:rPr>
        <w:t>调查范围应包含地块历史工业企业所涉及的全部区域。</w:t>
      </w:r>
      <w:r>
        <w:rPr>
          <w:rFonts w:hint="eastAsia" w:ascii="Times New Roman" w:hAnsi="Times New Roman" w:eastAsia="宋体" w:cs="Times New Roman"/>
          <w:sz w:val="24"/>
          <w:szCs w:val="24"/>
          <w:lang w:val="en-US" w:eastAsia="zh-CN"/>
        </w:rPr>
        <w:t>同时又为权属、规划类型或开发时序等问题留有一定余地，规定可按照</w:t>
      </w:r>
      <w:r>
        <w:rPr>
          <w:rFonts w:hint="default" w:ascii="Times New Roman" w:hAnsi="Times New Roman" w:eastAsia="宋体" w:cs="Times New Roman"/>
          <w:sz w:val="24"/>
          <w:szCs w:val="24"/>
          <w:lang w:val="en-US" w:eastAsia="zh-CN"/>
        </w:rPr>
        <w:t>地块拟收储红线或再开发利用控制性详细规划等依据进行划分</w:t>
      </w:r>
      <w:r>
        <w:rPr>
          <w:rFonts w:hint="eastAsia" w:ascii="Times New Roman" w:hAnsi="Times New Roman" w:eastAsia="宋体" w:cs="Times New Roman"/>
          <w:sz w:val="24"/>
          <w:szCs w:val="24"/>
          <w:lang w:val="en-US" w:eastAsia="zh-CN"/>
        </w:rPr>
        <w:t>，同时也将该规定的材料列为必备附件</w:t>
      </w:r>
      <w:r>
        <w:rPr>
          <w:rFonts w:hint="default" w:ascii="Times New Roman" w:hAnsi="Times New Roman" w:eastAsia="宋体" w:cs="Times New Roman"/>
          <w:sz w:val="24"/>
          <w:szCs w:val="24"/>
          <w:lang w:val="en-US" w:eastAsia="zh-CN"/>
        </w:rPr>
        <w:t>。</w:t>
      </w:r>
    </w:p>
    <w:p w14:paraId="7BF68B87">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2.2.5.2资料收集与分析</w:t>
      </w:r>
    </w:p>
    <w:p w14:paraId="352BCEED">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资料收集与分析是获取场地相关有毒有害物质历史信息的重要手段，也是后续第二阶段调查布点方案设计的关键性手段。</w:t>
      </w:r>
    </w:p>
    <w:p w14:paraId="3A7FBD8C">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场地历史生产可能发生变更，因此规定资料收集需追溯至农田或者自然生态用地。另外由于污染具有迁移性，为了尽可能全面、准确的识别场地中所有的潜在污染，当调查地块与相邻地块存在相互污染的可能时，应调查相邻地块的资料。</w:t>
      </w:r>
    </w:p>
    <w:p w14:paraId="7E3AD63A">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情况下，初始收集到的资料比较繁杂、信息量大，而且其中可能会有一些误导性的信息。为了便于调查人员准确收集有关资料，本标准按照资料收集的内容分为：地块利用变迁资料、地块环境资料、有关政府文件以及所在区域的自然和社会信息，同时将涉及相关内容的资料进行了分类，调查人员可按照清单开展相关资料收集。</w:t>
      </w:r>
    </w:p>
    <w:p w14:paraId="470180BF">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资料收集的过程中应由专业人士对收集到的资料进行分析，对资料的准确性、合理性和有效性进行判断，核实其中的不完整、矛盾甚至错误之处，尽可能补充收集其他有效替代资料。对资料进行分析判断，初步分析地块历史生产活动、可能存在的有毒有害物质、涉及有毒有害物质的重点区域和场所，确定地块的用地分类，为地块现场踏勘及第二阶段调查提供基础。</w:t>
      </w:r>
    </w:p>
    <w:p w14:paraId="07E04AE5">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2.2.5.3现场踏勘</w:t>
      </w:r>
    </w:p>
    <w:p w14:paraId="6DDCC69C">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现场踏勘的主要任务是对场地内及相邻场地的使用现状和历史进行调查和评价，对场地的污染痕迹、污染迁移途径等进行辨识，同时应辅助现场快速检测手段初步判断场地内重点区域污染情况。</w:t>
      </w:r>
    </w:p>
    <w:p w14:paraId="23F21FD0">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现场踏勘的主要内容包括：资料与实际吻合情况，地块的现状与历史情况，相邻地块的现状与历史情况，周围区域的现状与历史情况，区域的地质、水文地质和地形情况等。</w:t>
      </w:r>
    </w:p>
    <w:p w14:paraId="66EF1E3F">
      <w:pPr>
        <w:spacing w:line="360" w:lineRule="auto"/>
        <w:ind w:firstLine="420" w:firstLineChars="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现场踏勘</w:t>
      </w:r>
      <w:r>
        <w:rPr>
          <w:rFonts w:hint="eastAsia" w:ascii="Times New Roman" w:hAnsi="Times New Roman" w:eastAsia="宋体" w:cs="Times New Roman"/>
          <w:sz w:val="24"/>
          <w:szCs w:val="24"/>
          <w:lang w:val="en-US" w:eastAsia="zh-CN"/>
        </w:rPr>
        <w:t>的重点则主要关注：a)有毒有害物质的使用、处理、储存、运输、处置；b)生产过程和设备、储槽与管线；c)恶臭、化学品味道和刺激性气味，污染和腐蚀的痕迹；d)排水管或渠、污水池或其它地表水体、废物堆放地、各类井、渗坑等；e)地面防渗、破损裂缝情况，物料泄漏痕迹；f)物料遗留、污染物残留情况；g)植被生长异常或损害区域，裸露土壤颜色异常、气味异常、现场快速检测异常区域；h)建（构）筑物拆除、地面扰动，地表堆积情况等。</w:t>
      </w:r>
    </w:p>
    <w:p w14:paraId="327DDB08">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现场踏勘过程中，对应用快速检测设备辅助判断地块污染情况的情形进行了规定，要求对只需开展第一阶段调查的地块，必须开展现场快速检测，以作为土壤无污染的辅助证明；对于需开展第二阶段调查的地块，则推荐使用现场快速检测，为第二阶段调查制定布点采样方案提供参考。</w:t>
      </w:r>
    </w:p>
    <w:p w14:paraId="17C65198">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2.2.5.4人员访谈</w:t>
      </w:r>
    </w:p>
    <w:p w14:paraId="470D5568">
      <w:pPr>
        <w:spacing w:line="360" w:lineRule="auto"/>
        <w:ind w:firstLine="420" w:firstLineChars="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人员访谈是对资料收集、分析和现场踏勘所掌握的信息进行进一步考证与确认的过程。</w:t>
      </w:r>
      <w:r>
        <w:rPr>
          <w:rFonts w:hint="eastAsia" w:ascii="Times New Roman" w:hAnsi="Times New Roman" w:eastAsia="宋体" w:cs="Times New Roman"/>
          <w:sz w:val="24"/>
          <w:szCs w:val="24"/>
          <w:lang w:val="en-US" w:eastAsia="zh-CN"/>
        </w:rPr>
        <w:t>访谈对象的选择尤为重要，受访者应为地块现状或历史的知情人，应熟悉地块过去或现在的使用情况，可采取当面交流、电话交流、电子或书面调查表等方式进行，人员访谈可多次开展。</w:t>
      </w:r>
    </w:p>
    <w:p w14:paraId="2CD243AC">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人员访谈内容主要包括：a)对通过已有资料获取的信息进行考证；b)对资料收集和现场踏勘所涉及的疑问进行核实；c)对资料收集和现场踏勘未获取的信息进行补充。</w:t>
      </w:r>
    </w:p>
    <w:p w14:paraId="45E35B86">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2.2.5.5</w:t>
      </w:r>
      <w:r>
        <w:rPr>
          <w:rFonts w:hint="default" w:ascii="Times New Roman" w:hAnsi="Times New Roman" w:eastAsia="宋体" w:cs="Times New Roman"/>
          <w:b/>
          <w:bCs/>
          <w:sz w:val="24"/>
          <w:szCs w:val="24"/>
          <w:lang w:val="en-US" w:eastAsia="zh-CN"/>
        </w:rPr>
        <w:t>结果分析与结论</w:t>
      </w:r>
    </w:p>
    <w:p w14:paraId="05E98978">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主要包括两个方面，一是对第一阶段调查的获取的信息进行分析判断，即污染识别结果分析，并通过不确定性分析认为污染识别结果可信的前提下，按照格式化的要求明确第一阶段调查的结论；二是对调查信息进行系统性总结，形成调查报告。</w:t>
      </w:r>
    </w:p>
    <w:p w14:paraId="612F78B5">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2.2.6第二阶段土壤污染状况调查技术要点说明</w:t>
      </w:r>
    </w:p>
    <w:p w14:paraId="33B4B5A6">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由于场地污染的复杂性，第二阶段土壤污染状况调查宜采取分阶段的调查方法，不断加深调查工作深度，在保证调查准确性的前提下，尽可能节约调查成本。</w:t>
      </w:r>
    </w:p>
    <w:p w14:paraId="3099F113">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第二阶段调查的主要工作内容包括：制定采样工作计划，现场采样、保存、流转和分析测试，数据评估与分析等。</w:t>
      </w:r>
    </w:p>
    <w:p w14:paraId="6A58C900">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2.2.6.1调查启动条件</w:t>
      </w:r>
    </w:p>
    <w:p w14:paraId="37F05705">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对于</w:t>
      </w:r>
      <w:r>
        <w:rPr>
          <w:rFonts w:hint="default" w:ascii="Times New Roman" w:hAnsi="Times New Roman" w:eastAsia="宋体" w:cs="Times New Roman"/>
          <w:sz w:val="24"/>
          <w:szCs w:val="24"/>
          <w:lang w:val="en-US" w:eastAsia="zh-CN"/>
        </w:rPr>
        <w:t>从事过工业企业生产活动、有毒有害物质存储的建设用地，</w:t>
      </w:r>
      <w:r>
        <w:rPr>
          <w:rFonts w:hint="eastAsia" w:ascii="Times New Roman" w:hAnsi="Times New Roman" w:eastAsia="宋体" w:cs="Times New Roman"/>
          <w:sz w:val="24"/>
          <w:szCs w:val="24"/>
          <w:lang w:val="en-US" w:eastAsia="zh-CN"/>
        </w:rPr>
        <w:t>特别规定</w:t>
      </w:r>
      <w:r>
        <w:rPr>
          <w:rFonts w:hint="default" w:ascii="Times New Roman" w:hAnsi="Times New Roman" w:eastAsia="宋体" w:cs="Times New Roman"/>
          <w:sz w:val="24"/>
          <w:szCs w:val="24"/>
          <w:lang w:val="en-US" w:eastAsia="zh-CN"/>
        </w:rPr>
        <w:t>应在生产活动完全停止，涉及有毒有害物质的建（构）筑物、设施设备全部拆除后开展现场采样。确因特殊原因导致涉及有毒有害物质的建（构）筑物、设施设备无法全部拆除的，可在其内容物质完全清理，且不会导致土壤和地下水再次污染、不影响布点采样的前提下，开展初步采样分析工作。</w:t>
      </w:r>
      <w:r>
        <w:rPr>
          <w:rFonts w:hint="eastAsia" w:ascii="Times New Roman" w:hAnsi="Times New Roman" w:eastAsia="宋体" w:cs="Times New Roman"/>
          <w:sz w:val="24"/>
          <w:szCs w:val="24"/>
          <w:lang w:val="en-US" w:eastAsia="zh-CN"/>
        </w:rPr>
        <w:t>既明确了第二阶段现场采样工作的一般启动条件，又为个别特殊情形下，启动现场采样的条件做了明确规定，要求有毒有害物质全部清理完成后放可开展第二阶段现场采样工作，以避免现场采样工作完成后，地块拆除时导致地块再次污染，影响调查结论。</w:t>
      </w:r>
    </w:p>
    <w:p w14:paraId="28633FA4">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2.2.6.2调查范围</w:t>
      </w:r>
    </w:p>
    <w:p w14:paraId="683C5A7D">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一般为</w:t>
      </w:r>
      <w:r>
        <w:rPr>
          <w:rFonts w:hint="eastAsia" w:ascii="Times New Roman" w:hAnsi="Times New Roman" w:eastAsia="宋体" w:cs="Times New Roman"/>
          <w:sz w:val="24"/>
          <w:szCs w:val="24"/>
          <w:lang w:val="en-US" w:eastAsia="zh-CN"/>
        </w:rPr>
        <w:t>地块边界范围</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并规定</w:t>
      </w:r>
      <w:r>
        <w:rPr>
          <w:rFonts w:hint="default" w:ascii="Times New Roman" w:hAnsi="Times New Roman" w:eastAsia="宋体" w:cs="Times New Roman"/>
          <w:sz w:val="24"/>
          <w:szCs w:val="24"/>
          <w:lang w:val="en-US" w:eastAsia="zh-CN"/>
        </w:rPr>
        <w:t>如污染物存在或可能存在扩散到地块边界外</w:t>
      </w:r>
      <w:r>
        <w:rPr>
          <w:rFonts w:hint="eastAsia" w:ascii="Times New Roman" w:hAnsi="Times New Roman" w:eastAsia="宋体" w:cs="Times New Roman"/>
          <w:sz w:val="24"/>
          <w:szCs w:val="24"/>
          <w:lang w:val="en-US" w:eastAsia="zh-CN"/>
        </w:rPr>
        <w:t>的情况</w:t>
      </w:r>
      <w:r>
        <w:rPr>
          <w:rFonts w:hint="default" w:ascii="Times New Roman" w:hAnsi="Times New Roman" w:eastAsia="宋体" w:cs="Times New Roman"/>
          <w:sz w:val="24"/>
          <w:szCs w:val="24"/>
          <w:lang w:val="en-US" w:eastAsia="zh-CN"/>
        </w:rPr>
        <w:t>，在条件允许的情况下布点范围应扩展到地块周边可能扩散的区域。</w:t>
      </w:r>
      <w:r>
        <w:rPr>
          <w:rFonts w:hint="eastAsia" w:ascii="Times New Roman" w:hAnsi="Times New Roman" w:eastAsia="宋体" w:cs="Times New Roman"/>
          <w:sz w:val="24"/>
          <w:szCs w:val="24"/>
          <w:lang w:val="en-US" w:eastAsia="zh-CN"/>
        </w:rPr>
        <w:t>既明确了地块污染责任人/使用权人的履责范围应包含被其污染的全部区域，又避免调查地块红线外因权属、公共设施等不具备采样条件情况的限制，导致调查工作完成无法完成。</w:t>
      </w:r>
    </w:p>
    <w:p w14:paraId="4AF55339">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2.2.6.3布点采样方案</w:t>
      </w:r>
    </w:p>
    <w:p w14:paraId="4E5D6E93">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地块内土壤污染主要发生在有毒有害物质等生产、贮存、装卸、使用和处置的区域，尤其是各类涉及有毒有害物质的地下罐槽、管线、集水井、检查井等位置，因此在初步调查布点方案编制阶段，着重强化对疑似污染区域的识别。</w:t>
      </w:r>
    </w:p>
    <w:p w14:paraId="58BFDA0F">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资料充足，疑似污染区域识别准确的地块，规定可采取专业判断布点法，将疑似污染区域作为土壤点位布设的重点，可能通过渗漏、流失、扬散等途径导致地下水污染的场所或设施设备、污染泄漏点等作为地下水点位布设重点。同时又为了避免单个疑似污染区域过大，而布点数量过少，导致遗漏污染的情况，经专业判断及实践经验，规定每5000平方米不应少于一个土壤采样点位；</w:t>
      </w:r>
    </w:p>
    <w:p w14:paraId="043AA308">
      <w:pPr>
        <w:spacing w:line="360" w:lineRule="auto"/>
        <w:ind w:firstLine="420" w:firstLineChars="0"/>
        <w:rPr>
          <w:rFonts w:eastAsia="宋体" w:cs="Times New Roman"/>
        </w:rPr>
      </w:pPr>
      <w:r>
        <w:rPr>
          <w:rFonts w:hint="eastAsia" w:ascii="Times New Roman" w:hAnsi="Times New Roman" w:eastAsia="宋体" w:cs="Times New Roman"/>
          <w:sz w:val="24"/>
          <w:szCs w:val="24"/>
          <w:lang w:val="en-US" w:eastAsia="zh-CN"/>
        </w:rPr>
        <w:t>对资料不足以支持疑似污染区域识别的地块，为避免因资料不充分导致遗漏污染，规定应采取系统布点法布设土壤采样点位，要求每个土壤采样网格不应大于1600平方米，每个地下水采样网格不应大于6400平方米。特别的对于按规范定期开展土壤污染隐患排查，且自行监测符合HJ 1209要求的地块，提出可使用质量有保障的历史数据，辅助开展采样点位布设。</w:t>
      </w:r>
    </w:p>
    <w:p w14:paraId="5CB610DD">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样深度上，经调研分析我省117个超标地块中的有效地层结构信息，第一层约96%的地块为填土层，第二层则以粉质粘土、粘土及淤泥质粉质粘土/粘土为主，约占65%，另外23%为填土，6%为粉土，沙砾等透水层仅占3%，2%为风化层/岩，另外结合地块超标情况看，绝大多数地块污染深度在0~6m范围内，污染于第一层填土层为主，挥发性有机物向下迁移情况要高于重金属和半挥发性有机物。因此，综合考虑我省地层结构的一般特征，规定：“第一层隔水层以上土壤的采样间隔不应超过1米，第一层隔水层及以下土壤的采样间隔不应超过2米。对于垂直方向结构特征不同的土壤，可根据土壤结构的变化和污染物迁移规律调整垂直方向点位的采样间隔。”可以有效的捕获污染，也可以避免最易污染的土层中因为间隔过大，导致遗漏污染。</w:t>
      </w:r>
    </w:p>
    <w:p w14:paraId="0210658E">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据调研数据，我省117个超标地块中约82%易受污染的浅层地下水为上层滞水，17%的为孔隙潜水（粉质粘土、淤泥质土层），仅1%为沙砾层中的潜水。上层滞水及粉质粘土中的孔隙潜水一般赋存量少、流通性差，且无开发利用价值，污染物随地下水迁移的风险一般不高，因此建议我省建设用地地块的浅层地下水调查可不作为调查的重点，因此规定：“</w:t>
      </w:r>
      <w:r>
        <w:rPr>
          <w:rFonts w:hint="default" w:ascii="Times New Roman" w:hAnsi="Times New Roman" w:eastAsia="宋体" w:cs="Times New Roman"/>
          <w:sz w:val="24"/>
          <w:szCs w:val="24"/>
          <w:lang w:val="en-US" w:eastAsia="zh-CN"/>
        </w:rPr>
        <w:t>结合第一阶段调查结论、特征污染物的理化性质、水文地质条件、地层结构、现场钻探情况、土壤采样过程中的现场快速监测结果、污染痕迹信息等，判断地块地下水不可能存在污染时，可不开展地下水监测，但需给出合理的理由并提供证明材料</w:t>
      </w:r>
      <w:r>
        <w:rPr>
          <w:rFonts w:hint="eastAsia" w:ascii="Times New Roman" w:hAnsi="Times New Roman" w:eastAsia="宋体" w:cs="Times New Roman"/>
          <w:sz w:val="24"/>
          <w:szCs w:val="24"/>
          <w:lang w:val="en-US" w:eastAsia="zh-CN"/>
        </w:rPr>
        <w:t>。”</w:t>
      </w:r>
    </w:p>
    <w:p w14:paraId="6F9A52B5">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2.2.6.4样品分析方案</w:t>
      </w:r>
    </w:p>
    <w:p w14:paraId="3366A18C">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根据调研情况来看，虽然GB 36600表1和表2之外的污染物超标情况较少，但仍然存在，尤其是化学品使用情况复杂的化工企业，因此对于GB 36600之外的特征指标，应纳入调查。</w:t>
      </w:r>
    </w:p>
    <w:p w14:paraId="55CB8BC3">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初步采样分析阶段的土壤检测项目应包含基本项目和地块全部的关注污染物项目。地下水检测项目应包含地块全部的关注污染物项目。</w:t>
      </w:r>
    </w:p>
    <w:p w14:paraId="02B36573">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详细采样分析的检测项目应当包含初步采样分析发现的全部超标污染物，必要时</w:t>
      </w:r>
      <w:r>
        <w:rPr>
          <w:rFonts w:hint="eastAsia" w:ascii="Times New Roman" w:hAnsi="Times New Roman" w:eastAsia="宋体" w:cs="Times New Roman"/>
          <w:sz w:val="24"/>
          <w:szCs w:val="24"/>
          <w:lang w:val="en-US" w:eastAsia="zh-CN"/>
        </w:rPr>
        <w:t>（如存在大范围检出或超过土壤环境背景值等情形时）</w:t>
      </w:r>
      <w:r>
        <w:rPr>
          <w:rFonts w:hint="default" w:ascii="Times New Roman" w:hAnsi="Times New Roman" w:eastAsia="宋体" w:cs="Times New Roman"/>
          <w:sz w:val="24"/>
          <w:szCs w:val="24"/>
          <w:lang w:val="en-US" w:eastAsia="zh-CN"/>
        </w:rPr>
        <w:t>考虑初步采样分析未超标的关注污染物。</w:t>
      </w:r>
    </w:p>
    <w:p w14:paraId="3EDE4452">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样品测试分析方法应与评价标准规定的分析方法一致。</w:t>
      </w:r>
    </w:p>
    <w:p w14:paraId="5F44B9E3">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本标准中对于如何从第一阶段调查识别的特征污染物中确定需检测的关注污染物，提出了详细的方法。</w:t>
      </w:r>
    </w:p>
    <w:p w14:paraId="7CE04179">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2.2.6.5</w:t>
      </w:r>
      <w:r>
        <w:rPr>
          <w:rFonts w:hint="default" w:ascii="Times New Roman" w:hAnsi="Times New Roman" w:eastAsia="宋体" w:cs="Times New Roman"/>
          <w:b/>
          <w:bCs/>
          <w:sz w:val="24"/>
          <w:szCs w:val="24"/>
          <w:lang w:val="en-US" w:eastAsia="zh-CN"/>
        </w:rPr>
        <w:t>质量保证和质量控制要求</w:t>
      </w:r>
    </w:p>
    <w:p w14:paraId="379EB994">
      <w:pPr>
        <w:spacing w:line="360" w:lineRule="auto"/>
        <w:ind w:firstLine="42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质量保证和质量控制</w:t>
      </w:r>
      <w:r>
        <w:rPr>
          <w:rFonts w:hint="eastAsia" w:ascii="Times New Roman" w:hAnsi="Times New Roman" w:eastAsia="宋体" w:cs="Times New Roman"/>
          <w:sz w:val="24"/>
          <w:szCs w:val="24"/>
          <w:lang w:val="en-US" w:eastAsia="zh-CN"/>
        </w:rPr>
        <w:t>是保证地块土壤调查准确与否的重中之重，在环境保护行业标准</w:t>
      </w:r>
      <w:r>
        <w:rPr>
          <w:rFonts w:hint="default" w:ascii="Times New Roman" w:hAnsi="Times New Roman" w:eastAsia="宋体" w:cs="Times New Roman"/>
          <w:sz w:val="24"/>
          <w:szCs w:val="24"/>
          <w:lang w:val="en-US" w:eastAsia="zh-CN"/>
        </w:rPr>
        <w:t>HJ 25.2、HJ 1019</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HJ 164、HJ/T 166</w:t>
      </w:r>
      <w:r>
        <w:rPr>
          <w:rFonts w:hint="eastAsia" w:ascii="Times New Roman" w:hAnsi="Times New Roman" w:eastAsia="宋体" w:cs="Times New Roman"/>
          <w:sz w:val="24"/>
          <w:szCs w:val="24"/>
          <w:lang w:val="en-US" w:eastAsia="zh-CN"/>
        </w:rPr>
        <w:t>等中已进行了详细规定，但实际上，各标准之间仍然存在规定不一致或不清晰的地方，对实际工作不可避免的带来一定程度的影响，因此我省计划在建设用地土壤污染防治系列标准中单独制订质控标准，因此本标准在质控方面未做详细的要求，具体以相关标准为准。</w:t>
      </w:r>
    </w:p>
    <w:p w14:paraId="6D4FD9A4">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2.2.6.6现场采样</w:t>
      </w:r>
    </w:p>
    <w:p w14:paraId="11CC03C1">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壤样品采集特别重要的是岩心的采集，由于一般的工勘钻机存在钻探时发热、钻探过程中存在浆液、岩心取出宜扰动等问题，对土壤样品的代表性存在严重的破坏，结合《建设用地土壤污染状况调查质量控制技术规定（试行）》等要求，规定应当使用冲击钻探法或直压式钻探法等钻孔方式，原则上使用无浆液钻进方式，钻探过程中全程套管跟进，以尽可能的降低岩心取出过程中所带来的影响。</w:t>
      </w:r>
    </w:p>
    <w:p w14:paraId="7538931B">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于地下水样品的采集，则以采集代表性水样，且尽可能避免地下水样品污染、损失为原则。因此建立符合规定要求的监测井及合适的取样方法是实现上述原则的重要前提，本标准对监测井结构、材质、地下水取样等做了一般规定。</w:t>
      </w:r>
    </w:p>
    <w:p w14:paraId="73F127D2">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另外，通过调研情况来看，我省已完成的场地调查报告中附录的现场作业支撑记录，大多存在记录不规范、不完整甚至是未付采样记录等问题，因此对现场作业的支撑材料、记录表格式要求等做了一般性规定。</w:t>
      </w:r>
    </w:p>
    <w:p w14:paraId="3BBAFB6C">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2.2.6.7样品保存与流转</w:t>
      </w:r>
    </w:p>
    <w:p w14:paraId="486556C0">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样品保存与流转的要求，行业标准HJ 25.1、HJ 25.2、HJ 1019、HJ/T 166、HJ 164等中都做出了详细的规定，本标准要求与之一致。</w:t>
      </w:r>
    </w:p>
    <w:p w14:paraId="1AA69D34">
      <w:pPr>
        <w:spacing w:line="360" w:lineRule="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2.2.6.8结果分析与评价</w:t>
      </w:r>
    </w:p>
    <w:p w14:paraId="7FC5E037">
      <w:pPr>
        <w:spacing w:line="360" w:lineRule="auto"/>
        <w:ind w:firstLine="420" w:firstLineChars="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1、风险筛选值选取</w:t>
      </w:r>
    </w:p>
    <w:p w14:paraId="2F5EAA04">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本标准对</w:t>
      </w:r>
      <w:r>
        <w:rPr>
          <w:rFonts w:hint="default" w:ascii="Times New Roman" w:hAnsi="Times New Roman" w:eastAsia="宋体" w:cs="Times New Roman"/>
          <w:sz w:val="24"/>
          <w:szCs w:val="24"/>
          <w:lang w:val="en-US" w:eastAsia="zh-CN"/>
        </w:rPr>
        <w:t>风险筛选值选取</w:t>
      </w:r>
      <w:r>
        <w:rPr>
          <w:rFonts w:hint="eastAsia" w:ascii="Times New Roman" w:hAnsi="Times New Roman" w:eastAsia="宋体" w:cs="Times New Roman"/>
          <w:sz w:val="24"/>
          <w:szCs w:val="24"/>
          <w:lang w:val="en-US" w:eastAsia="zh-CN"/>
        </w:rPr>
        <w:t>进行了详细规定，土壤依据GB 36600，地下水依据GB/T 14848，对于质量标准以外的污染物，一般应采取HJ 25.3的要求推导特定污染物的土壤污染风险筛选值，但考虑到实际实施的便利性及已有惯例，加之深圳、上海等地的地方标准是依据HJ 25.3推导形成的，因此也规定在一般情况下，也可以参考我国已发布的其他省市地方标准，但应说明标准选取的理由。</w:t>
      </w:r>
    </w:p>
    <w:p w14:paraId="012A5CF9">
      <w:pPr>
        <w:spacing w:line="360" w:lineRule="auto"/>
        <w:ind w:firstLine="420" w:firstLineChars="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2、土壤对照基准数据</w:t>
      </w:r>
    </w:p>
    <w:p w14:paraId="64340FBB">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对于土壤的砷、钴、钒等无机污染物，尤其是土壤砷，在我省部分地市出现局部偏高的特征，虽然在长期实践过程中，通常根据土壤类型采取GB 36600附录A表A.1中水稻土、红壤、黄壤、黄棕壤、棕壤、栗钙土、沼泽土、盐土、黑毡土、草毡土、巴嘎土、莎嘎土、高山漠土、寒漠土的推荐背景值，也就是40mg/kg作为砷的筛选值或修复目标值，但部分地块仍然存在砷＞40mg/kg，且与地块生产历史不吻合的情况，根据调研数据来看，我省涉及重金属污染的地块中，66%的地块涉及砷超标，为排第一位的无机超标污染物。</w:t>
      </w:r>
    </w:p>
    <w:p w14:paraId="5EB53005">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目前国家尚无有效的技术方法可以解决此种情况导致的土壤超标及后续修复的问题，调研国内情况，深圳市出台的《深圳市建设用地土壤污染状况调查与风险评估工作指引（2021年版）》中规定了地块土壤背景值的调查方法，并规定可将获取的地块土壤背景值作为风险筛选值，另外《生态环境损害鉴定评估技术指南 环境要素 第1部分：土壤和地下水》（GB/T 39792.1—2020）中有关于基线水平调查的相关内容，用于作为土壤环境损害的判别依据。</w:t>
      </w:r>
    </w:p>
    <w:p w14:paraId="5B2F8586">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考虑到我省实践中的具体问题，本标准参考深圳市出台的工作指引中关于地块土壤背景值的调查方法及GB/T 39792.1中关于基线水平调查的相关内容，并结合HJ 25.2中关于土壤对照监测点位的布设方法等，提出了：“有必要的情况下，对于部分背景较高的无机污染物（如砷、钴、钒），可进行土壤对照监测点位布设，用于辅助判断地块污染状况。”并相应规定了土壤对照监测点位布设的技术要求和相应的数据处理方法，供地块在有必要的情况，在调查及修复活动中作为土壤背景值、风险评估及修复目标确定的参考数据。以期可以为对由于地质高背景导致的超标提供一定的论证手段和方法。</w:t>
      </w:r>
    </w:p>
    <w:p w14:paraId="683DD890">
      <w:pPr>
        <w:spacing w:line="360" w:lineRule="auto"/>
        <w:ind w:firstLine="420" w:firstLineChars="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3、评估方法</w:t>
      </w:r>
    </w:p>
    <w:p w14:paraId="41589EDB">
      <w:pPr>
        <w:spacing w:line="360" w:lineRule="auto"/>
        <w:ind w:firstLine="420" w:firstLineChars="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将检测结果与风险筛选值进行比较，污染物含量未超过风险筛选值的，对人体健康的风险可以忽略；超过风险筛选值的，对人体健康可能存在风险，应当开展进一步的详细采样分析和风险评估</w:t>
      </w:r>
      <w:r>
        <w:rPr>
          <w:rFonts w:hint="eastAsia" w:ascii="Times New Roman" w:hAnsi="Times New Roman" w:eastAsia="宋体" w:cs="Times New Roman"/>
          <w:sz w:val="24"/>
          <w:szCs w:val="24"/>
          <w:lang w:val="en-US" w:eastAsia="zh-CN"/>
        </w:rPr>
        <w:t>。</w:t>
      </w:r>
    </w:p>
    <w:p w14:paraId="15DF31EA">
      <w:pPr>
        <w:spacing w:line="360" w:lineRule="auto"/>
        <w:ind w:firstLine="420" w:firstLineChars="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4、异常点位排查</w:t>
      </w:r>
    </w:p>
    <w:p w14:paraId="6B0A4241">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从实践经验来看，初步采样分析阶段可能会出现以下疑似异常情况：</w:t>
      </w:r>
    </w:p>
    <w:p w14:paraId="61BF8DFA">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由于初步采样阶段布置的采样点位有限，且受限于调查人员技术水平、现场实际情况和土壤污染的隐蔽性等问题，通常很难保证全部的点位都布置在地块污染最严重的区域，因此即便初步采样阶段的所有点位均未超过筛选值，尤其是地块未来规划为第二类用地情形时，也很难保证场地内其他区域未受污染，特别是当场地内初步采样调查获取的土壤样品出现大范围的无机污染物高于土壤背景值，或有机污染物检出的情况（这种情况已明显指示地块内/外工业企业历史生产活动已经对地块内土壤产生一定程度的影响）。另外HJ 25.1“4.2.2.3”规定：“</w:t>
      </w:r>
      <w:r>
        <w:rPr>
          <w:rFonts w:hint="default" w:ascii="Times New Roman" w:hAnsi="Times New Roman" w:eastAsia="宋体" w:cs="Times New Roman"/>
          <w:sz w:val="24"/>
          <w:szCs w:val="24"/>
          <w:lang w:val="en-US" w:eastAsia="zh-CN"/>
        </w:rPr>
        <w:t>根据初步采样分析结果，如果污染物浓度均未超过GB 36600等国家和地方相关标准以及清洁对照点浓度（有土壤环境背景的无机物），并且经过不确定性分析确认不需要进一步调查后，第二阶段土壤污染状况调查工作可以结束；否则认为可能存在环境风险，须进行详细调查。</w:t>
      </w:r>
      <w:r>
        <w:rPr>
          <w:rFonts w:hint="eastAsia" w:ascii="Times New Roman" w:hAnsi="Times New Roman" w:eastAsia="宋体" w:cs="Times New Roman"/>
          <w:sz w:val="24"/>
          <w:szCs w:val="24"/>
          <w:lang w:val="en-US" w:eastAsia="zh-CN"/>
        </w:rPr>
        <w:t>”但实践过程中，很少有调查报告会关注和土壤环境背景值的比对。</w:t>
      </w:r>
    </w:p>
    <w:p w14:paraId="2789690E">
      <w:pPr>
        <w:spacing w:line="360" w:lineRule="auto"/>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2）初步调查过程中可能会出现偶发性的超标，但分析地块历史生产情况或特征污染物，判断该超标污染物有较大可能不属于地块污染所致。</w:t>
      </w:r>
    </w:p>
    <w:p w14:paraId="3DA928AE">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因此，本标准在编制时为了尽可能减少调查过程的不确定性，对于第1种情形，综合考虑实践情况和HJ 25.1的有关要求，规定当初步调查阶段的布点密度较低时，如发现无机污染物出现大范围超过土壤环境背景值或有机污染物大范围检出等情形时，应进一步开展补充调查，以排查该情形是否存在未查明的污染情况，避免超标地块进入开发流程，产生人居环境风险；对于第2种情形，则参考广东省、深圳市、广州市、上海市、武汉市等发达省市的经验，提出可以采取加密调查的手段排查是否存在异常情形，如经过加密调查，确定确为异常情况的，可在初步调查阶段终止调查，避免后续详查甚至是修复活动，导致过度的经济成本。</w:t>
      </w:r>
    </w:p>
    <w:p w14:paraId="24FD3174">
      <w:pPr>
        <w:spacing w:line="360" w:lineRule="auto"/>
        <w:ind w:firstLine="420" w:firstLineChars="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5、报告编制</w:t>
      </w:r>
    </w:p>
    <w:p w14:paraId="4F166C64">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第二阶段调查过程及结果进行分析、总结和评价，对调查过程中遇到的限制条件和欠缺的信息进行不确定性分析，明确场地是否存在污染，以及相应的污染类型、程度、空间分布等信息，并根据调查结果，给出地块进一步开展场地环境管理的措施和建议，整理相关附件，最终形成第二阶段调查报告。</w:t>
      </w:r>
    </w:p>
    <w:p w14:paraId="699CC54F">
      <w:pPr>
        <w:spacing w:line="360" w:lineRule="auto"/>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2.2.7第三阶段土壤污染状况调查技术要点说明</w:t>
      </w:r>
    </w:p>
    <w:p w14:paraId="7BC0FB69">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第三阶段场地环境调查主要为场地风险评估和修复提供基础数据，一般可在第二阶段调查时同步进行，也可以单独开展，涉及的调查内容较多，主要为地块特征参数调查和受体暴露参数调查，一般应根据场地风险评估和修复的实际需求进行调查方案设计，本标准给出了一般性指引。</w:t>
      </w:r>
    </w:p>
    <w:p w14:paraId="4BBB47BC">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0"/>
        <w:rPr>
          <w:rFonts w:hint="default" w:ascii="Times New Roman" w:hAnsi="Times New Roman" w:eastAsia="宋体" w:cs="Times New Roman"/>
          <w:b/>
          <w:kern w:val="44"/>
          <w:sz w:val="44"/>
          <w:szCs w:val="24"/>
          <w:lang w:val="en-US" w:eastAsia="zh-CN" w:bidi="ar-SA"/>
        </w:rPr>
      </w:pPr>
      <w:r>
        <w:rPr>
          <w:rFonts w:hint="eastAsia" w:ascii="Times New Roman" w:hAnsi="Times New Roman" w:eastAsia="宋体" w:cs="Times New Roman"/>
          <w:b/>
          <w:kern w:val="44"/>
          <w:sz w:val="44"/>
          <w:szCs w:val="24"/>
          <w:lang w:val="en-US" w:eastAsia="zh-CN" w:bidi="ar-SA"/>
        </w:rPr>
        <w:t>3标准比对</w:t>
      </w:r>
    </w:p>
    <w:p w14:paraId="476DB9D9">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3.1相关领域国内外发展现状和趋势</w:t>
      </w:r>
    </w:p>
    <w:p w14:paraId="1AAD033C">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美国是场地环境调查与评价技术标准体系建立最早，也是最为完善的国家，其建立的场地环境调查与评价技术标准体系已成为世界各国开展场地环境调查与评价的重要依据，加拿大、澳大利亚、英国、中国香港地区、中国台湾地区也在参考美国标准的基础制定了自身的场地环境调查与评价标准。</w:t>
      </w:r>
    </w:p>
    <w:p w14:paraId="078350E5">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我国生态环境部（原环境保护部）于2014年相继发布了《场地环境调查技术导则》（于2019年修订）、《场地环境监测技术导则》（于2019年修订）、《工业企业场地环境调查评估与修复工作指南（试行）》等文件，规范和指导场地环境调查工作，但国家层面发布的技术规范，一般为原则性规定。</w:t>
      </w:r>
    </w:p>
    <w:p w14:paraId="6198B637">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此，国内各省市均根据各地实情出台相关管理办法或者技术规范，其中北京、广州均发布了地方建设用地土壤污染状况调查技术规范，江苏则制定了地方电镀行业、铅蓄电池土壤污染状况调查技术规范以及建设用地非确定源土壤污染状况调查技术指南；上海</w:t>
      </w:r>
      <w:r>
        <w:rPr>
          <w:rFonts w:hint="default" w:ascii="Times New Roman" w:hAnsi="Times New Roman" w:eastAsia="宋体" w:cs="Times New Roman"/>
          <w:sz w:val="24"/>
          <w:szCs w:val="24"/>
          <w:lang w:val="en-US" w:eastAsia="zh-CN"/>
        </w:rPr>
        <w:t>、广东、广西、重庆、四川、云南、深圳、武汉、成都等省市</w:t>
      </w:r>
      <w:r>
        <w:rPr>
          <w:rFonts w:hint="eastAsia" w:ascii="Times New Roman" w:hAnsi="Times New Roman" w:eastAsia="宋体" w:cs="Times New Roman"/>
          <w:sz w:val="24"/>
          <w:szCs w:val="24"/>
          <w:lang w:val="en-US" w:eastAsia="zh-CN"/>
        </w:rPr>
        <w:t>则以</w:t>
      </w:r>
      <w:r>
        <w:rPr>
          <w:rFonts w:hint="default" w:ascii="Times New Roman" w:hAnsi="Times New Roman" w:eastAsia="宋体" w:cs="Times New Roman"/>
          <w:sz w:val="24"/>
          <w:szCs w:val="24"/>
          <w:lang w:val="en-US" w:eastAsia="zh-CN"/>
        </w:rPr>
        <w:t>工作指南、工作指引或技术审查要点等形式</w:t>
      </w:r>
      <w:r>
        <w:rPr>
          <w:rFonts w:hint="eastAsia" w:ascii="Times New Roman" w:hAnsi="Times New Roman" w:eastAsia="宋体" w:cs="Times New Roman"/>
          <w:sz w:val="24"/>
          <w:szCs w:val="24"/>
          <w:lang w:val="en-US" w:eastAsia="zh-CN"/>
        </w:rPr>
        <w:t>对建设用地土壤污染状况调查工作进行相应规范性要求。</w:t>
      </w:r>
    </w:p>
    <w:p w14:paraId="2C48C603">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sz w:val="32"/>
          <w:szCs w:val="32"/>
          <w:lang w:val="en-US" w:eastAsia="zh-CN"/>
        </w:rPr>
      </w:pPr>
      <w:r>
        <w:rPr>
          <w:rFonts w:hint="eastAsia" w:ascii="Times New Roman" w:hAnsi="Times New Roman" w:eastAsia="宋体" w:cs="Times New Roman"/>
          <w:b/>
          <w:sz w:val="32"/>
          <w:szCs w:val="32"/>
          <w:lang w:val="en-US" w:eastAsia="zh-CN"/>
        </w:rPr>
        <w:t>3.2</w:t>
      </w:r>
      <w:r>
        <w:rPr>
          <w:rFonts w:hint="default" w:ascii="Times New Roman" w:hAnsi="Times New Roman" w:eastAsia="宋体" w:cs="Times New Roman"/>
          <w:b/>
          <w:sz w:val="32"/>
          <w:szCs w:val="32"/>
          <w:lang w:val="en-US" w:eastAsia="zh-CN"/>
        </w:rPr>
        <w:t>与国家标准、行业标准等上位标准的比对情况</w:t>
      </w:r>
    </w:p>
    <w:p w14:paraId="3B70FF00">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建设用地土壤污染状况调查的标准体系方面，无国家标准，国内现行有效的上位标准为环境保护标准：《建设用地土壤污染状况调查技术导则》（HJ 25.1-2019）和《建设用地土壤污染风险管控和修复监测技术导则》（HJ 25.2-2019）。</w:t>
      </w:r>
    </w:p>
    <w:p w14:paraId="54F85F2E">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本标准对比上位标准的情况主要如下：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710"/>
        <w:gridCol w:w="3015"/>
        <w:gridCol w:w="3290"/>
      </w:tblGrid>
      <w:tr w14:paraId="1BD8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504" w:type="dxa"/>
            <w:vMerge w:val="restart"/>
            <w:noWrap w:val="0"/>
            <w:vAlign w:val="center"/>
          </w:tcPr>
          <w:p w14:paraId="3AC990D2">
            <w:pPr>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1710" w:type="dxa"/>
            <w:vMerge w:val="restart"/>
            <w:noWrap w:val="0"/>
            <w:vAlign w:val="center"/>
          </w:tcPr>
          <w:p w14:paraId="6DC5EBCB">
            <w:pPr>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内容</w:t>
            </w:r>
          </w:p>
        </w:tc>
        <w:tc>
          <w:tcPr>
            <w:tcW w:w="6305" w:type="dxa"/>
            <w:gridSpan w:val="2"/>
            <w:noWrap w:val="0"/>
            <w:vAlign w:val="center"/>
          </w:tcPr>
          <w:p w14:paraId="76766192">
            <w:pPr>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对比情况</w:t>
            </w:r>
          </w:p>
        </w:tc>
      </w:tr>
      <w:tr w14:paraId="40BC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dxa"/>
            <w:vMerge w:val="continue"/>
            <w:noWrap w:val="0"/>
            <w:vAlign w:val="center"/>
          </w:tcPr>
          <w:p w14:paraId="7200317A">
            <w:pPr>
              <w:spacing w:line="240" w:lineRule="auto"/>
              <w:jc w:val="center"/>
              <w:rPr>
                <w:rFonts w:hint="eastAsia" w:ascii="Times New Roman" w:hAnsi="Times New Roman" w:eastAsia="宋体" w:cs="Times New Roman"/>
                <w:b/>
                <w:bCs/>
                <w:sz w:val="21"/>
                <w:szCs w:val="21"/>
                <w:vertAlign w:val="baseline"/>
                <w:lang w:val="en-US" w:eastAsia="zh-CN"/>
              </w:rPr>
            </w:pPr>
          </w:p>
        </w:tc>
        <w:tc>
          <w:tcPr>
            <w:tcW w:w="1710" w:type="dxa"/>
            <w:vMerge w:val="continue"/>
            <w:noWrap w:val="0"/>
            <w:vAlign w:val="center"/>
          </w:tcPr>
          <w:p w14:paraId="555E0D5F">
            <w:pPr>
              <w:spacing w:line="240" w:lineRule="auto"/>
              <w:jc w:val="center"/>
              <w:rPr>
                <w:rFonts w:hint="eastAsia" w:ascii="Times New Roman" w:hAnsi="Times New Roman" w:eastAsia="宋体" w:cs="Times New Roman"/>
                <w:b/>
                <w:bCs/>
                <w:sz w:val="21"/>
                <w:szCs w:val="21"/>
                <w:vertAlign w:val="baseline"/>
                <w:lang w:val="en-US" w:eastAsia="zh-CN"/>
              </w:rPr>
            </w:pPr>
          </w:p>
        </w:tc>
        <w:tc>
          <w:tcPr>
            <w:tcW w:w="3015" w:type="dxa"/>
            <w:noWrap w:val="0"/>
            <w:vAlign w:val="center"/>
          </w:tcPr>
          <w:p w14:paraId="2F57E3C6">
            <w:pPr>
              <w:spacing w:line="240" w:lineRule="auto"/>
              <w:jc w:val="center"/>
              <w:rPr>
                <w:rFonts w:hint="default" w:ascii="Times New Roman" w:hAnsi="Times New Roman" w:eastAsia="宋体" w:cs="Times New Roman"/>
                <w:b/>
                <w:bCs/>
                <w:kern w:val="2"/>
                <w:sz w:val="21"/>
                <w:szCs w:val="21"/>
                <w:vertAlign w:val="baseline"/>
                <w:lang w:val="en-US" w:eastAsia="zh-CN" w:bidi="ar-SA"/>
              </w:rPr>
            </w:pPr>
            <w:r>
              <w:rPr>
                <w:rFonts w:hint="eastAsia" w:ascii="Times New Roman" w:hAnsi="Times New Roman" w:eastAsia="宋体" w:cs="Times New Roman"/>
                <w:b/>
                <w:bCs/>
                <w:kern w:val="2"/>
                <w:sz w:val="21"/>
                <w:szCs w:val="21"/>
                <w:vertAlign w:val="baseline"/>
                <w:lang w:val="en-US" w:eastAsia="zh-CN" w:bidi="ar-SA"/>
              </w:rPr>
              <w:t>细化内容</w:t>
            </w:r>
          </w:p>
        </w:tc>
        <w:tc>
          <w:tcPr>
            <w:tcW w:w="3290" w:type="dxa"/>
            <w:noWrap w:val="0"/>
            <w:vAlign w:val="center"/>
          </w:tcPr>
          <w:p w14:paraId="0755A131">
            <w:pPr>
              <w:spacing w:line="240" w:lineRule="auto"/>
              <w:jc w:val="center"/>
              <w:rPr>
                <w:rFonts w:hint="default" w:ascii="Times New Roman" w:hAnsi="Times New Roman" w:eastAsia="宋体" w:cs="Times New Roman"/>
                <w:b/>
                <w:bCs/>
                <w:kern w:val="2"/>
                <w:sz w:val="21"/>
                <w:szCs w:val="21"/>
                <w:vertAlign w:val="baseline"/>
                <w:lang w:val="en-US" w:eastAsia="zh-CN" w:bidi="ar-SA"/>
              </w:rPr>
            </w:pPr>
            <w:r>
              <w:rPr>
                <w:rFonts w:hint="eastAsia" w:ascii="Times New Roman" w:hAnsi="Times New Roman" w:eastAsia="宋体" w:cs="Times New Roman"/>
                <w:b/>
                <w:bCs/>
                <w:kern w:val="2"/>
                <w:sz w:val="21"/>
                <w:szCs w:val="21"/>
                <w:vertAlign w:val="baseline"/>
                <w:lang w:val="en-US" w:eastAsia="zh-CN" w:bidi="ar-SA"/>
              </w:rPr>
              <w:t>补充内容</w:t>
            </w:r>
          </w:p>
        </w:tc>
      </w:tr>
      <w:tr w14:paraId="46D3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14:paraId="118081D6">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710" w:type="dxa"/>
            <w:noWrap w:val="0"/>
            <w:vAlign w:val="center"/>
          </w:tcPr>
          <w:p w14:paraId="5CD30AEF">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范围</w:t>
            </w:r>
          </w:p>
        </w:tc>
        <w:tc>
          <w:tcPr>
            <w:tcW w:w="3015" w:type="dxa"/>
            <w:noWrap w:val="0"/>
            <w:vAlign w:val="center"/>
          </w:tcPr>
          <w:p w14:paraId="7F15328C">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适用范围基本相同</w:t>
            </w:r>
          </w:p>
        </w:tc>
        <w:tc>
          <w:tcPr>
            <w:tcW w:w="3290" w:type="dxa"/>
            <w:noWrap w:val="0"/>
            <w:vAlign w:val="center"/>
          </w:tcPr>
          <w:p w14:paraId="3CE3288B">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补充了对致病性生物污染地块的规定</w:t>
            </w:r>
          </w:p>
        </w:tc>
      </w:tr>
      <w:tr w14:paraId="5B7F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14:paraId="6E2E1D5A">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1710" w:type="dxa"/>
            <w:noWrap w:val="0"/>
            <w:vAlign w:val="center"/>
          </w:tcPr>
          <w:p w14:paraId="71276612">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工作程序</w:t>
            </w:r>
          </w:p>
        </w:tc>
        <w:tc>
          <w:tcPr>
            <w:tcW w:w="3015" w:type="dxa"/>
            <w:noWrap w:val="0"/>
            <w:vAlign w:val="center"/>
          </w:tcPr>
          <w:p w14:paraId="01F3B843">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工作程序基本相同</w:t>
            </w:r>
          </w:p>
        </w:tc>
        <w:tc>
          <w:tcPr>
            <w:tcW w:w="3290" w:type="dxa"/>
            <w:noWrap w:val="0"/>
            <w:vAlign w:val="center"/>
          </w:tcPr>
          <w:p w14:paraId="319C07B8">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进一步明确了调查范围及有关要求，明确调查范围应包含地块历史工业企业所涉及的全部区域；2、对于从事过工业企业生产活动、有毒有害物质存储的建设用地，明确需在有毒有害物质全部清理后方可进行初步采样分析工作</w:t>
            </w:r>
          </w:p>
        </w:tc>
      </w:tr>
      <w:tr w14:paraId="3F96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14:paraId="2288AE64">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710" w:type="dxa"/>
            <w:noWrap w:val="0"/>
            <w:vAlign w:val="center"/>
          </w:tcPr>
          <w:p w14:paraId="4872384B">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第一阶段土壤污染状况调查</w:t>
            </w:r>
          </w:p>
        </w:tc>
        <w:tc>
          <w:tcPr>
            <w:tcW w:w="3015" w:type="dxa"/>
            <w:noWrap w:val="0"/>
            <w:vAlign w:val="center"/>
          </w:tcPr>
          <w:p w14:paraId="4653957A">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1、对资料收集内容进行了进一步细化，将需收集的资料进行了分类并给出了资料清单；2、对现场踏勘的主要内容和踏勘重点进行了进一步细化；3、细化了污染识别分析要求和结论内容要求</w:t>
            </w:r>
          </w:p>
        </w:tc>
        <w:tc>
          <w:tcPr>
            <w:tcW w:w="3290" w:type="dxa"/>
            <w:noWrap w:val="0"/>
            <w:vAlign w:val="center"/>
          </w:tcPr>
          <w:p w14:paraId="2EDFE07A">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将重点行业企业管理要求（企业拆除管理、土壤污染隐患排查）相关的资料、排污许可证相关资料补充进资料收集清单内；2、加强了现场踏勘时对现场快速监测设备的使用要求，补充现场踏勘记录表（附录A）；3、补充人员访谈记录表（附录B）</w:t>
            </w:r>
          </w:p>
        </w:tc>
      </w:tr>
      <w:tr w14:paraId="3CDE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14:paraId="33363741">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1710" w:type="dxa"/>
            <w:noWrap w:val="0"/>
            <w:vAlign w:val="center"/>
          </w:tcPr>
          <w:p w14:paraId="79472F13">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w:t>
            </w:r>
            <w:r>
              <w:rPr>
                <w:rFonts w:hint="eastAsia" w:ascii="Times New Roman" w:hAnsi="Times New Roman" w:eastAsia="宋体" w:cs="Times New Roman"/>
                <w:sz w:val="21"/>
                <w:szCs w:val="21"/>
                <w:vertAlign w:val="baseline"/>
                <w:lang w:val="en-US" w:eastAsia="zh-CN"/>
              </w:rPr>
              <w:t>二</w:t>
            </w:r>
            <w:r>
              <w:rPr>
                <w:rFonts w:hint="default" w:ascii="Times New Roman" w:hAnsi="Times New Roman" w:eastAsia="宋体" w:cs="Times New Roman"/>
                <w:sz w:val="21"/>
                <w:szCs w:val="21"/>
                <w:vertAlign w:val="baseline"/>
                <w:lang w:val="en-US" w:eastAsia="zh-CN"/>
              </w:rPr>
              <w:t>阶段土壤污染状况调查</w:t>
            </w:r>
          </w:p>
        </w:tc>
        <w:tc>
          <w:tcPr>
            <w:tcW w:w="3015" w:type="dxa"/>
            <w:noWrap w:val="0"/>
            <w:vAlign w:val="center"/>
          </w:tcPr>
          <w:p w14:paraId="0DAC281B">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根据地块资料收集详尽程度细化了初步采样分析和详细采样分析的土壤和地下水点位布设要求；2、结合我省常见地层结构和污染特征，优化了土壤采样深度要求；3、进一步明确土壤和地下水检测项目确定方法；4、明确了土壤钻孔方式和要求；5、明确了地下水井建井要求；6、规定了现场采样记录要求；细化了土壤和地下水筛选值选取要求；7、细化了土壤对照监测点位布设要求；8、细化了土壤的评估方法和要求；8、细化了结论内容要求</w:t>
            </w:r>
          </w:p>
        </w:tc>
        <w:tc>
          <w:tcPr>
            <w:tcW w:w="3290" w:type="dxa"/>
            <w:noWrap w:val="0"/>
            <w:vAlign w:val="center"/>
          </w:tcPr>
          <w:p w14:paraId="3B50E7A6">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补充了初步采样分析阶段疑似污染区域识别内容；2、明确了详细采样阶段水文地质调查要求；3、补充现场采样记录表（附录C）；4、补充了土壤对照基准数据的数据处理方法；5、补充了关于初步采样阶段异常点位排查的方法和要求</w:t>
            </w:r>
          </w:p>
        </w:tc>
      </w:tr>
      <w:tr w14:paraId="1153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14:paraId="2742FEED">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710" w:type="dxa"/>
            <w:noWrap w:val="0"/>
            <w:vAlign w:val="center"/>
          </w:tcPr>
          <w:p w14:paraId="38982EBC">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w:t>
            </w:r>
            <w:r>
              <w:rPr>
                <w:rFonts w:hint="eastAsia" w:ascii="Times New Roman" w:hAnsi="Times New Roman" w:eastAsia="宋体" w:cs="Times New Roman"/>
                <w:sz w:val="21"/>
                <w:szCs w:val="21"/>
                <w:vertAlign w:val="baseline"/>
                <w:lang w:val="en-US" w:eastAsia="zh-CN"/>
              </w:rPr>
              <w:t>三</w:t>
            </w:r>
            <w:r>
              <w:rPr>
                <w:rFonts w:hint="default" w:ascii="Times New Roman" w:hAnsi="Times New Roman" w:eastAsia="宋体" w:cs="Times New Roman"/>
                <w:sz w:val="21"/>
                <w:szCs w:val="21"/>
                <w:vertAlign w:val="baseline"/>
                <w:lang w:val="en-US" w:eastAsia="zh-CN"/>
              </w:rPr>
              <w:t>阶段土壤污染状况调查</w:t>
            </w:r>
          </w:p>
        </w:tc>
        <w:tc>
          <w:tcPr>
            <w:tcW w:w="3015" w:type="dxa"/>
            <w:noWrap w:val="0"/>
            <w:vAlign w:val="center"/>
          </w:tcPr>
          <w:p w14:paraId="40A2A124">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1、细化了地块特征参数、受体暴露参数调查方法和要求</w:t>
            </w:r>
          </w:p>
        </w:tc>
        <w:tc>
          <w:tcPr>
            <w:tcW w:w="3290" w:type="dxa"/>
            <w:noWrap w:val="0"/>
            <w:vAlign w:val="center"/>
          </w:tcPr>
          <w:p w14:paraId="77CE8F81">
            <w:pPr>
              <w:spacing w:line="240" w:lineRule="auto"/>
              <w:jc w:val="left"/>
              <w:rPr>
                <w:rFonts w:hint="default" w:ascii="Times New Roman" w:hAnsi="Times New Roman" w:eastAsia="宋体" w:cs="Times New Roman"/>
                <w:sz w:val="21"/>
                <w:szCs w:val="21"/>
                <w:vertAlign w:val="baseline"/>
                <w:lang w:val="en-US" w:eastAsia="zh-CN"/>
              </w:rPr>
            </w:pPr>
          </w:p>
        </w:tc>
      </w:tr>
      <w:tr w14:paraId="2085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14:paraId="20119AFE">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710" w:type="dxa"/>
            <w:noWrap w:val="0"/>
            <w:vAlign w:val="center"/>
          </w:tcPr>
          <w:p w14:paraId="6ADE55F1">
            <w:p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报告编制</w:t>
            </w:r>
          </w:p>
        </w:tc>
        <w:tc>
          <w:tcPr>
            <w:tcW w:w="3015" w:type="dxa"/>
            <w:noWrap w:val="0"/>
            <w:vAlign w:val="center"/>
          </w:tcPr>
          <w:p w14:paraId="0BF9BD9B">
            <w:pPr>
              <w:spacing w:line="240" w:lineRule="auto"/>
              <w:jc w:val="left"/>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1、进一步细化了第一阶段、第二阶段初步采样调查和详细采样调查的报告内容和格式；2、规范了报告编制附件要求</w:t>
            </w:r>
          </w:p>
        </w:tc>
        <w:tc>
          <w:tcPr>
            <w:tcW w:w="3290" w:type="dxa"/>
            <w:noWrap w:val="0"/>
            <w:vAlign w:val="center"/>
          </w:tcPr>
          <w:p w14:paraId="6CB5A9FF">
            <w:pPr>
              <w:spacing w:line="240" w:lineRule="auto"/>
              <w:jc w:val="left"/>
              <w:rPr>
                <w:rFonts w:hint="default" w:ascii="Times New Roman" w:hAnsi="Times New Roman" w:eastAsia="宋体" w:cs="Times New Roman"/>
                <w:sz w:val="21"/>
                <w:szCs w:val="21"/>
                <w:vertAlign w:val="baseline"/>
                <w:lang w:val="en-US" w:eastAsia="zh-CN"/>
              </w:rPr>
            </w:pPr>
          </w:p>
        </w:tc>
      </w:tr>
    </w:tbl>
    <w:p w14:paraId="652DA637">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0"/>
        <w:rPr>
          <w:rFonts w:hint="default" w:ascii="Times New Roman" w:hAnsi="Times New Roman" w:eastAsia="宋体" w:cs="Times New Roman"/>
          <w:b/>
          <w:kern w:val="44"/>
          <w:sz w:val="44"/>
          <w:szCs w:val="24"/>
          <w:lang w:val="en-US" w:eastAsia="zh-CN" w:bidi="ar-SA"/>
        </w:rPr>
      </w:pPr>
      <w:r>
        <w:rPr>
          <w:rFonts w:hint="eastAsia" w:ascii="Times New Roman" w:hAnsi="Times New Roman" w:eastAsia="宋体" w:cs="Times New Roman"/>
          <w:b/>
          <w:kern w:val="44"/>
          <w:sz w:val="44"/>
          <w:szCs w:val="24"/>
          <w:lang w:val="en-US" w:eastAsia="zh-CN" w:bidi="ar-SA"/>
        </w:rPr>
        <w:t>4风险分析</w:t>
      </w:r>
    </w:p>
    <w:p w14:paraId="64F3F936">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标准实施后，可能涉及到的利益相关方主要包括：1）省、市、县各级生态环境主管部门和自然资源主管部门；2）涉及建设用地土壤污染状况调查的土地使用权人；3）参与土壤污染状况调查的单位和技术人员：4）社会公众等。</w:t>
      </w:r>
    </w:p>
    <w:p w14:paraId="262CC1AB">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可能造成的影响，主要包括：1）可以有效提高我省建设用地土壤污染状况调查报告的编制质量，进一步避免再开发利用地块的环境风险，降低过度调查或过度修复的风险，为保障人居环境安全提供有力支撑；2）更有利于各级政府及管理部门精准决策；3）可促进土壤污染状况调查单位有序竞争，规范土壤污染状况调查市场；4）有助于提升我省土壤污染防治第三方单位技术力量等。</w:t>
      </w:r>
    </w:p>
    <w:p w14:paraId="2BDEE5E3">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both"/>
        <w:textAlignment w:val="auto"/>
        <w:outlineLvl w:val="0"/>
        <w:rPr>
          <w:rFonts w:hint="default" w:ascii="Times New Roman" w:hAnsi="Times New Roman" w:eastAsia="宋体" w:cs="Times New Roman"/>
          <w:b/>
          <w:kern w:val="44"/>
          <w:sz w:val="44"/>
          <w:szCs w:val="24"/>
          <w:lang w:val="en-US" w:eastAsia="zh-CN" w:bidi="ar-SA"/>
        </w:rPr>
      </w:pPr>
      <w:r>
        <w:rPr>
          <w:rFonts w:hint="eastAsia" w:ascii="Times New Roman" w:hAnsi="Times New Roman" w:eastAsia="宋体" w:cs="Times New Roman"/>
          <w:b/>
          <w:kern w:val="44"/>
          <w:sz w:val="44"/>
          <w:szCs w:val="24"/>
          <w:lang w:val="en-US" w:eastAsia="zh-CN" w:bidi="ar-SA"/>
        </w:rPr>
        <w:t>5宣贯实施计划</w:t>
      </w:r>
    </w:p>
    <w:p w14:paraId="69329743">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本标准是根据生态环境部《建设用地土壤污染状况调查技术导则》（HJ 25.1-2019）、《建设用地土壤污染风险管控和修复监测技术导则》（HJ 25.2-2019）结合我省实际情况起草而成的，对HJ 25.1、HJ25.2形成有力补充，标准发布后将应用于湖北省建设用地土壤污染状况调查工作。</w:t>
      </w:r>
    </w:p>
    <w:p w14:paraId="02AB844F">
      <w:pPr>
        <w:spacing w:line="360" w:lineRule="auto"/>
        <w:ind w:firstLine="420"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议采取以下具体的宣贯计划，一是在标准制定阶段充分征求社会公众、政府部门、行业协会的意见；二是标准发布后在省生态环境厅网站、地方标准信息服务平台等公众网站公开标准全文；三是组织省内各级生态环境管理部门、从业单位等召开标准培训会，宣贯标准相关内容；四是标准实施后及时跟踪标准实施情况，适时修订。</w:t>
      </w:r>
    </w:p>
    <w:p w14:paraId="63A0D781">
      <w:pPr>
        <w:spacing w:line="360" w:lineRule="auto"/>
        <w:jc w:val="both"/>
        <w:rPr>
          <w:rFonts w:hint="eastAsia" w:ascii="Times New Roman" w:hAnsi="Times New Roman"/>
          <w:sz w:val="24"/>
          <w:highlight w:val="yellow"/>
        </w:rPr>
      </w:pPr>
    </w:p>
    <w:p w14:paraId="6D2E1370">
      <w:pPr>
        <w:spacing w:line="360" w:lineRule="auto"/>
        <w:jc w:val="both"/>
        <w:rPr>
          <w:rFonts w:hint="eastAsia" w:ascii="Times New Roman" w:hAnsi="Times New Roman"/>
          <w:sz w:val="24"/>
          <w:highlight w:val="yellow"/>
        </w:rPr>
        <w:sectPr>
          <w:pgSz w:w="11906" w:h="16838"/>
          <w:pgMar w:top="1440" w:right="1800" w:bottom="1440" w:left="1800" w:header="851" w:footer="992" w:gutter="0"/>
          <w:cols w:space="720" w:num="1"/>
          <w:docGrid w:type="lines" w:linePitch="312" w:charSpace="0"/>
        </w:sectPr>
      </w:pPr>
    </w:p>
    <w:p w14:paraId="59EE5F48">
      <w:pPr>
        <w:pStyle w:val="15"/>
        <w:framePr w:wrap="around" w:vAnchor="page" w:hAnchor="page" w:x="1397" w:y="547"/>
        <w:rPr>
          <w:rFonts w:hAnsi="黑体"/>
        </w:rPr>
      </w:pPr>
      <w:r>
        <w:rPr>
          <w:rFonts w:hAnsi="黑体"/>
        </w:rPr>
        <w:t>ICS</w:t>
      </w:r>
      <w:r>
        <w:rPr>
          <w:rFonts w:hint="eastAsia" w:hAnsi="黑体" w:cs="MS Mincho"/>
        </w:rPr>
        <w:t xml:space="preserve"> </w:t>
      </w:r>
      <w:r>
        <w:rPr>
          <w:rFonts w:hAnsi="黑体"/>
        </w:rPr>
        <w:t>13.0</w:t>
      </w:r>
      <w:r>
        <w:rPr>
          <w:rFonts w:hint="eastAsia" w:hAnsi="黑体"/>
        </w:rPr>
        <w:t>8</w:t>
      </w:r>
      <w:r>
        <w:rPr>
          <w:rFonts w:hAnsi="黑体"/>
        </w:rPr>
        <w:t>0</w:t>
      </w:r>
    </w:p>
    <w:p w14:paraId="49272513">
      <w:pPr>
        <w:pStyle w:val="15"/>
        <w:framePr w:wrap="around" w:vAnchor="page" w:hAnchor="page" w:x="1397" w:y="547"/>
        <w:rPr>
          <w:rFonts w:hAnsi="黑体"/>
        </w:rPr>
      </w:pPr>
      <w:r>
        <w:rPr>
          <w:rFonts w:hAnsi="黑体"/>
        </w:rPr>
        <w:t>CCS</w:t>
      </w:r>
      <w:r>
        <w:rPr>
          <w:rFonts w:hint="eastAsia" w:hAnsi="黑体"/>
        </w:rPr>
        <w:t xml:space="preserve"> </w:t>
      </w:r>
      <w:r>
        <w:rPr>
          <w:rFonts w:hAnsi="黑体"/>
        </w:rPr>
        <w:t xml:space="preserve">Z </w:t>
      </w:r>
      <w:r>
        <w:rPr>
          <w:rFonts w:hint="eastAsia" w:hAnsi="黑体"/>
        </w:rPr>
        <w:t>1</w:t>
      </w:r>
      <w:r>
        <w:rPr>
          <w:rFonts w:hAnsi="黑体"/>
        </w:rPr>
        <w:t>0</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4"/>
      </w:tblGrid>
      <w:tr w14:paraId="56364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4" w:type="dxa"/>
            <w:tcBorders>
              <w:top w:val="nil"/>
              <w:left w:val="nil"/>
              <w:bottom w:val="nil"/>
              <w:right w:val="nil"/>
            </w:tcBorders>
            <w:shd w:val="clear" w:color="auto" w:fill="auto"/>
          </w:tcPr>
          <w:p w14:paraId="2E9F6760">
            <w:pPr>
              <w:pStyle w:val="15"/>
              <w:framePr w:wrap="around" w:vAnchor="page" w:hAnchor="page" w:x="1397" w:y="547"/>
            </w:pPr>
            <w:r>
              <mc:AlternateContent>
                <mc:Choice Requires="wps">
                  <w:drawing>
                    <wp:anchor distT="0" distB="0" distL="114300" distR="114300" simplePos="0" relativeHeight="251666432" behindDoc="1" locked="0" layoutInCell="1" allowOverlap="1">
                      <wp:simplePos x="0" y="0"/>
                      <wp:positionH relativeFrom="column">
                        <wp:posOffset>-66675</wp:posOffset>
                      </wp:positionH>
                      <wp:positionV relativeFrom="paragraph">
                        <wp:posOffset>0</wp:posOffset>
                      </wp:positionV>
                      <wp:extent cx="866775" cy="198120"/>
                      <wp:effectExtent l="0" t="0" r="9525" b="11430"/>
                      <wp:wrapNone/>
                      <wp:docPr id="29" name="矩形 29"/>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25pt;margin-top:0pt;height:15.6pt;width:68.25pt;z-index:-25165004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Iri/s1QAA&#10;AAcBAAAPAAAAAAAAAAEAIAAAACIAAABkcnMvZG93bnJldi54bWxQSwECFAAUAAAACACHTuJA4I4/&#10;0SECAAA1BAAADgAAAAAAAAABACAAAAAkAQAAZHJzL2Uyb0RvYy54bWxQSwUGAAAAAAYABgBZAQAA&#10;twUAAAAA&#10;">
                      <v:fill on="t" focussize="0,0"/>
                      <v:stroke on="f"/>
                      <v:imagedata o:title=""/>
                      <o:lock v:ext="edit" aspectratio="f"/>
                    </v:rect>
                  </w:pict>
                </mc:Fallback>
              </mc:AlternateContent>
            </w:r>
            <w:r>
              <w:fldChar w:fldCharType="begin">
                <w:ffData>
                  <w:name w:val="BAH"/>
                  <w:enabled/>
                  <w:calcOnExit w:val="0"/>
                  <w:textInput/>
                </w:ffData>
              </w:fldChar>
            </w:r>
            <w:bookmarkStart w:id="65" w:name="BAH"/>
            <w:r>
              <w:instrText xml:space="preserve"> FORMTEXT </w:instrText>
            </w:r>
            <w:r>
              <w:fldChar w:fldCharType="separate"/>
            </w:r>
            <w:r>
              <w:t>     </w:t>
            </w:r>
            <w:r>
              <w:fldChar w:fldCharType="end"/>
            </w:r>
            <w:bookmarkEnd w:id="65"/>
          </w:p>
        </w:tc>
      </w:tr>
    </w:tbl>
    <w:p w14:paraId="50E22D24">
      <w:pPr>
        <w:pStyle w:val="16"/>
        <w:framePr w:wrap="around"/>
      </w:pPr>
      <w:r>
        <w:t>DB</w:t>
      </w:r>
      <w:bookmarkStart w:id="66" w:name="c3"/>
      <w:r>
        <w:fldChar w:fldCharType="begin">
          <w:ffData>
            <w:name w:val="c3"/>
            <w:enabled/>
            <w:calcOnExit w:val="0"/>
            <w:textInput>
              <w:maxLength w:val="2"/>
            </w:textInput>
          </w:ffData>
        </w:fldChar>
      </w:r>
      <w:r>
        <w:instrText xml:space="preserve"> FORMTEXT </w:instrText>
      </w:r>
      <w:r>
        <w:fldChar w:fldCharType="separate"/>
      </w:r>
      <w:r>
        <w:rPr>
          <w:rFonts w:hint="eastAsia"/>
        </w:rPr>
        <w:t>42</w:t>
      </w:r>
      <w:r>
        <w:fldChar w:fldCharType="end"/>
      </w:r>
      <w:bookmarkEnd w:id="66"/>
    </w:p>
    <w:p w14:paraId="0A462213">
      <w:pPr>
        <w:pStyle w:val="18"/>
        <w:framePr w:wrap="around"/>
      </w:pPr>
      <w:r>
        <w:fldChar w:fldCharType="begin">
          <w:ffData>
            <w:name w:val="c4"/>
            <w:enabled/>
            <w:calcOnExit w:val="0"/>
            <w:textInput/>
          </w:ffData>
        </w:fldChar>
      </w:r>
      <w:r>
        <w:instrText xml:space="preserve"> FORMTEXT </w:instrText>
      </w:r>
      <w:r>
        <w:fldChar w:fldCharType="separate"/>
      </w:r>
      <w:r>
        <w:rPr>
          <w:rFonts w:hint="eastAsia"/>
        </w:rPr>
        <w:t>湖北省</w:t>
      </w:r>
      <w:r>
        <w:fldChar w:fldCharType="end"/>
      </w:r>
      <w:r>
        <w:rPr>
          <w:rFonts w:hint="eastAsia"/>
        </w:rPr>
        <w:t>地方标准</w:t>
      </w:r>
    </w:p>
    <w:p w14:paraId="447EE464">
      <w:pPr>
        <w:pStyle w:val="19"/>
        <w:framePr w:wrap="around"/>
        <w:wordWrap w:val="0"/>
        <w:rPr>
          <w:rFonts w:hAnsi="黑体"/>
        </w:rPr>
      </w:pPr>
      <w:r>
        <w:rPr>
          <w:rFonts w:hAnsi="黑体"/>
        </w:rPr>
        <w:t>DB</w:t>
      </w:r>
      <w:bookmarkStart w:id="67" w:name="StdNo0"/>
      <w:r>
        <w:rPr>
          <w:rFonts w:hAnsi="黑体"/>
        </w:rPr>
        <w:fldChar w:fldCharType="begin">
          <w:ffData>
            <w:name w:val="StdNo0"/>
            <w:enabled/>
            <w:calcOnExit w:val="0"/>
            <w:textInput>
              <w:default w:val="XX"/>
              <w:maxLength w:val="2"/>
            </w:textInput>
          </w:ffData>
        </w:fldChar>
      </w:r>
      <w:r>
        <w:rPr>
          <w:rFonts w:hAnsi="黑体"/>
        </w:rPr>
        <w:instrText xml:space="preserve"> FORMTEXT </w:instrText>
      </w:r>
      <w:r>
        <w:rPr>
          <w:rFonts w:hAnsi="黑体"/>
        </w:rPr>
        <w:fldChar w:fldCharType="separate"/>
      </w:r>
      <w:r>
        <w:rPr>
          <w:rFonts w:hAnsi="黑体"/>
        </w:rPr>
        <w:t>42</w:t>
      </w:r>
      <w:r>
        <w:rPr>
          <w:rFonts w:hAnsi="黑体"/>
        </w:rPr>
        <w:fldChar w:fldCharType="end"/>
      </w:r>
      <w:bookmarkEnd w:id="67"/>
      <w:r>
        <w:rPr>
          <w:rFonts w:hAnsi="黑体"/>
        </w:rPr>
        <w:t>/</w:t>
      </w:r>
      <w:bookmarkStart w:id="68" w:name="StdNo1"/>
      <w:r>
        <w:rPr>
          <w:rFonts w:hAnsi="黑体"/>
        </w:rPr>
        <w:fldChar w:fldCharType="begin">
          <w:ffData>
            <w:name w:val="StdNo1"/>
            <w:enabled/>
            <w:calcOnExit w:val="0"/>
            <w:textInput>
              <w:default w:val="XXXXX"/>
            </w:textInput>
          </w:ffData>
        </w:fldChar>
      </w:r>
      <w:r>
        <w:rPr>
          <w:rFonts w:hAnsi="黑体"/>
        </w:rPr>
        <w:instrText xml:space="preserve"> FORMTEXT </w:instrText>
      </w:r>
      <w:r>
        <w:rPr>
          <w:rFonts w:hAnsi="黑体"/>
        </w:rPr>
        <w:fldChar w:fldCharType="separate"/>
      </w:r>
      <w:r>
        <w:rPr>
          <w:rFonts w:hAnsi="黑体"/>
        </w:rPr>
        <w:t>T</w:t>
      </w:r>
      <w:r>
        <w:rPr>
          <w:rFonts w:hAnsi="黑体"/>
        </w:rPr>
        <w:fldChar w:fldCharType="end"/>
      </w:r>
      <w:bookmarkEnd w:id="68"/>
      <w:r>
        <w:rPr>
          <w:rFonts w:hint="eastAsia" w:hAnsi="黑体"/>
        </w:rPr>
        <w:t xml:space="preserve">  XX—202x</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14:paraId="6C156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shd w:val="clear" w:color="auto" w:fill="auto"/>
          </w:tcPr>
          <w:p w14:paraId="001EEDAB">
            <w:pPr>
              <w:pStyle w:val="20"/>
              <w:framePr w:wrap="around"/>
            </w:pPr>
            <w:bookmarkStart w:id="69" w:name="DT"/>
            <w:r>
              <mc:AlternateContent>
                <mc:Choice Requires="wps">
                  <w:drawing>
                    <wp:anchor distT="0" distB="0" distL="114300" distR="114300" simplePos="0" relativeHeight="251660288" behindDoc="0" locked="0" layoutInCell="1" allowOverlap="1">
                      <wp:simplePos x="0" y="0"/>
                      <wp:positionH relativeFrom="page">
                        <wp:posOffset>0</wp:posOffset>
                      </wp:positionH>
                      <wp:positionV relativeFrom="paragraph">
                        <wp:posOffset>67945</wp:posOffset>
                      </wp:positionV>
                      <wp:extent cx="6121400" cy="0"/>
                      <wp:effectExtent l="0" t="6350" r="0" b="6350"/>
                      <wp:wrapTopAndBottom/>
                      <wp:docPr id="30" name="直接连接符 30"/>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5.35pt;height:0pt;width:482pt;mso-position-horizontal-relative:page;mso-wrap-distance-bottom:0pt;mso-wrap-distance-top:0pt;z-index:251660288;mso-width-relative:page;mso-height-relative:page;" filled="f" stroked="t" coordsize="21600,21600" o:gfxdata="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NrvirU&#10;AAAABgEAAA8AAAAAAAAAAQAgAAAAIgAAAGRycy9kb3ducmV2LnhtbFBLAQIUABQAAAAIAIdO4kDq&#10;hpjE6wEAANsDAAAOAAAAAAAAAAEAIAAAACMBAABkcnMvZTJvRG9jLnhtbFBLBQYAAAAABgAGAFkB&#10;AACABQAAAAA=&#10;">
                      <v:fill on="f" focussize="0,0"/>
                      <v:stroke weight="1pt" color="#000000" joinstyle="round"/>
                      <v:imagedata o:title=""/>
                      <o:lock v:ext="edit" aspectratio="f"/>
                      <w10:wrap type="topAndBottom"/>
                    </v:line>
                  </w:pict>
                </mc:Fallback>
              </mc:AlternateContent>
            </w:r>
            <w:r>
              <mc:AlternateContent>
                <mc:Choice Requires="wps">
                  <w:drawing>
                    <wp:anchor distT="0" distB="0" distL="114300" distR="114300" simplePos="0" relativeHeight="251662336"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31" name="矩形 31"/>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2.8pt;margin-top:2.7pt;height:18pt;width:90pt;z-index:-251654144;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g8svWAAAA&#10;CAEAAA8AAAAAAAAAAQAgAAAAIgAAAGRycy9kb3ducmV2LnhtbFBLAQIUABQAAAAIAIdO4kBxZfRN&#10;HwIAADYEAAAOAAAAAAAAAAEAIAAAACUBAABkcnMvZTJvRG9jLnhtbFBLBQYAAAAABgAGAFkBAAC2&#10;BQAAAAA=&#10;">
                      <v:fill on="t" focussize="0,0"/>
                      <v:stroke on="f"/>
                      <v:imagedata o:title=""/>
                      <o:lock v:ext="edit" aspectratio="f"/>
                    </v:rect>
                  </w:pict>
                </mc:Fallback>
              </mc:AlternateContent>
            </w:r>
            <w:r>
              <w:fldChar w:fldCharType="begin">
                <w:ffData>
                  <w:name w:val="DT"/>
                  <w:enabled/>
                  <w:calcOnExit w:val="0"/>
                  <w:textInput/>
                </w:ffData>
              </w:fldChar>
            </w:r>
            <w:r>
              <w:instrText xml:space="preserve"> FORMTEXT </w:instrText>
            </w:r>
            <w:r>
              <w:fldChar w:fldCharType="separate"/>
            </w:r>
            <w:r>
              <w:t>     </w:t>
            </w:r>
            <w:r>
              <w:fldChar w:fldCharType="end"/>
            </w:r>
            <w:bookmarkEnd w:id="69"/>
          </w:p>
        </w:tc>
      </w:tr>
    </w:tbl>
    <w:p w14:paraId="37261490">
      <w:pPr>
        <w:pStyle w:val="19"/>
        <w:framePr w:wrap="around"/>
        <w:rPr>
          <w:rFonts w:hAnsi="黑体"/>
        </w:rPr>
      </w:pPr>
    </w:p>
    <w:p w14:paraId="74E6E04A">
      <w:pPr>
        <w:pStyle w:val="19"/>
        <w:framePr w:wrap="around"/>
        <w:rPr>
          <w:rFonts w:hAnsi="黑体"/>
        </w:rPr>
      </w:pPr>
    </w:p>
    <w:p w14:paraId="62FA4212">
      <w:pPr>
        <w:pStyle w:val="21"/>
        <w:framePr w:wrap="around"/>
      </w:pPr>
      <w:r>
        <w:rPr>
          <w:rFonts w:hint="eastAsia"/>
        </w:rPr>
        <w:t xml:space="preserve">建设用地土壤污染风险管控和修复 </w:t>
      </w:r>
    </w:p>
    <w:p w14:paraId="4BFB10A4">
      <w:pPr>
        <w:pStyle w:val="21"/>
        <w:framePr w:wrap="around"/>
      </w:pPr>
      <w:r>
        <w:rPr>
          <w:rFonts w:hint="eastAsia"/>
        </w:rPr>
        <w:t>第2部分：</w:t>
      </w:r>
      <w:r>
        <w:rPr>
          <w:rFonts w:hint="eastAsia"/>
        </w:rPr>
        <w:br w:type="textWrapping"/>
      </w:r>
      <w:r>
        <w:rPr>
          <w:rFonts w:hint="eastAsia"/>
        </w:rPr>
        <w:t>建设用地土壤重金属监测质量保证与质量控制技术规范</w:t>
      </w:r>
    </w:p>
    <w:p w14:paraId="37BA2586">
      <w:pPr>
        <w:pStyle w:val="22"/>
        <w:framePr w:wrap="around"/>
        <w:spacing w:before="0"/>
        <w:rPr>
          <w:rFonts w:ascii="黑体" w:hAnsi="黑体"/>
        </w:rPr>
      </w:pPr>
    </w:p>
    <w:p w14:paraId="4AA7BDBA">
      <w:pPr>
        <w:pStyle w:val="22"/>
        <w:framePr w:wrap="around"/>
        <w:spacing w:before="0"/>
        <w:rPr>
          <w:rFonts w:ascii="黑体" w:hAnsi="黑体"/>
        </w:rPr>
      </w:pPr>
      <w:r>
        <w:rPr>
          <w:rFonts w:ascii="黑体" w:hAnsi="黑体"/>
        </w:rPr>
        <w:t>Terms of risk control and remediation of soil contamination of land for construction</w:t>
      </w:r>
      <w:r>
        <w:rPr>
          <w:rFonts w:hint="eastAsia" w:ascii="黑体" w:hAnsi="黑体"/>
        </w:rPr>
        <w:t xml:space="preserve">—Part 2: Technical specifications for quality </w:t>
      </w:r>
      <w:r>
        <w:rPr>
          <w:rFonts w:hint="eastAsia" w:ascii="黑体" w:hAnsi="黑体"/>
        </w:rPr>
        <w:br w:type="textWrapping"/>
      </w:r>
      <w:r>
        <w:rPr>
          <w:rFonts w:hint="eastAsia" w:ascii="黑体" w:hAnsi="黑体"/>
        </w:rPr>
        <w:t xml:space="preserve">assurance and quality control for soil heavy metal monitoring </w:t>
      </w:r>
      <w:r>
        <w:rPr>
          <w:rFonts w:hint="eastAsia" w:ascii="黑体" w:hAnsi="黑体"/>
        </w:rPr>
        <w:br w:type="textWrapping"/>
      </w:r>
      <w:r>
        <w:rPr>
          <w:rFonts w:hint="eastAsia" w:ascii="黑体" w:hAnsi="黑体"/>
        </w:rPr>
        <w:t>of land for construction</w:t>
      </w:r>
    </w:p>
    <w:p w14:paraId="6768213E">
      <w:pPr>
        <w:pStyle w:val="23"/>
        <w:framePr w:wrap="around"/>
      </w:pPr>
      <w:bookmarkStart w:id="70" w:name="YZBS"/>
      <w:r>
        <w:fldChar w:fldCharType="begin">
          <w:ffData>
            <w:name w:val="YZBS"/>
            <w:enabled/>
            <w:calcOnExit w:val="0"/>
            <w:textInput>
              <w:default w:val="点击此处添加与国际标准一致性程度的标识"/>
            </w:textInput>
          </w:ffData>
        </w:fldChar>
      </w:r>
      <w:r>
        <w:instrText xml:space="preserve"> FORMTEXT </w:instrText>
      </w:r>
      <w:r>
        <w:fldChar w:fldCharType="separate"/>
      </w:r>
      <w:r>
        <w:t>     </w:t>
      </w:r>
      <w:r>
        <w:fldChar w:fldCharType="end"/>
      </w:r>
      <w:bookmarkEnd w:id="70"/>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5C82D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14:paraId="1678E73F">
            <w:pPr>
              <w:pStyle w:val="24"/>
              <w:framePr w:wrap="around"/>
            </w:pPr>
            <w:r>
              <mc:AlternateContent>
                <mc:Choice Requires="wps">
                  <w:drawing>
                    <wp:anchor distT="0" distB="0" distL="114300" distR="114300" simplePos="0" relativeHeight="251664384" behindDoc="1" locked="1" layoutInCell="1" allowOverlap="1">
                      <wp:simplePos x="0" y="0"/>
                      <wp:positionH relativeFrom="column">
                        <wp:posOffset>2200910</wp:posOffset>
                      </wp:positionH>
                      <wp:positionV relativeFrom="paragraph">
                        <wp:posOffset>573405</wp:posOffset>
                      </wp:positionV>
                      <wp:extent cx="1905000" cy="254000"/>
                      <wp:effectExtent l="0" t="0" r="0" b="12700"/>
                      <wp:wrapNone/>
                      <wp:docPr id="32" name="矩形 32"/>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3.3pt;margin-top:45.15pt;height:20pt;width:150pt;z-index:-251652096;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WJrpLVAAAACgEA&#10;AA8AAAAAAAAAAQAgAAAAIgAAAGRycy9kb3ducmV2LnhtbFBLAQIUABQAAAAIAIdO4kBpnJ93HQIA&#10;ADYEAAAOAAAAAAAAAAEAIAAAACQBAABkcnMvZTJvRG9jLnhtbFBLBQYAAAAABgAGAFkBAACzBQAA&#10;AAA=&#10;">
                      <v:fill on="t" focussize="0,0"/>
                      <v:stroke on="f"/>
                      <v:imagedata o:title=""/>
                      <o:lock v:ext="edit" aspectratio="f"/>
                      <w10:anchorlock/>
                    </v:rect>
                  </w:pict>
                </mc:Fallback>
              </mc:AlternateContent>
            </w:r>
            <w:r>
              <mc:AlternateContent>
                <mc:Choice Requires="wps">
                  <w:drawing>
                    <wp:anchor distT="0" distB="0" distL="114300" distR="114300" simplePos="0" relativeHeight="251663360" behindDoc="1" locked="0" layoutInCell="1" allowOverlap="1">
                      <wp:simplePos x="0" y="0"/>
                      <wp:positionH relativeFrom="column">
                        <wp:posOffset>2454910</wp:posOffset>
                      </wp:positionH>
                      <wp:positionV relativeFrom="paragraph">
                        <wp:posOffset>255905</wp:posOffset>
                      </wp:positionV>
                      <wp:extent cx="1270000" cy="304800"/>
                      <wp:effectExtent l="0" t="0" r="6350" b="0"/>
                      <wp:wrapNone/>
                      <wp:docPr id="33" name="矩形 33"/>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3.3pt;margin-top:20.15pt;height:24pt;width:100pt;z-index:-251653120;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4Yvl1gAAAAkB&#10;AAAPAAAAAAAAAAEAIAAAACIAAABkcnMvZG93bnJldi54bWxQSwECFAAUAAAACACHTuJARDitfh0C&#10;AAA2BAAADgAAAAAAAAABACAAAAAlAQAAZHJzL2Uyb0RvYy54bWxQSwUGAAAAAAYABgBZAQAAtAUA&#10;AAAA&#10;">
                      <v:fill on="t" focussize="0,0"/>
                      <v:stroke on="f"/>
                      <v:imagedata o:title=""/>
                      <o:lock v:ext="edit" aspectratio="f"/>
                    </v:rect>
                  </w:pict>
                </mc:Fallback>
              </mc:AlternateContent>
            </w:r>
          </w:p>
        </w:tc>
      </w:tr>
      <w:tr w14:paraId="39793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14:paraId="294E6777">
            <w:pPr>
              <w:pStyle w:val="25"/>
              <w:framePr w:wrap="around"/>
            </w:pPr>
            <w:r>
              <w:rPr>
                <w:rFonts w:hint="eastAsia" w:ascii="黑体" w:hAnsi="黑体" w:eastAsia="黑体" w:cs="黑体"/>
                <w:sz w:val="28"/>
              </w:rPr>
              <w:t>（征求意见稿）</w:t>
            </w:r>
          </w:p>
        </w:tc>
      </w:tr>
    </w:tbl>
    <w:p w14:paraId="4C63DA56">
      <w:pPr>
        <w:pStyle w:val="26"/>
        <w:framePr w:wrap="around" w:hAnchor="page" w:x="1531" w:y="14071"/>
      </w:pPr>
      <w:bookmarkStart w:id="71" w:name="FY"/>
      <w:r>
        <w:rPr>
          <w:rFonts w:ascii="黑体"/>
        </w:rPr>
        <w:fldChar w:fldCharType="begin">
          <w:ffData>
            <w:name w:val="FY"/>
            <w:enabled/>
            <w:calcOnExit w:val="0"/>
            <w:textInput>
              <w:default w:val="XXXX"/>
              <w:maxLength w:val="4"/>
            </w:textInput>
          </w:ffData>
        </w:fldChar>
      </w:r>
      <w:r>
        <w:rPr>
          <w:rFonts w:ascii="黑体"/>
        </w:rPr>
        <w:instrText xml:space="preserve"> FORMTEXT </w:instrText>
      </w:r>
      <w:r>
        <w:rPr>
          <w:rFonts w:ascii="黑体"/>
        </w:rPr>
        <w:fldChar w:fldCharType="separate"/>
      </w:r>
      <w:r>
        <w:rPr>
          <w:rFonts w:hint="eastAsia" w:ascii="黑体"/>
        </w:rPr>
        <w:t>20</w:t>
      </w:r>
      <w:r>
        <w:rPr>
          <w:rFonts w:ascii="黑体"/>
        </w:rPr>
        <w:fldChar w:fldCharType="end"/>
      </w:r>
      <w:bookmarkEnd w:id="71"/>
      <w:r>
        <w:rPr>
          <w:rFonts w:ascii="黑体"/>
        </w:rPr>
        <w:t>2</w:t>
      </w:r>
      <w:r>
        <w:rPr>
          <w:rFonts w:hint="eastAsia" w:ascii="黑体"/>
        </w:rPr>
        <w:t>x</w:t>
      </w:r>
      <w:r>
        <w:t xml:space="preserve"> </w:t>
      </w:r>
      <w:r>
        <w:rPr>
          <w:rFonts w:ascii="黑体"/>
        </w:rPr>
        <w:t>-</w:t>
      </w:r>
      <w:r>
        <w:t xml:space="preserve"> </w:t>
      </w:r>
      <w:r>
        <w:rPr>
          <w:rFonts w:hint="eastAsia" w:ascii="黑体"/>
        </w:rPr>
        <w:t>x</w:t>
      </w:r>
      <w:r>
        <w:t xml:space="preserve"> </w:t>
      </w:r>
      <w:r>
        <w:rPr>
          <w:rFonts w:ascii="黑体"/>
        </w:rPr>
        <w:t>-</w:t>
      </w:r>
      <w:r>
        <w:t xml:space="preserve"> </w:t>
      </w:r>
      <w:r>
        <w:rPr>
          <w:rFonts w:hint="eastAsia" w:ascii="黑体"/>
        </w:rPr>
        <w:t>x</w:t>
      </w:r>
      <w:r>
        <w:rPr>
          <w:rFonts w:hint="eastAsia"/>
        </w:rPr>
        <w:t>发布</w:t>
      </w:r>
    </w:p>
    <w:p w14:paraId="654D4459">
      <w:pPr>
        <w:pStyle w:val="28"/>
        <w:framePr w:wrap="around" w:hAnchor="page" w:x="7291"/>
      </w:pPr>
      <w:r>
        <w:rPr>
          <w:rFonts w:ascii="黑体"/>
        </w:rPr>
        <w:t>202</w:t>
      </w:r>
      <w:r>
        <w:rPr>
          <w:rFonts w:hint="eastAsia" w:ascii="黑体"/>
        </w:rPr>
        <w:t xml:space="preserve"> x</w:t>
      </w:r>
      <w:r>
        <w:t xml:space="preserve"> </w:t>
      </w:r>
      <w:r>
        <w:rPr>
          <w:rFonts w:ascii="黑体"/>
        </w:rPr>
        <w:t>-</w:t>
      </w:r>
      <w:r>
        <w:rPr>
          <w:rFonts w:hint="eastAsia" w:ascii="黑体"/>
        </w:rPr>
        <w:t>x</w:t>
      </w:r>
      <w:r>
        <w:t xml:space="preserve"> </w:t>
      </w:r>
      <w:r>
        <w:rPr>
          <w:rFonts w:ascii="黑体"/>
        </w:rPr>
        <w:t>-</w:t>
      </w:r>
      <w:r>
        <w:rPr>
          <w:rFonts w:hint="eastAsia" w:ascii="黑体"/>
        </w:rPr>
        <w:t>x</w:t>
      </w:r>
      <w:r>
        <w:rPr>
          <w:rFonts w:hint="eastAsia"/>
        </w:rPr>
        <w:t>实施</w:t>
      </w:r>
    </w:p>
    <w:p w14:paraId="2305ED9E">
      <w:pPr>
        <w:pStyle w:val="30"/>
        <w:framePr w:w="8091" w:wrap="around"/>
        <w:rPr>
          <w:rFonts w:eastAsiaTheme="minorEastAsia"/>
        </w:rPr>
      </w:pPr>
      <w:r>
        <w:rPr>
          <w:b w:val="0"/>
          <w:bCs/>
        </w:rPr>
        <mc:AlternateContent>
          <mc:Choice Requires="wps">
            <w:drawing>
              <wp:anchor distT="0" distB="0" distL="114300" distR="114300" simplePos="0" relativeHeight="251665408" behindDoc="1" locked="0" layoutInCell="1" allowOverlap="1">
                <wp:simplePos x="0" y="0"/>
                <wp:positionH relativeFrom="column">
                  <wp:posOffset>3830955</wp:posOffset>
                </wp:positionH>
                <wp:positionV relativeFrom="paragraph">
                  <wp:posOffset>36195</wp:posOffset>
                </wp:positionV>
                <wp:extent cx="1400810" cy="1404620"/>
                <wp:effectExtent l="0" t="0" r="0" b="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5138420" y="9685020"/>
                          <a:ext cx="1400810" cy="1404620"/>
                        </a:xfrm>
                        <a:prstGeom prst="rect">
                          <a:avLst/>
                        </a:prstGeom>
                        <a:noFill/>
                        <a:ln w="9525">
                          <a:noFill/>
                          <a:miter lim="800000"/>
                        </a:ln>
                        <a:effectLst/>
                      </wps:spPr>
                      <wps:txbx>
                        <w:txbxContent>
                          <w:p w14:paraId="06C5DB4E">
                            <w:r>
                              <w:rPr>
                                <w:rStyle w:val="33"/>
                                <w:rFonts w:hint="eastAsia"/>
                              </w:rPr>
                              <w:t>发布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01.65pt;margin-top:2.85pt;height:110.6pt;width:110.3pt;z-index:-251651072;mso-width-relative:page;mso-height-relative:margin;mso-height-percent:200;" filled="f" stroked="f" coordsize="21600,21600" o:gfxdata="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aR7NgAAAAJAQAADwAAAAAAAAABACAAAAAiAAAAZHJzL2Rvd25y&#10;ZXYueG1sUEsBAhQAFAAAAAgAh07iQG4WPxk3AgAASAQAAA4AAAAAAAAAAQAgAAAAJwEAAGRycy9l&#10;Mm9Eb2MueG1sUEsFBgAAAAAGAAYAWQEAANAFAAAAAA==&#10;">
                <v:fill on="f" focussize="0,0"/>
                <v:stroke on="f" miterlimit="8" joinstyle="miter"/>
                <v:imagedata o:title=""/>
                <o:lock v:ext="edit" aspectratio="f"/>
                <v:textbox style="mso-fit-shape-to-text:t;">
                  <w:txbxContent>
                    <w:p w14:paraId="06C5DB4E">
                      <w:r>
                        <w:rPr>
                          <w:rStyle w:val="33"/>
                          <w:rFonts w:hint="eastAsia"/>
                        </w:rPr>
                        <w:t>发布</w:t>
                      </w:r>
                    </w:p>
                  </w:txbxContent>
                </v:textbox>
              </v:shape>
            </w:pict>
          </mc:Fallback>
        </mc:AlternateContent>
      </w:r>
      <w:r>
        <w:rPr>
          <w:rFonts w:hint="eastAsia"/>
          <w:b w:val="0"/>
          <w:bCs/>
          <w:spacing w:val="137"/>
          <w:w w:val="100"/>
          <w:kern w:val="0"/>
          <w:fitText w:val="4158" w:id="2014517570"/>
        </w:rPr>
        <w:t>湖北省生态环境</w:t>
      </w:r>
      <w:r>
        <w:rPr>
          <w:rFonts w:hint="eastAsia"/>
          <w:b w:val="0"/>
          <w:bCs/>
          <w:spacing w:val="0"/>
          <w:w w:val="100"/>
          <w:kern w:val="0"/>
          <w:fitText w:val="4158" w:id="2014517570"/>
        </w:rPr>
        <w:t>厅</w:t>
      </w:r>
    </w:p>
    <w:p w14:paraId="64904F54">
      <w:pPr>
        <w:pStyle w:val="30"/>
        <w:framePr w:w="8091" w:wrap="around"/>
        <w:rPr>
          <w:rFonts w:eastAsiaTheme="minorEastAsia"/>
        </w:rPr>
      </w:pPr>
      <w:r>
        <w:rPr>
          <w:rFonts w:hint="eastAsia" w:eastAsiaTheme="minorEastAsia"/>
        </w:rPr>
        <w:t>湖北省质量技术监督局</w:t>
      </w:r>
    </w:p>
    <w:p w14:paraId="021C02EC">
      <w:pPr>
        <w:rPr>
          <w:lang w:eastAsia="zh-CN"/>
        </w:rPr>
        <w:sectPr>
          <w:pgSz w:w="11906" w:h="16838"/>
          <w:pgMar w:top="567" w:right="850" w:bottom="1134" w:left="1417" w:header="1417" w:footer="1134" w:gutter="0"/>
          <w:cols w:space="425" w:num="1"/>
          <w:docGrid w:type="lines" w:linePitch="312" w:charSpace="0"/>
        </w:sectPr>
      </w:pPr>
      <w:r>
        <w:rPr>
          <w:sz w:val="21"/>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-1089660</wp:posOffset>
                </wp:positionV>
                <wp:extent cx="774065" cy="488950"/>
                <wp:effectExtent l="0" t="0" r="0" b="0"/>
                <wp:wrapNone/>
                <wp:docPr id="39" name="文本框 27"/>
                <wp:cNvGraphicFramePr/>
                <a:graphic xmlns:a="http://schemas.openxmlformats.org/drawingml/2006/main">
                  <a:graphicData uri="http://schemas.microsoft.com/office/word/2010/wordprocessingShape">
                    <wps:wsp>
                      <wps:cNvSpPr txBox="1"/>
                      <wps:spPr>
                        <a:xfrm>
                          <a:off x="0" y="0"/>
                          <a:ext cx="774065" cy="488950"/>
                        </a:xfrm>
                        <a:prstGeom prst="rect">
                          <a:avLst/>
                        </a:prstGeom>
                        <a:noFill/>
                        <a:ln w="9525">
                          <a:noFill/>
                        </a:ln>
                      </wps:spPr>
                      <wps:txbx>
                        <w:txbxContent>
                          <w:p w14:paraId="1A7CF971">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4</w:t>
                            </w:r>
                          </w:p>
                          <w:p w14:paraId="4A39D260"/>
                        </w:txbxContent>
                      </wps:txbx>
                      <wps:bodyPr vert="horz" anchor="t" anchorCtr="0" upright="1"/>
                    </wps:wsp>
                  </a:graphicData>
                </a:graphic>
              </wp:anchor>
            </w:drawing>
          </mc:Choice>
          <mc:Fallback>
            <w:pict>
              <v:shape id="文本框 27" o:spid="_x0000_s1026" o:spt="202" type="#_x0000_t202" style="position:absolute;left:0pt;margin-left:-9pt;margin-top:-85.8pt;height:38.5pt;width:60.95pt;z-index:251673600;mso-width-relative:page;mso-height-relative:page;" filled="f" stroked="f" coordsize="21600,21600" o:gfxdata="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HFccjYAAAADAEAAA8AAAAAAAAAAQAgAAAAIgAAAGRy&#10;cy9kb3ducmV2LnhtbFBLAQIUABQAAAAIAIdO4kDgl+92zAEAAH0DAAAOAAAAAAAAAAEAIAAAACcB&#10;AABkcnMvZTJvRG9jLnhtbFBLBQYAAAAABgAGAFkBAABlBQAAAAA=&#10;">
                <v:fill on="f" focussize="0,0"/>
                <v:stroke on="f"/>
                <v:imagedata o:title=""/>
                <o:lock v:ext="edit" aspectratio="f"/>
                <v:textbox>
                  <w:txbxContent>
                    <w:p w14:paraId="1A7CF971">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4</w:t>
                      </w:r>
                    </w:p>
                    <w:p w14:paraId="4A39D260"/>
                  </w:txbxContent>
                </v:textbox>
              </v:shape>
            </w:pict>
          </mc:Fallback>
        </mc:AlternateContent>
      </w:r>
      <w:r>
        <w:rPr>
          <w:lang w:eastAsia="zh-CN"/>
        </w:rPr>
        <mc:AlternateContent>
          <mc:Choice Requires="wps">
            <w:drawing>
              <wp:anchor distT="0" distB="0" distL="114300" distR="114300" simplePos="0" relativeHeight="251666432" behindDoc="0" locked="0" layoutInCell="1" allowOverlap="1">
                <wp:simplePos x="0" y="0"/>
                <wp:positionH relativeFrom="page">
                  <wp:posOffset>960120</wp:posOffset>
                </wp:positionH>
                <wp:positionV relativeFrom="paragraph">
                  <wp:posOffset>8236585</wp:posOffset>
                </wp:positionV>
                <wp:extent cx="6121400" cy="0"/>
                <wp:effectExtent l="0" t="6350" r="0" b="6350"/>
                <wp:wrapTopAndBottom/>
                <wp:docPr id="38" name="直接连接符 38"/>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75.6pt;margin-top:648.55pt;height:0pt;width:482pt;mso-position-horizontal-relative:page;mso-wrap-distance-bottom:0pt;mso-wrap-distance-top:0pt;z-index:251666432;mso-width-relative:page;mso-height-relative:page;" filled="f" stroked="t" coordsize="21600,21600" o:gfxdata="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vuo99gAAAAOAQAADwAAAAAAAAABACAAAAAiAAAAZHJzL2Rvd25yZXYueG1sUEsBAhQAFAAAAAgA&#10;h07iQJF82YfsAQAA2wMAAA4AAAAAAAAAAQAgAAAAJwEAAGRycy9lMm9Eb2MueG1sUEsFBgAAAAAG&#10;AAYAWQEAAIUFAAAAAA==&#10;">
                <v:fill on="f" focussize="0,0"/>
                <v:stroke weight="1pt" color="#000000" joinstyle="round"/>
                <v:imagedata o:title=""/>
                <o:lock v:ext="edit" aspectratio="f"/>
                <w10:wrap type="topAndBottom"/>
              </v:line>
            </w:pict>
          </mc:Fallback>
        </mc:AlternateContent>
      </w:r>
    </w:p>
    <w:sdt>
      <w:sdtPr>
        <w:rPr>
          <w:rFonts w:hint="eastAsia" w:ascii="黑体" w:hAnsi="黑体" w:eastAsia="黑体" w:cs="黑体"/>
          <w:sz w:val="32"/>
          <w:szCs w:val="32"/>
          <w:lang w:val="en-US" w:eastAsia="en-US" w:bidi="ar-SA"/>
        </w:rPr>
        <w:id w:val="147473762"/>
        <w15:color w:val="DBDBDB"/>
        <w:docPartObj>
          <w:docPartGallery w:val="Table of Contents"/>
          <w:docPartUnique/>
        </w:docPartObj>
      </w:sdtPr>
      <w:sdtEndPr>
        <w:rPr>
          <w:rFonts w:hint="eastAsia" w:ascii="宋体" w:hAnsi="宋体" w:eastAsia="宋体" w:cs="黑体"/>
          <w:b/>
          <w:kern w:val="0"/>
          <w:sz w:val="21"/>
          <w:szCs w:val="21"/>
          <w:lang w:val="en-US" w:eastAsia="zh-CN" w:bidi="ar-SA"/>
        </w:rPr>
      </w:sdtEndPr>
      <w:sdtContent>
        <w:p w14:paraId="5DCA7C6F">
          <w:pPr>
            <w:autoSpaceDE w:val="0"/>
            <w:autoSpaceDN w:val="0"/>
            <w:jc w:val="center"/>
            <w:rPr>
              <w:rFonts w:ascii="黑体" w:hAnsi="黑体" w:eastAsia="黑体" w:cs="黑体"/>
              <w:kern w:val="0"/>
              <w:sz w:val="32"/>
              <w:szCs w:val="32"/>
              <w:lang w:eastAsia="en-US"/>
            </w:rPr>
          </w:pPr>
          <w:r>
            <w:rPr>
              <w:rFonts w:hint="eastAsia" w:ascii="黑体" w:hAnsi="黑体" w:eastAsia="黑体" w:cs="黑体"/>
              <w:kern w:val="0"/>
              <w:sz w:val="32"/>
              <w:szCs w:val="32"/>
              <w:lang w:eastAsia="en-US"/>
            </w:rPr>
            <w:t>目</w:t>
          </w:r>
          <w:r>
            <w:rPr>
              <w:rFonts w:hint="eastAsia" w:ascii="黑体" w:hAnsi="黑体" w:eastAsia="黑体" w:cs="黑体"/>
              <w:kern w:val="0"/>
              <w:sz w:val="32"/>
              <w:szCs w:val="32"/>
              <w:lang w:eastAsia="zh-CN"/>
            </w:rPr>
            <w:t xml:space="preserve">  </w:t>
          </w:r>
          <w:r>
            <w:rPr>
              <w:rFonts w:hint="eastAsia" w:ascii="黑体" w:hAnsi="黑体" w:eastAsia="黑体" w:cs="黑体"/>
              <w:kern w:val="0"/>
              <w:sz w:val="32"/>
              <w:szCs w:val="32"/>
              <w:lang w:eastAsia="en-US"/>
            </w:rPr>
            <w:t>录</w:t>
          </w:r>
        </w:p>
        <w:p w14:paraId="474779D8">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hint="eastAsia" w:ascii="宋体" w:hAnsi="宋体" w:eastAsia="宋体" w:cs="黑体"/>
              <w:sz w:val="21"/>
              <w:szCs w:val="21"/>
              <w:lang w:val="en-US" w:eastAsia="zh-CN" w:bidi="ar-SA"/>
            </w:rPr>
            <w:fldChar w:fldCharType="begin"/>
          </w:r>
          <w:r>
            <w:rPr>
              <w:rFonts w:hint="eastAsia" w:ascii="宋体" w:hAnsi="宋体" w:eastAsia="宋体" w:cs="黑体"/>
              <w:sz w:val="21"/>
              <w:szCs w:val="21"/>
              <w:lang w:val="en-US" w:eastAsia="zh-CN" w:bidi="ar-SA"/>
            </w:rPr>
            <w:instrText xml:space="preserve">TOC \o "1-2" \h \u </w:instrText>
          </w:r>
          <w:r>
            <w:rPr>
              <w:rFonts w:hint="eastAsia" w:ascii="宋体" w:hAnsi="宋体" w:eastAsia="宋体" w:cs="黑体"/>
              <w:sz w:val="21"/>
              <w:szCs w:val="21"/>
              <w:lang w:val="en-US" w:eastAsia="zh-CN" w:bidi="ar-SA"/>
            </w:rPr>
            <w:fldChar w:fldCharType="separate"/>
          </w: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"_Toc169694638"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前  言</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_Toc169694638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II</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2DD77AE0">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"_Toc169694639"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引  言</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_Toc169694639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III</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2C0621E3">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"_Toc169694640"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en-US" w:bidi="ar-SA"/>
            </w:rPr>
            <w:t>1</w:t>
          </w:r>
          <w:r>
            <w:rPr>
              <w:rFonts w:ascii="宋体" w:hAnsi="宋体" w:eastAsia="宋体" w:cs="黑体"/>
              <w:color w:val="0563C1"/>
              <w:sz w:val="21"/>
              <w:szCs w:val="21"/>
              <w:u w:val="single"/>
              <w:lang w:val="en-US" w:eastAsia="en-US" w:bidi="ar-SA"/>
            </w:rPr>
            <w:t xml:space="preserve"> 范围</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_Toc169694640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1</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7D7F9BE5">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"_Toc169694641"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en-US" w:bidi="ar-SA"/>
            </w:rPr>
            <w:t>2</w:t>
          </w:r>
          <w:r>
            <w:rPr>
              <w:rFonts w:ascii="宋体" w:hAnsi="宋体" w:eastAsia="宋体" w:cs="黑体"/>
              <w:color w:val="0563C1"/>
              <w:sz w:val="21"/>
              <w:szCs w:val="21"/>
              <w:u w:val="single"/>
              <w:lang w:val="en-US" w:eastAsia="en-US" w:bidi="ar-SA"/>
            </w:rPr>
            <w:t xml:space="preserve"> 规范性引用文件</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_Toc169694641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1</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22F7703A">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"_Toc169694642"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en-US" w:bidi="ar-SA"/>
            </w:rPr>
            <w:t>3</w:t>
          </w:r>
          <w:r>
            <w:rPr>
              <w:rFonts w:ascii="宋体" w:hAnsi="宋体" w:eastAsia="宋体" w:cs="黑体"/>
              <w:color w:val="0563C1"/>
              <w:sz w:val="21"/>
              <w:szCs w:val="21"/>
              <w:u w:val="single"/>
              <w:lang w:val="en-US" w:eastAsia="en-US" w:bidi="ar-SA"/>
            </w:rPr>
            <w:t xml:space="preserve"> 术语和定义</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_Toc169694642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2</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475586D6">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"_Toc169694643"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en-US" w:bidi="ar-SA"/>
            </w:rPr>
            <w:t>4</w:t>
          </w:r>
          <w:r>
            <w:rPr>
              <w:rFonts w:ascii="宋体" w:hAnsi="宋体" w:eastAsia="宋体" w:cs="黑体"/>
              <w:color w:val="0563C1"/>
              <w:sz w:val="21"/>
              <w:szCs w:val="21"/>
              <w:u w:val="single"/>
              <w:lang w:val="en-US" w:eastAsia="en-US" w:bidi="ar-SA"/>
            </w:rPr>
            <w:t xml:space="preserve"> 人员</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_Toc169694643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2</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2690A7D7">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"_Toc169694648"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en-US" w:bidi="ar-SA"/>
            </w:rPr>
            <w:t>5</w:t>
          </w:r>
          <w:r>
            <w:rPr>
              <w:rFonts w:ascii="宋体" w:hAnsi="宋体" w:eastAsia="宋体" w:cs="黑体"/>
              <w:color w:val="0563C1"/>
              <w:sz w:val="21"/>
              <w:szCs w:val="21"/>
              <w:u w:val="single"/>
              <w:lang w:val="en-US" w:eastAsia="en-US" w:bidi="ar-SA"/>
            </w:rPr>
            <w:t xml:space="preserve"> 仪器与设备</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_Toc169694648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2</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212EC487">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"_Toc169694649"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5.1</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采样设备</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_Toc169694649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2</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28C0F1A8">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"_Toc169694650"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5.2</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现场快速检测设备</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_Toc169694650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2</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7A0FF942">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"_Toc169694651"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5.3</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实验室检测设备</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_Toc169694651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3</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4CD94937">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"_Toc169694652"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en-US" w:bidi="ar-SA"/>
            </w:rPr>
            <w:t>6</w:t>
          </w:r>
          <w:r>
            <w:rPr>
              <w:rFonts w:ascii="宋体" w:hAnsi="宋体" w:eastAsia="宋体" w:cs="黑体"/>
              <w:color w:val="0563C1"/>
              <w:sz w:val="21"/>
              <w:szCs w:val="21"/>
              <w:u w:val="single"/>
              <w:lang w:val="en-US" w:eastAsia="en-US" w:bidi="ar-SA"/>
            </w:rPr>
            <w:t xml:space="preserve"> 样品采集</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_Toc169694652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3</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57EB4D31">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"_Toc169694653"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6.1</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点位布设</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_Toc169694653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3</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2EC4CCBB">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"_Toc169694654"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6.2</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采样位置与深度</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_Toc169694654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3</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6FD1E621">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"_Toc169694655"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6.3</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采样</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_Toc169694655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3</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51D1525C">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"_Toc169694656"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6.4</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样品保存和流转</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_Toc169694656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4</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399ADB04">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"_Toc169694657"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6.5</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现场记录</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_Toc169694657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4</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4EE95353">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"_Toc169694658"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6.6</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现场采样质量控制</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_Toc169694658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5</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4B0DD9A5">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"_Toc169694659"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en-US" w:bidi="ar-SA"/>
            </w:rPr>
            <w:t>7</w:t>
          </w:r>
          <w:r>
            <w:rPr>
              <w:rFonts w:ascii="宋体" w:hAnsi="宋体" w:eastAsia="宋体" w:cs="黑体"/>
              <w:color w:val="0563C1"/>
              <w:sz w:val="21"/>
              <w:szCs w:val="21"/>
              <w:u w:val="single"/>
              <w:lang w:val="en-US" w:eastAsia="en-US" w:bidi="ar-SA"/>
            </w:rPr>
            <w:t xml:space="preserve"> 样品制备</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_Toc169694659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5</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728E3097">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"_Toc169694660"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7.1</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风干</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_Toc169694660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5</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6959FFFB">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"_Toc169694661"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7.2</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研磨</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_Toc169694661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5</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0A8BBE25">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"_Toc169694662" </w:instrText>
          </w:r>
          <w:r>
            <w:rPr>
              <w:rFonts w:ascii="宋体" w:hAnsi="宋体" w:eastAsia="宋体" w:cs="宋体"/>
              <w:sz w:val="22"/>
              <w:szCs w:val="22"/>
              <w:lang w:val="en-US" w:eastAsia="en-US" w:bidi="ar-SA"/>
            </w:rPr>
            <w:fldChar w:fldCharType="separate"/>
          </w:r>
          <w:r>
            <w:rPr>
              <w:rFonts w:ascii="宋体" w:hAnsi="宋体" w:eastAsia="宋体" w:cs="黑体"/>
              <w:color w:val="0563C1"/>
              <w:w w:val="99"/>
              <w:sz w:val="21"/>
              <w:szCs w:val="21"/>
              <w:u w:val="single"/>
              <w:lang w:val="en-US" w:eastAsia="zh-CN" w:bidi="ar-SA"/>
            </w:rPr>
            <w:t>7.3</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留样</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_Toc169694662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6</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76101412">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"_Toc169694663"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7.4</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制样质量控制</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_Toc169694663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6</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4E0C01A9">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"_Toc169694664"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8 实验室分析与质量控制</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_Toc169694664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6</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1BC9158D">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"_Toc169694665"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8.1</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设施和环境条件</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_Toc169694665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6</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04D5C5A6">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"_Toc169694666"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8.2</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分析方法</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_Toc169694666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6</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5CE9357E">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"_Toc169694667"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8.3</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试剂和材料</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_Toc169694667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7</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21E5B050">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"_Toc169694668"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8.4</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样品分析与质量控制</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_Toc169694668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7</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38F17C8D">
          <w:pPr>
            <w:widowControl w:val="0"/>
            <w:tabs>
              <w:tab w:val="left" w:pos="1050"/>
              <w:tab w:val="right" w:leader="dot" w:pos="9349"/>
            </w:tabs>
            <w:autoSpaceDE w:val="0"/>
            <w:autoSpaceDN w:val="0"/>
            <w:ind w:left="420" w:leftChars="20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"_Toc169694669"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8.5</w:t>
          </w:r>
          <w:r>
            <w:rPr>
              <w:rFonts w:ascii="宋体" w:hAnsi="宋体" w:eastAsia="宋体" w:cs="Times New Roman"/>
              <w:kern w:val="2"/>
              <w:sz w:val="21"/>
              <w:szCs w:val="21"/>
              <w:lang w:val="en-US" w:eastAsia="zh-CN" w:bidi="ar-SA"/>
            </w:rPr>
            <w:tab/>
          </w:r>
          <w:r>
            <w:rPr>
              <w:rFonts w:ascii="宋体" w:hAnsi="宋体" w:eastAsia="宋体" w:cs="黑体"/>
              <w:color w:val="0563C1"/>
              <w:sz w:val="21"/>
              <w:szCs w:val="21"/>
              <w:u w:val="single"/>
              <w:lang w:val="en-US" w:eastAsia="zh-CN" w:bidi="ar-SA"/>
            </w:rPr>
            <w:t>记录与报告</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_Toc169694669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8</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1691417A">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"_Toc169694670"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 xml:space="preserve">9 </w:t>
          </w:r>
          <w:r>
            <w:rPr>
              <w:rFonts w:ascii="宋体" w:hAnsi="宋体" w:eastAsia="宋体" w:cs="黑体"/>
              <w:color w:val="0563C1"/>
              <w:sz w:val="21"/>
              <w:szCs w:val="21"/>
              <w:u w:val="single"/>
              <w:lang w:val="en-US" w:eastAsia="en-US" w:bidi="ar-SA"/>
            </w:rPr>
            <w:t>质量监督</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_Toc169694670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8</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7556D095">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"_Toc169694671"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10 质控数据统计</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_Toc169694671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9</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6D7175B1">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"_Toc169694672"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11 标准实施及评价</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_Toc169694672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9</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04F347C6">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"_Toc169694673"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附录 A</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_Toc169694673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10</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3591144B">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"_Toc169694674"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附录 B</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_Toc169694674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13</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0ACCF794">
          <w:pPr>
            <w:widowControl w:val="0"/>
            <w:tabs>
              <w:tab w:val="right" w:leader="dot" w:pos="9349"/>
            </w:tabs>
            <w:autoSpaceDE w:val="0"/>
            <w:autoSpaceDN w:val="0"/>
            <w:rPr>
              <w:rFonts w:ascii="宋体" w:hAnsi="宋体" w:eastAsia="宋体" w:cs="Times New Roman"/>
              <w:kern w:val="2"/>
              <w:sz w:val="21"/>
              <w:szCs w:val="21"/>
              <w:lang w:val="en-US" w:eastAsia="zh-CN" w:bidi="ar-SA"/>
            </w:rPr>
          </w:pPr>
          <w:r>
            <w:rPr>
              <w:rFonts w:ascii="宋体" w:hAnsi="宋体" w:eastAsia="宋体" w:cs="宋体"/>
              <w:sz w:val="22"/>
              <w:szCs w:val="22"/>
              <w:lang w:val="en-US" w:eastAsia="en-US" w:bidi="ar-SA"/>
            </w:rPr>
            <w:fldChar w:fldCharType="begin"/>
          </w:r>
          <w:r>
            <w:rPr>
              <w:rFonts w:ascii="宋体" w:hAnsi="宋体" w:eastAsia="宋体" w:cs="宋体"/>
              <w:sz w:val="22"/>
              <w:szCs w:val="22"/>
              <w:lang w:val="en-US" w:eastAsia="en-US" w:bidi="ar-SA"/>
            </w:rPr>
            <w:instrText xml:space="preserve"> HYPERLINK \l "_Toc169694675" </w:instrText>
          </w:r>
          <w:r>
            <w:rPr>
              <w:rFonts w:ascii="宋体" w:hAnsi="宋体" w:eastAsia="宋体" w:cs="宋体"/>
              <w:sz w:val="22"/>
              <w:szCs w:val="22"/>
              <w:lang w:val="en-US" w:eastAsia="en-US" w:bidi="ar-SA"/>
            </w:rPr>
            <w:fldChar w:fldCharType="separate"/>
          </w:r>
          <w:r>
            <w:rPr>
              <w:rFonts w:ascii="宋体" w:hAnsi="宋体" w:eastAsia="宋体" w:cs="黑体"/>
              <w:color w:val="0563C1"/>
              <w:sz w:val="21"/>
              <w:szCs w:val="21"/>
              <w:u w:val="single"/>
              <w:lang w:val="en-US" w:eastAsia="zh-CN" w:bidi="ar-SA"/>
            </w:rPr>
            <w:t>附录</w:t>
          </w:r>
          <w:r>
            <w:rPr>
              <w:rFonts w:hint="eastAsia" w:ascii="宋体" w:hAnsi="宋体" w:eastAsia="宋体" w:cs="黑体"/>
              <w:color w:val="0563C1"/>
              <w:sz w:val="21"/>
              <w:szCs w:val="21"/>
              <w:u w:val="single"/>
              <w:lang w:val="en-US" w:eastAsia="zh-CN" w:bidi="ar-SA"/>
            </w:rPr>
            <w:t xml:space="preserve"> </w:t>
          </w:r>
          <w:r>
            <w:rPr>
              <w:rFonts w:ascii="宋体" w:hAnsi="宋体" w:eastAsia="宋体" w:cs="黑体"/>
              <w:color w:val="0563C1"/>
              <w:sz w:val="21"/>
              <w:szCs w:val="21"/>
              <w:u w:val="single"/>
              <w:lang w:val="en-US" w:eastAsia="zh-CN" w:bidi="ar-SA"/>
            </w:rPr>
            <w:t>C</w:t>
          </w:r>
          <w:r>
            <w:rPr>
              <w:rFonts w:ascii="宋体" w:hAnsi="宋体" w:eastAsia="宋体" w:cs="宋体"/>
              <w:sz w:val="21"/>
              <w:szCs w:val="21"/>
              <w:lang w:val="en-US" w:eastAsia="en-US" w:bidi="ar-SA"/>
            </w:rPr>
            <w:tab/>
          </w:r>
          <w:r>
            <w:rPr>
              <w:rFonts w:ascii="宋体" w:hAnsi="宋体" w:eastAsia="宋体" w:cs="宋体"/>
              <w:sz w:val="21"/>
              <w:szCs w:val="21"/>
              <w:lang w:val="en-US" w:eastAsia="en-US" w:bidi="ar-SA"/>
            </w:rPr>
            <w:fldChar w:fldCharType="begin"/>
          </w:r>
          <w:r>
            <w:rPr>
              <w:rFonts w:ascii="宋体" w:hAnsi="宋体" w:eastAsia="宋体" w:cs="宋体"/>
              <w:sz w:val="21"/>
              <w:szCs w:val="21"/>
              <w:lang w:val="en-US" w:eastAsia="en-US" w:bidi="ar-SA"/>
            </w:rPr>
            <w:instrText xml:space="preserve"> PAGEREF _Toc169694675 \h </w:instrText>
          </w:r>
          <w:r>
            <w:rPr>
              <w:rFonts w:ascii="宋体" w:hAnsi="宋体" w:eastAsia="宋体" w:cs="宋体"/>
              <w:sz w:val="21"/>
              <w:szCs w:val="21"/>
              <w:lang w:val="en-US" w:eastAsia="en-US" w:bidi="ar-SA"/>
            </w:rPr>
            <w:fldChar w:fldCharType="separate"/>
          </w:r>
          <w:r>
            <w:rPr>
              <w:rFonts w:ascii="宋体" w:hAnsi="宋体" w:eastAsia="宋体" w:cs="宋体"/>
              <w:sz w:val="21"/>
              <w:szCs w:val="21"/>
              <w:lang w:val="en-US" w:eastAsia="en-US" w:bidi="ar-SA"/>
            </w:rPr>
            <w:t>14</w:t>
          </w:r>
          <w:r>
            <w:rPr>
              <w:rFonts w:ascii="宋体" w:hAnsi="宋体" w:eastAsia="宋体" w:cs="宋体"/>
              <w:sz w:val="21"/>
              <w:szCs w:val="21"/>
              <w:lang w:val="en-US" w:eastAsia="en-US" w:bidi="ar-SA"/>
            </w:rPr>
            <w:fldChar w:fldCharType="end"/>
          </w:r>
          <w:r>
            <w:rPr>
              <w:rFonts w:ascii="宋体" w:hAnsi="宋体" w:eastAsia="宋体" w:cs="宋体"/>
              <w:sz w:val="21"/>
              <w:szCs w:val="21"/>
              <w:lang w:val="en-US" w:eastAsia="en-US" w:bidi="ar-SA"/>
            </w:rPr>
            <w:fldChar w:fldCharType="end"/>
          </w:r>
        </w:p>
        <w:p w14:paraId="56E98BA5">
          <w:pPr>
            <w:spacing w:before="310"/>
            <w:ind w:left="197"/>
            <w:jc w:val="center"/>
            <w:rPr>
              <w:rFonts w:ascii="宋体" w:hAnsi="宋体" w:eastAsia="宋体" w:cs="黑体"/>
              <w:sz w:val="21"/>
              <w:szCs w:val="21"/>
              <w:lang w:eastAsia="zh-CN"/>
            </w:rPr>
            <w:sectPr>
              <w:headerReference r:id="rId29" w:type="default"/>
              <w:footerReference r:id="rId31" w:type="default"/>
              <w:headerReference r:id="rId30" w:type="even"/>
              <w:footerReference r:id="rId32" w:type="even"/>
              <w:pgSz w:w="11910" w:h="16840"/>
              <w:pgMar w:top="567" w:right="1134" w:bottom="1134" w:left="1417" w:header="1417" w:footer="1134" w:gutter="0"/>
              <w:pgNumType w:fmt="upperRoman" w:start="1"/>
              <w:cols w:space="0" w:num="1"/>
            </w:sectPr>
          </w:pPr>
          <w:r>
            <w:rPr>
              <w:rFonts w:hint="eastAsia" w:ascii="宋体" w:hAnsi="宋体" w:eastAsia="宋体" w:cs="黑体"/>
              <w:kern w:val="0"/>
              <w:sz w:val="21"/>
              <w:szCs w:val="21"/>
              <w:lang w:eastAsia="zh-CN"/>
            </w:rPr>
            <w:fldChar w:fldCharType="end"/>
          </w:r>
        </w:p>
      </w:sdtContent>
    </w:sdt>
    <w:p w14:paraId="37B7D638">
      <w:pPr>
        <w:autoSpaceDE w:val="0"/>
        <w:autoSpaceDN w:val="0"/>
        <w:spacing w:before="640" w:after="560" w:line="460" w:lineRule="exact"/>
        <w:jc w:val="center"/>
        <w:outlineLvl w:val="0"/>
        <w:rPr>
          <w:rFonts w:ascii="黑体" w:hAnsi="黑体" w:eastAsia="黑体" w:cs="黑体"/>
          <w:kern w:val="0"/>
          <w:sz w:val="32"/>
          <w:szCs w:val="22"/>
          <w:lang w:eastAsia="zh-CN"/>
        </w:rPr>
      </w:pPr>
      <w:bookmarkStart w:id="72" w:name="_Toc169694638"/>
      <w:r>
        <w:rPr>
          <w:rFonts w:hint="eastAsia" w:ascii="黑体" w:hAnsi="黑体" w:eastAsia="黑体" w:cs="黑体"/>
          <w:kern w:val="0"/>
          <w:sz w:val="32"/>
          <w:szCs w:val="22"/>
          <w:lang w:eastAsia="zh-CN"/>
        </w:rPr>
        <w:t>前  言</w:t>
      </w:r>
      <w:bookmarkEnd w:id="72"/>
    </w:p>
    <w:p w14:paraId="187A10DB">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本文件按照GB/T</w:t>
      </w:r>
      <w:r>
        <w:rPr>
          <w:rFonts w:ascii="宋体" w:hAnsi="宋体" w:eastAsia="宋体" w:cs="宋体"/>
          <w:spacing w:val="-56"/>
          <w:sz w:val="21"/>
          <w:szCs w:val="21"/>
          <w:lang w:val="en-US" w:eastAsia="zh-CN" w:bidi="ar-SA"/>
        </w:rPr>
        <w:t xml:space="preserve"> </w:t>
      </w:r>
      <w:r>
        <w:rPr>
          <w:rFonts w:ascii="宋体" w:hAnsi="宋体" w:eastAsia="宋体" w:cs="宋体"/>
          <w:spacing w:val="-3"/>
          <w:sz w:val="21"/>
          <w:szCs w:val="21"/>
          <w:lang w:val="en-US" w:eastAsia="zh-CN" w:bidi="ar-SA"/>
        </w:rPr>
        <w:t>1.1—2020</w:t>
      </w:r>
      <w:r>
        <w:rPr>
          <w:rFonts w:ascii="宋体" w:hAnsi="宋体" w:eastAsia="宋体" w:cs="宋体"/>
          <w:spacing w:val="-1"/>
          <w:sz w:val="21"/>
          <w:szCs w:val="21"/>
          <w:lang w:val="en-US" w:eastAsia="zh-CN" w:bidi="ar-SA"/>
        </w:rPr>
        <w:t>《标准化工作导则 第</w:t>
      </w:r>
      <w:r>
        <w:rPr>
          <w:rFonts w:ascii="宋体" w:hAnsi="宋体" w:eastAsia="宋体" w:cs="宋体"/>
          <w:sz w:val="21"/>
          <w:szCs w:val="21"/>
          <w:lang w:val="en-US" w:eastAsia="zh-CN" w:bidi="ar-SA"/>
        </w:rPr>
        <w:t>1</w:t>
      </w:r>
      <w:r>
        <w:rPr>
          <w:rFonts w:ascii="宋体" w:hAnsi="宋体" w:eastAsia="宋体" w:cs="宋体"/>
          <w:spacing w:val="-5"/>
          <w:sz w:val="21"/>
          <w:szCs w:val="21"/>
          <w:lang w:val="en-US" w:eastAsia="zh-CN" w:bidi="ar-SA"/>
        </w:rPr>
        <w:t>部分：标准化文件的结构和起草规则》的规定起</w:t>
      </w:r>
      <w:r>
        <w:rPr>
          <w:rFonts w:ascii="宋体" w:hAnsi="宋体" w:eastAsia="宋体" w:cs="宋体"/>
          <w:sz w:val="21"/>
          <w:szCs w:val="21"/>
          <w:lang w:val="en-US" w:eastAsia="zh-CN" w:bidi="ar-SA"/>
        </w:rPr>
        <w:t>草。</w:t>
      </w:r>
    </w:p>
    <w:p w14:paraId="60261E82">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本文件为DB42/T XXX的第2部分。DB42/T XXX拟分为以下部分：</w:t>
      </w:r>
    </w:p>
    <w:p w14:paraId="53082341">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——第1部分：</w:t>
      </w:r>
      <w:r>
        <w:rPr>
          <w:rFonts w:hint="eastAsia" w:ascii="宋体" w:hAnsi="宋体" w:eastAsia="宋体" w:cs="宋体"/>
          <w:sz w:val="21"/>
          <w:szCs w:val="21"/>
          <w:lang w:val="en-US" w:eastAsia="zh-CN" w:bidi="ar-SA"/>
        </w:rPr>
        <w:t>建设用地土壤污染状况调查技术规范</w:t>
      </w:r>
    </w:p>
    <w:p w14:paraId="277B32B2">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——第2部分：</w:t>
      </w:r>
      <w:r>
        <w:rPr>
          <w:rFonts w:hint="eastAsia" w:ascii="宋体" w:hAnsi="宋体" w:eastAsia="宋体" w:cs="宋体"/>
          <w:sz w:val="21"/>
          <w:szCs w:val="21"/>
          <w:lang w:val="en-US" w:eastAsia="zh-CN" w:bidi="ar-SA"/>
        </w:rPr>
        <w:t>建设用地土壤重金属监测质量保证与质量控制技术规范</w:t>
      </w:r>
    </w:p>
    <w:p w14:paraId="5DD954C2">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——第3部分：</w:t>
      </w:r>
      <w:r>
        <w:rPr>
          <w:rFonts w:hint="eastAsia" w:ascii="宋体" w:hAnsi="宋体" w:eastAsia="宋体" w:cs="宋体"/>
          <w:sz w:val="21"/>
          <w:szCs w:val="21"/>
          <w:lang w:val="en-US" w:eastAsia="zh-CN" w:bidi="ar-SA"/>
        </w:rPr>
        <w:t>建设用地</w:t>
      </w:r>
      <w:r>
        <w:rPr>
          <w:rFonts w:ascii="宋体" w:hAnsi="宋体" w:eastAsia="宋体" w:cs="宋体"/>
          <w:sz w:val="21"/>
          <w:szCs w:val="21"/>
          <w:lang w:val="en-US" w:eastAsia="zh-CN" w:bidi="ar-SA"/>
        </w:rPr>
        <w:t>土壤挥发性有机物监测质量保证与质量控制技术规范</w:t>
      </w:r>
    </w:p>
    <w:p w14:paraId="4F596AFE">
      <w:pPr>
        <w:autoSpaceDE w:val="0"/>
        <w:autoSpaceDN w:val="0"/>
        <w:ind w:firstLine="420" w:firstLineChars="200"/>
        <w:jc w:val="left"/>
        <w:rPr>
          <w:rFonts w:ascii="Times New Roman" w:hAnsi="Times New Roman" w:eastAsia="宋体" w:cs="宋体"/>
          <w:kern w:val="0"/>
          <w:sz w:val="21"/>
          <w:szCs w:val="21"/>
          <w:lang w:eastAsia="zh-CN"/>
        </w:rPr>
      </w:pPr>
      <w:r>
        <w:rPr>
          <w:rFonts w:hint="eastAsia" w:ascii="Times New Roman" w:hAnsi="Times New Roman" w:eastAsia="宋体" w:cs="宋体"/>
          <w:kern w:val="0"/>
          <w:sz w:val="21"/>
          <w:szCs w:val="21"/>
          <w:lang w:eastAsia="zh-CN"/>
        </w:rPr>
        <w:t>请注意本文件的某些内容可能涉及专利。本文件的发布机构不承担识别专利的责任。</w:t>
      </w:r>
    </w:p>
    <w:p w14:paraId="651AF483">
      <w:pPr>
        <w:autoSpaceDE w:val="0"/>
        <w:autoSpaceDN w:val="0"/>
        <w:ind w:firstLine="420" w:firstLineChars="200"/>
        <w:jc w:val="left"/>
        <w:rPr>
          <w:rFonts w:ascii="Times New Roman" w:hAnsi="Times New Roman" w:eastAsia="宋体" w:cs="宋体"/>
          <w:kern w:val="0"/>
          <w:sz w:val="21"/>
          <w:szCs w:val="21"/>
          <w:lang w:eastAsia="zh-CN"/>
        </w:rPr>
      </w:pPr>
      <w:r>
        <w:rPr>
          <w:rFonts w:hint="eastAsia" w:ascii="Times New Roman" w:hAnsi="Times New Roman" w:eastAsia="宋体" w:cs="宋体"/>
          <w:kern w:val="0"/>
          <w:sz w:val="21"/>
          <w:szCs w:val="21"/>
          <w:lang w:eastAsia="zh-CN"/>
        </w:rPr>
        <w:t>本文件由湖北省生态环境监测中心站提出。</w:t>
      </w:r>
    </w:p>
    <w:p w14:paraId="62C9D6A6">
      <w:pPr>
        <w:autoSpaceDE w:val="0"/>
        <w:autoSpaceDN w:val="0"/>
        <w:ind w:firstLine="420" w:firstLineChars="200"/>
        <w:jc w:val="left"/>
        <w:rPr>
          <w:rFonts w:ascii="宋体" w:hAnsi="宋体" w:eastAsia="宋体" w:cs="宋体"/>
          <w:kern w:val="0"/>
          <w:sz w:val="22"/>
          <w:szCs w:val="22"/>
          <w:lang w:eastAsia="zh-CN"/>
        </w:rPr>
      </w:pPr>
      <w:r>
        <w:rPr>
          <w:rFonts w:hint="eastAsia" w:ascii="Times New Roman" w:hAnsi="Times New Roman" w:eastAsia="宋体" w:cs="宋体"/>
          <w:kern w:val="0"/>
          <w:sz w:val="21"/>
          <w:szCs w:val="21"/>
          <w:lang w:eastAsia="zh-CN"/>
        </w:rPr>
        <w:t>本文件由湖北省生态环境厅归口。</w:t>
      </w:r>
    </w:p>
    <w:p w14:paraId="2E1E574C">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本文件起草单位：湖北省</w:t>
      </w:r>
      <w:r>
        <w:rPr>
          <w:rFonts w:hint="eastAsia" w:ascii="宋体" w:hAnsi="宋体" w:eastAsia="宋体" w:cs="宋体"/>
          <w:sz w:val="21"/>
          <w:szCs w:val="21"/>
          <w:lang w:val="en-US" w:eastAsia="zh-CN" w:bidi="ar-SA"/>
        </w:rPr>
        <w:t>生态</w:t>
      </w:r>
      <w:r>
        <w:rPr>
          <w:rFonts w:ascii="宋体" w:hAnsi="宋体" w:eastAsia="宋体" w:cs="宋体"/>
          <w:sz w:val="21"/>
          <w:szCs w:val="21"/>
          <w:lang w:val="en-US" w:eastAsia="zh-CN" w:bidi="ar-SA"/>
        </w:rPr>
        <w:t>环境监测中心站</w:t>
      </w:r>
      <w:r>
        <w:rPr>
          <w:rFonts w:hint="eastAsia" w:ascii="宋体" w:hAnsi="宋体" w:eastAsia="宋体" w:cs="宋体"/>
          <w:sz w:val="21"/>
          <w:szCs w:val="21"/>
          <w:lang w:val="en-US" w:eastAsia="zh-CN" w:bidi="ar-SA"/>
        </w:rPr>
        <w:t>，湖北省生态环境科学研究院（省生态环境工程评估中心），</w:t>
      </w:r>
      <w:r>
        <w:rPr>
          <w:rFonts w:ascii="宋体" w:hAnsi="宋体" w:eastAsia="宋体" w:cs="宋体"/>
          <w:sz w:val="21"/>
          <w:szCs w:val="21"/>
          <w:lang w:val="en-US" w:eastAsia="zh-CN" w:bidi="ar-SA"/>
        </w:rPr>
        <w:t>湖北省生态环境厅宜昌生态环境监测中心</w:t>
      </w:r>
      <w:r>
        <w:rPr>
          <w:rFonts w:hint="eastAsia" w:ascii="宋体" w:hAnsi="宋体" w:eastAsia="宋体" w:cs="宋体"/>
          <w:sz w:val="21"/>
          <w:szCs w:val="21"/>
          <w:lang w:val="en-US" w:eastAsia="zh-CN" w:bidi="ar-SA"/>
        </w:rPr>
        <w:t>，</w:t>
      </w:r>
      <w:r>
        <w:rPr>
          <w:rFonts w:ascii="宋体" w:hAnsi="宋体" w:eastAsia="宋体" w:cs="宋体"/>
          <w:sz w:val="21"/>
          <w:szCs w:val="21"/>
          <w:lang w:val="en-US" w:eastAsia="zh-CN" w:bidi="ar-SA"/>
        </w:rPr>
        <w:t>湖北省标准化与质量研究院</w:t>
      </w:r>
      <w:r>
        <w:rPr>
          <w:rFonts w:hint="eastAsia" w:ascii="宋体" w:hAnsi="宋体" w:eastAsia="宋体" w:cs="宋体"/>
          <w:sz w:val="21"/>
          <w:szCs w:val="21"/>
          <w:lang w:val="en-US" w:eastAsia="zh-CN" w:bidi="ar-SA"/>
        </w:rPr>
        <w:t>，</w:t>
      </w:r>
      <w:r>
        <w:rPr>
          <w:rFonts w:ascii="宋体" w:hAnsi="宋体" w:eastAsia="宋体" w:cs="宋体"/>
          <w:sz w:val="21"/>
          <w:szCs w:val="21"/>
          <w:lang w:val="en-US" w:eastAsia="zh-CN" w:bidi="ar-SA"/>
        </w:rPr>
        <w:t>湖北省生态环境厅武汉生态环境监测中心</w:t>
      </w:r>
      <w:r>
        <w:rPr>
          <w:rFonts w:hint="eastAsia" w:ascii="宋体" w:hAnsi="宋体" w:eastAsia="宋体" w:cs="宋体"/>
          <w:sz w:val="21"/>
          <w:szCs w:val="21"/>
          <w:lang w:val="en-US" w:eastAsia="zh-CN" w:bidi="ar-SA"/>
        </w:rPr>
        <w:t>，</w:t>
      </w:r>
      <w:r>
        <w:rPr>
          <w:rFonts w:hint="eastAsia" w:ascii="宋体" w:hAnsi="宋体" w:eastAsia="宋体" w:cs="宋体"/>
          <w:spacing w:val="-8"/>
          <w:sz w:val="21"/>
          <w:szCs w:val="21"/>
          <w:lang w:val="en-US" w:eastAsia="zh-CN" w:bidi="ar-SA"/>
        </w:rPr>
        <w:t>广检检测技术（武汉）有限公司</w:t>
      </w:r>
      <w:r>
        <w:rPr>
          <w:rFonts w:ascii="宋体" w:hAnsi="宋体" w:eastAsia="宋体" w:cs="宋体"/>
          <w:sz w:val="21"/>
          <w:szCs w:val="21"/>
          <w:lang w:val="en-US" w:eastAsia="zh-CN" w:bidi="ar-SA"/>
        </w:rPr>
        <w:t>。</w:t>
      </w:r>
    </w:p>
    <w:p w14:paraId="56C1D269">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本文件主要起草人：</w:t>
      </w:r>
      <w:r>
        <w:rPr>
          <w:rFonts w:hint="eastAsia" w:ascii="宋体" w:hAnsi="宋体" w:eastAsia="宋体" w:cs="宋体"/>
          <w:sz w:val="21"/>
          <w:szCs w:val="21"/>
          <w:lang w:val="en-US" w:eastAsia="zh-CN" w:bidi="ar-SA"/>
        </w:rPr>
        <w:t>杜维、张兆年、鲁华英、郭丽、X</w:t>
      </w:r>
      <w:r>
        <w:rPr>
          <w:rFonts w:ascii="宋体" w:hAnsi="宋体" w:eastAsia="宋体" w:cs="宋体"/>
          <w:sz w:val="21"/>
          <w:szCs w:val="21"/>
          <w:lang w:val="en-US" w:eastAsia="zh-CN" w:bidi="ar-SA"/>
        </w:rPr>
        <w:t>XXXX</w:t>
      </w:r>
    </w:p>
    <w:p w14:paraId="51895CAA">
      <w:pPr>
        <w:ind w:firstLine="420" w:firstLineChars="200"/>
        <w:rPr>
          <w:rFonts w:ascii="Times New Roman"/>
          <w:sz w:val="17"/>
          <w:lang w:eastAsia="zh-CN"/>
        </w:rPr>
        <w:sectPr>
          <w:footerReference r:id="rId33" w:type="default"/>
          <w:footerReference r:id="rId34" w:type="even"/>
          <w:pgSz w:w="11910" w:h="16840"/>
          <w:pgMar w:top="567" w:right="1134" w:bottom="1134" w:left="1417" w:header="1417" w:footer="1134" w:gutter="0"/>
          <w:pgNumType w:fmt="upperRoman"/>
          <w:cols w:space="0" w:num="1"/>
        </w:sectPr>
      </w:pPr>
      <w:r>
        <w:rPr>
          <w:rFonts w:ascii="Times New Roman" w:hAnsi="Times New Roman" w:eastAsia="宋体" w:cs="Times New Roman"/>
          <w:kern w:val="0"/>
          <w:sz w:val="21"/>
          <w:szCs w:val="21"/>
          <w:lang w:eastAsia="zh-CN"/>
        </w:rPr>
        <w:t>本文件实施应用中的疑问，可咨询湖北省生态环境监测中心站，联系电话：027-87635295，邮箱：147907845@</w:t>
      </w:r>
      <w:r>
        <w:rPr>
          <w:rFonts w:hint="eastAsia" w:ascii="Times New Roman" w:hAnsi="Times New Roman" w:eastAsia="宋体" w:cs="Times New Roman"/>
          <w:kern w:val="0"/>
          <w:sz w:val="21"/>
          <w:szCs w:val="21"/>
          <w:lang w:eastAsia="zh-CN"/>
        </w:rPr>
        <w:t>qq</w:t>
      </w:r>
      <w:r>
        <w:rPr>
          <w:rFonts w:ascii="Times New Roman" w:hAnsi="Times New Roman" w:eastAsia="宋体" w:cs="Times New Roman"/>
          <w:kern w:val="0"/>
          <w:sz w:val="21"/>
          <w:szCs w:val="21"/>
          <w:lang w:eastAsia="zh-CN"/>
        </w:rPr>
        <w:t>.com。</w:t>
      </w:r>
      <w:r>
        <w:rPr>
          <w:rFonts w:hint="eastAsia" w:ascii="宋体" w:hAnsi="宋体" w:eastAsia="宋体" w:cs="宋体"/>
          <w:kern w:val="0"/>
          <w:sz w:val="21"/>
          <w:szCs w:val="21"/>
          <w:lang w:eastAsia="zh-CN"/>
        </w:rPr>
        <w:t>对本文件的有关修改意见，请反馈至湖北省生态环境厅</w:t>
      </w:r>
      <w:r>
        <w:rPr>
          <w:rFonts w:ascii="Times New Roman" w:hAnsi="Times New Roman" w:eastAsia="宋体" w:cs="Times New Roman"/>
          <w:kern w:val="0"/>
          <w:sz w:val="21"/>
          <w:szCs w:val="21"/>
          <w:lang w:eastAsia="zh-CN"/>
        </w:rPr>
        <w:t>，联系电话：027-87167182，邮箱：16955602@qq.com。</w:t>
      </w:r>
    </w:p>
    <w:p w14:paraId="42D5AA22">
      <w:pPr>
        <w:autoSpaceDE w:val="0"/>
        <w:autoSpaceDN w:val="0"/>
        <w:spacing w:before="640" w:after="560" w:line="460" w:lineRule="exact"/>
        <w:ind w:left="198"/>
        <w:jc w:val="center"/>
        <w:outlineLvl w:val="0"/>
        <w:rPr>
          <w:rFonts w:ascii="黑体" w:hAnsi="黑体" w:eastAsia="黑体" w:cs="黑体"/>
          <w:kern w:val="0"/>
          <w:sz w:val="32"/>
          <w:szCs w:val="22"/>
          <w:lang w:eastAsia="zh-CN"/>
        </w:rPr>
      </w:pPr>
      <w:bookmarkStart w:id="73" w:name="引____言"/>
      <w:bookmarkEnd w:id="73"/>
      <w:bookmarkStart w:id="74" w:name="_Toc169694639"/>
      <w:r>
        <w:rPr>
          <w:rFonts w:hint="eastAsia" w:ascii="黑体" w:hAnsi="黑体" w:eastAsia="黑体" w:cs="黑体"/>
          <w:kern w:val="0"/>
          <w:sz w:val="32"/>
          <w:szCs w:val="22"/>
          <w:lang w:eastAsia="zh-CN"/>
        </w:rPr>
        <w:t>引  言</w:t>
      </w:r>
      <w:bookmarkEnd w:id="74"/>
    </w:p>
    <w:p w14:paraId="5AEAD7E5">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为贯彻《中华人民共和国环境保护法》《中华人民共和国土壤污染防治法》，保护土壤生态环境，   保障人居环境安全，加强</w:t>
      </w:r>
      <w:r>
        <w:rPr>
          <w:rFonts w:hint="eastAsia" w:ascii="宋体" w:hAnsi="宋体" w:eastAsia="宋体" w:cs="宋体"/>
          <w:sz w:val="21"/>
          <w:szCs w:val="21"/>
          <w:lang w:val="en-US" w:eastAsia="zh-CN" w:bidi="ar-SA"/>
        </w:rPr>
        <w:t>湖北省</w:t>
      </w:r>
      <w:r>
        <w:rPr>
          <w:rFonts w:ascii="宋体" w:hAnsi="宋体" w:eastAsia="宋体" w:cs="宋体"/>
          <w:sz w:val="21"/>
          <w:szCs w:val="21"/>
          <w:lang w:val="en-US" w:eastAsia="zh-CN" w:bidi="ar-SA"/>
        </w:rPr>
        <w:t>建设用地土壤环境监督管理，规范</w:t>
      </w:r>
      <w:r>
        <w:rPr>
          <w:rFonts w:hint="eastAsia" w:ascii="宋体" w:hAnsi="宋体" w:eastAsia="宋体" w:cs="宋体"/>
          <w:sz w:val="21"/>
          <w:szCs w:val="21"/>
          <w:lang w:val="en-US" w:eastAsia="zh-CN" w:bidi="ar-SA"/>
        </w:rPr>
        <w:t>湖北省</w:t>
      </w:r>
      <w:r>
        <w:rPr>
          <w:rFonts w:ascii="宋体" w:hAnsi="宋体" w:eastAsia="宋体" w:cs="宋体"/>
          <w:sz w:val="21"/>
          <w:szCs w:val="21"/>
          <w:lang w:val="en-US" w:eastAsia="zh-CN" w:bidi="ar-SA"/>
        </w:rPr>
        <w:t>土壤污染状况调查工作，制定本文件。</w:t>
      </w:r>
    </w:p>
    <w:p w14:paraId="5D3C259A">
      <w:pPr>
        <w:widowControl w:val="0"/>
        <w:autoSpaceDE/>
        <w:autoSpaceDN/>
        <w:ind w:firstLine="420" w:firstLineChars="200"/>
        <w:jc w:val="both"/>
        <w:rPr>
          <w:rFonts w:ascii="Times New Roman" w:hAnsi="宋体" w:eastAsia="宋体" w:cs="宋体"/>
          <w:sz w:val="17"/>
          <w:szCs w:val="21"/>
          <w:lang w:val="en-US" w:eastAsia="zh-CN" w:bidi="ar-SA"/>
        </w:rPr>
      </w:pPr>
      <w:r>
        <w:rPr>
          <w:rFonts w:hint="eastAsia" w:ascii="宋体" w:hAnsi="宋体" w:eastAsia="宋体" w:cs="宋体"/>
          <w:sz w:val="21"/>
          <w:szCs w:val="21"/>
          <w:lang w:val="en-US" w:eastAsia="zh-CN" w:bidi="ar-SA"/>
        </w:rPr>
        <w:t>本文件是湖北省</w:t>
      </w:r>
      <w:r>
        <w:rPr>
          <w:rFonts w:ascii="宋体" w:hAnsi="宋体" w:eastAsia="宋体" w:cs="宋体"/>
          <w:sz w:val="21"/>
          <w:szCs w:val="21"/>
          <w:lang w:val="en-US" w:eastAsia="zh-CN" w:bidi="ar-SA"/>
        </w:rPr>
        <w:t>建设用地土壤污染防治技术工作的</w:t>
      </w:r>
      <w:r>
        <w:rPr>
          <w:rFonts w:hint="eastAsia" w:ascii="宋体" w:hAnsi="宋体" w:eastAsia="宋体" w:cs="宋体"/>
          <w:sz w:val="21"/>
          <w:szCs w:val="21"/>
          <w:lang w:val="en-US" w:eastAsia="zh-CN" w:bidi="ar-SA"/>
        </w:rPr>
        <w:t>技术支撑部分</w:t>
      </w:r>
      <w:r>
        <w:rPr>
          <w:rFonts w:ascii="宋体" w:hAnsi="宋体" w:eastAsia="宋体" w:cs="宋体"/>
          <w:sz w:val="21"/>
          <w:szCs w:val="21"/>
          <w:lang w:val="en-US" w:eastAsia="zh-CN" w:bidi="ar-SA"/>
        </w:rPr>
        <w:t>，规定了土壤污染防治相关重金属监测工作的质量保证和质量控制技术要求，从而保证土壤重金属监测数据的代表性、准确性和有效性。</w:t>
      </w:r>
    </w:p>
    <w:p w14:paraId="04967B7D">
      <w:pPr>
        <w:rPr>
          <w:rFonts w:ascii="Times New Roman"/>
          <w:sz w:val="17"/>
          <w:lang w:eastAsia="zh-CN"/>
        </w:rPr>
        <w:sectPr>
          <w:footerReference r:id="rId35" w:type="default"/>
          <w:footerReference r:id="rId36" w:type="even"/>
          <w:pgSz w:w="11910" w:h="16840"/>
          <w:pgMar w:top="567" w:right="1134" w:bottom="1134" w:left="1417" w:header="1417" w:footer="1134" w:gutter="0"/>
          <w:pgNumType w:fmt="upperRoman"/>
          <w:cols w:space="0" w:num="1"/>
        </w:sectPr>
      </w:pPr>
    </w:p>
    <w:p w14:paraId="27A7388A">
      <w:pPr>
        <w:autoSpaceDE w:val="0"/>
        <w:autoSpaceDN w:val="0"/>
        <w:spacing w:before="640" w:after="560" w:line="460" w:lineRule="exact"/>
        <w:ind w:left="198"/>
        <w:jc w:val="center"/>
        <w:rPr>
          <w:rFonts w:ascii="黑体" w:hAnsi="黑体" w:eastAsia="黑体" w:cs="黑体"/>
          <w:kern w:val="0"/>
          <w:sz w:val="32"/>
          <w:szCs w:val="22"/>
          <w:lang w:eastAsia="zh-CN"/>
        </w:rPr>
      </w:pPr>
      <w:bookmarkStart w:id="75" w:name="建设用地土壤污染防治_第3部分：土壤重金属监测质量保证与质量控制技术规范"/>
      <w:bookmarkEnd w:id="75"/>
      <w:r>
        <w:rPr>
          <w:rFonts w:hint="eastAsia" w:ascii="黑体" w:hAnsi="黑体" w:eastAsia="黑体" w:cs="黑体"/>
          <w:kern w:val="0"/>
          <w:sz w:val="32"/>
          <w:szCs w:val="22"/>
          <w:lang w:eastAsia="zh-CN"/>
        </w:rPr>
        <w:t>建设用地土壤重金属监测质量保证与质量控制技术规范</w:t>
      </w:r>
    </w:p>
    <w:p w14:paraId="7D85F2AA">
      <w:pPr>
        <w:keepNext w:val="0"/>
        <w:keepLines w:val="0"/>
        <w:pageBreakBefore w:val="0"/>
        <w:widowControl w:val="0"/>
        <w:numPr>
          <w:ilvl w:val="0"/>
          <w:numId w:val="34"/>
        </w:numPr>
        <w:tabs>
          <w:tab w:val="left" w:pos="832"/>
          <w:tab w:val="left" w:pos="833"/>
          <w:tab w:val="clear" w:pos="420"/>
        </w:tabs>
        <w:kinsoku/>
        <w:wordWrap/>
        <w:overflowPunct/>
        <w:topLinePunct w:val="0"/>
        <w:autoSpaceDE/>
        <w:autoSpaceDN/>
        <w:bidi w:val="0"/>
        <w:adjustRightInd/>
        <w:snapToGrid/>
        <w:spacing w:before="240" w:beforeLines="100" w:after="240" w:afterLines="100"/>
        <w:ind w:left="0" w:firstLine="0"/>
        <w:jc w:val="both"/>
        <w:textAlignment w:val="auto"/>
        <w:outlineLvl w:val="0"/>
        <w:rPr>
          <w:rFonts w:ascii="黑体" w:hAnsi="黑体" w:eastAsia="黑体" w:cs="黑体"/>
          <w:sz w:val="21"/>
          <w:szCs w:val="21"/>
          <w:lang w:val="en-US" w:eastAsia="en-US" w:bidi="ar-SA"/>
        </w:rPr>
      </w:pPr>
      <w:bookmarkStart w:id="76" w:name="_bookmark1"/>
      <w:bookmarkEnd w:id="76"/>
      <w:bookmarkStart w:id="77" w:name="1_范围"/>
      <w:bookmarkEnd w:id="77"/>
      <w:r>
        <w:rPr>
          <w:rFonts w:hint="eastAsia" w:ascii="黑体" w:hAnsi="黑体" w:eastAsia="黑体" w:cs="黑体"/>
          <w:sz w:val="21"/>
          <w:szCs w:val="21"/>
          <w:lang w:val="en-US" w:eastAsia="zh-CN" w:bidi="ar-SA"/>
        </w:rPr>
        <w:t xml:space="preserve"> </w:t>
      </w:r>
      <w:bookmarkStart w:id="78" w:name="_Toc169694640"/>
      <w:r>
        <w:rPr>
          <w:rFonts w:hint="eastAsia" w:ascii="黑体" w:hAnsi="黑体" w:eastAsia="黑体" w:cs="黑体"/>
          <w:sz w:val="21"/>
          <w:szCs w:val="21"/>
          <w:lang w:val="en-US" w:eastAsia="en-US" w:bidi="ar-SA"/>
        </w:rPr>
        <w:t>范围</w:t>
      </w:r>
      <w:bookmarkEnd w:id="78"/>
    </w:p>
    <w:p w14:paraId="2C4A1BCA">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本文件规定了建设用地土壤重金属监测中人员、仪器与设备、点位布设、样品采集、样品保存与流转、样品制备、实验室分析和报告编制全过程的质量保证与质量控制技术要求。</w:t>
      </w:r>
    </w:p>
    <w:p w14:paraId="155AA9A5">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本文件适用于建设用地土壤调查过程中所涉及的GB 36600“建设用地土壤污染风险筛选值和管制值”中土壤重金属的监测质量控制。其他土壤重金属项目的监测质量控制可参照本文件执行。</w:t>
      </w:r>
    </w:p>
    <w:p w14:paraId="7967F8D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本文件不适用于建设用地的放射性及致病性生物污染监测。</w:t>
      </w:r>
    </w:p>
    <w:p w14:paraId="6CD96074">
      <w:pPr>
        <w:keepNext w:val="0"/>
        <w:keepLines w:val="0"/>
        <w:pageBreakBefore w:val="0"/>
        <w:widowControl w:val="0"/>
        <w:numPr>
          <w:ilvl w:val="0"/>
          <w:numId w:val="34"/>
        </w:numPr>
        <w:tabs>
          <w:tab w:val="left" w:pos="832"/>
          <w:tab w:val="left" w:pos="833"/>
          <w:tab w:val="clear" w:pos="420"/>
        </w:tabs>
        <w:kinsoku/>
        <w:wordWrap/>
        <w:overflowPunct/>
        <w:topLinePunct w:val="0"/>
        <w:autoSpaceDE/>
        <w:autoSpaceDN/>
        <w:bidi w:val="0"/>
        <w:adjustRightInd/>
        <w:snapToGrid/>
        <w:spacing w:before="240" w:beforeLines="100" w:after="240" w:afterLines="100"/>
        <w:ind w:left="0" w:firstLine="0"/>
        <w:jc w:val="both"/>
        <w:textAlignment w:val="auto"/>
        <w:outlineLvl w:val="0"/>
        <w:rPr>
          <w:rFonts w:ascii="黑体" w:hAnsi="黑体" w:eastAsia="黑体" w:cs="黑体"/>
          <w:sz w:val="21"/>
          <w:szCs w:val="21"/>
          <w:lang w:val="en-US" w:eastAsia="en-US" w:bidi="ar-SA"/>
        </w:rPr>
      </w:pPr>
      <w:bookmarkStart w:id="79" w:name="2_规范性引用文件"/>
      <w:bookmarkEnd w:id="79"/>
      <w:r>
        <w:rPr>
          <w:rFonts w:hint="eastAsia" w:ascii="黑体" w:hAnsi="黑体" w:eastAsia="黑体" w:cs="黑体"/>
          <w:sz w:val="21"/>
          <w:szCs w:val="21"/>
          <w:lang w:val="en-US" w:eastAsia="zh-CN" w:bidi="ar-SA"/>
        </w:rPr>
        <w:t xml:space="preserve"> </w:t>
      </w:r>
      <w:bookmarkStart w:id="80" w:name="_Toc169694641"/>
      <w:r>
        <w:rPr>
          <w:rFonts w:hint="eastAsia" w:ascii="黑体" w:hAnsi="黑体" w:eastAsia="黑体" w:cs="黑体"/>
          <w:sz w:val="21"/>
          <w:szCs w:val="21"/>
          <w:lang w:val="en-US" w:eastAsia="en-US" w:bidi="ar-SA"/>
        </w:rPr>
        <w:t>规范性引用文件</w:t>
      </w:r>
      <w:bookmarkEnd w:id="80"/>
    </w:p>
    <w:p w14:paraId="2C1D8A31">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C23F165">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GB/T 8170</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数值修约规则与极限数值的表示和判定</w:t>
      </w:r>
    </w:p>
    <w:p w14:paraId="0C4B3BE1">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GB/T 17136</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土壤质量 总汞的测定 冷原子吸收分光光度法</w:t>
      </w:r>
    </w:p>
    <w:p w14:paraId="07C489D5">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GB/T 17139</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土壤质量 镍的测定 火焰原子吸收分光光度法</w:t>
      </w:r>
    </w:p>
    <w:p w14:paraId="151BB0AC">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GB/T 17141</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土壤质量 铅、镉的测定 石墨炉原子吸收分光光度法</w:t>
      </w:r>
    </w:p>
    <w:p w14:paraId="4036A37D">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GB/T 22105.1</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土壤质量 总汞、总砷、总铅的测定 原子荧光法 第1部分：土壤中总汞的测定</w:t>
      </w:r>
    </w:p>
    <w:p w14:paraId="7027333C">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GB/T 22105.2</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土壤质量 总汞、总砷、总铅的测定 原子荧光法 第2部分：土壤中总砷的测定</w:t>
      </w:r>
    </w:p>
    <w:p w14:paraId="65D18A80">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GB/T 32722</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土壤质量 土壤样品长期及短期保存指南</w:t>
      </w:r>
    </w:p>
    <w:p w14:paraId="618AB007">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GB 36600</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土壤环境质量 建设用地土壤污染风险管控标准（试行）</w:t>
      </w:r>
    </w:p>
    <w:p w14:paraId="4CB1655D">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25.1</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建设用地土壤污染状况调查技术导则</w:t>
      </w:r>
    </w:p>
    <w:p w14:paraId="325200AE">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25.2</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建设用地土壤污染风险管控和修复监测技术导则</w:t>
      </w:r>
    </w:p>
    <w:p w14:paraId="257BD43D">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25.5</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污染地块风险管控与土壤修复效果评估技术导则</w:t>
      </w:r>
    </w:p>
    <w:p w14:paraId="7AFA95D9">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HJ/T 166</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土壤环境监测技术规范</w:t>
      </w:r>
    </w:p>
    <w:p w14:paraId="208EB47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168</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环境监测 分析方法标准制修订技术导则</w:t>
      </w:r>
    </w:p>
    <w:p w14:paraId="00B59D69">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491</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铜、锌、铅、镍、铬的测定 火焰原子吸收分光光度法</w:t>
      </w:r>
    </w:p>
    <w:p w14:paraId="16452F06">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613</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土壤干物质和水分的测定重量法</w:t>
      </w:r>
    </w:p>
    <w:p w14:paraId="7A84A77A">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630</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环境监测质量管理技术导则</w:t>
      </w:r>
    </w:p>
    <w:p w14:paraId="534E4E57">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680</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汞、砷、硒、铋、锑的测定 微波消解/原子荧光法</w:t>
      </w:r>
    </w:p>
    <w:p w14:paraId="324EF02F">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737</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铍的测定 石墨炉原子吸收分光光度法</w:t>
      </w:r>
    </w:p>
    <w:p w14:paraId="6B4527A1">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780</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无机元素的测定 波长色散X射线荧光光谱法</w:t>
      </w:r>
    </w:p>
    <w:p w14:paraId="51F2EAAD">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HJ 803 </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12种金属元素的测定 王水提取-电感耦合等离子体质谱法</w:t>
      </w:r>
    </w:p>
    <w:p w14:paraId="68156E89">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HJ 832 </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土壤与沉积物 金属元素总量的消解 微波消解法</w:t>
      </w:r>
    </w:p>
    <w:p w14:paraId="27F5E702">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HJ 923 </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总汞的测定 催化热解-冷原子吸收分光光度法</w:t>
      </w:r>
    </w:p>
    <w:p w14:paraId="3FCF5EE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974</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11种元素的测定 碱熔-电感耦合等离子体发射光谱法</w:t>
      </w:r>
    </w:p>
    <w:p w14:paraId="5AC682CA">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1082</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六价铬的测定 碱溶液提取-火焰原子吸收分光光度法</w:t>
      </w:r>
    </w:p>
    <w:p w14:paraId="1D4D85BF">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1269</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甲基汞和乙基汞的测定吹扫捕集/气相色谱-冷原子荧光光谱法</w:t>
      </w:r>
    </w:p>
    <w:p w14:paraId="10B4E971">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HJ 1315</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土壤和沉积物 19种金属元素总量的测定 电感耦合等离子体质谱法</w:t>
      </w:r>
    </w:p>
    <w:p w14:paraId="69B617DC">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DB</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42/T XXX</w:t>
      </w:r>
      <w:r>
        <w:rPr>
          <w:rFonts w:hint="eastAsia" w:ascii="宋体" w:hAnsi="宋体" w:eastAsia="宋体" w:cs="宋体"/>
          <w:sz w:val="21"/>
          <w:szCs w:val="21"/>
          <w:lang w:val="en-US" w:eastAsia="zh-CN" w:bidi="ar-SA"/>
        </w:rPr>
        <w:tab/>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建设用地土壤污染防治 第1部分：建设用地土壤污染状况调查技术规范</w:t>
      </w:r>
    </w:p>
    <w:p w14:paraId="027093A1">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 xml:space="preserve">DZ/T 0279.2  </w:t>
      </w:r>
      <w:r>
        <w:rPr>
          <w:rFonts w:hint="eastAsia" w:ascii="宋体" w:hAnsi="宋体" w:eastAsia="宋体" w:cs="宋体"/>
          <w:sz w:val="21"/>
          <w:szCs w:val="21"/>
          <w:lang w:val="en-US" w:eastAsia="zh-CN" w:bidi="ar-SA"/>
        </w:rPr>
        <w:t>区域地球化学样品分析方法</w:t>
      </w:r>
      <w:r>
        <w:rPr>
          <w:rFonts w:ascii="宋体" w:hAnsi="宋体" w:eastAsia="宋体" w:cs="宋体"/>
          <w:sz w:val="21"/>
          <w:szCs w:val="21"/>
          <w:lang w:val="en-US" w:eastAsia="zh-CN" w:bidi="ar-SA"/>
        </w:rPr>
        <w:t xml:space="preserve"> 第2部分：氧化钙等27个成分量测定 电感耦合等离子体原子发射光谱法</w:t>
      </w:r>
    </w:p>
    <w:p w14:paraId="626299F2">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 xml:space="preserve">DZ/T 0279.3  </w:t>
      </w:r>
      <w:r>
        <w:rPr>
          <w:rFonts w:hint="eastAsia" w:ascii="宋体" w:hAnsi="宋体" w:eastAsia="宋体" w:cs="宋体"/>
          <w:sz w:val="21"/>
          <w:szCs w:val="21"/>
          <w:lang w:val="en-US" w:eastAsia="zh-CN" w:bidi="ar-SA"/>
        </w:rPr>
        <w:t>区域地球化学样品分析方法</w:t>
      </w:r>
      <w:r>
        <w:rPr>
          <w:rFonts w:ascii="宋体" w:hAnsi="宋体" w:eastAsia="宋体" w:cs="宋体"/>
          <w:sz w:val="21"/>
          <w:szCs w:val="21"/>
          <w:lang w:val="en-US" w:eastAsia="zh-CN" w:bidi="ar-SA"/>
        </w:rPr>
        <w:t xml:space="preserve"> 第3部分：钡、铍、铋等15个元素量测定 电感耦合等离子体质谱法</w:t>
      </w:r>
    </w:p>
    <w:p w14:paraId="5DC33CD0">
      <w:pPr>
        <w:keepNext w:val="0"/>
        <w:keepLines w:val="0"/>
        <w:pageBreakBefore w:val="0"/>
        <w:widowControl w:val="0"/>
        <w:numPr>
          <w:ilvl w:val="0"/>
          <w:numId w:val="34"/>
        </w:numPr>
        <w:tabs>
          <w:tab w:val="left" w:pos="832"/>
          <w:tab w:val="left" w:pos="833"/>
          <w:tab w:val="clear" w:pos="420"/>
        </w:tabs>
        <w:kinsoku/>
        <w:wordWrap/>
        <w:overflowPunct/>
        <w:topLinePunct w:val="0"/>
        <w:autoSpaceDE/>
        <w:autoSpaceDN/>
        <w:bidi w:val="0"/>
        <w:adjustRightInd/>
        <w:snapToGrid/>
        <w:spacing w:before="240" w:beforeLines="100" w:after="240" w:afterLines="100"/>
        <w:ind w:left="0" w:firstLine="0"/>
        <w:jc w:val="both"/>
        <w:textAlignment w:val="auto"/>
        <w:outlineLvl w:val="0"/>
        <w:rPr>
          <w:rFonts w:ascii="黑体" w:hAnsi="黑体" w:eastAsia="黑体" w:cs="黑体"/>
          <w:sz w:val="21"/>
          <w:szCs w:val="21"/>
          <w:lang w:val="en-US" w:eastAsia="en-US" w:bidi="ar-SA"/>
        </w:rPr>
      </w:pPr>
      <w:bookmarkStart w:id="81" w:name="3_术语和定义"/>
      <w:bookmarkEnd w:id="81"/>
      <w:bookmarkStart w:id="82" w:name="_Toc169694642"/>
      <w:r>
        <w:rPr>
          <w:rFonts w:hint="eastAsia" w:ascii="黑体" w:hAnsi="黑体" w:eastAsia="黑体" w:cs="黑体"/>
          <w:sz w:val="21"/>
          <w:szCs w:val="21"/>
          <w:lang w:val="en-US" w:eastAsia="en-US" w:bidi="ar-SA"/>
        </w:rPr>
        <w:t>术语和定义</w:t>
      </w:r>
      <w:bookmarkEnd w:id="82"/>
    </w:p>
    <w:p w14:paraId="1A94D56E">
      <w:pPr>
        <w:widowControl w:val="0"/>
        <w:autoSpaceDE/>
        <w:autoSpaceDN/>
        <w:ind w:firstLine="420" w:firstLineChars="200"/>
        <w:jc w:val="both"/>
        <w:rPr>
          <w:rFonts w:ascii="宋体" w:hAnsi="宋体" w:eastAsia="宋体" w:cs="宋体"/>
          <w:sz w:val="21"/>
          <w:szCs w:val="21"/>
          <w:lang w:val="en-US" w:eastAsia="zh-CN" w:bidi="ar-SA"/>
        </w:rPr>
      </w:pPr>
      <w:bookmarkStart w:id="83" w:name="基体加标__matrix_spike"/>
      <w:bookmarkEnd w:id="83"/>
      <w:r>
        <w:rPr>
          <w:rFonts w:hint="eastAsia" w:ascii="宋体" w:hAnsi="宋体" w:eastAsia="宋体" w:cs="宋体"/>
          <w:sz w:val="21"/>
          <w:szCs w:val="21"/>
          <w:lang w:val="en-US" w:eastAsia="zh-CN" w:bidi="ar-SA"/>
        </w:rPr>
        <w:t>基体加标</w:t>
      </w:r>
      <w:r>
        <w:rPr>
          <w:rFonts w:hint="eastAsia" w:ascii="宋体" w:hAnsi="宋体" w:eastAsia="宋体" w:cs="宋体"/>
          <w:sz w:val="21"/>
          <w:szCs w:val="21"/>
          <w:lang w:val="en-US" w:eastAsia="zh-CN" w:bidi="ar-SA"/>
        </w:rPr>
        <w:tab/>
      </w:r>
      <w:r>
        <w:rPr>
          <w:rFonts w:hint="eastAsia" w:ascii="黑体" w:hAnsi="黑体" w:eastAsia="黑体" w:cs="宋体"/>
          <w:bCs/>
          <w:sz w:val="21"/>
          <w:szCs w:val="21"/>
          <w:lang w:val="en-US" w:eastAsia="zh-CN" w:bidi="ar-SA"/>
        </w:rPr>
        <w:t>matrix spike</w:t>
      </w:r>
    </w:p>
    <w:p w14:paraId="4605C468">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在样品中添加了已知量的待测目标物，用于评价目标物的回收率和样品的基体效应。</w:t>
      </w:r>
    </w:p>
    <w:p w14:paraId="057E7AB2">
      <w:pPr>
        <w:widowControl w:val="0"/>
        <w:autoSpaceDE/>
        <w:autoSpaceDN/>
        <w:ind w:firstLine="420" w:firstLineChars="200"/>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[来源：HJ 605-2011，3.3]</w:t>
      </w:r>
    </w:p>
    <w:p w14:paraId="5933D9C3">
      <w:pPr>
        <w:keepNext w:val="0"/>
        <w:keepLines w:val="0"/>
        <w:pageBreakBefore w:val="0"/>
        <w:widowControl w:val="0"/>
        <w:numPr>
          <w:ilvl w:val="0"/>
          <w:numId w:val="34"/>
        </w:numPr>
        <w:tabs>
          <w:tab w:val="left" w:pos="832"/>
          <w:tab w:val="left" w:pos="833"/>
          <w:tab w:val="clear" w:pos="420"/>
        </w:tabs>
        <w:kinsoku/>
        <w:wordWrap/>
        <w:overflowPunct/>
        <w:topLinePunct w:val="0"/>
        <w:autoSpaceDE/>
        <w:autoSpaceDN/>
        <w:bidi w:val="0"/>
        <w:adjustRightInd/>
        <w:snapToGrid/>
        <w:spacing w:before="240" w:beforeLines="100" w:after="240" w:afterLines="100"/>
        <w:ind w:left="0" w:firstLine="0"/>
        <w:jc w:val="both"/>
        <w:textAlignment w:val="auto"/>
        <w:outlineLvl w:val="0"/>
        <w:rPr>
          <w:rFonts w:ascii="黑体" w:hAnsi="黑体" w:eastAsia="黑体" w:cs="黑体"/>
          <w:sz w:val="21"/>
          <w:szCs w:val="21"/>
          <w:lang w:val="en-US" w:eastAsia="en-US" w:bidi="ar-SA"/>
        </w:rPr>
      </w:pPr>
      <w:bookmarkStart w:id="84" w:name="4_人员"/>
      <w:bookmarkEnd w:id="84"/>
      <w:bookmarkStart w:id="85" w:name="_Toc169694643"/>
      <w:r>
        <w:rPr>
          <w:rFonts w:hint="eastAsia" w:ascii="黑体" w:hAnsi="黑体" w:eastAsia="黑体" w:cs="黑体"/>
          <w:sz w:val="21"/>
          <w:szCs w:val="21"/>
          <w:lang w:val="en-US" w:eastAsia="en-US" w:bidi="ar-SA"/>
        </w:rPr>
        <w:t>人员</w:t>
      </w:r>
      <w:bookmarkEnd w:id="85"/>
    </w:p>
    <w:p w14:paraId="7B1FA248">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86" w:name="4.1_现场监测人员"/>
      <w:bookmarkEnd w:id="86"/>
      <w:bookmarkStart w:id="87" w:name="_Toc2845"/>
      <w:bookmarkStart w:id="88" w:name="_Toc169694644"/>
      <w:r>
        <w:rPr>
          <w:rFonts w:hint="eastAsia" w:ascii="黑体" w:hAnsi="黑体" w:eastAsia="黑体" w:cs="黑体"/>
          <w:sz w:val="21"/>
          <w:szCs w:val="21"/>
          <w:lang w:val="en-US" w:eastAsia="zh-CN" w:bidi="ar-SA"/>
        </w:rPr>
        <w:t>现场监测人员</w:t>
      </w:r>
      <w:bookmarkEnd w:id="87"/>
      <w:bookmarkEnd w:id="88"/>
    </w:p>
    <w:p w14:paraId="24BE3476">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现场监测人员应经培训并通过能力确认，具有环境、土壤等相关专业知识，熟悉采样和现场监测流程，掌握土壤采样、现场监测、样品保存与流转的技术要求和相关设备的操作方法，了解水文地质钻探知识。</w:t>
      </w:r>
    </w:p>
    <w:p w14:paraId="41EA1C8A">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89" w:name="4.2_实验室分析人员、校核人员"/>
      <w:bookmarkEnd w:id="89"/>
      <w:bookmarkStart w:id="90" w:name="_Toc27576"/>
      <w:bookmarkStart w:id="91" w:name="_Toc169694645"/>
      <w:r>
        <w:rPr>
          <w:rFonts w:hint="eastAsia" w:ascii="黑体" w:hAnsi="黑体" w:eastAsia="黑体" w:cs="黑体"/>
          <w:sz w:val="21"/>
          <w:szCs w:val="21"/>
          <w:lang w:val="en-US" w:eastAsia="zh-CN" w:bidi="ar-SA"/>
        </w:rPr>
        <w:t>实验室分析人员、校核人员</w:t>
      </w:r>
      <w:bookmarkEnd w:id="90"/>
      <w:bookmarkEnd w:id="91"/>
    </w:p>
    <w:p w14:paraId="46644963">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实验室分析人员、校核人员应经培训并通过能力确认，掌握本专业环境检测技术，具备样品制备、流转、保存、分析、质控等相应环节的技术能力。</w:t>
      </w:r>
    </w:p>
    <w:p w14:paraId="53870902">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92" w:name="4.3_报告审核人员"/>
      <w:bookmarkEnd w:id="92"/>
      <w:bookmarkStart w:id="93" w:name="_Toc169694646"/>
      <w:bookmarkStart w:id="94" w:name="_Toc3010"/>
      <w:r>
        <w:rPr>
          <w:rFonts w:hint="eastAsia" w:ascii="黑体" w:hAnsi="黑体" w:eastAsia="黑体" w:cs="黑体"/>
          <w:sz w:val="21"/>
          <w:szCs w:val="21"/>
          <w:lang w:val="en-US" w:eastAsia="zh-CN" w:bidi="ar-SA"/>
        </w:rPr>
        <w:t>报告编制、审核人员</w:t>
      </w:r>
      <w:bookmarkEnd w:id="93"/>
      <w:bookmarkEnd w:id="94"/>
    </w:p>
    <w:p w14:paraId="6C83015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报告编制、审核人员应充分了解相关环境质量标准和污染排放控制标准的适用范围，并具备对监测结果进行符合性判定的能力，熟悉报告编制、报告审核要求等环节，且具有从事生态环境监测相关工作2年以上经历。</w:t>
      </w:r>
    </w:p>
    <w:p w14:paraId="449584F7">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95" w:name="4.4_报告签发人员"/>
      <w:bookmarkEnd w:id="95"/>
      <w:bookmarkStart w:id="96" w:name="_Toc169694647"/>
      <w:bookmarkStart w:id="97" w:name="_Toc13316"/>
      <w:r>
        <w:rPr>
          <w:rFonts w:hint="eastAsia" w:ascii="黑体" w:hAnsi="黑体" w:eastAsia="黑体" w:cs="黑体"/>
          <w:sz w:val="21"/>
          <w:szCs w:val="21"/>
          <w:lang w:val="en-US" w:eastAsia="zh-CN" w:bidi="ar-SA"/>
        </w:rPr>
        <w:t>报告签发人员</w:t>
      </w:r>
      <w:bookmarkEnd w:id="96"/>
      <w:bookmarkEnd w:id="97"/>
    </w:p>
    <w:p w14:paraId="7CE0B98B">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报告签发人员应通过检验检测机构资质认定评审考核，具备报告审核能力，且掌握较丰富的建设用地土壤监测相关专业知识，具有从事生态环境监测相关工作3年以上经历，由检验检测机构对其签发报告或证书的职责和范围进行正式授权。</w:t>
      </w:r>
    </w:p>
    <w:p w14:paraId="0091A69A">
      <w:pPr>
        <w:keepNext w:val="0"/>
        <w:keepLines w:val="0"/>
        <w:pageBreakBefore w:val="0"/>
        <w:widowControl w:val="0"/>
        <w:numPr>
          <w:ilvl w:val="0"/>
          <w:numId w:val="34"/>
        </w:numPr>
        <w:tabs>
          <w:tab w:val="left" w:pos="832"/>
          <w:tab w:val="left" w:pos="833"/>
          <w:tab w:val="clear" w:pos="420"/>
        </w:tabs>
        <w:kinsoku/>
        <w:wordWrap/>
        <w:overflowPunct/>
        <w:topLinePunct w:val="0"/>
        <w:autoSpaceDE/>
        <w:autoSpaceDN/>
        <w:bidi w:val="0"/>
        <w:adjustRightInd/>
        <w:snapToGrid/>
        <w:spacing w:before="240" w:beforeLines="100" w:after="240" w:afterLines="100"/>
        <w:ind w:left="0" w:firstLine="0"/>
        <w:jc w:val="both"/>
        <w:textAlignment w:val="auto"/>
        <w:outlineLvl w:val="0"/>
        <w:rPr>
          <w:rFonts w:ascii="黑体" w:hAnsi="黑体" w:eastAsia="黑体" w:cs="黑体"/>
          <w:sz w:val="21"/>
          <w:szCs w:val="21"/>
          <w:lang w:val="en-US" w:eastAsia="en-US" w:bidi="ar-SA"/>
        </w:rPr>
      </w:pPr>
      <w:bookmarkStart w:id="98" w:name="5_仪器与设备"/>
      <w:bookmarkEnd w:id="98"/>
      <w:bookmarkStart w:id="99" w:name="_Toc169694648"/>
      <w:r>
        <w:rPr>
          <w:rFonts w:hint="eastAsia" w:ascii="黑体" w:hAnsi="黑体" w:eastAsia="黑体" w:cs="黑体"/>
          <w:sz w:val="21"/>
          <w:szCs w:val="21"/>
          <w:lang w:val="en-US" w:eastAsia="en-US" w:bidi="ar-SA"/>
        </w:rPr>
        <w:t>仪器与设备</w:t>
      </w:r>
      <w:bookmarkEnd w:id="99"/>
    </w:p>
    <w:p w14:paraId="2E48D96C">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00" w:name="5.1_采样设备"/>
      <w:bookmarkEnd w:id="100"/>
      <w:bookmarkStart w:id="101" w:name="_Toc169694649"/>
      <w:bookmarkStart w:id="102" w:name="_Toc12713"/>
      <w:r>
        <w:rPr>
          <w:rFonts w:hint="eastAsia" w:ascii="黑体" w:hAnsi="黑体" w:eastAsia="黑体" w:cs="黑体"/>
          <w:sz w:val="21"/>
          <w:szCs w:val="21"/>
          <w:lang w:val="en-US" w:eastAsia="zh-CN" w:bidi="ar-SA"/>
        </w:rPr>
        <w:t>采样设备</w:t>
      </w:r>
      <w:bookmarkEnd w:id="101"/>
      <w:bookmarkEnd w:id="102"/>
    </w:p>
    <w:p w14:paraId="51A867D1">
      <w:pPr>
        <w:keepNext w:val="0"/>
        <w:keepLines w:val="0"/>
        <w:pageBreakBefore w:val="0"/>
        <w:widowControl/>
        <w:numPr>
          <w:ilvl w:val="2"/>
          <w:numId w:val="34"/>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Times New Roman" w:eastAsia="黑体" w:cs="Times New Roman"/>
          <w:sz w:val="21"/>
          <w:szCs w:val="21"/>
          <w:lang w:val="en-US" w:eastAsia="zh-CN" w:bidi="ar-SA"/>
        </w:rPr>
      </w:pPr>
      <w:bookmarkStart w:id="103" w:name="5.1.1_钻探设备"/>
      <w:bookmarkEnd w:id="103"/>
      <w:r>
        <w:rPr>
          <w:rFonts w:hint="eastAsia" w:ascii="黑体" w:hAnsi="Times New Roman" w:eastAsia="黑体" w:cs="Times New Roman"/>
          <w:sz w:val="21"/>
          <w:szCs w:val="21"/>
          <w:lang w:val="en-US" w:eastAsia="zh-CN" w:bidi="ar-SA"/>
        </w:rPr>
        <w:t>钻探设备</w:t>
      </w:r>
    </w:p>
    <w:p w14:paraId="2242C833">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结合地块所在地区的地层条件、钻探的作业条件、采样深度选择经济有效的钻探设备，一般采用冲击钻探法或直压式钻探法等钻孔方式。</w:t>
      </w:r>
    </w:p>
    <w:p w14:paraId="6A989A80">
      <w:pPr>
        <w:keepNext w:val="0"/>
        <w:keepLines w:val="0"/>
        <w:pageBreakBefore w:val="0"/>
        <w:widowControl/>
        <w:numPr>
          <w:ilvl w:val="2"/>
          <w:numId w:val="34"/>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Times New Roman" w:eastAsia="黑体" w:cs="Times New Roman"/>
          <w:sz w:val="21"/>
          <w:szCs w:val="21"/>
          <w:lang w:val="en-US" w:eastAsia="zh-CN" w:bidi="ar-SA"/>
        </w:rPr>
      </w:pPr>
      <w:bookmarkStart w:id="104" w:name="5.1.2_采样工具"/>
      <w:bookmarkEnd w:id="104"/>
      <w:r>
        <w:rPr>
          <w:rFonts w:hint="eastAsia" w:ascii="黑体" w:hAnsi="Times New Roman" w:eastAsia="黑体" w:cs="Times New Roman"/>
          <w:sz w:val="21"/>
          <w:szCs w:val="21"/>
          <w:lang w:val="en-US" w:eastAsia="zh-CN" w:bidi="ar-SA"/>
        </w:rPr>
        <w:t>采样工具</w:t>
      </w:r>
    </w:p>
    <w:p w14:paraId="78FC2F66">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采样工具不宜使用金属材质，宜使用塑料铲或木（竹）质铲、塑料托盘或木质托盘等，如必须使用金属工具时，取样时应用非金属工具清除接触面土壤。</w:t>
      </w:r>
    </w:p>
    <w:p w14:paraId="1207DA90">
      <w:pPr>
        <w:keepNext w:val="0"/>
        <w:keepLines w:val="0"/>
        <w:pageBreakBefore w:val="0"/>
        <w:widowControl/>
        <w:numPr>
          <w:ilvl w:val="2"/>
          <w:numId w:val="34"/>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Times New Roman" w:eastAsia="黑体" w:cs="Times New Roman"/>
          <w:sz w:val="21"/>
          <w:szCs w:val="21"/>
          <w:lang w:val="en-US" w:eastAsia="zh-CN" w:bidi="ar-SA"/>
        </w:rPr>
      </w:pPr>
      <w:bookmarkStart w:id="105" w:name="5.1.3_盛装容器"/>
      <w:bookmarkEnd w:id="105"/>
      <w:r>
        <w:rPr>
          <w:rFonts w:hint="eastAsia" w:ascii="黑体" w:hAnsi="Times New Roman" w:eastAsia="黑体" w:cs="Times New Roman"/>
          <w:sz w:val="21"/>
          <w:szCs w:val="21"/>
          <w:lang w:val="en-US" w:eastAsia="zh-CN" w:bidi="ar-SA"/>
        </w:rPr>
        <w:t>盛装容器</w:t>
      </w:r>
    </w:p>
    <w:p w14:paraId="282B8502">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不得引入待测目标物，宜使用聚乙烯自封袋、广口玻璃瓶等。盛装容器在使用前应经抽检合格，待测目标物不得检出。</w:t>
      </w:r>
    </w:p>
    <w:p w14:paraId="25DDBCC0">
      <w:pPr>
        <w:keepNext w:val="0"/>
        <w:keepLines w:val="0"/>
        <w:pageBreakBefore w:val="0"/>
        <w:widowControl/>
        <w:numPr>
          <w:ilvl w:val="2"/>
          <w:numId w:val="34"/>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Times New Roman" w:eastAsia="黑体" w:cs="Times New Roman"/>
          <w:sz w:val="21"/>
          <w:szCs w:val="21"/>
          <w:lang w:val="en-US" w:eastAsia="zh-CN" w:bidi="ar-SA"/>
        </w:rPr>
      </w:pPr>
      <w:bookmarkStart w:id="106" w:name="5.1.4_便携式冷藏箱"/>
      <w:bookmarkEnd w:id="106"/>
      <w:r>
        <w:rPr>
          <w:rFonts w:hint="eastAsia" w:ascii="黑体" w:hAnsi="Times New Roman" w:eastAsia="黑体" w:cs="Times New Roman"/>
          <w:sz w:val="21"/>
          <w:szCs w:val="21"/>
          <w:lang w:val="en-US" w:eastAsia="zh-CN" w:bidi="ar-SA"/>
        </w:rPr>
        <w:t>样品储存箱</w:t>
      </w:r>
    </w:p>
    <w:p w14:paraId="22FA9BB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容积应满足样品保存要求，内置冰冻蓝冰，保存温度应低于环境温度。</w:t>
      </w:r>
    </w:p>
    <w:p w14:paraId="5AA29E76">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07" w:name="5.2_现场快速检测设备"/>
      <w:bookmarkEnd w:id="107"/>
      <w:bookmarkStart w:id="108" w:name="_Toc31378"/>
      <w:bookmarkStart w:id="109" w:name="_Toc169694650"/>
      <w:r>
        <w:rPr>
          <w:rFonts w:hint="eastAsia" w:ascii="黑体" w:hAnsi="黑体" w:eastAsia="黑体" w:cs="黑体"/>
          <w:sz w:val="21"/>
          <w:szCs w:val="21"/>
          <w:lang w:val="en-US" w:eastAsia="zh-CN" w:bidi="ar-SA"/>
        </w:rPr>
        <w:t>现场快速检测设备</w:t>
      </w:r>
      <w:bookmarkEnd w:id="108"/>
      <w:bookmarkEnd w:id="109"/>
    </w:p>
    <w:p w14:paraId="2E3E918B">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根据土壤采样现场监测需要，可使用便携式X射线荧光光谱仪（XRF）等现场测定设备进行现场快速测定。使用前检查设备运行状况，进行校准并记录校正情况，现场校准可采用有证标准物质，测量结果需满足附录A.3相关要求。土壤样品现场快速检测结果应及时做好记录。</w:t>
      </w:r>
    </w:p>
    <w:p w14:paraId="43699E97">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采用X射线荧光光谱仪（XRF）现场测定土壤中重金属时，要先在采集容器内将全部样品搅拌、混合，去除树枝、根茎、昆虫、沥青、岩石等后将样品彻底研磨，直至能通过50 目（275 μm）或更小孔径，将足够量样品装入样品池，盖上X射线薄膜进行仪器测定。便携式X射线荧光光谱仪（XRF）应定期校准并在使用前检查其性能及状态。根据地块污染情况和仪器灵敏度水平，设置 XRF 现场快速检测仪的最低检测限和报警限，最低检测限和报警限以能识别污染源为宜，XRF现场快速检测仪应满足现场质量控制要求，具体精密度和正确度要求详见附录A.3。</w:t>
      </w:r>
    </w:p>
    <w:p w14:paraId="7CCB546F">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10" w:name="5.3_实验室检测设备"/>
      <w:bookmarkEnd w:id="110"/>
      <w:bookmarkStart w:id="111" w:name="_Toc169694651"/>
      <w:bookmarkStart w:id="112" w:name="_Toc27110"/>
      <w:r>
        <w:rPr>
          <w:rFonts w:hint="eastAsia" w:ascii="黑体" w:hAnsi="黑体" w:eastAsia="黑体" w:cs="黑体"/>
          <w:sz w:val="21"/>
          <w:szCs w:val="21"/>
          <w:lang w:val="en-US" w:eastAsia="zh-CN" w:bidi="ar-SA"/>
        </w:rPr>
        <w:t>实验室检测设备</w:t>
      </w:r>
      <w:bookmarkEnd w:id="111"/>
      <w:bookmarkEnd w:id="112"/>
    </w:p>
    <w:p w14:paraId="325B9A91">
      <w:pPr>
        <w:keepNext w:val="0"/>
        <w:keepLines w:val="0"/>
        <w:pageBreakBefore w:val="0"/>
        <w:widowControl/>
        <w:numPr>
          <w:ilvl w:val="2"/>
          <w:numId w:val="34"/>
        </w:numPr>
        <w:kinsoku/>
        <w:wordWrap/>
        <w:overflowPunct/>
        <w:topLinePunct w:val="0"/>
        <w:autoSpaceDE/>
        <w:autoSpaceDN/>
        <w:bidi w:val="0"/>
        <w:adjustRightInd/>
        <w:snapToGrid/>
        <w:spacing w:before="120" w:beforeLines="50" w:after="120" w:afterLines="50"/>
        <w:ind w:left="0" w:firstLine="0"/>
        <w:textAlignment w:val="auto"/>
        <w:outlineLvl w:val="4"/>
        <w:rPr>
          <w:rFonts w:ascii="宋体" w:hAnsi="宋体" w:eastAsia="宋体" w:cs="宋体"/>
          <w:sz w:val="21"/>
          <w:szCs w:val="21"/>
          <w:lang w:val="en-US" w:eastAsia="zh-CN" w:bidi="ar-SA"/>
        </w:rPr>
      </w:pPr>
      <w:bookmarkStart w:id="113" w:name="5.3.1_仪器与设备的检定和校准"/>
      <w:bookmarkEnd w:id="113"/>
      <w:r>
        <w:rPr>
          <w:rFonts w:hint="eastAsia" w:ascii="黑体" w:hAnsi="Times New Roman" w:eastAsia="黑体" w:cs="Times New Roman"/>
          <w:sz w:val="21"/>
          <w:szCs w:val="21"/>
          <w:lang w:val="en-US" w:eastAsia="zh-CN" w:bidi="ar-SA"/>
        </w:rPr>
        <w:t>仪器与设备的检定和校准</w:t>
      </w:r>
    </w:p>
    <w:p w14:paraId="585AB378">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按GB 36600所规定使用的分析方法选用适用的仪器设备。用于检测的仪器设备需经过检定或校准， 确保其在有效期内使用。关键辅助仪器设备且不能进行检定或校准的，需根据实际使用情况定期开展功能核查，确保使用正常。</w:t>
      </w:r>
    </w:p>
    <w:p w14:paraId="6B52B15F">
      <w:pPr>
        <w:keepNext w:val="0"/>
        <w:keepLines w:val="0"/>
        <w:pageBreakBefore w:val="0"/>
        <w:widowControl/>
        <w:numPr>
          <w:ilvl w:val="2"/>
          <w:numId w:val="34"/>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Times New Roman" w:eastAsia="黑体" w:cs="Times New Roman"/>
          <w:sz w:val="21"/>
          <w:szCs w:val="21"/>
          <w:lang w:val="en-US" w:eastAsia="zh-CN" w:bidi="ar-SA"/>
        </w:rPr>
      </w:pPr>
      <w:bookmarkStart w:id="114" w:name="5.3.2_仪器与设备的运行和维护"/>
      <w:bookmarkEnd w:id="114"/>
      <w:r>
        <w:rPr>
          <w:rFonts w:hint="eastAsia" w:ascii="黑体" w:hAnsi="Times New Roman" w:eastAsia="黑体" w:cs="Times New Roman"/>
          <w:sz w:val="21"/>
          <w:szCs w:val="21"/>
          <w:lang w:val="en-US" w:eastAsia="zh-CN" w:bidi="ar-SA"/>
        </w:rPr>
        <w:t>仪器与设备的运行和维护</w:t>
      </w:r>
    </w:p>
    <w:p w14:paraId="1ADCAB6F">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应制定仪器与设备管理程序和操作规程，定期维护保养，做好仪器与设备使用和维护记录，保证仪器与设备处于完好状态。</w:t>
      </w:r>
    </w:p>
    <w:p w14:paraId="3FBC3EBB">
      <w:pPr>
        <w:keepNext w:val="0"/>
        <w:keepLines w:val="0"/>
        <w:pageBreakBefore w:val="0"/>
        <w:widowControl/>
        <w:numPr>
          <w:ilvl w:val="2"/>
          <w:numId w:val="34"/>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Times New Roman" w:eastAsia="黑体" w:cs="Times New Roman"/>
          <w:sz w:val="21"/>
          <w:szCs w:val="21"/>
          <w:lang w:val="en-US" w:eastAsia="zh-CN" w:bidi="ar-SA"/>
        </w:rPr>
      </w:pPr>
      <w:bookmarkStart w:id="115" w:name="5.3.3_质控检查"/>
      <w:bookmarkEnd w:id="115"/>
      <w:r>
        <w:rPr>
          <w:rFonts w:hint="eastAsia" w:ascii="黑体" w:hAnsi="Times New Roman" w:eastAsia="黑体" w:cs="Times New Roman"/>
          <w:sz w:val="21"/>
          <w:szCs w:val="21"/>
          <w:lang w:val="en-US" w:eastAsia="zh-CN" w:bidi="ar-SA"/>
        </w:rPr>
        <w:t>质控检查</w:t>
      </w:r>
    </w:p>
    <w:p w14:paraId="6E28E198">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每年应制定仪器与设备年度核查计划，并按计划执行。</w:t>
      </w:r>
    </w:p>
    <w:p w14:paraId="738D3994">
      <w:pPr>
        <w:keepNext w:val="0"/>
        <w:keepLines w:val="0"/>
        <w:pageBreakBefore w:val="0"/>
        <w:widowControl w:val="0"/>
        <w:numPr>
          <w:ilvl w:val="0"/>
          <w:numId w:val="34"/>
        </w:numPr>
        <w:tabs>
          <w:tab w:val="left" w:pos="832"/>
          <w:tab w:val="left" w:pos="833"/>
          <w:tab w:val="clear" w:pos="420"/>
        </w:tabs>
        <w:kinsoku/>
        <w:wordWrap/>
        <w:overflowPunct/>
        <w:topLinePunct w:val="0"/>
        <w:autoSpaceDE/>
        <w:autoSpaceDN/>
        <w:bidi w:val="0"/>
        <w:adjustRightInd/>
        <w:snapToGrid/>
        <w:spacing w:before="240" w:beforeLines="100" w:after="240" w:afterLines="100"/>
        <w:ind w:left="0" w:firstLine="0"/>
        <w:jc w:val="both"/>
        <w:textAlignment w:val="auto"/>
        <w:outlineLvl w:val="0"/>
        <w:rPr>
          <w:rFonts w:ascii="黑体" w:hAnsi="黑体" w:eastAsia="黑体" w:cs="黑体"/>
          <w:sz w:val="21"/>
          <w:szCs w:val="21"/>
          <w:lang w:val="en-US" w:eastAsia="en-US" w:bidi="ar-SA"/>
        </w:rPr>
      </w:pPr>
      <w:bookmarkStart w:id="116" w:name="6_样品采集"/>
      <w:bookmarkEnd w:id="116"/>
      <w:r>
        <w:rPr>
          <w:rFonts w:hint="eastAsia" w:ascii="黑体" w:hAnsi="黑体" w:eastAsia="黑体" w:cs="黑体"/>
          <w:sz w:val="21"/>
          <w:szCs w:val="21"/>
          <w:lang w:val="en-US" w:eastAsia="zh-CN" w:bidi="ar-SA"/>
        </w:rPr>
        <w:t xml:space="preserve"> </w:t>
      </w:r>
      <w:bookmarkStart w:id="117" w:name="_Toc169694652"/>
      <w:r>
        <w:rPr>
          <w:rFonts w:hint="eastAsia" w:ascii="黑体" w:hAnsi="黑体" w:eastAsia="黑体" w:cs="黑体"/>
          <w:sz w:val="21"/>
          <w:szCs w:val="21"/>
          <w:lang w:val="en-US" w:eastAsia="en-US" w:bidi="ar-SA"/>
        </w:rPr>
        <w:t>样品采集</w:t>
      </w:r>
      <w:bookmarkEnd w:id="117"/>
    </w:p>
    <w:p w14:paraId="6704E895">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18" w:name="6.1_点位布设"/>
      <w:bookmarkEnd w:id="118"/>
      <w:bookmarkStart w:id="119" w:name="_Toc169694653"/>
      <w:bookmarkStart w:id="120" w:name="_Toc29510"/>
      <w:r>
        <w:rPr>
          <w:rFonts w:hint="eastAsia" w:ascii="黑体" w:hAnsi="黑体" w:eastAsia="黑体" w:cs="黑体"/>
          <w:sz w:val="21"/>
          <w:szCs w:val="21"/>
          <w:lang w:val="en-US" w:eastAsia="zh-CN" w:bidi="ar-SA"/>
        </w:rPr>
        <w:t>点位布设</w:t>
      </w:r>
      <w:bookmarkEnd w:id="119"/>
      <w:bookmarkEnd w:id="120"/>
    </w:p>
    <w:p w14:paraId="28E92AB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点位布设应具代表性，真实反映地块的污染状况，符合HJ 25.1、HJ 25.2及DB42/T XXX相关标准的要求。点位布设时应给出点位符合性判断，必要时进行说明，以保证监测点位的代表性。</w:t>
      </w:r>
    </w:p>
    <w:p w14:paraId="60C131AF">
      <w:pPr>
        <w:widowControl w:val="0"/>
        <w:numPr>
          <w:ilvl w:val="0"/>
          <w:numId w:val="35"/>
        </w:numPr>
        <w:autoSpaceDE/>
        <w:autoSpaceDN/>
        <w:ind w:left="780" w:hanging="36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布点区域、布点数量、布点位置、平行样点、采样深度要符合上述技术规定；</w:t>
      </w:r>
    </w:p>
    <w:p w14:paraId="7E568EB0">
      <w:pPr>
        <w:widowControl w:val="0"/>
        <w:numPr>
          <w:ilvl w:val="0"/>
          <w:numId w:val="35"/>
        </w:numPr>
        <w:autoSpaceDE/>
        <w:autoSpaceDN/>
        <w:ind w:left="780" w:hanging="36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不同点位样品采集和检测指标设置要合理；</w:t>
      </w:r>
    </w:p>
    <w:p w14:paraId="79EF0C28">
      <w:pPr>
        <w:widowControl w:val="0"/>
        <w:numPr>
          <w:ilvl w:val="0"/>
          <w:numId w:val="35"/>
        </w:numPr>
        <w:autoSpaceDE/>
        <w:autoSpaceDN/>
        <w:ind w:left="780" w:hanging="36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采样点经过现场核实；</w:t>
      </w:r>
    </w:p>
    <w:p w14:paraId="29F6C7CC">
      <w:pPr>
        <w:widowControl w:val="0"/>
        <w:numPr>
          <w:ilvl w:val="0"/>
          <w:numId w:val="35"/>
        </w:numPr>
        <w:autoSpaceDE/>
        <w:autoSpaceDN/>
        <w:ind w:left="780" w:hanging="36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布点记录信息表填写规范；</w:t>
      </w:r>
    </w:p>
    <w:p w14:paraId="415B6842">
      <w:pPr>
        <w:widowControl w:val="0"/>
        <w:numPr>
          <w:ilvl w:val="0"/>
          <w:numId w:val="35"/>
        </w:numPr>
        <w:autoSpaceDE/>
        <w:autoSpaceDN/>
        <w:ind w:left="780" w:hanging="36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布点方案经论证并修改完善。</w:t>
      </w:r>
    </w:p>
    <w:p w14:paraId="24C81E97">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21" w:name="6.2_采样位置与深度"/>
      <w:bookmarkEnd w:id="121"/>
      <w:bookmarkStart w:id="122" w:name="_Toc24230"/>
      <w:bookmarkStart w:id="123" w:name="_Toc169694654"/>
      <w:r>
        <w:rPr>
          <w:rFonts w:hint="eastAsia" w:ascii="黑体" w:hAnsi="黑体" w:eastAsia="黑体" w:cs="黑体"/>
          <w:sz w:val="21"/>
          <w:szCs w:val="21"/>
          <w:lang w:val="en-US" w:eastAsia="zh-CN" w:bidi="ar-SA"/>
        </w:rPr>
        <w:t>采样位置与深度</w:t>
      </w:r>
      <w:bookmarkEnd w:id="122"/>
      <w:bookmarkEnd w:id="123"/>
    </w:p>
    <w:p w14:paraId="4FCE7E2A">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采样孔位置与深度应依据地块实际情况，符合HJ 25.1、HJ 25.2及DB42/T XXX相关技术规范的要求。</w:t>
      </w:r>
    </w:p>
    <w:p w14:paraId="047C48F3">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24" w:name="6.3_采样"/>
      <w:bookmarkEnd w:id="124"/>
      <w:bookmarkStart w:id="125" w:name="_Toc169694655"/>
      <w:bookmarkStart w:id="126" w:name="_Toc23345"/>
      <w:r>
        <w:rPr>
          <w:rFonts w:hint="eastAsia" w:ascii="黑体" w:hAnsi="黑体" w:eastAsia="黑体" w:cs="黑体"/>
          <w:sz w:val="21"/>
          <w:szCs w:val="21"/>
          <w:lang w:val="en-US" w:eastAsia="zh-CN" w:bidi="ar-SA"/>
        </w:rPr>
        <w:t>采样</w:t>
      </w:r>
      <w:bookmarkEnd w:id="125"/>
      <w:bookmarkEnd w:id="126"/>
    </w:p>
    <w:p w14:paraId="7BF43C78">
      <w:pPr>
        <w:keepNext w:val="0"/>
        <w:keepLines w:val="0"/>
        <w:pageBreakBefore w:val="0"/>
        <w:widowControl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27" w:name="6.3.1_表层土壤样品的采集一般采用挖掘方式进行，也可进行钻孔取样。"/>
      <w:bookmarkEnd w:id="127"/>
      <w:r>
        <w:rPr>
          <w:rFonts w:hint="eastAsia" w:ascii="宋体" w:hAnsi="宋体" w:eastAsia="宋体" w:cs="Times New Roman"/>
          <w:kern w:val="0"/>
          <w:sz w:val="21"/>
          <w:szCs w:val="21"/>
          <w:lang w:eastAsia="zh-CN"/>
        </w:rPr>
        <w:t xml:space="preserve"> 表层土壤样品的采集一般采用挖掘方式进行，也可进行钻孔取样或直推式钻机取样。</w:t>
      </w:r>
    </w:p>
    <w:p w14:paraId="7F69F4C3">
      <w:pPr>
        <w:keepNext w:val="0"/>
        <w:keepLines w:val="0"/>
        <w:pageBreakBefore w:val="0"/>
        <w:widowControl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28" w:name="6.3.2_应防止采样过程中的交叉污染。钻机采样过程中，钻探设备在钻孔开钻前及重"/>
      <w:bookmarkEnd w:id="128"/>
      <w:r>
        <w:rPr>
          <w:rFonts w:hint="eastAsia" w:ascii="宋体" w:hAnsi="宋体" w:eastAsia="宋体" w:cs="Times New Roman"/>
          <w:kern w:val="0"/>
          <w:sz w:val="21"/>
          <w:szCs w:val="21"/>
          <w:lang w:eastAsia="zh-CN"/>
        </w:rPr>
        <w:t xml:space="preserve"> </w:t>
      </w:r>
      <w:r>
        <w:rPr>
          <w:rFonts w:hint="eastAsia" w:ascii="宋体" w:hAnsi="宋体" w:eastAsia="宋体" w:cs="宋体"/>
          <w:kern w:val="0"/>
          <w:sz w:val="21"/>
          <w:szCs w:val="21"/>
          <w:lang w:eastAsia="zh-CN"/>
        </w:rPr>
        <w:t>应尽量选择无浆液钻进，全程套管跟进，防止钻孔坍塌和上下层交叉污染；不同样品采集之间应对</w:t>
      </w:r>
      <w:r>
        <w:rPr>
          <w:rFonts w:hint="eastAsia" w:ascii="宋体" w:hAnsi="宋体" w:eastAsia="宋体" w:cs="Times New Roman"/>
          <w:kern w:val="0"/>
          <w:sz w:val="21"/>
          <w:szCs w:val="21"/>
          <w:lang w:eastAsia="zh-CN"/>
        </w:rPr>
        <w:t>钻头和钻杆进行清洗，清洗废水应集中收集处置；土壤岩芯样品应按照揭露顺序依次放入岩芯箱，对土层变层位置进行标识。</w:t>
      </w:r>
    </w:p>
    <w:p w14:paraId="38AD13AB">
      <w:pPr>
        <w:keepNext w:val="0"/>
        <w:keepLines w:val="0"/>
        <w:pageBreakBefore w:val="0"/>
        <w:widowControl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29" w:name="6.3.3_钻孔取样时应尽量保持岩芯的完整性，应选择无浆液钻进，全程套管跟进，防"/>
      <w:bookmarkEnd w:id="129"/>
      <w:r>
        <w:rPr>
          <w:rFonts w:hint="eastAsia" w:ascii="宋体" w:hAnsi="宋体" w:eastAsia="宋体" w:cs="Times New Roman"/>
          <w:kern w:val="0"/>
          <w:sz w:val="21"/>
          <w:szCs w:val="21"/>
          <w:lang w:eastAsia="zh-CN"/>
        </w:rPr>
        <w:t xml:space="preserve"> 钻孔取样时，每次钻进深度宜为50 cm-150cm，岩芯平均采取率一般不小于70%。其中粘性土及完整基岩的岩芯采取率不应小于85%，沙土类地层的岩芯采取率不应小于65%，碎石土类地层岩芯采取率不应小于50%，强风化/破碎基岩的岩芯采取率不应小于40%，尽量保持岩芯的完整性。</w:t>
      </w:r>
    </w:p>
    <w:p w14:paraId="7D7960C7">
      <w:pPr>
        <w:keepNext w:val="0"/>
        <w:keepLines w:val="0"/>
        <w:pageBreakBefore w:val="0"/>
        <w:widowControl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30" w:name="6.3.4_样品采集时应用塑料铲或木（竹）质铲等非金属采样铲剔除约1_cm～2_"/>
      <w:bookmarkEnd w:id="130"/>
      <w:r>
        <w:rPr>
          <w:rFonts w:hint="eastAsia" w:ascii="宋体" w:hAnsi="宋体" w:eastAsia="宋体" w:cs="Times New Roman"/>
          <w:kern w:val="0"/>
          <w:sz w:val="21"/>
          <w:szCs w:val="21"/>
          <w:lang w:eastAsia="zh-CN"/>
        </w:rPr>
        <w:t>样品采集时应用塑料铲或木（竹）质铲等非金属采样铲剔除约 1 cm～2 cm 表层土壤，在新的土壤切面处采集样品。直推式钻机采用塑料取样管压取土壤岩芯，土壤未与金属管套接触，可以不需要铲剔除表层土壤</w:t>
      </w:r>
    </w:p>
    <w:p w14:paraId="17EF5577">
      <w:pPr>
        <w:keepNext w:val="0"/>
        <w:keepLines w:val="0"/>
        <w:pageBreakBefore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31" w:name="6.3.5_用采样铲将土壤转移至广口玻璃瓶内。采样过程应剔除石块等杂质，保持采样"/>
      <w:bookmarkEnd w:id="131"/>
      <w:r>
        <w:rPr>
          <w:rFonts w:hint="eastAsia" w:ascii="宋体" w:hAnsi="宋体" w:eastAsia="宋体" w:cs="Times New Roman"/>
          <w:kern w:val="0"/>
          <w:sz w:val="21"/>
          <w:szCs w:val="21"/>
          <w:lang w:eastAsia="zh-CN"/>
        </w:rPr>
        <w:t xml:space="preserve"> 用采样铲将土壤转移至广口玻璃瓶内。采样过程应剔除石块等杂质，保持采样瓶口螺纹清洁以防止密封不严。也可以用聚乙烯自封袋采集，用采样铲将土壤转移至聚乙烯自封袋后密封保存。</w:t>
      </w:r>
    </w:p>
    <w:p w14:paraId="6C1E954B">
      <w:pPr>
        <w:keepNext w:val="0"/>
        <w:keepLines w:val="0"/>
        <w:pageBreakBefore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32" w:name="6.3.6_如需采集平行样时，将采集的土壤样品置于塑料托盘或木质托盘充分混拌后再"/>
      <w:bookmarkEnd w:id="132"/>
      <w:r>
        <w:rPr>
          <w:rFonts w:hint="eastAsia" w:ascii="宋体" w:hAnsi="宋体" w:eastAsia="宋体" w:cs="Times New Roman"/>
          <w:kern w:val="0"/>
          <w:sz w:val="21"/>
          <w:szCs w:val="21"/>
          <w:lang w:eastAsia="zh-CN"/>
        </w:rPr>
        <w:t xml:space="preserve"> 如需采集平行样时，将采集的土壤样品置于塑料托盘或木质托盘充分混拌后再分装得到平行样。</w:t>
      </w:r>
    </w:p>
    <w:p w14:paraId="5663C7FF">
      <w:pPr>
        <w:keepNext w:val="0"/>
        <w:keepLines w:val="0"/>
        <w:pageBreakBefore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33" w:name="6.3.7_如需采集土壤混合样时，将等量各点采集的土壤样品置于塑料托盘或木质托盘"/>
      <w:bookmarkEnd w:id="133"/>
      <w:r>
        <w:rPr>
          <w:rFonts w:hint="eastAsia" w:ascii="宋体" w:hAnsi="宋体" w:eastAsia="宋体" w:cs="Times New Roman"/>
          <w:kern w:val="0"/>
          <w:sz w:val="21"/>
          <w:szCs w:val="21"/>
          <w:lang w:eastAsia="zh-CN"/>
        </w:rPr>
        <w:t xml:space="preserve"> 建设用地布点目的为捕捉污染并确定污染位置，可采集单点土壤样。</w:t>
      </w:r>
    </w:p>
    <w:p w14:paraId="151C185C">
      <w:pPr>
        <w:keepNext w:val="0"/>
        <w:keepLines w:val="0"/>
        <w:pageBreakBefore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34" w:name="6.3.8_不同土壤样品采集应更换手套，避免交叉污染。"/>
      <w:bookmarkEnd w:id="134"/>
      <w:r>
        <w:rPr>
          <w:rFonts w:hint="eastAsia" w:ascii="宋体" w:hAnsi="宋体" w:eastAsia="宋体" w:cs="Times New Roman"/>
          <w:kern w:val="0"/>
          <w:sz w:val="21"/>
          <w:szCs w:val="21"/>
          <w:lang w:eastAsia="zh-CN"/>
        </w:rPr>
        <w:t xml:space="preserve"> 应防止采样过程中的交叉污染。钻机采样过程中，钻探设备在钻孔开钻前及重复利用时，应进行清洗；与土壤接触的其他采样工具重复利用时也应清洗或擦拭，不同土壤样品采集应更换手套。</w:t>
      </w:r>
    </w:p>
    <w:p w14:paraId="5607CA6C">
      <w:pPr>
        <w:keepNext w:val="0"/>
        <w:keepLines w:val="0"/>
        <w:pageBreakBefore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35" w:name="6.3.9_土壤采样量应不少于1000_g。"/>
      <w:bookmarkEnd w:id="135"/>
      <w:r>
        <w:rPr>
          <w:rFonts w:hint="eastAsia" w:ascii="宋体" w:hAnsi="宋体" w:eastAsia="宋体" w:cs="Times New Roman"/>
          <w:kern w:val="0"/>
          <w:sz w:val="21"/>
          <w:szCs w:val="21"/>
          <w:lang w:eastAsia="zh-CN"/>
        </w:rPr>
        <w:t xml:space="preserve"> 土壤采样量一般不少于 1000 g；若采用直推式钻机采样，在满足分析要求的前提下，采样量不少于 500 g。全程做好采样记录，对采样点、钻进操作、岩芯箱、钻孔记录等环节进行拍照记录。</w:t>
      </w:r>
    </w:p>
    <w:p w14:paraId="12862726">
      <w:pPr>
        <w:keepNext w:val="0"/>
        <w:keepLines w:val="0"/>
        <w:pageBreakBefore w:val="0"/>
        <w:numPr>
          <w:ilvl w:val="2"/>
          <w:numId w:val="36"/>
        </w:numPr>
        <w:kinsoku/>
        <w:wordWrap/>
        <w:overflowPunct/>
        <w:topLinePunct w:val="0"/>
        <w:autoSpaceDE/>
        <w:autoSpaceDN/>
        <w:bidi w:val="0"/>
        <w:adjustRightInd/>
        <w:snapToGrid/>
        <w:ind w:left="0" w:firstLine="0"/>
        <w:jc w:val="both"/>
        <w:textAlignment w:val="auto"/>
        <w:rPr>
          <w:rFonts w:ascii="宋体" w:hAnsi="宋体" w:eastAsia="宋体" w:cs="Times New Roman"/>
          <w:kern w:val="0"/>
          <w:sz w:val="21"/>
          <w:szCs w:val="21"/>
          <w:lang w:eastAsia="zh-CN"/>
        </w:rPr>
      </w:pPr>
      <w:bookmarkStart w:id="136" w:name="6.3.10_钻孔采样应在无雨天气下进行，防止雨水冲刷土壤造成交叉污染。采样环境"/>
      <w:bookmarkEnd w:id="136"/>
      <w:r>
        <w:rPr>
          <w:rFonts w:hint="eastAsia" w:ascii="宋体" w:hAnsi="宋体" w:eastAsia="宋体" w:cs="Times New Roman"/>
          <w:kern w:val="0"/>
          <w:sz w:val="21"/>
          <w:szCs w:val="21"/>
          <w:lang w:eastAsia="zh-CN"/>
        </w:rPr>
        <w:t xml:space="preserve"> 钻孔采样应在无雨天气下进行，防止雨水冲刷土壤造成交叉污染。采样环境应光线充足，原则上不建议夜间钻孔采样，不得不在夜间钻孔采样时，应采取有效的照明措施，确保能够正确识别土层的结构特征。钻孔过程中产生的污染土壤应统一收集和处理，对废弃的一次性手套、口罩等个人防护用品应按照一般固体废物处置要求进行收集处置。</w:t>
      </w:r>
    </w:p>
    <w:p w14:paraId="05D42143">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37" w:name="6.4_样品保存和流转"/>
      <w:bookmarkEnd w:id="137"/>
      <w:bookmarkStart w:id="138" w:name="_Toc3519"/>
      <w:bookmarkStart w:id="139" w:name="_Toc169694656"/>
      <w:r>
        <w:rPr>
          <w:rFonts w:hint="eastAsia" w:ascii="黑体" w:hAnsi="黑体" w:eastAsia="黑体" w:cs="黑体"/>
          <w:sz w:val="21"/>
          <w:szCs w:val="21"/>
          <w:lang w:val="en-US" w:eastAsia="zh-CN" w:bidi="ar-SA"/>
        </w:rPr>
        <w:t>样品保存和流转</w:t>
      </w:r>
      <w:bookmarkEnd w:id="138"/>
      <w:bookmarkEnd w:id="139"/>
    </w:p>
    <w:p w14:paraId="488C8598">
      <w:pPr>
        <w:keepNext w:val="0"/>
        <w:keepLines w:val="0"/>
        <w:pageBreakBefore w:val="0"/>
        <w:widowControl/>
        <w:numPr>
          <w:ilvl w:val="2"/>
          <w:numId w:val="37"/>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黑体" w:eastAsia="黑体" w:cs="宋体"/>
          <w:sz w:val="21"/>
          <w:szCs w:val="21"/>
          <w:lang w:val="en-US" w:eastAsia="zh-CN" w:bidi="ar-SA"/>
        </w:rPr>
      </w:pPr>
      <w:bookmarkStart w:id="140" w:name="6.4.1_样品保存"/>
      <w:bookmarkEnd w:id="140"/>
      <w:r>
        <w:rPr>
          <w:rFonts w:hint="eastAsia" w:ascii="黑体" w:hAnsi="黑体" w:eastAsia="黑体" w:cs="宋体"/>
          <w:sz w:val="21"/>
          <w:szCs w:val="21"/>
          <w:lang w:val="en-US" w:eastAsia="zh-CN" w:bidi="ar-SA"/>
        </w:rPr>
        <w:t>样品保存</w:t>
      </w:r>
    </w:p>
    <w:p w14:paraId="40C2A8D3">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按HJ/T 166 中相关样品保存要求及相关分析方法的要求进行保存。样品保存包括现场暂存和流转保存两个主要环节，应遵循以下原则进行：</w:t>
      </w:r>
    </w:p>
    <w:p w14:paraId="73F10AE4">
      <w:pPr>
        <w:widowControl w:val="0"/>
        <w:autoSpaceDE/>
        <w:autoSpaceDN/>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6.4.1.1 样品现场暂存。</w:t>
      </w:r>
      <w:r>
        <w:rPr>
          <w:rFonts w:hint="eastAsia" w:ascii="宋体" w:hAnsi="宋体" w:eastAsia="宋体" w:cs="宋体"/>
          <w:sz w:val="21"/>
          <w:szCs w:val="21"/>
          <w:lang w:val="en-US" w:eastAsia="zh-CN" w:bidi="ar-SA"/>
        </w:rPr>
        <w:t>样品采集后要立即存放至冷藏箱内，样品采集当天不能送至实验室时，样品要低温避光保存。</w:t>
      </w:r>
    </w:p>
    <w:p w14:paraId="74DD70C6">
      <w:pPr>
        <w:widowControl w:val="0"/>
        <w:autoSpaceDE/>
        <w:autoSpaceDN/>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6.4.1.2 样品流转保存。</w:t>
      </w:r>
      <w:r>
        <w:rPr>
          <w:rFonts w:hint="eastAsia" w:ascii="宋体" w:hAnsi="宋体" w:eastAsia="宋体" w:cs="宋体"/>
          <w:sz w:val="21"/>
          <w:szCs w:val="21"/>
          <w:lang w:val="en-US" w:eastAsia="zh-CN" w:bidi="ar-SA"/>
        </w:rPr>
        <w:t>样品应保存在有冰冻蓝冰的保温箱内运达到实验室，样品的有效保存时间为从样品采集完成到分析测试结束，检测方法有规定的，按检测方法执行。</w:t>
      </w:r>
    </w:p>
    <w:p w14:paraId="0D3CD8D0">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注：六价铬土壤样品采样完成后，按照HJ/T 166和</w:t>
      </w:r>
      <w:r>
        <w:rPr>
          <w:rFonts w:ascii="宋体" w:hAnsi="宋体" w:eastAsia="宋体" w:cs="宋体"/>
          <w:sz w:val="21"/>
          <w:szCs w:val="21"/>
          <w:lang w:val="en-US" w:eastAsia="zh-CN" w:bidi="ar-SA"/>
        </w:rPr>
        <w:t>HJ 1082</w:t>
      </w:r>
      <w:r>
        <w:rPr>
          <w:rFonts w:hint="eastAsia" w:ascii="宋体" w:hAnsi="宋体" w:eastAsia="宋体" w:cs="宋体"/>
          <w:sz w:val="21"/>
          <w:szCs w:val="21"/>
          <w:lang w:val="en-US" w:eastAsia="zh-CN" w:bidi="ar-SA"/>
        </w:rPr>
        <w:t>方法要求，尽快</w:t>
      </w:r>
      <w:r>
        <w:rPr>
          <w:rFonts w:ascii="宋体" w:hAnsi="宋体" w:eastAsia="宋体" w:cs="宋体"/>
          <w:sz w:val="21"/>
          <w:szCs w:val="21"/>
          <w:lang w:val="en-US" w:eastAsia="zh-CN" w:bidi="ar-SA"/>
        </w:rPr>
        <w:t>完成风干、破碎、过筛</w:t>
      </w:r>
      <w:r>
        <w:rPr>
          <w:rFonts w:hint="eastAsia" w:ascii="宋体" w:hAnsi="宋体" w:eastAsia="宋体" w:cs="宋体"/>
          <w:sz w:val="21"/>
          <w:szCs w:val="21"/>
          <w:lang w:val="en-US" w:eastAsia="zh-CN" w:bidi="ar-SA"/>
        </w:rPr>
        <w:t>和</w:t>
      </w:r>
      <w:r>
        <w:rPr>
          <w:rFonts w:ascii="宋体" w:hAnsi="宋体" w:eastAsia="宋体" w:cs="宋体"/>
          <w:sz w:val="21"/>
          <w:szCs w:val="21"/>
          <w:lang w:val="en-US" w:eastAsia="zh-CN" w:bidi="ar-SA"/>
        </w:rPr>
        <w:t>样品前处理</w:t>
      </w:r>
      <w:r>
        <w:rPr>
          <w:rFonts w:hint="eastAsia" w:ascii="宋体" w:hAnsi="宋体" w:eastAsia="宋体" w:cs="宋体"/>
          <w:sz w:val="21"/>
          <w:szCs w:val="21"/>
          <w:lang w:val="en-US" w:eastAsia="zh-CN" w:bidi="ar-SA"/>
        </w:rPr>
        <w:t>，前处理好的试样，在0—</w:t>
      </w:r>
      <w:r>
        <w:rPr>
          <w:rFonts w:ascii="宋体" w:hAnsi="宋体" w:eastAsia="宋体" w:cs="宋体"/>
          <w:sz w:val="21"/>
          <w:szCs w:val="21"/>
          <w:lang w:val="en-US" w:eastAsia="zh-CN" w:bidi="ar-SA"/>
        </w:rPr>
        <w:t>4</w:t>
      </w:r>
      <w:r>
        <w:rPr>
          <w:rFonts w:hint="eastAsia" w:ascii="宋体" w:hAnsi="宋体" w:eastAsia="宋体" w:cs="宋体"/>
          <w:sz w:val="21"/>
          <w:szCs w:val="21"/>
          <w:lang w:val="en-US" w:eastAsia="zh-CN" w:bidi="ar-SA"/>
        </w:rPr>
        <w:t>℃密封</w:t>
      </w:r>
      <w:r>
        <w:rPr>
          <w:rFonts w:ascii="宋体" w:hAnsi="宋体" w:eastAsia="宋体" w:cs="宋体"/>
          <w:sz w:val="21"/>
          <w:szCs w:val="21"/>
          <w:lang w:val="en-US" w:eastAsia="zh-CN" w:bidi="ar-SA"/>
        </w:rPr>
        <w:t>保存，保存时间</w:t>
      </w:r>
      <w:r>
        <w:rPr>
          <w:rFonts w:hint="eastAsia" w:ascii="宋体" w:hAnsi="宋体" w:eastAsia="宋体" w:cs="宋体"/>
          <w:sz w:val="21"/>
          <w:szCs w:val="21"/>
          <w:lang w:val="en-US" w:eastAsia="zh-CN" w:bidi="ar-SA"/>
        </w:rPr>
        <w:t>不超过</w:t>
      </w:r>
      <w:r>
        <w:rPr>
          <w:rFonts w:ascii="宋体" w:hAnsi="宋体" w:eastAsia="宋体" w:cs="宋体"/>
          <w:sz w:val="21"/>
          <w:szCs w:val="21"/>
          <w:lang w:val="en-US" w:eastAsia="zh-CN" w:bidi="ar-SA"/>
        </w:rPr>
        <w:t>30天。</w:t>
      </w:r>
    </w:p>
    <w:p w14:paraId="09670590">
      <w:pPr>
        <w:keepNext w:val="0"/>
        <w:keepLines w:val="0"/>
        <w:pageBreakBefore w:val="0"/>
        <w:widowControl/>
        <w:numPr>
          <w:ilvl w:val="2"/>
          <w:numId w:val="37"/>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黑体" w:eastAsia="黑体" w:cs="宋体"/>
          <w:sz w:val="21"/>
          <w:szCs w:val="21"/>
          <w:lang w:val="en-US" w:eastAsia="zh-CN" w:bidi="ar-SA"/>
        </w:rPr>
      </w:pPr>
      <w:bookmarkStart w:id="141" w:name="6.4.2_样品流转"/>
      <w:bookmarkEnd w:id="141"/>
      <w:r>
        <w:rPr>
          <w:rFonts w:hint="eastAsia" w:ascii="黑体" w:hAnsi="黑体" w:eastAsia="黑体" w:cs="宋体"/>
          <w:sz w:val="21"/>
          <w:szCs w:val="21"/>
          <w:lang w:val="en-US" w:eastAsia="zh-CN" w:bidi="ar-SA"/>
        </w:rPr>
        <w:t>样品流转</w:t>
      </w:r>
    </w:p>
    <w:p w14:paraId="7A55F2DD">
      <w:pPr>
        <w:keepNext w:val="0"/>
        <w:keepLines w:val="0"/>
        <w:pageBreakBefore w:val="0"/>
        <w:tabs>
          <w:tab w:val="left" w:pos="1461"/>
          <w:tab w:val="left" w:pos="1462"/>
        </w:tabs>
        <w:kinsoku/>
        <w:wordWrap/>
        <w:overflowPunct/>
        <w:topLinePunct w:val="0"/>
        <w:autoSpaceDE/>
        <w:autoSpaceDN/>
        <w:bidi w:val="0"/>
        <w:adjustRightInd/>
        <w:snapToGrid/>
        <w:ind w:left="0" w:firstLine="0"/>
        <w:jc w:val="both"/>
        <w:textAlignment w:val="auto"/>
        <w:rPr>
          <w:rFonts w:ascii="黑体" w:hAnsi="黑体" w:eastAsia="黑体" w:cs="宋体"/>
          <w:kern w:val="0"/>
          <w:sz w:val="21"/>
          <w:szCs w:val="21"/>
          <w:lang w:eastAsia="en-US"/>
        </w:rPr>
      </w:pPr>
      <w:r>
        <w:rPr>
          <w:rFonts w:hint="eastAsia" w:ascii="黑体" w:hAnsi="黑体" w:eastAsia="黑体" w:cs="宋体"/>
          <w:kern w:val="0"/>
          <w:sz w:val="21"/>
          <w:szCs w:val="21"/>
          <w:lang w:eastAsia="en-US"/>
        </w:rPr>
        <w:t>6.4.2.1 装运前核对</w:t>
      </w:r>
    </w:p>
    <w:p w14:paraId="75527858">
      <w:pPr>
        <w:widowControl w:val="0"/>
        <w:autoSpaceDE/>
        <w:autoSpaceDN/>
        <w:ind w:firstLine="420" w:firstLineChars="200"/>
        <w:jc w:val="both"/>
        <w:rPr>
          <w:rFonts w:ascii="宋体" w:hAnsi="宋体" w:eastAsia="宋体" w:cs="宋体"/>
          <w:spacing w:val="-5"/>
          <w:sz w:val="21"/>
          <w:szCs w:val="21"/>
          <w:lang w:val="en-US" w:eastAsia="zh-CN" w:bidi="ar-SA"/>
        </w:rPr>
      </w:pPr>
      <w:r>
        <w:rPr>
          <w:rFonts w:hint="eastAsia" w:ascii="宋体" w:hAnsi="宋体" w:eastAsia="宋体" w:cs="宋体"/>
          <w:sz w:val="21"/>
          <w:szCs w:val="21"/>
          <w:lang w:val="en-US" w:eastAsia="zh-CN" w:bidi="ar-SA"/>
        </w:rPr>
        <w:t>要求样品与采样记录单进行逐个核对，检查无误后装箱，并按要求进行记录，记录内容应包括样品名称、采样时间、样品编号、检测指标和样品寄送人等信息，样品运送单用防水袋保护，随样品箱一同送达样品检测单位。样品装箱过程中，应采取有效措施保证各类记录和样品的完整性。</w:t>
      </w:r>
    </w:p>
    <w:p w14:paraId="7E6DAD57">
      <w:pPr>
        <w:tabs>
          <w:tab w:val="left" w:pos="1461"/>
          <w:tab w:val="left" w:pos="1462"/>
        </w:tabs>
        <w:autoSpaceDE/>
        <w:autoSpaceDN/>
        <w:jc w:val="both"/>
        <w:rPr>
          <w:rFonts w:ascii="黑体" w:hAnsi="黑体" w:eastAsia="黑体" w:cs="宋体"/>
          <w:kern w:val="0"/>
          <w:sz w:val="21"/>
          <w:szCs w:val="21"/>
          <w:lang w:eastAsia="zh-CN"/>
        </w:rPr>
      </w:pPr>
      <w:r>
        <w:rPr>
          <w:rFonts w:hint="eastAsia" w:ascii="黑体" w:hAnsi="黑体" w:eastAsia="黑体" w:cs="宋体"/>
          <w:kern w:val="0"/>
          <w:sz w:val="21"/>
          <w:szCs w:val="21"/>
          <w:lang w:eastAsia="zh-CN"/>
        </w:rPr>
        <w:t>6.4.2.2 样品运输</w:t>
      </w:r>
    </w:p>
    <w:p w14:paraId="180B2D19">
      <w:pPr>
        <w:widowControl w:val="0"/>
        <w:autoSpaceDE/>
        <w:autoSpaceDN/>
        <w:ind w:firstLine="420" w:firstLineChars="200"/>
        <w:jc w:val="both"/>
        <w:rPr>
          <w:rFonts w:ascii="宋体" w:hAnsi="宋体" w:eastAsia="宋体" w:cs="宋体"/>
          <w:spacing w:val="-5"/>
          <w:sz w:val="21"/>
          <w:szCs w:val="21"/>
          <w:lang w:val="en-US" w:eastAsia="zh-CN" w:bidi="ar-SA"/>
        </w:rPr>
      </w:pPr>
      <w:r>
        <w:rPr>
          <w:rFonts w:hint="eastAsia" w:ascii="宋体" w:hAnsi="宋体" w:eastAsia="宋体" w:cs="宋体"/>
          <w:sz w:val="21"/>
          <w:szCs w:val="21"/>
          <w:lang w:val="en-US" w:eastAsia="zh-CN" w:bidi="ar-SA"/>
        </w:rPr>
        <w:t>样品运输过程应保证样品完好并低温保存，避免阳光直射。采用适当的减震隔离措施，可用泡沫材料填充样品瓶和样品箱之间空隙严防样品的损失、混淆或沾污，在保存时限内就近运送至样品检测单位。</w:t>
      </w:r>
    </w:p>
    <w:p w14:paraId="7644ED7F">
      <w:pPr>
        <w:tabs>
          <w:tab w:val="left" w:pos="1461"/>
          <w:tab w:val="left" w:pos="1462"/>
        </w:tabs>
        <w:autoSpaceDE/>
        <w:autoSpaceDN/>
        <w:jc w:val="both"/>
        <w:rPr>
          <w:rFonts w:ascii="黑体" w:hAnsi="黑体" w:eastAsia="黑体" w:cs="宋体"/>
          <w:kern w:val="0"/>
          <w:sz w:val="21"/>
          <w:szCs w:val="21"/>
          <w:lang w:eastAsia="zh-CN"/>
        </w:rPr>
      </w:pPr>
      <w:r>
        <w:rPr>
          <w:rFonts w:hint="eastAsia" w:ascii="黑体" w:hAnsi="黑体" w:eastAsia="黑体" w:cs="宋体"/>
          <w:kern w:val="0"/>
          <w:sz w:val="21"/>
          <w:szCs w:val="21"/>
          <w:lang w:eastAsia="zh-CN"/>
        </w:rPr>
        <w:t>6.4.2.3 样品接收</w:t>
      </w:r>
    </w:p>
    <w:p w14:paraId="72FD900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样品检测单位收到样品箱后，应立即检查样品箱是否有破损，清点核实样品名称、样品数量、样品编号、</w:t>
      </w:r>
      <w:r>
        <w:rPr>
          <w:rFonts w:hint="eastAsia" w:ascii="宋体" w:hAnsi="宋体" w:eastAsia="宋体" w:cs="宋体"/>
          <w:spacing w:val="-5"/>
          <w:sz w:val="21"/>
          <w:szCs w:val="21"/>
          <w:lang w:val="en-US" w:eastAsia="zh-CN" w:bidi="ar-SA"/>
        </w:rPr>
        <w:t>保存条件、采样时间、分析项目等信息。</w:t>
      </w:r>
      <w:r>
        <w:rPr>
          <w:rFonts w:hint="eastAsia" w:ascii="宋体" w:hAnsi="宋体" w:eastAsia="宋体" w:cs="宋体"/>
          <w:sz w:val="21"/>
          <w:szCs w:val="21"/>
          <w:lang w:val="en-US" w:eastAsia="zh-CN" w:bidi="ar-SA"/>
        </w:rPr>
        <w:t>双方检查确认无误后，在样品交接记录上签字，并按照样品运送单等要求，安排样品保存和检测。</w:t>
      </w:r>
    </w:p>
    <w:p w14:paraId="5941C006">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42" w:name="6.5_现场记录"/>
      <w:bookmarkEnd w:id="142"/>
      <w:bookmarkStart w:id="143" w:name="_Toc169694657"/>
      <w:bookmarkStart w:id="144" w:name="_Toc4346"/>
      <w:r>
        <w:rPr>
          <w:rFonts w:hint="eastAsia" w:ascii="黑体" w:hAnsi="黑体" w:eastAsia="黑体" w:cs="黑体"/>
          <w:sz w:val="21"/>
          <w:szCs w:val="21"/>
          <w:lang w:val="en-US" w:eastAsia="zh-CN" w:bidi="ar-SA"/>
        </w:rPr>
        <w:t>现场记录</w:t>
      </w:r>
      <w:bookmarkEnd w:id="143"/>
      <w:bookmarkEnd w:id="144"/>
    </w:p>
    <w:p w14:paraId="74A2DDF7">
      <w:pPr>
        <w:keepNext w:val="0"/>
        <w:keepLines w:val="0"/>
        <w:pageBreakBefore w:val="0"/>
        <w:widowControl/>
        <w:numPr>
          <w:ilvl w:val="2"/>
          <w:numId w:val="38"/>
        </w:numPr>
        <w:kinsoku/>
        <w:wordWrap/>
        <w:overflowPunct/>
        <w:topLinePunct w:val="0"/>
        <w:autoSpaceDE/>
        <w:autoSpaceDN/>
        <w:bidi w:val="0"/>
        <w:adjustRightInd/>
        <w:snapToGrid/>
        <w:spacing w:before="120" w:beforeLines="50" w:after="120" w:afterLines="50"/>
        <w:ind w:left="0" w:firstLine="0"/>
        <w:jc w:val="left"/>
        <w:textAlignment w:val="auto"/>
        <w:outlineLvl w:val="4"/>
        <w:rPr>
          <w:rFonts w:ascii="黑体" w:hAnsi="Times New Roman" w:eastAsia="黑体" w:cs="Times New Roman"/>
          <w:sz w:val="21"/>
          <w:szCs w:val="21"/>
          <w:lang w:val="en-US" w:eastAsia="zh-CN" w:bidi="ar-SA"/>
        </w:rPr>
      </w:pPr>
      <w:bookmarkStart w:id="145" w:name="6.5.1_样品采集记录"/>
      <w:bookmarkEnd w:id="145"/>
      <w:r>
        <w:rPr>
          <w:rFonts w:hint="eastAsia" w:ascii="黑体" w:hAnsi="Times New Roman" w:eastAsia="黑体" w:cs="Times New Roman"/>
          <w:sz w:val="21"/>
          <w:szCs w:val="21"/>
          <w:lang w:val="en-US" w:eastAsia="zh-CN" w:bidi="ar-SA"/>
        </w:rPr>
        <w:t>样品采集记录</w:t>
      </w:r>
    </w:p>
    <w:p w14:paraId="72AEEC3A">
      <w:pPr>
        <w:widowControl w:val="0"/>
        <w:autoSpaceDE/>
        <w:autoSpaceDN/>
        <w:ind w:firstLine="396" w:firstLineChars="200"/>
        <w:jc w:val="both"/>
        <w:rPr>
          <w:rFonts w:ascii="宋体" w:hAnsi="宋体" w:eastAsia="宋体" w:cs="宋体"/>
          <w:spacing w:val="-6"/>
          <w:sz w:val="21"/>
          <w:szCs w:val="21"/>
          <w:lang w:val="en-US" w:eastAsia="zh-CN" w:bidi="ar-SA"/>
        </w:rPr>
      </w:pPr>
      <w:r>
        <w:rPr>
          <w:rFonts w:hint="eastAsia" w:ascii="宋体" w:hAnsi="宋体" w:eastAsia="宋体" w:cs="宋体"/>
          <w:spacing w:val="-6"/>
          <w:sz w:val="21"/>
          <w:szCs w:val="21"/>
          <w:lang w:val="en-US" w:eastAsia="zh-CN" w:bidi="ar-SA"/>
        </w:rPr>
        <w:t>样品采集记录参照</w:t>
      </w:r>
      <w:r>
        <w:rPr>
          <w:rFonts w:ascii="宋体" w:hAnsi="宋体" w:eastAsia="宋体" w:cs="宋体"/>
          <w:spacing w:val="-6"/>
          <w:sz w:val="21"/>
          <w:szCs w:val="21"/>
          <w:lang w:val="en-US" w:eastAsia="zh-CN" w:bidi="ar-SA"/>
        </w:rPr>
        <w:t>DB42/T XXX附录C现场填写，并保证其完整性和准确性。记录内容应包括采样工具、采集位置、采样</w:t>
      </w:r>
      <w:r>
        <w:rPr>
          <w:rFonts w:hint="eastAsia" w:ascii="宋体" w:hAnsi="宋体" w:eastAsia="宋体" w:cs="宋体"/>
          <w:spacing w:val="-6"/>
          <w:sz w:val="21"/>
          <w:szCs w:val="21"/>
          <w:lang w:val="en-US" w:eastAsia="zh-CN" w:bidi="ar-SA"/>
        </w:rPr>
        <w:t>方式</w:t>
      </w:r>
      <w:r>
        <w:rPr>
          <w:rFonts w:ascii="宋体" w:hAnsi="宋体" w:eastAsia="宋体" w:cs="宋体"/>
          <w:spacing w:val="-6"/>
          <w:sz w:val="21"/>
          <w:szCs w:val="21"/>
          <w:lang w:val="en-US" w:eastAsia="zh-CN" w:bidi="ar-SA"/>
        </w:rPr>
        <w:t>、样品瓶编号、现场快速测定仪器使用等关键信息。</w:t>
      </w:r>
    </w:p>
    <w:p w14:paraId="0A75B91F">
      <w:pPr>
        <w:widowControl w:val="0"/>
        <w:autoSpaceDE/>
        <w:autoSpaceDN/>
        <w:ind w:firstLine="396" w:firstLineChars="200"/>
        <w:jc w:val="both"/>
        <w:rPr>
          <w:rFonts w:ascii="宋体" w:hAnsi="宋体" w:eastAsia="宋体" w:cs="宋体"/>
          <w:sz w:val="21"/>
          <w:szCs w:val="21"/>
          <w:lang w:val="en-US" w:eastAsia="zh-CN" w:bidi="ar-SA"/>
        </w:rPr>
      </w:pPr>
      <w:r>
        <w:rPr>
          <w:rFonts w:hint="eastAsia" w:ascii="宋体" w:hAnsi="宋体" w:eastAsia="宋体" w:cs="宋体"/>
          <w:spacing w:val="-6"/>
          <w:sz w:val="21"/>
          <w:szCs w:val="21"/>
          <w:lang w:val="en-US" w:eastAsia="zh-CN" w:bidi="ar-SA"/>
        </w:rPr>
        <w:t>要采用高精度专业测量设备测量记录采样点位平面坐标（采用</w:t>
      </w:r>
      <w:r>
        <w:rPr>
          <w:rFonts w:ascii="宋体" w:hAnsi="宋体" w:eastAsia="宋体" w:cs="宋体"/>
          <w:spacing w:val="-6"/>
          <w:sz w:val="21"/>
          <w:szCs w:val="21"/>
          <w:lang w:val="en-US" w:eastAsia="zh-CN" w:bidi="ar-SA"/>
        </w:rPr>
        <w:t>2000国家大地坐标系）、孔口高程、地下水监测井井口距地面高度等信息。</w:t>
      </w:r>
    </w:p>
    <w:p w14:paraId="7B83347C">
      <w:pPr>
        <w:keepNext w:val="0"/>
        <w:keepLines w:val="0"/>
        <w:pageBreakBefore w:val="0"/>
        <w:widowControl/>
        <w:numPr>
          <w:ilvl w:val="2"/>
          <w:numId w:val="38"/>
        </w:numPr>
        <w:kinsoku/>
        <w:wordWrap/>
        <w:overflowPunct/>
        <w:topLinePunct w:val="0"/>
        <w:autoSpaceDE/>
        <w:autoSpaceDN/>
        <w:bidi w:val="0"/>
        <w:adjustRightInd/>
        <w:snapToGrid/>
        <w:spacing w:before="120" w:beforeLines="50" w:after="120" w:afterLines="50"/>
        <w:ind w:left="0" w:firstLine="0"/>
        <w:jc w:val="left"/>
        <w:textAlignment w:val="auto"/>
        <w:outlineLvl w:val="4"/>
        <w:rPr>
          <w:rFonts w:ascii="黑体" w:hAnsi="Times New Roman" w:eastAsia="黑体" w:cs="Times New Roman"/>
          <w:sz w:val="21"/>
          <w:szCs w:val="21"/>
          <w:lang w:val="en-US" w:eastAsia="zh-CN" w:bidi="ar-SA"/>
        </w:rPr>
      </w:pPr>
      <w:bookmarkStart w:id="146" w:name="6.5.2_样品标识"/>
      <w:bookmarkEnd w:id="146"/>
      <w:r>
        <w:rPr>
          <w:rFonts w:hint="eastAsia" w:ascii="黑体" w:hAnsi="Times New Roman" w:eastAsia="黑体" w:cs="Times New Roman"/>
          <w:sz w:val="21"/>
          <w:szCs w:val="21"/>
          <w:lang w:val="en-US" w:eastAsia="zh-CN" w:bidi="ar-SA"/>
        </w:rPr>
        <w:t>样品标识</w:t>
      </w:r>
    </w:p>
    <w:p w14:paraId="3CA37660">
      <w:pPr>
        <w:widowControl w:val="0"/>
        <w:autoSpaceDE/>
        <w:autoSpaceDN/>
        <w:ind w:firstLine="396" w:firstLineChars="200"/>
        <w:jc w:val="both"/>
        <w:rPr>
          <w:rFonts w:ascii="宋体" w:hAnsi="宋体" w:eastAsia="宋体" w:cs="宋体"/>
          <w:sz w:val="21"/>
          <w:szCs w:val="21"/>
          <w:lang w:val="en-US" w:eastAsia="zh-CN" w:bidi="ar-SA"/>
        </w:rPr>
      </w:pPr>
      <w:r>
        <w:rPr>
          <w:rFonts w:hint="eastAsia" w:ascii="宋体" w:hAnsi="宋体" w:eastAsia="宋体" w:cs="宋体"/>
          <w:spacing w:val="-6"/>
          <w:sz w:val="21"/>
          <w:szCs w:val="21"/>
          <w:lang w:val="en-US" w:eastAsia="zh-CN" w:bidi="ar-SA"/>
        </w:rPr>
        <w:t>样品标签上应包含样品唯一性标识、检测项目、采样日期等信息，标签一式两份，瓶内或袋内一份，</w:t>
      </w:r>
      <w:r>
        <w:rPr>
          <w:rFonts w:hint="eastAsia" w:ascii="宋体" w:hAnsi="宋体" w:eastAsia="宋体" w:cs="宋体"/>
          <w:spacing w:val="-11"/>
          <w:sz w:val="21"/>
          <w:szCs w:val="21"/>
          <w:lang w:val="en-US" w:eastAsia="zh-CN" w:bidi="ar-SA"/>
        </w:rPr>
        <w:t>瓶外或袋外贴一份，要求字迹清晰可辨。</w:t>
      </w:r>
    </w:p>
    <w:p w14:paraId="1F2BD965">
      <w:pPr>
        <w:keepNext w:val="0"/>
        <w:keepLines w:val="0"/>
        <w:pageBreakBefore w:val="0"/>
        <w:widowControl/>
        <w:numPr>
          <w:ilvl w:val="2"/>
          <w:numId w:val="38"/>
        </w:numPr>
        <w:kinsoku/>
        <w:wordWrap/>
        <w:overflowPunct/>
        <w:topLinePunct w:val="0"/>
        <w:autoSpaceDE/>
        <w:autoSpaceDN/>
        <w:bidi w:val="0"/>
        <w:adjustRightInd/>
        <w:snapToGrid/>
        <w:spacing w:before="120" w:beforeLines="50" w:after="120" w:afterLines="50"/>
        <w:ind w:left="0" w:firstLine="0"/>
        <w:jc w:val="left"/>
        <w:textAlignment w:val="auto"/>
        <w:outlineLvl w:val="4"/>
        <w:rPr>
          <w:rFonts w:ascii="黑体" w:hAnsi="Times New Roman" w:eastAsia="黑体" w:cs="Times New Roman"/>
          <w:sz w:val="21"/>
          <w:szCs w:val="21"/>
          <w:lang w:val="en-US" w:eastAsia="zh-CN" w:bidi="ar-SA"/>
        </w:rPr>
      </w:pPr>
      <w:bookmarkStart w:id="147" w:name="6.5.3_影像记录"/>
      <w:bookmarkEnd w:id="147"/>
      <w:r>
        <w:rPr>
          <w:rFonts w:hint="eastAsia" w:ascii="黑体" w:hAnsi="Times New Roman" w:eastAsia="黑体" w:cs="Times New Roman"/>
          <w:sz w:val="21"/>
          <w:szCs w:val="21"/>
          <w:lang w:val="en-US" w:eastAsia="zh-CN" w:bidi="ar-SA"/>
        </w:rPr>
        <w:t>影像记录</w:t>
      </w:r>
    </w:p>
    <w:p w14:paraId="001A1389">
      <w:pPr>
        <w:widowControl w:val="0"/>
        <w:autoSpaceDE/>
        <w:autoSpaceDN/>
        <w:ind w:firstLine="396" w:firstLineChars="200"/>
        <w:jc w:val="both"/>
        <w:rPr>
          <w:rFonts w:ascii="宋体" w:hAnsi="宋体" w:eastAsia="宋体" w:cs="宋体"/>
          <w:sz w:val="21"/>
          <w:szCs w:val="21"/>
          <w:lang w:val="en-US" w:eastAsia="zh-CN" w:bidi="ar-SA"/>
        </w:rPr>
      </w:pPr>
      <w:r>
        <w:rPr>
          <w:rFonts w:hint="eastAsia" w:ascii="宋体" w:hAnsi="宋体" w:eastAsia="宋体" w:cs="宋体"/>
          <w:spacing w:val="-6"/>
          <w:sz w:val="21"/>
          <w:szCs w:val="21"/>
          <w:lang w:val="en-US" w:eastAsia="zh-CN" w:bidi="ar-SA"/>
        </w:rPr>
        <w:t>土壤采样过程中应对钻孔位置、钻孔过程、采样过程、样品及岩芯箱等关键信息拍照或录像记录，</w:t>
      </w:r>
      <w:r>
        <w:rPr>
          <w:rFonts w:hint="eastAsia" w:ascii="宋体" w:hAnsi="宋体" w:eastAsia="宋体" w:cs="宋体"/>
          <w:sz w:val="21"/>
          <w:szCs w:val="21"/>
          <w:lang w:val="en-US" w:eastAsia="zh-CN" w:bidi="ar-SA"/>
        </w:rPr>
        <w:t>所有影像资料均应含有项目名称、钻孔编号、采样单位名称、采样日期等信息，所有拍摄视频记录应留存备查。</w:t>
      </w:r>
    </w:p>
    <w:p w14:paraId="2C3960A6">
      <w:pPr>
        <w:widowControl w:val="0"/>
        <w:tabs>
          <w:tab w:val="center" w:pos="4201"/>
          <w:tab w:val="right" w:leader="dot" w:pos="9298"/>
        </w:tabs>
        <w:autoSpaceDE/>
        <w:autoSpaceDN/>
        <w:ind w:firstLine="0" w:firstLineChars="0"/>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6.5.3.1</w:t>
      </w:r>
      <w:r>
        <w:rPr>
          <w:rFonts w:hint="eastAsia" w:ascii="宋体" w:hAnsi="宋体" w:eastAsia="宋体" w:cs="宋体"/>
          <w:sz w:val="21"/>
          <w:szCs w:val="21"/>
          <w:lang w:val="en-US" w:eastAsia="zh-CN" w:bidi="ar-SA"/>
        </w:rPr>
        <w:t xml:space="preserve"> </w:t>
      </w:r>
      <w:r>
        <w:rPr>
          <w:rFonts w:hint="eastAsia" w:ascii="黑体" w:hAnsi="黑体" w:eastAsia="黑体" w:cs="宋体"/>
          <w:sz w:val="21"/>
          <w:szCs w:val="21"/>
          <w:lang w:val="en-US" w:eastAsia="zh-CN" w:bidi="ar-SA"/>
        </w:rPr>
        <w:t>钻孔位置：</w:t>
      </w:r>
      <w:r>
        <w:rPr>
          <w:rFonts w:hint="eastAsia" w:ascii="宋体" w:hAnsi="宋体" w:eastAsia="宋体" w:cs="宋体"/>
          <w:sz w:val="21"/>
          <w:szCs w:val="21"/>
          <w:lang w:val="en-US" w:eastAsia="zh-CN" w:bidi="ar-SA"/>
        </w:rPr>
        <w:t>应能体现钻孔位置定位信息，按照东、南、西、北四个方向进行拍照记录，照片应能反映周边建筑物、设施等情况，以点位编号+E、S、W、N分别作为东、南、西、北四个方向照片名称；</w:t>
      </w:r>
    </w:p>
    <w:p w14:paraId="293F4427">
      <w:pPr>
        <w:widowControl w:val="0"/>
        <w:tabs>
          <w:tab w:val="center" w:pos="4201"/>
          <w:tab w:val="right" w:leader="dot" w:pos="9298"/>
        </w:tabs>
        <w:autoSpaceDE/>
        <w:autoSpaceDN/>
        <w:ind w:firstLine="0" w:firstLineChars="0"/>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6.5.3.2 钻孔过程</w:t>
      </w:r>
      <w:r>
        <w:rPr>
          <w:rFonts w:hint="eastAsia" w:ascii="宋体" w:hAnsi="宋体" w:eastAsia="宋体" w:cs="宋体"/>
          <w:sz w:val="21"/>
          <w:szCs w:val="21"/>
          <w:lang w:val="en-US" w:eastAsia="zh-CN" w:bidi="ar-SA"/>
        </w:rPr>
        <w:t>：体现钻孔作业中开孔、套管跟进、钻杆更换和取土器使用、原状土样采集、设备清洗等操作环节，每个环节至少1张照片；</w:t>
      </w:r>
    </w:p>
    <w:p w14:paraId="04165A55">
      <w:pPr>
        <w:widowControl w:val="0"/>
        <w:tabs>
          <w:tab w:val="center" w:pos="4201"/>
          <w:tab w:val="right" w:leader="dot" w:pos="9298"/>
        </w:tabs>
        <w:autoSpaceDE/>
        <w:autoSpaceDN/>
        <w:ind w:firstLine="0" w:firstLineChars="0"/>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6.5.3.3</w:t>
      </w:r>
      <w:r>
        <w:rPr>
          <w:rFonts w:hint="eastAsia" w:ascii="宋体" w:hAnsi="宋体" w:eastAsia="宋体" w:cs="宋体"/>
          <w:sz w:val="21"/>
          <w:szCs w:val="21"/>
          <w:lang w:val="en-US" w:eastAsia="zh-CN" w:bidi="ar-SA"/>
        </w:rPr>
        <w:t xml:space="preserve"> </w:t>
      </w:r>
      <w:r>
        <w:rPr>
          <w:rFonts w:hint="eastAsia" w:ascii="黑体" w:hAnsi="黑体" w:eastAsia="黑体" w:cs="宋体"/>
          <w:sz w:val="21"/>
          <w:szCs w:val="21"/>
          <w:lang w:val="en-US" w:eastAsia="zh-CN" w:bidi="ar-SA"/>
        </w:rPr>
        <w:t>采样过程：</w:t>
      </w:r>
      <w:r>
        <w:rPr>
          <w:rFonts w:hint="eastAsia" w:ascii="宋体" w:hAnsi="宋体" w:eastAsia="宋体" w:cs="宋体"/>
          <w:sz w:val="21"/>
          <w:szCs w:val="21"/>
          <w:lang w:val="en-US" w:eastAsia="zh-CN" w:bidi="ar-SA"/>
        </w:rPr>
        <w:t>体现采样工具、采集位置、土壤装样过程、现场检测仪器使用等关键信息， 采样过程拍摄视频记录备查。</w:t>
      </w:r>
    </w:p>
    <w:p w14:paraId="31812F95">
      <w:pPr>
        <w:widowControl w:val="0"/>
        <w:tabs>
          <w:tab w:val="center" w:pos="4201"/>
          <w:tab w:val="right" w:leader="dot" w:pos="9298"/>
        </w:tabs>
        <w:autoSpaceDE/>
        <w:autoSpaceDN/>
        <w:ind w:firstLine="0" w:firstLineChars="0"/>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6.5.3.4</w:t>
      </w:r>
      <w:r>
        <w:rPr>
          <w:rFonts w:hint="eastAsia" w:ascii="宋体" w:hAnsi="宋体" w:eastAsia="宋体" w:cs="宋体"/>
          <w:sz w:val="21"/>
          <w:szCs w:val="21"/>
          <w:lang w:val="en-US" w:eastAsia="zh-CN" w:bidi="ar-SA"/>
        </w:rPr>
        <w:t xml:space="preserve"> </w:t>
      </w:r>
      <w:r>
        <w:rPr>
          <w:rFonts w:hint="eastAsia" w:ascii="黑体" w:hAnsi="黑体" w:eastAsia="黑体" w:cs="宋体"/>
          <w:sz w:val="21"/>
          <w:szCs w:val="21"/>
          <w:lang w:val="en-US" w:eastAsia="zh-CN" w:bidi="ar-SA"/>
        </w:rPr>
        <w:t>样品及岩芯箱：</w:t>
      </w:r>
      <w:r>
        <w:rPr>
          <w:rFonts w:hint="eastAsia" w:ascii="宋体" w:hAnsi="宋体" w:eastAsia="宋体" w:cs="宋体"/>
          <w:sz w:val="21"/>
          <w:szCs w:val="21"/>
          <w:lang w:val="en-US" w:eastAsia="zh-CN" w:bidi="ar-SA"/>
        </w:rPr>
        <w:t>体现整个钻孔土层的结构特征、岩芯深度等信息，重点突出土层的地质变化和污染特征，每个岩芯箱至少1张照片。</w:t>
      </w:r>
    </w:p>
    <w:p w14:paraId="5C043F74">
      <w:pPr>
        <w:widowControl w:val="0"/>
        <w:tabs>
          <w:tab w:val="center" w:pos="4201"/>
          <w:tab w:val="right" w:leader="dot" w:pos="9298"/>
        </w:tabs>
        <w:autoSpaceDE/>
        <w:autoSpaceDN/>
        <w:ind w:firstLine="0" w:firstLineChars="0"/>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6.5.3.5</w:t>
      </w:r>
      <w:r>
        <w:rPr>
          <w:rFonts w:hint="eastAsia" w:ascii="宋体" w:hAnsi="宋体" w:eastAsia="宋体" w:cs="宋体"/>
          <w:sz w:val="21"/>
          <w:szCs w:val="21"/>
          <w:lang w:val="en-US" w:eastAsia="zh-CN" w:bidi="ar-SA"/>
        </w:rPr>
        <w:t xml:space="preserve"> </w:t>
      </w:r>
      <w:r>
        <w:rPr>
          <w:rFonts w:hint="eastAsia" w:ascii="黑体" w:hAnsi="黑体" w:eastAsia="黑体" w:cs="宋体"/>
          <w:sz w:val="21"/>
          <w:szCs w:val="21"/>
          <w:lang w:val="en-US" w:eastAsia="zh-CN" w:bidi="ar-SA"/>
        </w:rPr>
        <w:t>样品保存和流转：</w:t>
      </w:r>
      <w:r>
        <w:rPr>
          <w:rFonts w:hint="eastAsia" w:ascii="宋体" w:hAnsi="宋体" w:eastAsia="宋体" w:cs="宋体"/>
          <w:sz w:val="21"/>
          <w:szCs w:val="21"/>
          <w:lang w:val="en-US" w:eastAsia="zh-CN" w:bidi="ar-SA"/>
        </w:rPr>
        <w:t>应进行拍摄、记录备查。</w:t>
      </w:r>
    </w:p>
    <w:p w14:paraId="73FD2A27">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48" w:name="6.6_现场质量控制样品"/>
      <w:bookmarkEnd w:id="148"/>
      <w:bookmarkStart w:id="149" w:name="_Toc15432"/>
      <w:bookmarkStart w:id="150" w:name="_Toc169694658"/>
      <w:r>
        <w:rPr>
          <w:rFonts w:hint="eastAsia" w:ascii="黑体" w:hAnsi="黑体" w:eastAsia="黑体" w:cs="黑体"/>
          <w:sz w:val="21"/>
          <w:szCs w:val="21"/>
          <w:lang w:val="en-US" w:eastAsia="zh-CN" w:bidi="ar-SA"/>
        </w:rPr>
        <w:t>现场采样质量控制</w:t>
      </w:r>
      <w:bookmarkEnd w:id="149"/>
      <w:bookmarkEnd w:id="150"/>
    </w:p>
    <w:p w14:paraId="6E819CA4">
      <w:pPr>
        <w:autoSpaceDE/>
        <w:autoSpaceDN/>
        <w:jc w:val="both"/>
        <w:rPr>
          <w:rFonts w:ascii="宋体" w:hAnsi="宋体" w:eastAsia="宋体" w:cs="Times New Roman"/>
          <w:kern w:val="0"/>
          <w:sz w:val="21"/>
          <w:szCs w:val="21"/>
          <w:lang w:eastAsia="zh-CN"/>
        </w:rPr>
      </w:pPr>
      <w:r>
        <w:rPr>
          <w:rFonts w:hint="eastAsia" w:ascii="黑体" w:hAnsi="黑体" w:eastAsia="黑体" w:cs="Times New Roman"/>
          <w:kern w:val="0"/>
          <w:sz w:val="21"/>
          <w:szCs w:val="21"/>
          <w:lang w:eastAsia="zh-CN"/>
        </w:rPr>
        <w:t xml:space="preserve">6.6.1 </w:t>
      </w:r>
      <w:r>
        <w:rPr>
          <w:rFonts w:ascii="黑体" w:hAnsi="黑体" w:eastAsia="黑体" w:cs="Times New Roman"/>
          <w:kern w:val="0"/>
          <w:sz w:val="21"/>
          <w:szCs w:val="21"/>
          <w:lang w:eastAsia="zh-CN"/>
        </w:rPr>
        <w:t xml:space="preserve"> </w:t>
      </w:r>
      <w:r>
        <w:rPr>
          <w:rFonts w:hint="eastAsia" w:ascii="宋体" w:hAnsi="宋体" w:eastAsia="宋体" w:cs="Times New Roman"/>
          <w:kern w:val="0"/>
          <w:sz w:val="21"/>
          <w:szCs w:val="21"/>
          <w:lang w:eastAsia="zh-CN"/>
        </w:rPr>
        <w:t>为避免交叉污染，应对采样设备、取样装置进行清洗；与土壤接触的其他采样工具重复利用时也应清洗，一般情况下可用清水清理，也可用待采土样或清洁土壤进行清洗；必要时或特殊情况下，可采用无磷去垢剂溶液、高压自来水、去离子水（蒸馏水）或 10%硝酸进行清洗。</w:t>
      </w:r>
    </w:p>
    <w:p w14:paraId="4BDDCD37">
      <w:pPr>
        <w:autoSpaceDE/>
        <w:autoSpaceDN/>
        <w:jc w:val="both"/>
        <w:rPr>
          <w:rFonts w:ascii="宋体" w:hAnsi="宋体" w:eastAsia="宋体" w:cs="Times New Roman"/>
          <w:kern w:val="0"/>
          <w:sz w:val="21"/>
          <w:szCs w:val="21"/>
          <w:lang w:eastAsia="zh-CN"/>
        </w:rPr>
      </w:pPr>
      <w:r>
        <w:rPr>
          <w:rFonts w:hint="eastAsia" w:ascii="黑体" w:hAnsi="黑体" w:eastAsia="黑体" w:cs="Times New Roman"/>
          <w:kern w:val="0"/>
          <w:sz w:val="21"/>
          <w:szCs w:val="21"/>
          <w:lang w:eastAsia="zh-CN"/>
        </w:rPr>
        <w:t>6.6.2</w:t>
      </w:r>
      <w:r>
        <w:rPr>
          <w:rFonts w:hint="eastAsia" w:ascii="宋体" w:hAnsi="宋体" w:eastAsia="宋体" w:cs="Times New Roman"/>
          <w:kern w:val="0"/>
          <w:sz w:val="21"/>
          <w:szCs w:val="21"/>
          <w:lang w:eastAsia="zh-CN"/>
        </w:rPr>
        <w:t xml:space="preserve"> </w:t>
      </w:r>
      <w:r>
        <w:rPr>
          <w:rFonts w:ascii="宋体" w:hAnsi="宋体" w:eastAsia="宋体" w:cs="Times New Roman"/>
          <w:kern w:val="0"/>
          <w:sz w:val="21"/>
          <w:szCs w:val="21"/>
          <w:lang w:eastAsia="zh-CN"/>
        </w:rPr>
        <w:t xml:space="preserve"> </w:t>
      </w:r>
      <w:r>
        <w:rPr>
          <w:rFonts w:hint="eastAsia" w:ascii="宋体" w:hAnsi="宋体" w:eastAsia="宋体" w:cs="宋体"/>
          <w:kern w:val="0"/>
          <w:sz w:val="21"/>
          <w:szCs w:val="21"/>
          <w:lang w:eastAsia="zh-CN"/>
        </w:rPr>
        <w:t>采样过程中，每批（原则上最多 20 个样品/批）样品应采集10%的现场平行样，样品数量不足10个时，应至少采集1个现场平行样。平行样的采集，原则上选择场地内污染物较重、且可采集到足够样品量的点位；设置平行样采样深度的选择，应避免跨不同性质土层采集，同时应当避免跨地下水水位线采集。分析方法有规定的，按规定执行。</w:t>
      </w:r>
      <w:r>
        <w:rPr>
          <w:rFonts w:hint="eastAsia" w:ascii="宋体" w:hAnsi="宋体" w:eastAsia="宋体" w:cs="宋体"/>
          <w:bCs/>
          <w:kern w:val="0"/>
          <w:sz w:val="21"/>
          <w:szCs w:val="21"/>
          <w:lang w:eastAsia="zh-CN"/>
        </w:rPr>
        <w:t>现场平行作为该批次样品的质量控制措施，不参与该点位样品含量的计算，但应能满足分析方法标准相关要求，没有标准的参照附录A1实验室间精密度控制要求。</w:t>
      </w:r>
    </w:p>
    <w:p w14:paraId="68B024A1">
      <w:pPr>
        <w:autoSpaceDE/>
        <w:autoSpaceDN/>
        <w:jc w:val="both"/>
        <w:rPr>
          <w:rFonts w:ascii="宋体" w:hAnsi="宋体" w:eastAsia="宋体" w:cs="Times New Roman"/>
          <w:kern w:val="0"/>
          <w:sz w:val="21"/>
          <w:szCs w:val="21"/>
          <w:lang w:eastAsia="zh-CN"/>
        </w:rPr>
      </w:pPr>
      <w:r>
        <w:rPr>
          <w:rFonts w:hint="eastAsia" w:ascii="黑体" w:hAnsi="黑体" w:eastAsia="黑体" w:cs="Times New Roman"/>
          <w:kern w:val="0"/>
          <w:sz w:val="21"/>
          <w:szCs w:val="21"/>
          <w:lang w:eastAsia="zh-CN"/>
        </w:rPr>
        <w:t>6.6.3</w:t>
      </w:r>
      <w:r>
        <w:rPr>
          <w:rFonts w:hint="eastAsia" w:ascii="宋体" w:hAnsi="宋体" w:eastAsia="宋体" w:cs="Times New Roman"/>
          <w:kern w:val="0"/>
          <w:sz w:val="21"/>
          <w:szCs w:val="21"/>
          <w:lang w:eastAsia="zh-CN"/>
        </w:rPr>
        <w:t xml:space="preserve"> </w:t>
      </w:r>
      <w:r>
        <w:rPr>
          <w:rFonts w:ascii="宋体" w:hAnsi="宋体" w:eastAsia="宋体" w:cs="Times New Roman"/>
          <w:kern w:val="0"/>
          <w:sz w:val="21"/>
          <w:szCs w:val="21"/>
          <w:lang w:eastAsia="zh-CN"/>
        </w:rPr>
        <w:t xml:space="preserve"> </w:t>
      </w:r>
      <w:r>
        <w:rPr>
          <w:rFonts w:hint="eastAsia" w:ascii="宋体" w:hAnsi="宋体" w:eastAsia="宋体" w:cs="Times New Roman"/>
          <w:kern w:val="0"/>
          <w:sz w:val="21"/>
          <w:szCs w:val="21"/>
          <w:lang w:eastAsia="zh-CN"/>
        </w:rPr>
        <w:t>现场采样记录、现场监测记录可使用表格描述土壤特征、可疑物质或异常现象等，同时应保留现场相关影像记录，其内容、页码、编号要齐全，便于核查，如有改动应注明修改人及日期。</w:t>
      </w:r>
    </w:p>
    <w:p w14:paraId="241138FB">
      <w:pPr>
        <w:keepNext w:val="0"/>
        <w:keepLines w:val="0"/>
        <w:pageBreakBefore w:val="0"/>
        <w:widowControl w:val="0"/>
        <w:numPr>
          <w:ilvl w:val="0"/>
          <w:numId w:val="34"/>
        </w:numPr>
        <w:tabs>
          <w:tab w:val="left" w:pos="832"/>
          <w:tab w:val="left" w:pos="833"/>
          <w:tab w:val="clear" w:pos="420"/>
        </w:tabs>
        <w:kinsoku/>
        <w:wordWrap/>
        <w:overflowPunct/>
        <w:topLinePunct w:val="0"/>
        <w:autoSpaceDE/>
        <w:autoSpaceDN/>
        <w:bidi w:val="0"/>
        <w:adjustRightInd/>
        <w:snapToGrid/>
        <w:spacing w:before="240" w:beforeLines="100" w:after="240" w:afterLines="100"/>
        <w:ind w:left="0" w:firstLine="0"/>
        <w:jc w:val="both"/>
        <w:textAlignment w:val="auto"/>
        <w:outlineLvl w:val="0"/>
        <w:rPr>
          <w:rFonts w:ascii="黑体" w:hAnsi="黑体" w:eastAsia="黑体" w:cs="黑体"/>
          <w:sz w:val="21"/>
          <w:szCs w:val="21"/>
          <w:lang w:val="en-US" w:eastAsia="en-US" w:bidi="ar-SA"/>
        </w:rPr>
      </w:pPr>
      <w:bookmarkStart w:id="151" w:name="7_样品制备"/>
      <w:bookmarkEnd w:id="151"/>
      <w:bookmarkStart w:id="152" w:name="_Toc169694659"/>
      <w:r>
        <w:rPr>
          <w:rFonts w:hint="eastAsia" w:ascii="黑体" w:hAnsi="黑体" w:eastAsia="黑体" w:cs="黑体"/>
          <w:sz w:val="21"/>
          <w:szCs w:val="21"/>
          <w:lang w:val="en-US" w:eastAsia="en-US" w:bidi="ar-SA"/>
        </w:rPr>
        <w:t>样品制备</w:t>
      </w:r>
      <w:bookmarkEnd w:id="152"/>
    </w:p>
    <w:p w14:paraId="4DEF8E05">
      <w:pPr>
        <w:widowControl w:val="0"/>
        <w:tabs>
          <w:tab w:val="center" w:pos="4201"/>
          <w:tab w:val="right" w:leader="dot" w:pos="9298"/>
        </w:tabs>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土壤样品制备流程、制样工具及容器参见HJ/T 166相关要求。分析方法有规定的，按规定执行。样品制备全过程应配备视频监控设备，视频内容应能清晰显示制样过程。</w:t>
      </w:r>
    </w:p>
    <w:p w14:paraId="52BAC5ED">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53" w:name="7.1_风干"/>
      <w:bookmarkEnd w:id="153"/>
      <w:bookmarkStart w:id="154" w:name="_bookmark21"/>
      <w:bookmarkEnd w:id="154"/>
      <w:bookmarkStart w:id="155" w:name="_Toc9103"/>
      <w:bookmarkStart w:id="156" w:name="_Toc169694660"/>
      <w:r>
        <w:rPr>
          <w:rFonts w:hint="eastAsia" w:ascii="黑体" w:hAnsi="黑体" w:eastAsia="黑体" w:cs="黑体"/>
          <w:sz w:val="21"/>
          <w:szCs w:val="21"/>
          <w:lang w:val="en-US" w:eastAsia="zh-CN" w:bidi="ar-SA"/>
        </w:rPr>
        <w:t>风干</w:t>
      </w:r>
      <w:bookmarkEnd w:id="155"/>
      <w:bookmarkEnd w:id="156"/>
    </w:p>
    <w:p w14:paraId="404348E4">
      <w:pPr>
        <w:autoSpaceDE/>
        <w:autoSpaceDN/>
        <w:jc w:val="both"/>
        <w:rPr>
          <w:rFonts w:ascii="宋体" w:hAnsi="宋体" w:eastAsia="宋体" w:cs="宋体"/>
          <w:kern w:val="0"/>
          <w:sz w:val="21"/>
          <w:szCs w:val="21"/>
          <w:lang w:eastAsia="zh-CN"/>
        </w:rPr>
      </w:pPr>
      <w:bookmarkStart w:id="157" w:name="7.1.1_风干室应配备风干架，通风良好，整洁，无易挥发性化学物质，避免阳光直射"/>
      <w:bookmarkEnd w:id="157"/>
      <w:r>
        <w:rPr>
          <w:rFonts w:hint="eastAsia" w:ascii="黑体" w:hAnsi="黑体" w:eastAsia="黑体" w:cs="宋体"/>
          <w:kern w:val="0"/>
          <w:sz w:val="21"/>
          <w:szCs w:val="21"/>
          <w:lang w:eastAsia="zh-CN"/>
        </w:rPr>
        <w:t>7</w:t>
      </w:r>
      <w:r>
        <w:rPr>
          <w:rFonts w:ascii="黑体" w:hAnsi="黑体" w:eastAsia="黑体" w:cs="宋体"/>
          <w:kern w:val="0"/>
          <w:sz w:val="21"/>
          <w:szCs w:val="21"/>
          <w:lang w:eastAsia="zh-CN"/>
        </w:rPr>
        <w:t xml:space="preserve">.1.1 </w:t>
      </w:r>
      <w:r>
        <w:rPr>
          <w:rFonts w:ascii="宋体" w:hAnsi="宋体" w:eastAsia="宋体" w:cs="宋体"/>
          <w:kern w:val="0"/>
          <w:sz w:val="21"/>
          <w:szCs w:val="21"/>
          <w:lang w:eastAsia="zh-CN"/>
        </w:rPr>
        <w:t xml:space="preserve"> </w:t>
      </w:r>
      <w:r>
        <w:rPr>
          <w:rFonts w:hint="eastAsia" w:ascii="宋体" w:hAnsi="宋体" w:eastAsia="宋体" w:cs="宋体"/>
          <w:kern w:val="0"/>
          <w:sz w:val="21"/>
          <w:szCs w:val="21"/>
          <w:lang w:eastAsia="zh-CN"/>
        </w:rPr>
        <w:t>风干室应配备风干架，通风良好，整洁，无易挥发性化学物质，避免阳光直射土壤样品，注意防酸或碱等污染，可在窗户加设防尘网。每层样品风干盘上方空间应不少于 30 cm，风干盘之间间隔应不少于 10 cm。</w:t>
      </w:r>
    </w:p>
    <w:p w14:paraId="7243A6A0">
      <w:pPr>
        <w:autoSpaceDE/>
        <w:autoSpaceDN/>
        <w:jc w:val="both"/>
        <w:rPr>
          <w:rFonts w:ascii="宋体" w:hAnsi="宋体" w:eastAsia="宋体" w:cs="Times New Roman"/>
          <w:kern w:val="0"/>
          <w:sz w:val="21"/>
          <w:szCs w:val="21"/>
          <w:lang w:eastAsia="zh-CN"/>
        </w:rPr>
      </w:pPr>
      <w:bookmarkStart w:id="158" w:name="7.1.2_在风干室将土样放置于风干盘中，摊成2_cm～3_cm的薄层，适时地压"/>
      <w:bookmarkEnd w:id="158"/>
      <w:r>
        <w:rPr>
          <w:rFonts w:hint="eastAsia" w:ascii="黑体" w:hAnsi="黑体" w:eastAsia="黑体" w:cs="Times New Roman"/>
          <w:kern w:val="0"/>
          <w:sz w:val="21"/>
          <w:szCs w:val="21"/>
          <w:lang w:eastAsia="zh-CN"/>
        </w:rPr>
        <w:t>7</w:t>
      </w:r>
      <w:r>
        <w:rPr>
          <w:rFonts w:ascii="黑体" w:hAnsi="黑体" w:eastAsia="黑体" w:cs="Times New Roman"/>
          <w:kern w:val="0"/>
          <w:sz w:val="21"/>
          <w:szCs w:val="21"/>
          <w:lang w:eastAsia="zh-CN"/>
        </w:rPr>
        <w:t xml:space="preserve">.1.2 </w:t>
      </w:r>
      <w:r>
        <w:rPr>
          <w:rFonts w:ascii="宋体" w:hAnsi="宋体" w:eastAsia="宋体" w:cs="Times New Roman"/>
          <w:kern w:val="0"/>
          <w:sz w:val="21"/>
          <w:szCs w:val="21"/>
          <w:lang w:eastAsia="zh-CN"/>
        </w:rPr>
        <w:t xml:space="preserve"> </w:t>
      </w:r>
      <w:r>
        <w:rPr>
          <w:rFonts w:hint="eastAsia" w:ascii="宋体" w:hAnsi="宋体" w:eastAsia="宋体" w:cs="Times New Roman"/>
          <w:kern w:val="0"/>
          <w:sz w:val="21"/>
          <w:szCs w:val="21"/>
          <w:lang w:eastAsia="zh-CN"/>
        </w:rPr>
        <w:t>土壤样品运达样品制备场所后，应尽快倒在铺垫有垫纸(如牛皮纸)的风干盘中进行风干,并将样品标签核对后粘贴在垫纸上。将土壤样品摊成 2 cm～3 cm 的薄层，适时地压碎、翻动，拣出碎石、砂砾、植物残体。土壤风干状态应以样品无明显水迹、无明显含水土块、土团酥松能轻松锤碎为宜。</w:t>
      </w:r>
    </w:p>
    <w:p w14:paraId="5FC7447D">
      <w:pPr>
        <w:autoSpaceDE/>
        <w:autoSpaceDN/>
        <w:jc w:val="both"/>
        <w:rPr>
          <w:rFonts w:ascii="宋体" w:hAnsi="宋体" w:eastAsia="宋体" w:cs="Times New Roman"/>
          <w:kern w:val="0"/>
          <w:sz w:val="21"/>
          <w:szCs w:val="21"/>
          <w:lang w:eastAsia="zh-CN"/>
        </w:rPr>
      </w:pPr>
      <w:bookmarkStart w:id="159" w:name="7.1.3_除自然风干外，在保证不影响目标物测试结果的情况下，可采用土壤冷冻干燥"/>
      <w:bookmarkEnd w:id="159"/>
      <w:r>
        <w:rPr>
          <w:rFonts w:hint="eastAsia" w:ascii="黑体" w:hAnsi="黑体" w:eastAsia="黑体" w:cs="Times New Roman"/>
          <w:kern w:val="0"/>
          <w:sz w:val="21"/>
          <w:szCs w:val="21"/>
          <w:lang w:eastAsia="zh-CN"/>
        </w:rPr>
        <w:t>7</w:t>
      </w:r>
      <w:r>
        <w:rPr>
          <w:rFonts w:ascii="黑体" w:hAnsi="黑体" w:eastAsia="黑体" w:cs="Times New Roman"/>
          <w:kern w:val="0"/>
          <w:sz w:val="21"/>
          <w:szCs w:val="21"/>
          <w:lang w:eastAsia="zh-CN"/>
        </w:rPr>
        <w:t xml:space="preserve">.1.3 </w:t>
      </w:r>
      <w:r>
        <w:rPr>
          <w:rFonts w:ascii="宋体" w:hAnsi="宋体" w:eastAsia="宋体" w:cs="Times New Roman"/>
          <w:kern w:val="0"/>
          <w:sz w:val="21"/>
          <w:szCs w:val="21"/>
          <w:lang w:eastAsia="zh-CN"/>
        </w:rPr>
        <w:t xml:space="preserve"> </w:t>
      </w:r>
      <w:r>
        <w:rPr>
          <w:rFonts w:hint="eastAsia" w:ascii="宋体" w:hAnsi="宋体" w:eastAsia="宋体" w:cs="Times New Roman"/>
          <w:kern w:val="0"/>
          <w:sz w:val="21"/>
          <w:szCs w:val="21"/>
          <w:lang w:eastAsia="zh-CN"/>
        </w:rPr>
        <w:t>除自然风干外，在保证不影响目标物测试结果的情况下，可采用土壤冷冻干燥机和土壤干燥箱等设备进行干燥，若使用土壤干燥箱，建议干燥温度控制在35±5℃内。土壤中六价铬稳定性差，建议采取冷冻干燥法进行干燥。</w:t>
      </w:r>
    </w:p>
    <w:p w14:paraId="59DCF6B7">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60" w:name="7.2_研磨"/>
      <w:bookmarkEnd w:id="160"/>
      <w:bookmarkStart w:id="161" w:name="_bookmark22"/>
      <w:bookmarkEnd w:id="161"/>
      <w:bookmarkStart w:id="162" w:name="_Toc169694661"/>
      <w:bookmarkStart w:id="163" w:name="_Toc13372"/>
      <w:r>
        <w:rPr>
          <w:rFonts w:hint="eastAsia" w:ascii="黑体" w:hAnsi="黑体" w:eastAsia="黑体" w:cs="黑体"/>
          <w:sz w:val="21"/>
          <w:szCs w:val="21"/>
          <w:lang w:val="en-US" w:eastAsia="zh-CN" w:bidi="ar-SA"/>
        </w:rPr>
        <w:t>研磨</w:t>
      </w:r>
      <w:bookmarkEnd w:id="162"/>
      <w:bookmarkEnd w:id="163"/>
    </w:p>
    <w:p w14:paraId="38DE9FDE">
      <w:pPr>
        <w:keepNext w:val="0"/>
        <w:keepLines w:val="0"/>
        <w:pageBreakBefore w:val="0"/>
        <w:widowControl w:val="0"/>
        <w:numPr>
          <w:ilvl w:val="2"/>
          <w:numId w:val="39"/>
        </w:numPr>
        <w:tabs>
          <w:tab w:val="left" w:pos="962"/>
          <w:tab w:val="left" w:pos="963"/>
        </w:tabs>
        <w:kinsoku/>
        <w:wordWrap/>
        <w:overflowPunct/>
        <w:topLinePunct w:val="0"/>
        <w:autoSpaceDE/>
        <w:autoSpaceDN/>
        <w:bidi w:val="0"/>
        <w:adjustRightInd/>
        <w:snapToGrid/>
        <w:ind w:left="0" w:firstLine="0"/>
        <w:jc w:val="both"/>
        <w:textAlignment w:val="auto"/>
        <w:rPr>
          <w:rFonts w:ascii="宋体" w:hAnsi="宋体" w:eastAsia="宋体" w:cs="宋体"/>
          <w:sz w:val="21"/>
          <w:szCs w:val="21"/>
          <w:lang w:val="en-US" w:eastAsia="zh-CN" w:bidi="ar-SA"/>
        </w:rPr>
      </w:pPr>
      <w:bookmarkStart w:id="164" w:name="7.2.1_应设置专用土壤制样室，每个工位应配备专门的通风除尘设施和操作台。工位"/>
      <w:bookmarkEnd w:id="164"/>
      <w:r>
        <w:rPr>
          <w:rFonts w:hint="eastAsia" w:ascii="宋体" w:hAnsi="宋体" w:eastAsia="宋体" w:cs="宋体"/>
          <w:spacing w:val="-6"/>
          <w:sz w:val="21"/>
          <w:szCs w:val="21"/>
          <w:lang w:val="en-US" w:eastAsia="zh-CN" w:bidi="ar-SA"/>
        </w:rPr>
        <w:t xml:space="preserve"> 应设置专用土壤制样室，每个工位应配备专门的通风除尘设施和操作台。工位之间应互相独立，防止样品交叉污染。制样设施建议采取降噪措施以降低噪音。</w:t>
      </w:r>
    </w:p>
    <w:p w14:paraId="5715AA83">
      <w:pPr>
        <w:keepNext w:val="0"/>
        <w:keepLines w:val="0"/>
        <w:pageBreakBefore w:val="0"/>
        <w:widowControl w:val="0"/>
        <w:numPr>
          <w:ilvl w:val="2"/>
          <w:numId w:val="39"/>
        </w:numPr>
        <w:tabs>
          <w:tab w:val="left" w:pos="962"/>
          <w:tab w:val="left" w:pos="963"/>
        </w:tabs>
        <w:kinsoku/>
        <w:wordWrap/>
        <w:overflowPunct/>
        <w:topLinePunct w:val="0"/>
        <w:autoSpaceDE/>
        <w:autoSpaceDN/>
        <w:bidi w:val="0"/>
        <w:adjustRightInd/>
        <w:snapToGrid/>
        <w:ind w:left="0" w:firstLine="0"/>
        <w:jc w:val="both"/>
        <w:textAlignment w:val="auto"/>
        <w:rPr>
          <w:rFonts w:ascii="宋体" w:hAnsi="宋体" w:eastAsia="宋体" w:cs="宋体"/>
          <w:sz w:val="21"/>
          <w:szCs w:val="21"/>
          <w:lang w:val="en-US" w:eastAsia="zh-CN" w:bidi="ar-SA"/>
        </w:rPr>
      </w:pPr>
      <w:bookmarkStart w:id="165" w:name="7.2.2_为保证土壤样品分析指标的准确性，应采用逐级研磨、边磨边筛的研磨方式，"/>
      <w:bookmarkEnd w:id="165"/>
      <w:r>
        <w:rPr>
          <w:rFonts w:hint="eastAsia" w:ascii="宋体" w:hAnsi="宋体" w:eastAsia="宋体" w:cs="宋体"/>
          <w:sz w:val="21"/>
          <w:szCs w:val="21"/>
          <w:lang w:val="en-US" w:eastAsia="zh-CN" w:bidi="ar-SA"/>
        </w:rPr>
        <w:t xml:space="preserve"> 样品研磨分为粗磨和细磨。粗磨是将样品研磨至全部通过2mm筛网的过程。粗磨后的样品采取四分法进行缩分，样品缩分前应充分混匀，</w:t>
      </w:r>
      <w:r>
        <w:rPr>
          <w:rFonts w:hint="eastAsia" w:ascii="宋体" w:hAnsi="宋体" w:eastAsia="宋体" w:cs="宋体"/>
          <w:spacing w:val="-6"/>
          <w:sz w:val="21"/>
          <w:szCs w:val="21"/>
          <w:lang w:val="en-US" w:eastAsia="zh-CN" w:bidi="ar-SA"/>
        </w:rPr>
        <w:t>确保每份土壤样品的均匀性和代表性</w:t>
      </w:r>
      <w:r>
        <w:rPr>
          <w:rFonts w:hint="eastAsia" w:ascii="宋体" w:hAnsi="宋体" w:eastAsia="宋体" w:cs="宋体"/>
          <w:sz w:val="21"/>
          <w:szCs w:val="21"/>
          <w:lang w:val="en-US" w:eastAsia="zh-CN" w:bidi="ar-SA"/>
        </w:rPr>
        <w:t>。缩分后样品留作细磨或留样。</w:t>
      </w:r>
      <w:r>
        <w:rPr>
          <w:rFonts w:hint="eastAsia" w:ascii="宋体" w:hAnsi="宋体" w:eastAsia="宋体" w:cs="宋体"/>
          <w:spacing w:val="-4"/>
          <w:sz w:val="21"/>
          <w:szCs w:val="21"/>
          <w:lang w:val="en-US" w:eastAsia="zh-CN" w:bidi="ar-SA"/>
        </w:rPr>
        <w:t xml:space="preserve">留作细磨的样品量不少于 </w:t>
      </w:r>
      <w:r>
        <w:rPr>
          <w:rFonts w:hint="eastAsia" w:ascii="宋体" w:hAnsi="宋体" w:eastAsia="宋体" w:cs="宋体"/>
          <w:sz w:val="21"/>
          <w:szCs w:val="21"/>
          <w:lang w:val="en-US" w:eastAsia="zh-CN" w:bidi="ar-SA"/>
        </w:rPr>
        <w:t>100</w:t>
      </w:r>
      <w:r>
        <w:rPr>
          <w:rFonts w:hint="eastAsia" w:ascii="宋体" w:hAnsi="宋体" w:eastAsia="宋体" w:cs="宋体"/>
          <w:spacing w:val="5"/>
          <w:sz w:val="21"/>
          <w:szCs w:val="21"/>
          <w:lang w:val="en-US" w:eastAsia="zh-CN" w:bidi="ar-SA"/>
        </w:rPr>
        <w:t xml:space="preserve"> </w:t>
      </w:r>
      <w:r>
        <w:rPr>
          <w:rFonts w:hint="eastAsia" w:ascii="宋体" w:hAnsi="宋体" w:eastAsia="宋体" w:cs="宋体"/>
          <w:sz w:val="21"/>
          <w:szCs w:val="21"/>
          <w:lang w:val="en-US" w:eastAsia="zh-CN" w:bidi="ar-SA"/>
        </w:rPr>
        <w:t>g</w:t>
      </w:r>
      <w:r>
        <w:rPr>
          <w:rFonts w:hint="eastAsia" w:ascii="宋体" w:hAnsi="宋体" w:eastAsia="宋体" w:cs="宋体"/>
          <w:spacing w:val="-7"/>
          <w:sz w:val="21"/>
          <w:szCs w:val="21"/>
          <w:lang w:val="en-US" w:eastAsia="zh-CN" w:bidi="ar-SA"/>
        </w:rPr>
        <w:t xml:space="preserve">，全部过孔径 </w:t>
      </w:r>
      <w:r>
        <w:rPr>
          <w:rFonts w:hint="eastAsia" w:ascii="宋体" w:hAnsi="宋体" w:eastAsia="宋体" w:cs="宋体"/>
          <w:sz w:val="21"/>
          <w:szCs w:val="21"/>
          <w:lang w:val="en-US" w:eastAsia="zh-CN" w:bidi="ar-SA"/>
        </w:rPr>
        <w:t>0.15</w:t>
      </w:r>
      <w:r>
        <w:rPr>
          <w:rFonts w:hint="eastAsia" w:ascii="宋体" w:hAnsi="宋体" w:eastAsia="宋体" w:cs="宋体"/>
          <w:spacing w:val="3"/>
          <w:sz w:val="21"/>
          <w:szCs w:val="21"/>
          <w:lang w:val="en-US" w:eastAsia="zh-CN" w:bidi="ar-SA"/>
        </w:rPr>
        <w:t xml:space="preserve"> </w:t>
      </w:r>
      <w:r>
        <w:rPr>
          <w:rFonts w:hint="eastAsia" w:ascii="宋体" w:hAnsi="宋体" w:eastAsia="宋体" w:cs="宋体"/>
          <w:sz w:val="21"/>
          <w:szCs w:val="21"/>
          <w:lang w:val="en-US" w:eastAsia="zh-CN" w:bidi="ar-SA"/>
        </w:rPr>
        <w:t>mm</w:t>
      </w:r>
      <w:r>
        <w:rPr>
          <w:rFonts w:hint="eastAsia" w:ascii="宋体" w:hAnsi="宋体" w:eastAsia="宋体" w:cs="宋体"/>
          <w:spacing w:val="-6"/>
          <w:sz w:val="21"/>
          <w:szCs w:val="21"/>
          <w:lang w:val="en-US" w:eastAsia="zh-CN" w:bidi="ar-SA"/>
        </w:rPr>
        <w:t xml:space="preserve"> 尼龙筛后，用于土壤重金属元素全量分析。标准有单独规定的，按照监测方法标准研磨至相应粒径。</w:t>
      </w:r>
    </w:p>
    <w:p w14:paraId="6D6EA467">
      <w:pPr>
        <w:keepNext w:val="0"/>
        <w:keepLines w:val="0"/>
        <w:pageBreakBefore w:val="0"/>
        <w:widowControl w:val="0"/>
        <w:numPr>
          <w:ilvl w:val="2"/>
          <w:numId w:val="39"/>
        </w:numPr>
        <w:tabs>
          <w:tab w:val="left" w:pos="962"/>
          <w:tab w:val="left" w:pos="963"/>
        </w:tabs>
        <w:kinsoku/>
        <w:wordWrap/>
        <w:overflowPunct/>
        <w:topLinePunct w:val="0"/>
        <w:autoSpaceDE/>
        <w:autoSpaceDN/>
        <w:bidi w:val="0"/>
        <w:adjustRightInd/>
        <w:snapToGrid/>
        <w:ind w:left="0" w:firstLine="0"/>
        <w:jc w:val="both"/>
        <w:textAlignment w:val="auto"/>
        <w:rPr>
          <w:rFonts w:ascii="宋体" w:hAnsi="宋体" w:eastAsia="宋体" w:cs="宋体"/>
          <w:sz w:val="21"/>
          <w:szCs w:val="21"/>
          <w:lang w:val="en-US" w:eastAsia="zh-CN" w:bidi="ar-SA"/>
        </w:rPr>
      </w:pPr>
      <w:bookmarkStart w:id="166" w:name="7.2.3_研磨过程中，应随时拣出非土壤成分，包括碎石、砂砾和植物残体等，但不可"/>
      <w:bookmarkEnd w:id="166"/>
      <w:r>
        <w:rPr>
          <w:rFonts w:hint="eastAsia" w:ascii="宋体" w:hAnsi="宋体" w:eastAsia="宋体" w:cs="宋体"/>
          <w:sz w:val="21"/>
          <w:szCs w:val="21"/>
          <w:lang w:val="en-US" w:eastAsia="zh-CN" w:bidi="ar-SA"/>
        </w:rPr>
        <w:t xml:space="preserve"> 为保证土壤样品分析指标的准确性，应采用逐级研磨、边磨边筛的研磨方式，不能为使土壤样品全部过筛而一次性将土壤样品研磨至过小粒径，以免达不到粒径分级标准。</w:t>
      </w:r>
    </w:p>
    <w:p w14:paraId="4615A028">
      <w:pPr>
        <w:keepNext w:val="0"/>
        <w:keepLines w:val="0"/>
        <w:pageBreakBefore w:val="0"/>
        <w:widowControl w:val="0"/>
        <w:numPr>
          <w:ilvl w:val="2"/>
          <w:numId w:val="39"/>
        </w:numPr>
        <w:tabs>
          <w:tab w:val="left" w:pos="962"/>
          <w:tab w:val="left" w:pos="963"/>
        </w:tabs>
        <w:kinsoku/>
        <w:wordWrap/>
        <w:overflowPunct/>
        <w:topLinePunct w:val="0"/>
        <w:autoSpaceDE/>
        <w:autoSpaceDN/>
        <w:bidi w:val="0"/>
        <w:adjustRightInd/>
        <w:snapToGrid/>
        <w:ind w:left="0" w:firstLine="0"/>
        <w:jc w:val="both"/>
        <w:textAlignment w:val="auto"/>
        <w:rPr>
          <w:rFonts w:ascii="宋体" w:hAnsi="宋体" w:eastAsia="宋体" w:cs="宋体"/>
          <w:sz w:val="21"/>
          <w:szCs w:val="21"/>
          <w:lang w:val="en-US" w:eastAsia="zh-CN" w:bidi="ar-SA"/>
        </w:rPr>
      </w:pPr>
      <w:bookmarkStart w:id="167" w:name="7.2.4_留作细磨的样品量不少于100_g，全部过孔径0.15_mm尼龙筛后，"/>
      <w:bookmarkEnd w:id="167"/>
      <w:r>
        <w:rPr>
          <w:rFonts w:hint="eastAsia" w:ascii="宋体" w:hAnsi="宋体" w:eastAsia="宋体" w:cs="宋体"/>
          <w:sz w:val="21"/>
          <w:szCs w:val="21"/>
          <w:lang w:val="en-US" w:eastAsia="zh-CN" w:bidi="ar-SA"/>
        </w:rPr>
        <w:t xml:space="preserve"> 研磨过程中，应随时拣出非土壤成分，包括碎石、砂砾和植物残体等，但不可随意遗弃土壤样品，避免影响土壤样品的代表性。</w:t>
      </w:r>
    </w:p>
    <w:p w14:paraId="72E6E061">
      <w:pPr>
        <w:keepNext w:val="0"/>
        <w:keepLines w:val="0"/>
        <w:pageBreakBefore w:val="0"/>
        <w:widowControl w:val="0"/>
        <w:numPr>
          <w:ilvl w:val="2"/>
          <w:numId w:val="39"/>
        </w:numPr>
        <w:tabs>
          <w:tab w:val="left" w:pos="962"/>
          <w:tab w:val="left" w:pos="963"/>
        </w:tabs>
        <w:kinsoku/>
        <w:wordWrap/>
        <w:overflowPunct/>
        <w:topLinePunct w:val="0"/>
        <w:autoSpaceDE/>
        <w:autoSpaceDN/>
        <w:bidi w:val="0"/>
        <w:adjustRightInd/>
        <w:snapToGrid/>
        <w:ind w:left="0" w:firstLine="0"/>
        <w:jc w:val="both"/>
        <w:textAlignment w:val="auto"/>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bookmarkStart w:id="168" w:name="7.2.5_及时填写样品制备原始记录表，记录过筛前后的土壤样品重量。"/>
      <w:bookmarkEnd w:id="168"/>
      <w:r>
        <w:rPr>
          <w:rFonts w:hint="eastAsia" w:ascii="宋体" w:hAnsi="宋体" w:eastAsia="宋体" w:cs="宋体"/>
          <w:sz w:val="21"/>
          <w:szCs w:val="21"/>
          <w:lang w:val="en-US" w:eastAsia="zh-CN" w:bidi="ar-SA"/>
        </w:rPr>
        <w:t>及时填写样品制备记录表，记录过筛前后的土壤样品重量。</w:t>
      </w:r>
    </w:p>
    <w:p w14:paraId="3340674C">
      <w:pPr>
        <w:keepNext w:val="0"/>
        <w:keepLines w:val="0"/>
        <w:pageBreakBefore w:val="0"/>
        <w:widowControl w:val="0"/>
        <w:numPr>
          <w:ilvl w:val="2"/>
          <w:numId w:val="39"/>
        </w:numPr>
        <w:tabs>
          <w:tab w:val="left" w:pos="962"/>
          <w:tab w:val="left" w:pos="963"/>
        </w:tabs>
        <w:kinsoku/>
        <w:wordWrap/>
        <w:overflowPunct/>
        <w:topLinePunct w:val="0"/>
        <w:autoSpaceDE/>
        <w:autoSpaceDN/>
        <w:bidi w:val="0"/>
        <w:adjustRightInd/>
        <w:snapToGrid/>
        <w:ind w:left="0" w:firstLine="0"/>
        <w:jc w:val="both"/>
        <w:textAlignment w:val="auto"/>
        <w:rPr>
          <w:rFonts w:ascii="宋体" w:hAnsi="宋体" w:eastAsia="宋体" w:cs="宋体"/>
          <w:sz w:val="21"/>
          <w:szCs w:val="21"/>
          <w:lang w:val="en-US" w:eastAsia="zh-CN" w:bidi="ar-SA"/>
        </w:rPr>
      </w:pPr>
      <w:bookmarkStart w:id="169" w:name="7.2.6_研磨混匀后的样品，分别装于样品袋或样品瓶，填写土壤标签一式两份，瓶内"/>
      <w:bookmarkEnd w:id="169"/>
      <w:r>
        <w:rPr>
          <w:rFonts w:hint="eastAsia" w:ascii="宋体" w:hAnsi="宋体" w:eastAsia="宋体" w:cs="宋体"/>
          <w:sz w:val="21"/>
          <w:szCs w:val="21"/>
          <w:lang w:val="en-US" w:eastAsia="zh-CN" w:bidi="ar-SA"/>
        </w:rPr>
        <w:t xml:space="preserve"> 研磨混匀后的样品，分别装于能封口的样品袋或样品瓶，将样品袋或样品瓶置于牛皮纸袋、布袋或聚乙烯袋内。填写土壤标签一式两份，内层样品瓶或样品袋一份，外层样品袋一份。</w:t>
      </w:r>
    </w:p>
    <w:p w14:paraId="10FFA5EF">
      <w:pPr>
        <w:keepNext w:val="0"/>
        <w:keepLines w:val="0"/>
        <w:pageBreakBefore w:val="0"/>
        <w:widowControl w:val="0"/>
        <w:numPr>
          <w:ilvl w:val="1"/>
          <w:numId w:val="34"/>
        </w:numPr>
        <w:tabs>
          <w:tab w:val="left" w:pos="550"/>
        </w:tabs>
        <w:kinsoku/>
        <w:wordWrap/>
        <w:overflowPunct/>
        <w:topLinePunct w:val="0"/>
        <w:autoSpaceDE/>
        <w:autoSpaceDN/>
        <w:bidi w:val="0"/>
        <w:adjustRightInd/>
        <w:snapToGrid/>
        <w:spacing w:before="120" w:beforeLines="50" w:after="120" w:afterLines="50" w:line="360" w:lineRule="exact"/>
        <w:ind w:left="0" w:firstLine="0"/>
        <w:textAlignment w:val="auto"/>
        <w:outlineLvl w:val="1"/>
        <w:rPr>
          <w:rFonts w:ascii="黑体" w:hAnsi="黑体" w:eastAsia="黑体" w:cs="黑体"/>
          <w:sz w:val="21"/>
          <w:szCs w:val="21"/>
          <w:lang w:val="en-US" w:eastAsia="zh-CN" w:bidi="ar-SA"/>
        </w:rPr>
      </w:pPr>
      <w:bookmarkStart w:id="170" w:name="7.3_留样"/>
      <w:bookmarkEnd w:id="170"/>
      <w:bookmarkStart w:id="171" w:name="_bookmark23"/>
      <w:bookmarkEnd w:id="171"/>
      <w:bookmarkStart w:id="172" w:name="7.2.7_制备过程中，应进行制样损耗率检查，按粗磨、细磨两个阶段分别计算损耗率"/>
      <w:bookmarkEnd w:id="172"/>
      <w:bookmarkStart w:id="173" w:name="_Toc31139"/>
      <w:bookmarkStart w:id="174" w:name="_Toc169694662"/>
      <w:r>
        <w:rPr>
          <w:rFonts w:hint="eastAsia" w:ascii="黑体" w:hAnsi="黑体" w:eastAsia="黑体" w:cs="黑体"/>
          <w:sz w:val="21"/>
          <w:szCs w:val="21"/>
          <w:lang w:val="en-US" w:eastAsia="zh-CN" w:bidi="ar-SA"/>
        </w:rPr>
        <w:t>留样</w:t>
      </w:r>
      <w:bookmarkEnd w:id="173"/>
      <w:bookmarkEnd w:id="174"/>
    </w:p>
    <w:p w14:paraId="4D8E104A">
      <w:pPr>
        <w:keepNext w:val="0"/>
        <w:keepLines w:val="0"/>
        <w:pageBreakBefore w:val="0"/>
        <w:widowControl/>
        <w:numPr>
          <w:ilvl w:val="2"/>
          <w:numId w:val="40"/>
        </w:numPr>
        <w:kinsoku/>
        <w:wordWrap/>
        <w:overflowPunct/>
        <w:topLinePunct w:val="0"/>
        <w:autoSpaceDE/>
        <w:autoSpaceDN/>
        <w:bidi w:val="0"/>
        <w:adjustRightInd/>
        <w:snapToGrid/>
        <w:spacing w:before="120" w:beforeLines="50" w:after="120" w:afterLines="50"/>
        <w:ind w:left="0" w:firstLine="0"/>
        <w:textAlignment w:val="auto"/>
        <w:outlineLvl w:val="4"/>
        <w:rPr>
          <w:rFonts w:ascii="黑体" w:hAnsi="Times New Roman" w:eastAsia="黑体" w:cs="Times New Roman"/>
          <w:sz w:val="21"/>
          <w:szCs w:val="21"/>
          <w:lang w:val="en-US" w:eastAsia="zh-CN" w:bidi="ar-SA"/>
        </w:rPr>
      </w:pPr>
      <w:bookmarkStart w:id="175" w:name="7.3.1_预留样品的保存"/>
      <w:bookmarkEnd w:id="175"/>
      <w:r>
        <w:rPr>
          <w:rFonts w:hint="eastAsia" w:ascii="黑体" w:hAnsi="Times New Roman" w:eastAsia="黑体" w:cs="Times New Roman"/>
          <w:sz w:val="21"/>
          <w:szCs w:val="21"/>
          <w:lang w:val="en-US" w:eastAsia="zh-CN" w:bidi="ar-SA"/>
        </w:rPr>
        <w:t>预留样品的保存</w:t>
      </w:r>
    </w:p>
    <w:p w14:paraId="4DDEDCB2">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预留样品（风干研磨后过2mm尼龙筛）在样品库建立台账保存，预留样品量约200g。</w:t>
      </w:r>
    </w:p>
    <w:p w14:paraId="79922D20">
      <w:pPr>
        <w:widowControl/>
        <w:numPr>
          <w:ilvl w:val="2"/>
          <w:numId w:val="41"/>
        </w:numPr>
        <w:autoSpaceDE/>
        <w:autoSpaceDN/>
        <w:spacing w:before="120" w:beforeLines="50" w:after="120" w:afterLines="50"/>
        <w:ind w:left="720" w:hanging="720"/>
        <w:outlineLvl w:val="4"/>
        <w:rPr>
          <w:rFonts w:ascii="黑体" w:hAnsi="Times New Roman" w:eastAsia="黑体" w:cs="Times New Roman"/>
          <w:sz w:val="21"/>
          <w:szCs w:val="21"/>
          <w:lang w:val="en-US" w:eastAsia="zh-CN" w:bidi="ar-SA"/>
        </w:rPr>
      </w:pPr>
      <w:bookmarkStart w:id="176" w:name="7.3.2_分析取用后的剩余样品"/>
      <w:bookmarkEnd w:id="176"/>
      <w:r>
        <w:rPr>
          <w:rFonts w:hint="eastAsia" w:ascii="黑体" w:hAnsi="Times New Roman" w:eastAsia="黑体" w:cs="Times New Roman"/>
          <w:sz w:val="21"/>
          <w:szCs w:val="21"/>
          <w:lang w:val="en-US" w:eastAsia="zh-CN" w:bidi="ar-SA"/>
        </w:rPr>
        <w:t>分析取用后的剩余样品</w:t>
      </w:r>
    </w:p>
    <w:p w14:paraId="3561A75F">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分析取用后的剩余土壤样品，待全部数据报出后，应移交到样品库保存，以备必要时核查或复测之用。</w:t>
      </w:r>
    </w:p>
    <w:p w14:paraId="2CB8D91D">
      <w:pPr>
        <w:widowControl/>
        <w:autoSpaceDE/>
        <w:autoSpaceDN/>
        <w:spacing w:before="120" w:beforeLines="50" w:after="120" w:afterLines="50"/>
        <w:outlineLvl w:val="4"/>
        <w:rPr>
          <w:rFonts w:ascii="黑体" w:hAnsi="Times New Roman" w:eastAsia="黑体" w:cs="Times New Roman"/>
          <w:sz w:val="21"/>
          <w:szCs w:val="21"/>
          <w:lang w:val="en-US" w:eastAsia="zh-CN" w:bidi="ar-SA"/>
        </w:rPr>
      </w:pPr>
      <w:bookmarkStart w:id="177" w:name="7.3.3_保存时间_"/>
      <w:bookmarkEnd w:id="177"/>
      <w:r>
        <w:rPr>
          <w:rFonts w:hint="eastAsia" w:ascii="黑体" w:hAnsi="Times New Roman" w:eastAsia="黑体" w:cs="Times New Roman"/>
          <w:sz w:val="21"/>
          <w:szCs w:val="21"/>
          <w:lang w:val="en-US" w:eastAsia="zh-CN" w:bidi="ar-SA"/>
        </w:rPr>
        <w:t>7</w:t>
      </w:r>
      <w:r>
        <w:rPr>
          <w:rFonts w:ascii="黑体" w:hAnsi="Times New Roman" w:eastAsia="黑体" w:cs="Times New Roman"/>
          <w:sz w:val="21"/>
          <w:szCs w:val="21"/>
          <w:lang w:val="en-US" w:eastAsia="zh-CN" w:bidi="ar-SA"/>
        </w:rPr>
        <w:t xml:space="preserve">.3.3 </w:t>
      </w:r>
      <w:r>
        <w:rPr>
          <w:rFonts w:hint="eastAsia" w:ascii="黑体" w:hAnsi="Times New Roman" w:eastAsia="黑体" w:cs="Times New Roman"/>
          <w:sz w:val="21"/>
          <w:szCs w:val="21"/>
          <w:lang w:val="en-US" w:eastAsia="zh-CN" w:bidi="ar-SA"/>
        </w:rPr>
        <w:t>保存时间</w:t>
      </w:r>
    </w:p>
    <w:p w14:paraId="5653CAB9">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分析取用后的剩余样品一般保留半年，预留样品一般保留2年。特殊、珍稀、仲裁、有争议样品一般要永久保存。</w:t>
      </w:r>
    </w:p>
    <w:p w14:paraId="768DA955">
      <w:pPr>
        <w:widowControl/>
        <w:numPr>
          <w:ilvl w:val="2"/>
          <w:numId w:val="42"/>
        </w:numPr>
        <w:autoSpaceDE/>
        <w:autoSpaceDN/>
        <w:spacing w:before="120" w:beforeLines="50" w:after="120" w:afterLines="50"/>
        <w:ind w:left="720" w:hanging="720"/>
        <w:outlineLvl w:val="4"/>
        <w:rPr>
          <w:rFonts w:ascii="黑体" w:hAnsi="Times New Roman" w:eastAsia="黑体" w:cs="Times New Roman"/>
          <w:sz w:val="21"/>
          <w:szCs w:val="21"/>
          <w:lang w:val="en-US" w:eastAsia="zh-CN" w:bidi="ar-SA"/>
        </w:rPr>
      </w:pPr>
      <w:bookmarkStart w:id="178" w:name="7.3.4_样品库"/>
      <w:bookmarkEnd w:id="178"/>
      <w:r>
        <w:rPr>
          <w:rFonts w:hint="eastAsia" w:ascii="黑体" w:hAnsi="Times New Roman" w:eastAsia="黑体" w:cs="Times New Roman"/>
          <w:sz w:val="21"/>
          <w:szCs w:val="21"/>
          <w:lang w:val="en-US" w:eastAsia="zh-CN" w:bidi="ar-SA"/>
        </w:rPr>
        <w:t>样品库</w:t>
      </w:r>
    </w:p>
    <w:p w14:paraId="6B038477">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样品库应能长期保持干燥、通风、无阳光直射、无污染，定期检查样品库室内环境。样品库样品要严防潮湿、霉变、防虫、鼠害及标签脱落。建立样品管理制度，土壤样品入库、领用及清理均需填写记</w:t>
      </w:r>
      <w:r>
        <w:rPr>
          <w:rFonts w:hint="eastAsia" w:ascii="宋体" w:hAnsi="宋体" w:eastAsia="宋体" w:cs="宋体"/>
          <w:spacing w:val="-12"/>
          <w:sz w:val="21"/>
          <w:szCs w:val="21"/>
          <w:lang w:val="en-US" w:eastAsia="zh-CN" w:bidi="ar-SA"/>
        </w:rPr>
        <w:t>录。</w:t>
      </w:r>
    </w:p>
    <w:p w14:paraId="7FD2AC53">
      <w:pPr>
        <w:widowControl w:val="0"/>
        <w:numPr>
          <w:ilvl w:val="1"/>
          <w:numId w:val="42"/>
        </w:numPr>
        <w:tabs>
          <w:tab w:val="left" w:pos="550"/>
        </w:tabs>
        <w:autoSpaceDE/>
        <w:autoSpaceDN/>
        <w:spacing w:before="120" w:beforeLines="50" w:after="120" w:afterLines="50" w:line="360" w:lineRule="exact"/>
        <w:ind w:left="525" w:hanging="525"/>
        <w:outlineLvl w:val="1"/>
        <w:rPr>
          <w:rFonts w:ascii="黑体" w:hAnsi="黑体" w:eastAsia="黑体" w:cs="黑体"/>
          <w:sz w:val="21"/>
          <w:szCs w:val="21"/>
          <w:lang w:val="en-US" w:eastAsia="zh-CN" w:bidi="ar-SA"/>
        </w:rPr>
      </w:pPr>
      <w:bookmarkStart w:id="179" w:name="_Toc169694663"/>
      <w:bookmarkStart w:id="180" w:name="_Toc7447"/>
      <w:r>
        <w:rPr>
          <w:rFonts w:hint="eastAsia" w:ascii="黑体" w:hAnsi="黑体" w:eastAsia="黑体" w:cs="黑体"/>
          <w:sz w:val="21"/>
          <w:szCs w:val="21"/>
          <w:lang w:val="en-US" w:eastAsia="zh-CN" w:bidi="ar-SA"/>
        </w:rPr>
        <w:t>制样质量控制</w:t>
      </w:r>
      <w:bookmarkEnd w:id="179"/>
      <w:bookmarkEnd w:id="180"/>
    </w:p>
    <w:p w14:paraId="78AE1F7D">
      <w:pPr>
        <w:autoSpaceDE/>
        <w:autoSpaceDN/>
        <w:jc w:val="both"/>
        <w:rPr>
          <w:rFonts w:ascii="黑体" w:hAnsi="Times New Roman" w:eastAsia="黑体" w:cs="Times New Roman"/>
          <w:kern w:val="0"/>
          <w:sz w:val="21"/>
          <w:szCs w:val="21"/>
          <w:lang w:eastAsia="zh-CN"/>
        </w:rPr>
      </w:pPr>
      <w:r>
        <w:rPr>
          <w:rFonts w:hint="eastAsia" w:ascii="黑体" w:hAnsi="Times New Roman" w:eastAsia="黑体" w:cs="Times New Roman"/>
          <w:kern w:val="0"/>
          <w:sz w:val="21"/>
          <w:szCs w:val="21"/>
          <w:lang w:eastAsia="zh-CN"/>
        </w:rPr>
        <w:t>7</w:t>
      </w:r>
      <w:r>
        <w:rPr>
          <w:rFonts w:ascii="黑体" w:hAnsi="Times New Roman" w:eastAsia="黑体" w:cs="Times New Roman"/>
          <w:kern w:val="0"/>
          <w:sz w:val="21"/>
          <w:szCs w:val="21"/>
          <w:lang w:eastAsia="zh-CN"/>
        </w:rPr>
        <w:t xml:space="preserve">.4.1 </w:t>
      </w:r>
      <w:r>
        <w:rPr>
          <w:rFonts w:hint="eastAsia" w:ascii="宋体" w:hAnsi="宋体" w:eastAsia="宋体" w:cs="Times New Roman"/>
          <w:kern w:val="0"/>
          <w:sz w:val="21"/>
          <w:szCs w:val="21"/>
          <w:lang w:eastAsia="zh-CN"/>
        </w:rPr>
        <w:t>制样过程中土壤标签与土壤样品始终放在一起，严禁混错。</w:t>
      </w:r>
    </w:p>
    <w:p w14:paraId="546B255D">
      <w:pPr>
        <w:widowControl w:val="0"/>
        <w:autoSpaceDE/>
        <w:autoSpaceDN/>
        <w:jc w:val="both"/>
        <w:rPr>
          <w:rFonts w:ascii="宋体" w:hAnsi="宋体" w:eastAsia="宋体" w:cs="宋体"/>
          <w:spacing w:val="-8"/>
          <w:sz w:val="21"/>
          <w:szCs w:val="21"/>
          <w:lang w:val="en-US" w:eastAsia="zh-CN" w:bidi="ar-SA"/>
        </w:rPr>
      </w:pPr>
      <w:r>
        <w:rPr>
          <w:rFonts w:ascii="黑体" w:hAnsi="Times New Roman" w:eastAsia="黑体" w:cs="Times New Roman"/>
          <w:sz w:val="21"/>
          <w:szCs w:val="21"/>
          <w:lang w:val="en-US" w:eastAsia="zh-CN" w:bidi="ar-SA"/>
        </w:rPr>
        <w:t>7.4.2</w:t>
      </w:r>
      <w:r>
        <w:rPr>
          <w:rFonts w:ascii="宋体" w:hAnsi="宋体" w:eastAsia="宋体" w:cs="宋体"/>
          <w:spacing w:val="-8"/>
          <w:sz w:val="21"/>
          <w:szCs w:val="21"/>
          <w:lang w:val="en-US" w:eastAsia="zh-CN" w:bidi="ar-SA"/>
        </w:rPr>
        <w:t xml:space="preserve"> </w:t>
      </w:r>
      <w:r>
        <w:rPr>
          <w:rFonts w:hint="eastAsia" w:ascii="宋体" w:hAnsi="宋体" w:eastAsia="宋体" w:cs="宋体"/>
          <w:sz w:val="21"/>
          <w:szCs w:val="21"/>
          <w:lang w:val="en-US" w:eastAsia="zh-CN" w:bidi="ar-SA"/>
        </w:rPr>
        <w:t>制备过程中，应进行制样损失率检查，按粗磨、细磨两个阶段分别计算损耗率，要求粗磨阶段损失率不高于 3%、细磨阶段不高于 7%。土壤损失率=（研磨后土壤样品重量+不可研磨物体重量）/土壤研磨前样品重量。</w:t>
      </w:r>
    </w:p>
    <w:p w14:paraId="06F84079">
      <w:pPr>
        <w:widowControl w:val="0"/>
        <w:autoSpaceDE/>
        <w:autoSpaceDN/>
        <w:jc w:val="both"/>
        <w:rPr>
          <w:rFonts w:ascii="宋体" w:hAnsi="宋体" w:eastAsia="宋体" w:cs="宋体"/>
          <w:sz w:val="21"/>
          <w:szCs w:val="21"/>
          <w:lang w:val="en-US" w:eastAsia="zh-CN" w:bidi="ar-SA"/>
        </w:rPr>
      </w:pPr>
      <w:bookmarkStart w:id="181" w:name="7.2.8_样品制备完成后，应进行过筛率检查，随机抽取任一样品的10%按原网目过"/>
      <w:bookmarkEnd w:id="181"/>
      <w:r>
        <w:rPr>
          <w:rFonts w:ascii="黑体" w:hAnsi="黑体" w:eastAsia="黑体" w:cs="宋体"/>
          <w:spacing w:val="-8"/>
          <w:sz w:val="21"/>
          <w:szCs w:val="21"/>
          <w:lang w:val="en-US" w:eastAsia="zh-CN" w:bidi="ar-SA"/>
        </w:rPr>
        <w:t>7.4.3</w:t>
      </w:r>
      <w:r>
        <w:rPr>
          <w:rFonts w:ascii="宋体" w:hAnsi="宋体" w:eastAsia="宋体" w:cs="宋体"/>
          <w:spacing w:val="-8"/>
          <w:sz w:val="21"/>
          <w:szCs w:val="21"/>
          <w:lang w:val="en-US" w:eastAsia="zh-CN" w:bidi="ar-SA"/>
        </w:rPr>
        <w:t xml:space="preserve"> </w:t>
      </w:r>
      <w:r>
        <w:rPr>
          <w:rFonts w:hint="eastAsia" w:ascii="宋体" w:hAnsi="宋体" w:eastAsia="宋体" w:cs="宋体"/>
          <w:sz w:val="21"/>
          <w:szCs w:val="21"/>
          <w:lang w:val="en-US" w:eastAsia="zh-CN" w:bidi="ar-SA"/>
        </w:rPr>
        <w:t>样品制备完成后，应进行过筛率检查，每批次制备样品随机抽取任一样品的 10% 按原网目过筛，过筛率达到 95% 为合格，过筛检查后的样品原则上不得再次放回样品瓶中。</w:t>
      </w:r>
    </w:p>
    <w:p w14:paraId="3E952902">
      <w:pPr>
        <w:widowControl w:val="0"/>
        <w:numPr>
          <w:ilvl w:val="0"/>
          <w:numId w:val="42"/>
        </w:numPr>
        <w:tabs>
          <w:tab w:val="left" w:pos="832"/>
          <w:tab w:val="left" w:pos="833"/>
        </w:tabs>
        <w:autoSpaceDE/>
        <w:autoSpaceDN/>
        <w:spacing w:before="240" w:beforeLines="100" w:after="240" w:afterLines="100"/>
        <w:ind w:left="525" w:hanging="525"/>
        <w:jc w:val="both"/>
        <w:outlineLvl w:val="0"/>
        <w:rPr>
          <w:rFonts w:ascii="黑体" w:hAnsi="黑体" w:eastAsia="黑体" w:cs="黑体"/>
          <w:sz w:val="21"/>
          <w:szCs w:val="21"/>
          <w:lang w:val="en-US" w:eastAsia="zh-CN" w:bidi="ar-SA"/>
        </w:rPr>
      </w:pPr>
      <w:bookmarkStart w:id="182" w:name="_bookmark24"/>
      <w:bookmarkEnd w:id="182"/>
      <w:bookmarkStart w:id="183" w:name="8_实验室分析"/>
      <w:bookmarkEnd w:id="183"/>
      <w:r>
        <w:rPr>
          <w:rFonts w:hint="eastAsia" w:ascii="黑体" w:hAnsi="黑体" w:eastAsia="黑体" w:cs="黑体"/>
          <w:sz w:val="21"/>
          <w:szCs w:val="21"/>
          <w:lang w:val="en-US" w:eastAsia="zh-CN" w:bidi="ar-SA"/>
        </w:rPr>
        <w:t xml:space="preserve"> </w:t>
      </w:r>
      <w:bookmarkStart w:id="184" w:name="_Toc169694664"/>
      <w:r>
        <w:rPr>
          <w:rFonts w:hint="eastAsia" w:ascii="黑体" w:hAnsi="黑体" w:eastAsia="黑体" w:cs="黑体"/>
          <w:sz w:val="21"/>
          <w:szCs w:val="21"/>
          <w:lang w:val="en-US" w:eastAsia="zh-CN" w:bidi="ar-SA"/>
        </w:rPr>
        <w:t>实验室分析与质量控制</w:t>
      </w:r>
      <w:bookmarkEnd w:id="184"/>
    </w:p>
    <w:p w14:paraId="457468FF">
      <w:pPr>
        <w:keepNext w:val="0"/>
        <w:keepLines w:val="0"/>
        <w:pageBreakBefore w:val="0"/>
        <w:widowControl w:val="0"/>
        <w:numPr>
          <w:ilvl w:val="1"/>
          <w:numId w:val="43"/>
        </w:numPr>
        <w:tabs>
          <w:tab w:val="left" w:pos="550"/>
        </w:tabs>
        <w:kinsoku/>
        <w:wordWrap/>
        <w:overflowPunct/>
        <w:topLinePunct w:val="0"/>
        <w:autoSpaceDE/>
        <w:autoSpaceDN/>
        <w:bidi w:val="0"/>
        <w:adjustRightInd/>
        <w:snapToGrid/>
        <w:spacing w:before="120" w:beforeLines="50" w:after="120" w:afterLines="50" w:line="360" w:lineRule="exact"/>
        <w:ind w:left="0" w:right="0" w:firstLine="0"/>
        <w:textAlignment w:val="auto"/>
        <w:outlineLvl w:val="1"/>
        <w:rPr>
          <w:rFonts w:ascii="黑体" w:hAnsi="黑体" w:eastAsia="黑体" w:cs="黑体"/>
          <w:sz w:val="21"/>
          <w:szCs w:val="21"/>
          <w:lang w:val="en-US" w:eastAsia="zh-CN" w:bidi="ar-SA"/>
        </w:rPr>
      </w:pPr>
      <w:bookmarkStart w:id="185" w:name="8.1_设施和环境条件"/>
      <w:bookmarkEnd w:id="185"/>
      <w:bookmarkStart w:id="186" w:name="_Toc26389"/>
      <w:r>
        <w:rPr>
          <w:rFonts w:hint="eastAsia" w:ascii="黑体" w:hAnsi="黑体" w:eastAsia="黑体" w:cs="黑体"/>
          <w:sz w:val="21"/>
          <w:szCs w:val="21"/>
          <w:lang w:val="en-US" w:eastAsia="zh-CN" w:bidi="ar-SA"/>
        </w:rPr>
        <w:t xml:space="preserve"> </w:t>
      </w:r>
      <w:bookmarkStart w:id="187" w:name="_Toc169694665"/>
      <w:r>
        <w:rPr>
          <w:rFonts w:hint="eastAsia" w:ascii="黑体" w:hAnsi="黑体" w:eastAsia="黑体" w:cs="黑体"/>
          <w:sz w:val="21"/>
          <w:szCs w:val="21"/>
          <w:lang w:val="en-US" w:eastAsia="zh-CN" w:bidi="ar-SA"/>
        </w:rPr>
        <w:t>设施和环境条件</w:t>
      </w:r>
      <w:bookmarkEnd w:id="186"/>
      <w:bookmarkEnd w:id="187"/>
    </w:p>
    <w:p w14:paraId="120FCC5B">
      <w:pPr>
        <w:widowControl w:val="0"/>
        <w:autoSpaceDE/>
        <w:autoSpaceDN/>
        <w:ind w:firstLine="404" w:firstLineChars="200"/>
        <w:jc w:val="both"/>
        <w:rPr>
          <w:rFonts w:ascii="宋体" w:hAnsi="宋体" w:eastAsia="宋体" w:cs="宋体"/>
          <w:sz w:val="21"/>
          <w:szCs w:val="21"/>
          <w:lang w:val="en-US" w:eastAsia="zh-CN" w:bidi="ar-SA"/>
        </w:rPr>
      </w:pPr>
      <w:r>
        <w:rPr>
          <w:rFonts w:hint="eastAsia" w:ascii="宋体" w:hAnsi="宋体" w:eastAsia="宋体" w:cs="宋体"/>
          <w:spacing w:val="-4"/>
          <w:sz w:val="21"/>
          <w:szCs w:val="21"/>
          <w:lang w:val="en-US" w:eastAsia="zh-CN" w:bidi="ar-SA"/>
        </w:rPr>
        <w:t>根据区域功能和控制要求，配置排风、防尘、避震和温湿度控制设备或设施；避免环境或交叉污染</w:t>
      </w:r>
      <w:r>
        <w:rPr>
          <w:rFonts w:hint="eastAsia" w:ascii="宋体" w:hAnsi="宋体" w:eastAsia="宋体" w:cs="宋体"/>
          <w:spacing w:val="-7"/>
          <w:sz w:val="21"/>
          <w:szCs w:val="21"/>
          <w:lang w:val="en-US" w:eastAsia="zh-CN" w:bidi="ar-SA"/>
        </w:rPr>
        <w:t>对监测结果产生影响。</w:t>
      </w:r>
    </w:p>
    <w:p w14:paraId="019BE0A3">
      <w:pPr>
        <w:widowControl w:val="0"/>
        <w:numPr>
          <w:ilvl w:val="1"/>
          <w:numId w:val="43"/>
        </w:numPr>
        <w:tabs>
          <w:tab w:val="left" w:pos="550"/>
        </w:tabs>
        <w:autoSpaceDE/>
        <w:autoSpaceDN/>
        <w:spacing w:before="120" w:beforeLines="50" w:after="120" w:afterLines="50" w:line="360" w:lineRule="exact"/>
        <w:ind w:left="360" w:hanging="360"/>
        <w:outlineLvl w:val="1"/>
        <w:rPr>
          <w:rFonts w:ascii="黑体" w:hAnsi="黑体" w:eastAsia="黑体" w:cs="黑体"/>
          <w:sz w:val="21"/>
          <w:szCs w:val="21"/>
          <w:lang w:val="en-US" w:eastAsia="zh-CN" w:bidi="ar-SA"/>
        </w:rPr>
      </w:pPr>
      <w:bookmarkStart w:id="188" w:name="8.2_分析方法"/>
      <w:bookmarkEnd w:id="188"/>
      <w:bookmarkStart w:id="189" w:name="_Toc169694666"/>
      <w:bookmarkStart w:id="190" w:name="_Toc10290"/>
      <w:r>
        <w:rPr>
          <w:rFonts w:hint="eastAsia" w:ascii="黑体" w:hAnsi="黑体" w:eastAsia="黑体" w:cs="黑体"/>
          <w:sz w:val="21"/>
          <w:szCs w:val="21"/>
          <w:lang w:val="en-US" w:eastAsia="zh-CN" w:bidi="ar-SA"/>
        </w:rPr>
        <w:t>分析方法</w:t>
      </w:r>
      <w:bookmarkEnd w:id="189"/>
      <w:bookmarkEnd w:id="190"/>
    </w:p>
    <w:p w14:paraId="2A6E1D27">
      <w:pPr>
        <w:autoSpaceDE/>
        <w:autoSpaceDN/>
        <w:jc w:val="both"/>
        <w:rPr>
          <w:rFonts w:ascii="宋体" w:hAnsi="宋体" w:eastAsia="宋体" w:cs="Times New Roman"/>
          <w:kern w:val="0"/>
          <w:sz w:val="21"/>
          <w:szCs w:val="21"/>
          <w:lang w:eastAsia="zh-CN"/>
        </w:rPr>
      </w:pPr>
      <w:bookmarkStart w:id="191" w:name="8.2.1_建设用地土壤重金属样品分析测试应按GB_36600执行。指定方法以外"/>
      <w:bookmarkEnd w:id="191"/>
      <w:r>
        <w:rPr>
          <w:rFonts w:hint="eastAsia" w:ascii="黑体" w:hAnsi="黑体" w:eastAsia="黑体" w:cs="Times New Roman"/>
          <w:kern w:val="0"/>
          <w:sz w:val="21"/>
          <w:szCs w:val="21"/>
          <w:lang w:eastAsia="zh-CN"/>
        </w:rPr>
        <w:t>8</w:t>
      </w:r>
      <w:r>
        <w:rPr>
          <w:rFonts w:ascii="黑体" w:hAnsi="黑体" w:eastAsia="黑体" w:cs="Times New Roman"/>
          <w:kern w:val="0"/>
          <w:sz w:val="21"/>
          <w:szCs w:val="21"/>
          <w:lang w:eastAsia="zh-CN"/>
        </w:rPr>
        <w:t xml:space="preserve">.2.1 </w:t>
      </w:r>
      <w:r>
        <w:rPr>
          <w:rFonts w:hint="eastAsia" w:ascii="宋体" w:hAnsi="宋体" w:eastAsia="宋体" w:cs="Times New Roman"/>
          <w:kern w:val="0"/>
          <w:sz w:val="21"/>
          <w:szCs w:val="21"/>
          <w:lang w:eastAsia="zh-CN"/>
        </w:rPr>
        <w:t>建设用地土壤重金属样品分析测试应按 GB 36600 执行。指定方法以外的标准分析方法，如适用性满足要求，也可采用。方法检出限一般要低于筛选值 1/4。</w:t>
      </w:r>
    </w:p>
    <w:p w14:paraId="57DC4541">
      <w:pPr>
        <w:autoSpaceDE/>
        <w:autoSpaceDN/>
        <w:jc w:val="both"/>
        <w:rPr>
          <w:rFonts w:ascii="宋体" w:hAnsi="宋体" w:eastAsia="宋体" w:cs="Times New Roman"/>
          <w:kern w:val="0"/>
          <w:sz w:val="21"/>
          <w:szCs w:val="21"/>
          <w:lang w:eastAsia="zh-CN"/>
        </w:rPr>
      </w:pPr>
      <w:bookmarkStart w:id="192" w:name="8.2.2_初次使用标准方法前，应进行方法验证。包括对方法涉及的人员培训和技术能"/>
      <w:bookmarkEnd w:id="192"/>
      <w:r>
        <w:rPr>
          <w:rFonts w:hint="eastAsia" w:ascii="黑体" w:hAnsi="黑体" w:eastAsia="黑体" w:cs="Times New Roman"/>
          <w:kern w:val="0"/>
          <w:sz w:val="21"/>
          <w:szCs w:val="21"/>
          <w:lang w:eastAsia="zh-CN"/>
        </w:rPr>
        <w:t>8</w:t>
      </w:r>
      <w:r>
        <w:rPr>
          <w:rFonts w:ascii="黑体" w:hAnsi="黑体" w:eastAsia="黑体" w:cs="Times New Roman"/>
          <w:kern w:val="0"/>
          <w:sz w:val="21"/>
          <w:szCs w:val="21"/>
          <w:lang w:eastAsia="zh-CN"/>
        </w:rPr>
        <w:t xml:space="preserve">.2.2 </w:t>
      </w:r>
      <w:r>
        <w:rPr>
          <w:rFonts w:hint="eastAsia" w:ascii="宋体" w:hAnsi="宋体" w:eastAsia="宋体" w:cs="Times New Roman"/>
          <w:kern w:val="0"/>
          <w:sz w:val="21"/>
          <w:szCs w:val="21"/>
          <w:lang w:eastAsia="zh-CN"/>
        </w:rPr>
        <w:t>初次使用标准方法前，应进行方法验证。包括对方法涉及的人员培训和技术能力、设施和环境条件、采样及分析仪器设备、试剂材料、标准物质、原始记录和监测报告格式、方法性能指标（如校准曲线、检出限、测定下限、准确度、精密度）等内容进行验证，并根据标准的适用范围，选取不少于一种实际样品进行测定。方法验证执行 HJ 168 规定。方法验证的过程及结果应形成报告，并附全过程的原始记录，保证过程可追溯。</w:t>
      </w:r>
    </w:p>
    <w:p w14:paraId="15BD442F">
      <w:pPr>
        <w:keepNext w:val="0"/>
        <w:keepLines w:val="0"/>
        <w:pageBreakBefore w:val="0"/>
        <w:widowControl w:val="0"/>
        <w:numPr>
          <w:ilvl w:val="1"/>
          <w:numId w:val="43"/>
        </w:numPr>
        <w:tabs>
          <w:tab w:val="left" w:pos="550"/>
        </w:tabs>
        <w:kinsoku/>
        <w:wordWrap/>
        <w:overflowPunct/>
        <w:topLinePunct w:val="0"/>
        <w:autoSpaceDE/>
        <w:autoSpaceDN/>
        <w:bidi w:val="0"/>
        <w:adjustRightInd/>
        <w:snapToGrid/>
        <w:spacing w:before="120" w:beforeLines="50" w:after="120" w:afterLines="50" w:line="360" w:lineRule="exact"/>
        <w:ind w:left="0" w:right="0" w:firstLine="0"/>
        <w:textAlignment w:val="auto"/>
        <w:outlineLvl w:val="1"/>
        <w:rPr>
          <w:rFonts w:ascii="黑体" w:hAnsi="黑体" w:eastAsia="黑体" w:cs="黑体"/>
          <w:sz w:val="21"/>
          <w:szCs w:val="21"/>
          <w:lang w:val="en-US" w:eastAsia="zh-CN" w:bidi="ar-SA"/>
        </w:rPr>
      </w:pPr>
      <w:bookmarkStart w:id="193" w:name="8.3_试剂和材料"/>
      <w:bookmarkEnd w:id="193"/>
      <w:bookmarkStart w:id="194" w:name="_Toc20577"/>
      <w:r>
        <w:rPr>
          <w:rFonts w:ascii="黑体" w:hAnsi="黑体" w:eastAsia="黑体" w:cs="黑体"/>
          <w:sz w:val="21"/>
          <w:szCs w:val="21"/>
          <w:lang w:val="en-US" w:eastAsia="zh-CN" w:bidi="ar-SA"/>
        </w:rPr>
        <w:t xml:space="preserve"> </w:t>
      </w:r>
      <w:bookmarkStart w:id="195" w:name="_Toc169694667"/>
      <w:r>
        <w:rPr>
          <w:rFonts w:hint="eastAsia" w:ascii="黑体" w:hAnsi="黑体" w:eastAsia="黑体" w:cs="黑体"/>
          <w:sz w:val="21"/>
          <w:szCs w:val="21"/>
          <w:lang w:val="en-US" w:eastAsia="zh-CN" w:bidi="ar-SA"/>
        </w:rPr>
        <w:t>试剂和材料</w:t>
      </w:r>
      <w:bookmarkEnd w:id="194"/>
      <w:bookmarkEnd w:id="195"/>
    </w:p>
    <w:p w14:paraId="473F37D6">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关键试剂如硫酸、硝酸、盐酸等试剂使用前应经技术验收合格。关键材料如微波消解罐、玻璃器皿</w:t>
      </w:r>
      <w:r>
        <w:rPr>
          <w:rFonts w:hint="eastAsia" w:ascii="宋体" w:hAnsi="宋体" w:eastAsia="宋体" w:cs="宋体"/>
          <w:spacing w:val="-8"/>
          <w:sz w:val="21"/>
          <w:szCs w:val="21"/>
          <w:lang w:val="en-US" w:eastAsia="zh-CN" w:bidi="ar-SA"/>
        </w:rPr>
        <w:t>等应清洗合格。</w:t>
      </w:r>
    </w:p>
    <w:p w14:paraId="243EEC48">
      <w:pPr>
        <w:keepNext w:val="0"/>
        <w:keepLines w:val="0"/>
        <w:pageBreakBefore w:val="0"/>
        <w:widowControl w:val="0"/>
        <w:numPr>
          <w:ilvl w:val="1"/>
          <w:numId w:val="43"/>
        </w:numPr>
        <w:tabs>
          <w:tab w:val="left" w:pos="550"/>
        </w:tabs>
        <w:kinsoku/>
        <w:wordWrap/>
        <w:overflowPunct/>
        <w:topLinePunct w:val="0"/>
        <w:autoSpaceDE/>
        <w:autoSpaceDN/>
        <w:bidi w:val="0"/>
        <w:adjustRightInd/>
        <w:snapToGrid/>
        <w:spacing w:before="120" w:beforeLines="50" w:after="120" w:afterLines="50" w:line="360" w:lineRule="exact"/>
        <w:ind w:left="0" w:right="0" w:firstLine="0"/>
        <w:textAlignment w:val="auto"/>
        <w:outlineLvl w:val="1"/>
        <w:rPr>
          <w:rFonts w:ascii="黑体" w:hAnsi="黑体" w:eastAsia="黑体" w:cs="黑体"/>
          <w:sz w:val="21"/>
          <w:szCs w:val="21"/>
          <w:lang w:val="en-US" w:eastAsia="zh-CN" w:bidi="ar-SA"/>
        </w:rPr>
      </w:pPr>
      <w:bookmarkStart w:id="196" w:name="8.4_样品分析"/>
      <w:bookmarkEnd w:id="196"/>
      <w:bookmarkStart w:id="197" w:name="_bookmark28"/>
      <w:bookmarkEnd w:id="197"/>
      <w:bookmarkStart w:id="198" w:name="_Toc30321"/>
      <w:r>
        <w:rPr>
          <w:rFonts w:ascii="黑体" w:hAnsi="黑体" w:eastAsia="黑体" w:cs="黑体"/>
          <w:sz w:val="21"/>
          <w:szCs w:val="21"/>
          <w:lang w:val="en-US" w:eastAsia="zh-CN" w:bidi="ar-SA"/>
        </w:rPr>
        <w:t xml:space="preserve"> </w:t>
      </w:r>
      <w:bookmarkStart w:id="199" w:name="_Toc169694668"/>
      <w:r>
        <w:rPr>
          <w:rFonts w:hint="eastAsia" w:ascii="黑体" w:hAnsi="黑体" w:eastAsia="黑体" w:cs="黑体"/>
          <w:sz w:val="21"/>
          <w:szCs w:val="21"/>
          <w:lang w:val="en-US" w:eastAsia="zh-CN" w:bidi="ar-SA"/>
        </w:rPr>
        <w:t>样品分析与质量控制</w:t>
      </w:r>
      <w:bookmarkEnd w:id="198"/>
      <w:bookmarkEnd w:id="199"/>
    </w:p>
    <w:p w14:paraId="489FCE83">
      <w:pPr>
        <w:widowControl/>
        <w:autoSpaceDE/>
        <w:autoSpaceDN/>
        <w:spacing w:before="120" w:beforeLines="50" w:after="120" w:afterLines="50"/>
        <w:outlineLvl w:val="4"/>
        <w:rPr>
          <w:rFonts w:ascii="黑体" w:hAnsi="Times New Roman" w:eastAsia="黑体" w:cs="Times New Roman"/>
          <w:sz w:val="21"/>
          <w:szCs w:val="21"/>
          <w:lang w:val="en-US" w:eastAsia="zh-CN" w:bidi="ar-SA"/>
        </w:rPr>
      </w:pPr>
      <w:bookmarkStart w:id="200" w:name="8.4.1_空白试验"/>
      <w:bookmarkEnd w:id="200"/>
      <w:r>
        <w:rPr>
          <w:rFonts w:hint="eastAsia" w:ascii="黑体" w:hAnsi="Times New Roman" w:eastAsia="黑体" w:cs="Times New Roman"/>
          <w:sz w:val="21"/>
          <w:szCs w:val="21"/>
          <w:lang w:val="en-US" w:eastAsia="zh-CN" w:bidi="ar-SA"/>
        </w:rPr>
        <w:t>8</w:t>
      </w:r>
      <w:r>
        <w:rPr>
          <w:rFonts w:ascii="黑体" w:hAnsi="Times New Roman" w:eastAsia="黑体" w:cs="Times New Roman"/>
          <w:sz w:val="21"/>
          <w:szCs w:val="21"/>
          <w:lang w:val="en-US" w:eastAsia="zh-CN" w:bidi="ar-SA"/>
        </w:rPr>
        <w:t xml:space="preserve">.4.1 </w:t>
      </w:r>
      <w:r>
        <w:rPr>
          <w:rFonts w:hint="eastAsia" w:ascii="黑体" w:hAnsi="Times New Roman" w:eastAsia="黑体" w:cs="Times New Roman"/>
          <w:sz w:val="21"/>
          <w:szCs w:val="21"/>
          <w:lang w:val="en-US" w:eastAsia="zh-CN" w:bidi="ar-SA"/>
        </w:rPr>
        <w:t>空白试验</w:t>
      </w:r>
    </w:p>
    <w:p w14:paraId="331777F5">
      <w:pPr>
        <w:autoSpaceDE/>
        <w:autoSpaceDN/>
        <w:ind w:firstLine="420" w:firstLineChars="200"/>
        <w:jc w:val="both"/>
        <w:rPr>
          <w:rFonts w:ascii="宋体" w:hAnsi="宋体" w:eastAsia="宋体" w:cs="Times New Roman"/>
          <w:kern w:val="0"/>
          <w:sz w:val="21"/>
          <w:szCs w:val="21"/>
          <w:lang w:eastAsia="zh-CN"/>
        </w:rPr>
      </w:pPr>
      <w:r>
        <w:rPr>
          <w:rFonts w:hint="eastAsia" w:ascii="宋体" w:hAnsi="宋体" w:eastAsia="宋体" w:cs="Times New Roman"/>
          <w:kern w:val="0"/>
          <w:sz w:val="21"/>
          <w:szCs w:val="21"/>
          <w:lang w:eastAsia="zh-CN"/>
        </w:rPr>
        <w:t>每批次样品分析时，应进行空白试验。分析测试方法有规定的，按分析测试方法的规定进行；分析测试方法无规定时，要求每批样品或每20个样品应至少做1次空白试验。</w:t>
      </w:r>
    </w:p>
    <w:p w14:paraId="2CD692B5">
      <w:pPr>
        <w:autoSpaceDE/>
        <w:autoSpaceDN/>
        <w:jc w:val="both"/>
        <w:rPr>
          <w:rFonts w:ascii="宋体" w:hAnsi="宋体" w:eastAsia="宋体" w:cs="Times New Roman"/>
          <w:kern w:val="0"/>
          <w:sz w:val="21"/>
          <w:szCs w:val="21"/>
          <w:lang w:eastAsia="zh-CN"/>
        </w:rPr>
      </w:pPr>
      <w:r>
        <w:rPr>
          <w:rFonts w:hint="eastAsia" w:ascii="宋体" w:hAnsi="宋体" w:eastAsia="宋体" w:cs="Times New Roman"/>
          <w:kern w:val="0"/>
          <w:sz w:val="21"/>
          <w:szCs w:val="21"/>
          <w:lang w:eastAsia="zh-CN"/>
        </w:rPr>
        <w:t>空白样品分析测试结果一般应低于方法检出限。若空白样品分析测试结果略高于方法检出限但比较稳定，可进行多次重复试验，计算空白样品分析测试结果平均值并从样品分析测试结果中扣除；若空白样品分析测试结果明显超过正常值，实验室应查找原因并采取适当的纠正和预防措施，并重新对该批次样品进行分析测试。分析方法有规定的，按规定执行。</w:t>
      </w:r>
    </w:p>
    <w:p w14:paraId="7C051D4D">
      <w:pPr>
        <w:widowControl/>
        <w:numPr>
          <w:ilvl w:val="2"/>
          <w:numId w:val="44"/>
        </w:numPr>
        <w:autoSpaceDE/>
        <w:autoSpaceDN/>
        <w:spacing w:before="120" w:beforeLines="50" w:after="120" w:afterLines="50"/>
        <w:ind w:left="720" w:hanging="720"/>
        <w:outlineLvl w:val="4"/>
        <w:rPr>
          <w:rFonts w:ascii="黑体" w:hAnsi="Times New Roman" w:eastAsia="黑体" w:cs="Times New Roman"/>
          <w:sz w:val="21"/>
          <w:szCs w:val="21"/>
          <w:lang w:val="en-US" w:eastAsia="zh-CN" w:bidi="ar-SA"/>
        </w:rPr>
      </w:pPr>
      <w:bookmarkStart w:id="201" w:name="8.4.2_定量校准"/>
      <w:bookmarkEnd w:id="201"/>
      <w:r>
        <w:rPr>
          <w:rFonts w:hint="eastAsia" w:ascii="黑体" w:hAnsi="Times New Roman" w:eastAsia="黑体" w:cs="Times New Roman"/>
          <w:sz w:val="21"/>
          <w:szCs w:val="21"/>
          <w:lang w:val="en-US" w:eastAsia="zh-CN" w:bidi="ar-SA"/>
        </w:rPr>
        <w:t>仪器定量校准</w:t>
      </w:r>
    </w:p>
    <w:p w14:paraId="2932E0F6">
      <w:pPr>
        <w:tabs>
          <w:tab w:val="left" w:pos="1461"/>
          <w:tab w:val="left" w:pos="1462"/>
        </w:tabs>
        <w:autoSpaceDE/>
        <w:autoSpaceDN/>
        <w:jc w:val="both"/>
        <w:rPr>
          <w:rFonts w:ascii="黑体" w:hAnsi="黑体" w:eastAsia="黑体" w:cs="宋体"/>
          <w:kern w:val="0"/>
          <w:sz w:val="21"/>
          <w:szCs w:val="21"/>
          <w:lang w:eastAsia="en-US"/>
        </w:rPr>
      </w:pPr>
      <w:bookmarkStart w:id="202" w:name="8.4.2.1_仪器定量校准"/>
      <w:bookmarkEnd w:id="202"/>
      <w:r>
        <w:rPr>
          <w:rFonts w:ascii="黑体" w:hAnsi="黑体" w:eastAsia="黑体" w:cs="宋体"/>
          <w:kern w:val="0"/>
          <w:sz w:val="21"/>
          <w:szCs w:val="21"/>
          <w:lang w:eastAsia="zh-CN"/>
        </w:rPr>
        <w:t xml:space="preserve">8.4.2.1 </w:t>
      </w:r>
      <w:r>
        <w:rPr>
          <w:rFonts w:hint="eastAsia" w:ascii="黑体" w:hAnsi="黑体" w:eastAsia="黑体" w:cs="宋体"/>
          <w:kern w:val="0"/>
          <w:sz w:val="21"/>
          <w:szCs w:val="21"/>
          <w:lang w:eastAsia="zh-CN"/>
        </w:rPr>
        <w:t xml:space="preserve"> 标准物质</w:t>
      </w:r>
    </w:p>
    <w:p w14:paraId="36A0A435">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分析仪器定量校准应选用有证标准物质或具有溯源性的标准物质。</w:t>
      </w:r>
    </w:p>
    <w:p w14:paraId="6708BF15">
      <w:pPr>
        <w:tabs>
          <w:tab w:val="left" w:pos="1461"/>
          <w:tab w:val="left" w:pos="1462"/>
        </w:tabs>
        <w:autoSpaceDE/>
        <w:autoSpaceDN/>
        <w:jc w:val="both"/>
        <w:rPr>
          <w:rFonts w:ascii="黑体" w:hAnsi="黑体" w:eastAsia="黑体" w:cs="宋体"/>
          <w:kern w:val="0"/>
          <w:sz w:val="21"/>
          <w:szCs w:val="21"/>
          <w:lang w:eastAsia="zh-CN"/>
        </w:rPr>
      </w:pPr>
      <w:bookmarkStart w:id="203" w:name="8.4.2.2_校准曲线"/>
      <w:bookmarkEnd w:id="203"/>
      <w:r>
        <w:rPr>
          <w:rFonts w:ascii="黑体" w:hAnsi="黑体" w:eastAsia="黑体" w:cs="宋体"/>
          <w:kern w:val="0"/>
          <w:sz w:val="21"/>
          <w:szCs w:val="21"/>
          <w:lang w:eastAsia="zh-CN"/>
        </w:rPr>
        <w:t>8.4.2.2</w:t>
      </w:r>
      <w:r>
        <w:rPr>
          <w:rFonts w:hint="eastAsia" w:ascii="黑体" w:hAnsi="黑体" w:eastAsia="黑体" w:cs="宋体"/>
          <w:kern w:val="0"/>
          <w:sz w:val="21"/>
          <w:szCs w:val="21"/>
          <w:lang w:eastAsia="zh-CN"/>
        </w:rPr>
        <w:t xml:space="preserve"> 校准曲线</w:t>
      </w:r>
    </w:p>
    <w:p w14:paraId="201A35E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校准曲线的绘制，每次样品分析时需要绘制校准曲线，校准浓度点至少5个（空白除外），覆盖被测样品的浓度范围，且最低点浓度应接近方法测定下限的水平。分析测试方法有规定时，按分析测试方法的规定进行；分析测试方法无规定时，校准曲线相关系数要求r＞0.999。</w:t>
      </w:r>
    </w:p>
    <w:p w14:paraId="4C0D66F3">
      <w:pPr>
        <w:tabs>
          <w:tab w:val="left" w:pos="1461"/>
          <w:tab w:val="left" w:pos="1462"/>
        </w:tabs>
        <w:autoSpaceDE/>
        <w:autoSpaceDN/>
        <w:jc w:val="both"/>
        <w:rPr>
          <w:rFonts w:ascii="黑体" w:hAnsi="黑体" w:eastAsia="黑体" w:cs="宋体"/>
          <w:kern w:val="0"/>
          <w:sz w:val="21"/>
          <w:szCs w:val="21"/>
          <w:lang w:eastAsia="zh-CN"/>
        </w:rPr>
      </w:pPr>
      <w:bookmarkStart w:id="204" w:name="8.4.2.3_仪器稳定性检查"/>
      <w:bookmarkEnd w:id="204"/>
      <w:r>
        <w:rPr>
          <w:rFonts w:ascii="黑体" w:hAnsi="黑体" w:eastAsia="黑体" w:cs="宋体"/>
          <w:kern w:val="0"/>
          <w:sz w:val="21"/>
          <w:szCs w:val="21"/>
          <w:lang w:eastAsia="zh-CN"/>
        </w:rPr>
        <w:t>8.4.2.3</w:t>
      </w:r>
      <w:r>
        <w:rPr>
          <w:rFonts w:hint="eastAsia" w:ascii="黑体" w:hAnsi="黑体" w:eastAsia="黑体" w:cs="宋体"/>
          <w:kern w:val="0"/>
          <w:sz w:val="21"/>
          <w:szCs w:val="21"/>
          <w:lang w:eastAsia="zh-CN"/>
        </w:rPr>
        <w:t xml:space="preserve"> 仪器稳定性检查</w:t>
      </w:r>
    </w:p>
    <w:p w14:paraId="1E724EE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连续进样分析时，每批次（最多20个样品/批）应测定一次校准曲线中间浓度点，确认分析仪器校准曲线是否发生显著变化。分析测试方法有规定的，按分析测试方法的规定执行；分析测试方法无规定时，分析测试相对偏差应控制在10%以内，超过此范围时需要查明原因，重新绘制校准曲线，并重新分析测试该批次全部样品。也可使用有证土壤标</w:t>
      </w:r>
      <w:r>
        <w:rPr>
          <w:rFonts w:hint="eastAsia" w:ascii="宋体" w:hAnsi="宋体" w:eastAsia="宋体" w:cs="宋体"/>
          <w:spacing w:val="-8"/>
          <w:sz w:val="21"/>
          <w:szCs w:val="21"/>
          <w:lang w:val="en-US" w:eastAsia="zh-CN" w:bidi="ar-SA"/>
        </w:rPr>
        <w:t>准物质校准，结果应满足认定值（或标准值）要求。</w:t>
      </w:r>
    </w:p>
    <w:p w14:paraId="1E1D2D50">
      <w:pPr>
        <w:widowControl/>
        <w:autoSpaceDE/>
        <w:autoSpaceDN/>
        <w:spacing w:before="120" w:beforeLines="50" w:after="120" w:afterLines="50"/>
        <w:outlineLvl w:val="4"/>
        <w:rPr>
          <w:rFonts w:ascii="黑体" w:hAnsi="Times New Roman" w:eastAsia="黑体" w:cs="Times New Roman"/>
          <w:sz w:val="21"/>
          <w:szCs w:val="21"/>
          <w:lang w:val="en-US" w:eastAsia="zh-CN" w:bidi="ar-SA"/>
        </w:rPr>
      </w:pPr>
      <w:bookmarkStart w:id="205" w:name="8.5_实验室质量控制"/>
      <w:bookmarkEnd w:id="205"/>
      <w:bookmarkStart w:id="206" w:name="8.5.1_实验室内质量控制"/>
      <w:bookmarkEnd w:id="206"/>
      <w:bookmarkStart w:id="207" w:name="_bookmark29"/>
      <w:bookmarkEnd w:id="207"/>
      <w:r>
        <w:rPr>
          <w:rFonts w:hint="eastAsia" w:ascii="黑体" w:hAnsi="Times New Roman" w:eastAsia="黑体" w:cs="Times New Roman"/>
          <w:sz w:val="21"/>
          <w:szCs w:val="21"/>
          <w:lang w:val="en-US" w:eastAsia="zh-CN" w:bidi="ar-SA"/>
        </w:rPr>
        <w:t>8</w:t>
      </w:r>
      <w:r>
        <w:rPr>
          <w:rFonts w:ascii="黑体" w:hAnsi="Times New Roman" w:eastAsia="黑体" w:cs="Times New Roman"/>
          <w:sz w:val="21"/>
          <w:szCs w:val="21"/>
          <w:lang w:val="en-US" w:eastAsia="zh-CN" w:bidi="ar-SA"/>
        </w:rPr>
        <w:t xml:space="preserve">.4.3 </w:t>
      </w:r>
      <w:r>
        <w:rPr>
          <w:rFonts w:hint="eastAsia" w:ascii="黑体" w:hAnsi="Times New Roman" w:eastAsia="黑体" w:cs="Times New Roman"/>
          <w:sz w:val="21"/>
          <w:szCs w:val="21"/>
          <w:lang w:val="en-US" w:eastAsia="zh-CN" w:bidi="ar-SA"/>
        </w:rPr>
        <w:t>精密度控制</w:t>
      </w:r>
    </w:p>
    <w:p w14:paraId="1BC51AEB">
      <w:pPr>
        <w:widowControl w:val="0"/>
        <w:autoSpaceDE/>
        <w:autoSpaceDN/>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8.4.3.1</w:t>
      </w:r>
      <w:r>
        <w:rPr>
          <w:rFonts w:ascii="黑体" w:hAnsi="黑体" w:eastAsia="黑体" w:cs="宋体"/>
          <w:sz w:val="21"/>
          <w:szCs w:val="21"/>
          <w:lang w:val="en-US" w:eastAsia="zh-CN" w:bidi="ar-SA"/>
        </w:rPr>
        <w:t xml:space="preserve"> </w:t>
      </w:r>
      <w:r>
        <w:rPr>
          <w:rFonts w:hint="eastAsia" w:ascii="黑体" w:hAnsi="黑体" w:eastAsia="黑体" w:cs="宋体"/>
          <w:sz w:val="21"/>
          <w:szCs w:val="21"/>
          <w:lang w:val="en-US" w:eastAsia="zh-CN" w:bidi="ar-SA"/>
        </w:rPr>
        <w:t xml:space="preserve"> </w:t>
      </w:r>
      <w:r>
        <w:rPr>
          <w:rFonts w:hint="eastAsia" w:ascii="宋体" w:hAnsi="宋体" w:eastAsia="宋体" w:cs="宋体"/>
          <w:sz w:val="21"/>
          <w:szCs w:val="21"/>
          <w:lang w:val="en-US" w:eastAsia="zh-CN" w:bidi="ar-SA"/>
        </w:rPr>
        <w:t>每批样品分析时，每个检测项目均须做平行双样分析。在每批次分析样品中，应随机抽取不低于5%的样品进行平行双样分析；当批次样品数＜20时，应至少随机抽取1个样品进行平行双样分析。</w:t>
      </w:r>
    </w:p>
    <w:p w14:paraId="4E378011">
      <w:pPr>
        <w:widowControl w:val="0"/>
        <w:autoSpaceDE/>
        <w:autoSpaceDN/>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8.4.3.2</w:t>
      </w:r>
      <w:r>
        <w:rPr>
          <w:rFonts w:ascii="黑体" w:hAnsi="黑体" w:eastAsia="黑体" w:cs="宋体"/>
          <w:sz w:val="21"/>
          <w:szCs w:val="21"/>
          <w:lang w:val="en-US" w:eastAsia="zh-CN" w:bidi="ar-SA"/>
        </w:rPr>
        <w:t xml:space="preserve"> </w:t>
      </w:r>
      <w:r>
        <w:rPr>
          <w:rFonts w:hint="eastAsia" w:ascii="宋体" w:hAnsi="宋体" w:eastAsia="宋体" w:cs="宋体"/>
          <w:sz w:val="21"/>
          <w:szCs w:val="21"/>
          <w:lang w:val="en-US" w:eastAsia="zh-CN" w:bidi="ar-SA"/>
        </w:rPr>
        <w:t xml:space="preserve"> 平行双样测定值的精密度按照公式（1）进行计算：</w:t>
      </w:r>
    </w:p>
    <w:p w14:paraId="2E1312C8">
      <w:pPr>
        <w:widowControl w:val="0"/>
        <w:autoSpaceDE/>
        <w:autoSpaceDN/>
        <w:ind w:firstLine="480" w:firstLineChars="200"/>
        <w:jc w:val="right"/>
        <w:rPr>
          <w:rFonts w:ascii="宋体" w:hAnsi="宋体" w:eastAsia="宋体" w:cs="宋体"/>
          <w:sz w:val="21"/>
          <w:szCs w:val="21"/>
          <w:lang w:val="en-US" w:eastAsia="zh-CN" w:bidi="ar-SA"/>
        </w:rPr>
      </w:pPr>
      <m:oMath>
        <m:r>
          <m:rPr>
            <m:sty m:val="p"/>
          </m:rPr>
          <w:rPr>
            <w:rFonts w:hint="eastAsia" w:ascii="Cambria Math" w:hAnsi="Cambria Math" w:eastAsia="宋体" w:cs="宋体"/>
            <w:sz w:val="24"/>
            <w:szCs w:val="24"/>
            <w:lang w:eastAsia="zh-CN"/>
          </w:rPr>
          <m:t>RD</m:t>
        </m:r>
        <m:d>
          <m:dPr>
            <m:ctrlPr>
              <w:rPr>
                <w:rFonts w:hint="eastAsia" w:ascii="Cambria Math" w:hAnsi="Cambria Math" w:eastAsia="宋体" w:cs="宋体"/>
                <w:sz w:val="24"/>
                <w:szCs w:val="24"/>
                <w:lang w:eastAsia="zh-CN"/>
              </w:rPr>
            </m:ctrlPr>
          </m:dPr>
          <m:e>
            <m:r>
              <m:rPr>
                <m:sty m:val="p"/>
              </m:rPr>
              <w:rPr>
                <w:rFonts w:hint="eastAsia" w:ascii="Cambria Math" w:hAnsi="Cambria Math" w:eastAsia="宋体" w:cs="宋体"/>
                <w:sz w:val="24"/>
                <w:szCs w:val="24"/>
                <w:lang w:eastAsia="zh-CN"/>
              </w:rPr>
              <m:t>%</m:t>
            </m:r>
            <m:ctrlPr>
              <w:rPr>
                <w:rFonts w:hint="eastAsia" w:ascii="Cambria Math" w:hAnsi="Cambria Math" w:eastAsia="宋体" w:cs="宋体"/>
                <w:sz w:val="24"/>
                <w:szCs w:val="24"/>
                <w:lang w:eastAsia="zh-CN"/>
              </w:rPr>
            </m:ctrlPr>
          </m:e>
        </m:d>
        <m:r>
          <m:rPr>
            <m:sty m:val="p"/>
          </m:rPr>
          <w:rPr>
            <w:rFonts w:hint="eastAsia" w:ascii="Cambria Math" w:hAnsi="Cambria Math" w:eastAsia="宋体" w:cs="宋体"/>
            <w:sz w:val="24"/>
            <w:szCs w:val="24"/>
            <w:lang w:eastAsia="zh-CN"/>
          </w:rPr>
          <m:t>=</m:t>
        </m:r>
        <m:f>
          <m:fPr>
            <m:ctrlPr>
              <w:rPr>
                <w:rFonts w:hint="eastAsia" w:ascii="Cambria Math" w:hAnsi="Cambria Math" w:eastAsia="宋体" w:cs="宋体"/>
                <w:sz w:val="24"/>
                <w:szCs w:val="24"/>
                <w:lang w:eastAsia="zh-CN"/>
              </w:rPr>
            </m:ctrlPr>
          </m:fPr>
          <m:num>
            <m:r>
              <m:rPr/>
              <w:rPr>
                <w:rFonts w:hint="eastAsia" w:ascii="Cambria Math" w:hAnsi="Cambria Math" w:eastAsia="宋体" w:cs="宋体"/>
                <w:sz w:val="24"/>
                <w:szCs w:val="24"/>
                <w:lang w:eastAsia="zh-CN"/>
              </w:rPr>
              <m:t>|A−B|</m:t>
            </m:r>
            <m:ctrlPr>
              <w:rPr>
                <w:rFonts w:hint="eastAsia" w:ascii="Cambria Math" w:hAnsi="Cambria Math" w:eastAsia="宋体" w:cs="宋体"/>
                <w:sz w:val="24"/>
                <w:szCs w:val="24"/>
                <w:lang w:eastAsia="zh-CN"/>
              </w:rPr>
            </m:ctrlPr>
          </m:num>
          <m:den>
            <m:r>
              <m:rPr/>
              <w:rPr>
                <w:rFonts w:hint="eastAsia" w:ascii="Cambria Math" w:hAnsi="Cambria Math" w:eastAsia="宋体" w:cs="宋体"/>
                <w:sz w:val="24"/>
                <w:szCs w:val="24"/>
                <w:lang w:eastAsia="zh-CN"/>
              </w:rPr>
              <m:t>A+B</m:t>
            </m:r>
            <m:ctrlPr>
              <w:rPr>
                <w:rFonts w:hint="eastAsia" w:ascii="Cambria Math" w:hAnsi="Cambria Math" w:eastAsia="宋体" w:cs="宋体"/>
                <w:sz w:val="24"/>
                <w:szCs w:val="24"/>
                <w:lang w:eastAsia="zh-CN"/>
              </w:rPr>
            </m:ctrlPr>
          </m:den>
        </m:f>
        <m:r>
          <m:rPr/>
          <w:rPr>
            <w:rFonts w:hint="eastAsia" w:ascii="Cambria Math" w:hAnsi="Cambria Math" w:eastAsia="宋体" w:cs="宋体"/>
            <w:sz w:val="24"/>
            <w:szCs w:val="24"/>
            <w:lang w:eastAsia="zh-CN"/>
          </w:rPr>
          <m:t>×100</m:t>
        </m:r>
      </m:oMath>
      <w:r>
        <w:rPr>
          <w:rFonts w:hint="eastAsia" w:ascii="宋体" w:hAnsi="宋体" w:eastAsia="宋体" w:cs="宋体"/>
          <w:sz w:val="21"/>
          <w:szCs w:val="21"/>
          <w:lang w:val="en-US" w:eastAsia="en-US" w:bidi="ar-SA"/>
        </w:rPr>
        <w:t>…………………………………</w:t>
      </w:r>
      <w:r>
        <w:rPr>
          <w:rFonts w:hint="eastAsia" w:ascii="宋体" w:hAnsi="宋体" w:eastAsia="宋体" w:cs="宋体"/>
          <w:sz w:val="21"/>
          <w:szCs w:val="21"/>
          <w:lang w:val="en-US" w:eastAsia="zh-CN" w:bidi="ar-SA"/>
        </w:rPr>
        <w:t>（1）</w:t>
      </w:r>
    </w:p>
    <w:p w14:paraId="53B1FFD4">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式中：</w:t>
      </w:r>
    </w:p>
    <w:p w14:paraId="0D13911A">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RD —— 相对偏差；</w:t>
      </w:r>
    </w:p>
    <w:p w14:paraId="227AAF36">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A、B——同一样品两次平行测定的结果。</w:t>
      </w:r>
    </w:p>
    <w:p w14:paraId="59F29D3B">
      <w:pPr>
        <w:widowControl w:val="0"/>
        <w:autoSpaceDE/>
        <w:autoSpaceDN/>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8.4.3.3</w:t>
      </w:r>
      <w:r>
        <w:rPr>
          <w:rFonts w:hint="eastAsia" w:ascii="宋体" w:hAnsi="宋体" w:eastAsia="宋体" w:cs="宋体"/>
          <w:sz w:val="21"/>
          <w:szCs w:val="21"/>
          <w:lang w:val="en-US" w:eastAsia="zh-CN" w:bidi="ar-SA"/>
        </w:rPr>
        <w:t xml:space="preserve"> </w:t>
      </w:r>
      <w:r>
        <w:rPr>
          <w:rFonts w:ascii="宋体" w:hAnsi="宋体" w:eastAsia="宋体" w:cs="宋体"/>
          <w:sz w:val="21"/>
          <w:szCs w:val="21"/>
          <w:lang w:val="en-US" w:eastAsia="zh-CN" w:bidi="ar-SA"/>
        </w:rPr>
        <w:t xml:space="preserve"> </w:t>
      </w:r>
      <w:r>
        <w:rPr>
          <w:rFonts w:hint="eastAsia" w:ascii="宋体" w:hAnsi="宋体" w:eastAsia="宋体" w:cs="宋体"/>
          <w:sz w:val="21"/>
          <w:szCs w:val="21"/>
          <w:lang w:val="en-US" w:eastAsia="zh-CN" w:bidi="ar-SA"/>
        </w:rPr>
        <w:t>平行双样分析测试精密度允许范围见附录A，平行双样分析测试合格率按每批同类型样品中单个检测项目进行统计，并按照公式（2）进行计算：</w:t>
      </w:r>
    </w:p>
    <w:p w14:paraId="7C4B66CF">
      <w:pPr>
        <w:widowControl w:val="0"/>
        <w:autoSpaceDE/>
        <w:autoSpaceDN/>
        <w:ind w:firstLine="480" w:firstLineChars="200"/>
        <w:jc w:val="right"/>
        <w:rPr>
          <w:rFonts w:ascii="宋体" w:hAnsi="宋体" w:eastAsia="宋体" w:cs="宋体"/>
          <w:sz w:val="21"/>
          <w:szCs w:val="21"/>
          <w:lang w:val="en-US" w:eastAsia="zh-CN" w:bidi="ar-SA"/>
        </w:rPr>
      </w:pPr>
      <m:oMath>
        <m:r>
          <m:rPr>
            <m:sty m:val="p"/>
          </m:rPr>
          <w:rPr>
            <w:rFonts w:hint="eastAsia" w:ascii="Cambria Math" w:hAnsi="Cambria Math" w:eastAsia="宋体" w:cs="宋体"/>
            <w:sz w:val="24"/>
            <w:szCs w:val="24"/>
            <w:lang w:eastAsia="zh-CN"/>
          </w:rPr>
          <m:t>q</m:t>
        </m:r>
        <m:d>
          <m:dPr>
            <m:ctrlPr>
              <w:rPr>
                <w:rFonts w:hint="eastAsia" w:ascii="Cambria Math" w:hAnsi="Cambria Math" w:eastAsia="宋体" w:cs="宋体"/>
                <w:sz w:val="24"/>
                <w:szCs w:val="24"/>
                <w:lang w:eastAsia="zh-CN"/>
              </w:rPr>
            </m:ctrlPr>
          </m:dPr>
          <m:e>
            <m:r>
              <m:rPr>
                <m:sty m:val="p"/>
              </m:rPr>
              <w:rPr>
                <w:rFonts w:hint="eastAsia" w:ascii="Cambria Math" w:hAnsi="Cambria Math" w:eastAsia="宋体" w:cs="宋体"/>
                <w:sz w:val="24"/>
                <w:szCs w:val="24"/>
                <w:lang w:eastAsia="zh-CN"/>
              </w:rPr>
              <m:t>%</m:t>
            </m:r>
            <m:ctrlPr>
              <w:rPr>
                <w:rFonts w:hint="eastAsia" w:ascii="Cambria Math" w:hAnsi="Cambria Math" w:eastAsia="宋体" w:cs="宋体"/>
                <w:sz w:val="24"/>
                <w:szCs w:val="24"/>
                <w:lang w:eastAsia="zh-CN"/>
              </w:rPr>
            </m:ctrlPr>
          </m:e>
        </m:d>
        <m:r>
          <m:rPr>
            <m:sty m:val="p"/>
          </m:rPr>
          <w:rPr>
            <w:rFonts w:hint="eastAsia" w:ascii="Cambria Math" w:hAnsi="Cambria Math" w:eastAsia="宋体" w:cs="宋体"/>
            <w:sz w:val="24"/>
            <w:szCs w:val="24"/>
            <w:lang w:eastAsia="zh-CN"/>
          </w:rPr>
          <m:t>=</m:t>
        </m:r>
        <m:f>
          <m:fPr>
            <m:ctrlPr>
              <w:rPr>
                <w:rFonts w:hint="eastAsia" w:ascii="Cambria Math" w:hAnsi="Cambria Math" w:eastAsia="宋体" w:cs="宋体"/>
                <w:sz w:val="24"/>
                <w:szCs w:val="24"/>
                <w:lang w:eastAsia="zh-CN"/>
              </w:rPr>
            </m:ctrlPr>
          </m:fPr>
          <m:num>
            <m:r>
              <m:rPr/>
              <w:rPr>
                <w:rFonts w:hint="eastAsia" w:ascii="Cambria Math" w:hAnsi="Cambria Math" w:eastAsia="宋体" w:cs="宋体"/>
                <w:sz w:val="24"/>
                <w:szCs w:val="24"/>
                <w:lang w:eastAsia="zh-CN"/>
              </w:rPr>
              <m:t>n</m:t>
            </m:r>
            <m:ctrlPr>
              <w:rPr>
                <w:rFonts w:hint="eastAsia" w:ascii="Cambria Math" w:hAnsi="Cambria Math" w:eastAsia="宋体" w:cs="宋体"/>
                <w:sz w:val="24"/>
                <w:szCs w:val="24"/>
                <w:lang w:eastAsia="zh-CN"/>
              </w:rPr>
            </m:ctrlPr>
          </m:num>
          <m:den>
            <m:r>
              <m:rPr/>
              <w:rPr>
                <w:rFonts w:hint="eastAsia" w:ascii="Cambria Math" w:hAnsi="Cambria Math" w:eastAsia="宋体" w:cs="宋体"/>
                <w:sz w:val="24"/>
                <w:szCs w:val="24"/>
                <w:lang w:eastAsia="zh-CN"/>
              </w:rPr>
              <m:t>N</m:t>
            </m:r>
            <m:ctrlPr>
              <w:rPr>
                <w:rFonts w:hint="eastAsia" w:ascii="Cambria Math" w:hAnsi="Cambria Math" w:eastAsia="宋体" w:cs="宋体"/>
                <w:sz w:val="24"/>
                <w:szCs w:val="24"/>
                <w:lang w:eastAsia="zh-CN"/>
              </w:rPr>
            </m:ctrlPr>
          </m:den>
        </m:f>
        <m:r>
          <m:rPr/>
          <w:rPr>
            <w:rFonts w:hint="eastAsia" w:ascii="Cambria Math" w:hAnsi="Cambria Math" w:eastAsia="宋体" w:cs="宋体"/>
            <w:sz w:val="24"/>
            <w:szCs w:val="24"/>
            <w:lang w:eastAsia="zh-CN"/>
          </w:rPr>
          <m:t>×100</m:t>
        </m:r>
      </m:oMath>
      <w:r>
        <w:rPr>
          <w:rFonts w:hint="eastAsia" w:ascii="宋体" w:hAnsi="宋体" w:eastAsia="宋体" w:cs="宋体"/>
          <w:sz w:val="21"/>
          <w:szCs w:val="21"/>
          <w:lang w:val="en-US" w:eastAsia="en-US" w:bidi="ar-SA"/>
        </w:rPr>
        <w:t>………………………………………（2）</w:t>
      </w:r>
    </w:p>
    <w:p w14:paraId="49FB12E0">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式中：</w:t>
      </w:r>
    </w:p>
    <w:p w14:paraId="7A0B85FC">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q —— 合格率</w:t>
      </w:r>
    </w:p>
    <w:p w14:paraId="3A021B4A">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n —— 合格样品数</w:t>
      </w:r>
    </w:p>
    <w:p w14:paraId="30677FCD">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N —— 总分析样品数</w:t>
      </w:r>
    </w:p>
    <w:p w14:paraId="38FEFA1D">
      <w:pPr>
        <w:widowControl w:val="0"/>
        <w:autoSpaceDE/>
        <w:autoSpaceDN/>
        <w:jc w:val="both"/>
        <w:rPr>
          <w:rFonts w:ascii="宋体" w:hAnsi="宋体" w:eastAsia="宋体" w:cs="宋体"/>
          <w:sz w:val="21"/>
          <w:szCs w:val="21"/>
          <w:lang w:val="en-US" w:eastAsia="zh-CN" w:bidi="ar-SA"/>
        </w:rPr>
      </w:pPr>
      <w:r>
        <w:rPr>
          <w:rFonts w:hint="eastAsia" w:ascii="黑体" w:hAnsi="黑体" w:eastAsia="黑体" w:cs="宋体"/>
          <w:sz w:val="21"/>
          <w:szCs w:val="21"/>
          <w:lang w:val="en-US" w:eastAsia="zh-CN" w:bidi="ar-SA"/>
        </w:rPr>
        <w:t>8.4.3.</w:t>
      </w:r>
      <w:r>
        <w:rPr>
          <w:rFonts w:ascii="黑体" w:hAnsi="黑体" w:eastAsia="黑体" w:cs="宋体"/>
          <w:sz w:val="21"/>
          <w:szCs w:val="21"/>
          <w:lang w:val="en-US" w:eastAsia="zh-CN" w:bidi="ar-SA"/>
        </w:rPr>
        <w:t xml:space="preserve">4  </w:t>
      </w:r>
      <w:r>
        <w:rPr>
          <w:rFonts w:hint="eastAsia" w:ascii="宋体" w:hAnsi="宋体" w:eastAsia="宋体" w:cs="宋体"/>
          <w:sz w:val="21"/>
          <w:szCs w:val="21"/>
          <w:lang w:val="en-US" w:eastAsia="zh-CN" w:bidi="ar-SA"/>
        </w:rPr>
        <w:t>对平行双样测定结果的误差在允许误差范围之内者为合格，允许误差范围见表A.1。对于未列出允许误差的项目，当样品的均匀性和稳定性较好时，参考表A.2、A</w:t>
      </w:r>
      <w:r>
        <w:rPr>
          <w:rFonts w:ascii="宋体" w:hAnsi="宋体" w:eastAsia="宋体" w:cs="宋体"/>
          <w:sz w:val="21"/>
          <w:szCs w:val="21"/>
          <w:lang w:val="en-US" w:eastAsia="zh-CN" w:bidi="ar-SA"/>
        </w:rPr>
        <w:t>.3</w:t>
      </w:r>
      <w:r>
        <w:rPr>
          <w:rFonts w:hint="eastAsia" w:ascii="宋体" w:hAnsi="宋体" w:eastAsia="宋体" w:cs="宋体"/>
          <w:sz w:val="21"/>
          <w:szCs w:val="21"/>
          <w:lang w:val="en-US" w:eastAsia="zh-CN" w:bidi="ar-SA"/>
        </w:rPr>
        <w:t>。平行双样分析测试合格率要求应达到95%，当合格率低于95%时，应查明产生不合格结果的原因，采取适当的纠正和预防措施。除对不合格结果重新分析测试外，应再增加样品数5%～20%的平行样，直至平行双样测定合格率大于95%。</w:t>
      </w:r>
    </w:p>
    <w:p w14:paraId="4DFF1029">
      <w:pPr>
        <w:widowControl/>
        <w:autoSpaceDE/>
        <w:autoSpaceDN/>
        <w:spacing w:before="120" w:beforeLines="50" w:after="120" w:afterLines="50"/>
        <w:outlineLvl w:val="4"/>
        <w:rPr>
          <w:rFonts w:ascii="黑体" w:hAnsi="Times New Roman" w:eastAsia="黑体" w:cs="Times New Roman"/>
          <w:sz w:val="21"/>
          <w:szCs w:val="21"/>
          <w:lang w:val="en-US" w:eastAsia="zh-CN" w:bidi="ar-SA"/>
        </w:rPr>
      </w:pPr>
      <w:bookmarkStart w:id="208" w:name="_Hlk143683035"/>
      <w:r>
        <w:rPr>
          <w:rFonts w:hint="eastAsia" w:ascii="黑体" w:hAnsi="Times New Roman" w:eastAsia="黑体" w:cs="Times New Roman"/>
          <w:sz w:val="21"/>
          <w:szCs w:val="21"/>
          <w:lang w:val="en-US" w:eastAsia="zh-CN" w:bidi="ar-SA"/>
        </w:rPr>
        <w:t>8.4.4</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 xml:space="preserve"> 正确度控制</w:t>
      </w:r>
    </w:p>
    <w:p w14:paraId="6759A12B">
      <w:pPr>
        <w:widowControl w:val="0"/>
        <w:autoSpaceDE/>
        <w:autoSpaceDN/>
        <w:ind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实验室分析正确度可选用分析有证标准物质或加标回收来控制。</w:t>
      </w:r>
      <w:bookmarkEnd w:id="208"/>
    </w:p>
    <w:p w14:paraId="211C2F43">
      <w:pPr>
        <w:widowControl w:val="0"/>
        <w:numPr>
          <w:ilvl w:val="3"/>
          <w:numId w:val="45"/>
        </w:numPr>
        <w:tabs>
          <w:tab w:val="left" w:pos="1073"/>
        </w:tabs>
        <w:autoSpaceDE/>
        <w:autoSpaceDN/>
        <w:ind w:left="1080" w:hanging="1080"/>
        <w:jc w:val="both"/>
        <w:rPr>
          <w:rFonts w:ascii="黑体" w:hAnsi="黑体" w:eastAsia="黑体" w:cs="宋体"/>
          <w:sz w:val="21"/>
          <w:szCs w:val="21"/>
          <w:lang w:val="en-US" w:eastAsia="en-US" w:bidi="ar-SA"/>
        </w:rPr>
      </w:pPr>
      <w:r>
        <w:rPr>
          <w:rFonts w:hint="eastAsia" w:ascii="黑体" w:hAnsi="黑体" w:eastAsia="黑体" w:cs="宋体"/>
          <w:sz w:val="21"/>
          <w:szCs w:val="21"/>
          <w:lang w:val="en-US" w:eastAsia="en-US" w:bidi="ar-SA"/>
        </w:rPr>
        <w:t>有证标准物质</w:t>
      </w:r>
    </w:p>
    <w:p w14:paraId="3058D19E">
      <w:pPr>
        <w:autoSpaceDE/>
        <w:autoSpaceDN/>
        <w:ind w:firstLine="420" w:firstLineChars="200"/>
        <w:jc w:val="both"/>
        <w:rPr>
          <w:rFonts w:ascii="宋体" w:hAnsi="宋体" w:eastAsia="宋体" w:cs="宋体"/>
          <w:kern w:val="0"/>
          <w:sz w:val="21"/>
          <w:szCs w:val="21"/>
          <w:lang w:eastAsia="zh-CN"/>
        </w:rPr>
      </w:pPr>
      <w:r>
        <w:rPr>
          <w:rFonts w:hint="eastAsia" w:ascii="宋体" w:hAnsi="宋体" w:eastAsia="宋体" w:cs="宋体"/>
          <w:kern w:val="0"/>
          <w:sz w:val="21"/>
          <w:szCs w:val="21"/>
          <w:lang w:eastAsia="zh-CN"/>
        </w:rPr>
        <w:t>当具备与被测土壤样品基本相同或类似的有证标准物质（或参比物质）时，应挑选合适的有证标准物质样品作为质控样品。每批次（最多20个样品/批）应至少插入1个与被测样品含量水平相当的有证标准样品；标准物质样品的分析测试结果应落入标准物质保证值（在95%的置信水平）范围之内，分析方法有规定的，按规定执行；对有证标准物质样品分析测试合格率应达到100%。当出现不合格结果时，应查明其原因，采取适当的纠正和预防措施，重新分析该批次样品。</w:t>
      </w:r>
    </w:p>
    <w:p w14:paraId="2DEAA329">
      <w:pPr>
        <w:tabs>
          <w:tab w:val="left" w:pos="1073"/>
        </w:tabs>
        <w:autoSpaceDE/>
        <w:autoSpaceDN/>
        <w:jc w:val="both"/>
        <w:rPr>
          <w:rFonts w:ascii="黑体" w:hAnsi="黑体" w:eastAsia="黑体" w:cs="宋体"/>
          <w:kern w:val="0"/>
          <w:sz w:val="21"/>
          <w:szCs w:val="21"/>
          <w:lang w:eastAsia="zh-CN"/>
        </w:rPr>
      </w:pPr>
      <w:r>
        <w:rPr>
          <w:rFonts w:hint="eastAsia" w:ascii="黑体" w:hAnsi="黑体" w:eastAsia="黑体" w:cs="宋体"/>
          <w:kern w:val="0"/>
          <w:sz w:val="21"/>
          <w:szCs w:val="21"/>
          <w:lang w:eastAsia="zh-CN"/>
        </w:rPr>
        <w:t>8.4.4.2 加标回收率试验</w:t>
      </w:r>
    </w:p>
    <w:p w14:paraId="5D98E553">
      <w:pPr>
        <w:tabs>
          <w:tab w:val="left" w:pos="1748"/>
        </w:tabs>
        <w:autoSpaceDE/>
        <w:autoSpaceDN/>
        <w:ind w:firstLine="420" w:firstLineChars="200"/>
        <w:jc w:val="both"/>
        <w:rPr>
          <w:rFonts w:ascii="宋体" w:hAnsi="宋体" w:eastAsia="宋体" w:cs="宋体"/>
          <w:kern w:val="0"/>
          <w:sz w:val="21"/>
          <w:szCs w:val="21"/>
          <w:lang w:eastAsia="zh-CN"/>
        </w:rPr>
      </w:pPr>
      <w:r>
        <w:rPr>
          <w:rFonts w:hint="eastAsia" w:ascii="宋体" w:hAnsi="宋体" w:eastAsia="宋体" w:cs="宋体"/>
          <w:kern w:val="0"/>
          <w:sz w:val="21"/>
          <w:szCs w:val="21"/>
          <w:lang w:eastAsia="zh-CN"/>
        </w:rPr>
        <w:t>当选测的项目无标准物质或质控样品时，可用基体加标回收试验来检查测定正确度；</w:t>
      </w:r>
    </w:p>
    <w:p w14:paraId="741AC850">
      <w:pPr>
        <w:tabs>
          <w:tab w:val="left" w:pos="1764"/>
        </w:tabs>
        <w:autoSpaceDE/>
        <w:autoSpaceDN/>
        <w:ind w:firstLine="420" w:firstLineChars="200"/>
        <w:jc w:val="both"/>
        <w:rPr>
          <w:rFonts w:ascii="宋体" w:hAnsi="宋体" w:eastAsia="宋体" w:cs="宋体"/>
          <w:kern w:val="0"/>
          <w:sz w:val="21"/>
          <w:szCs w:val="21"/>
          <w:lang w:eastAsia="zh-CN"/>
        </w:rPr>
      </w:pPr>
      <w:r>
        <w:rPr>
          <w:rFonts w:hint="eastAsia" w:ascii="宋体" w:hAnsi="宋体" w:eastAsia="宋体" w:cs="宋体"/>
          <w:kern w:val="0"/>
          <w:sz w:val="21"/>
          <w:szCs w:val="21"/>
          <w:lang w:eastAsia="zh-CN"/>
        </w:rPr>
        <w:t>每批次（最多20个样品/批）应至少随机抽取1个样品进行加标回收率试验；</w:t>
      </w:r>
    </w:p>
    <w:p w14:paraId="0D3CA235">
      <w:pPr>
        <w:tabs>
          <w:tab w:val="left" w:pos="1764"/>
        </w:tabs>
        <w:autoSpaceDE/>
        <w:autoSpaceDN/>
        <w:ind w:firstLine="420" w:firstLineChars="200"/>
        <w:jc w:val="both"/>
        <w:rPr>
          <w:rFonts w:ascii="宋体" w:hAnsi="宋体" w:eastAsia="宋体" w:cs="宋体"/>
          <w:kern w:val="0"/>
          <w:sz w:val="21"/>
          <w:szCs w:val="21"/>
          <w:lang w:eastAsia="zh-CN"/>
        </w:rPr>
      </w:pPr>
      <w:r>
        <w:rPr>
          <w:rFonts w:hint="eastAsia" w:ascii="宋体" w:hAnsi="宋体" w:eastAsia="宋体" w:cs="宋体"/>
          <w:kern w:val="0"/>
          <w:sz w:val="21"/>
          <w:szCs w:val="21"/>
          <w:lang w:eastAsia="zh-CN"/>
        </w:rPr>
        <w:t>基体加标回收率试验应在样品前处理之前加标，加标样品与试样应在相同的前处理和分析条件下进行分析测试。加标量可视被测组分含量而定，含量高的可加入被测组分含量的0.5～1.0倍，含量低的可加2～3倍，未检出时，加标量为方法检出限的3～10倍，但加标后被测组分的总量不得超出分析方法的测定上限。加标浓度宜高，体积应小，不应超过原试样体积的1%，否则需进行体积校正。分析方法有规定的，按规定执行；</w:t>
      </w:r>
    </w:p>
    <w:p w14:paraId="4F087AE5">
      <w:pPr>
        <w:tabs>
          <w:tab w:val="left" w:pos="1764"/>
        </w:tabs>
        <w:autoSpaceDE/>
        <w:autoSpaceDN/>
        <w:ind w:firstLine="420" w:firstLineChars="200"/>
        <w:jc w:val="both"/>
        <w:rPr>
          <w:rFonts w:ascii="宋体" w:hAnsi="宋体" w:eastAsia="宋体" w:cs="宋体"/>
          <w:kern w:val="0"/>
          <w:sz w:val="21"/>
          <w:szCs w:val="21"/>
          <w:lang w:eastAsia="zh-CN"/>
        </w:rPr>
      </w:pPr>
      <w:r>
        <w:rPr>
          <w:rFonts w:hint="eastAsia" w:ascii="宋体" w:hAnsi="宋体" w:eastAsia="宋体" w:cs="宋体"/>
          <w:kern w:val="0"/>
          <w:sz w:val="21"/>
          <w:szCs w:val="21"/>
          <w:lang w:eastAsia="zh-CN"/>
        </w:rPr>
        <w:t>加标回收率试验合格率应在允许范围内，详见附录A。当加标回收合格率小于70%时，对不合格批次重新进行前处理和测试，并增加5%～20%的试样作加标回收率测定，直至总合格率大于或等于70%以上。</w:t>
      </w:r>
    </w:p>
    <w:p w14:paraId="032C76BD">
      <w:pPr>
        <w:widowControl/>
        <w:autoSpaceDE/>
        <w:autoSpaceDN/>
        <w:spacing w:before="120" w:beforeLines="50" w:after="120" w:afterLines="50"/>
        <w:outlineLvl w:val="4"/>
        <w:rPr>
          <w:rFonts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8.4.</w:t>
      </w:r>
      <w:r>
        <w:rPr>
          <w:rFonts w:ascii="黑体" w:hAnsi="Times New Roman" w:eastAsia="黑体" w:cs="Times New Roman"/>
          <w:sz w:val="21"/>
          <w:szCs w:val="21"/>
          <w:lang w:val="en-US" w:eastAsia="zh-CN" w:bidi="ar-SA"/>
        </w:rPr>
        <w:t xml:space="preserve">5 </w:t>
      </w:r>
      <w:r>
        <w:rPr>
          <w:rFonts w:hint="eastAsia" w:ascii="黑体" w:hAnsi="Times New Roman" w:eastAsia="黑体" w:cs="Times New Roman"/>
          <w:sz w:val="21"/>
          <w:szCs w:val="21"/>
          <w:lang w:val="en-US" w:eastAsia="zh-CN" w:bidi="ar-SA"/>
        </w:rPr>
        <w:t xml:space="preserve"> 分析注意事项</w:t>
      </w:r>
    </w:p>
    <w:p w14:paraId="1B9DD68F">
      <w:pPr>
        <w:tabs>
          <w:tab w:val="center" w:pos="4201"/>
          <w:tab w:val="right" w:leader="dot" w:pos="9298"/>
        </w:tabs>
        <w:autoSpaceDE w:val="0"/>
        <w:autoSpaceDN w:val="0"/>
        <w:ind w:firstLine="420" w:firstLineChars="20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原子荧光法测定汞时对所用试剂纯度有着严格的要求，因此在测定时需重点关注实验用水和试剂的空白值，测试时尽量将空白值控制在</w:t>
      </w:r>
      <w:r>
        <w:rPr>
          <w:rFonts w:ascii="宋体" w:hAnsi="宋体" w:eastAsia="宋体" w:cs="Times New Roman"/>
          <w:sz w:val="21"/>
          <w:szCs w:val="21"/>
          <w:lang w:val="en-US" w:eastAsia="zh-CN" w:bidi="ar-SA"/>
        </w:rPr>
        <w:t>500以下。测汞时，排除仪器条件因素和仪器污染后，空白荧光值与以往呈倍数差别时，应首先考虑酸中汞含量是否超标。</w:t>
      </w:r>
    </w:p>
    <w:p w14:paraId="5BF476DD">
      <w:pPr>
        <w:tabs>
          <w:tab w:val="center" w:pos="4201"/>
          <w:tab w:val="right" w:leader="dot" w:pos="9298"/>
        </w:tabs>
        <w:autoSpaceDE w:val="0"/>
        <w:autoSpaceDN w:val="0"/>
        <w:ind w:firstLine="420" w:firstLineChars="200"/>
        <w:jc w:val="both"/>
        <w:rPr>
          <w:rFonts w:ascii="宋体" w:hAnsi="宋体" w:eastAsia="宋体" w:cs="Times New Roman"/>
          <w:sz w:val="21"/>
          <w:lang w:val="en-US" w:eastAsia="zh-CN" w:bidi="ar-SA"/>
        </w:rPr>
      </w:pPr>
      <w:r>
        <w:rPr>
          <w:rFonts w:hint="eastAsia" w:ascii="宋体" w:hAnsi="宋体" w:eastAsia="宋体" w:cs="Times New Roman"/>
          <w:sz w:val="21"/>
          <w:lang w:val="en-US" w:eastAsia="zh-CN" w:bidi="ar-SA"/>
        </w:rPr>
        <w:t>同一点位，土壤中砷和汞的测定值相差</w:t>
      </w:r>
      <w:r>
        <w:rPr>
          <w:rFonts w:ascii="宋体" w:hAnsi="宋体" w:eastAsia="宋体" w:cs="Times New Roman"/>
          <w:sz w:val="21"/>
          <w:lang w:val="en-US" w:eastAsia="zh-CN" w:bidi="ar-SA"/>
        </w:rPr>
        <w:t>2～3 个数量级。同时检测时，砷土壤样品大部分需要稀释，而汞土壤样品一般不需要稀释。</w:t>
      </w:r>
      <w:r>
        <w:rPr>
          <w:rFonts w:hint="eastAsia" w:ascii="宋体" w:hAnsi="宋体" w:eastAsia="宋体" w:cs="Times New Roman"/>
          <w:sz w:val="21"/>
          <w:lang w:val="en-US" w:eastAsia="zh-CN" w:bidi="ar-SA"/>
        </w:rPr>
        <w:t>为确保测试结果的准确，砷汞土壤样品消解后单独测定。</w:t>
      </w:r>
    </w:p>
    <w:p w14:paraId="2666653D">
      <w:pPr>
        <w:tabs>
          <w:tab w:val="left" w:pos="1764"/>
        </w:tabs>
        <w:autoSpaceDE/>
        <w:autoSpaceDN/>
        <w:jc w:val="both"/>
        <w:rPr>
          <w:rFonts w:ascii="宋体" w:hAnsi="宋体" w:eastAsia="宋体" w:cs="宋体"/>
          <w:kern w:val="0"/>
          <w:sz w:val="21"/>
          <w:szCs w:val="21"/>
          <w:lang w:eastAsia="zh-CN"/>
        </w:rPr>
      </w:pPr>
    </w:p>
    <w:p w14:paraId="267CC4CD">
      <w:pPr>
        <w:widowControl w:val="0"/>
        <w:numPr>
          <w:ilvl w:val="1"/>
          <w:numId w:val="44"/>
        </w:numPr>
        <w:tabs>
          <w:tab w:val="left" w:pos="550"/>
        </w:tabs>
        <w:autoSpaceDE/>
        <w:autoSpaceDN/>
        <w:spacing w:before="120" w:beforeLines="50" w:after="120" w:afterLines="50" w:line="360" w:lineRule="exact"/>
        <w:ind w:left="525" w:hanging="525"/>
        <w:outlineLvl w:val="1"/>
        <w:rPr>
          <w:rFonts w:ascii="黑体" w:hAnsi="黑体" w:eastAsia="黑体" w:cs="黑体"/>
          <w:sz w:val="21"/>
          <w:szCs w:val="21"/>
          <w:lang w:val="en-US" w:eastAsia="zh-CN" w:bidi="ar-SA"/>
        </w:rPr>
      </w:pPr>
      <w:bookmarkStart w:id="209" w:name="8.5.1.2_准确度控制方式"/>
      <w:bookmarkEnd w:id="209"/>
      <w:bookmarkStart w:id="210" w:name="_bookmark30"/>
      <w:bookmarkEnd w:id="210"/>
      <w:bookmarkStart w:id="211" w:name="8.5.2_实验室间质量控制"/>
      <w:bookmarkEnd w:id="211"/>
      <w:bookmarkStart w:id="212" w:name="a）有证标准物质:"/>
      <w:bookmarkEnd w:id="212"/>
      <w:bookmarkStart w:id="213" w:name="b）_加标回收率试验："/>
      <w:bookmarkEnd w:id="213"/>
      <w:bookmarkStart w:id="214" w:name="_Toc17628"/>
      <w:bookmarkStart w:id="215" w:name="_Toc169694669"/>
      <w:r>
        <w:rPr>
          <w:rFonts w:hint="eastAsia" w:ascii="黑体" w:hAnsi="黑体" w:eastAsia="黑体" w:cs="黑体"/>
          <w:sz w:val="21"/>
          <w:szCs w:val="21"/>
          <w:lang w:val="en-US" w:eastAsia="zh-CN" w:bidi="ar-SA"/>
        </w:rPr>
        <w:t>记录与报告</w:t>
      </w:r>
      <w:bookmarkEnd w:id="214"/>
      <w:bookmarkEnd w:id="215"/>
    </w:p>
    <w:p w14:paraId="0F4DAC13">
      <w:pPr>
        <w:widowControl/>
        <w:autoSpaceDE/>
        <w:autoSpaceDN/>
        <w:spacing w:before="120" w:beforeLines="50" w:after="120" w:afterLines="50"/>
        <w:outlineLvl w:val="4"/>
        <w:rPr>
          <w:rFonts w:ascii="黑体" w:hAnsi="Times New Roman" w:eastAsia="黑体" w:cs="Times New Roman"/>
          <w:sz w:val="21"/>
          <w:szCs w:val="21"/>
          <w:lang w:val="en-US" w:eastAsia="zh-CN" w:bidi="ar-SA"/>
        </w:rPr>
      </w:pPr>
      <w:bookmarkStart w:id="216" w:name="8.6.1_应保证监测数据的完整性，确保全面、真实、客观地反映测试结果，不得选择"/>
      <w:bookmarkEnd w:id="216"/>
      <w:r>
        <w:rPr>
          <w:rFonts w:hint="eastAsia" w:ascii="黑体" w:hAnsi="Times New Roman" w:eastAsia="黑体" w:cs="Times New Roman"/>
          <w:sz w:val="21"/>
          <w:szCs w:val="21"/>
          <w:lang w:val="en-US" w:eastAsia="zh-CN" w:bidi="ar-SA"/>
        </w:rPr>
        <w:t>8</w:t>
      </w:r>
      <w:r>
        <w:rPr>
          <w:rFonts w:ascii="黑体" w:hAnsi="Times New Roman" w:eastAsia="黑体" w:cs="Times New Roman"/>
          <w:sz w:val="21"/>
          <w:szCs w:val="21"/>
          <w:lang w:val="en-US" w:eastAsia="zh-CN" w:bidi="ar-SA"/>
        </w:rPr>
        <w:t xml:space="preserve">.5.1 </w:t>
      </w:r>
      <w:r>
        <w:rPr>
          <w:rFonts w:hint="eastAsia" w:ascii="宋体" w:hAnsi="宋体" w:eastAsia="宋体" w:cs="Times New Roman"/>
          <w:sz w:val="21"/>
          <w:szCs w:val="21"/>
          <w:lang w:val="en-US" w:eastAsia="zh-CN" w:bidi="ar-SA"/>
        </w:rPr>
        <w:t>应保证检测数据的完整性，确保全面、真实、客观地反映测试结果，不得选择性地舍弃数据或人为干预测试结果。</w:t>
      </w:r>
    </w:p>
    <w:p w14:paraId="123D3CE7">
      <w:pPr>
        <w:widowControl/>
        <w:autoSpaceDE/>
        <w:autoSpaceDN/>
        <w:spacing w:before="120" w:beforeLines="50" w:after="120" w:afterLines="50"/>
        <w:outlineLvl w:val="4"/>
        <w:rPr>
          <w:rFonts w:ascii="宋体" w:hAnsi="宋体" w:eastAsia="宋体" w:cs="Times New Roman"/>
          <w:sz w:val="21"/>
          <w:szCs w:val="21"/>
          <w:lang w:val="en-US" w:eastAsia="zh-CN" w:bidi="ar-SA"/>
        </w:rPr>
      </w:pPr>
      <w:bookmarkStart w:id="217" w:name="8.6.2_测定结果小数位数与方法检出限一致，最多保留3位有效数字；分析测试结果"/>
      <w:bookmarkEnd w:id="217"/>
      <w:r>
        <w:rPr>
          <w:rFonts w:hint="eastAsia" w:ascii="黑体" w:hAnsi="Times New Roman" w:eastAsia="黑体" w:cs="Times New Roman"/>
          <w:sz w:val="21"/>
          <w:szCs w:val="21"/>
          <w:lang w:val="en-US" w:eastAsia="zh-CN" w:bidi="ar-SA"/>
        </w:rPr>
        <w:t>8</w:t>
      </w:r>
      <w:r>
        <w:rPr>
          <w:rFonts w:ascii="黑体" w:hAnsi="Times New Roman" w:eastAsia="黑体" w:cs="Times New Roman"/>
          <w:sz w:val="21"/>
          <w:szCs w:val="21"/>
          <w:lang w:val="en-US" w:eastAsia="zh-CN" w:bidi="ar-SA"/>
        </w:rPr>
        <w:t xml:space="preserve">.5.2 </w:t>
      </w:r>
      <w:r>
        <w:rPr>
          <w:rFonts w:hint="eastAsia" w:ascii="宋体" w:hAnsi="宋体" w:eastAsia="宋体" w:cs="Times New Roman"/>
          <w:sz w:val="21"/>
          <w:szCs w:val="21"/>
          <w:lang w:val="en-US" w:eastAsia="zh-CN" w:bidi="ar-SA"/>
        </w:rPr>
        <w:t>测定结果小数位数与方法检出限一致，最多保留 3 位有效数字；分析测试结果低于方法检出限时，用“ND”表示，并注明“ND”表示未检出，同时给出实验室方法检出限。</w:t>
      </w:r>
    </w:p>
    <w:p w14:paraId="20886E5B">
      <w:pPr>
        <w:widowControl/>
        <w:autoSpaceDE/>
        <w:autoSpaceDN/>
        <w:spacing w:before="120" w:beforeLines="50" w:after="120" w:afterLines="50"/>
        <w:outlineLvl w:val="4"/>
        <w:rPr>
          <w:rFonts w:ascii="黑体" w:hAnsi="Times New Roman" w:eastAsia="黑体" w:cs="Times New Roman"/>
          <w:sz w:val="21"/>
          <w:szCs w:val="21"/>
          <w:lang w:val="en-US" w:eastAsia="zh-CN" w:bidi="ar-SA"/>
        </w:rPr>
      </w:pPr>
      <w:bookmarkStart w:id="218" w:name="8.6.3_实验室分析人员应及时填写原始记录，校核人员应检查记录是否完整、录入计"/>
      <w:bookmarkEnd w:id="218"/>
      <w:r>
        <w:rPr>
          <w:rFonts w:ascii="黑体" w:hAnsi="Times New Roman" w:eastAsia="黑体" w:cs="Times New Roman"/>
          <w:sz w:val="21"/>
          <w:szCs w:val="21"/>
          <w:lang w:val="en-US" w:eastAsia="zh-CN" w:bidi="ar-SA"/>
        </w:rPr>
        <w:t xml:space="preserve">8.5.3 </w:t>
      </w:r>
      <w:r>
        <w:rPr>
          <w:rFonts w:hint="eastAsia" w:ascii="宋体" w:hAnsi="宋体" w:eastAsia="宋体" w:cs="Times New Roman"/>
          <w:sz w:val="21"/>
          <w:szCs w:val="21"/>
          <w:lang w:val="en-US" w:eastAsia="zh-CN" w:bidi="ar-SA"/>
        </w:rPr>
        <w:t>检测原始记录应有检测人员、校核人员、审核人员的三级签字。仪器设备直接输出的数据和谱图应以纸质或电子介质的形式完整保存，电子介质储存的记录应采取适当措施备份保存，防止记录丢失、失效或篡改。</w:t>
      </w:r>
      <w:bookmarkStart w:id="219" w:name="8.6.4_监测报告应实行三级审核制度。应对记录和数据的准确性、逻辑性、可比性和"/>
      <w:bookmarkEnd w:id="219"/>
    </w:p>
    <w:p w14:paraId="745D3F49">
      <w:pPr>
        <w:widowControl/>
        <w:autoSpaceDE/>
        <w:autoSpaceDN/>
        <w:spacing w:before="120" w:beforeLines="50" w:after="120" w:afterLines="50"/>
        <w:outlineLvl w:val="4"/>
        <w:rPr>
          <w:rFonts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w:t>
      </w:r>
      <w:r>
        <w:rPr>
          <w:rFonts w:ascii="黑体" w:hAnsi="Times New Roman" w:eastAsia="黑体" w:cs="Times New Roman"/>
          <w:sz w:val="21"/>
          <w:szCs w:val="21"/>
          <w:lang w:val="en-US" w:eastAsia="zh-CN" w:bidi="ar-SA"/>
        </w:rPr>
        <w:t xml:space="preserve">.5.4 </w:t>
      </w:r>
      <w:r>
        <w:rPr>
          <w:rFonts w:hint="eastAsia" w:ascii="宋体" w:hAnsi="宋体" w:eastAsia="宋体" w:cs="Times New Roman"/>
          <w:sz w:val="21"/>
          <w:szCs w:val="21"/>
          <w:lang w:val="en-US" w:eastAsia="zh-CN" w:bidi="ar-SA"/>
        </w:rPr>
        <w:t>监测报告应实行三级审核制度。应对记录和数据的准确性、逻辑性、可比性和合理性进行审核。审核范围应包括样品采集、样品保存、样品流转与运输、分析检测原始记录等。原始记录中应包括质控的记录。质控样品测试结果符合要求，质控核查结果无误，监测报告方可通过审核。</w:t>
      </w:r>
    </w:p>
    <w:p w14:paraId="3A3DF32B">
      <w:pPr>
        <w:tabs>
          <w:tab w:val="left" w:pos="420"/>
          <w:tab w:val="left" w:pos="832"/>
          <w:tab w:val="left" w:pos="833"/>
        </w:tabs>
        <w:autoSpaceDE/>
        <w:autoSpaceDN/>
        <w:spacing w:before="240" w:beforeLines="100" w:after="240" w:afterLines="100"/>
        <w:jc w:val="left"/>
        <w:outlineLvl w:val="0"/>
        <w:rPr>
          <w:rFonts w:ascii="黑体" w:hAnsi="黑体" w:eastAsia="黑体" w:cs="黑体"/>
          <w:kern w:val="0"/>
          <w:sz w:val="21"/>
          <w:szCs w:val="21"/>
          <w:lang w:eastAsia="en-US"/>
        </w:rPr>
      </w:pPr>
      <w:bookmarkStart w:id="220" w:name="9_质量监督计划"/>
      <w:bookmarkEnd w:id="220"/>
      <w:bookmarkStart w:id="221" w:name="_Toc169694670"/>
      <w:r>
        <w:rPr>
          <w:rFonts w:ascii="黑体" w:hAnsi="黑体" w:eastAsia="黑体" w:cs="黑体"/>
          <w:kern w:val="0"/>
          <w:sz w:val="21"/>
          <w:szCs w:val="21"/>
          <w:lang w:eastAsia="zh-CN"/>
        </w:rPr>
        <w:t>9</w:t>
      </w:r>
      <w:r>
        <w:rPr>
          <w:rFonts w:hint="eastAsia" w:ascii="黑体" w:hAnsi="黑体" w:eastAsia="黑体" w:cs="黑体"/>
          <w:kern w:val="0"/>
          <w:sz w:val="21"/>
          <w:szCs w:val="21"/>
          <w:lang w:eastAsia="zh-CN"/>
        </w:rPr>
        <w:t xml:space="preserve"> </w:t>
      </w:r>
      <w:r>
        <w:rPr>
          <w:rFonts w:hint="eastAsia" w:ascii="黑体" w:hAnsi="黑体" w:eastAsia="黑体" w:cs="黑体"/>
          <w:kern w:val="0"/>
          <w:sz w:val="21"/>
          <w:szCs w:val="21"/>
          <w:lang w:eastAsia="en-US"/>
        </w:rPr>
        <w:t>质量监督</w:t>
      </w:r>
      <w:bookmarkEnd w:id="221"/>
    </w:p>
    <w:p w14:paraId="49393298">
      <w:pPr>
        <w:widowControl w:val="0"/>
        <w:numPr>
          <w:ilvl w:val="1"/>
          <w:numId w:val="46"/>
        </w:numPr>
        <w:tabs>
          <w:tab w:val="left" w:pos="1041"/>
          <w:tab w:val="left" w:pos="1042"/>
        </w:tabs>
        <w:autoSpaceDE/>
        <w:autoSpaceDN/>
        <w:ind w:left="516" w:hanging="526"/>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应根据需求制定质量监督计划，也可根据任务特点开展不定期的质量监督。</w:t>
      </w:r>
    </w:p>
    <w:p w14:paraId="3308BFF5">
      <w:pPr>
        <w:widowControl w:val="0"/>
        <w:numPr>
          <w:ilvl w:val="1"/>
          <w:numId w:val="46"/>
        </w:numPr>
        <w:tabs>
          <w:tab w:val="left" w:pos="1041"/>
          <w:tab w:val="left" w:pos="1042"/>
        </w:tabs>
        <w:autoSpaceDE/>
        <w:autoSpaceDN/>
        <w:ind w:left="516" w:hanging="526"/>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质量监督计划至少应包括质量监督范围和内容、质量监督组组成、质量监督对象、频次和时间安排、结果评价方法等。</w:t>
      </w:r>
    </w:p>
    <w:p w14:paraId="15F54D77">
      <w:pPr>
        <w:widowControl w:val="0"/>
        <w:numPr>
          <w:ilvl w:val="2"/>
          <w:numId w:val="46"/>
        </w:numPr>
        <w:tabs>
          <w:tab w:val="left" w:pos="1461"/>
          <w:tab w:val="left" w:pos="1462"/>
        </w:tabs>
        <w:autoSpaceDE/>
        <w:autoSpaceDN/>
        <w:ind w:left="0"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质量监督范围和内容应涵盖土壤环境监测任务的各要素和各环节,包括地块信息采集、布点采样、样品保存和流转、样品分析测试等。</w:t>
      </w:r>
    </w:p>
    <w:p w14:paraId="1BB9E15F">
      <w:pPr>
        <w:widowControl w:val="0"/>
        <w:numPr>
          <w:ilvl w:val="2"/>
          <w:numId w:val="46"/>
        </w:numPr>
        <w:tabs>
          <w:tab w:val="left" w:pos="1461"/>
          <w:tab w:val="left" w:pos="1462"/>
        </w:tabs>
        <w:autoSpaceDE/>
        <w:autoSpaceDN/>
        <w:ind w:left="0"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确定质量监督组组长人选，根据质量监督人员的专业方向和特长，确定检查内容。</w:t>
      </w:r>
    </w:p>
    <w:p w14:paraId="2A606E1A">
      <w:pPr>
        <w:widowControl w:val="0"/>
        <w:numPr>
          <w:ilvl w:val="2"/>
          <w:numId w:val="46"/>
        </w:numPr>
        <w:tabs>
          <w:tab w:val="left" w:pos="1461"/>
          <w:tab w:val="left" w:pos="1462"/>
        </w:tabs>
        <w:autoSpaceDE/>
        <w:autoSpaceDN/>
        <w:ind w:left="0"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明确被监督的对象或工作环节。</w:t>
      </w:r>
    </w:p>
    <w:p w14:paraId="6E145374">
      <w:pPr>
        <w:widowControl w:val="0"/>
        <w:numPr>
          <w:ilvl w:val="2"/>
          <w:numId w:val="46"/>
        </w:numPr>
        <w:tabs>
          <w:tab w:val="left" w:pos="1462"/>
        </w:tabs>
        <w:autoSpaceDE/>
        <w:autoSpaceDN/>
        <w:ind w:left="0"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质量监督计划应是连续的或一定频次的（定期或不定期），对重点监督内容可采用连续的监督，其他可选择一定频次的监督。质量监督计划应与监测任务周期和任务量相匹配，可随任务周期或任务量的变化而调整。</w:t>
      </w:r>
    </w:p>
    <w:p w14:paraId="1553C02D">
      <w:pPr>
        <w:widowControl w:val="0"/>
        <w:numPr>
          <w:ilvl w:val="2"/>
          <w:numId w:val="46"/>
        </w:numPr>
        <w:tabs>
          <w:tab w:val="left" w:pos="1461"/>
          <w:tab w:val="left" w:pos="1462"/>
        </w:tabs>
        <w:autoSpaceDE/>
        <w:autoSpaceDN/>
        <w:ind w:left="0" w:firstLine="420" w:firstLineChars="200"/>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明确质量监督量化评价方法。</w:t>
      </w:r>
    </w:p>
    <w:p w14:paraId="15716A98">
      <w:pPr>
        <w:widowControl w:val="0"/>
        <w:numPr>
          <w:ilvl w:val="1"/>
          <w:numId w:val="46"/>
        </w:numPr>
        <w:tabs>
          <w:tab w:val="left" w:pos="1041"/>
          <w:tab w:val="left" w:pos="1042"/>
        </w:tabs>
        <w:autoSpaceDE/>
        <w:autoSpaceDN/>
        <w:ind w:left="516" w:hanging="526"/>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对于易出现错误或易忽视的监测环节，应加强质量监督，增加监督频次。</w:t>
      </w:r>
    </w:p>
    <w:p w14:paraId="00655A75">
      <w:pPr>
        <w:widowControl w:val="0"/>
        <w:numPr>
          <w:ilvl w:val="1"/>
          <w:numId w:val="46"/>
        </w:numPr>
        <w:tabs>
          <w:tab w:val="left" w:pos="1041"/>
          <w:tab w:val="left" w:pos="1042"/>
        </w:tabs>
        <w:autoSpaceDE/>
        <w:autoSpaceDN/>
        <w:ind w:left="516" w:hanging="526"/>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质量监督的程度、性质和水平应考虑到监测人员的资格、经验、培训和技术知识以及所承担的监测任务。</w:t>
      </w:r>
    </w:p>
    <w:p w14:paraId="6C168E48">
      <w:pPr>
        <w:tabs>
          <w:tab w:val="left" w:pos="832"/>
          <w:tab w:val="left" w:pos="833"/>
        </w:tabs>
        <w:autoSpaceDE/>
        <w:autoSpaceDN/>
        <w:spacing w:before="240" w:beforeLines="100" w:after="240" w:afterLines="100"/>
        <w:jc w:val="both"/>
        <w:outlineLvl w:val="0"/>
        <w:rPr>
          <w:rFonts w:ascii="黑体" w:hAnsi="黑体" w:eastAsia="黑体" w:cs="黑体"/>
          <w:kern w:val="0"/>
          <w:sz w:val="21"/>
          <w:szCs w:val="21"/>
          <w:lang w:eastAsia="zh-CN"/>
        </w:rPr>
      </w:pPr>
      <w:bookmarkStart w:id="222" w:name="10_质控数据统计"/>
      <w:bookmarkEnd w:id="222"/>
      <w:bookmarkStart w:id="223" w:name="_bookmark32"/>
      <w:bookmarkEnd w:id="223"/>
      <w:bookmarkStart w:id="224" w:name="_Toc169694671"/>
      <w:r>
        <w:rPr>
          <w:rFonts w:ascii="黑体" w:hAnsi="黑体" w:eastAsia="黑体" w:cs="黑体"/>
          <w:kern w:val="0"/>
          <w:sz w:val="21"/>
          <w:szCs w:val="21"/>
          <w:lang w:eastAsia="zh-CN"/>
        </w:rPr>
        <w:t>10</w:t>
      </w:r>
      <w:r>
        <w:rPr>
          <w:rFonts w:hint="eastAsia" w:ascii="黑体" w:hAnsi="黑体" w:eastAsia="黑体" w:cs="黑体"/>
          <w:kern w:val="0"/>
          <w:sz w:val="21"/>
          <w:szCs w:val="21"/>
          <w:lang w:eastAsia="zh-CN"/>
        </w:rPr>
        <w:t xml:space="preserve"> 质控数据统计</w:t>
      </w:r>
      <w:bookmarkEnd w:id="224"/>
    </w:p>
    <w:p w14:paraId="2A577995">
      <w:pPr>
        <w:widowControl w:val="0"/>
        <w:autoSpaceDE/>
        <w:autoSpaceDN/>
        <w:ind w:firstLine="420" w:firstLineChars="200"/>
        <w:jc w:val="both"/>
        <w:rPr>
          <w:rFonts w:ascii="宋体" w:hAnsi="宋体" w:eastAsia="宋体" w:cs="宋体"/>
          <w:spacing w:val="-9"/>
          <w:sz w:val="21"/>
          <w:szCs w:val="21"/>
          <w:lang w:val="en-US" w:eastAsia="zh-CN" w:bidi="ar-SA"/>
        </w:rPr>
      </w:pPr>
      <w:r>
        <w:rPr>
          <w:rFonts w:hint="eastAsia" w:ascii="宋体" w:hAnsi="宋体" w:eastAsia="宋体" w:cs="宋体"/>
          <w:sz w:val="21"/>
          <w:szCs w:val="21"/>
          <w:lang w:val="en-US" w:eastAsia="zh-CN" w:bidi="ar-SA"/>
        </w:rPr>
        <w:t>实验室在完成分析测试任务后，应对最终报出的所有样品分析测试结果的可靠性和合理性进行全面、综合的评价，编制质控数据统计表，内容包括：空白试验数据、精密度数据和正确度数据及各指标</w:t>
      </w:r>
      <w:r>
        <w:rPr>
          <w:rFonts w:hint="eastAsia" w:ascii="宋体" w:hAnsi="宋体" w:eastAsia="宋体" w:cs="宋体"/>
          <w:spacing w:val="-9"/>
          <w:sz w:val="21"/>
          <w:szCs w:val="21"/>
          <w:lang w:val="en-US" w:eastAsia="zh-CN" w:bidi="ar-SA"/>
        </w:rPr>
        <w:t>数量、符合性判定与合格率等。质控数据统计表可参考附录B。</w:t>
      </w:r>
    </w:p>
    <w:p w14:paraId="1D906849">
      <w:pPr>
        <w:widowControl w:val="0"/>
        <w:tabs>
          <w:tab w:val="left" w:pos="832"/>
          <w:tab w:val="left" w:pos="833"/>
        </w:tabs>
        <w:autoSpaceDE/>
        <w:autoSpaceDN/>
        <w:spacing w:before="240" w:beforeLines="100" w:after="240" w:afterLines="100"/>
        <w:ind w:left="0" w:firstLine="0"/>
        <w:jc w:val="both"/>
        <w:outlineLvl w:val="0"/>
        <w:rPr>
          <w:rFonts w:ascii="黑体" w:hAnsi="黑体" w:eastAsia="黑体" w:cs="黑体"/>
          <w:sz w:val="21"/>
          <w:szCs w:val="21"/>
          <w:lang w:val="en-US" w:eastAsia="zh-CN" w:bidi="ar-SA"/>
        </w:rPr>
      </w:pPr>
      <w:bookmarkStart w:id="225" w:name="_Toc166167017"/>
      <w:bookmarkStart w:id="226" w:name="_Toc169694672"/>
      <w:r>
        <w:rPr>
          <w:rFonts w:hint="eastAsia" w:ascii="黑体" w:hAnsi="黑体" w:eastAsia="黑体" w:cs="黑体"/>
          <w:sz w:val="21"/>
          <w:szCs w:val="21"/>
          <w:lang w:val="en-US" w:eastAsia="zh-CN" w:bidi="ar-SA"/>
        </w:rPr>
        <w:t>1</w:t>
      </w:r>
      <w:r>
        <w:rPr>
          <w:rFonts w:ascii="黑体" w:hAnsi="黑体" w:eastAsia="黑体" w:cs="黑体"/>
          <w:sz w:val="21"/>
          <w:szCs w:val="21"/>
          <w:lang w:val="en-US" w:eastAsia="zh-CN" w:bidi="ar-SA"/>
        </w:rPr>
        <w:t>1</w:t>
      </w:r>
      <w:r>
        <w:rPr>
          <w:rFonts w:hint="eastAsia" w:ascii="黑体" w:hAnsi="黑体" w:eastAsia="黑体" w:cs="黑体"/>
          <w:sz w:val="21"/>
          <w:szCs w:val="21"/>
          <w:lang w:val="en-US" w:eastAsia="zh-CN" w:bidi="ar-SA"/>
        </w:rPr>
        <w:t>标准实施及评价</w:t>
      </w:r>
      <w:bookmarkEnd w:id="225"/>
      <w:bookmarkEnd w:id="226"/>
    </w:p>
    <w:p w14:paraId="1AF0301C">
      <w:pPr>
        <w:widowControl w:val="0"/>
        <w:autoSpaceDE/>
        <w:autoSpaceDN/>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11.1</w:t>
      </w:r>
      <w:r>
        <w:rPr>
          <w:rFonts w:hint="eastAsia" w:ascii="宋体" w:hAnsi="宋体" w:eastAsia="宋体" w:cs="宋体"/>
          <w:sz w:val="21"/>
          <w:szCs w:val="21"/>
          <w:lang w:val="en-US" w:eastAsia="zh-CN" w:bidi="ar-SA"/>
        </w:rPr>
        <w:t xml:space="preserve"> 结合实际，认真做好标准实施准备，包括标准实施的方案准备、组织准备、知识准备、手段准备和物质条件准备等：</w:t>
      </w:r>
    </w:p>
    <w:p w14:paraId="27028298">
      <w:pPr>
        <w:widowControl w:val="0"/>
        <w:autoSpaceDE/>
        <w:autoSpaceDN/>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 xml:space="preserve">11.2 </w:t>
      </w:r>
      <w:r>
        <w:rPr>
          <w:rFonts w:hint="eastAsia" w:ascii="宋体" w:hAnsi="宋体" w:eastAsia="宋体" w:cs="宋体"/>
          <w:sz w:val="21"/>
          <w:szCs w:val="21"/>
          <w:lang w:val="en-US" w:eastAsia="zh-CN" w:bidi="ar-SA"/>
        </w:rPr>
        <w:t>制定标准实施方案，明确适用对象和场景、提供实施必备条件和保障（组织、制度、资金、人员和设备仪器等）、推荐方法路径，确定资源要素配置、关键环节和控制点，提出标准实施中的注意事项。</w:t>
      </w:r>
    </w:p>
    <w:p w14:paraId="679AB0F3">
      <w:pPr>
        <w:widowControl w:val="0"/>
        <w:autoSpaceDE/>
        <w:autoSpaceDN/>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 xml:space="preserve">11.3 </w:t>
      </w:r>
      <w:r>
        <w:rPr>
          <w:rFonts w:hint="eastAsia" w:ascii="宋体" w:hAnsi="宋体" w:eastAsia="宋体" w:cs="宋体"/>
          <w:sz w:val="21"/>
          <w:szCs w:val="21"/>
          <w:lang w:val="en-US" w:eastAsia="zh-CN" w:bidi="ar-SA"/>
        </w:rPr>
        <w:t>针对相关排污企业、执法人员、流域规划管理人员等进行标准宣贯，结合标准要求，落实责任制，做到横向到边，纵向到底。</w:t>
      </w:r>
    </w:p>
    <w:p w14:paraId="301AFEDE">
      <w:pPr>
        <w:widowControl w:val="0"/>
        <w:autoSpaceDE/>
        <w:autoSpaceDN/>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 xml:space="preserve">11.4 </w:t>
      </w:r>
      <w:r>
        <w:rPr>
          <w:rFonts w:hint="eastAsia" w:ascii="宋体" w:hAnsi="宋体" w:eastAsia="宋体" w:cs="宋体"/>
          <w:sz w:val="21"/>
          <w:szCs w:val="21"/>
          <w:lang w:val="en-US" w:eastAsia="zh-CN" w:bidi="ar-SA"/>
        </w:rPr>
        <w:t>标准实施主要在产品生产、企业管理、工程建设、技术改造等活动中开展。工程建设、技术改造活动标准实施的重点是落实国家的环境保护要求。</w:t>
      </w:r>
    </w:p>
    <w:p w14:paraId="34B7B00F">
      <w:pPr>
        <w:widowControl w:val="0"/>
        <w:autoSpaceDE/>
        <w:autoSpaceDN/>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 xml:space="preserve">11.5 </w:t>
      </w:r>
      <w:r>
        <w:rPr>
          <w:rFonts w:hint="eastAsia" w:ascii="宋体" w:hAnsi="宋体" w:eastAsia="宋体" w:cs="宋体"/>
          <w:sz w:val="21"/>
          <w:szCs w:val="21"/>
          <w:lang w:val="en-US" w:eastAsia="zh-CN" w:bidi="ar-SA"/>
        </w:rPr>
        <w:t>标准实施的检查主要是检查标准实施方案的落实情况，需要逐条检查标准实施内容的落实，并记录未实施内容的理由或原因。标准实施检查也要检查标准实施的支持手段和物质条件的落实情况。做好标准实施验证记录，畅通标准实施信息采集的方式和反馈渠道，定期整理并处理收集到的意见建议。</w:t>
      </w:r>
    </w:p>
    <w:p w14:paraId="2B45B118">
      <w:pPr>
        <w:widowControl w:val="0"/>
        <w:autoSpaceDE/>
        <w:autoSpaceDN/>
        <w:jc w:val="both"/>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对标准实施评价的基本依据是《中华人民共和国标准化法》等。</w:t>
      </w:r>
    </w:p>
    <w:p w14:paraId="57840A02">
      <w:pPr>
        <w:widowControl w:val="0"/>
        <w:autoSpaceDE/>
        <w:autoSpaceDN/>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 xml:space="preserve">11.6 </w:t>
      </w:r>
      <w:r>
        <w:rPr>
          <w:rFonts w:hint="eastAsia" w:ascii="宋体" w:hAnsi="宋体" w:eastAsia="宋体" w:cs="宋体"/>
          <w:sz w:val="21"/>
          <w:szCs w:val="21"/>
          <w:lang w:val="en-US" w:eastAsia="zh-CN" w:bidi="ar-SA"/>
        </w:rPr>
        <w:t>在标准实施一定时间后，对照标准实施方案，开展标准实施效果评价分析，总结实施经验成效，梳理存在的薄弱环节，标准实施的评价主要是评价标准实施的效果，主要从技术进步、质量水平提高、客户满意度、规范秩序、效率提高、履行社会责任等方面进行有益性评价，同时还要评价标准实施带来的问题，以便为未来改进提供参考。</w:t>
      </w:r>
    </w:p>
    <w:p w14:paraId="7D9CD0DF">
      <w:pPr>
        <w:widowControl w:val="0"/>
        <w:autoSpaceDE/>
        <w:autoSpaceDN/>
        <w:jc w:val="both"/>
        <w:rPr>
          <w:rFonts w:ascii="宋体" w:hAnsi="宋体" w:eastAsia="宋体" w:cs="宋体"/>
          <w:sz w:val="21"/>
          <w:szCs w:val="21"/>
          <w:lang w:val="en-US" w:eastAsia="zh-CN" w:bidi="ar-SA"/>
        </w:rPr>
      </w:pPr>
      <w:r>
        <w:rPr>
          <w:rFonts w:ascii="宋体" w:hAnsi="宋体" w:eastAsia="宋体" w:cs="宋体"/>
          <w:sz w:val="21"/>
          <w:szCs w:val="21"/>
          <w:lang w:val="en-US" w:eastAsia="zh-CN" w:bidi="ar-SA"/>
        </w:rPr>
        <w:t xml:space="preserve">11.7 </w:t>
      </w:r>
      <w:r>
        <w:rPr>
          <w:rFonts w:hint="eastAsia" w:ascii="宋体" w:hAnsi="宋体" w:eastAsia="宋体" w:cs="宋体"/>
          <w:sz w:val="21"/>
          <w:szCs w:val="21"/>
          <w:lang w:val="en-US" w:eastAsia="zh-CN" w:bidi="ar-SA"/>
        </w:rPr>
        <w:t>适时向专业标准化技术委员会和标准归口管理单位反馈情况，提出标准推广、修改、补充、完善或者废止等意见建议。</w:t>
      </w:r>
    </w:p>
    <w:p w14:paraId="58F0BAFD">
      <w:pPr>
        <w:widowControl w:val="0"/>
        <w:autoSpaceDE/>
        <w:autoSpaceDN/>
        <w:jc w:val="both"/>
        <w:rPr>
          <w:rFonts w:ascii="宋体" w:hAnsi="宋体" w:eastAsia="宋体" w:cs="宋体"/>
          <w:spacing w:val="-9"/>
          <w:sz w:val="21"/>
          <w:szCs w:val="21"/>
          <w:lang w:val="en-US" w:eastAsia="zh-CN" w:bidi="ar-SA"/>
        </w:rPr>
      </w:pPr>
      <w:r>
        <w:rPr>
          <w:rFonts w:ascii="宋体" w:hAnsi="宋体" w:eastAsia="宋体" w:cs="宋体"/>
          <w:sz w:val="21"/>
          <w:szCs w:val="21"/>
          <w:lang w:val="en-US" w:eastAsia="zh-CN" w:bidi="ar-SA"/>
        </w:rPr>
        <w:t xml:space="preserve">11.8 </w:t>
      </w:r>
      <w:r>
        <w:rPr>
          <w:rFonts w:hint="eastAsia" w:ascii="宋体" w:hAnsi="宋体" w:eastAsia="宋体" w:cs="宋体"/>
          <w:sz w:val="21"/>
          <w:szCs w:val="21"/>
          <w:lang w:val="en-US" w:eastAsia="zh-CN" w:bidi="ar-SA"/>
        </w:rPr>
        <w:t>标准实施信息及意见反馈表相关示例见附录</w:t>
      </w:r>
      <w:r>
        <w:rPr>
          <w:rFonts w:ascii="宋体" w:hAnsi="宋体" w:eastAsia="宋体" w:cs="宋体"/>
          <w:sz w:val="21"/>
          <w:szCs w:val="21"/>
          <w:lang w:val="en-US" w:eastAsia="zh-CN" w:bidi="ar-SA"/>
        </w:rPr>
        <w:t>C</w:t>
      </w:r>
      <w:r>
        <w:rPr>
          <w:rFonts w:hint="eastAsia" w:ascii="宋体" w:hAnsi="宋体" w:eastAsia="宋体" w:cs="宋体"/>
          <w:sz w:val="21"/>
          <w:szCs w:val="21"/>
          <w:lang w:val="en-US" w:eastAsia="zh-CN" w:bidi="ar-SA"/>
        </w:rPr>
        <w:t>。</w:t>
      </w:r>
    </w:p>
    <w:p w14:paraId="570831D2">
      <w:pPr>
        <w:autoSpaceDE/>
        <w:autoSpaceDN/>
        <w:jc w:val="both"/>
        <w:rPr>
          <w:rFonts w:ascii="宋体" w:hAnsi="宋体" w:eastAsia="宋体" w:cs="宋体"/>
          <w:lang w:eastAsia="zh-CN"/>
        </w:rPr>
        <w:sectPr>
          <w:headerReference r:id="rId37" w:type="default"/>
          <w:footerReference r:id="rId39" w:type="default"/>
          <w:headerReference r:id="rId38" w:type="even"/>
          <w:footerReference r:id="rId40" w:type="even"/>
          <w:pgSz w:w="11910" w:h="16840"/>
          <w:pgMar w:top="567" w:right="1134" w:bottom="1134" w:left="1417" w:header="1701" w:footer="1134" w:gutter="0"/>
          <w:pgNumType w:start="1"/>
          <w:cols w:space="0" w:num="1"/>
        </w:sectPr>
      </w:pPr>
    </w:p>
    <w:p w14:paraId="1080AA4A">
      <w:pPr>
        <w:autoSpaceDE w:val="0"/>
        <w:autoSpaceDN w:val="0"/>
        <w:spacing w:before="240" w:after="240" w:line="400" w:lineRule="exact"/>
        <w:ind w:left="198"/>
        <w:jc w:val="center"/>
        <w:outlineLvl w:val="0"/>
        <w:rPr>
          <w:rFonts w:ascii="黑体" w:hAnsi="黑体" w:eastAsia="黑体" w:cs="黑体"/>
          <w:kern w:val="0"/>
          <w:sz w:val="32"/>
          <w:szCs w:val="22"/>
          <w:lang w:eastAsia="zh-CN"/>
        </w:rPr>
      </w:pPr>
      <w:bookmarkStart w:id="227" w:name="附录A（资料性）土壤样品检测项目分析测试精密度和准确度允许范围"/>
      <w:bookmarkEnd w:id="227"/>
      <w:bookmarkStart w:id="228" w:name="_Toc169694673"/>
      <w:r>
        <w:rPr>
          <w:rFonts w:hint="eastAsia" w:ascii="黑体" w:hAnsi="Times New Roman" w:eastAsia="黑体" w:cs="宋体"/>
          <w:kern w:val="0"/>
          <w:sz w:val="28"/>
          <w:szCs w:val="28"/>
          <w:lang w:eastAsia="zh-CN"/>
        </w:rPr>
        <w:t>附录 A</w:t>
      </w:r>
      <w:r>
        <w:rPr>
          <w:rFonts w:hint="eastAsia" w:ascii="黑体" w:hAnsi="黑体" w:eastAsia="黑体" w:cs="黑体"/>
          <w:kern w:val="0"/>
          <w:sz w:val="21"/>
          <w:szCs w:val="21"/>
          <w:lang w:eastAsia="zh-CN"/>
        </w:rPr>
        <w:br w:type="textWrapping"/>
      </w:r>
      <w:r>
        <w:rPr>
          <w:rFonts w:hint="eastAsia" w:ascii="宋体" w:hAnsi="宋体" w:eastAsia="宋体" w:cs="宋体"/>
          <w:kern w:val="0"/>
          <w:sz w:val="28"/>
          <w:szCs w:val="28"/>
          <w:lang w:eastAsia="zh-CN"/>
        </w:rPr>
        <w:t>（资料性）</w:t>
      </w:r>
      <w:r>
        <w:rPr>
          <w:rFonts w:hint="eastAsia" w:ascii="黑体" w:hAnsi="黑体" w:eastAsia="黑体" w:cs="黑体"/>
          <w:kern w:val="0"/>
          <w:sz w:val="32"/>
          <w:szCs w:val="22"/>
          <w:lang w:eastAsia="zh-CN"/>
        </w:rPr>
        <w:br w:type="textWrapping"/>
      </w:r>
      <w:r>
        <w:rPr>
          <w:rFonts w:hint="eastAsia" w:ascii="黑体" w:hAnsi="黑体" w:eastAsia="黑体" w:cs="黑体"/>
          <w:kern w:val="0"/>
          <w:sz w:val="21"/>
          <w:szCs w:val="21"/>
          <w:lang w:eastAsia="zh-CN"/>
        </w:rPr>
        <w:t>土壤样品检测项目分析测试精密度和正确度允许范围</w:t>
      </w:r>
      <w:bookmarkEnd w:id="228"/>
    </w:p>
    <w:p w14:paraId="10AB5279">
      <w:pPr>
        <w:widowControl w:val="0"/>
        <w:autoSpaceDE w:val="0"/>
        <w:autoSpaceDN w:val="0"/>
        <w:ind w:firstLine="420" w:firstLineChars="200"/>
        <w:rPr>
          <w:rFonts w:ascii="宋体" w:hAnsi="宋体" w:eastAsia="宋体" w:cs="宋体"/>
          <w:sz w:val="21"/>
          <w:szCs w:val="21"/>
          <w:lang w:val="en-US" w:eastAsia="zh-CN" w:bidi="ar-SA"/>
        </w:rPr>
      </w:pPr>
      <w:r>
        <w:rPr>
          <w:rFonts w:ascii="宋体" w:hAnsi="宋体" w:eastAsia="宋体" w:cs="宋体"/>
          <w:sz w:val="21"/>
          <w:szCs w:val="21"/>
          <w:lang w:val="en-US" w:eastAsia="zh-CN" w:bidi="ar-SA"/>
        </w:rPr>
        <w:t>土壤样品检测项目分析测试精密度和</w:t>
      </w:r>
      <w:r>
        <w:rPr>
          <w:rFonts w:hint="eastAsia" w:ascii="宋体" w:hAnsi="宋体" w:eastAsia="宋体" w:cs="宋体"/>
          <w:sz w:val="21"/>
          <w:szCs w:val="21"/>
          <w:lang w:val="en-US" w:eastAsia="zh-CN" w:bidi="ar-SA"/>
        </w:rPr>
        <w:t>正</w:t>
      </w:r>
      <w:r>
        <w:rPr>
          <w:rFonts w:ascii="宋体" w:hAnsi="宋体" w:eastAsia="宋体" w:cs="宋体"/>
          <w:sz w:val="21"/>
          <w:szCs w:val="21"/>
          <w:lang w:val="en-US" w:eastAsia="zh-CN" w:bidi="ar-SA"/>
        </w:rPr>
        <w:t>确度允许范围</w:t>
      </w:r>
      <w:r>
        <w:rPr>
          <w:rFonts w:hint="eastAsia" w:ascii="宋体" w:hAnsi="宋体" w:eastAsia="宋体" w:cs="宋体"/>
          <w:sz w:val="21"/>
          <w:szCs w:val="21"/>
          <w:lang w:val="en-US" w:eastAsia="zh-CN" w:bidi="ar-SA"/>
        </w:rPr>
        <w:t>，若分析方法有规定的，按规定执行；无规定的</w:t>
      </w:r>
      <w:r>
        <w:rPr>
          <w:rFonts w:ascii="宋体" w:hAnsi="宋体" w:eastAsia="宋体" w:cs="宋体"/>
          <w:sz w:val="21"/>
          <w:szCs w:val="21"/>
          <w:lang w:val="en-US" w:eastAsia="zh-CN" w:bidi="ar-SA"/>
        </w:rPr>
        <w:t>参见表A.1</w:t>
      </w:r>
      <w:r>
        <w:rPr>
          <w:rFonts w:hint="eastAsia" w:ascii="宋体" w:hAnsi="宋体" w:eastAsia="宋体" w:cs="宋体"/>
          <w:sz w:val="21"/>
          <w:szCs w:val="21"/>
          <w:lang w:val="en-US" w:eastAsia="zh-CN" w:bidi="ar-SA"/>
        </w:rPr>
        <w:t>和</w:t>
      </w:r>
      <w:r>
        <w:rPr>
          <w:rFonts w:ascii="宋体" w:hAnsi="宋体" w:eastAsia="宋体" w:cs="宋体"/>
          <w:sz w:val="21"/>
          <w:szCs w:val="21"/>
          <w:lang w:val="en-US" w:eastAsia="zh-CN" w:bidi="ar-SA"/>
        </w:rPr>
        <w:t>A.2。</w:t>
      </w:r>
    </w:p>
    <w:p w14:paraId="66A77725">
      <w:pPr>
        <w:widowControl w:val="0"/>
        <w:autoSpaceDE w:val="0"/>
        <w:autoSpaceDN w:val="0"/>
        <w:spacing w:before="7"/>
        <w:rPr>
          <w:rFonts w:ascii="宋体" w:hAnsi="宋体" w:eastAsia="宋体" w:cs="宋体"/>
          <w:sz w:val="15"/>
          <w:szCs w:val="21"/>
          <w:lang w:val="en-US" w:eastAsia="zh-CN" w:bidi="ar-SA"/>
        </w:rPr>
      </w:pPr>
    </w:p>
    <w:p w14:paraId="23B06829">
      <w:pPr>
        <w:widowControl w:val="0"/>
        <w:autoSpaceDE w:val="0"/>
        <w:autoSpaceDN w:val="0"/>
        <w:ind w:left="200"/>
        <w:jc w:val="center"/>
        <w:rPr>
          <w:rFonts w:ascii="黑体" w:hAnsi="宋体" w:eastAsia="黑体" w:cs="宋体"/>
          <w:sz w:val="21"/>
          <w:szCs w:val="21"/>
          <w:lang w:val="en-US" w:eastAsia="zh-CN" w:bidi="ar-SA"/>
        </w:rPr>
      </w:pPr>
      <w:bookmarkStart w:id="229" w:name="表A.1_土壤样品中主要检测项目分析测试精密度和准确度允许范围"/>
      <w:bookmarkEnd w:id="229"/>
      <w:r>
        <w:rPr>
          <w:rFonts w:hint="eastAsia" w:ascii="黑体" w:hAnsi="宋体" w:eastAsia="黑体" w:cs="宋体"/>
          <w:sz w:val="21"/>
          <w:szCs w:val="21"/>
          <w:lang w:val="en-US" w:eastAsia="zh-CN" w:bidi="ar-SA"/>
        </w:rPr>
        <w:t>表 A.1 土壤样品中主要检测项目分析测试精密度和正确度允许范围</w:t>
      </w:r>
    </w:p>
    <w:p w14:paraId="403269B5">
      <w:pPr>
        <w:widowControl w:val="0"/>
        <w:autoSpaceDE w:val="0"/>
        <w:autoSpaceDN w:val="0"/>
        <w:spacing w:before="11"/>
        <w:rPr>
          <w:rFonts w:ascii="黑体" w:hAnsi="宋体" w:eastAsia="宋体" w:cs="宋体"/>
          <w:sz w:val="13"/>
          <w:szCs w:val="21"/>
          <w:lang w:val="en-US" w:eastAsia="zh-CN" w:bidi="ar-SA"/>
        </w:rPr>
      </w:pPr>
    </w:p>
    <w:tbl>
      <w:tblPr>
        <w:tblStyle w:val="14"/>
        <w:tblW w:w="9044" w:type="dxa"/>
        <w:tblInd w:w="4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0"/>
        <w:gridCol w:w="1221"/>
        <w:gridCol w:w="1476"/>
        <w:gridCol w:w="1725"/>
        <w:gridCol w:w="1746"/>
        <w:gridCol w:w="1846"/>
      </w:tblGrid>
      <w:tr w14:paraId="3AB12B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1030" w:type="dxa"/>
            <w:vMerge w:val="restart"/>
            <w:tcBorders>
              <w:right w:val="single" w:color="000000" w:sz="4" w:space="0"/>
            </w:tcBorders>
          </w:tcPr>
          <w:p w14:paraId="798AB7B0">
            <w:pPr>
              <w:widowControl w:val="0"/>
              <w:autoSpaceDE w:val="0"/>
              <w:autoSpaceDN w:val="0"/>
              <w:rPr>
                <w:rFonts w:ascii="黑体" w:hAnsi="宋体" w:eastAsia="宋体" w:cs="宋体"/>
                <w:sz w:val="18"/>
                <w:szCs w:val="22"/>
                <w:lang w:val="en-US" w:eastAsia="zh-CN" w:bidi="ar-SA"/>
              </w:rPr>
            </w:pPr>
          </w:p>
          <w:p w14:paraId="25AC1B49">
            <w:pPr>
              <w:widowControl w:val="0"/>
              <w:autoSpaceDE w:val="0"/>
              <w:autoSpaceDN w:val="0"/>
              <w:spacing w:before="127"/>
              <w:ind w:left="106"/>
              <w:rPr>
                <w:rFonts w:ascii="宋体" w:hAnsi="宋体" w:eastAsia="宋体" w:cs="宋体"/>
                <w:sz w:val="18"/>
                <w:szCs w:val="22"/>
                <w:lang w:val="en-US" w:eastAsia="en-US" w:bidi="ar-SA"/>
              </w:rPr>
            </w:pPr>
            <w:r>
              <w:rPr>
                <w:rFonts w:ascii="宋体" w:hAnsi="宋体" w:eastAsia="宋体" w:cs="宋体"/>
                <w:sz w:val="18"/>
                <w:szCs w:val="22"/>
                <w:lang w:val="en-US" w:eastAsia="en-US" w:bidi="ar-SA"/>
              </w:rPr>
              <w:t>检测项目</w:t>
            </w:r>
          </w:p>
        </w:tc>
        <w:tc>
          <w:tcPr>
            <w:tcW w:w="1221" w:type="dxa"/>
            <w:vMerge w:val="restart"/>
            <w:tcBorders>
              <w:left w:val="single" w:color="000000" w:sz="4" w:space="0"/>
              <w:right w:val="single" w:color="000000" w:sz="4" w:space="0"/>
            </w:tcBorders>
          </w:tcPr>
          <w:p w14:paraId="64C24BB1">
            <w:pPr>
              <w:widowControl w:val="0"/>
              <w:autoSpaceDE w:val="0"/>
              <w:autoSpaceDN w:val="0"/>
              <w:spacing w:before="9"/>
              <w:rPr>
                <w:rFonts w:ascii="黑体" w:hAnsi="宋体" w:eastAsia="宋体" w:cs="宋体"/>
                <w:sz w:val="15"/>
                <w:szCs w:val="22"/>
                <w:lang w:val="en-US" w:eastAsia="en-US" w:bidi="ar-SA"/>
              </w:rPr>
            </w:pPr>
          </w:p>
          <w:p w14:paraId="3C408085">
            <w:pPr>
              <w:widowControl w:val="0"/>
              <w:autoSpaceDE w:val="0"/>
              <w:autoSpaceDN w:val="0"/>
              <w:ind w:left="235" w:right="216"/>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含量范围</w:t>
            </w:r>
          </w:p>
          <w:p w14:paraId="0977D0A6">
            <w:pPr>
              <w:widowControl w:val="0"/>
              <w:autoSpaceDE w:val="0"/>
              <w:autoSpaceDN w:val="0"/>
              <w:spacing w:before="94"/>
              <w:ind w:left="234" w:right="216"/>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mg/kg</w:t>
            </w:r>
          </w:p>
        </w:tc>
        <w:tc>
          <w:tcPr>
            <w:tcW w:w="3201" w:type="dxa"/>
            <w:gridSpan w:val="2"/>
            <w:tcBorders>
              <w:left w:val="single" w:color="000000" w:sz="4" w:space="0"/>
              <w:bottom w:val="single" w:color="000000" w:sz="4" w:space="0"/>
              <w:right w:val="single" w:color="000000" w:sz="4" w:space="0"/>
            </w:tcBorders>
          </w:tcPr>
          <w:p w14:paraId="102FE553">
            <w:pPr>
              <w:widowControl w:val="0"/>
              <w:autoSpaceDE w:val="0"/>
              <w:autoSpaceDN w:val="0"/>
              <w:spacing w:before="41"/>
              <w:ind w:left="1493" w:right="1118"/>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精密度</w:t>
            </w:r>
          </w:p>
        </w:tc>
        <w:tc>
          <w:tcPr>
            <w:tcW w:w="3592" w:type="dxa"/>
            <w:gridSpan w:val="2"/>
            <w:tcBorders>
              <w:left w:val="single" w:color="000000" w:sz="4" w:space="0"/>
              <w:bottom w:val="single" w:color="000000" w:sz="4" w:space="0"/>
            </w:tcBorders>
          </w:tcPr>
          <w:p w14:paraId="7786FB57">
            <w:pPr>
              <w:widowControl w:val="0"/>
              <w:autoSpaceDE w:val="0"/>
              <w:autoSpaceDN w:val="0"/>
              <w:spacing w:before="41"/>
              <w:ind w:left="1690" w:right="1306"/>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准确度</w:t>
            </w:r>
          </w:p>
        </w:tc>
      </w:tr>
      <w:tr w14:paraId="0C68F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1030" w:type="dxa"/>
            <w:vMerge w:val="continue"/>
            <w:tcBorders>
              <w:top w:val="nil"/>
              <w:right w:val="single" w:color="000000" w:sz="4" w:space="0"/>
            </w:tcBorders>
          </w:tcPr>
          <w:p w14:paraId="22237B0B">
            <w:pPr>
              <w:autoSpaceDE w:val="0"/>
              <w:autoSpaceDN w:val="0"/>
              <w:jc w:val="left"/>
              <w:rPr>
                <w:rFonts w:ascii="宋体" w:hAnsi="宋体" w:eastAsia="宋体" w:cs="宋体"/>
                <w:kern w:val="0"/>
                <w:sz w:val="2"/>
                <w:szCs w:val="2"/>
                <w:lang w:eastAsia="en-US"/>
              </w:rPr>
            </w:pPr>
          </w:p>
        </w:tc>
        <w:tc>
          <w:tcPr>
            <w:tcW w:w="1221" w:type="dxa"/>
            <w:vMerge w:val="continue"/>
            <w:tcBorders>
              <w:top w:val="nil"/>
              <w:left w:val="single" w:color="000000" w:sz="4" w:space="0"/>
              <w:right w:val="single" w:color="000000" w:sz="4" w:space="0"/>
            </w:tcBorders>
          </w:tcPr>
          <w:p w14:paraId="00DC26A1">
            <w:pPr>
              <w:autoSpaceDE w:val="0"/>
              <w:autoSpaceDN w:val="0"/>
              <w:jc w:val="left"/>
              <w:rPr>
                <w:rFonts w:ascii="宋体" w:hAnsi="宋体" w:eastAsia="宋体" w:cs="宋体"/>
                <w:kern w:val="0"/>
                <w:sz w:val="2"/>
                <w:szCs w:val="2"/>
                <w:lang w:eastAsia="en-US"/>
              </w:rPr>
            </w:pPr>
          </w:p>
        </w:tc>
        <w:tc>
          <w:tcPr>
            <w:tcW w:w="1476" w:type="dxa"/>
            <w:tcBorders>
              <w:top w:val="single" w:color="000000" w:sz="4" w:space="0"/>
              <w:left w:val="single" w:color="000000" w:sz="4" w:space="0"/>
              <w:right w:val="single" w:color="000000" w:sz="4" w:space="0"/>
            </w:tcBorders>
          </w:tcPr>
          <w:p w14:paraId="4F016BCD">
            <w:pPr>
              <w:widowControl w:val="0"/>
              <w:autoSpaceDE w:val="0"/>
              <w:autoSpaceDN w:val="0"/>
              <w:spacing w:before="35"/>
              <w:ind w:left="183" w:right="163"/>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室内相对偏差</w:t>
            </w:r>
          </w:p>
          <w:p w14:paraId="0FA6D414">
            <w:pPr>
              <w:widowControl w:val="0"/>
              <w:autoSpaceDE w:val="0"/>
              <w:autoSpaceDN w:val="0"/>
              <w:spacing w:before="93"/>
              <w:ind w:left="21"/>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c>
          <w:tcPr>
            <w:tcW w:w="1725" w:type="dxa"/>
            <w:tcBorders>
              <w:top w:val="single" w:color="000000" w:sz="4" w:space="0"/>
              <w:left w:val="single" w:color="000000" w:sz="4" w:space="0"/>
              <w:right w:val="single" w:color="000000" w:sz="4" w:space="0"/>
            </w:tcBorders>
          </w:tcPr>
          <w:p w14:paraId="17B42DF7">
            <w:pPr>
              <w:widowControl w:val="0"/>
              <w:autoSpaceDE w:val="0"/>
              <w:autoSpaceDN w:val="0"/>
              <w:spacing w:before="35"/>
              <w:ind w:left="305" w:right="290"/>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室间相对偏差</w:t>
            </w:r>
          </w:p>
          <w:p w14:paraId="3062F863">
            <w:pPr>
              <w:widowControl w:val="0"/>
              <w:autoSpaceDE w:val="0"/>
              <w:autoSpaceDN w:val="0"/>
              <w:spacing w:before="93"/>
              <w:ind w:left="21"/>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c>
          <w:tcPr>
            <w:tcW w:w="1746" w:type="dxa"/>
            <w:tcBorders>
              <w:top w:val="single" w:color="000000" w:sz="4" w:space="0"/>
              <w:left w:val="single" w:color="000000" w:sz="4" w:space="0"/>
              <w:right w:val="single" w:color="000000" w:sz="4" w:space="0"/>
            </w:tcBorders>
          </w:tcPr>
          <w:p w14:paraId="158D14F9">
            <w:pPr>
              <w:widowControl w:val="0"/>
              <w:autoSpaceDE w:val="0"/>
              <w:autoSpaceDN w:val="0"/>
              <w:spacing w:before="35"/>
              <w:ind w:left="406" w:right="389"/>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加标回收率</w:t>
            </w:r>
          </w:p>
          <w:p w14:paraId="40A8FC67">
            <w:pPr>
              <w:widowControl w:val="0"/>
              <w:autoSpaceDE w:val="0"/>
              <w:autoSpaceDN w:val="0"/>
              <w:spacing w:before="93"/>
              <w:ind w:left="21"/>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c>
          <w:tcPr>
            <w:tcW w:w="1846" w:type="dxa"/>
            <w:tcBorders>
              <w:top w:val="single" w:color="000000" w:sz="4" w:space="0"/>
              <w:left w:val="single" w:color="000000" w:sz="4" w:space="0"/>
            </w:tcBorders>
          </w:tcPr>
          <w:p w14:paraId="66153723">
            <w:pPr>
              <w:widowControl w:val="0"/>
              <w:autoSpaceDE w:val="0"/>
              <w:autoSpaceDN w:val="0"/>
              <w:spacing w:before="35"/>
              <w:ind w:left="547" w:right="524"/>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相对误差</w:t>
            </w:r>
          </w:p>
          <w:p w14:paraId="498C821A">
            <w:pPr>
              <w:widowControl w:val="0"/>
              <w:autoSpaceDE w:val="0"/>
              <w:autoSpaceDN w:val="0"/>
              <w:spacing w:before="93"/>
              <w:ind w:left="24"/>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r>
      <w:tr w14:paraId="02BFC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restart"/>
            <w:tcBorders>
              <w:bottom w:val="single" w:color="000000" w:sz="4" w:space="0"/>
              <w:right w:val="single" w:color="000000" w:sz="4" w:space="0"/>
            </w:tcBorders>
          </w:tcPr>
          <w:p w14:paraId="12DF6A1C">
            <w:pPr>
              <w:widowControl w:val="0"/>
              <w:autoSpaceDE w:val="0"/>
              <w:autoSpaceDN w:val="0"/>
              <w:rPr>
                <w:rFonts w:ascii="黑体" w:hAnsi="宋体" w:eastAsia="宋体" w:cs="宋体"/>
                <w:sz w:val="18"/>
                <w:szCs w:val="22"/>
                <w:lang w:val="en-US" w:eastAsia="en-US" w:bidi="ar-SA"/>
              </w:rPr>
            </w:pPr>
          </w:p>
          <w:p w14:paraId="341324EC">
            <w:pPr>
              <w:widowControl w:val="0"/>
              <w:autoSpaceDE w:val="0"/>
              <w:autoSpaceDN w:val="0"/>
              <w:spacing w:before="7"/>
              <w:rPr>
                <w:rFonts w:ascii="黑体" w:hAnsi="宋体" w:eastAsia="宋体" w:cs="宋体"/>
                <w:sz w:val="13"/>
                <w:szCs w:val="22"/>
                <w:lang w:val="en-US" w:eastAsia="en-US" w:bidi="ar-SA"/>
              </w:rPr>
            </w:pPr>
          </w:p>
          <w:p w14:paraId="11CEAE77">
            <w:pPr>
              <w:widowControl w:val="0"/>
              <w:autoSpaceDE w:val="0"/>
              <w:autoSpaceDN w:val="0"/>
              <w:ind w:left="334"/>
              <w:rPr>
                <w:rFonts w:ascii="宋体" w:hAnsi="宋体" w:eastAsia="宋体" w:cs="宋体"/>
                <w:sz w:val="18"/>
                <w:szCs w:val="22"/>
                <w:lang w:val="en-US" w:eastAsia="en-US" w:bidi="ar-SA"/>
              </w:rPr>
            </w:pPr>
            <w:r>
              <w:rPr>
                <w:rFonts w:ascii="宋体" w:hAnsi="宋体" w:eastAsia="宋体" w:cs="宋体"/>
                <w:sz w:val="18"/>
                <w:szCs w:val="22"/>
                <w:lang w:val="en-US" w:eastAsia="en-US" w:bidi="ar-SA"/>
              </w:rPr>
              <w:t>总镉</w:t>
            </w:r>
          </w:p>
        </w:tc>
        <w:tc>
          <w:tcPr>
            <w:tcW w:w="1221" w:type="dxa"/>
            <w:tcBorders>
              <w:left w:val="single" w:color="000000" w:sz="4" w:space="0"/>
              <w:bottom w:val="single" w:color="000000" w:sz="4" w:space="0"/>
              <w:right w:val="single" w:color="000000" w:sz="4" w:space="0"/>
            </w:tcBorders>
          </w:tcPr>
          <w:p w14:paraId="632DDD87">
            <w:pPr>
              <w:widowControl w:val="0"/>
              <w:autoSpaceDE w:val="0"/>
              <w:autoSpaceDN w:val="0"/>
              <w:spacing w:before="42"/>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0.1</w:t>
            </w:r>
          </w:p>
        </w:tc>
        <w:tc>
          <w:tcPr>
            <w:tcW w:w="1476" w:type="dxa"/>
            <w:tcBorders>
              <w:left w:val="single" w:color="000000" w:sz="4" w:space="0"/>
              <w:bottom w:val="single" w:color="000000" w:sz="4" w:space="0"/>
              <w:right w:val="single" w:color="000000" w:sz="4" w:space="0"/>
            </w:tcBorders>
          </w:tcPr>
          <w:p w14:paraId="72B7FCE2">
            <w:pPr>
              <w:widowControl w:val="0"/>
              <w:autoSpaceDE w:val="0"/>
              <w:autoSpaceDN w:val="0"/>
              <w:spacing w:before="51"/>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35</w:t>
            </w:r>
          </w:p>
        </w:tc>
        <w:tc>
          <w:tcPr>
            <w:tcW w:w="1725" w:type="dxa"/>
            <w:tcBorders>
              <w:left w:val="single" w:color="000000" w:sz="4" w:space="0"/>
              <w:bottom w:val="single" w:color="000000" w:sz="4" w:space="0"/>
              <w:right w:val="single" w:color="000000" w:sz="4" w:space="0"/>
            </w:tcBorders>
          </w:tcPr>
          <w:p w14:paraId="0577EFAD">
            <w:pPr>
              <w:widowControl w:val="0"/>
              <w:autoSpaceDE w:val="0"/>
              <w:autoSpaceDN w:val="0"/>
              <w:spacing w:before="51"/>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40</w:t>
            </w:r>
          </w:p>
        </w:tc>
        <w:tc>
          <w:tcPr>
            <w:tcW w:w="1746" w:type="dxa"/>
            <w:tcBorders>
              <w:left w:val="single" w:color="000000" w:sz="4" w:space="0"/>
              <w:bottom w:val="single" w:color="000000" w:sz="4" w:space="0"/>
              <w:right w:val="single" w:color="000000" w:sz="4" w:space="0"/>
            </w:tcBorders>
          </w:tcPr>
          <w:p w14:paraId="611EBC5A">
            <w:pPr>
              <w:widowControl w:val="0"/>
              <w:autoSpaceDE w:val="0"/>
              <w:autoSpaceDN w:val="0"/>
              <w:spacing w:before="42"/>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75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left w:val="single" w:color="000000" w:sz="4" w:space="0"/>
              <w:bottom w:val="single" w:color="000000" w:sz="4" w:space="0"/>
            </w:tcBorders>
          </w:tcPr>
          <w:p w14:paraId="533A8694">
            <w:pPr>
              <w:widowControl w:val="0"/>
              <w:autoSpaceDE w:val="0"/>
              <w:autoSpaceDN w:val="0"/>
              <w:spacing w:before="51"/>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±40</w:t>
            </w:r>
          </w:p>
        </w:tc>
      </w:tr>
      <w:tr w14:paraId="599283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1030" w:type="dxa"/>
            <w:vMerge w:val="continue"/>
            <w:tcBorders>
              <w:top w:val="nil"/>
              <w:bottom w:val="single" w:color="000000" w:sz="4" w:space="0"/>
              <w:right w:val="single" w:color="000000" w:sz="4" w:space="0"/>
            </w:tcBorders>
          </w:tcPr>
          <w:p w14:paraId="036E8BB6">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5F91F693">
            <w:pPr>
              <w:widowControl w:val="0"/>
              <w:autoSpaceDE w:val="0"/>
              <w:autoSpaceDN w:val="0"/>
              <w:spacing w:before="58"/>
              <w:ind w:left="234" w:right="216"/>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0.1</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0.4</w:t>
            </w:r>
          </w:p>
        </w:tc>
        <w:tc>
          <w:tcPr>
            <w:tcW w:w="1476" w:type="dxa"/>
            <w:tcBorders>
              <w:top w:val="single" w:color="000000" w:sz="4" w:space="0"/>
              <w:left w:val="single" w:color="000000" w:sz="4" w:space="0"/>
              <w:bottom w:val="single" w:color="000000" w:sz="4" w:space="0"/>
              <w:right w:val="single" w:color="000000" w:sz="4" w:space="0"/>
            </w:tcBorders>
          </w:tcPr>
          <w:p w14:paraId="28AC3B3C">
            <w:pPr>
              <w:widowControl w:val="0"/>
              <w:autoSpaceDE w:val="0"/>
              <w:autoSpaceDN w:val="0"/>
              <w:spacing w:before="68"/>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30</w:t>
            </w:r>
          </w:p>
        </w:tc>
        <w:tc>
          <w:tcPr>
            <w:tcW w:w="1725" w:type="dxa"/>
            <w:tcBorders>
              <w:top w:val="single" w:color="000000" w:sz="4" w:space="0"/>
              <w:left w:val="single" w:color="000000" w:sz="4" w:space="0"/>
              <w:bottom w:val="single" w:color="000000" w:sz="4" w:space="0"/>
              <w:right w:val="single" w:color="000000" w:sz="4" w:space="0"/>
            </w:tcBorders>
          </w:tcPr>
          <w:p w14:paraId="6C7A4084">
            <w:pPr>
              <w:widowControl w:val="0"/>
              <w:autoSpaceDE w:val="0"/>
              <w:autoSpaceDN w:val="0"/>
              <w:spacing w:before="68"/>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35</w:t>
            </w:r>
          </w:p>
        </w:tc>
        <w:tc>
          <w:tcPr>
            <w:tcW w:w="1746" w:type="dxa"/>
            <w:tcBorders>
              <w:top w:val="single" w:color="000000" w:sz="4" w:space="0"/>
              <w:left w:val="single" w:color="000000" w:sz="4" w:space="0"/>
              <w:bottom w:val="single" w:color="000000" w:sz="4" w:space="0"/>
              <w:right w:val="single" w:color="000000" w:sz="4" w:space="0"/>
            </w:tcBorders>
          </w:tcPr>
          <w:p w14:paraId="37333C71">
            <w:pPr>
              <w:widowControl w:val="0"/>
              <w:autoSpaceDE w:val="0"/>
              <w:autoSpaceDN w:val="0"/>
              <w:spacing w:before="58"/>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7DD77876">
            <w:pPr>
              <w:widowControl w:val="0"/>
              <w:autoSpaceDE w:val="0"/>
              <w:autoSpaceDN w:val="0"/>
              <w:spacing w:before="68"/>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±35</w:t>
            </w:r>
          </w:p>
        </w:tc>
      </w:tr>
      <w:tr w14:paraId="230482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1030" w:type="dxa"/>
            <w:vMerge w:val="continue"/>
            <w:tcBorders>
              <w:top w:val="nil"/>
              <w:bottom w:val="single" w:color="000000" w:sz="4" w:space="0"/>
              <w:right w:val="single" w:color="000000" w:sz="4" w:space="0"/>
            </w:tcBorders>
          </w:tcPr>
          <w:p w14:paraId="32E7D58F">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2820ABDB">
            <w:pPr>
              <w:widowControl w:val="0"/>
              <w:autoSpaceDE w:val="0"/>
              <w:autoSpaceDN w:val="0"/>
              <w:spacing w:before="66"/>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0.4</w:t>
            </w:r>
          </w:p>
        </w:tc>
        <w:tc>
          <w:tcPr>
            <w:tcW w:w="1476" w:type="dxa"/>
            <w:tcBorders>
              <w:top w:val="single" w:color="000000" w:sz="4" w:space="0"/>
              <w:left w:val="single" w:color="000000" w:sz="4" w:space="0"/>
              <w:bottom w:val="single" w:color="000000" w:sz="4" w:space="0"/>
              <w:right w:val="single" w:color="000000" w:sz="4" w:space="0"/>
            </w:tcBorders>
          </w:tcPr>
          <w:p w14:paraId="750BABB3">
            <w:pPr>
              <w:widowControl w:val="0"/>
              <w:autoSpaceDE w:val="0"/>
              <w:autoSpaceDN w:val="0"/>
              <w:spacing w:before="78"/>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25</w:t>
            </w:r>
          </w:p>
        </w:tc>
        <w:tc>
          <w:tcPr>
            <w:tcW w:w="1725" w:type="dxa"/>
            <w:tcBorders>
              <w:top w:val="single" w:color="000000" w:sz="4" w:space="0"/>
              <w:left w:val="single" w:color="000000" w:sz="4" w:space="0"/>
              <w:bottom w:val="single" w:color="000000" w:sz="4" w:space="0"/>
              <w:right w:val="single" w:color="000000" w:sz="4" w:space="0"/>
            </w:tcBorders>
          </w:tcPr>
          <w:p w14:paraId="10A653E1">
            <w:pPr>
              <w:widowControl w:val="0"/>
              <w:autoSpaceDE w:val="0"/>
              <w:autoSpaceDN w:val="0"/>
              <w:spacing w:before="78"/>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30</w:t>
            </w:r>
          </w:p>
        </w:tc>
        <w:tc>
          <w:tcPr>
            <w:tcW w:w="1746" w:type="dxa"/>
            <w:tcBorders>
              <w:top w:val="single" w:color="000000" w:sz="4" w:space="0"/>
              <w:left w:val="single" w:color="000000" w:sz="4" w:space="0"/>
              <w:bottom w:val="single" w:color="000000" w:sz="4" w:space="0"/>
              <w:right w:val="single" w:color="000000" w:sz="4" w:space="0"/>
            </w:tcBorders>
          </w:tcPr>
          <w:p w14:paraId="0A899DE0">
            <w:pPr>
              <w:widowControl w:val="0"/>
              <w:autoSpaceDE w:val="0"/>
              <w:autoSpaceDN w:val="0"/>
              <w:spacing w:before="66"/>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70083946">
            <w:pPr>
              <w:widowControl w:val="0"/>
              <w:autoSpaceDE w:val="0"/>
              <w:autoSpaceDN w:val="0"/>
              <w:spacing w:before="78"/>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±30</w:t>
            </w:r>
          </w:p>
        </w:tc>
      </w:tr>
      <w:tr w14:paraId="33E5C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1030" w:type="dxa"/>
            <w:vMerge w:val="restart"/>
            <w:tcBorders>
              <w:top w:val="single" w:color="000000" w:sz="4" w:space="0"/>
              <w:bottom w:val="single" w:color="000000" w:sz="4" w:space="0"/>
              <w:right w:val="single" w:color="000000" w:sz="4" w:space="0"/>
            </w:tcBorders>
          </w:tcPr>
          <w:p w14:paraId="7A35FB17">
            <w:pPr>
              <w:widowControl w:val="0"/>
              <w:autoSpaceDE w:val="0"/>
              <w:autoSpaceDN w:val="0"/>
              <w:rPr>
                <w:rFonts w:ascii="黑体" w:hAnsi="宋体" w:eastAsia="宋体" w:cs="宋体"/>
                <w:sz w:val="18"/>
                <w:szCs w:val="22"/>
                <w:lang w:val="en-US" w:eastAsia="en-US" w:bidi="ar-SA"/>
              </w:rPr>
            </w:pPr>
          </w:p>
          <w:p w14:paraId="19E2ED1E">
            <w:pPr>
              <w:widowControl w:val="0"/>
              <w:autoSpaceDE w:val="0"/>
              <w:autoSpaceDN w:val="0"/>
              <w:spacing w:before="11"/>
              <w:rPr>
                <w:rFonts w:ascii="黑体" w:hAnsi="宋体" w:eastAsia="宋体" w:cs="宋体"/>
                <w:sz w:val="17"/>
                <w:szCs w:val="22"/>
                <w:lang w:val="en-US" w:eastAsia="en-US" w:bidi="ar-SA"/>
              </w:rPr>
            </w:pPr>
          </w:p>
          <w:p w14:paraId="37EACD1E">
            <w:pPr>
              <w:widowControl w:val="0"/>
              <w:autoSpaceDE w:val="0"/>
              <w:autoSpaceDN w:val="0"/>
              <w:ind w:left="334"/>
              <w:rPr>
                <w:rFonts w:ascii="宋体" w:hAnsi="宋体" w:eastAsia="宋体" w:cs="宋体"/>
                <w:sz w:val="18"/>
                <w:szCs w:val="22"/>
                <w:lang w:val="en-US" w:eastAsia="en-US" w:bidi="ar-SA"/>
              </w:rPr>
            </w:pPr>
            <w:r>
              <w:rPr>
                <w:rFonts w:ascii="宋体" w:hAnsi="宋体" w:eastAsia="宋体" w:cs="宋体"/>
                <w:sz w:val="18"/>
                <w:szCs w:val="22"/>
                <w:lang w:val="en-US" w:eastAsia="en-US" w:bidi="ar-SA"/>
              </w:rPr>
              <w:t>总汞</w:t>
            </w:r>
          </w:p>
        </w:tc>
        <w:tc>
          <w:tcPr>
            <w:tcW w:w="1221" w:type="dxa"/>
            <w:tcBorders>
              <w:top w:val="single" w:color="000000" w:sz="4" w:space="0"/>
              <w:left w:val="single" w:color="000000" w:sz="4" w:space="0"/>
              <w:bottom w:val="single" w:color="000000" w:sz="4" w:space="0"/>
              <w:right w:val="single" w:color="000000" w:sz="4" w:space="0"/>
            </w:tcBorders>
          </w:tcPr>
          <w:p w14:paraId="142B9FBF">
            <w:pPr>
              <w:widowControl w:val="0"/>
              <w:autoSpaceDE w:val="0"/>
              <w:autoSpaceDN w:val="0"/>
              <w:spacing w:before="87"/>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0.1</w:t>
            </w:r>
          </w:p>
        </w:tc>
        <w:tc>
          <w:tcPr>
            <w:tcW w:w="1476" w:type="dxa"/>
            <w:tcBorders>
              <w:top w:val="single" w:color="000000" w:sz="4" w:space="0"/>
              <w:left w:val="single" w:color="000000" w:sz="4" w:space="0"/>
              <w:bottom w:val="single" w:color="000000" w:sz="4" w:space="0"/>
              <w:right w:val="single" w:color="000000" w:sz="4" w:space="0"/>
            </w:tcBorders>
          </w:tcPr>
          <w:p w14:paraId="61C3C3D0">
            <w:pPr>
              <w:widowControl w:val="0"/>
              <w:autoSpaceDE w:val="0"/>
              <w:autoSpaceDN w:val="0"/>
              <w:spacing w:before="99"/>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35</w:t>
            </w:r>
          </w:p>
        </w:tc>
        <w:tc>
          <w:tcPr>
            <w:tcW w:w="1725" w:type="dxa"/>
            <w:tcBorders>
              <w:top w:val="single" w:color="000000" w:sz="4" w:space="0"/>
              <w:left w:val="single" w:color="000000" w:sz="4" w:space="0"/>
              <w:bottom w:val="single" w:color="000000" w:sz="4" w:space="0"/>
              <w:right w:val="single" w:color="000000" w:sz="4" w:space="0"/>
            </w:tcBorders>
          </w:tcPr>
          <w:p w14:paraId="28BB9EE1">
            <w:pPr>
              <w:widowControl w:val="0"/>
              <w:autoSpaceDE w:val="0"/>
              <w:autoSpaceDN w:val="0"/>
              <w:spacing w:before="99"/>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40</w:t>
            </w:r>
          </w:p>
        </w:tc>
        <w:tc>
          <w:tcPr>
            <w:tcW w:w="1746" w:type="dxa"/>
            <w:tcBorders>
              <w:top w:val="single" w:color="000000" w:sz="4" w:space="0"/>
              <w:left w:val="single" w:color="000000" w:sz="4" w:space="0"/>
              <w:bottom w:val="single" w:color="000000" w:sz="4" w:space="0"/>
              <w:right w:val="single" w:color="000000" w:sz="4" w:space="0"/>
            </w:tcBorders>
          </w:tcPr>
          <w:p w14:paraId="62347407">
            <w:pPr>
              <w:widowControl w:val="0"/>
              <w:autoSpaceDE w:val="0"/>
              <w:autoSpaceDN w:val="0"/>
              <w:spacing w:before="87"/>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75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13FE6E80">
            <w:pPr>
              <w:widowControl w:val="0"/>
              <w:autoSpaceDE w:val="0"/>
              <w:autoSpaceDN w:val="0"/>
              <w:spacing w:before="99"/>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±40</w:t>
            </w:r>
          </w:p>
        </w:tc>
      </w:tr>
      <w:tr w14:paraId="123F2C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6" w:hRule="atLeast"/>
        </w:trPr>
        <w:tc>
          <w:tcPr>
            <w:tcW w:w="1030" w:type="dxa"/>
            <w:vMerge w:val="continue"/>
            <w:tcBorders>
              <w:top w:val="nil"/>
              <w:bottom w:val="single" w:color="000000" w:sz="4" w:space="0"/>
              <w:right w:val="single" w:color="000000" w:sz="4" w:space="0"/>
            </w:tcBorders>
          </w:tcPr>
          <w:p w14:paraId="2859A677">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19F2EC7E">
            <w:pPr>
              <w:widowControl w:val="0"/>
              <w:autoSpaceDE w:val="0"/>
              <w:autoSpaceDN w:val="0"/>
              <w:spacing w:before="57"/>
              <w:ind w:left="234" w:right="216"/>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0.1</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0.4</w:t>
            </w:r>
          </w:p>
        </w:tc>
        <w:tc>
          <w:tcPr>
            <w:tcW w:w="1476" w:type="dxa"/>
            <w:tcBorders>
              <w:top w:val="single" w:color="000000" w:sz="4" w:space="0"/>
              <w:left w:val="single" w:color="000000" w:sz="4" w:space="0"/>
              <w:bottom w:val="single" w:color="000000" w:sz="4" w:space="0"/>
              <w:right w:val="single" w:color="000000" w:sz="4" w:space="0"/>
            </w:tcBorders>
          </w:tcPr>
          <w:p w14:paraId="4C1C484B">
            <w:pPr>
              <w:widowControl w:val="0"/>
              <w:autoSpaceDE w:val="0"/>
              <w:autoSpaceDN w:val="0"/>
              <w:spacing w:before="69"/>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30</w:t>
            </w:r>
          </w:p>
        </w:tc>
        <w:tc>
          <w:tcPr>
            <w:tcW w:w="1725" w:type="dxa"/>
            <w:tcBorders>
              <w:top w:val="single" w:color="000000" w:sz="4" w:space="0"/>
              <w:left w:val="single" w:color="000000" w:sz="4" w:space="0"/>
              <w:bottom w:val="single" w:color="000000" w:sz="4" w:space="0"/>
              <w:right w:val="single" w:color="000000" w:sz="4" w:space="0"/>
            </w:tcBorders>
          </w:tcPr>
          <w:p w14:paraId="5092AD48">
            <w:pPr>
              <w:widowControl w:val="0"/>
              <w:autoSpaceDE w:val="0"/>
              <w:autoSpaceDN w:val="0"/>
              <w:spacing w:before="69"/>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35</w:t>
            </w:r>
          </w:p>
        </w:tc>
        <w:tc>
          <w:tcPr>
            <w:tcW w:w="1746" w:type="dxa"/>
            <w:tcBorders>
              <w:top w:val="single" w:color="000000" w:sz="4" w:space="0"/>
              <w:left w:val="single" w:color="000000" w:sz="4" w:space="0"/>
              <w:bottom w:val="single" w:color="000000" w:sz="4" w:space="0"/>
              <w:right w:val="single" w:color="000000" w:sz="4" w:space="0"/>
            </w:tcBorders>
          </w:tcPr>
          <w:p w14:paraId="516F47E4">
            <w:pPr>
              <w:widowControl w:val="0"/>
              <w:autoSpaceDE w:val="0"/>
              <w:autoSpaceDN w:val="0"/>
              <w:spacing w:before="57"/>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42AC9A8C">
            <w:pPr>
              <w:widowControl w:val="0"/>
              <w:autoSpaceDE w:val="0"/>
              <w:autoSpaceDN w:val="0"/>
              <w:spacing w:before="69"/>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±35</w:t>
            </w:r>
          </w:p>
        </w:tc>
      </w:tr>
      <w:tr w14:paraId="5B6E5B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1030" w:type="dxa"/>
            <w:vMerge w:val="continue"/>
            <w:tcBorders>
              <w:top w:val="nil"/>
              <w:bottom w:val="single" w:color="000000" w:sz="4" w:space="0"/>
              <w:right w:val="single" w:color="000000" w:sz="4" w:space="0"/>
            </w:tcBorders>
          </w:tcPr>
          <w:p w14:paraId="08DA8B27">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51313A1C">
            <w:pPr>
              <w:widowControl w:val="0"/>
              <w:autoSpaceDE w:val="0"/>
              <w:autoSpaceDN w:val="0"/>
              <w:spacing w:before="72"/>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0.4</w:t>
            </w:r>
          </w:p>
        </w:tc>
        <w:tc>
          <w:tcPr>
            <w:tcW w:w="1476" w:type="dxa"/>
            <w:tcBorders>
              <w:top w:val="single" w:color="000000" w:sz="4" w:space="0"/>
              <w:left w:val="single" w:color="000000" w:sz="4" w:space="0"/>
              <w:bottom w:val="single" w:color="000000" w:sz="4" w:space="0"/>
              <w:right w:val="single" w:color="000000" w:sz="4" w:space="0"/>
            </w:tcBorders>
          </w:tcPr>
          <w:p w14:paraId="20D93D0D">
            <w:pPr>
              <w:widowControl w:val="0"/>
              <w:autoSpaceDE w:val="0"/>
              <w:autoSpaceDN w:val="0"/>
              <w:spacing w:before="84"/>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25</w:t>
            </w:r>
          </w:p>
        </w:tc>
        <w:tc>
          <w:tcPr>
            <w:tcW w:w="1725" w:type="dxa"/>
            <w:tcBorders>
              <w:top w:val="single" w:color="000000" w:sz="4" w:space="0"/>
              <w:left w:val="single" w:color="000000" w:sz="4" w:space="0"/>
              <w:bottom w:val="single" w:color="000000" w:sz="4" w:space="0"/>
              <w:right w:val="single" w:color="000000" w:sz="4" w:space="0"/>
            </w:tcBorders>
          </w:tcPr>
          <w:p w14:paraId="30DE201B">
            <w:pPr>
              <w:widowControl w:val="0"/>
              <w:autoSpaceDE w:val="0"/>
              <w:autoSpaceDN w:val="0"/>
              <w:spacing w:before="84"/>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30</w:t>
            </w:r>
          </w:p>
        </w:tc>
        <w:tc>
          <w:tcPr>
            <w:tcW w:w="1746" w:type="dxa"/>
            <w:tcBorders>
              <w:top w:val="single" w:color="000000" w:sz="4" w:space="0"/>
              <w:left w:val="single" w:color="000000" w:sz="4" w:space="0"/>
              <w:bottom w:val="single" w:color="000000" w:sz="4" w:space="0"/>
              <w:right w:val="single" w:color="000000" w:sz="4" w:space="0"/>
            </w:tcBorders>
          </w:tcPr>
          <w:p w14:paraId="1D54C9A8">
            <w:pPr>
              <w:widowControl w:val="0"/>
              <w:autoSpaceDE w:val="0"/>
              <w:autoSpaceDN w:val="0"/>
              <w:spacing w:before="72"/>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314F7F23">
            <w:pPr>
              <w:widowControl w:val="0"/>
              <w:autoSpaceDE w:val="0"/>
              <w:autoSpaceDN w:val="0"/>
              <w:spacing w:before="84"/>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±30</w:t>
            </w:r>
          </w:p>
        </w:tc>
      </w:tr>
      <w:tr w14:paraId="227CD4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vMerge w:val="restart"/>
            <w:tcBorders>
              <w:top w:val="single" w:color="000000" w:sz="4" w:space="0"/>
              <w:bottom w:val="single" w:color="000000" w:sz="4" w:space="0"/>
              <w:right w:val="single" w:color="000000" w:sz="4" w:space="0"/>
            </w:tcBorders>
          </w:tcPr>
          <w:p w14:paraId="79F1F236">
            <w:pPr>
              <w:widowControl w:val="0"/>
              <w:autoSpaceDE w:val="0"/>
              <w:autoSpaceDN w:val="0"/>
              <w:rPr>
                <w:rFonts w:ascii="黑体" w:hAnsi="宋体" w:eastAsia="宋体" w:cs="宋体"/>
                <w:sz w:val="18"/>
                <w:szCs w:val="22"/>
                <w:lang w:val="en-US" w:eastAsia="en-US" w:bidi="ar-SA"/>
              </w:rPr>
            </w:pPr>
          </w:p>
          <w:p w14:paraId="2E02B42A">
            <w:pPr>
              <w:widowControl w:val="0"/>
              <w:autoSpaceDE w:val="0"/>
              <w:autoSpaceDN w:val="0"/>
              <w:spacing w:before="131"/>
              <w:ind w:left="334"/>
              <w:rPr>
                <w:rFonts w:ascii="宋体" w:hAnsi="宋体" w:eastAsia="宋体" w:cs="宋体"/>
                <w:sz w:val="18"/>
                <w:szCs w:val="22"/>
                <w:lang w:val="en-US" w:eastAsia="en-US" w:bidi="ar-SA"/>
              </w:rPr>
            </w:pPr>
            <w:r>
              <w:rPr>
                <w:rFonts w:ascii="宋体" w:hAnsi="宋体" w:eastAsia="宋体" w:cs="宋体"/>
                <w:sz w:val="18"/>
                <w:szCs w:val="22"/>
                <w:lang w:val="en-US" w:eastAsia="en-US" w:bidi="ar-SA"/>
              </w:rPr>
              <w:t>总砷</w:t>
            </w:r>
          </w:p>
        </w:tc>
        <w:tc>
          <w:tcPr>
            <w:tcW w:w="1221" w:type="dxa"/>
            <w:tcBorders>
              <w:top w:val="single" w:color="000000" w:sz="4" w:space="0"/>
              <w:left w:val="single" w:color="000000" w:sz="4" w:space="0"/>
              <w:bottom w:val="single" w:color="000000" w:sz="4" w:space="0"/>
              <w:right w:val="single" w:color="000000" w:sz="4" w:space="0"/>
            </w:tcBorders>
          </w:tcPr>
          <w:p w14:paraId="33EC8A61">
            <w:pPr>
              <w:widowControl w:val="0"/>
              <w:autoSpaceDE w:val="0"/>
              <w:autoSpaceDN w:val="0"/>
              <w:spacing w:before="40"/>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w:t>
            </w:r>
          </w:p>
        </w:tc>
        <w:tc>
          <w:tcPr>
            <w:tcW w:w="1476" w:type="dxa"/>
            <w:tcBorders>
              <w:top w:val="single" w:color="000000" w:sz="4" w:space="0"/>
              <w:left w:val="single" w:color="000000" w:sz="4" w:space="0"/>
              <w:bottom w:val="single" w:color="000000" w:sz="4" w:space="0"/>
              <w:right w:val="single" w:color="000000" w:sz="4" w:space="0"/>
            </w:tcBorders>
          </w:tcPr>
          <w:p w14:paraId="61DDDB84">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25" w:type="dxa"/>
            <w:tcBorders>
              <w:top w:val="single" w:color="000000" w:sz="4" w:space="0"/>
              <w:left w:val="single" w:color="000000" w:sz="4" w:space="0"/>
              <w:bottom w:val="single" w:color="000000" w:sz="4" w:space="0"/>
              <w:right w:val="single" w:color="000000" w:sz="4" w:space="0"/>
            </w:tcBorders>
          </w:tcPr>
          <w:p w14:paraId="64C9211E">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30</w:t>
            </w:r>
          </w:p>
        </w:tc>
        <w:tc>
          <w:tcPr>
            <w:tcW w:w="1746" w:type="dxa"/>
            <w:tcBorders>
              <w:top w:val="single" w:color="000000" w:sz="4" w:space="0"/>
              <w:left w:val="single" w:color="000000" w:sz="4" w:space="0"/>
              <w:bottom w:val="single" w:color="000000" w:sz="4" w:space="0"/>
              <w:right w:val="single" w:color="000000" w:sz="4" w:space="0"/>
            </w:tcBorders>
          </w:tcPr>
          <w:p w14:paraId="66DE9A72">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1794D589">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±30</w:t>
            </w:r>
          </w:p>
        </w:tc>
      </w:tr>
      <w:tr w14:paraId="01B182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1B896D78">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70F6EA5B">
            <w:pPr>
              <w:widowControl w:val="0"/>
              <w:autoSpaceDE w:val="0"/>
              <w:autoSpaceDN w:val="0"/>
              <w:spacing w:before="40"/>
              <w:ind w:left="234" w:right="216"/>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10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20</w:t>
            </w:r>
          </w:p>
        </w:tc>
        <w:tc>
          <w:tcPr>
            <w:tcW w:w="1476" w:type="dxa"/>
            <w:tcBorders>
              <w:top w:val="single" w:color="000000" w:sz="4" w:space="0"/>
              <w:left w:val="single" w:color="000000" w:sz="4" w:space="0"/>
              <w:bottom w:val="single" w:color="000000" w:sz="4" w:space="0"/>
              <w:right w:val="single" w:color="000000" w:sz="4" w:space="0"/>
            </w:tcBorders>
          </w:tcPr>
          <w:p w14:paraId="1419E732">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25" w:type="dxa"/>
            <w:tcBorders>
              <w:top w:val="single" w:color="000000" w:sz="4" w:space="0"/>
              <w:left w:val="single" w:color="000000" w:sz="4" w:space="0"/>
              <w:bottom w:val="single" w:color="000000" w:sz="4" w:space="0"/>
              <w:right w:val="single" w:color="000000" w:sz="4" w:space="0"/>
            </w:tcBorders>
          </w:tcPr>
          <w:p w14:paraId="04E06CDD">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46" w:type="dxa"/>
            <w:tcBorders>
              <w:top w:val="single" w:color="000000" w:sz="4" w:space="0"/>
              <w:left w:val="single" w:color="000000" w:sz="4" w:space="0"/>
              <w:bottom w:val="single" w:color="000000" w:sz="4" w:space="0"/>
              <w:right w:val="single" w:color="000000" w:sz="4" w:space="0"/>
            </w:tcBorders>
          </w:tcPr>
          <w:p w14:paraId="6EB18E55">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4E5595BD">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±20</w:t>
            </w:r>
          </w:p>
        </w:tc>
      </w:tr>
      <w:tr w14:paraId="1143F1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3AE9350A">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0D427248">
            <w:pPr>
              <w:widowControl w:val="0"/>
              <w:autoSpaceDE w:val="0"/>
              <w:autoSpaceDN w:val="0"/>
              <w:spacing w:before="42"/>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20</w:t>
            </w:r>
          </w:p>
        </w:tc>
        <w:tc>
          <w:tcPr>
            <w:tcW w:w="1476" w:type="dxa"/>
            <w:tcBorders>
              <w:top w:val="single" w:color="000000" w:sz="4" w:space="0"/>
              <w:left w:val="single" w:color="000000" w:sz="4" w:space="0"/>
              <w:bottom w:val="single" w:color="000000" w:sz="4" w:space="0"/>
              <w:right w:val="single" w:color="000000" w:sz="4" w:space="0"/>
            </w:tcBorders>
          </w:tcPr>
          <w:p w14:paraId="6C10E765">
            <w:pPr>
              <w:widowControl w:val="0"/>
              <w:autoSpaceDE w:val="0"/>
              <w:autoSpaceDN w:val="0"/>
              <w:spacing w:before="51"/>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10</w:t>
            </w:r>
          </w:p>
        </w:tc>
        <w:tc>
          <w:tcPr>
            <w:tcW w:w="1725" w:type="dxa"/>
            <w:tcBorders>
              <w:top w:val="single" w:color="000000" w:sz="4" w:space="0"/>
              <w:left w:val="single" w:color="000000" w:sz="4" w:space="0"/>
              <w:bottom w:val="single" w:color="000000" w:sz="4" w:space="0"/>
              <w:right w:val="single" w:color="000000" w:sz="4" w:space="0"/>
            </w:tcBorders>
          </w:tcPr>
          <w:p w14:paraId="597C16BA">
            <w:pPr>
              <w:widowControl w:val="0"/>
              <w:autoSpaceDE w:val="0"/>
              <w:autoSpaceDN w:val="0"/>
              <w:spacing w:before="51"/>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46" w:type="dxa"/>
            <w:tcBorders>
              <w:top w:val="single" w:color="000000" w:sz="4" w:space="0"/>
              <w:left w:val="single" w:color="000000" w:sz="4" w:space="0"/>
              <w:bottom w:val="single" w:color="000000" w:sz="4" w:space="0"/>
              <w:right w:val="single" w:color="000000" w:sz="4" w:space="0"/>
            </w:tcBorders>
          </w:tcPr>
          <w:p w14:paraId="733D21D7">
            <w:pPr>
              <w:widowControl w:val="0"/>
              <w:autoSpaceDE w:val="0"/>
              <w:autoSpaceDN w:val="0"/>
              <w:spacing w:before="42"/>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13F025D4">
            <w:pPr>
              <w:widowControl w:val="0"/>
              <w:autoSpaceDE w:val="0"/>
              <w:autoSpaceDN w:val="0"/>
              <w:spacing w:before="51"/>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±15</w:t>
            </w:r>
          </w:p>
        </w:tc>
      </w:tr>
      <w:tr w14:paraId="5B6A4B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vMerge w:val="restart"/>
            <w:tcBorders>
              <w:top w:val="single" w:color="000000" w:sz="4" w:space="0"/>
              <w:bottom w:val="single" w:color="000000" w:sz="4" w:space="0"/>
              <w:right w:val="single" w:color="000000" w:sz="4" w:space="0"/>
            </w:tcBorders>
          </w:tcPr>
          <w:p w14:paraId="03AAF94E">
            <w:pPr>
              <w:widowControl w:val="0"/>
              <w:autoSpaceDE w:val="0"/>
              <w:autoSpaceDN w:val="0"/>
              <w:rPr>
                <w:rFonts w:ascii="黑体" w:hAnsi="宋体" w:eastAsia="宋体" w:cs="宋体"/>
                <w:sz w:val="18"/>
                <w:szCs w:val="22"/>
                <w:lang w:val="en-US" w:eastAsia="en-US" w:bidi="ar-SA"/>
              </w:rPr>
            </w:pPr>
          </w:p>
          <w:p w14:paraId="400D844D">
            <w:pPr>
              <w:widowControl w:val="0"/>
              <w:autoSpaceDE w:val="0"/>
              <w:autoSpaceDN w:val="0"/>
              <w:spacing w:before="132"/>
              <w:ind w:left="334"/>
              <w:rPr>
                <w:rFonts w:ascii="宋体" w:hAnsi="宋体" w:eastAsia="宋体" w:cs="宋体"/>
                <w:sz w:val="18"/>
                <w:szCs w:val="22"/>
                <w:lang w:val="en-US" w:eastAsia="en-US" w:bidi="ar-SA"/>
              </w:rPr>
            </w:pPr>
            <w:r>
              <w:rPr>
                <w:rFonts w:ascii="宋体" w:hAnsi="宋体" w:eastAsia="宋体" w:cs="宋体"/>
                <w:sz w:val="18"/>
                <w:szCs w:val="22"/>
                <w:lang w:val="en-US" w:eastAsia="en-US" w:bidi="ar-SA"/>
              </w:rPr>
              <w:t>总铜</w:t>
            </w:r>
          </w:p>
        </w:tc>
        <w:tc>
          <w:tcPr>
            <w:tcW w:w="1221" w:type="dxa"/>
            <w:tcBorders>
              <w:top w:val="single" w:color="000000" w:sz="4" w:space="0"/>
              <w:left w:val="single" w:color="000000" w:sz="4" w:space="0"/>
              <w:bottom w:val="single" w:color="000000" w:sz="4" w:space="0"/>
              <w:right w:val="single" w:color="000000" w:sz="4" w:space="0"/>
            </w:tcBorders>
          </w:tcPr>
          <w:p w14:paraId="01231C63">
            <w:pPr>
              <w:widowControl w:val="0"/>
              <w:autoSpaceDE w:val="0"/>
              <w:autoSpaceDN w:val="0"/>
              <w:spacing w:before="41"/>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20</w:t>
            </w:r>
          </w:p>
        </w:tc>
        <w:tc>
          <w:tcPr>
            <w:tcW w:w="1476" w:type="dxa"/>
            <w:tcBorders>
              <w:top w:val="single" w:color="000000" w:sz="4" w:space="0"/>
              <w:left w:val="single" w:color="000000" w:sz="4" w:space="0"/>
              <w:bottom w:val="single" w:color="000000" w:sz="4" w:space="0"/>
              <w:right w:val="single" w:color="000000" w:sz="4" w:space="0"/>
            </w:tcBorders>
          </w:tcPr>
          <w:p w14:paraId="4E12BA08">
            <w:pPr>
              <w:widowControl w:val="0"/>
              <w:autoSpaceDE w:val="0"/>
              <w:autoSpaceDN w:val="0"/>
              <w:spacing w:before="51"/>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25" w:type="dxa"/>
            <w:tcBorders>
              <w:top w:val="single" w:color="000000" w:sz="4" w:space="0"/>
              <w:left w:val="single" w:color="000000" w:sz="4" w:space="0"/>
              <w:bottom w:val="single" w:color="000000" w:sz="4" w:space="0"/>
              <w:right w:val="single" w:color="000000" w:sz="4" w:space="0"/>
            </w:tcBorders>
          </w:tcPr>
          <w:p w14:paraId="36BA3039">
            <w:pPr>
              <w:widowControl w:val="0"/>
              <w:autoSpaceDE w:val="0"/>
              <w:autoSpaceDN w:val="0"/>
              <w:spacing w:before="51"/>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25</w:t>
            </w:r>
          </w:p>
        </w:tc>
        <w:tc>
          <w:tcPr>
            <w:tcW w:w="1746" w:type="dxa"/>
            <w:tcBorders>
              <w:top w:val="single" w:color="000000" w:sz="4" w:space="0"/>
              <w:left w:val="single" w:color="000000" w:sz="4" w:space="0"/>
              <w:bottom w:val="single" w:color="000000" w:sz="4" w:space="0"/>
              <w:right w:val="single" w:color="000000" w:sz="4" w:space="0"/>
            </w:tcBorders>
          </w:tcPr>
          <w:p w14:paraId="71615FFA">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2917C890">
            <w:pPr>
              <w:widowControl w:val="0"/>
              <w:autoSpaceDE w:val="0"/>
              <w:autoSpaceDN w:val="0"/>
              <w:spacing w:before="51"/>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±25</w:t>
            </w:r>
          </w:p>
        </w:tc>
      </w:tr>
      <w:tr w14:paraId="692CE7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5A7CADF7">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27A0F27A">
            <w:pPr>
              <w:widowControl w:val="0"/>
              <w:autoSpaceDE w:val="0"/>
              <w:autoSpaceDN w:val="0"/>
              <w:spacing w:before="41"/>
              <w:ind w:left="234" w:right="216"/>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20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30</w:t>
            </w:r>
          </w:p>
        </w:tc>
        <w:tc>
          <w:tcPr>
            <w:tcW w:w="1476" w:type="dxa"/>
            <w:tcBorders>
              <w:top w:val="single" w:color="000000" w:sz="4" w:space="0"/>
              <w:left w:val="single" w:color="000000" w:sz="4" w:space="0"/>
              <w:bottom w:val="single" w:color="000000" w:sz="4" w:space="0"/>
              <w:right w:val="single" w:color="000000" w:sz="4" w:space="0"/>
            </w:tcBorders>
          </w:tcPr>
          <w:p w14:paraId="4C084907">
            <w:pPr>
              <w:widowControl w:val="0"/>
              <w:autoSpaceDE w:val="0"/>
              <w:autoSpaceDN w:val="0"/>
              <w:spacing w:before="53"/>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25" w:type="dxa"/>
            <w:tcBorders>
              <w:top w:val="single" w:color="000000" w:sz="4" w:space="0"/>
              <w:left w:val="single" w:color="000000" w:sz="4" w:space="0"/>
              <w:bottom w:val="single" w:color="000000" w:sz="4" w:space="0"/>
              <w:right w:val="single" w:color="000000" w:sz="4" w:space="0"/>
            </w:tcBorders>
          </w:tcPr>
          <w:p w14:paraId="1A66EC20">
            <w:pPr>
              <w:widowControl w:val="0"/>
              <w:autoSpaceDE w:val="0"/>
              <w:autoSpaceDN w:val="0"/>
              <w:spacing w:before="53"/>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46" w:type="dxa"/>
            <w:tcBorders>
              <w:top w:val="single" w:color="000000" w:sz="4" w:space="0"/>
              <w:left w:val="single" w:color="000000" w:sz="4" w:space="0"/>
              <w:bottom w:val="single" w:color="000000" w:sz="4" w:space="0"/>
              <w:right w:val="single" w:color="000000" w:sz="4" w:space="0"/>
            </w:tcBorders>
          </w:tcPr>
          <w:p w14:paraId="046CE9FB">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5C1D10A7">
            <w:pPr>
              <w:widowControl w:val="0"/>
              <w:autoSpaceDE w:val="0"/>
              <w:autoSpaceDN w:val="0"/>
              <w:spacing w:before="53"/>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±20</w:t>
            </w:r>
          </w:p>
        </w:tc>
      </w:tr>
      <w:tr w14:paraId="62969B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vMerge w:val="continue"/>
            <w:tcBorders>
              <w:top w:val="nil"/>
              <w:bottom w:val="single" w:color="000000" w:sz="4" w:space="0"/>
              <w:right w:val="single" w:color="000000" w:sz="4" w:space="0"/>
            </w:tcBorders>
          </w:tcPr>
          <w:p w14:paraId="5C31039C">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1A7B5C32">
            <w:pPr>
              <w:widowControl w:val="0"/>
              <w:autoSpaceDE w:val="0"/>
              <w:autoSpaceDN w:val="0"/>
              <w:spacing w:before="41"/>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30</w:t>
            </w:r>
          </w:p>
        </w:tc>
        <w:tc>
          <w:tcPr>
            <w:tcW w:w="1476" w:type="dxa"/>
            <w:tcBorders>
              <w:top w:val="single" w:color="000000" w:sz="4" w:space="0"/>
              <w:left w:val="single" w:color="000000" w:sz="4" w:space="0"/>
              <w:bottom w:val="single" w:color="000000" w:sz="4" w:space="0"/>
              <w:right w:val="single" w:color="000000" w:sz="4" w:space="0"/>
            </w:tcBorders>
          </w:tcPr>
          <w:p w14:paraId="78E6DFFF">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10</w:t>
            </w:r>
          </w:p>
        </w:tc>
        <w:tc>
          <w:tcPr>
            <w:tcW w:w="1725" w:type="dxa"/>
            <w:tcBorders>
              <w:top w:val="single" w:color="000000" w:sz="4" w:space="0"/>
              <w:left w:val="single" w:color="000000" w:sz="4" w:space="0"/>
              <w:bottom w:val="single" w:color="000000" w:sz="4" w:space="0"/>
              <w:right w:val="single" w:color="000000" w:sz="4" w:space="0"/>
            </w:tcBorders>
          </w:tcPr>
          <w:p w14:paraId="3E4BE30E">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46" w:type="dxa"/>
            <w:tcBorders>
              <w:top w:val="single" w:color="000000" w:sz="4" w:space="0"/>
              <w:left w:val="single" w:color="000000" w:sz="4" w:space="0"/>
              <w:bottom w:val="single" w:color="000000" w:sz="4" w:space="0"/>
              <w:right w:val="single" w:color="000000" w:sz="4" w:space="0"/>
            </w:tcBorders>
          </w:tcPr>
          <w:p w14:paraId="51DBCA25">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05A58D0D">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±15</w:t>
            </w:r>
          </w:p>
        </w:tc>
      </w:tr>
      <w:tr w14:paraId="39FC45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restart"/>
            <w:tcBorders>
              <w:top w:val="single" w:color="000000" w:sz="4" w:space="0"/>
              <w:bottom w:val="single" w:color="000000" w:sz="4" w:space="0"/>
              <w:right w:val="single" w:color="000000" w:sz="4" w:space="0"/>
            </w:tcBorders>
          </w:tcPr>
          <w:p w14:paraId="26335C38">
            <w:pPr>
              <w:widowControl w:val="0"/>
              <w:autoSpaceDE w:val="0"/>
              <w:autoSpaceDN w:val="0"/>
              <w:rPr>
                <w:rFonts w:ascii="黑体" w:hAnsi="宋体" w:eastAsia="宋体" w:cs="宋体"/>
                <w:sz w:val="18"/>
                <w:szCs w:val="22"/>
                <w:lang w:val="en-US" w:eastAsia="en-US" w:bidi="ar-SA"/>
              </w:rPr>
            </w:pPr>
          </w:p>
          <w:p w14:paraId="340B1DF0">
            <w:pPr>
              <w:widowControl w:val="0"/>
              <w:autoSpaceDE w:val="0"/>
              <w:autoSpaceDN w:val="0"/>
              <w:spacing w:before="131"/>
              <w:ind w:left="334"/>
              <w:rPr>
                <w:rFonts w:ascii="宋体" w:hAnsi="宋体" w:eastAsia="宋体" w:cs="宋体"/>
                <w:sz w:val="18"/>
                <w:szCs w:val="22"/>
                <w:lang w:val="en-US" w:eastAsia="en-US" w:bidi="ar-SA"/>
              </w:rPr>
            </w:pPr>
            <w:r>
              <w:rPr>
                <w:rFonts w:ascii="宋体" w:hAnsi="宋体" w:eastAsia="宋体" w:cs="宋体"/>
                <w:sz w:val="18"/>
                <w:szCs w:val="22"/>
                <w:lang w:val="en-US" w:eastAsia="en-US" w:bidi="ar-SA"/>
              </w:rPr>
              <w:t>总铅</w:t>
            </w:r>
          </w:p>
        </w:tc>
        <w:tc>
          <w:tcPr>
            <w:tcW w:w="1221" w:type="dxa"/>
            <w:tcBorders>
              <w:top w:val="single" w:color="000000" w:sz="4" w:space="0"/>
              <w:left w:val="single" w:color="000000" w:sz="4" w:space="0"/>
              <w:bottom w:val="single" w:color="000000" w:sz="4" w:space="0"/>
              <w:right w:val="single" w:color="000000" w:sz="4" w:space="0"/>
            </w:tcBorders>
          </w:tcPr>
          <w:p w14:paraId="7A4D98C3">
            <w:pPr>
              <w:widowControl w:val="0"/>
              <w:autoSpaceDE w:val="0"/>
              <w:autoSpaceDN w:val="0"/>
              <w:spacing w:before="40"/>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20</w:t>
            </w:r>
          </w:p>
        </w:tc>
        <w:tc>
          <w:tcPr>
            <w:tcW w:w="1476" w:type="dxa"/>
            <w:tcBorders>
              <w:top w:val="single" w:color="000000" w:sz="4" w:space="0"/>
              <w:left w:val="single" w:color="000000" w:sz="4" w:space="0"/>
              <w:bottom w:val="single" w:color="000000" w:sz="4" w:space="0"/>
              <w:right w:val="single" w:color="000000" w:sz="4" w:space="0"/>
            </w:tcBorders>
          </w:tcPr>
          <w:p w14:paraId="69EB2151">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25</w:t>
            </w:r>
          </w:p>
        </w:tc>
        <w:tc>
          <w:tcPr>
            <w:tcW w:w="1725" w:type="dxa"/>
            <w:tcBorders>
              <w:top w:val="single" w:color="000000" w:sz="4" w:space="0"/>
              <w:left w:val="single" w:color="000000" w:sz="4" w:space="0"/>
              <w:bottom w:val="single" w:color="000000" w:sz="4" w:space="0"/>
              <w:right w:val="single" w:color="000000" w:sz="4" w:space="0"/>
            </w:tcBorders>
          </w:tcPr>
          <w:p w14:paraId="1FA91775">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30</w:t>
            </w:r>
          </w:p>
        </w:tc>
        <w:tc>
          <w:tcPr>
            <w:tcW w:w="1746" w:type="dxa"/>
            <w:tcBorders>
              <w:top w:val="single" w:color="000000" w:sz="4" w:space="0"/>
              <w:left w:val="single" w:color="000000" w:sz="4" w:space="0"/>
              <w:bottom w:val="single" w:color="000000" w:sz="4" w:space="0"/>
              <w:right w:val="single" w:color="000000" w:sz="4" w:space="0"/>
            </w:tcBorders>
          </w:tcPr>
          <w:p w14:paraId="0385BCA9">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05EAFC84">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±30</w:t>
            </w:r>
          </w:p>
        </w:tc>
      </w:tr>
      <w:tr w14:paraId="34E07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16B86ADC">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6414E609">
            <w:pPr>
              <w:widowControl w:val="0"/>
              <w:autoSpaceDE w:val="0"/>
              <w:autoSpaceDN w:val="0"/>
              <w:spacing w:before="40"/>
              <w:ind w:left="234" w:right="216"/>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20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40</w:t>
            </w:r>
          </w:p>
        </w:tc>
        <w:tc>
          <w:tcPr>
            <w:tcW w:w="1476" w:type="dxa"/>
            <w:tcBorders>
              <w:top w:val="single" w:color="000000" w:sz="4" w:space="0"/>
              <w:left w:val="single" w:color="000000" w:sz="4" w:space="0"/>
              <w:bottom w:val="single" w:color="000000" w:sz="4" w:space="0"/>
              <w:right w:val="single" w:color="000000" w:sz="4" w:space="0"/>
            </w:tcBorders>
          </w:tcPr>
          <w:p w14:paraId="270EE81D">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25" w:type="dxa"/>
            <w:tcBorders>
              <w:top w:val="single" w:color="000000" w:sz="4" w:space="0"/>
              <w:left w:val="single" w:color="000000" w:sz="4" w:space="0"/>
              <w:bottom w:val="single" w:color="000000" w:sz="4" w:space="0"/>
              <w:right w:val="single" w:color="000000" w:sz="4" w:space="0"/>
            </w:tcBorders>
          </w:tcPr>
          <w:p w14:paraId="52B7D631">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25</w:t>
            </w:r>
          </w:p>
        </w:tc>
        <w:tc>
          <w:tcPr>
            <w:tcW w:w="1746" w:type="dxa"/>
            <w:tcBorders>
              <w:top w:val="single" w:color="000000" w:sz="4" w:space="0"/>
              <w:left w:val="single" w:color="000000" w:sz="4" w:space="0"/>
              <w:bottom w:val="single" w:color="000000" w:sz="4" w:space="0"/>
              <w:right w:val="single" w:color="000000" w:sz="4" w:space="0"/>
            </w:tcBorders>
          </w:tcPr>
          <w:p w14:paraId="15D65D00">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7E7085D5">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±25</w:t>
            </w:r>
          </w:p>
        </w:tc>
      </w:tr>
      <w:tr w14:paraId="01539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vMerge w:val="continue"/>
            <w:tcBorders>
              <w:top w:val="nil"/>
              <w:bottom w:val="single" w:color="000000" w:sz="4" w:space="0"/>
              <w:right w:val="single" w:color="000000" w:sz="4" w:space="0"/>
            </w:tcBorders>
          </w:tcPr>
          <w:p w14:paraId="7E15FC9C">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08B2DF6C">
            <w:pPr>
              <w:widowControl w:val="0"/>
              <w:autoSpaceDE w:val="0"/>
              <w:autoSpaceDN w:val="0"/>
              <w:spacing w:before="42"/>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40</w:t>
            </w:r>
          </w:p>
        </w:tc>
        <w:tc>
          <w:tcPr>
            <w:tcW w:w="1476" w:type="dxa"/>
            <w:tcBorders>
              <w:top w:val="single" w:color="000000" w:sz="4" w:space="0"/>
              <w:left w:val="single" w:color="000000" w:sz="4" w:space="0"/>
              <w:bottom w:val="single" w:color="000000" w:sz="4" w:space="0"/>
              <w:right w:val="single" w:color="000000" w:sz="4" w:space="0"/>
            </w:tcBorders>
          </w:tcPr>
          <w:p w14:paraId="1E3537F9">
            <w:pPr>
              <w:widowControl w:val="0"/>
              <w:autoSpaceDE w:val="0"/>
              <w:autoSpaceDN w:val="0"/>
              <w:spacing w:before="51"/>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25" w:type="dxa"/>
            <w:tcBorders>
              <w:top w:val="single" w:color="000000" w:sz="4" w:space="0"/>
              <w:left w:val="single" w:color="000000" w:sz="4" w:space="0"/>
              <w:bottom w:val="single" w:color="000000" w:sz="4" w:space="0"/>
              <w:right w:val="single" w:color="000000" w:sz="4" w:space="0"/>
            </w:tcBorders>
          </w:tcPr>
          <w:p w14:paraId="2BAA0B79">
            <w:pPr>
              <w:widowControl w:val="0"/>
              <w:autoSpaceDE w:val="0"/>
              <w:autoSpaceDN w:val="0"/>
              <w:spacing w:before="51"/>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46" w:type="dxa"/>
            <w:tcBorders>
              <w:top w:val="single" w:color="000000" w:sz="4" w:space="0"/>
              <w:left w:val="single" w:color="000000" w:sz="4" w:space="0"/>
              <w:bottom w:val="single" w:color="000000" w:sz="4" w:space="0"/>
              <w:right w:val="single" w:color="000000" w:sz="4" w:space="0"/>
            </w:tcBorders>
          </w:tcPr>
          <w:p w14:paraId="27BA6480">
            <w:pPr>
              <w:widowControl w:val="0"/>
              <w:autoSpaceDE w:val="0"/>
              <w:autoSpaceDN w:val="0"/>
              <w:spacing w:before="42"/>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48E320DE">
            <w:pPr>
              <w:widowControl w:val="0"/>
              <w:autoSpaceDE w:val="0"/>
              <w:autoSpaceDN w:val="0"/>
              <w:spacing w:before="51"/>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±20</w:t>
            </w:r>
          </w:p>
        </w:tc>
      </w:tr>
      <w:tr w14:paraId="6E0607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restart"/>
            <w:tcBorders>
              <w:top w:val="single" w:color="000000" w:sz="4" w:space="0"/>
              <w:bottom w:val="single" w:color="000000" w:sz="4" w:space="0"/>
              <w:right w:val="single" w:color="000000" w:sz="4" w:space="0"/>
            </w:tcBorders>
          </w:tcPr>
          <w:p w14:paraId="1B001955">
            <w:pPr>
              <w:widowControl w:val="0"/>
              <w:autoSpaceDE w:val="0"/>
              <w:autoSpaceDN w:val="0"/>
              <w:rPr>
                <w:rFonts w:ascii="黑体" w:hAnsi="宋体" w:eastAsia="宋体" w:cs="宋体"/>
                <w:sz w:val="18"/>
                <w:szCs w:val="22"/>
                <w:lang w:val="en-US" w:eastAsia="en-US" w:bidi="ar-SA"/>
              </w:rPr>
            </w:pPr>
          </w:p>
          <w:p w14:paraId="61E7D31C">
            <w:pPr>
              <w:widowControl w:val="0"/>
              <w:autoSpaceDE w:val="0"/>
              <w:autoSpaceDN w:val="0"/>
              <w:spacing w:before="132"/>
              <w:ind w:left="334"/>
              <w:rPr>
                <w:rFonts w:ascii="宋体" w:hAnsi="宋体" w:eastAsia="宋体" w:cs="宋体"/>
                <w:sz w:val="18"/>
                <w:szCs w:val="22"/>
                <w:lang w:val="en-US" w:eastAsia="en-US" w:bidi="ar-SA"/>
              </w:rPr>
            </w:pPr>
            <w:r>
              <w:rPr>
                <w:rFonts w:ascii="宋体" w:hAnsi="宋体" w:eastAsia="宋体" w:cs="宋体"/>
                <w:sz w:val="18"/>
                <w:szCs w:val="22"/>
                <w:lang w:val="en-US" w:eastAsia="en-US" w:bidi="ar-SA"/>
              </w:rPr>
              <w:t>总铬</w:t>
            </w:r>
          </w:p>
        </w:tc>
        <w:tc>
          <w:tcPr>
            <w:tcW w:w="1221" w:type="dxa"/>
            <w:tcBorders>
              <w:top w:val="single" w:color="000000" w:sz="4" w:space="0"/>
              <w:left w:val="single" w:color="000000" w:sz="4" w:space="0"/>
              <w:bottom w:val="single" w:color="000000" w:sz="4" w:space="0"/>
              <w:right w:val="single" w:color="000000" w:sz="4" w:space="0"/>
            </w:tcBorders>
          </w:tcPr>
          <w:p w14:paraId="4CDF4FE7">
            <w:pPr>
              <w:widowControl w:val="0"/>
              <w:autoSpaceDE w:val="0"/>
              <w:autoSpaceDN w:val="0"/>
              <w:spacing w:before="41"/>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50</w:t>
            </w:r>
          </w:p>
        </w:tc>
        <w:tc>
          <w:tcPr>
            <w:tcW w:w="1476" w:type="dxa"/>
            <w:tcBorders>
              <w:top w:val="single" w:color="000000" w:sz="4" w:space="0"/>
              <w:left w:val="single" w:color="000000" w:sz="4" w:space="0"/>
              <w:bottom w:val="single" w:color="000000" w:sz="4" w:space="0"/>
              <w:right w:val="single" w:color="000000" w:sz="4" w:space="0"/>
            </w:tcBorders>
          </w:tcPr>
          <w:p w14:paraId="083D64A1">
            <w:pPr>
              <w:widowControl w:val="0"/>
              <w:autoSpaceDE w:val="0"/>
              <w:autoSpaceDN w:val="0"/>
              <w:spacing w:before="51"/>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25" w:type="dxa"/>
            <w:tcBorders>
              <w:top w:val="single" w:color="000000" w:sz="4" w:space="0"/>
              <w:left w:val="single" w:color="000000" w:sz="4" w:space="0"/>
              <w:bottom w:val="single" w:color="000000" w:sz="4" w:space="0"/>
              <w:right w:val="single" w:color="000000" w:sz="4" w:space="0"/>
            </w:tcBorders>
          </w:tcPr>
          <w:p w14:paraId="1C877A58">
            <w:pPr>
              <w:widowControl w:val="0"/>
              <w:autoSpaceDE w:val="0"/>
              <w:autoSpaceDN w:val="0"/>
              <w:spacing w:before="51"/>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25</w:t>
            </w:r>
          </w:p>
        </w:tc>
        <w:tc>
          <w:tcPr>
            <w:tcW w:w="1746" w:type="dxa"/>
            <w:tcBorders>
              <w:top w:val="single" w:color="000000" w:sz="4" w:space="0"/>
              <w:left w:val="single" w:color="000000" w:sz="4" w:space="0"/>
              <w:bottom w:val="single" w:color="000000" w:sz="4" w:space="0"/>
              <w:right w:val="single" w:color="000000" w:sz="4" w:space="0"/>
            </w:tcBorders>
          </w:tcPr>
          <w:p w14:paraId="36A21227">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46E0820A">
            <w:pPr>
              <w:widowControl w:val="0"/>
              <w:autoSpaceDE w:val="0"/>
              <w:autoSpaceDN w:val="0"/>
              <w:spacing w:before="51"/>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±25</w:t>
            </w:r>
          </w:p>
        </w:tc>
      </w:tr>
      <w:tr w14:paraId="1171B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2F800E0C">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41F1FF9B">
            <w:pPr>
              <w:widowControl w:val="0"/>
              <w:autoSpaceDE w:val="0"/>
              <w:autoSpaceDN w:val="0"/>
              <w:spacing w:before="41"/>
              <w:ind w:left="234" w:right="216"/>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50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90</w:t>
            </w:r>
          </w:p>
        </w:tc>
        <w:tc>
          <w:tcPr>
            <w:tcW w:w="1476" w:type="dxa"/>
            <w:tcBorders>
              <w:top w:val="single" w:color="000000" w:sz="4" w:space="0"/>
              <w:left w:val="single" w:color="000000" w:sz="4" w:space="0"/>
              <w:bottom w:val="single" w:color="000000" w:sz="4" w:space="0"/>
              <w:right w:val="single" w:color="000000" w:sz="4" w:space="0"/>
            </w:tcBorders>
          </w:tcPr>
          <w:p w14:paraId="04FF1858">
            <w:pPr>
              <w:widowControl w:val="0"/>
              <w:autoSpaceDE w:val="0"/>
              <w:autoSpaceDN w:val="0"/>
              <w:spacing w:before="53"/>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25" w:type="dxa"/>
            <w:tcBorders>
              <w:top w:val="single" w:color="000000" w:sz="4" w:space="0"/>
              <w:left w:val="single" w:color="000000" w:sz="4" w:space="0"/>
              <w:bottom w:val="single" w:color="000000" w:sz="4" w:space="0"/>
              <w:right w:val="single" w:color="000000" w:sz="4" w:space="0"/>
            </w:tcBorders>
          </w:tcPr>
          <w:p w14:paraId="41954DA2">
            <w:pPr>
              <w:widowControl w:val="0"/>
              <w:autoSpaceDE w:val="0"/>
              <w:autoSpaceDN w:val="0"/>
              <w:spacing w:before="53"/>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46" w:type="dxa"/>
            <w:tcBorders>
              <w:top w:val="single" w:color="000000" w:sz="4" w:space="0"/>
              <w:left w:val="single" w:color="000000" w:sz="4" w:space="0"/>
              <w:bottom w:val="single" w:color="000000" w:sz="4" w:space="0"/>
              <w:right w:val="single" w:color="000000" w:sz="4" w:space="0"/>
            </w:tcBorders>
          </w:tcPr>
          <w:p w14:paraId="5389FCEF">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2D43D5FC">
            <w:pPr>
              <w:widowControl w:val="0"/>
              <w:autoSpaceDE w:val="0"/>
              <w:autoSpaceDN w:val="0"/>
              <w:spacing w:before="53"/>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±20</w:t>
            </w:r>
          </w:p>
        </w:tc>
      </w:tr>
      <w:tr w14:paraId="2B2844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5EEE1123">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4611678C">
            <w:pPr>
              <w:widowControl w:val="0"/>
              <w:autoSpaceDE w:val="0"/>
              <w:autoSpaceDN w:val="0"/>
              <w:spacing w:before="41"/>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90</w:t>
            </w:r>
          </w:p>
        </w:tc>
        <w:tc>
          <w:tcPr>
            <w:tcW w:w="1476" w:type="dxa"/>
            <w:tcBorders>
              <w:top w:val="single" w:color="000000" w:sz="4" w:space="0"/>
              <w:left w:val="single" w:color="000000" w:sz="4" w:space="0"/>
              <w:bottom w:val="single" w:color="000000" w:sz="4" w:space="0"/>
              <w:right w:val="single" w:color="000000" w:sz="4" w:space="0"/>
            </w:tcBorders>
          </w:tcPr>
          <w:p w14:paraId="34249D3B">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10</w:t>
            </w:r>
          </w:p>
        </w:tc>
        <w:tc>
          <w:tcPr>
            <w:tcW w:w="1725" w:type="dxa"/>
            <w:tcBorders>
              <w:top w:val="single" w:color="000000" w:sz="4" w:space="0"/>
              <w:left w:val="single" w:color="000000" w:sz="4" w:space="0"/>
              <w:bottom w:val="single" w:color="000000" w:sz="4" w:space="0"/>
              <w:right w:val="single" w:color="000000" w:sz="4" w:space="0"/>
            </w:tcBorders>
          </w:tcPr>
          <w:p w14:paraId="25B01A08">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46" w:type="dxa"/>
            <w:tcBorders>
              <w:top w:val="single" w:color="000000" w:sz="4" w:space="0"/>
              <w:left w:val="single" w:color="000000" w:sz="4" w:space="0"/>
              <w:bottom w:val="single" w:color="000000" w:sz="4" w:space="0"/>
              <w:right w:val="single" w:color="000000" w:sz="4" w:space="0"/>
            </w:tcBorders>
          </w:tcPr>
          <w:p w14:paraId="6036A2EF">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11B80523">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±15</w:t>
            </w:r>
          </w:p>
        </w:tc>
      </w:tr>
      <w:tr w14:paraId="22161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vMerge w:val="restart"/>
            <w:tcBorders>
              <w:top w:val="single" w:color="000000" w:sz="4" w:space="0"/>
              <w:bottom w:val="single" w:color="000000" w:sz="4" w:space="0"/>
              <w:right w:val="single" w:color="000000" w:sz="4" w:space="0"/>
            </w:tcBorders>
          </w:tcPr>
          <w:p w14:paraId="30F6140C">
            <w:pPr>
              <w:widowControl w:val="0"/>
              <w:autoSpaceDE w:val="0"/>
              <w:autoSpaceDN w:val="0"/>
              <w:rPr>
                <w:rFonts w:ascii="黑体" w:hAnsi="宋体" w:eastAsia="宋体" w:cs="宋体"/>
                <w:sz w:val="18"/>
                <w:szCs w:val="22"/>
                <w:lang w:val="en-US" w:eastAsia="en-US" w:bidi="ar-SA"/>
              </w:rPr>
            </w:pPr>
          </w:p>
          <w:p w14:paraId="64CC283C">
            <w:pPr>
              <w:widowControl w:val="0"/>
              <w:autoSpaceDE w:val="0"/>
              <w:autoSpaceDN w:val="0"/>
              <w:spacing w:before="131"/>
              <w:ind w:left="334"/>
              <w:rPr>
                <w:rFonts w:ascii="宋体" w:hAnsi="宋体" w:eastAsia="宋体" w:cs="宋体"/>
                <w:sz w:val="18"/>
                <w:szCs w:val="22"/>
                <w:lang w:val="en-US" w:eastAsia="en-US" w:bidi="ar-SA"/>
              </w:rPr>
            </w:pPr>
            <w:r>
              <w:rPr>
                <w:rFonts w:ascii="宋体" w:hAnsi="宋体" w:eastAsia="宋体" w:cs="宋体"/>
                <w:sz w:val="18"/>
                <w:szCs w:val="22"/>
                <w:lang w:val="en-US" w:eastAsia="en-US" w:bidi="ar-SA"/>
              </w:rPr>
              <w:t>总锌</w:t>
            </w:r>
          </w:p>
        </w:tc>
        <w:tc>
          <w:tcPr>
            <w:tcW w:w="1221" w:type="dxa"/>
            <w:tcBorders>
              <w:top w:val="single" w:color="000000" w:sz="4" w:space="0"/>
              <w:left w:val="single" w:color="000000" w:sz="4" w:space="0"/>
              <w:bottom w:val="single" w:color="000000" w:sz="4" w:space="0"/>
              <w:right w:val="single" w:color="000000" w:sz="4" w:space="0"/>
            </w:tcBorders>
          </w:tcPr>
          <w:p w14:paraId="0F27BC16">
            <w:pPr>
              <w:widowControl w:val="0"/>
              <w:autoSpaceDE w:val="0"/>
              <w:autoSpaceDN w:val="0"/>
              <w:spacing w:before="40"/>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50</w:t>
            </w:r>
          </w:p>
        </w:tc>
        <w:tc>
          <w:tcPr>
            <w:tcW w:w="1476" w:type="dxa"/>
            <w:tcBorders>
              <w:top w:val="single" w:color="000000" w:sz="4" w:space="0"/>
              <w:left w:val="single" w:color="000000" w:sz="4" w:space="0"/>
              <w:bottom w:val="single" w:color="000000" w:sz="4" w:space="0"/>
              <w:right w:val="single" w:color="000000" w:sz="4" w:space="0"/>
            </w:tcBorders>
          </w:tcPr>
          <w:p w14:paraId="6710D111">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25" w:type="dxa"/>
            <w:tcBorders>
              <w:top w:val="single" w:color="000000" w:sz="4" w:space="0"/>
              <w:left w:val="single" w:color="000000" w:sz="4" w:space="0"/>
              <w:bottom w:val="single" w:color="000000" w:sz="4" w:space="0"/>
              <w:right w:val="single" w:color="000000" w:sz="4" w:space="0"/>
            </w:tcBorders>
          </w:tcPr>
          <w:p w14:paraId="200A73CD">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25</w:t>
            </w:r>
          </w:p>
        </w:tc>
        <w:tc>
          <w:tcPr>
            <w:tcW w:w="1746" w:type="dxa"/>
            <w:tcBorders>
              <w:top w:val="single" w:color="000000" w:sz="4" w:space="0"/>
              <w:left w:val="single" w:color="000000" w:sz="4" w:space="0"/>
              <w:bottom w:val="single" w:color="000000" w:sz="4" w:space="0"/>
              <w:right w:val="single" w:color="000000" w:sz="4" w:space="0"/>
            </w:tcBorders>
          </w:tcPr>
          <w:p w14:paraId="46628CBF">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02FF37A2">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±25</w:t>
            </w:r>
          </w:p>
        </w:tc>
      </w:tr>
      <w:tr w14:paraId="7734F9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6A08EBD7">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519F91FD">
            <w:pPr>
              <w:widowControl w:val="0"/>
              <w:autoSpaceDE w:val="0"/>
              <w:autoSpaceDN w:val="0"/>
              <w:spacing w:before="40"/>
              <w:ind w:left="234" w:right="216"/>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50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90</w:t>
            </w:r>
          </w:p>
        </w:tc>
        <w:tc>
          <w:tcPr>
            <w:tcW w:w="1476" w:type="dxa"/>
            <w:tcBorders>
              <w:top w:val="single" w:color="000000" w:sz="4" w:space="0"/>
              <w:left w:val="single" w:color="000000" w:sz="4" w:space="0"/>
              <w:bottom w:val="single" w:color="000000" w:sz="4" w:space="0"/>
              <w:right w:val="single" w:color="000000" w:sz="4" w:space="0"/>
            </w:tcBorders>
          </w:tcPr>
          <w:p w14:paraId="3AE45C8E">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25" w:type="dxa"/>
            <w:tcBorders>
              <w:top w:val="single" w:color="000000" w:sz="4" w:space="0"/>
              <w:left w:val="single" w:color="000000" w:sz="4" w:space="0"/>
              <w:bottom w:val="single" w:color="000000" w:sz="4" w:space="0"/>
              <w:right w:val="single" w:color="000000" w:sz="4" w:space="0"/>
            </w:tcBorders>
          </w:tcPr>
          <w:p w14:paraId="11B5B0CF">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46" w:type="dxa"/>
            <w:tcBorders>
              <w:top w:val="single" w:color="000000" w:sz="4" w:space="0"/>
              <w:left w:val="single" w:color="000000" w:sz="4" w:space="0"/>
              <w:bottom w:val="single" w:color="000000" w:sz="4" w:space="0"/>
              <w:right w:val="single" w:color="000000" w:sz="4" w:space="0"/>
            </w:tcBorders>
          </w:tcPr>
          <w:p w14:paraId="196E407F">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4177CE98">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±20</w:t>
            </w:r>
          </w:p>
        </w:tc>
      </w:tr>
      <w:tr w14:paraId="693B78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7AF7E943">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4A2E34EB">
            <w:pPr>
              <w:widowControl w:val="0"/>
              <w:autoSpaceDE w:val="0"/>
              <w:autoSpaceDN w:val="0"/>
              <w:spacing w:before="42"/>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90</w:t>
            </w:r>
          </w:p>
        </w:tc>
        <w:tc>
          <w:tcPr>
            <w:tcW w:w="1476" w:type="dxa"/>
            <w:tcBorders>
              <w:top w:val="single" w:color="000000" w:sz="4" w:space="0"/>
              <w:left w:val="single" w:color="000000" w:sz="4" w:space="0"/>
              <w:bottom w:val="single" w:color="000000" w:sz="4" w:space="0"/>
              <w:right w:val="single" w:color="000000" w:sz="4" w:space="0"/>
            </w:tcBorders>
          </w:tcPr>
          <w:p w14:paraId="5832E433">
            <w:pPr>
              <w:widowControl w:val="0"/>
              <w:autoSpaceDE w:val="0"/>
              <w:autoSpaceDN w:val="0"/>
              <w:spacing w:before="51"/>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10</w:t>
            </w:r>
          </w:p>
        </w:tc>
        <w:tc>
          <w:tcPr>
            <w:tcW w:w="1725" w:type="dxa"/>
            <w:tcBorders>
              <w:top w:val="single" w:color="000000" w:sz="4" w:space="0"/>
              <w:left w:val="single" w:color="000000" w:sz="4" w:space="0"/>
              <w:bottom w:val="single" w:color="000000" w:sz="4" w:space="0"/>
              <w:right w:val="single" w:color="000000" w:sz="4" w:space="0"/>
            </w:tcBorders>
          </w:tcPr>
          <w:p w14:paraId="2000B7B0">
            <w:pPr>
              <w:widowControl w:val="0"/>
              <w:autoSpaceDE w:val="0"/>
              <w:autoSpaceDN w:val="0"/>
              <w:spacing w:before="51"/>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46" w:type="dxa"/>
            <w:tcBorders>
              <w:top w:val="single" w:color="000000" w:sz="4" w:space="0"/>
              <w:left w:val="single" w:color="000000" w:sz="4" w:space="0"/>
              <w:bottom w:val="single" w:color="000000" w:sz="4" w:space="0"/>
              <w:right w:val="single" w:color="000000" w:sz="4" w:space="0"/>
            </w:tcBorders>
          </w:tcPr>
          <w:p w14:paraId="39E66CC9">
            <w:pPr>
              <w:widowControl w:val="0"/>
              <w:autoSpaceDE w:val="0"/>
              <w:autoSpaceDN w:val="0"/>
              <w:spacing w:before="42"/>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58F750EB">
            <w:pPr>
              <w:widowControl w:val="0"/>
              <w:autoSpaceDE w:val="0"/>
              <w:autoSpaceDN w:val="0"/>
              <w:spacing w:before="51"/>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±15</w:t>
            </w:r>
          </w:p>
        </w:tc>
      </w:tr>
      <w:tr w14:paraId="764C20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restart"/>
            <w:tcBorders>
              <w:top w:val="single" w:color="000000" w:sz="4" w:space="0"/>
              <w:bottom w:val="single" w:color="000000" w:sz="4" w:space="0"/>
              <w:right w:val="single" w:color="000000" w:sz="4" w:space="0"/>
            </w:tcBorders>
          </w:tcPr>
          <w:p w14:paraId="31AA2E44">
            <w:pPr>
              <w:widowControl w:val="0"/>
              <w:autoSpaceDE w:val="0"/>
              <w:autoSpaceDN w:val="0"/>
              <w:rPr>
                <w:rFonts w:ascii="黑体" w:hAnsi="宋体" w:eastAsia="宋体" w:cs="宋体"/>
                <w:sz w:val="18"/>
                <w:szCs w:val="22"/>
                <w:lang w:val="en-US" w:eastAsia="en-US" w:bidi="ar-SA"/>
              </w:rPr>
            </w:pPr>
          </w:p>
          <w:p w14:paraId="79522F63">
            <w:pPr>
              <w:widowControl w:val="0"/>
              <w:autoSpaceDE w:val="0"/>
              <w:autoSpaceDN w:val="0"/>
              <w:spacing w:before="132"/>
              <w:ind w:left="334"/>
              <w:rPr>
                <w:rFonts w:ascii="宋体" w:hAnsi="宋体" w:eastAsia="宋体" w:cs="宋体"/>
                <w:sz w:val="18"/>
                <w:szCs w:val="22"/>
                <w:lang w:val="en-US" w:eastAsia="en-US" w:bidi="ar-SA"/>
              </w:rPr>
            </w:pPr>
            <w:r>
              <w:rPr>
                <w:rFonts w:ascii="宋体" w:hAnsi="宋体" w:eastAsia="宋体" w:cs="宋体"/>
                <w:sz w:val="18"/>
                <w:szCs w:val="22"/>
                <w:lang w:val="en-US" w:eastAsia="en-US" w:bidi="ar-SA"/>
              </w:rPr>
              <w:t>总镍</w:t>
            </w:r>
          </w:p>
        </w:tc>
        <w:tc>
          <w:tcPr>
            <w:tcW w:w="1221" w:type="dxa"/>
            <w:tcBorders>
              <w:top w:val="single" w:color="000000" w:sz="4" w:space="0"/>
              <w:left w:val="single" w:color="000000" w:sz="4" w:space="0"/>
              <w:bottom w:val="single" w:color="000000" w:sz="4" w:space="0"/>
              <w:right w:val="single" w:color="000000" w:sz="4" w:space="0"/>
            </w:tcBorders>
          </w:tcPr>
          <w:p w14:paraId="30CFBF72">
            <w:pPr>
              <w:widowControl w:val="0"/>
              <w:autoSpaceDE w:val="0"/>
              <w:autoSpaceDN w:val="0"/>
              <w:spacing w:before="41"/>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20</w:t>
            </w:r>
          </w:p>
        </w:tc>
        <w:tc>
          <w:tcPr>
            <w:tcW w:w="1476" w:type="dxa"/>
            <w:tcBorders>
              <w:top w:val="single" w:color="000000" w:sz="4" w:space="0"/>
              <w:left w:val="single" w:color="000000" w:sz="4" w:space="0"/>
              <w:bottom w:val="single" w:color="000000" w:sz="4" w:space="0"/>
              <w:right w:val="single" w:color="000000" w:sz="4" w:space="0"/>
            </w:tcBorders>
          </w:tcPr>
          <w:p w14:paraId="7509062F">
            <w:pPr>
              <w:widowControl w:val="0"/>
              <w:autoSpaceDE w:val="0"/>
              <w:autoSpaceDN w:val="0"/>
              <w:spacing w:before="51"/>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25" w:type="dxa"/>
            <w:tcBorders>
              <w:top w:val="single" w:color="000000" w:sz="4" w:space="0"/>
              <w:left w:val="single" w:color="000000" w:sz="4" w:space="0"/>
              <w:bottom w:val="single" w:color="000000" w:sz="4" w:space="0"/>
              <w:right w:val="single" w:color="000000" w:sz="4" w:space="0"/>
            </w:tcBorders>
          </w:tcPr>
          <w:p w14:paraId="76FDB39D">
            <w:pPr>
              <w:widowControl w:val="0"/>
              <w:autoSpaceDE w:val="0"/>
              <w:autoSpaceDN w:val="0"/>
              <w:spacing w:before="51"/>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25</w:t>
            </w:r>
          </w:p>
        </w:tc>
        <w:tc>
          <w:tcPr>
            <w:tcW w:w="1746" w:type="dxa"/>
            <w:tcBorders>
              <w:top w:val="single" w:color="000000" w:sz="4" w:space="0"/>
              <w:left w:val="single" w:color="000000" w:sz="4" w:space="0"/>
              <w:bottom w:val="single" w:color="000000" w:sz="4" w:space="0"/>
              <w:right w:val="single" w:color="000000" w:sz="4" w:space="0"/>
            </w:tcBorders>
          </w:tcPr>
          <w:p w14:paraId="514935EB">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67E78B85">
            <w:pPr>
              <w:widowControl w:val="0"/>
              <w:autoSpaceDE w:val="0"/>
              <w:autoSpaceDN w:val="0"/>
              <w:spacing w:before="51"/>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±25</w:t>
            </w:r>
          </w:p>
        </w:tc>
      </w:tr>
      <w:tr w14:paraId="63219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030" w:type="dxa"/>
            <w:vMerge w:val="continue"/>
            <w:tcBorders>
              <w:top w:val="nil"/>
              <w:bottom w:val="single" w:color="000000" w:sz="4" w:space="0"/>
              <w:right w:val="single" w:color="000000" w:sz="4" w:space="0"/>
            </w:tcBorders>
          </w:tcPr>
          <w:p w14:paraId="39BEF5EE">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37777519">
            <w:pPr>
              <w:widowControl w:val="0"/>
              <w:autoSpaceDE w:val="0"/>
              <w:autoSpaceDN w:val="0"/>
              <w:spacing w:before="41"/>
              <w:ind w:left="234" w:right="216"/>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20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40</w:t>
            </w:r>
          </w:p>
        </w:tc>
        <w:tc>
          <w:tcPr>
            <w:tcW w:w="1476" w:type="dxa"/>
            <w:tcBorders>
              <w:top w:val="single" w:color="000000" w:sz="4" w:space="0"/>
              <w:left w:val="single" w:color="000000" w:sz="4" w:space="0"/>
              <w:bottom w:val="single" w:color="000000" w:sz="4" w:space="0"/>
              <w:right w:val="single" w:color="000000" w:sz="4" w:space="0"/>
            </w:tcBorders>
          </w:tcPr>
          <w:p w14:paraId="37048017">
            <w:pPr>
              <w:widowControl w:val="0"/>
              <w:autoSpaceDE w:val="0"/>
              <w:autoSpaceDN w:val="0"/>
              <w:spacing w:before="53"/>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25" w:type="dxa"/>
            <w:tcBorders>
              <w:top w:val="single" w:color="000000" w:sz="4" w:space="0"/>
              <w:left w:val="single" w:color="000000" w:sz="4" w:space="0"/>
              <w:bottom w:val="single" w:color="000000" w:sz="4" w:space="0"/>
              <w:right w:val="single" w:color="000000" w:sz="4" w:space="0"/>
            </w:tcBorders>
          </w:tcPr>
          <w:p w14:paraId="7BA7B876">
            <w:pPr>
              <w:widowControl w:val="0"/>
              <w:autoSpaceDE w:val="0"/>
              <w:autoSpaceDN w:val="0"/>
              <w:spacing w:before="53"/>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46" w:type="dxa"/>
            <w:tcBorders>
              <w:top w:val="single" w:color="000000" w:sz="4" w:space="0"/>
              <w:left w:val="single" w:color="000000" w:sz="4" w:space="0"/>
              <w:bottom w:val="single" w:color="000000" w:sz="4" w:space="0"/>
              <w:right w:val="single" w:color="000000" w:sz="4" w:space="0"/>
            </w:tcBorders>
          </w:tcPr>
          <w:p w14:paraId="50E3506E">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85</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110</w:t>
            </w:r>
          </w:p>
        </w:tc>
        <w:tc>
          <w:tcPr>
            <w:tcW w:w="1846" w:type="dxa"/>
            <w:tcBorders>
              <w:top w:val="single" w:color="000000" w:sz="4" w:space="0"/>
              <w:left w:val="single" w:color="000000" w:sz="4" w:space="0"/>
              <w:bottom w:val="single" w:color="000000" w:sz="4" w:space="0"/>
            </w:tcBorders>
          </w:tcPr>
          <w:p w14:paraId="1627AB46">
            <w:pPr>
              <w:widowControl w:val="0"/>
              <w:autoSpaceDE w:val="0"/>
              <w:autoSpaceDN w:val="0"/>
              <w:spacing w:before="53"/>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±20</w:t>
            </w:r>
          </w:p>
        </w:tc>
      </w:tr>
      <w:tr w14:paraId="5DEDD0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vMerge w:val="continue"/>
            <w:tcBorders>
              <w:top w:val="nil"/>
              <w:bottom w:val="single" w:color="000000" w:sz="4" w:space="0"/>
              <w:right w:val="single" w:color="000000" w:sz="4" w:space="0"/>
            </w:tcBorders>
          </w:tcPr>
          <w:p w14:paraId="67629A40">
            <w:pPr>
              <w:autoSpaceDE w:val="0"/>
              <w:autoSpaceDN w:val="0"/>
              <w:jc w:val="left"/>
              <w:rPr>
                <w:rFonts w:ascii="宋体" w:hAnsi="宋体" w:eastAsia="宋体" w:cs="宋体"/>
                <w:kern w:val="0"/>
                <w:sz w:val="2"/>
                <w:szCs w:val="2"/>
                <w:lang w:eastAsia="en-US"/>
              </w:rPr>
            </w:pPr>
          </w:p>
        </w:tc>
        <w:tc>
          <w:tcPr>
            <w:tcW w:w="1221" w:type="dxa"/>
            <w:tcBorders>
              <w:top w:val="single" w:color="000000" w:sz="4" w:space="0"/>
              <w:left w:val="single" w:color="000000" w:sz="4" w:space="0"/>
              <w:bottom w:val="single" w:color="000000" w:sz="4" w:space="0"/>
              <w:right w:val="single" w:color="000000" w:sz="4" w:space="0"/>
            </w:tcBorders>
          </w:tcPr>
          <w:p w14:paraId="6FDD2F2F">
            <w:pPr>
              <w:widowControl w:val="0"/>
              <w:autoSpaceDE w:val="0"/>
              <w:autoSpaceDN w:val="0"/>
              <w:spacing w:before="41"/>
              <w:ind w:left="235" w:right="21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40</w:t>
            </w:r>
          </w:p>
        </w:tc>
        <w:tc>
          <w:tcPr>
            <w:tcW w:w="1476" w:type="dxa"/>
            <w:tcBorders>
              <w:top w:val="single" w:color="000000" w:sz="4" w:space="0"/>
              <w:left w:val="single" w:color="000000" w:sz="4" w:space="0"/>
              <w:bottom w:val="single" w:color="000000" w:sz="4" w:space="0"/>
              <w:right w:val="single" w:color="000000" w:sz="4" w:space="0"/>
            </w:tcBorders>
          </w:tcPr>
          <w:p w14:paraId="3FF5718A">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10</w:t>
            </w:r>
          </w:p>
        </w:tc>
        <w:tc>
          <w:tcPr>
            <w:tcW w:w="1725" w:type="dxa"/>
            <w:tcBorders>
              <w:top w:val="single" w:color="000000" w:sz="4" w:space="0"/>
              <w:left w:val="single" w:color="000000" w:sz="4" w:space="0"/>
              <w:bottom w:val="single" w:color="000000" w:sz="4" w:space="0"/>
              <w:right w:val="single" w:color="000000" w:sz="4" w:space="0"/>
            </w:tcBorders>
          </w:tcPr>
          <w:p w14:paraId="1EAA7165">
            <w:pPr>
              <w:widowControl w:val="0"/>
              <w:autoSpaceDE w:val="0"/>
              <w:autoSpaceDN w:val="0"/>
              <w:spacing w:before="52"/>
              <w:ind w:left="776"/>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15</w:t>
            </w:r>
          </w:p>
        </w:tc>
        <w:tc>
          <w:tcPr>
            <w:tcW w:w="1746" w:type="dxa"/>
            <w:tcBorders>
              <w:top w:val="single" w:color="000000" w:sz="4" w:space="0"/>
              <w:left w:val="single" w:color="000000" w:sz="4" w:space="0"/>
              <w:bottom w:val="single" w:color="000000" w:sz="4" w:space="0"/>
              <w:right w:val="single" w:color="000000" w:sz="4" w:space="0"/>
            </w:tcBorders>
          </w:tcPr>
          <w:p w14:paraId="147080AE">
            <w:pPr>
              <w:widowControl w:val="0"/>
              <w:autoSpaceDE w:val="0"/>
              <w:autoSpaceDN w:val="0"/>
              <w:spacing w:before="41"/>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90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105</w:t>
            </w:r>
          </w:p>
        </w:tc>
        <w:tc>
          <w:tcPr>
            <w:tcW w:w="1846" w:type="dxa"/>
            <w:tcBorders>
              <w:top w:val="single" w:color="000000" w:sz="4" w:space="0"/>
              <w:left w:val="single" w:color="000000" w:sz="4" w:space="0"/>
              <w:bottom w:val="single" w:color="000000" w:sz="4" w:space="0"/>
            </w:tcBorders>
          </w:tcPr>
          <w:p w14:paraId="483F9206">
            <w:pPr>
              <w:widowControl w:val="0"/>
              <w:autoSpaceDE w:val="0"/>
              <w:autoSpaceDN w:val="0"/>
              <w:spacing w:before="52"/>
              <w:ind w:left="547" w:right="523"/>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±15</w:t>
            </w:r>
          </w:p>
        </w:tc>
      </w:tr>
      <w:tr w14:paraId="236E96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tcBorders>
              <w:top w:val="single" w:color="000000" w:sz="4" w:space="0"/>
              <w:bottom w:val="single" w:color="000000" w:sz="4" w:space="0"/>
              <w:right w:val="single" w:color="000000" w:sz="4" w:space="0"/>
            </w:tcBorders>
          </w:tcPr>
          <w:p w14:paraId="3C4E0272">
            <w:pPr>
              <w:widowControl w:val="0"/>
              <w:autoSpaceDE w:val="0"/>
              <w:autoSpaceDN w:val="0"/>
              <w:spacing w:before="40"/>
              <w:ind w:left="243"/>
              <w:rPr>
                <w:rFonts w:ascii="宋体" w:hAnsi="宋体" w:eastAsia="宋体" w:cs="宋体"/>
                <w:sz w:val="18"/>
                <w:szCs w:val="22"/>
                <w:lang w:val="en-US" w:eastAsia="en-US" w:bidi="ar-SA"/>
              </w:rPr>
            </w:pPr>
            <w:r>
              <w:rPr>
                <w:rFonts w:ascii="宋体" w:hAnsi="宋体" w:eastAsia="宋体" w:cs="宋体"/>
                <w:sz w:val="18"/>
                <w:szCs w:val="22"/>
                <w:lang w:val="en-US" w:eastAsia="en-US" w:bidi="ar-SA"/>
              </w:rPr>
              <w:t>六价铬</w:t>
            </w:r>
          </w:p>
        </w:tc>
        <w:tc>
          <w:tcPr>
            <w:tcW w:w="1221" w:type="dxa"/>
            <w:tcBorders>
              <w:top w:val="single" w:color="000000" w:sz="4" w:space="0"/>
              <w:left w:val="single" w:color="000000" w:sz="4" w:space="0"/>
              <w:bottom w:val="single" w:color="000000" w:sz="4" w:space="0"/>
              <w:right w:val="single" w:color="000000" w:sz="4" w:space="0"/>
            </w:tcBorders>
          </w:tcPr>
          <w:p w14:paraId="75E2C2EB">
            <w:pPr>
              <w:widowControl w:val="0"/>
              <w:autoSpaceDE w:val="0"/>
              <w:autoSpaceDN w:val="0"/>
              <w:spacing w:before="52"/>
              <w:ind w:left="16"/>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c>
          <w:tcPr>
            <w:tcW w:w="1476" w:type="dxa"/>
            <w:tcBorders>
              <w:top w:val="single" w:color="000000" w:sz="4" w:space="0"/>
              <w:left w:val="single" w:color="000000" w:sz="4" w:space="0"/>
              <w:bottom w:val="single" w:color="000000" w:sz="4" w:space="0"/>
              <w:right w:val="single" w:color="000000" w:sz="4" w:space="0"/>
            </w:tcBorders>
          </w:tcPr>
          <w:p w14:paraId="69C8EA8D">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725" w:type="dxa"/>
            <w:tcBorders>
              <w:top w:val="single" w:color="000000" w:sz="4" w:space="0"/>
              <w:left w:val="single" w:color="000000" w:sz="4" w:space="0"/>
              <w:bottom w:val="single" w:color="000000" w:sz="4" w:space="0"/>
              <w:right w:val="single" w:color="000000" w:sz="4" w:space="0"/>
            </w:tcBorders>
          </w:tcPr>
          <w:p w14:paraId="78789586">
            <w:pPr>
              <w:widowControl w:val="0"/>
              <w:autoSpaceDE w:val="0"/>
              <w:autoSpaceDN w:val="0"/>
              <w:spacing w:before="52"/>
              <w:ind w:left="841"/>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c>
          <w:tcPr>
            <w:tcW w:w="1746" w:type="dxa"/>
            <w:tcBorders>
              <w:top w:val="single" w:color="000000" w:sz="4" w:space="0"/>
              <w:left w:val="single" w:color="000000" w:sz="4" w:space="0"/>
              <w:bottom w:val="single" w:color="000000" w:sz="4" w:space="0"/>
              <w:right w:val="single" w:color="000000" w:sz="4" w:space="0"/>
            </w:tcBorders>
          </w:tcPr>
          <w:p w14:paraId="33B97312">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70</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130</w:t>
            </w:r>
          </w:p>
        </w:tc>
        <w:tc>
          <w:tcPr>
            <w:tcW w:w="1846" w:type="dxa"/>
            <w:tcBorders>
              <w:top w:val="single" w:color="000000" w:sz="4" w:space="0"/>
              <w:left w:val="single" w:color="000000" w:sz="4" w:space="0"/>
              <w:bottom w:val="single" w:color="000000" w:sz="4" w:space="0"/>
            </w:tcBorders>
          </w:tcPr>
          <w:p w14:paraId="2453EDF5">
            <w:pPr>
              <w:widowControl w:val="0"/>
              <w:autoSpaceDE w:val="0"/>
              <w:autoSpaceDN w:val="0"/>
              <w:spacing w:before="52"/>
              <w:ind w:left="25"/>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r>
      <w:tr w14:paraId="72D44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tcBorders>
              <w:top w:val="single" w:color="000000" w:sz="4" w:space="0"/>
              <w:bottom w:val="single" w:color="000000" w:sz="4" w:space="0"/>
              <w:right w:val="single" w:color="000000" w:sz="4" w:space="0"/>
            </w:tcBorders>
            <w:vAlign w:val="center"/>
          </w:tcPr>
          <w:p w14:paraId="30977F06">
            <w:pPr>
              <w:widowControl w:val="0"/>
              <w:autoSpaceDE w:val="0"/>
              <w:autoSpaceDN w:val="0"/>
              <w:spacing w:before="40"/>
              <w:ind w:left="243"/>
              <w:jc w:val="center"/>
              <w:rPr>
                <w:rFonts w:ascii="宋体" w:hAnsi="宋体" w:eastAsia="宋体" w:cs="宋体"/>
                <w:sz w:val="18"/>
                <w:szCs w:val="22"/>
                <w:lang w:val="en-US" w:eastAsia="en-US" w:bidi="ar-SA"/>
              </w:rPr>
            </w:pPr>
            <w:r>
              <w:rPr>
                <w:rFonts w:hint="eastAsia" w:ascii="宋体" w:hAnsi="宋体" w:eastAsia="宋体" w:cs="宋体"/>
                <w:sz w:val="18"/>
                <w:szCs w:val="22"/>
                <w:lang w:val="en-US" w:eastAsia="zh-CN" w:bidi="ar-SA"/>
              </w:rPr>
              <w:t>锑</w:t>
            </w:r>
          </w:p>
        </w:tc>
        <w:tc>
          <w:tcPr>
            <w:tcW w:w="1221" w:type="dxa"/>
            <w:tcBorders>
              <w:top w:val="single" w:color="000000" w:sz="4" w:space="0"/>
              <w:left w:val="single" w:color="000000" w:sz="4" w:space="0"/>
              <w:bottom w:val="single" w:color="000000" w:sz="4" w:space="0"/>
              <w:right w:val="single" w:color="000000" w:sz="4" w:space="0"/>
            </w:tcBorders>
            <w:vAlign w:val="center"/>
          </w:tcPr>
          <w:p w14:paraId="2CBB9716">
            <w:pPr>
              <w:widowControl w:val="0"/>
              <w:autoSpaceDE w:val="0"/>
              <w:autoSpaceDN w:val="0"/>
              <w:spacing w:before="52"/>
              <w:ind w:left="16"/>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c>
          <w:tcPr>
            <w:tcW w:w="1476" w:type="dxa"/>
            <w:tcBorders>
              <w:top w:val="single" w:color="000000" w:sz="4" w:space="0"/>
              <w:left w:val="single" w:color="000000" w:sz="4" w:space="0"/>
              <w:bottom w:val="single" w:color="000000" w:sz="4" w:space="0"/>
              <w:right w:val="single" w:color="000000" w:sz="4" w:space="0"/>
            </w:tcBorders>
            <w:vAlign w:val="center"/>
          </w:tcPr>
          <w:p w14:paraId="7AF12D81">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CN" w:bidi="ar-SA"/>
              </w:rPr>
              <w:t>40</w:t>
            </w:r>
          </w:p>
        </w:tc>
        <w:tc>
          <w:tcPr>
            <w:tcW w:w="1725" w:type="dxa"/>
            <w:tcBorders>
              <w:top w:val="single" w:color="000000" w:sz="4" w:space="0"/>
              <w:left w:val="single" w:color="000000" w:sz="4" w:space="0"/>
              <w:bottom w:val="single" w:color="000000" w:sz="4" w:space="0"/>
              <w:right w:val="single" w:color="000000" w:sz="4" w:space="0"/>
            </w:tcBorders>
            <w:vAlign w:val="center"/>
          </w:tcPr>
          <w:p w14:paraId="4993764A">
            <w:pPr>
              <w:widowControl w:val="0"/>
              <w:autoSpaceDE w:val="0"/>
              <w:autoSpaceDN w:val="0"/>
              <w:spacing w:before="52"/>
              <w:ind w:left="841"/>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 w:bidi="ar-SA"/>
              </w:rPr>
              <w:t>/</w:t>
            </w:r>
          </w:p>
        </w:tc>
        <w:tc>
          <w:tcPr>
            <w:tcW w:w="1746" w:type="dxa"/>
            <w:tcBorders>
              <w:top w:val="single" w:color="000000" w:sz="4" w:space="0"/>
              <w:left w:val="single" w:color="000000" w:sz="4" w:space="0"/>
              <w:bottom w:val="single" w:color="000000" w:sz="4" w:space="0"/>
              <w:right w:val="single" w:color="000000" w:sz="4" w:space="0"/>
            </w:tcBorders>
            <w:vAlign w:val="center"/>
          </w:tcPr>
          <w:p w14:paraId="63663968">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hint="eastAsia" w:ascii="Times New Roman" w:hAnsi="宋体" w:eastAsia="宋体" w:cs="宋体"/>
                <w:sz w:val="18"/>
                <w:szCs w:val="22"/>
                <w:lang w:val="en-US" w:eastAsia="zh-CN" w:bidi="ar-SA"/>
              </w:rPr>
              <w:t>50~125</w:t>
            </w:r>
          </w:p>
        </w:tc>
        <w:tc>
          <w:tcPr>
            <w:tcW w:w="1846" w:type="dxa"/>
            <w:tcBorders>
              <w:top w:val="single" w:color="000000" w:sz="4" w:space="0"/>
              <w:left w:val="single" w:color="000000" w:sz="4" w:space="0"/>
              <w:bottom w:val="single" w:color="000000" w:sz="4" w:space="0"/>
            </w:tcBorders>
            <w:vAlign w:val="center"/>
          </w:tcPr>
          <w:p w14:paraId="6A6DD325">
            <w:pPr>
              <w:widowControl w:val="0"/>
              <w:autoSpaceDE w:val="0"/>
              <w:autoSpaceDN w:val="0"/>
              <w:spacing w:before="52"/>
              <w:ind w:left="25"/>
              <w:jc w:val="center"/>
              <w:rPr>
                <w:rFonts w:ascii="Times New Roman" w:hAnsi="宋体" w:eastAsia="宋体" w:cs="宋体"/>
                <w:sz w:val="18"/>
                <w:szCs w:val="22"/>
                <w:lang w:val="en-US" w:eastAsia="en-US" w:bidi="ar-SA"/>
              </w:rPr>
            </w:pPr>
            <w:r>
              <w:rPr>
                <w:rFonts w:hint="eastAsia" w:ascii="宋体" w:hAnsi="宋体" w:eastAsia="宋体" w:cs="宋体"/>
                <w:sz w:val="18"/>
                <w:szCs w:val="22"/>
                <w:lang w:val="en-US" w:eastAsia="zh" w:bidi="ar-SA"/>
              </w:rPr>
              <w:t>/</w:t>
            </w:r>
          </w:p>
        </w:tc>
      </w:tr>
      <w:tr w14:paraId="264329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tcBorders>
              <w:top w:val="single" w:color="000000" w:sz="4" w:space="0"/>
              <w:bottom w:val="single" w:color="000000" w:sz="4" w:space="0"/>
              <w:right w:val="single" w:color="000000" w:sz="4" w:space="0"/>
            </w:tcBorders>
            <w:vAlign w:val="center"/>
          </w:tcPr>
          <w:p w14:paraId="7F4B6ADF">
            <w:pPr>
              <w:widowControl w:val="0"/>
              <w:autoSpaceDE w:val="0"/>
              <w:autoSpaceDN w:val="0"/>
              <w:spacing w:before="40"/>
              <w:ind w:left="243"/>
              <w:jc w:val="center"/>
              <w:rPr>
                <w:rFonts w:ascii="宋体" w:hAnsi="宋体" w:eastAsia="宋体" w:cs="宋体"/>
                <w:sz w:val="18"/>
                <w:szCs w:val="22"/>
                <w:lang w:val="en-US" w:eastAsia="en-US" w:bidi="ar-SA"/>
              </w:rPr>
            </w:pPr>
            <w:r>
              <w:rPr>
                <w:rFonts w:hint="eastAsia" w:ascii="宋体" w:hAnsi="宋体" w:eastAsia="宋体" w:cs="宋体"/>
                <w:sz w:val="18"/>
                <w:szCs w:val="22"/>
                <w:lang w:val="en-US" w:eastAsia="zh-CN" w:bidi="ar-SA"/>
              </w:rPr>
              <w:t>铍</w:t>
            </w:r>
          </w:p>
        </w:tc>
        <w:tc>
          <w:tcPr>
            <w:tcW w:w="1221" w:type="dxa"/>
            <w:tcBorders>
              <w:top w:val="single" w:color="000000" w:sz="4" w:space="0"/>
              <w:left w:val="single" w:color="000000" w:sz="4" w:space="0"/>
              <w:bottom w:val="single" w:color="000000" w:sz="4" w:space="0"/>
              <w:right w:val="single" w:color="000000" w:sz="4" w:space="0"/>
            </w:tcBorders>
            <w:vAlign w:val="center"/>
          </w:tcPr>
          <w:p w14:paraId="6560DBB6">
            <w:pPr>
              <w:widowControl w:val="0"/>
              <w:autoSpaceDE w:val="0"/>
              <w:autoSpaceDN w:val="0"/>
              <w:spacing w:before="52"/>
              <w:ind w:left="16"/>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w:t>
            </w:r>
          </w:p>
        </w:tc>
        <w:tc>
          <w:tcPr>
            <w:tcW w:w="1476" w:type="dxa"/>
            <w:tcBorders>
              <w:top w:val="single" w:color="000000" w:sz="4" w:space="0"/>
              <w:left w:val="single" w:color="000000" w:sz="4" w:space="0"/>
              <w:bottom w:val="single" w:color="000000" w:sz="4" w:space="0"/>
              <w:right w:val="single" w:color="000000" w:sz="4" w:space="0"/>
            </w:tcBorders>
            <w:vAlign w:val="center"/>
          </w:tcPr>
          <w:p w14:paraId="25036173">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CN" w:bidi="ar-SA"/>
              </w:rPr>
              <w:t>20</w:t>
            </w:r>
          </w:p>
        </w:tc>
        <w:tc>
          <w:tcPr>
            <w:tcW w:w="1725" w:type="dxa"/>
            <w:tcBorders>
              <w:top w:val="single" w:color="000000" w:sz="4" w:space="0"/>
              <w:left w:val="single" w:color="000000" w:sz="4" w:space="0"/>
              <w:bottom w:val="single" w:color="000000" w:sz="4" w:space="0"/>
              <w:right w:val="single" w:color="000000" w:sz="4" w:space="0"/>
            </w:tcBorders>
            <w:vAlign w:val="center"/>
          </w:tcPr>
          <w:p w14:paraId="7362EBFF">
            <w:pPr>
              <w:widowControl w:val="0"/>
              <w:autoSpaceDE w:val="0"/>
              <w:autoSpaceDN w:val="0"/>
              <w:spacing w:before="52"/>
              <w:ind w:left="841"/>
              <w:rPr>
                <w:rFonts w:ascii="Times New Roman" w:hAnsi="宋体" w:eastAsia="宋体" w:cs="宋体"/>
                <w:sz w:val="18"/>
                <w:szCs w:val="22"/>
                <w:lang w:val="en-US" w:eastAsia="en-US" w:bidi="ar-SA"/>
              </w:rPr>
            </w:pPr>
            <w:r>
              <w:rPr>
                <w:rFonts w:hint="eastAsia" w:ascii="宋体" w:hAnsi="宋体" w:eastAsia="宋体" w:cs="宋体"/>
                <w:sz w:val="18"/>
                <w:szCs w:val="22"/>
                <w:lang w:val="en-US" w:eastAsia="zh-CN" w:bidi="ar-SA"/>
              </w:rPr>
              <w:t>/</w:t>
            </w:r>
          </w:p>
        </w:tc>
        <w:tc>
          <w:tcPr>
            <w:tcW w:w="1746" w:type="dxa"/>
            <w:tcBorders>
              <w:top w:val="single" w:color="000000" w:sz="4" w:space="0"/>
              <w:left w:val="single" w:color="000000" w:sz="4" w:space="0"/>
              <w:bottom w:val="single" w:color="000000" w:sz="4" w:space="0"/>
              <w:right w:val="single" w:color="000000" w:sz="4" w:space="0"/>
            </w:tcBorders>
            <w:vAlign w:val="center"/>
          </w:tcPr>
          <w:p w14:paraId="1C6E750E">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ascii="Times New Roman" w:hAnsi="宋体" w:eastAsia="宋体" w:cs="宋体"/>
                <w:sz w:val="18"/>
                <w:szCs w:val="22"/>
                <w:lang w:val="en-US" w:eastAsia="en-US" w:bidi="ar-SA"/>
              </w:rPr>
              <w:t>/</w:t>
            </w:r>
          </w:p>
        </w:tc>
        <w:tc>
          <w:tcPr>
            <w:tcW w:w="1846" w:type="dxa"/>
            <w:tcBorders>
              <w:top w:val="single" w:color="000000" w:sz="4" w:space="0"/>
              <w:left w:val="single" w:color="000000" w:sz="4" w:space="0"/>
              <w:bottom w:val="single" w:color="000000" w:sz="4" w:space="0"/>
            </w:tcBorders>
            <w:vAlign w:val="center"/>
          </w:tcPr>
          <w:p w14:paraId="4867A5D1">
            <w:pPr>
              <w:widowControl w:val="0"/>
              <w:autoSpaceDE w:val="0"/>
              <w:autoSpaceDN w:val="0"/>
              <w:spacing w:before="52"/>
              <w:ind w:left="25"/>
              <w:jc w:val="center"/>
              <w:rPr>
                <w:rFonts w:ascii="Times New Roman" w:hAnsi="宋体" w:eastAsia="宋体" w:cs="宋体"/>
                <w:sz w:val="18"/>
                <w:szCs w:val="22"/>
                <w:lang w:val="en-US" w:eastAsia="en-US" w:bidi="ar-SA"/>
              </w:rPr>
            </w:pPr>
            <w:r>
              <w:rPr>
                <w:rFonts w:hint="eastAsia" w:ascii="宋体" w:hAnsi="宋体" w:eastAsia="宋体" w:cs="宋体"/>
                <w:sz w:val="18"/>
                <w:szCs w:val="22"/>
                <w:lang w:val="en-US" w:eastAsia="zh" w:bidi="ar-SA"/>
              </w:rPr>
              <w:t>/</w:t>
            </w:r>
          </w:p>
        </w:tc>
      </w:tr>
      <w:tr w14:paraId="0E78AB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tcBorders>
              <w:top w:val="single" w:color="000000" w:sz="4" w:space="0"/>
              <w:bottom w:val="single" w:color="000000" w:sz="4" w:space="0"/>
              <w:right w:val="single" w:color="000000" w:sz="4" w:space="0"/>
            </w:tcBorders>
            <w:vAlign w:val="center"/>
          </w:tcPr>
          <w:p w14:paraId="1B22D4E7">
            <w:pPr>
              <w:widowControl w:val="0"/>
              <w:autoSpaceDE w:val="0"/>
              <w:autoSpaceDN w:val="0"/>
              <w:spacing w:before="40"/>
              <w:ind w:left="243"/>
              <w:jc w:val="center"/>
              <w:rPr>
                <w:rFonts w:ascii="宋体" w:hAnsi="宋体" w:eastAsia="宋体" w:cs="宋体"/>
                <w:sz w:val="18"/>
                <w:szCs w:val="22"/>
                <w:lang w:val="en-US" w:eastAsia="en-US" w:bidi="ar-SA"/>
              </w:rPr>
            </w:pPr>
            <w:r>
              <w:rPr>
                <w:rFonts w:hint="eastAsia" w:ascii="宋体" w:hAnsi="宋体" w:eastAsia="宋体" w:cs="宋体"/>
                <w:sz w:val="18"/>
                <w:szCs w:val="22"/>
                <w:lang w:val="en-US" w:eastAsia="zh-CN" w:bidi="ar-SA"/>
              </w:rPr>
              <w:t>钴</w:t>
            </w:r>
          </w:p>
        </w:tc>
        <w:tc>
          <w:tcPr>
            <w:tcW w:w="1221" w:type="dxa"/>
            <w:tcBorders>
              <w:top w:val="single" w:color="000000" w:sz="4" w:space="0"/>
              <w:left w:val="single" w:color="000000" w:sz="4" w:space="0"/>
              <w:bottom w:val="single" w:color="000000" w:sz="4" w:space="0"/>
              <w:right w:val="single" w:color="000000" w:sz="4" w:space="0"/>
            </w:tcBorders>
            <w:vAlign w:val="center"/>
          </w:tcPr>
          <w:p w14:paraId="59343FA2">
            <w:pPr>
              <w:widowControl w:val="0"/>
              <w:autoSpaceDE w:val="0"/>
              <w:autoSpaceDN w:val="0"/>
              <w:spacing w:before="52"/>
              <w:ind w:left="16"/>
              <w:jc w:val="center"/>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 w:bidi="ar-SA"/>
              </w:rPr>
              <w:t>/</w:t>
            </w:r>
          </w:p>
        </w:tc>
        <w:tc>
          <w:tcPr>
            <w:tcW w:w="1476" w:type="dxa"/>
            <w:tcBorders>
              <w:top w:val="single" w:color="000000" w:sz="4" w:space="0"/>
              <w:left w:val="single" w:color="000000" w:sz="4" w:space="0"/>
              <w:bottom w:val="single" w:color="000000" w:sz="4" w:space="0"/>
              <w:right w:val="single" w:color="000000" w:sz="4" w:space="0"/>
            </w:tcBorders>
            <w:vAlign w:val="center"/>
          </w:tcPr>
          <w:p w14:paraId="46E7DC76">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CN" w:bidi="ar-SA"/>
              </w:rPr>
              <w:t>30</w:t>
            </w:r>
          </w:p>
        </w:tc>
        <w:tc>
          <w:tcPr>
            <w:tcW w:w="1725" w:type="dxa"/>
            <w:tcBorders>
              <w:top w:val="single" w:color="000000" w:sz="4" w:space="0"/>
              <w:left w:val="single" w:color="000000" w:sz="4" w:space="0"/>
              <w:bottom w:val="single" w:color="000000" w:sz="4" w:space="0"/>
              <w:right w:val="single" w:color="000000" w:sz="4" w:space="0"/>
            </w:tcBorders>
            <w:vAlign w:val="center"/>
          </w:tcPr>
          <w:p w14:paraId="5030183C">
            <w:pPr>
              <w:widowControl w:val="0"/>
              <w:autoSpaceDE w:val="0"/>
              <w:autoSpaceDN w:val="0"/>
              <w:spacing w:before="52"/>
              <w:ind w:left="841"/>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 w:bidi="ar-SA"/>
              </w:rPr>
              <w:t>/</w:t>
            </w:r>
          </w:p>
        </w:tc>
        <w:tc>
          <w:tcPr>
            <w:tcW w:w="1746" w:type="dxa"/>
            <w:tcBorders>
              <w:top w:val="single" w:color="000000" w:sz="4" w:space="0"/>
              <w:left w:val="single" w:color="000000" w:sz="4" w:space="0"/>
              <w:bottom w:val="single" w:color="000000" w:sz="4" w:space="0"/>
              <w:right w:val="single" w:color="000000" w:sz="4" w:space="0"/>
            </w:tcBorders>
            <w:vAlign w:val="center"/>
          </w:tcPr>
          <w:p w14:paraId="3528B30C">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hint="eastAsia" w:ascii="Times New Roman" w:hAnsi="Times New Roman" w:eastAsia="宋体" w:cs="宋体"/>
                <w:sz w:val="18"/>
                <w:szCs w:val="22"/>
                <w:lang w:val="en-US" w:eastAsia="zh-CN" w:bidi="ar-SA"/>
              </w:rPr>
              <w:t>70~125</w:t>
            </w:r>
          </w:p>
        </w:tc>
        <w:tc>
          <w:tcPr>
            <w:tcW w:w="1846" w:type="dxa"/>
            <w:tcBorders>
              <w:top w:val="single" w:color="000000" w:sz="4" w:space="0"/>
              <w:left w:val="single" w:color="000000" w:sz="4" w:space="0"/>
              <w:bottom w:val="single" w:color="000000" w:sz="4" w:space="0"/>
            </w:tcBorders>
            <w:vAlign w:val="center"/>
          </w:tcPr>
          <w:p w14:paraId="2DAE33DD">
            <w:pPr>
              <w:widowControl w:val="0"/>
              <w:autoSpaceDE w:val="0"/>
              <w:autoSpaceDN w:val="0"/>
              <w:spacing w:before="52"/>
              <w:ind w:left="25"/>
              <w:jc w:val="center"/>
              <w:rPr>
                <w:rFonts w:ascii="Times New Roman" w:hAnsi="宋体" w:eastAsia="宋体" w:cs="宋体"/>
                <w:sz w:val="18"/>
                <w:szCs w:val="22"/>
                <w:lang w:val="en-US" w:eastAsia="en-US" w:bidi="ar-SA"/>
              </w:rPr>
            </w:pPr>
            <w:r>
              <w:rPr>
                <w:rFonts w:hint="eastAsia" w:ascii="宋体" w:hAnsi="宋体" w:eastAsia="宋体" w:cs="宋体"/>
                <w:sz w:val="18"/>
                <w:szCs w:val="22"/>
                <w:lang w:val="en-US" w:eastAsia="zh" w:bidi="ar-SA"/>
              </w:rPr>
              <w:t>/</w:t>
            </w:r>
          </w:p>
        </w:tc>
      </w:tr>
      <w:tr w14:paraId="13DCB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tcBorders>
              <w:top w:val="single" w:color="000000" w:sz="4" w:space="0"/>
              <w:bottom w:val="single" w:color="000000" w:sz="4" w:space="0"/>
              <w:right w:val="single" w:color="000000" w:sz="4" w:space="0"/>
            </w:tcBorders>
            <w:vAlign w:val="center"/>
          </w:tcPr>
          <w:p w14:paraId="379931B4">
            <w:pPr>
              <w:widowControl w:val="0"/>
              <w:autoSpaceDE w:val="0"/>
              <w:autoSpaceDN w:val="0"/>
              <w:spacing w:before="40"/>
              <w:ind w:left="243"/>
              <w:jc w:val="center"/>
              <w:rPr>
                <w:rFonts w:ascii="宋体" w:hAnsi="宋体" w:eastAsia="宋体" w:cs="宋体"/>
                <w:sz w:val="18"/>
                <w:szCs w:val="22"/>
                <w:lang w:val="en-US" w:eastAsia="en-US" w:bidi="ar-SA"/>
              </w:rPr>
            </w:pPr>
            <w:r>
              <w:rPr>
                <w:rFonts w:hint="eastAsia" w:ascii="宋体" w:hAnsi="宋体" w:eastAsia="宋体" w:cs="宋体"/>
                <w:sz w:val="18"/>
                <w:szCs w:val="22"/>
                <w:lang w:val="en-US" w:eastAsia="zh-CN" w:bidi="ar-SA"/>
              </w:rPr>
              <w:t>甲基汞</w:t>
            </w:r>
          </w:p>
        </w:tc>
        <w:tc>
          <w:tcPr>
            <w:tcW w:w="1221" w:type="dxa"/>
            <w:tcBorders>
              <w:top w:val="single" w:color="000000" w:sz="4" w:space="0"/>
              <w:left w:val="single" w:color="000000" w:sz="4" w:space="0"/>
              <w:bottom w:val="single" w:color="000000" w:sz="4" w:space="0"/>
              <w:right w:val="single" w:color="000000" w:sz="4" w:space="0"/>
            </w:tcBorders>
            <w:vAlign w:val="center"/>
          </w:tcPr>
          <w:p w14:paraId="739AA2A9">
            <w:pPr>
              <w:widowControl w:val="0"/>
              <w:autoSpaceDE w:val="0"/>
              <w:autoSpaceDN w:val="0"/>
              <w:spacing w:before="52"/>
              <w:ind w:left="16"/>
              <w:jc w:val="center"/>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 w:bidi="ar-SA"/>
              </w:rPr>
              <w:t>/</w:t>
            </w:r>
          </w:p>
        </w:tc>
        <w:tc>
          <w:tcPr>
            <w:tcW w:w="1476" w:type="dxa"/>
            <w:tcBorders>
              <w:top w:val="single" w:color="000000" w:sz="4" w:space="0"/>
              <w:left w:val="single" w:color="000000" w:sz="4" w:space="0"/>
              <w:bottom w:val="single" w:color="000000" w:sz="4" w:space="0"/>
              <w:right w:val="single" w:color="000000" w:sz="4" w:space="0"/>
            </w:tcBorders>
            <w:vAlign w:val="center"/>
          </w:tcPr>
          <w:p w14:paraId="60B34E4A">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CN" w:bidi="ar-SA"/>
              </w:rPr>
              <w:t>30</w:t>
            </w:r>
          </w:p>
        </w:tc>
        <w:tc>
          <w:tcPr>
            <w:tcW w:w="1725" w:type="dxa"/>
            <w:tcBorders>
              <w:top w:val="single" w:color="000000" w:sz="4" w:space="0"/>
              <w:left w:val="single" w:color="000000" w:sz="4" w:space="0"/>
              <w:bottom w:val="single" w:color="000000" w:sz="4" w:space="0"/>
              <w:right w:val="single" w:color="000000" w:sz="4" w:space="0"/>
            </w:tcBorders>
            <w:vAlign w:val="center"/>
          </w:tcPr>
          <w:p w14:paraId="7AFBB075">
            <w:pPr>
              <w:widowControl w:val="0"/>
              <w:autoSpaceDE w:val="0"/>
              <w:autoSpaceDN w:val="0"/>
              <w:spacing w:before="52"/>
              <w:ind w:left="841"/>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 w:bidi="ar-SA"/>
              </w:rPr>
              <w:t>/</w:t>
            </w:r>
          </w:p>
        </w:tc>
        <w:tc>
          <w:tcPr>
            <w:tcW w:w="1746" w:type="dxa"/>
            <w:tcBorders>
              <w:top w:val="single" w:color="000000" w:sz="4" w:space="0"/>
              <w:left w:val="single" w:color="000000" w:sz="4" w:space="0"/>
              <w:bottom w:val="single" w:color="000000" w:sz="4" w:space="0"/>
              <w:right w:val="single" w:color="000000" w:sz="4" w:space="0"/>
            </w:tcBorders>
            <w:vAlign w:val="center"/>
          </w:tcPr>
          <w:p w14:paraId="468CD63E">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hint="eastAsia" w:ascii="Times New Roman" w:hAnsi="Times New Roman" w:eastAsia="宋体" w:cs="宋体"/>
                <w:sz w:val="18"/>
                <w:szCs w:val="22"/>
                <w:lang w:val="en-US" w:eastAsia="zh-CN" w:bidi="ar-SA"/>
              </w:rPr>
              <w:t>75</w:t>
            </w:r>
            <w:r>
              <w:rPr>
                <w:rFonts w:ascii="Times New Roman" w:hAnsi="Times New Roman" w:eastAsia="宋体" w:cs="宋体"/>
                <w:sz w:val="18"/>
                <w:szCs w:val="22"/>
                <w:lang w:val="en-US" w:eastAsia="en-US" w:bidi="ar-SA"/>
              </w:rPr>
              <w:t>～</w:t>
            </w:r>
            <w:r>
              <w:rPr>
                <w:rFonts w:hint="eastAsia" w:ascii="Times New Roman" w:hAnsi="Times New Roman" w:eastAsia="宋体" w:cs="宋体"/>
                <w:sz w:val="18"/>
                <w:szCs w:val="22"/>
                <w:lang w:val="en-US" w:eastAsia="zh-CN" w:bidi="ar-SA"/>
              </w:rPr>
              <w:t>130</w:t>
            </w:r>
          </w:p>
        </w:tc>
        <w:tc>
          <w:tcPr>
            <w:tcW w:w="1846" w:type="dxa"/>
            <w:tcBorders>
              <w:top w:val="single" w:color="000000" w:sz="4" w:space="0"/>
              <w:left w:val="single" w:color="000000" w:sz="4" w:space="0"/>
              <w:bottom w:val="single" w:color="000000" w:sz="4" w:space="0"/>
            </w:tcBorders>
            <w:vAlign w:val="center"/>
          </w:tcPr>
          <w:p w14:paraId="2C255077">
            <w:pPr>
              <w:widowControl w:val="0"/>
              <w:autoSpaceDE w:val="0"/>
              <w:autoSpaceDN w:val="0"/>
              <w:spacing w:before="52"/>
              <w:ind w:left="25"/>
              <w:jc w:val="center"/>
              <w:rPr>
                <w:rFonts w:ascii="Times New Roman" w:hAnsi="宋体" w:eastAsia="宋体" w:cs="宋体"/>
                <w:sz w:val="18"/>
                <w:szCs w:val="22"/>
                <w:lang w:val="en-US" w:eastAsia="en-US" w:bidi="ar-SA"/>
              </w:rPr>
            </w:pPr>
            <w:r>
              <w:rPr>
                <w:rFonts w:hint="eastAsia" w:ascii="宋体" w:hAnsi="宋体" w:eastAsia="宋体" w:cs="宋体"/>
                <w:sz w:val="18"/>
                <w:szCs w:val="22"/>
                <w:lang w:val="en-US" w:eastAsia="zh" w:bidi="ar-SA"/>
              </w:rPr>
              <w:t>/</w:t>
            </w:r>
          </w:p>
        </w:tc>
      </w:tr>
      <w:tr w14:paraId="6E338A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030" w:type="dxa"/>
            <w:tcBorders>
              <w:top w:val="single" w:color="000000" w:sz="4" w:space="0"/>
              <w:right w:val="single" w:color="000000" w:sz="4" w:space="0"/>
            </w:tcBorders>
            <w:vAlign w:val="center"/>
          </w:tcPr>
          <w:p w14:paraId="207AA7B9">
            <w:pPr>
              <w:widowControl w:val="0"/>
              <w:autoSpaceDE w:val="0"/>
              <w:autoSpaceDN w:val="0"/>
              <w:spacing w:before="40"/>
              <w:ind w:left="243"/>
              <w:jc w:val="center"/>
              <w:rPr>
                <w:rFonts w:ascii="宋体" w:hAnsi="宋体" w:eastAsia="宋体" w:cs="宋体"/>
                <w:sz w:val="18"/>
                <w:szCs w:val="22"/>
                <w:lang w:val="en-US" w:eastAsia="en-US" w:bidi="ar-SA"/>
              </w:rPr>
            </w:pPr>
            <w:r>
              <w:rPr>
                <w:rFonts w:hint="eastAsia" w:ascii="宋体" w:hAnsi="宋体" w:eastAsia="宋体" w:cs="宋体"/>
                <w:sz w:val="18"/>
                <w:szCs w:val="22"/>
                <w:lang w:val="en-US" w:eastAsia="zh-CN" w:bidi="ar-SA"/>
              </w:rPr>
              <w:t>钒</w:t>
            </w:r>
          </w:p>
        </w:tc>
        <w:tc>
          <w:tcPr>
            <w:tcW w:w="1221" w:type="dxa"/>
            <w:tcBorders>
              <w:top w:val="single" w:color="000000" w:sz="4" w:space="0"/>
              <w:left w:val="single" w:color="000000" w:sz="4" w:space="0"/>
              <w:right w:val="single" w:color="000000" w:sz="4" w:space="0"/>
            </w:tcBorders>
            <w:vAlign w:val="center"/>
          </w:tcPr>
          <w:p w14:paraId="2EEA8D90">
            <w:pPr>
              <w:widowControl w:val="0"/>
              <w:autoSpaceDE w:val="0"/>
              <w:autoSpaceDN w:val="0"/>
              <w:spacing w:before="52"/>
              <w:ind w:left="16"/>
              <w:jc w:val="center"/>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 w:bidi="ar-SA"/>
              </w:rPr>
              <w:t>/</w:t>
            </w:r>
          </w:p>
        </w:tc>
        <w:tc>
          <w:tcPr>
            <w:tcW w:w="1476" w:type="dxa"/>
            <w:tcBorders>
              <w:top w:val="single" w:color="000000" w:sz="4" w:space="0"/>
              <w:left w:val="single" w:color="000000" w:sz="4" w:space="0"/>
              <w:right w:val="single" w:color="000000" w:sz="4" w:space="0"/>
            </w:tcBorders>
            <w:vAlign w:val="center"/>
          </w:tcPr>
          <w:p w14:paraId="130311ED">
            <w:pPr>
              <w:widowControl w:val="0"/>
              <w:autoSpaceDE w:val="0"/>
              <w:autoSpaceDN w:val="0"/>
              <w:spacing w:before="52"/>
              <w:ind w:left="181" w:right="163"/>
              <w:jc w:val="center"/>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CN" w:bidi="ar-SA"/>
              </w:rPr>
              <w:t>30</w:t>
            </w:r>
          </w:p>
        </w:tc>
        <w:tc>
          <w:tcPr>
            <w:tcW w:w="1725" w:type="dxa"/>
            <w:tcBorders>
              <w:top w:val="single" w:color="000000" w:sz="4" w:space="0"/>
              <w:left w:val="single" w:color="000000" w:sz="4" w:space="0"/>
              <w:right w:val="single" w:color="000000" w:sz="4" w:space="0"/>
            </w:tcBorders>
            <w:vAlign w:val="center"/>
          </w:tcPr>
          <w:p w14:paraId="56809010">
            <w:pPr>
              <w:widowControl w:val="0"/>
              <w:autoSpaceDE w:val="0"/>
              <w:autoSpaceDN w:val="0"/>
              <w:spacing w:before="52"/>
              <w:ind w:left="841"/>
              <w:rPr>
                <w:rFonts w:ascii="Times New Roman" w:hAnsi="宋体" w:eastAsia="宋体" w:cs="宋体"/>
                <w:sz w:val="18"/>
                <w:szCs w:val="22"/>
                <w:lang w:val="en-US" w:eastAsia="en-US" w:bidi="ar-SA"/>
              </w:rPr>
            </w:pPr>
            <w:r>
              <w:rPr>
                <w:rFonts w:hint="eastAsia" w:ascii="Times New Roman" w:hAnsi="宋体" w:eastAsia="宋体" w:cs="宋体"/>
                <w:sz w:val="18"/>
                <w:szCs w:val="22"/>
                <w:lang w:val="en-US" w:eastAsia="zh" w:bidi="ar-SA"/>
              </w:rPr>
              <w:t>/</w:t>
            </w:r>
          </w:p>
        </w:tc>
        <w:tc>
          <w:tcPr>
            <w:tcW w:w="1746" w:type="dxa"/>
            <w:tcBorders>
              <w:top w:val="single" w:color="000000" w:sz="4" w:space="0"/>
              <w:left w:val="single" w:color="000000" w:sz="4" w:space="0"/>
              <w:right w:val="single" w:color="000000" w:sz="4" w:space="0"/>
            </w:tcBorders>
            <w:vAlign w:val="center"/>
          </w:tcPr>
          <w:p w14:paraId="1D7D74CE">
            <w:pPr>
              <w:widowControl w:val="0"/>
              <w:autoSpaceDE w:val="0"/>
              <w:autoSpaceDN w:val="0"/>
              <w:spacing w:before="40"/>
              <w:ind w:left="406" w:right="385"/>
              <w:jc w:val="center"/>
              <w:rPr>
                <w:rFonts w:ascii="Times New Roman" w:hAnsi="宋体" w:eastAsia="Times New Roman" w:cs="宋体"/>
                <w:sz w:val="18"/>
                <w:szCs w:val="22"/>
                <w:lang w:val="en-US" w:eastAsia="en-US" w:bidi="ar-SA"/>
              </w:rPr>
            </w:pPr>
            <w:r>
              <w:rPr>
                <w:rFonts w:hint="eastAsia" w:ascii="Times New Roman" w:hAnsi="Times New Roman" w:eastAsia="宋体" w:cs="宋体"/>
                <w:sz w:val="18"/>
                <w:szCs w:val="22"/>
                <w:lang w:val="en-US" w:eastAsia="zh-CN" w:bidi="ar-SA"/>
              </w:rPr>
              <w:t>70~125</w:t>
            </w:r>
          </w:p>
        </w:tc>
        <w:tc>
          <w:tcPr>
            <w:tcW w:w="1846" w:type="dxa"/>
            <w:tcBorders>
              <w:top w:val="single" w:color="000000" w:sz="4" w:space="0"/>
              <w:left w:val="single" w:color="000000" w:sz="4" w:space="0"/>
            </w:tcBorders>
            <w:vAlign w:val="center"/>
          </w:tcPr>
          <w:p w14:paraId="1D0B6AC5">
            <w:pPr>
              <w:widowControl w:val="0"/>
              <w:autoSpaceDE w:val="0"/>
              <w:autoSpaceDN w:val="0"/>
              <w:spacing w:before="52"/>
              <w:ind w:left="25"/>
              <w:jc w:val="center"/>
              <w:rPr>
                <w:rFonts w:ascii="Times New Roman" w:hAnsi="宋体" w:eastAsia="宋体" w:cs="宋体"/>
                <w:sz w:val="18"/>
                <w:szCs w:val="22"/>
                <w:lang w:val="en-US" w:eastAsia="en-US" w:bidi="ar-SA"/>
              </w:rPr>
            </w:pPr>
            <w:r>
              <w:rPr>
                <w:rFonts w:hint="eastAsia" w:ascii="宋体" w:hAnsi="宋体" w:eastAsia="宋体" w:cs="宋体"/>
                <w:sz w:val="18"/>
                <w:szCs w:val="22"/>
                <w:lang w:val="en-US" w:eastAsia="zh" w:bidi="ar-SA"/>
              </w:rPr>
              <w:t>/</w:t>
            </w:r>
          </w:p>
        </w:tc>
      </w:tr>
    </w:tbl>
    <w:p w14:paraId="22B28E07">
      <w:pPr>
        <w:jc w:val="center"/>
        <w:rPr>
          <w:rFonts w:ascii="Times New Roman"/>
          <w:sz w:val="18"/>
        </w:rPr>
        <w:sectPr>
          <w:pgSz w:w="11910" w:h="16840"/>
          <w:pgMar w:top="567" w:right="1134" w:bottom="1134" w:left="1417" w:header="1701" w:footer="1134" w:gutter="0"/>
          <w:cols w:space="0" w:num="1"/>
        </w:sectPr>
      </w:pPr>
    </w:p>
    <w:p w14:paraId="1F0998F2">
      <w:pPr>
        <w:widowControl w:val="0"/>
        <w:autoSpaceDE w:val="0"/>
        <w:autoSpaceDN w:val="0"/>
        <w:spacing w:before="11"/>
        <w:rPr>
          <w:rFonts w:ascii="黑体" w:hAnsi="宋体" w:eastAsia="宋体" w:cs="宋体"/>
          <w:sz w:val="15"/>
          <w:szCs w:val="21"/>
          <w:lang w:val="en-US" w:eastAsia="en-US" w:bidi="ar-SA"/>
        </w:rPr>
      </w:pPr>
    </w:p>
    <w:p w14:paraId="1B9F8DEC">
      <w:pPr>
        <w:widowControl w:val="0"/>
        <w:autoSpaceDE w:val="0"/>
        <w:autoSpaceDN w:val="0"/>
        <w:ind w:left="652"/>
        <w:rPr>
          <w:rFonts w:ascii="宋体" w:hAnsi="宋体" w:eastAsia="宋体" w:cs="宋体"/>
          <w:sz w:val="21"/>
          <w:szCs w:val="21"/>
          <w:lang w:val="en-US" w:eastAsia="zh-CN" w:bidi="ar-SA"/>
        </w:rPr>
      </w:pPr>
      <w:r>
        <w:rPr>
          <w:rFonts w:ascii="宋体" w:hAnsi="宋体" w:eastAsia="宋体" w:cs="宋体"/>
          <w:sz w:val="21"/>
          <w:szCs w:val="21"/>
          <w:lang w:val="en-US" w:eastAsia="zh-CN" w:bidi="ar-SA"/>
        </w:rPr>
        <w:t>土壤样品中其他检测项目分析测试精密度和准确度允许范围参见表A.2</w:t>
      </w:r>
      <w:r>
        <w:rPr>
          <w:rFonts w:hint="eastAsia" w:ascii="宋体" w:hAnsi="宋体" w:eastAsia="宋体" w:cs="宋体"/>
          <w:sz w:val="21"/>
          <w:szCs w:val="21"/>
          <w:lang w:val="en-US" w:eastAsia="zh-CN" w:bidi="ar-SA"/>
        </w:rPr>
        <w:t>、A.3。</w:t>
      </w:r>
    </w:p>
    <w:p w14:paraId="09A435C9">
      <w:pPr>
        <w:widowControl w:val="0"/>
        <w:autoSpaceDE w:val="0"/>
        <w:autoSpaceDN w:val="0"/>
        <w:spacing w:before="7"/>
        <w:rPr>
          <w:rFonts w:ascii="宋体" w:hAnsi="宋体" w:eastAsia="宋体" w:cs="宋体"/>
          <w:sz w:val="15"/>
          <w:szCs w:val="21"/>
          <w:lang w:val="en-US" w:eastAsia="zh-CN" w:bidi="ar-SA"/>
        </w:rPr>
      </w:pPr>
    </w:p>
    <w:p w14:paraId="4E7EA352">
      <w:pPr>
        <w:widowControl w:val="0"/>
        <w:autoSpaceDE w:val="0"/>
        <w:autoSpaceDN w:val="0"/>
        <w:ind w:left="1840"/>
        <w:rPr>
          <w:rFonts w:ascii="黑体" w:hAnsi="宋体" w:eastAsia="黑体" w:cs="宋体"/>
          <w:sz w:val="21"/>
          <w:szCs w:val="21"/>
          <w:lang w:val="en-US" w:eastAsia="zh-CN" w:bidi="ar-SA"/>
        </w:rPr>
      </w:pPr>
      <w:r>
        <w:rPr>
          <w:rFonts w:hint="eastAsia" w:ascii="黑体" w:hAnsi="宋体" w:eastAsia="黑体" w:cs="宋体"/>
          <w:sz w:val="21"/>
          <w:szCs w:val="21"/>
          <w:lang w:val="en-US" w:eastAsia="zh-CN" w:bidi="ar-SA"/>
        </w:rPr>
        <w:t>表 A.2 土壤样品中其他检测项目分析测试精密度和正确度允许范围</w:t>
      </w:r>
    </w:p>
    <w:tbl>
      <w:tblPr>
        <w:tblStyle w:val="14"/>
        <w:tblpPr w:leftFromText="180" w:rightFromText="180" w:vertAnchor="text" w:horzAnchor="margin" w:tblpY="82"/>
        <w:tblW w:w="957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26"/>
        <w:gridCol w:w="2302"/>
        <w:gridCol w:w="1914"/>
        <w:gridCol w:w="1914"/>
        <w:gridCol w:w="1914"/>
      </w:tblGrid>
      <w:tr w14:paraId="200AAD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1526" w:type="dxa"/>
            <w:vMerge w:val="restart"/>
            <w:tcBorders>
              <w:right w:val="single" w:color="000000" w:sz="4" w:space="0"/>
            </w:tcBorders>
          </w:tcPr>
          <w:p w14:paraId="20AF2362">
            <w:pPr>
              <w:widowControl w:val="0"/>
              <w:autoSpaceDE w:val="0"/>
              <w:autoSpaceDN w:val="0"/>
              <w:spacing w:before="6"/>
              <w:rPr>
                <w:rFonts w:ascii="黑体" w:hAnsi="宋体" w:eastAsia="宋体" w:cs="宋体"/>
                <w:sz w:val="16"/>
                <w:szCs w:val="22"/>
                <w:lang w:val="en-US" w:eastAsia="zh-CN" w:bidi="ar-SA"/>
              </w:rPr>
            </w:pPr>
          </w:p>
          <w:p w14:paraId="0E535E05">
            <w:pPr>
              <w:widowControl w:val="0"/>
              <w:autoSpaceDE w:val="0"/>
              <w:autoSpaceDN w:val="0"/>
              <w:ind w:left="401"/>
              <w:rPr>
                <w:rFonts w:ascii="宋体" w:hAnsi="宋体" w:eastAsia="宋体" w:cs="宋体"/>
                <w:sz w:val="18"/>
                <w:szCs w:val="22"/>
                <w:lang w:val="en-US" w:eastAsia="en-US" w:bidi="ar-SA"/>
              </w:rPr>
            </w:pPr>
            <w:r>
              <w:rPr>
                <w:rFonts w:ascii="宋体" w:hAnsi="宋体" w:eastAsia="宋体" w:cs="宋体"/>
                <w:sz w:val="18"/>
                <w:szCs w:val="22"/>
                <w:lang w:val="en-US" w:eastAsia="en-US" w:bidi="ar-SA"/>
              </w:rPr>
              <w:t>检测项目</w:t>
            </w:r>
          </w:p>
        </w:tc>
        <w:tc>
          <w:tcPr>
            <w:tcW w:w="2302" w:type="dxa"/>
            <w:vMerge w:val="restart"/>
            <w:tcBorders>
              <w:left w:val="single" w:color="000000" w:sz="4" w:space="0"/>
              <w:right w:val="single" w:color="000000" w:sz="4" w:space="0"/>
            </w:tcBorders>
          </w:tcPr>
          <w:p w14:paraId="15B84245">
            <w:pPr>
              <w:widowControl w:val="0"/>
              <w:autoSpaceDE w:val="0"/>
              <w:autoSpaceDN w:val="0"/>
              <w:spacing w:before="6"/>
              <w:rPr>
                <w:rFonts w:ascii="黑体" w:hAnsi="宋体" w:eastAsia="宋体" w:cs="宋体"/>
                <w:sz w:val="16"/>
                <w:szCs w:val="22"/>
                <w:lang w:val="en-US" w:eastAsia="en-US" w:bidi="ar-SA"/>
              </w:rPr>
            </w:pPr>
          </w:p>
          <w:p w14:paraId="1928D13A">
            <w:pPr>
              <w:widowControl w:val="0"/>
              <w:autoSpaceDE w:val="0"/>
              <w:autoSpaceDN w:val="0"/>
              <w:ind w:left="754" w:right="735"/>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含量范围</w:t>
            </w:r>
          </w:p>
        </w:tc>
        <w:tc>
          <w:tcPr>
            <w:tcW w:w="1914" w:type="dxa"/>
            <w:tcBorders>
              <w:left w:val="single" w:color="000000" w:sz="4" w:space="0"/>
              <w:bottom w:val="single" w:color="000000" w:sz="4" w:space="0"/>
              <w:right w:val="single" w:color="000000" w:sz="4" w:space="0"/>
            </w:tcBorders>
          </w:tcPr>
          <w:p w14:paraId="322D16C4">
            <w:pPr>
              <w:widowControl w:val="0"/>
              <w:autoSpaceDE w:val="0"/>
              <w:autoSpaceDN w:val="0"/>
              <w:spacing w:before="41"/>
              <w:ind w:left="371" w:right="351"/>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精密度</w:t>
            </w:r>
          </w:p>
        </w:tc>
        <w:tc>
          <w:tcPr>
            <w:tcW w:w="1914" w:type="dxa"/>
            <w:tcBorders>
              <w:left w:val="single" w:color="000000" w:sz="4" w:space="0"/>
              <w:bottom w:val="single" w:color="000000" w:sz="4" w:space="0"/>
              <w:right w:val="single" w:color="000000" w:sz="4" w:space="0"/>
            </w:tcBorders>
          </w:tcPr>
          <w:p w14:paraId="0DE2CABA">
            <w:pPr>
              <w:widowControl w:val="0"/>
              <w:autoSpaceDE w:val="0"/>
              <w:autoSpaceDN w:val="0"/>
              <w:spacing w:before="41"/>
              <w:ind w:left="370" w:right="352"/>
              <w:jc w:val="center"/>
              <w:rPr>
                <w:rFonts w:ascii="宋体" w:hAnsi="宋体" w:eastAsia="宋体" w:cs="宋体"/>
                <w:sz w:val="18"/>
                <w:szCs w:val="22"/>
                <w:lang w:val="en-US" w:eastAsia="en-US" w:bidi="ar-SA"/>
              </w:rPr>
            </w:pPr>
            <w:r>
              <w:rPr>
                <w:rFonts w:hint="eastAsia" w:ascii="宋体" w:hAnsi="宋体" w:eastAsia="宋体" w:cs="宋体"/>
                <w:sz w:val="18"/>
                <w:szCs w:val="22"/>
                <w:lang w:val="en-US" w:eastAsia="zh-CN" w:bidi="ar-SA"/>
              </w:rPr>
              <w:t>正</w:t>
            </w:r>
            <w:r>
              <w:rPr>
                <w:rFonts w:ascii="宋体" w:hAnsi="宋体" w:eastAsia="宋体" w:cs="宋体"/>
                <w:sz w:val="18"/>
                <w:szCs w:val="22"/>
                <w:lang w:val="en-US" w:eastAsia="en-US" w:bidi="ar-SA"/>
              </w:rPr>
              <w:t>确度</w:t>
            </w:r>
          </w:p>
        </w:tc>
        <w:tc>
          <w:tcPr>
            <w:tcW w:w="1914" w:type="dxa"/>
            <w:vMerge w:val="restart"/>
            <w:tcBorders>
              <w:left w:val="single" w:color="000000" w:sz="4" w:space="0"/>
            </w:tcBorders>
          </w:tcPr>
          <w:p w14:paraId="427FAF28">
            <w:pPr>
              <w:widowControl w:val="0"/>
              <w:autoSpaceDE w:val="0"/>
              <w:autoSpaceDN w:val="0"/>
              <w:spacing w:before="6"/>
              <w:rPr>
                <w:rFonts w:ascii="黑体" w:hAnsi="宋体" w:eastAsia="宋体" w:cs="宋体"/>
                <w:sz w:val="16"/>
                <w:szCs w:val="22"/>
                <w:lang w:val="en-US" w:eastAsia="en-US" w:bidi="ar-SA"/>
              </w:rPr>
            </w:pPr>
          </w:p>
          <w:p w14:paraId="0057623D">
            <w:pPr>
              <w:widowControl w:val="0"/>
              <w:autoSpaceDE w:val="0"/>
              <w:autoSpaceDN w:val="0"/>
              <w:ind w:left="332"/>
              <w:rPr>
                <w:rFonts w:ascii="宋体" w:hAnsi="宋体" w:eastAsia="宋体" w:cs="宋体"/>
                <w:sz w:val="18"/>
                <w:szCs w:val="22"/>
                <w:lang w:val="en-US" w:eastAsia="en-US" w:bidi="ar-SA"/>
              </w:rPr>
            </w:pPr>
            <w:r>
              <w:rPr>
                <w:rFonts w:ascii="宋体" w:hAnsi="宋体" w:eastAsia="宋体" w:cs="宋体"/>
                <w:sz w:val="18"/>
                <w:szCs w:val="22"/>
                <w:lang w:val="en-US" w:eastAsia="en-US" w:bidi="ar-SA"/>
              </w:rPr>
              <w:t>适用的分析方法</w:t>
            </w:r>
          </w:p>
        </w:tc>
      </w:tr>
      <w:tr w14:paraId="033BF1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26" w:type="dxa"/>
            <w:vMerge w:val="continue"/>
            <w:tcBorders>
              <w:top w:val="nil"/>
              <w:right w:val="single" w:color="000000" w:sz="4" w:space="0"/>
            </w:tcBorders>
          </w:tcPr>
          <w:p w14:paraId="6F177EB2">
            <w:pPr>
              <w:autoSpaceDE w:val="0"/>
              <w:autoSpaceDN w:val="0"/>
              <w:jc w:val="left"/>
              <w:rPr>
                <w:rFonts w:ascii="宋体" w:hAnsi="宋体" w:eastAsia="宋体" w:cs="宋体"/>
                <w:kern w:val="0"/>
                <w:sz w:val="2"/>
                <w:szCs w:val="2"/>
                <w:lang w:eastAsia="en-US"/>
              </w:rPr>
            </w:pPr>
          </w:p>
        </w:tc>
        <w:tc>
          <w:tcPr>
            <w:tcW w:w="2302" w:type="dxa"/>
            <w:vMerge w:val="continue"/>
            <w:tcBorders>
              <w:top w:val="nil"/>
              <w:left w:val="single" w:color="000000" w:sz="4" w:space="0"/>
              <w:right w:val="single" w:color="000000" w:sz="4" w:space="0"/>
            </w:tcBorders>
          </w:tcPr>
          <w:p w14:paraId="24C3EBFE">
            <w:pPr>
              <w:autoSpaceDE w:val="0"/>
              <w:autoSpaceDN w:val="0"/>
              <w:jc w:val="left"/>
              <w:rPr>
                <w:rFonts w:ascii="宋体" w:hAnsi="宋体" w:eastAsia="宋体" w:cs="宋体"/>
                <w:kern w:val="0"/>
                <w:sz w:val="2"/>
                <w:szCs w:val="2"/>
                <w:lang w:eastAsia="en-US"/>
              </w:rPr>
            </w:pPr>
          </w:p>
        </w:tc>
        <w:tc>
          <w:tcPr>
            <w:tcW w:w="1914" w:type="dxa"/>
            <w:tcBorders>
              <w:top w:val="single" w:color="000000" w:sz="4" w:space="0"/>
              <w:left w:val="single" w:color="000000" w:sz="4" w:space="0"/>
              <w:right w:val="single" w:color="000000" w:sz="4" w:space="0"/>
            </w:tcBorders>
          </w:tcPr>
          <w:p w14:paraId="69237AC8">
            <w:pPr>
              <w:widowControl w:val="0"/>
              <w:autoSpaceDE w:val="0"/>
              <w:autoSpaceDN w:val="0"/>
              <w:spacing w:before="57"/>
              <w:ind w:left="371" w:right="352"/>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 xml:space="preserve">相对偏差 </w:t>
            </w:r>
            <w:r>
              <w:rPr>
                <w:rFonts w:ascii="Times New Roman" w:hAnsi="宋体" w:eastAsia="Times New Roman" w:cs="宋体"/>
                <w:sz w:val="18"/>
                <w:szCs w:val="22"/>
                <w:lang w:val="en-US" w:eastAsia="en-US" w:bidi="ar-SA"/>
              </w:rPr>
              <w:t>%</w:t>
            </w:r>
          </w:p>
        </w:tc>
        <w:tc>
          <w:tcPr>
            <w:tcW w:w="1914" w:type="dxa"/>
            <w:tcBorders>
              <w:top w:val="single" w:color="000000" w:sz="4" w:space="0"/>
              <w:left w:val="single" w:color="000000" w:sz="4" w:space="0"/>
              <w:right w:val="single" w:color="000000" w:sz="4" w:space="0"/>
            </w:tcBorders>
          </w:tcPr>
          <w:p w14:paraId="722C5ECE">
            <w:pPr>
              <w:widowControl w:val="0"/>
              <w:autoSpaceDE w:val="0"/>
              <w:autoSpaceDN w:val="0"/>
              <w:spacing w:before="57"/>
              <w:ind w:left="371" w:right="352"/>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 xml:space="preserve">加标回收率 </w:t>
            </w:r>
            <w:r>
              <w:rPr>
                <w:rFonts w:ascii="Times New Roman" w:hAnsi="宋体" w:eastAsia="Times New Roman" w:cs="宋体"/>
                <w:sz w:val="18"/>
                <w:szCs w:val="22"/>
                <w:lang w:val="en-US" w:eastAsia="en-US" w:bidi="ar-SA"/>
              </w:rPr>
              <w:t>%</w:t>
            </w:r>
          </w:p>
        </w:tc>
        <w:tc>
          <w:tcPr>
            <w:tcW w:w="1914" w:type="dxa"/>
            <w:vMerge w:val="continue"/>
            <w:tcBorders>
              <w:top w:val="nil"/>
              <w:left w:val="single" w:color="000000" w:sz="4" w:space="0"/>
            </w:tcBorders>
          </w:tcPr>
          <w:p w14:paraId="307397FE">
            <w:pPr>
              <w:autoSpaceDE w:val="0"/>
              <w:autoSpaceDN w:val="0"/>
              <w:jc w:val="left"/>
              <w:rPr>
                <w:rFonts w:ascii="宋体" w:hAnsi="宋体" w:eastAsia="宋体" w:cs="宋体"/>
                <w:kern w:val="0"/>
                <w:sz w:val="2"/>
                <w:szCs w:val="2"/>
                <w:lang w:eastAsia="en-US"/>
              </w:rPr>
            </w:pPr>
          </w:p>
        </w:tc>
      </w:tr>
      <w:tr w14:paraId="497F87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3" w:hRule="atLeast"/>
        </w:trPr>
        <w:tc>
          <w:tcPr>
            <w:tcW w:w="1526" w:type="dxa"/>
            <w:tcBorders>
              <w:bottom w:val="single" w:color="000000" w:sz="4" w:space="0"/>
              <w:right w:val="single" w:color="000000" w:sz="4" w:space="0"/>
            </w:tcBorders>
          </w:tcPr>
          <w:p w14:paraId="2FD1433C">
            <w:pPr>
              <w:widowControl w:val="0"/>
              <w:autoSpaceDE w:val="0"/>
              <w:autoSpaceDN w:val="0"/>
              <w:spacing w:before="1"/>
              <w:rPr>
                <w:rFonts w:ascii="黑体" w:hAnsi="宋体" w:eastAsia="宋体" w:cs="宋体"/>
                <w:sz w:val="25"/>
                <w:szCs w:val="22"/>
                <w:lang w:val="en-US" w:eastAsia="en-US" w:bidi="ar-SA"/>
              </w:rPr>
            </w:pPr>
          </w:p>
          <w:p w14:paraId="725ACF91">
            <w:pPr>
              <w:widowControl w:val="0"/>
              <w:autoSpaceDE w:val="0"/>
              <w:autoSpaceDN w:val="0"/>
              <w:spacing w:before="1"/>
              <w:ind w:left="401"/>
              <w:rPr>
                <w:rFonts w:ascii="宋体" w:hAnsi="宋体" w:eastAsia="宋体" w:cs="宋体"/>
                <w:sz w:val="18"/>
                <w:szCs w:val="22"/>
                <w:lang w:val="en-US" w:eastAsia="en-US" w:bidi="ar-SA"/>
              </w:rPr>
            </w:pPr>
            <w:r>
              <w:rPr>
                <w:rFonts w:ascii="宋体" w:hAnsi="宋体" w:eastAsia="宋体" w:cs="宋体"/>
                <w:sz w:val="18"/>
                <w:szCs w:val="22"/>
                <w:lang w:val="en-US" w:eastAsia="en-US" w:bidi="ar-SA"/>
              </w:rPr>
              <w:t>无机元素</w:t>
            </w:r>
          </w:p>
        </w:tc>
        <w:tc>
          <w:tcPr>
            <w:tcW w:w="2302" w:type="dxa"/>
            <w:tcBorders>
              <w:left w:val="single" w:color="000000" w:sz="4" w:space="0"/>
              <w:bottom w:val="single" w:color="000000" w:sz="4" w:space="0"/>
              <w:right w:val="single" w:color="000000" w:sz="4" w:space="0"/>
            </w:tcBorders>
          </w:tcPr>
          <w:p w14:paraId="3EC3CFAD">
            <w:pPr>
              <w:widowControl w:val="0"/>
              <w:autoSpaceDE w:val="0"/>
              <w:autoSpaceDN w:val="0"/>
              <w:spacing w:before="175"/>
              <w:ind w:left="756" w:right="735"/>
              <w:jc w:val="center"/>
              <w:rPr>
                <w:rFonts w:ascii="Times New Roman" w:hAnsi="Times New Roman" w:eastAsia="宋体" w:cs="宋体"/>
                <w:sz w:val="18"/>
                <w:szCs w:val="22"/>
                <w:lang w:val="en-US" w:eastAsia="en-US" w:bidi="ar-SA"/>
              </w:rPr>
            </w:pPr>
            <w:r>
              <w:rPr>
                <w:rFonts w:ascii="Times New Roman" w:hAnsi="Times New Roman" w:eastAsia="宋体" w:cs="宋体"/>
                <w:sz w:val="18"/>
                <w:szCs w:val="22"/>
                <w:lang w:val="en-US" w:eastAsia="en-US" w:bidi="ar-SA"/>
              </w:rPr>
              <w:t>≤10MDL</w:t>
            </w:r>
          </w:p>
          <w:p w14:paraId="296363A3">
            <w:pPr>
              <w:widowControl w:val="0"/>
              <w:autoSpaceDE w:val="0"/>
              <w:autoSpaceDN w:val="0"/>
              <w:spacing w:before="96"/>
              <w:ind w:left="756" w:right="735"/>
              <w:jc w:val="center"/>
              <w:rPr>
                <w:rFonts w:ascii="Times New Roman" w:hAnsi="宋体" w:eastAsia="Times New Roman" w:cs="宋体"/>
                <w:sz w:val="18"/>
                <w:szCs w:val="22"/>
                <w:lang w:val="en-US" w:eastAsia="en-US" w:bidi="ar-SA"/>
              </w:rPr>
            </w:pP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10MDL</w:t>
            </w:r>
          </w:p>
        </w:tc>
        <w:tc>
          <w:tcPr>
            <w:tcW w:w="1914" w:type="dxa"/>
            <w:tcBorders>
              <w:left w:val="single" w:color="000000" w:sz="4" w:space="0"/>
              <w:bottom w:val="single" w:color="000000" w:sz="4" w:space="0"/>
              <w:right w:val="single" w:color="000000" w:sz="4" w:space="0"/>
            </w:tcBorders>
          </w:tcPr>
          <w:p w14:paraId="10F09117">
            <w:pPr>
              <w:widowControl w:val="0"/>
              <w:autoSpaceDE w:val="0"/>
              <w:autoSpaceDN w:val="0"/>
              <w:spacing w:before="175"/>
              <w:ind w:left="371" w:right="350"/>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30</w:t>
            </w:r>
          </w:p>
          <w:p w14:paraId="002FC875">
            <w:pPr>
              <w:widowControl w:val="0"/>
              <w:autoSpaceDE w:val="0"/>
              <w:autoSpaceDN w:val="0"/>
              <w:spacing w:before="105"/>
              <w:ind w:left="371" w:right="350"/>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20</w:t>
            </w:r>
          </w:p>
        </w:tc>
        <w:tc>
          <w:tcPr>
            <w:tcW w:w="1914" w:type="dxa"/>
            <w:tcBorders>
              <w:left w:val="single" w:color="000000" w:sz="4" w:space="0"/>
              <w:bottom w:val="single" w:color="000000" w:sz="4" w:space="0"/>
              <w:right w:val="single" w:color="000000" w:sz="4" w:space="0"/>
            </w:tcBorders>
          </w:tcPr>
          <w:p w14:paraId="76CE0A70">
            <w:pPr>
              <w:widowControl w:val="0"/>
              <w:autoSpaceDE w:val="0"/>
              <w:autoSpaceDN w:val="0"/>
              <w:spacing w:before="175"/>
              <w:ind w:left="368" w:right="352"/>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80-120</w:t>
            </w:r>
          </w:p>
          <w:p w14:paraId="40AAB3DC">
            <w:pPr>
              <w:widowControl w:val="0"/>
              <w:autoSpaceDE w:val="0"/>
              <w:autoSpaceDN w:val="0"/>
              <w:spacing w:before="105"/>
              <w:ind w:left="368" w:right="352"/>
              <w:jc w:val="center"/>
              <w:rPr>
                <w:rFonts w:ascii="Times New Roman" w:hAnsi="宋体" w:eastAsia="宋体" w:cs="宋体"/>
                <w:sz w:val="18"/>
                <w:szCs w:val="22"/>
                <w:lang w:val="en-US" w:eastAsia="en-US" w:bidi="ar-SA"/>
              </w:rPr>
            </w:pPr>
            <w:r>
              <w:rPr>
                <w:rFonts w:ascii="Times New Roman" w:hAnsi="宋体" w:eastAsia="宋体" w:cs="宋体"/>
                <w:sz w:val="18"/>
                <w:szCs w:val="22"/>
                <w:lang w:val="en-US" w:eastAsia="en-US" w:bidi="ar-SA"/>
              </w:rPr>
              <w:t>90-110</w:t>
            </w:r>
          </w:p>
        </w:tc>
        <w:tc>
          <w:tcPr>
            <w:tcW w:w="1914" w:type="dxa"/>
            <w:tcBorders>
              <w:left w:val="single" w:color="000000" w:sz="4" w:space="0"/>
              <w:bottom w:val="single" w:color="000000" w:sz="4" w:space="0"/>
            </w:tcBorders>
          </w:tcPr>
          <w:p w14:paraId="0020A8FC">
            <w:pPr>
              <w:widowControl w:val="0"/>
              <w:autoSpaceDE w:val="0"/>
              <w:autoSpaceDN w:val="0"/>
              <w:spacing w:before="166" w:line="333" w:lineRule="auto"/>
              <w:ind w:left="663" w:right="232" w:hanging="399"/>
              <w:rPr>
                <w:rFonts w:ascii="Times New Roman" w:hAnsi="宋体" w:eastAsia="Times New Roman" w:cs="宋体"/>
                <w:sz w:val="18"/>
                <w:szCs w:val="22"/>
                <w:lang w:val="en-US" w:eastAsia="en-US" w:bidi="ar-SA"/>
              </w:rPr>
            </w:pPr>
            <w:r>
              <w:rPr>
                <w:rFonts w:ascii="Times New Roman" w:hAnsi="宋体" w:eastAsia="Times New Roman" w:cs="宋体"/>
                <w:sz w:val="18"/>
                <w:szCs w:val="22"/>
                <w:lang w:val="en-US" w:eastAsia="en-US" w:bidi="ar-SA"/>
              </w:rPr>
              <w:t>AAS</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ICP-AES</w:t>
            </w:r>
            <w:r>
              <w:rPr>
                <w:rFonts w:ascii="宋体" w:hAnsi="宋体" w:eastAsia="宋体" w:cs="宋体"/>
                <w:sz w:val="18"/>
                <w:szCs w:val="22"/>
                <w:lang w:val="en-US" w:eastAsia="en-US" w:bidi="ar-SA"/>
              </w:rPr>
              <w:t>、</w:t>
            </w:r>
            <w:r>
              <w:rPr>
                <w:rFonts w:ascii="Times New Roman" w:hAnsi="宋体" w:eastAsia="Times New Roman" w:cs="宋体"/>
                <w:sz w:val="18"/>
                <w:szCs w:val="22"/>
                <w:lang w:val="en-US" w:eastAsia="en-US" w:bidi="ar-SA"/>
              </w:rPr>
              <w:t>ICP-MS</w:t>
            </w:r>
          </w:p>
        </w:tc>
      </w:tr>
      <w:tr w14:paraId="0950B2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9570" w:type="dxa"/>
            <w:gridSpan w:val="5"/>
            <w:tcBorders>
              <w:top w:val="single" w:color="000000" w:sz="4" w:space="0"/>
            </w:tcBorders>
          </w:tcPr>
          <w:p w14:paraId="6F56DF44">
            <w:pPr>
              <w:widowControl w:val="0"/>
              <w:autoSpaceDE w:val="0"/>
              <w:autoSpaceDN w:val="0"/>
              <w:spacing w:before="118"/>
              <w:ind w:left="466"/>
              <w:rPr>
                <w:rFonts w:ascii="宋体" w:hAnsi="宋体" w:eastAsia="宋体" w:cs="宋体"/>
                <w:sz w:val="18"/>
                <w:szCs w:val="22"/>
                <w:lang w:val="en-US" w:eastAsia="zh-CN" w:bidi="ar-SA"/>
              </w:rPr>
            </w:pPr>
            <w:r>
              <w:rPr>
                <w:rFonts w:hint="eastAsia" w:ascii="黑体" w:hAnsi="黑体" w:eastAsia="黑体" w:cs="宋体"/>
                <w:sz w:val="18"/>
                <w:szCs w:val="22"/>
                <w:lang w:val="en-US" w:eastAsia="zh-CN" w:bidi="ar-SA"/>
              </w:rPr>
              <w:t>注 1：</w:t>
            </w:r>
            <w:r>
              <w:rPr>
                <w:rFonts w:ascii="Times New Roman" w:hAnsi="Times New Roman" w:eastAsia="Times New Roman" w:cs="宋体"/>
                <w:sz w:val="18"/>
                <w:szCs w:val="22"/>
                <w:lang w:val="en-US" w:eastAsia="zh-CN" w:bidi="ar-SA"/>
              </w:rPr>
              <w:t>MDL</w:t>
            </w:r>
            <w:r>
              <w:rPr>
                <w:rFonts w:ascii="宋体" w:hAnsi="宋体" w:eastAsia="宋体" w:cs="宋体"/>
                <w:sz w:val="18"/>
                <w:szCs w:val="22"/>
                <w:lang w:val="en-US" w:eastAsia="zh-CN" w:bidi="ar-SA"/>
              </w:rPr>
              <w:t>—方法检出限；</w:t>
            </w:r>
          </w:p>
          <w:p w14:paraId="059945B8">
            <w:pPr>
              <w:widowControl w:val="0"/>
              <w:autoSpaceDE w:val="0"/>
              <w:autoSpaceDN w:val="0"/>
              <w:spacing w:before="6"/>
              <w:rPr>
                <w:rFonts w:ascii="黑体" w:hAnsi="宋体" w:eastAsia="宋体" w:cs="宋体"/>
                <w:sz w:val="18"/>
                <w:szCs w:val="22"/>
                <w:lang w:val="en-US" w:eastAsia="zh-CN" w:bidi="ar-SA"/>
              </w:rPr>
            </w:pPr>
          </w:p>
          <w:p w14:paraId="1738D8F9">
            <w:pPr>
              <w:widowControl w:val="0"/>
              <w:autoSpaceDE w:val="0"/>
              <w:autoSpaceDN w:val="0"/>
              <w:spacing w:before="1"/>
              <w:ind w:left="466"/>
              <w:rPr>
                <w:rFonts w:ascii="宋体" w:hAnsi="宋体" w:eastAsia="宋体" w:cs="宋体"/>
                <w:sz w:val="18"/>
                <w:szCs w:val="22"/>
                <w:lang w:val="en-US" w:eastAsia="zh-CN" w:bidi="ar-SA"/>
              </w:rPr>
            </w:pPr>
            <w:r>
              <w:rPr>
                <w:rFonts w:hint="eastAsia" w:ascii="黑体" w:hAnsi="黑体" w:eastAsia="黑体" w:cs="宋体"/>
                <w:sz w:val="18"/>
                <w:szCs w:val="22"/>
                <w:lang w:val="en-US" w:eastAsia="zh-CN" w:bidi="ar-SA"/>
              </w:rPr>
              <w:t>注 2：</w:t>
            </w:r>
            <w:r>
              <w:rPr>
                <w:rFonts w:ascii="Times New Roman" w:hAnsi="Times New Roman" w:eastAsia="Times New Roman" w:cs="宋体"/>
                <w:sz w:val="18"/>
                <w:szCs w:val="22"/>
                <w:lang w:val="en-US" w:eastAsia="zh-CN" w:bidi="ar-SA"/>
              </w:rPr>
              <w:t>AAS</w:t>
            </w:r>
            <w:r>
              <w:rPr>
                <w:rFonts w:ascii="宋体" w:hAnsi="宋体" w:eastAsia="宋体" w:cs="宋体"/>
                <w:sz w:val="18"/>
                <w:szCs w:val="22"/>
                <w:lang w:val="en-US" w:eastAsia="zh-CN" w:bidi="ar-SA"/>
              </w:rPr>
              <w:t>—原子吸收光谱法；</w:t>
            </w:r>
          </w:p>
          <w:p w14:paraId="7EECD3C7">
            <w:pPr>
              <w:widowControl w:val="0"/>
              <w:autoSpaceDE w:val="0"/>
              <w:autoSpaceDN w:val="0"/>
              <w:spacing w:line="470" w:lineRule="atLeast"/>
              <w:ind w:left="466" w:right="5161"/>
              <w:rPr>
                <w:rFonts w:ascii="宋体" w:hAnsi="宋体" w:eastAsia="宋体" w:cs="宋体"/>
                <w:sz w:val="18"/>
                <w:szCs w:val="22"/>
                <w:lang w:val="en-US" w:eastAsia="zh-CN" w:bidi="ar-SA"/>
              </w:rPr>
            </w:pPr>
            <w:r>
              <w:rPr>
                <w:rFonts w:hint="eastAsia" w:ascii="黑体" w:hAnsi="黑体" w:eastAsia="黑体" w:cs="宋体"/>
                <w:sz w:val="18"/>
                <w:szCs w:val="22"/>
                <w:lang w:val="en-US" w:eastAsia="zh-CN" w:bidi="ar-SA"/>
              </w:rPr>
              <w:t>注 3：</w:t>
            </w:r>
            <w:r>
              <w:rPr>
                <w:rFonts w:ascii="Times New Roman" w:hAnsi="Times New Roman" w:eastAsia="Times New Roman" w:cs="宋体"/>
                <w:sz w:val="18"/>
                <w:szCs w:val="22"/>
                <w:lang w:val="en-US" w:eastAsia="zh-CN" w:bidi="ar-SA"/>
              </w:rPr>
              <w:t>ICP-AES</w:t>
            </w:r>
            <w:r>
              <w:rPr>
                <w:rFonts w:ascii="宋体" w:hAnsi="宋体" w:eastAsia="宋体" w:cs="宋体"/>
                <w:sz w:val="18"/>
                <w:szCs w:val="22"/>
                <w:lang w:val="en-US" w:eastAsia="zh-CN" w:bidi="ar-SA"/>
              </w:rPr>
              <w:t xml:space="preserve">—电感耦合等离子体发射光谱法； </w:t>
            </w:r>
            <w:r>
              <w:rPr>
                <w:rFonts w:hint="eastAsia" w:ascii="黑体" w:hAnsi="黑体" w:eastAsia="黑体" w:cs="宋体"/>
                <w:sz w:val="18"/>
                <w:szCs w:val="22"/>
                <w:lang w:val="en-US" w:eastAsia="zh-CN" w:bidi="ar-SA"/>
              </w:rPr>
              <w:t>注 4：</w:t>
            </w:r>
            <w:r>
              <w:rPr>
                <w:rFonts w:ascii="Times New Roman" w:hAnsi="Times New Roman" w:eastAsia="Times New Roman" w:cs="宋体"/>
                <w:sz w:val="18"/>
                <w:szCs w:val="22"/>
                <w:lang w:val="en-US" w:eastAsia="zh-CN" w:bidi="ar-SA"/>
              </w:rPr>
              <w:t>ICP-MS</w:t>
            </w:r>
            <w:r>
              <w:rPr>
                <w:rFonts w:ascii="宋体" w:hAnsi="宋体" w:eastAsia="宋体" w:cs="宋体"/>
                <w:sz w:val="18"/>
                <w:szCs w:val="22"/>
                <w:lang w:val="en-US" w:eastAsia="zh-CN" w:bidi="ar-SA"/>
              </w:rPr>
              <w:t>—电感耦合等离子体质谱法。</w:t>
            </w:r>
          </w:p>
        </w:tc>
      </w:tr>
    </w:tbl>
    <w:p w14:paraId="2B6B7CF6">
      <w:pPr>
        <w:widowControl w:val="0"/>
        <w:autoSpaceDE w:val="0"/>
        <w:autoSpaceDN w:val="0"/>
        <w:ind w:left="1840"/>
        <w:rPr>
          <w:rFonts w:ascii="黑体" w:hAnsi="宋体" w:eastAsia="黑体" w:cs="宋体"/>
          <w:sz w:val="21"/>
          <w:szCs w:val="21"/>
          <w:lang w:val="en-US" w:eastAsia="zh-CN" w:bidi="ar-SA"/>
        </w:rPr>
      </w:pPr>
    </w:p>
    <w:p w14:paraId="61164911">
      <w:pPr>
        <w:widowControl w:val="0"/>
        <w:autoSpaceDE w:val="0"/>
        <w:autoSpaceDN w:val="0"/>
        <w:ind w:left="1840"/>
        <w:rPr>
          <w:rFonts w:ascii="黑体" w:hAnsi="宋体" w:eastAsia="黑体" w:cs="宋体"/>
          <w:sz w:val="21"/>
          <w:szCs w:val="21"/>
          <w:lang w:val="en-US" w:eastAsia="zh-CN" w:bidi="ar-SA"/>
        </w:rPr>
      </w:pPr>
    </w:p>
    <w:p w14:paraId="52CCBC12">
      <w:pPr>
        <w:widowControl w:val="0"/>
        <w:autoSpaceDE w:val="0"/>
        <w:autoSpaceDN w:val="0"/>
        <w:ind w:left="1840"/>
        <w:rPr>
          <w:rFonts w:ascii="黑体" w:hAnsi="宋体" w:eastAsia="黑体" w:cs="宋体"/>
          <w:sz w:val="21"/>
          <w:szCs w:val="21"/>
          <w:lang w:val="en-US" w:eastAsia="zh-CN" w:bidi="ar-SA"/>
        </w:rPr>
      </w:pPr>
      <w:r>
        <w:rPr>
          <w:rFonts w:hint="eastAsia" w:ascii="黑体" w:hAnsi="宋体" w:eastAsia="黑体" w:cs="宋体"/>
          <w:sz w:val="21"/>
          <w:szCs w:val="21"/>
          <w:lang w:val="en-US" w:eastAsia="zh-CN" w:bidi="ar-SA"/>
        </w:rPr>
        <w:t>表 A.3 土壤样品现场检测项目分析测试精密度和正确度允许范围</w:t>
      </w:r>
    </w:p>
    <w:tbl>
      <w:tblPr>
        <w:tblStyle w:val="10"/>
        <w:tblW w:w="9386" w:type="dxa"/>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963"/>
        <w:gridCol w:w="1475"/>
        <w:gridCol w:w="1687"/>
        <w:gridCol w:w="1300"/>
        <w:gridCol w:w="1724"/>
      </w:tblGrid>
      <w:tr w14:paraId="3A27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37" w:type="dxa"/>
            <w:vMerge w:val="restart"/>
            <w:vAlign w:val="center"/>
          </w:tcPr>
          <w:p w14:paraId="4559F524">
            <w:pPr>
              <w:widowControl w:val="0"/>
              <w:autoSpaceDE w:val="0"/>
              <w:autoSpaceDN w:val="0"/>
              <w:jc w:val="center"/>
              <w:rPr>
                <w:rFonts w:ascii="宋体" w:hAnsi="宋体" w:eastAsia="宋体" w:cs="宋体"/>
                <w:sz w:val="18"/>
                <w:szCs w:val="22"/>
                <w:lang w:val="en-US" w:eastAsia="zh-CN" w:bidi="ar-SA"/>
              </w:rPr>
            </w:pPr>
            <w:r>
              <w:rPr>
                <w:rFonts w:hint="eastAsia" w:ascii="宋体" w:hAnsi="宋体" w:eastAsia="宋体" w:cs="宋体"/>
                <w:sz w:val="18"/>
                <w:szCs w:val="22"/>
                <w:lang w:val="en-US" w:eastAsia="zh-CN" w:bidi="ar-SA"/>
              </w:rPr>
              <w:t>检测项目</w:t>
            </w:r>
          </w:p>
        </w:tc>
        <w:tc>
          <w:tcPr>
            <w:tcW w:w="3438" w:type="dxa"/>
            <w:gridSpan w:val="2"/>
            <w:vMerge w:val="restart"/>
            <w:vAlign w:val="center"/>
          </w:tcPr>
          <w:p w14:paraId="45517CCE">
            <w:pPr>
              <w:widowControl w:val="0"/>
              <w:autoSpaceDE w:val="0"/>
              <w:autoSpaceDN w:val="0"/>
              <w:jc w:val="center"/>
              <w:rPr>
                <w:rFonts w:ascii="宋体" w:hAnsi="宋体" w:eastAsia="宋体" w:cs="宋体"/>
                <w:sz w:val="18"/>
                <w:szCs w:val="22"/>
                <w:lang w:val="en-US" w:eastAsia="zh-CN" w:bidi="ar-SA"/>
              </w:rPr>
            </w:pPr>
            <w:r>
              <w:rPr>
                <w:rFonts w:hint="eastAsia" w:ascii="宋体" w:hAnsi="宋体" w:eastAsia="宋体" w:cs="宋体"/>
                <w:sz w:val="18"/>
                <w:szCs w:val="22"/>
                <w:lang w:val="en-US" w:eastAsia="zh-CN" w:bidi="ar-SA"/>
              </w:rPr>
              <w:t>精密度</w:t>
            </w:r>
          </w:p>
        </w:tc>
        <w:tc>
          <w:tcPr>
            <w:tcW w:w="2987" w:type="dxa"/>
            <w:gridSpan w:val="2"/>
            <w:vAlign w:val="center"/>
          </w:tcPr>
          <w:p w14:paraId="069490F4">
            <w:pPr>
              <w:widowControl w:val="0"/>
              <w:autoSpaceDE w:val="0"/>
              <w:autoSpaceDN w:val="0"/>
              <w:jc w:val="center"/>
              <w:rPr>
                <w:rFonts w:ascii="宋体" w:hAnsi="宋体" w:eastAsia="宋体" w:cs="宋体"/>
                <w:sz w:val="18"/>
                <w:szCs w:val="22"/>
                <w:lang w:val="en-US" w:eastAsia="zh-CN" w:bidi="ar-SA"/>
              </w:rPr>
            </w:pPr>
            <w:r>
              <w:rPr>
                <w:rFonts w:hint="eastAsia" w:ascii="宋体" w:hAnsi="宋体" w:eastAsia="宋体" w:cs="宋体"/>
                <w:sz w:val="18"/>
                <w:szCs w:val="22"/>
                <w:lang w:val="en-US" w:eastAsia="zh-CN" w:bidi="ar-SA"/>
              </w:rPr>
              <w:t>正确度</w:t>
            </w:r>
          </w:p>
        </w:tc>
        <w:tc>
          <w:tcPr>
            <w:tcW w:w="1724" w:type="dxa"/>
            <w:vMerge w:val="restart"/>
            <w:vAlign w:val="center"/>
          </w:tcPr>
          <w:p w14:paraId="2BA8BDEF">
            <w:pPr>
              <w:widowControl w:val="0"/>
              <w:autoSpaceDE w:val="0"/>
              <w:autoSpaceDN w:val="0"/>
              <w:jc w:val="center"/>
              <w:rPr>
                <w:rFonts w:ascii="宋体" w:hAnsi="宋体" w:eastAsia="宋体" w:cs="宋体"/>
                <w:sz w:val="18"/>
                <w:szCs w:val="22"/>
                <w:lang w:val="en-US" w:eastAsia="zh-CN" w:bidi="ar-SA"/>
              </w:rPr>
            </w:pPr>
            <w:r>
              <w:rPr>
                <w:rFonts w:hint="eastAsia" w:ascii="宋体" w:hAnsi="宋体" w:eastAsia="宋体" w:cs="宋体"/>
                <w:sz w:val="18"/>
                <w:szCs w:val="22"/>
                <w:lang w:val="en-US" w:eastAsia="zh-CN" w:bidi="ar-SA"/>
              </w:rPr>
              <w:t>适用的分析方法</w:t>
            </w:r>
          </w:p>
        </w:tc>
      </w:tr>
      <w:tr w14:paraId="7CCB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37" w:type="dxa"/>
            <w:vMerge w:val="continue"/>
            <w:vAlign w:val="center"/>
          </w:tcPr>
          <w:p w14:paraId="37BD293F">
            <w:pPr>
              <w:widowControl w:val="0"/>
              <w:autoSpaceDE w:val="0"/>
              <w:autoSpaceDN w:val="0"/>
              <w:jc w:val="center"/>
              <w:rPr>
                <w:rFonts w:ascii="宋体" w:hAnsi="宋体" w:eastAsia="宋体" w:cs="宋体"/>
                <w:sz w:val="22"/>
                <w:szCs w:val="22"/>
                <w:lang w:val="en-US" w:eastAsia="en-US" w:bidi="ar-SA"/>
              </w:rPr>
            </w:pPr>
          </w:p>
        </w:tc>
        <w:tc>
          <w:tcPr>
            <w:tcW w:w="3438" w:type="dxa"/>
            <w:gridSpan w:val="2"/>
            <w:vMerge w:val="continue"/>
            <w:vAlign w:val="center"/>
          </w:tcPr>
          <w:p w14:paraId="1E00D960">
            <w:pPr>
              <w:widowControl w:val="0"/>
              <w:autoSpaceDE w:val="0"/>
              <w:autoSpaceDN w:val="0"/>
              <w:jc w:val="center"/>
              <w:rPr>
                <w:rFonts w:ascii="宋体" w:hAnsi="宋体" w:eastAsia="宋体" w:cs="宋体"/>
                <w:sz w:val="22"/>
                <w:szCs w:val="22"/>
                <w:lang w:val="en-US" w:eastAsia="en-US" w:bidi="ar-SA"/>
              </w:rPr>
            </w:pPr>
          </w:p>
        </w:tc>
        <w:tc>
          <w:tcPr>
            <w:tcW w:w="2987" w:type="dxa"/>
            <w:gridSpan w:val="2"/>
            <w:vAlign w:val="center"/>
          </w:tcPr>
          <w:p w14:paraId="306F65AB">
            <w:pPr>
              <w:widowControl w:val="0"/>
              <w:autoSpaceDE w:val="0"/>
              <w:autoSpaceDN w:val="0"/>
              <w:jc w:val="center"/>
              <w:rPr>
                <w:rFonts w:ascii="宋体" w:hAnsi="宋体" w:eastAsia="宋体" w:cs="宋体"/>
                <w:sz w:val="18"/>
                <w:szCs w:val="22"/>
                <w:lang w:val="en-US" w:eastAsia="zh-CN" w:bidi="ar-SA"/>
              </w:rPr>
            </w:pPr>
            <w:r>
              <w:rPr>
                <w:rFonts w:hint="eastAsia" w:ascii="宋体" w:hAnsi="宋体" w:eastAsia="宋体" w:cs="宋体"/>
                <w:sz w:val="18"/>
                <w:szCs w:val="22"/>
                <w:lang w:val="en-US" w:eastAsia="zh-CN" w:bidi="ar-SA"/>
              </w:rPr>
              <w:t>△lgC(GB</w:t>
            </w:r>
            <w:r>
              <w:rPr>
                <w:rFonts w:hint="eastAsia" w:ascii="宋体" w:hAnsi="宋体" w:eastAsia="宋体" w:cs="宋体"/>
                <w:sz w:val="18"/>
                <w:szCs w:val="22"/>
                <w:lang w:val="en-US" w:eastAsia="zh" w:bidi="ar-SA"/>
              </w:rPr>
              <w:t>W</w:t>
            </w:r>
            <w:r>
              <w:rPr>
                <w:rFonts w:hint="eastAsia" w:ascii="宋体" w:hAnsi="宋体" w:eastAsia="宋体" w:cs="宋体"/>
                <w:sz w:val="18"/>
                <w:szCs w:val="22"/>
                <w:lang w:val="en-US" w:eastAsia="zh-CN" w:bidi="ar-SA"/>
              </w:rPr>
              <w:t>)=</w:t>
            </w:r>
            <w:r>
              <w:rPr>
                <w:rFonts w:hint="eastAsia" w:ascii="仿宋" w:hAnsi="仿宋" w:eastAsia="仿宋" w:cs="仿宋"/>
                <w:sz w:val="18"/>
                <w:szCs w:val="22"/>
                <w:lang w:val="en-US" w:eastAsia="zh-CN" w:bidi="ar-SA"/>
              </w:rPr>
              <w:t>∣</w:t>
            </w:r>
            <w:r>
              <w:rPr>
                <w:rFonts w:hint="eastAsia" w:ascii="宋体" w:hAnsi="宋体" w:eastAsia="宋体" w:cs="宋体"/>
                <w:sz w:val="18"/>
                <w:szCs w:val="22"/>
                <w:lang w:val="en-US" w:eastAsia="zh-CN" w:bidi="ar-SA"/>
              </w:rPr>
              <w:t>lgC</w:t>
            </w:r>
            <w:r>
              <w:rPr>
                <w:rFonts w:ascii="宋体" w:hAnsi="宋体" w:eastAsia="宋体" w:cs="宋体"/>
                <w:sz w:val="18"/>
                <w:szCs w:val="22"/>
                <w:vertAlign w:val="subscript"/>
                <w:lang w:val="en-US" w:eastAsia="zh-CN" w:bidi="ar-SA"/>
              </w:rPr>
              <w:t>i</w:t>
            </w:r>
            <w:r>
              <w:rPr>
                <w:rFonts w:hint="eastAsia" w:ascii="宋体" w:hAnsi="宋体" w:eastAsia="宋体" w:cs="宋体"/>
                <w:sz w:val="18"/>
                <w:szCs w:val="22"/>
                <w:lang w:val="en-US" w:eastAsia="zh-CN" w:bidi="ar-SA"/>
              </w:rPr>
              <w:t>-lgC</w:t>
            </w:r>
            <w:r>
              <w:rPr>
                <w:rFonts w:ascii="宋体" w:hAnsi="宋体" w:eastAsia="宋体" w:cs="宋体"/>
                <w:sz w:val="18"/>
                <w:szCs w:val="22"/>
                <w:vertAlign w:val="subscript"/>
                <w:lang w:val="en-US" w:eastAsia="zh-CN" w:bidi="ar-SA"/>
              </w:rPr>
              <w:t>s</w:t>
            </w:r>
            <w:r>
              <w:rPr>
                <w:rFonts w:hint="eastAsia" w:ascii="仿宋" w:hAnsi="仿宋" w:eastAsia="仿宋" w:cs="仿宋"/>
                <w:sz w:val="18"/>
                <w:szCs w:val="22"/>
                <w:lang w:val="en-US" w:eastAsia="zh-CN" w:bidi="ar-SA"/>
              </w:rPr>
              <w:t>∣</w:t>
            </w:r>
          </w:p>
        </w:tc>
        <w:tc>
          <w:tcPr>
            <w:tcW w:w="1724" w:type="dxa"/>
            <w:vMerge w:val="continue"/>
            <w:vAlign w:val="center"/>
          </w:tcPr>
          <w:p w14:paraId="72A8DD72">
            <w:pPr>
              <w:widowControl w:val="0"/>
              <w:autoSpaceDE w:val="0"/>
              <w:autoSpaceDN w:val="0"/>
              <w:jc w:val="center"/>
              <w:rPr>
                <w:rFonts w:ascii="宋体" w:hAnsi="宋体" w:eastAsia="宋体" w:cs="宋体"/>
                <w:sz w:val="18"/>
                <w:szCs w:val="22"/>
                <w:lang w:val="en-US" w:eastAsia="zh-CN" w:bidi="ar-SA"/>
              </w:rPr>
            </w:pPr>
          </w:p>
        </w:tc>
      </w:tr>
      <w:tr w14:paraId="2226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7" w:type="dxa"/>
            <w:vAlign w:val="center"/>
          </w:tcPr>
          <w:p w14:paraId="783CF66A">
            <w:pPr>
              <w:widowControl w:val="0"/>
              <w:autoSpaceDE w:val="0"/>
              <w:autoSpaceDN w:val="0"/>
              <w:spacing w:before="166"/>
              <w:ind w:right="232"/>
              <w:jc w:val="center"/>
              <w:rPr>
                <w:rFonts w:ascii="Times New Roman" w:hAnsi="宋体" w:eastAsia="Times New Roman" w:cs="宋体"/>
                <w:sz w:val="18"/>
                <w:szCs w:val="22"/>
                <w:lang w:val="en-US" w:eastAsia="zh-CN" w:bidi="ar-SA"/>
              </w:rPr>
            </w:pPr>
            <w:r>
              <w:rPr>
                <w:rFonts w:hint="eastAsia" w:ascii="宋体" w:hAnsi="宋体" w:eastAsia="宋体" w:cs="宋体"/>
                <w:sz w:val="18"/>
                <w:szCs w:val="22"/>
                <w:lang w:val="en-US" w:eastAsia="zh-CN" w:bidi="ar-SA"/>
              </w:rPr>
              <w:t>无机元素</w:t>
            </w:r>
          </w:p>
        </w:tc>
        <w:tc>
          <w:tcPr>
            <w:tcW w:w="1963" w:type="dxa"/>
            <w:vAlign w:val="center"/>
          </w:tcPr>
          <w:p w14:paraId="515C4906">
            <w:pPr>
              <w:widowControl w:val="0"/>
              <w:autoSpaceDE w:val="0"/>
              <w:autoSpaceDN w:val="0"/>
              <w:spacing w:before="166"/>
              <w:ind w:right="232" w:firstLine="540" w:firstLineChars="300"/>
              <w:jc w:val="both"/>
              <w:rPr>
                <w:rFonts w:ascii="宋体" w:hAnsi="宋体" w:eastAsia="宋体" w:cs="宋体"/>
                <w:sz w:val="18"/>
                <w:szCs w:val="22"/>
                <w:lang w:val="en-US" w:eastAsia="zh-CN" w:bidi="ar-SA"/>
              </w:rPr>
            </w:pPr>
            <w:r>
              <w:rPr>
                <w:rFonts w:hint="eastAsia" w:ascii="宋体" w:hAnsi="宋体" w:eastAsia="宋体" w:cs="宋体"/>
                <w:sz w:val="18"/>
                <w:szCs w:val="22"/>
                <w:lang w:val="en-US" w:eastAsia="zh-CN" w:bidi="ar-SA"/>
              </w:rPr>
              <w:t>&lt;筛选值</w:t>
            </w:r>
          </w:p>
          <w:p w14:paraId="57C36FA4">
            <w:pPr>
              <w:widowControl w:val="0"/>
              <w:autoSpaceDE w:val="0"/>
              <w:autoSpaceDN w:val="0"/>
              <w:spacing w:before="166"/>
              <w:ind w:right="232" w:firstLine="540" w:firstLineChars="300"/>
              <w:jc w:val="both"/>
              <w:rPr>
                <w:rFonts w:ascii="宋体" w:hAnsi="宋体" w:eastAsia="宋体" w:cs="宋体"/>
                <w:sz w:val="18"/>
                <w:szCs w:val="22"/>
                <w:lang w:val="en-US" w:eastAsia="zh-CN" w:bidi="ar-SA"/>
              </w:rPr>
            </w:pPr>
            <w:r>
              <w:rPr>
                <w:rFonts w:hint="eastAsia" w:ascii="宋体" w:hAnsi="宋体" w:eastAsia="宋体" w:cs="Arial"/>
                <w:sz w:val="18"/>
                <w:szCs w:val="22"/>
                <w:lang w:val="en-US" w:eastAsia="zh-CN" w:bidi="ar-SA"/>
              </w:rPr>
              <w:t>≥</w:t>
            </w:r>
            <w:r>
              <w:rPr>
                <w:rFonts w:hint="eastAsia" w:ascii="宋体" w:hAnsi="宋体" w:eastAsia="宋体" w:cs="宋体"/>
                <w:sz w:val="18"/>
                <w:szCs w:val="22"/>
                <w:lang w:val="en-US" w:eastAsia="zh-CN" w:bidi="ar-SA"/>
              </w:rPr>
              <w:t>筛选值</w:t>
            </w:r>
          </w:p>
        </w:tc>
        <w:tc>
          <w:tcPr>
            <w:tcW w:w="1475" w:type="dxa"/>
            <w:vAlign w:val="center"/>
          </w:tcPr>
          <w:p w14:paraId="24B7CCC4">
            <w:pPr>
              <w:widowControl w:val="0"/>
              <w:autoSpaceDE w:val="0"/>
              <w:autoSpaceDN w:val="0"/>
              <w:spacing w:before="166"/>
              <w:ind w:left="839" w:right="232" w:hanging="399"/>
              <w:jc w:val="center"/>
              <w:rPr>
                <w:rFonts w:ascii="Times New Roman" w:hAnsi="Times New Roman" w:eastAsia="宋体" w:cs="宋体"/>
                <w:sz w:val="18"/>
                <w:szCs w:val="22"/>
                <w:lang w:val="en-US" w:eastAsia="zh-CN" w:bidi="ar-SA"/>
              </w:rPr>
            </w:pPr>
            <w:r>
              <w:rPr>
                <w:rFonts w:ascii="Times New Roman" w:hAnsi="Times New Roman" w:eastAsia="宋体" w:cs="Times New Roman"/>
                <w:sz w:val="18"/>
                <w:szCs w:val="22"/>
                <w:lang w:val="en-US" w:eastAsia="en-US" w:bidi="ar-SA"/>
              </w:rPr>
              <w:t>±</w:t>
            </w:r>
            <w:r>
              <w:rPr>
                <w:rFonts w:hint="eastAsia" w:ascii="Times New Roman" w:hAnsi="Times New Roman" w:eastAsia="宋体" w:cs="宋体"/>
                <w:sz w:val="18"/>
                <w:szCs w:val="22"/>
                <w:lang w:val="en-US" w:eastAsia="zh-CN" w:bidi="ar-SA"/>
              </w:rPr>
              <w:t>40%</w:t>
            </w:r>
          </w:p>
          <w:p w14:paraId="6AFEDD74">
            <w:pPr>
              <w:widowControl w:val="0"/>
              <w:autoSpaceDE w:val="0"/>
              <w:autoSpaceDN w:val="0"/>
              <w:spacing w:before="166"/>
              <w:ind w:left="839" w:right="232" w:hanging="399"/>
              <w:jc w:val="center"/>
              <w:rPr>
                <w:rFonts w:ascii="Times New Roman" w:hAnsi="Times New Roman" w:eastAsia="宋体" w:cs="宋体"/>
                <w:sz w:val="18"/>
                <w:szCs w:val="22"/>
                <w:lang w:val="en-US" w:eastAsia="zh-CN" w:bidi="ar-SA"/>
              </w:rPr>
            </w:pPr>
            <w:r>
              <w:rPr>
                <w:rFonts w:ascii="Times New Roman" w:hAnsi="Times New Roman" w:eastAsia="宋体" w:cs="Times New Roman"/>
                <w:sz w:val="18"/>
                <w:szCs w:val="22"/>
                <w:lang w:val="en-US" w:eastAsia="en-US" w:bidi="ar-SA"/>
              </w:rPr>
              <w:t>±</w:t>
            </w:r>
            <w:r>
              <w:rPr>
                <w:rFonts w:hint="eastAsia" w:ascii="Times New Roman" w:hAnsi="Times New Roman" w:eastAsia="宋体" w:cs="宋体"/>
                <w:sz w:val="18"/>
                <w:szCs w:val="22"/>
                <w:lang w:val="en-US" w:eastAsia="zh-CN" w:bidi="ar-SA"/>
              </w:rPr>
              <w:t>20%</w:t>
            </w:r>
          </w:p>
        </w:tc>
        <w:tc>
          <w:tcPr>
            <w:tcW w:w="1687" w:type="dxa"/>
            <w:vAlign w:val="center"/>
          </w:tcPr>
          <w:p w14:paraId="1F59ADF6">
            <w:pPr>
              <w:widowControl w:val="0"/>
              <w:autoSpaceDE w:val="0"/>
              <w:autoSpaceDN w:val="0"/>
              <w:spacing w:before="166"/>
              <w:ind w:right="232"/>
              <w:jc w:val="center"/>
              <w:rPr>
                <w:rFonts w:ascii="Times New Roman" w:hAnsi="宋体" w:eastAsia="Times New Roman" w:cs="宋体"/>
                <w:sz w:val="18"/>
                <w:szCs w:val="22"/>
                <w:lang w:val="en-US" w:eastAsia="zh-CN" w:bidi="ar-SA"/>
              </w:rPr>
            </w:pPr>
            <w:r>
              <w:rPr>
                <w:rFonts w:hint="eastAsia" w:ascii="宋体" w:hAnsi="宋体" w:eastAsia="宋体" w:cs="宋体"/>
                <w:sz w:val="18"/>
                <w:szCs w:val="22"/>
                <w:lang w:val="en-US" w:eastAsia="zh-CN" w:bidi="ar-SA"/>
              </w:rPr>
              <w:t>&lt;</w:t>
            </w:r>
            <w:r>
              <w:rPr>
                <w:rFonts w:hint="eastAsia" w:ascii="Times New Roman" w:hAnsi="宋体" w:eastAsia="Times New Roman" w:cs="宋体"/>
                <w:sz w:val="18"/>
                <w:szCs w:val="22"/>
                <w:lang w:val="en-US" w:eastAsia="zh-CN" w:bidi="ar-SA"/>
              </w:rPr>
              <w:t>筛选值</w:t>
            </w:r>
          </w:p>
          <w:p w14:paraId="5CC5CEC2">
            <w:pPr>
              <w:widowControl w:val="0"/>
              <w:autoSpaceDE w:val="0"/>
              <w:autoSpaceDN w:val="0"/>
              <w:spacing w:before="166"/>
              <w:ind w:right="232"/>
              <w:jc w:val="center"/>
              <w:rPr>
                <w:rFonts w:ascii="Times New Roman" w:hAnsi="宋体" w:eastAsia="Times New Roman" w:cs="宋体"/>
                <w:sz w:val="18"/>
                <w:szCs w:val="22"/>
                <w:lang w:val="en-US" w:eastAsia="zh-CN" w:bidi="ar-SA"/>
              </w:rPr>
            </w:pPr>
            <w:r>
              <w:rPr>
                <w:rFonts w:ascii="Times New Roman" w:hAnsi="Times New Roman" w:eastAsia="Times New Roman" w:cs="Times New Roman"/>
                <w:sz w:val="18"/>
                <w:szCs w:val="22"/>
                <w:lang w:val="en-US" w:eastAsia="zh-CN" w:bidi="ar-SA"/>
              </w:rPr>
              <w:t>≥</w:t>
            </w:r>
            <w:r>
              <w:rPr>
                <w:rFonts w:hint="eastAsia" w:ascii="Arial" w:hAnsi="Arial" w:eastAsia="Times New Roman" w:cs="Arial"/>
                <w:sz w:val="18"/>
                <w:szCs w:val="22"/>
                <w:lang w:val="en-US" w:eastAsia="zh-CN" w:bidi="ar-SA"/>
              </w:rPr>
              <w:t>筛选值</w:t>
            </w:r>
          </w:p>
        </w:tc>
        <w:tc>
          <w:tcPr>
            <w:tcW w:w="1300" w:type="dxa"/>
            <w:vAlign w:val="center"/>
          </w:tcPr>
          <w:p w14:paraId="44E6FD4B">
            <w:pPr>
              <w:widowControl w:val="0"/>
              <w:autoSpaceDE w:val="0"/>
              <w:autoSpaceDN w:val="0"/>
              <w:spacing w:before="166"/>
              <w:ind w:right="232"/>
              <w:jc w:val="center"/>
              <w:rPr>
                <w:rFonts w:ascii="Times New Roman" w:hAnsi="宋体" w:eastAsia="Times New Roman" w:cs="宋体"/>
                <w:sz w:val="18"/>
                <w:szCs w:val="22"/>
                <w:lang w:val="en-US" w:eastAsia="zh-CN" w:bidi="ar-SA"/>
              </w:rPr>
            </w:pPr>
            <w:r>
              <w:rPr>
                <w:rFonts w:hint="eastAsia" w:ascii="Times New Roman" w:hAnsi="宋体" w:eastAsia="Times New Roman" w:cs="宋体"/>
                <w:sz w:val="18"/>
                <w:szCs w:val="22"/>
                <w:lang w:val="en-US" w:eastAsia="zh-CN" w:bidi="ar-SA"/>
              </w:rPr>
              <w:t>≤0.15</w:t>
            </w:r>
          </w:p>
          <w:p w14:paraId="00FD7A22">
            <w:pPr>
              <w:widowControl w:val="0"/>
              <w:autoSpaceDE w:val="0"/>
              <w:autoSpaceDN w:val="0"/>
              <w:spacing w:before="166"/>
              <w:ind w:right="232"/>
              <w:jc w:val="center"/>
              <w:rPr>
                <w:rFonts w:ascii="Times New Roman" w:hAnsi="宋体" w:eastAsia="Times New Roman" w:cs="宋体"/>
                <w:sz w:val="18"/>
                <w:szCs w:val="22"/>
                <w:lang w:val="en-US" w:eastAsia="zh-CN" w:bidi="ar-SA"/>
              </w:rPr>
            </w:pPr>
            <w:r>
              <w:rPr>
                <w:rFonts w:hint="eastAsia" w:ascii="Times New Roman" w:hAnsi="宋体" w:eastAsia="Times New Roman" w:cs="宋体"/>
                <w:sz w:val="18"/>
                <w:szCs w:val="22"/>
                <w:lang w:val="en-US" w:eastAsia="zh-CN" w:bidi="ar-SA"/>
              </w:rPr>
              <w:t>≤0.12</w:t>
            </w:r>
          </w:p>
        </w:tc>
        <w:tc>
          <w:tcPr>
            <w:tcW w:w="1724" w:type="dxa"/>
            <w:vAlign w:val="center"/>
          </w:tcPr>
          <w:p w14:paraId="545044C9">
            <w:pPr>
              <w:widowControl w:val="0"/>
              <w:autoSpaceDE w:val="0"/>
              <w:autoSpaceDN w:val="0"/>
              <w:spacing w:before="166"/>
              <w:ind w:right="232"/>
              <w:jc w:val="center"/>
              <w:rPr>
                <w:rFonts w:ascii="Times New Roman" w:hAnsi="宋体" w:eastAsia="Times New Roman" w:cs="宋体"/>
                <w:sz w:val="18"/>
                <w:szCs w:val="22"/>
                <w:lang w:val="en-US" w:eastAsia="zh-CN" w:bidi="ar-SA"/>
              </w:rPr>
            </w:pPr>
            <w:r>
              <w:rPr>
                <w:rFonts w:hint="eastAsia" w:ascii="Times New Roman" w:hAnsi="Times New Roman" w:eastAsia="Times New Roman" w:cs="宋体"/>
                <w:sz w:val="18"/>
                <w:szCs w:val="22"/>
                <w:lang w:val="en-US" w:eastAsia="zh-CN" w:bidi="ar-SA"/>
              </w:rPr>
              <w:t>便携式XRF</w:t>
            </w:r>
          </w:p>
        </w:tc>
      </w:tr>
      <w:tr w14:paraId="2E22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86" w:type="dxa"/>
            <w:gridSpan w:val="6"/>
            <w:vAlign w:val="center"/>
          </w:tcPr>
          <w:p w14:paraId="79AB3B7E">
            <w:pPr>
              <w:widowControl w:val="0"/>
              <w:autoSpaceDE w:val="0"/>
              <w:autoSpaceDN w:val="0"/>
              <w:spacing w:before="1"/>
              <w:ind w:left="440"/>
              <w:rPr>
                <w:rFonts w:ascii="宋体" w:hAnsi="宋体" w:eastAsia="宋体" w:cs="宋体"/>
                <w:sz w:val="18"/>
                <w:szCs w:val="22"/>
                <w:lang w:val="en-US" w:eastAsia="zh-CN" w:bidi="ar-SA"/>
              </w:rPr>
            </w:pPr>
            <w:r>
              <w:rPr>
                <w:rFonts w:hint="eastAsia" w:ascii="黑体" w:hAnsi="黑体" w:eastAsia="黑体" w:cs="宋体"/>
                <w:sz w:val="18"/>
                <w:szCs w:val="22"/>
                <w:lang w:val="en-US" w:eastAsia="zh-CN" w:bidi="ar-SA"/>
              </w:rPr>
              <w:t>注 1：</w:t>
            </w:r>
            <w:r>
              <w:rPr>
                <w:rFonts w:hint="eastAsia" w:ascii="Times New Roman" w:hAnsi="Times New Roman" w:eastAsia="Times New Roman" w:cs="宋体"/>
                <w:sz w:val="18"/>
                <w:szCs w:val="22"/>
                <w:lang w:val="en-US" w:eastAsia="zh-CN" w:bidi="ar-SA"/>
              </w:rPr>
              <w:t>XRF</w:t>
            </w:r>
            <w:r>
              <w:rPr>
                <w:rFonts w:ascii="宋体" w:hAnsi="宋体" w:eastAsia="宋体" w:cs="宋体"/>
                <w:sz w:val="18"/>
                <w:szCs w:val="22"/>
                <w:lang w:val="en-US" w:eastAsia="zh-CN" w:bidi="ar-SA"/>
              </w:rPr>
              <w:t>—</w:t>
            </w:r>
            <w:r>
              <w:rPr>
                <w:rFonts w:hint="eastAsia" w:ascii="宋体" w:hAnsi="宋体" w:eastAsia="宋体" w:cs="宋体"/>
                <w:sz w:val="18"/>
                <w:szCs w:val="22"/>
                <w:lang w:val="en-US" w:eastAsia="zh-CN" w:bidi="ar-SA"/>
              </w:rPr>
              <w:t>X射线荧光光谱法</w:t>
            </w:r>
            <w:r>
              <w:rPr>
                <w:rFonts w:ascii="宋体" w:hAnsi="宋体" w:eastAsia="宋体" w:cs="宋体"/>
                <w:sz w:val="18"/>
                <w:szCs w:val="22"/>
                <w:lang w:val="en-US" w:eastAsia="zh-CN" w:bidi="ar-SA"/>
              </w:rPr>
              <w:t>；</w:t>
            </w:r>
          </w:p>
          <w:p w14:paraId="6546140E">
            <w:pPr>
              <w:widowControl w:val="0"/>
              <w:autoSpaceDE w:val="0"/>
              <w:autoSpaceDN w:val="0"/>
              <w:spacing w:before="1"/>
              <w:ind w:left="440"/>
              <w:rPr>
                <w:rFonts w:ascii="宋体" w:hAnsi="宋体" w:eastAsia="宋体" w:cs="宋体"/>
                <w:sz w:val="18"/>
                <w:szCs w:val="22"/>
                <w:lang w:val="en-US" w:eastAsia="zh-CN" w:bidi="ar-SA"/>
              </w:rPr>
            </w:pPr>
            <w:r>
              <w:rPr>
                <w:rFonts w:hint="eastAsia" w:ascii="黑体" w:hAnsi="黑体" w:eastAsia="黑体" w:cs="宋体"/>
                <w:sz w:val="18"/>
                <w:szCs w:val="22"/>
                <w:lang w:val="en-US" w:eastAsia="zh-CN" w:bidi="ar-SA"/>
              </w:rPr>
              <w:t>注 2：</w:t>
            </w:r>
            <w:r>
              <w:rPr>
                <w:rFonts w:hint="eastAsia" w:ascii="宋体" w:hAnsi="宋体" w:eastAsia="宋体" w:cs="宋体"/>
                <w:sz w:val="18"/>
                <w:szCs w:val="22"/>
                <w:lang w:val="en-US" w:eastAsia="zh-CN" w:bidi="ar-SA"/>
              </w:rPr>
              <w:t>C</w:t>
            </w:r>
            <w:r>
              <w:rPr>
                <w:rFonts w:ascii="宋体" w:hAnsi="宋体" w:eastAsia="宋体" w:cs="宋体"/>
                <w:sz w:val="18"/>
                <w:szCs w:val="22"/>
                <w:vertAlign w:val="subscript"/>
                <w:lang w:val="en-US" w:eastAsia="zh-CN" w:bidi="ar-SA"/>
              </w:rPr>
              <w:t>i</w:t>
            </w:r>
            <w:r>
              <w:rPr>
                <w:rFonts w:hint="eastAsia" w:ascii="宋体" w:hAnsi="宋体" w:eastAsia="宋体" w:cs="宋体"/>
                <w:sz w:val="18"/>
                <w:szCs w:val="22"/>
                <w:lang w:val="en-US" w:eastAsia="zh-CN" w:bidi="ar-SA"/>
              </w:rPr>
              <w:t>为每个土壤有证标准物质的单次测量值，C</w:t>
            </w:r>
            <w:r>
              <w:rPr>
                <w:rFonts w:ascii="宋体" w:hAnsi="宋体" w:eastAsia="宋体" w:cs="宋体"/>
                <w:sz w:val="18"/>
                <w:szCs w:val="22"/>
                <w:vertAlign w:val="subscript"/>
                <w:lang w:val="en-US" w:eastAsia="zh-CN" w:bidi="ar-SA"/>
              </w:rPr>
              <w:t>s</w:t>
            </w:r>
            <w:r>
              <w:rPr>
                <w:rFonts w:hint="eastAsia" w:ascii="宋体" w:hAnsi="宋体" w:eastAsia="宋体" w:cs="宋体"/>
                <w:sz w:val="18"/>
                <w:szCs w:val="22"/>
                <w:lang w:val="en-US" w:eastAsia="zh-CN" w:bidi="ar-SA"/>
              </w:rPr>
              <w:t>为土壤有证标准物质的标准值</w:t>
            </w:r>
          </w:p>
        </w:tc>
      </w:tr>
    </w:tbl>
    <w:p w14:paraId="02934903">
      <w:pPr>
        <w:widowControl w:val="0"/>
        <w:autoSpaceDE w:val="0"/>
        <w:autoSpaceDN w:val="0"/>
        <w:ind w:left="1840"/>
        <w:jc w:val="both"/>
        <w:rPr>
          <w:rFonts w:ascii="黑体" w:hAnsi="宋体" w:eastAsia="黑体" w:cs="宋体"/>
          <w:sz w:val="21"/>
          <w:szCs w:val="21"/>
          <w:lang w:val="en-US" w:eastAsia="zh-CN" w:bidi="ar-SA"/>
        </w:rPr>
      </w:pPr>
    </w:p>
    <w:p w14:paraId="598EA85C">
      <w:pPr>
        <w:widowControl w:val="0"/>
        <w:autoSpaceDE w:val="0"/>
        <w:autoSpaceDN w:val="0"/>
        <w:ind w:left="1840"/>
        <w:rPr>
          <w:rFonts w:ascii="黑体" w:hAnsi="宋体" w:eastAsia="黑体" w:cs="宋体"/>
          <w:sz w:val="21"/>
          <w:szCs w:val="21"/>
          <w:lang w:val="en-US" w:eastAsia="zh-CN" w:bidi="ar-SA"/>
        </w:rPr>
      </w:pPr>
    </w:p>
    <w:p w14:paraId="49B76C9A">
      <w:pPr>
        <w:widowControl w:val="0"/>
        <w:autoSpaceDE w:val="0"/>
        <w:autoSpaceDN w:val="0"/>
        <w:ind w:left="1840"/>
        <w:rPr>
          <w:rFonts w:ascii="黑体" w:hAnsi="宋体" w:eastAsia="黑体" w:cs="宋体"/>
          <w:sz w:val="21"/>
          <w:szCs w:val="21"/>
          <w:lang w:val="en-US" w:eastAsia="zh-CN" w:bidi="ar-SA"/>
        </w:rPr>
      </w:pPr>
    </w:p>
    <w:p w14:paraId="6D81C9D3">
      <w:pPr>
        <w:widowControl w:val="0"/>
        <w:autoSpaceDE w:val="0"/>
        <w:autoSpaceDN w:val="0"/>
        <w:ind w:left="1840"/>
        <w:rPr>
          <w:rFonts w:ascii="黑体" w:hAnsi="宋体" w:eastAsia="黑体" w:cs="宋体"/>
          <w:sz w:val="21"/>
          <w:szCs w:val="21"/>
          <w:lang w:val="en-US" w:eastAsia="zh-CN" w:bidi="ar-SA"/>
        </w:rPr>
      </w:pPr>
    </w:p>
    <w:p w14:paraId="6D98E957">
      <w:pPr>
        <w:widowControl w:val="0"/>
        <w:autoSpaceDE w:val="0"/>
        <w:autoSpaceDN w:val="0"/>
        <w:spacing w:before="11"/>
        <w:rPr>
          <w:rFonts w:ascii="黑体" w:hAnsi="宋体" w:eastAsia="宋体" w:cs="宋体"/>
          <w:sz w:val="13"/>
          <w:szCs w:val="21"/>
          <w:lang w:val="en-US" w:eastAsia="zh-CN" w:bidi="ar-SA"/>
        </w:rPr>
      </w:pPr>
    </w:p>
    <w:p w14:paraId="3D05A991">
      <w:pPr>
        <w:spacing w:line="470" w:lineRule="atLeast"/>
        <w:rPr>
          <w:sz w:val="18"/>
          <w:lang w:eastAsia="zh-CN"/>
        </w:rPr>
        <w:sectPr>
          <w:pgSz w:w="11910" w:h="16840"/>
          <w:pgMar w:top="567" w:right="1134" w:bottom="1134" w:left="1417" w:header="1701" w:footer="1417" w:gutter="0"/>
          <w:cols w:space="0" w:num="1"/>
        </w:sectPr>
      </w:pPr>
    </w:p>
    <w:p w14:paraId="435F2D42">
      <w:pPr>
        <w:autoSpaceDE w:val="0"/>
        <w:autoSpaceDN w:val="0"/>
        <w:spacing w:before="640" w:after="560" w:line="460" w:lineRule="exact"/>
        <w:ind w:left="198"/>
        <w:jc w:val="center"/>
        <w:outlineLvl w:val="0"/>
        <w:rPr>
          <w:rFonts w:ascii="黑体" w:hAnsi="黑体" w:eastAsia="黑体" w:cs="黑体"/>
          <w:kern w:val="0"/>
          <w:sz w:val="32"/>
          <w:szCs w:val="22"/>
          <w:lang w:eastAsia="zh-CN"/>
        </w:rPr>
      </w:pPr>
      <w:bookmarkStart w:id="230" w:name="附录B（资料性）质控数据统计表"/>
      <w:bookmarkEnd w:id="230"/>
      <w:bookmarkStart w:id="231" w:name="_Toc169694674"/>
      <w:r>
        <w:rPr>
          <w:rFonts w:hint="eastAsia" w:ascii="黑体" w:hAnsi="Times New Roman" w:eastAsia="黑体" w:cs="宋体"/>
          <w:kern w:val="0"/>
          <w:sz w:val="28"/>
          <w:szCs w:val="28"/>
          <w:lang w:eastAsia="zh-CN"/>
        </w:rPr>
        <w:t>附录 B</w:t>
      </w:r>
      <w:r>
        <w:rPr>
          <w:rFonts w:hint="eastAsia" w:ascii="黑体" w:hAnsi="黑体" w:eastAsia="黑体" w:cs="黑体"/>
          <w:kern w:val="0"/>
          <w:sz w:val="32"/>
          <w:szCs w:val="22"/>
          <w:lang w:eastAsia="zh-CN"/>
        </w:rPr>
        <w:br w:type="textWrapping"/>
      </w:r>
      <w:r>
        <w:rPr>
          <w:rFonts w:hint="eastAsia" w:ascii="宋体" w:hAnsi="宋体" w:eastAsia="宋体" w:cs="宋体"/>
          <w:kern w:val="0"/>
          <w:sz w:val="28"/>
          <w:szCs w:val="28"/>
          <w:lang w:eastAsia="zh-CN"/>
        </w:rPr>
        <w:t>（资料性） 质控数据统计表</w:t>
      </w:r>
      <w:bookmarkEnd w:id="231"/>
    </w:p>
    <w:p w14:paraId="2F8C901C">
      <w:pPr>
        <w:widowControl w:val="0"/>
        <w:autoSpaceDE w:val="0"/>
        <w:autoSpaceDN w:val="0"/>
        <w:spacing w:before="70"/>
        <w:ind w:left="115"/>
        <w:rPr>
          <w:rFonts w:ascii="宋体" w:hAnsi="宋体" w:eastAsia="宋体" w:cs="宋体"/>
          <w:sz w:val="21"/>
          <w:szCs w:val="21"/>
          <w:lang w:val="en-US" w:eastAsia="zh-CN" w:bidi="ar-SA"/>
        </w:rPr>
      </w:pPr>
      <w:r>
        <w:rPr>
          <w:rFonts w:ascii="宋体" w:hAnsi="宋体" w:eastAsia="宋体" w:cs="宋体"/>
          <w:sz w:val="21"/>
          <w:szCs w:val="21"/>
          <w:lang w:val="en-US" w:eastAsia="zh-CN" w:bidi="ar-SA"/>
        </w:rPr>
        <w:t>质控数据统计表可参考表B。</w:t>
      </w:r>
    </w:p>
    <w:p w14:paraId="5A428439">
      <w:pPr>
        <w:widowControl w:val="0"/>
        <w:tabs>
          <w:tab w:val="left" w:pos="734"/>
        </w:tabs>
        <w:autoSpaceDE w:val="0"/>
        <w:autoSpaceDN w:val="0"/>
        <w:spacing w:before="70"/>
        <w:jc w:val="center"/>
        <w:rPr>
          <w:rFonts w:ascii="黑体" w:hAnsi="宋体" w:eastAsia="黑体" w:cs="宋体"/>
          <w:sz w:val="21"/>
          <w:szCs w:val="21"/>
          <w:lang w:val="en-US" w:eastAsia="en-US" w:bidi="ar-SA"/>
        </w:rPr>
      </w:pPr>
      <w:r>
        <w:rPr>
          <w:rFonts w:hint="eastAsia" w:ascii="黑体" w:hAnsi="宋体" w:eastAsia="黑体" w:cs="宋体"/>
          <w:sz w:val="21"/>
          <w:szCs w:val="21"/>
          <w:lang w:val="en-US" w:eastAsia="en-US" w:bidi="ar-SA"/>
        </w:rPr>
        <w:t>表B</w:t>
      </w:r>
      <w:r>
        <w:rPr>
          <w:rFonts w:hint="eastAsia" w:ascii="黑体" w:hAnsi="宋体" w:eastAsia="黑体" w:cs="宋体"/>
          <w:sz w:val="21"/>
          <w:szCs w:val="21"/>
          <w:lang w:val="en-US" w:eastAsia="en-US" w:bidi="ar-SA"/>
        </w:rPr>
        <w:tab/>
      </w:r>
      <w:r>
        <w:rPr>
          <w:rFonts w:hint="eastAsia" w:ascii="黑体" w:hAnsi="宋体" w:eastAsia="黑体" w:cs="宋体"/>
          <w:sz w:val="21"/>
          <w:szCs w:val="21"/>
          <w:lang w:val="en-US" w:eastAsia="en-US" w:bidi="ar-SA"/>
        </w:rPr>
        <w:t>质控数据统计表</w:t>
      </w:r>
    </w:p>
    <w:p w14:paraId="2D497CF7">
      <w:pPr>
        <w:widowControl w:val="0"/>
        <w:autoSpaceDE w:val="0"/>
        <w:autoSpaceDN w:val="0"/>
        <w:spacing w:before="9"/>
        <w:rPr>
          <w:rFonts w:ascii="黑体" w:hAnsi="宋体" w:eastAsia="宋体" w:cs="宋体"/>
          <w:sz w:val="14"/>
          <w:szCs w:val="21"/>
          <w:lang w:val="en-US" w:eastAsia="en-US" w:bidi="ar-SA"/>
        </w:rPr>
      </w:pPr>
    </w:p>
    <w:tbl>
      <w:tblPr>
        <w:tblStyle w:val="14"/>
        <w:tblW w:w="499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75"/>
        <w:gridCol w:w="636"/>
        <w:gridCol w:w="721"/>
        <w:gridCol w:w="679"/>
        <w:gridCol w:w="679"/>
        <w:gridCol w:w="679"/>
        <w:gridCol w:w="688"/>
        <w:gridCol w:w="703"/>
        <w:gridCol w:w="673"/>
        <w:gridCol w:w="685"/>
        <w:gridCol w:w="679"/>
        <w:gridCol w:w="682"/>
        <w:gridCol w:w="682"/>
        <w:gridCol w:w="703"/>
        <w:gridCol w:w="676"/>
        <w:gridCol w:w="682"/>
        <w:gridCol w:w="682"/>
        <w:gridCol w:w="682"/>
        <w:gridCol w:w="588"/>
        <w:gridCol w:w="579"/>
        <w:gridCol w:w="582"/>
        <w:gridCol w:w="564"/>
        <w:gridCol w:w="555"/>
      </w:tblGrid>
      <w:tr w14:paraId="7DAE14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0" w:hRule="atLeast"/>
        </w:trPr>
        <w:tc>
          <w:tcPr>
            <w:tcW w:w="1801" w:type="pct"/>
            <w:gridSpan w:val="8"/>
            <w:tcBorders>
              <w:bottom w:val="single" w:color="000000" w:sz="4" w:space="0"/>
              <w:right w:val="single" w:color="000000" w:sz="4" w:space="0"/>
            </w:tcBorders>
          </w:tcPr>
          <w:p w14:paraId="2D5C2BA6">
            <w:pPr>
              <w:widowControl w:val="0"/>
              <w:autoSpaceDE w:val="0"/>
              <w:autoSpaceDN w:val="0"/>
              <w:spacing w:before="119"/>
              <w:ind w:left="107"/>
              <w:rPr>
                <w:rFonts w:ascii="宋体" w:hAnsi="宋体" w:eastAsia="宋体" w:cs="宋体"/>
                <w:sz w:val="18"/>
                <w:szCs w:val="22"/>
                <w:lang w:val="en-US" w:eastAsia="en-US" w:bidi="ar-SA"/>
              </w:rPr>
            </w:pPr>
            <w:r>
              <w:rPr>
                <w:rFonts w:ascii="宋体" w:hAnsi="宋体" w:eastAsia="宋体" w:cs="宋体"/>
                <w:sz w:val="18"/>
                <w:szCs w:val="22"/>
                <w:lang w:val="en-US" w:eastAsia="en-US" w:bidi="ar-SA"/>
              </w:rPr>
              <w:t>监测单位：</w:t>
            </w:r>
          </w:p>
        </w:tc>
        <w:tc>
          <w:tcPr>
            <w:tcW w:w="3198" w:type="pct"/>
            <w:gridSpan w:val="15"/>
            <w:tcBorders>
              <w:left w:val="single" w:color="000000" w:sz="4" w:space="0"/>
              <w:bottom w:val="single" w:color="000000" w:sz="4" w:space="0"/>
            </w:tcBorders>
          </w:tcPr>
          <w:p w14:paraId="71E8DA64">
            <w:pPr>
              <w:widowControl w:val="0"/>
              <w:autoSpaceDE w:val="0"/>
              <w:autoSpaceDN w:val="0"/>
              <w:spacing w:before="119"/>
              <w:ind w:left="112"/>
              <w:rPr>
                <w:rFonts w:ascii="宋体" w:hAnsi="宋体" w:eastAsia="宋体" w:cs="宋体"/>
                <w:sz w:val="18"/>
                <w:szCs w:val="22"/>
                <w:lang w:val="en-US" w:eastAsia="en-US" w:bidi="ar-SA"/>
              </w:rPr>
            </w:pPr>
            <w:r>
              <w:rPr>
                <w:rFonts w:ascii="宋体" w:hAnsi="宋体" w:eastAsia="宋体" w:cs="宋体"/>
                <w:sz w:val="18"/>
                <w:szCs w:val="22"/>
                <w:lang w:val="en-US" w:eastAsia="en-US" w:bidi="ar-SA"/>
              </w:rPr>
              <w:t>项目名称:</w:t>
            </w:r>
          </w:p>
        </w:tc>
      </w:tr>
      <w:tr w14:paraId="7037D3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0" w:hRule="atLeast"/>
        </w:trPr>
        <w:tc>
          <w:tcPr>
            <w:tcW w:w="1801" w:type="pct"/>
            <w:gridSpan w:val="8"/>
            <w:tcBorders>
              <w:top w:val="single" w:color="000000" w:sz="4" w:space="0"/>
              <w:bottom w:val="single" w:color="000000" w:sz="4" w:space="0"/>
              <w:right w:val="single" w:color="000000" w:sz="4" w:space="0"/>
            </w:tcBorders>
          </w:tcPr>
          <w:p w14:paraId="3986BDE6">
            <w:pPr>
              <w:widowControl w:val="0"/>
              <w:autoSpaceDE w:val="0"/>
              <w:autoSpaceDN w:val="0"/>
              <w:spacing w:before="119"/>
              <w:ind w:left="107"/>
              <w:rPr>
                <w:rFonts w:ascii="宋体" w:hAnsi="宋体" w:eastAsia="宋体" w:cs="宋体"/>
                <w:sz w:val="18"/>
                <w:szCs w:val="22"/>
                <w:lang w:val="en-US" w:eastAsia="en-US" w:bidi="ar-SA"/>
              </w:rPr>
            </w:pPr>
            <w:r>
              <w:rPr>
                <w:rFonts w:ascii="宋体" w:hAnsi="宋体" w:eastAsia="宋体" w:cs="宋体"/>
                <w:sz w:val="18"/>
                <w:szCs w:val="22"/>
                <w:lang w:val="en-US" w:eastAsia="en-US" w:bidi="ar-SA"/>
              </w:rPr>
              <w:t>报告编号：</w:t>
            </w:r>
          </w:p>
        </w:tc>
        <w:tc>
          <w:tcPr>
            <w:tcW w:w="1354" w:type="pct"/>
            <w:gridSpan w:val="6"/>
            <w:tcBorders>
              <w:top w:val="single" w:color="000000" w:sz="4" w:space="0"/>
              <w:left w:val="single" w:color="000000" w:sz="4" w:space="0"/>
              <w:bottom w:val="single" w:color="000000" w:sz="4" w:space="0"/>
              <w:right w:val="single" w:color="000000" w:sz="4" w:space="0"/>
            </w:tcBorders>
          </w:tcPr>
          <w:p w14:paraId="60021E75">
            <w:pPr>
              <w:widowControl w:val="0"/>
              <w:autoSpaceDE w:val="0"/>
              <w:autoSpaceDN w:val="0"/>
              <w:spacing w:before="119"/>
              <w:ind w:left="112"/>
              <w:rPr>
                <w:rFonts w:ascii="宋体" w:hAnsi="宋体" w:eastAsia="宋体" w:cs="宋体"/>
                <w:sz w:val="18"/>
                <w:szCs w:val="22"/>
                <w:lang w:val="en-US" w:eastAsia="en-US" w:bidi="ar-SA"/>
              </w:rPr>
            </w:pPr>
            <w:r>
              <w:rPr>
                <w:rFonts w:ascii="宋体" w:hAnsi="宋体" w:eastAsia="宋体" w:cs="宋体"/>
                <w:sz w:val="18"/>
                <w:szCs w:val="22"/>
                <w:lang w:val="en-US" w:eastAsia="en-US" w:bidi="ar-SA"/>
              </w:rPr>
              <w:t>项目类别：</w:t>
            </w:r>
          </w:p>
        </w:tc>
        <w:tc>
          <w:tcPr>
            <w:tcW w:w="1844" w:type="pct"/>
            <w:gridSpan w:val="9"/>
            <w:tcBorders>
              <w:top w:val="single" w:color="000000" w:sz="4" w:space="0"/>
              <w:left w:val="single" w:color="000000" w:sz="4" w:space="0"/>
              <w:bottom w:val="single" w:color="000000" w:sz="4" w:space="0"/>
            </w:tcBorders>
          </w:tcPr>
          <w:p w14:paraId="42F1917E">
            <w:pPr>
              <w:widowControl w:val="0"/>
              <w:autoSpaceDE w:val="0"/>
              <w:autoSpaceDN w:val="0"/>
              <w:spacing w:before="119"/>
              <w:ind w:left="120"/>
              <w:rPr>
                <w:rFonts w:ascii="宋体" w:hAnsi="宋体" w:eastAsia="宋体" w:cs="宋体"/>
                <w:sz w:val="18"/>
                <w:szCs w:val="22"/>
                <w:lang w:val="en-US" w:eastAsia="en-US" w:bidi="ar-SA"/>
              </w:rPr>
            </w:pPr>
            <w:r>
              <w:rPr>
                <w:rFonts w:ascii="宋体" w:hAnsi="宋体" w:eastAsia="宋体" w:cs="宋体"/>
                <w:sz w:val="18"/>
                <w:szCs w:val="22"/>
                <w:lang w:val="en-US" w:eastAsia="en-US" w:bidi="ar-SA"/>
              </w:rPr>
              <w:t>监测时间：</w:t>
            </w:r>
          </w:p>
        </w:tc>
      </w:tr>
      <w:tr w14:paraId="639ADA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7" w:hRule="atLeast"/>
        </w:trPr>
        <w:tc>
          <w:tcPr>
            <w:tcW w:w="223" w:type="pct"/>
            <w:vMerge w:val="restart"/>
            <w:tcBorders>
              <w:top w:val="single" w:color="000000" w:sz="4" w:space="0"/>
              <w:right w:val="single" w:color="000000" w:sz="4" w:space="0"/>
            </w:tcBorders>
          </w:tcPr>
          <w:p w14:paraId="17672A6A">
            <w:pPr>
              <w:widowControl w:val="0"/>
              <w:autoSpaceDE w:val="0"/>
              <w:autoSpaceDN w:val="0"/>
              <w:rPr>
                <w:rFonts w:ascii="黑体" w:hAnsi="宋体" w:eastAsia="宋体" w:cs="宋体"/>
                <w:sz w:val="18"/>
                <w:szCs w:val="22"/>
                <w:lang w:val="en-US" w:eastAsia="en-US" w:bidi="ar-SA"/>
              </w:rPr>
            </w:pPr>
          </w:p>
          <w:p w14:paraId="28A373E7">
            <w:pPr>
              <w:widowControl w:val="0"/>
              <w:autoSpaceDE w:val="0"/>
              <w:autoSpaceDN w:val="0"/>
              <w:rPr>
                <w:rFonts w:ascii="黑体" w:hAnsi="宋体" w:eastAsia="宋体" w:cs="宋体"/>
                <w:sz w:val="18"/>
                <w:szCs w:val="22"/>
                <w:lang w:val="en-US" w:eastAsia="en-US" w:bidi="ar-SA"/>
              </w:rPr>
            </w:pPr>
          </w:p>
          <w:p w14:paraId="681F84A5">
            <w:pPr>
              <w:widowControl w:val="0"/>
              <w:autoSpaceDE w:val="0"/>
              <w:autoSpaceDN w:val="0"/>
              <w:spacing w:before="4"/>
              <w:rPr>
                <w:rFonts w:ascii="黑体" w:hAnsi="宋体" w:eastAsia="宋体" w:cs="宋体"/>
                <w:sz w:val="23"/>
                <w:szCs w:val="22"/>
                <w:lang w:val="en-US" w:eastAsia="en-US" w:bidi="ar-SA"/>
              </w:rPr>
            </w:pPr>
          </w:p>
          <w:p w14:paraId="0EE9B546">
            <w:pPr>
              <w:widowControl w:val="0"/>
              <w:autoSpaceDE w:val="0"/>
              <w:autoSpaceDN w:val="0"/>
              <w:ind w:left="117"/>
              <w:rPr>
                <w:rFonts w:ascii="宋体" w:hAnsi="宋体" w:eastAsia="宋体" w:cs="宋体"/>
                <w:sz w:val="18"/>
                <w:szCs w:val="22"/>
                <w:lang w:val="en-US" w:eastAsia="en-US" w:bidi="ar-SA"/>
              </w:rPr>
            </w:pPr>
            <w:r>
              <w:rPr>
                <w:rFonts w:ascii="宋体" w:hAnsi="宋体" w:eastAsia="宋体" w:cs="宋体"/>
                <w:sz w:val="18"/>
                <w:szCs w:val="22"/>
                <w:lang w:val="en-US" w:eastAsia="en-US" w:bidi="ar-SA"/>
              </w:rPr>
              <w:t>序号</w:t>
            </w:r>
          </w:p>
        </w:tc>
        <w:tc>
          <w:tcPr>
            <w:tcW w:w="210" w:type="pct"/>
            <w:vMerge w:val="restart"/>
            <w:tcBorders>
              <w:top w:val="single" w:color="000000" w:sz="4" w:space="0"/>
              <w:left w:val="single" w:color="000000" w:sz="4" w:space="0"/>
              <w:right w:val="single" w:color="000000" w:sz="4" w:space="0"/>
            </w:tcBorders>
          </w:tcPr>
          <w:p w14:paraId="6D8B5D8B">
            <w:pPr>
              <w:widowControl w:val="0"/>
              <w:autoSpaceDE w:val="0"/>
              <w:autoSpaceDN w:val="0"/>
              <w:spacing w:before="8"/>
              <w:rPr>
                <w:rFonts w:ascii="黑体" w:hAnsi="宋体" w:eastAsia="宋体" w:cs="宋体"/>
                <w:sz w:val="21"/>
                <w:szCs w:val="22"/>
                <w:lang w:val="en-US" w:eastAsia="en-US" w:bidi="ar-SA"/>
              </w:rPr>
            </w:pPr>
          </w:p>
          <w:p w14:paraId="757C7D6E">
            <w:pPr>
              <w:widowControl w:val="0"/>
              <w:autoSpaceDE w:val="0"/>
              <w:autoSpaceDN w:val="0"/>
              <w:spacing w:line="333" w:lineRule="auto"/>
              <w:ind w:left="196" w:right="174"/>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分析项目</w:t>
            </w:r>
          </w:p>
        </w:tc>
        <w:tc>
          <w:tcPr>
            <w:tcW w:w="238" w:type="pct"/>
            <w:vMerge w:val="restart"/>
            <w:tcBorders>
              <w:top w:val="single" w:color="000000" w:sz="4" w:space="0"/>
              <w:left w:val="single" w:color="000000" w:sz="4" w:space="0"/>
              <w:right w:val="single" w:color="000000" w:sz="4" w:space="0"/>
            </w:tcBorders>
          </w:tcPr>
          <w:p w14:paraId="60E311D7">
            <w:pPr>
              <w:widowControl w:val="0"/>
              <w:autoSpaceDE w:val="0"/>
              <w:autoSpaceDN w:val="0"/>
              <w:rPr>
                <w:rFonts w:ascii="黑体" w:hAnsi="宋体" w:eastAsia="宋体" w:cs="宋体"/>
                <w:sz w:val="18"/>
                <w:szCs w:val="22"/>
                <w:lang w:val="en-US" w:eastAsia="en-US" w:bidi="ar-SA"/>
              </w:rPr>
            </w:pPr>
          </w:p>
          <w:p w14:paraId="1759BEC0">
            <w:pPr>
              <w:widowControl w:val="0"/>
              <w:autoSpaceDE w:val="0"/>
              <w:autoSpaceDN w:val="0"/>
              <w:rPr>
                <w:rFonts w:ascii="黑体" w:hAnsi="宋体" w:eastAsia="宋体" w:cs="宋体"/>
                <w:sz w:val="18"/>
                <w:szCs w:val="22"/>
                <w:lang w:val="en-US" w:eastAsia="en-US" w:bidi="ar-SA"/>
              </w:rPr>
            </w:pPr>
          </w:p>
          <w:p w14:paraId="14DDE248">
            <w:pPr>
              <w:widowControl w:val="0"/>
              <w:autoSpaceDE w:val="0"/>
              <w:autoSpaceDN w:val="0"/>
              <w:spacing w:before="138" w:line="333" w:lineRule="auto"/>
              <w:ind w:left="142" w:right="122"/>
              <w:rPr>
                <w:rFonts w:ascii="宋体" w:hAnsi="宋体" w:eastAsia="宋体" w:cs="宋体"/>
                <w:sz w:val="18"/>
                <w:szCs w:val="22"/>
                <w:lang w:val="en-US" w:eastAsia="en-US" w:bidi="ar-SA"/>
              </w:rPr>
            </w:pPr>
            <w:r>
              <w:rPr>
                <w:rFonts w:ascii="宋体" w:hAnsi="宋体" w:eastAsia="宋体" w:cs="宋体"/>
                <w:sz w:val="18"/>
                <w:szCs w:val="22"/>
                <w:lang w:val="en-US" w:eastAsia="en-US" w:bidi="ar-SA"/>
              </w:rPr>
              <w:t>样品个数</w:t>
            </w:r>
          </w:p>
        </w:tc>
        <w:tc>
          <w:tcPr>
            <w:tcW w:w="899" w:type="pct"/>
            <w:gridSpan w:val="4"/>
            <w:tcBorders>
              <w:top w:val="single" w:color="000000" w:sz="4" w:space="0"/>
              <w:left w:val="single" w:color="000000" w:sz="4" w:space="0"/>
              <w:bottom w:val="single" w:color="000000" w:sz="4" w:space="0"/>
              <w:right w:val="single" w:color="000000" w:sz="4" w:space="0"/>
            </w:tcBorders>
          </w:tcPr>
          <w:p w14:paraId="77411F60">
            <w:pPr>
              <w:widowControl w:val="0"/>
              <w:autoSpaceDE w:val="0"/>
              <w:autoSpaceDN w:val="0"/>
              <w:spacing w:before="112"/>
              <w:ind w:left="755"/>
              <w:rPr>
                <w:rFonts w:ascii="宋体" w:hAnsi="宋体" w:eastAsia="宋体" w:cs="宋体"/>
                <w:sz w:val="18"/>
                <w:szCs w:val="22"/>
                <w:lang w:val="en-US" w:eastAsia="en-US" w:bidi="ar-SA"/>
              </w:rPr>
            </w:pPr>
            <w:r>
              <w:rPr>
                <w:rFonts w:ascii="宋体" w:hAnsi="宋体" w:eastAsia="宋体" w:cs="宋体"/>
                <w:sz w:val="18"/>
                <w:szCs w:val="22"/>
                <w:lang w:val="en-US" w:eastAsia="en-US" w:bidi="ar-SA"/>
              </w:rPr>
              <w:t>现场平行样</w:t>
            </w:r>
          </w:p>
        </w:tc>
        <w:tc>
          <w:tcPr>
            <w:tcW w:w="901" w:type="pct"/>
            <w:gridSpan w:val="4"/>
            <w:tcBorders>
              <w:top w:val="single" w:color="000000" w:sz="4" w:space="0"/>
              <w:left w:val="single" w:color="000000" w:sz="4" w:space="0"/>
              <w:bottom w:val="single" w:color="000000" w:sz="4" w:space="0"/>
              <w:right w:val="single" w:color="000000" w:sz="4" w:space="0"/>
            </w:tcBorders>
          </w:tcPr>
          <w:p w14:paraId="226BC900">
            <w:pPr>
              <w:widowControl w:val="0"/>
              <w:autoSpaceDE w:val="0"/>
              <w:autoSpaceDN w:val="0"/>
              <w:spacing w:before="112"/>
              <w:ind w:left="758"/>
              <w:rPr>
                <w:rFonts w:ascii="宋体" w:hAnsi="宋体" w:eastAsia="宋体" w:cs="宋体"/>
                <w:sz w:val="18"/>
                <w:szCs w:val="22"/>
                <w:lang w:val="en-US" w:eastAsia="en-US" w:bidi="ar-SA"/>
              </w:rPr>
            </w:pPr>
            <w:r>
              <w:rPr>
                <w:rFonts w:ascii="宋体" w:hAnsi="宋体" w:eastAsia="宋体" w:cs="宋体"/>
                <w:sz w:val="18"/>
                <w:szCs w:val="22"/>
                <w:lang w:val="en-US" w:eastAsia="en-US" w:bidi="ar-SA"/>
              </w:rPr>
              <w:t>实验室空白</w:t>
            </w:r>
          </w:p>
        </w:tc>
        <w:tc>
          <w:tcPr>
            <w:tcW w:w="903" w:type="pct"/>
            <w:gridSpan w:val="4"/>
            <w:tcBorders>
              <w:top w:val="single" w:color="000000" w:sz="4" w:space="0"/>
              <w:left w:val="single" w:color="000000" w:sz="4" w:space="0"/>
              <w:bottom w:val="single" w:color="000000" w:sz="4" w:space="0"/>
              <w:right w:val="single" w:color="000000" w:sz="4" w:space="0"/>
            </w:tcBorders>
          </w:tcPr>
          <w:p w14:paraId="7DF3B9E6">
            <w:pPr>
              <w:widowControl w:val="0"/>
              <w:autoSpaceDE w:val="0"/>
              <w:autoSpaceDN w:val="0"/>
              <w:spacing w:before="112"/>
              <w:ind w:left="671"/>
              <w:rPr>
                <w:rFonts w:ascii="宋体" w:hAnsi="宋体" w:eastAsia="宋体" w:cs="宋体"/>
                <w:sz w:val="18"/>
                <w:szCs w:val="22"/>
                <w:lang w:val="en-US" w:eastAsia="en-US" w:bidi="ar-SA"/>
              </w:rPr>
            </w:pPr>
            <w:r>
              <w:rPr>
                <w:rFonts w:ascii="宋体" w:hAnsi="宋体" w:eastAsia="宋体" w:cs="宋体"/>
                <w:sz w:val="18"/>
                <w:szCs w:val="22"/>
                <w:lang w:val="en-US" w:eastAsia="en-US" w:bidi="ar-SA"/>
              </w:rPr>
              <w:t>实验室平行样</w:t>
            </w:r>
          </w:p>
        </w:tc>
        <w:tc>
          <w:tcPr>
            <w:tcW w:w="869" w:type="pct"/>
            <w:gridSpan w:val="4"/>
            <w:tcBorders>
              <w:top w:val="single" w:color="000000" w:sz="4" w:space="0"/>
              <w:left w:val="single" w:color="000000" w:sz="4" w:space="0"/>
              <w:bottom w:val="single" w:color="000000" w:sz="4" w:space="0"/>
              <w:right w:val="single" w:color="000000" w:sz="4" w:space="0"/>
            </w:tcBorders>
          </w:tcPr>
          <w:p w14:paraId="3DD0413F">
            <w:pPr>
              <w:widowControl w:val="0"/>
              <w:autoSpaceDE w:val="0"/>
              <w:autoSpaceDN w:val="0"/>
              <w:spacing w:before="112"/>
              <w:ind w:left="713"/>
              <w:rPr>
                <w:rFonts w:ascii="宋体" w:hAnsi="宋体" w:eastAsia="宋体" w:cs="宋体"/>
                <w:sz w:val="18"/>
                <w:szCs w:val="22"/>
                <w:lang w:val="en-US" w:eastAsia="en-US" w:bidi="ar-SA"/>
              </w:rPr>
            </w:pPr>
            <w:r>
              <w:rPr>
                <w:rFonts w:ascii="宋体" w:hAnsi="宋体" w:eastAsia="宋体" w:cs="宋体"/>
                <w:sz w:val="18"/>
                <w:szCs w:val="22"/>
                <w:lang w:val="en-US" w:eastAsia="en-US" w:bidi="ar-SA"/>
              </w:rPr>
              <w:t>加标回收样</w:t>
            </w:r>
          </w:p>
        </w:tc>
        <w:tc>
          <w:tcPr>
            <w:tcW w:w="751" w:type="pct"/>
            <w:gridSpan w:val="4"/>
            <w:tcBorders>
              <w:top w:val="single" w:color="000000" w:sz="4" w:space="0"/>
              <w:left w:val="single" w:color="000000" w:sz="4" w:space="0"/>
              <w:bottom w:val="single" w:color="000000" w:sz="4" w:space="0"/>
            </w:tcBorders>
          </w:tcPr>
          <w:p w14:paraId="4AB39193">
            <w:pPr>
              <w:widowControl w:val="0"/>
              <w:autoSpaceDE w:val="0"/>
              <w:autoSpaceDN w:val="0"/>
              <w:spacing w:before="112"/>
              <w:ind w:left="640"/>
              <w:rPr>
                <w:rFonts w:ascii="宋体" w:hAnsi="宋体" w:eastAsia="宋体" w:cs="宋体"/>
                <w:sz w:val="18"/>
                <w:szCs w:val="22"/>
                <w:lang w:val="en-US" w:eastAsia="en-US" w:bidi="ar-SA"/>
              </w:rPr>
            </w:pPr>
            <w:r>
              <w:rPr>
                <w:rFonts w:ascii="宋体" w:hAnsi="宋体" w:eastAsia="宋体" w:cs="宋体"/>
                <w:sz w:val="18"/>
                <w:szCs w:val="22"/>
                <w:lang w:val="en-US" w:eastAsia="en-US" w:bidi="ar-SA"/>
              </w:rPr>
              <w:t>标准样品</w:t>
            </w:r>
          </w:p>
        </w:tc>
      </w:tr>
      <w:tr w14:paraId="71FD7D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2" w:hRule="atLeast"/>
        </w:trPr>
        <w:tc>
          <w:tcPr>
            <w:tcW w:w="223" w:type="pct"/>
            <w:vMerge w:val="continue"/>
            <w:tcBorders>
              <w:top w:val="nil"/>
              <w:right w:val="single" w:color="000000" w:sz="4" w:space="0"/>
            </w:tcBorders>
          </w:tcPr>
          <w:p w14:paraId="4702EBDB">
            <w:pPr>
              <w:autoSpaceDE w:val="0"/>
              <w:autoSpaceDN w:val="0"/>
              <w:jc w:val="left"/>
              <w:rPr>
                <w:rFonts w:ascii="宋体" w:hAnsi="宋体" w:eastAsia="宋体" w:cs="宋体"/>
                <w:kern w:val="0"/>
                <w:sz w:val="2"/>
                <w:szCs w:val="2"/>
                <w:lang w:eastAsia="en-US"/>
              </w:rPr>
            </w:pPr>
          </w:p>
        </w:tc>
        <w:tc>
          <w:tcPr>
            <w:tcW w:w="210" w:type="pct"/>
            <w:vMerge w:val="continue"/>
            <w:tcBorders>
              <w:top w:val="nil"/>
              <w:left w:val="single" w:color="000000" w:sz="4" w:space="0"/>
              <w:right w:val="single" w:color="000000" w:sz="4" w:space="0"/>
            </w:tcBorders>
          </w:tcPr>
          <w:p w14:paraId="5C47D45E">
            <w:pPr>
              <w:autoSpaceDE w:val="0"/>
              <w:autoSpaceDN w:val="0"/>
              <w:jc w:val="left"/>
              <w:rPr>
                <w:rFonts w:ascii="宋体" w:hAnsi="宋体" w:eastAsia="宋体" w:cs="宋体"/>
                <w:kern w:val="0"/>
                <w:sz w:val="2"/>
                <w:szCs w:val="2"/>
                <w:lang w:eastAsia="en-US"/>
              </w:rPr>
            </w:pPr>
          </w:p>
        </w:tc>
        <w:tc>
          <w:tcPr>
            <w:tcW w:w="238" w:type="pct"/>
            <w:vMerge w:val="continue"/>
            <w:tcBorders>
              <w:top w:val="nil"/>
              <w:left w:val="single" w:color="000000" w:sz="4" w:space="0"/>
              <w:right w:val="single" w:color="000000" w:sz="4" w:space="0"/>
            </w:tcBorders>
          </w:tcPr>
          <w:p w14:paraId="6814780C">
            <w:pPr>
              <w:autoSpaceDE w:val="0"/>
              <w:autoSpaceDN w:val="0"/>
              <w:jc w:val="left"/>
              <w:rPr>
                <w:rFonts w:ascii="宋体" w:hAnsi="宋体" w:eastAsia="宋体" w:cs="宋体"/>
                <w:kern w:val="0"/>
                <w:sz w:val="2"/>
                <w:szCs w:val="2"/>
                <w:lang w:eastAsia="en-US"/>
              </w:rPr>
            </w:pPr>
          </w:p>
        </w:tc>
        <w:tc>
          <w:tcPr>
            <w:tcW w:w="224" w:type="pct"/>
            <w:tcBorders>
              <w:top w:val="single" w:color="000000" w:sz="4" w:space="0"/>
              <w:left w:val="single" w:color="000000" w:sz="4" w:space="0"/>
              <w:right w:val="single" w:color="000000" w:sz="4" w:space="0"/>
            </w:tcBorders>
          </w:tcPr>
          <w:p w14:paraId="17AD4F46">
            <w:pPr>
              <w:widowControl w:val="0"/>
              <w:autoSpaceDE w:val="0"/>
              <w:autoSpaceDN w:val="0"/>
              <w:rPr>
                <w:rFonts w:ascii="黑体" w:hAnsi="宋体" w:eastAsia="宋体" w:cs="宋体"/>
                <w:sz w:val="18"/>
                <w:szCs w:val="22"/>
                <w:lang w:val="en-US" w:eastAsia="en-US" w:bidi="ar-SA"/>
              </w:rPr>
            </w:pPr>
          </w:p>
          <w:p w14:paraId="319C5EB4">
            <w:pPr>
              <w:widowControl w:val="0"/>
              <w:autoSpaceDE w:val="0"/>
              <w:autoSpaceDN w:val="0"/>
              <w:spacing w:before="12"/>
              <w:rPr>
                <w:rFonts w:ascii="黑体" w:hAnsi="宋体" w:eastAsia="宋体" w:cs="宋体"/>
                <w:sz w:val="22"/>
                <w:szCs w:val="22"/>
                <w:lang w:val="en-US" w:eastAsia="en-US" w:bidi="ar-SA"/>
              </w:rPr>
            </w:pPr>
          </w:p>
          <w:p w14:paraId="086696CB">
            <w:pPr>
              <w:widowControl w:val="0"/>
              <w:autoSpaceDE w:val="0"/>
              <w:autoSpaceDN w:val="0"/>
              <w:ind w:left="124"/>
              <w:rPr>
                <w:rFonts w:ascii="宋体" w:hAnsi="宋体" w:eastAsia="宋体" w:cs="宋体"/>
                <w:sz w:val="18"/>
                <w:szCs w:val="22"/>
                <w:lang w:val="en-US" w:eastAsia="en-US" w:bidi="ar-SA"/>
              </w:rPr>
            </w:pPr>
            <w:r>
              <w:rPr>
                <w:rFonts w:ascii="宋体" w:hAnsi="宋体" w:eastAsia="宋体" w:cs="宋体"/>
                <w:sz w:val="18"/>
                <w:szCs w:val="22"/>
                <w:lang w:val="en-US" w:eastAsia="en-US" w:bidi="ar-SA"/>
              </w:rPr>
              <w:t>个数</w:t>
            </w:r>
          </w:p>
        </w:tc>
        <w:tc>
          <w:tcPr>
            <w:tcW w:w="224" w:type="pct"/>
            <w:tcBorders>
              <w:top w:val="single" w:color="000000" w:sz="4" w:space="0"/>
              <w:left w:val="single" w:color="000000" w:sz="4" w:space="0"/>
              <w:right w:val="single" w:color="000000" w:sz="4" w:space="0"/>
            </w:tcBorders>
          </w:tcPr>
          <w:p w14:paraId="56E6B494">
            <w:pPr>
              <w:widowControl w:val="0"/>
              <w:autoSpaceDE w:val="0"/>
              <w:autoSpaceDN w:val="0"/>
              <w:spacing w:before="11"/>
              <w:rPr>
                <w:rFonts w:ascii="黑体" w:hAnsi="宋体" w:eastAsia="宋体" w:cs="宋体"/>
                <w:sz w:val="15"/>
                <w:szCs w:val="22"/>
                <w:lang w:val="en-US" w:eastAsia="en-US" w:bidi="ar-SA"/>
              </w:rPr>
            </w:pPr>
          </w:p>
          <w:p w14:paraId="4D45D19F">
            <w:pPr>
              <w:widowControl w:val="0"/>
              <w:autoSpaceDE w:val="0"/>
              <w:autoSpaceDN w:val="0"/>
              <w:spacing w:line="333" w:lineRule="auto"/>
              <w:ind w:left="123" w:right="105"/>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样品比 例%</w:t>
            </w:r>
          </w:p>
        </w:tc>
        <w:tc>
          <w:tcPr>
            <w:tcW w:w="224" w:type="pct"/>
            <w:tcBorders>
              <w:top w:val="single" w:color="000000" w:sz="4" w:space="0"/>
              <w:left w:val="single" w:color="000000" w:sz="4" w:space="0"/>
              <w:right w:val="single" w:color="000000" w:sz="4" w:space="0"/>
            </w:tcBorders>
          </w:tcPr>
          <w:p w14:paraId="6020323D">
            <w:pPr>
              <w:widowControl w:val="0"/>
              <w:autoSpaceDE w:val="0"/>
              <w:autoSpaceDN w:val="0"/>
              <w:spacing w:before="11"/>
              <w:rPr>
                <w:rFonts w:ascii="黑体" w:hAnsi="宋体" w:eastAsia="宋体" w:cs="宋体"/>
                <w:sz w:val="15"/>
                <w:szCs w:val="22"/>
                <w:lang w:val="en-US" w:eastAsia="en-US" w:bidi="ar-SA"/>
              </w:rPr>
            </w:pPr>
          </w:p>
          <w:p w14:paraId="50BC8E99">
            <w:pPr>
              <w:widowControl w:val="0"/>
              <w:autoSpaceDE w:val="0"/>
              <w:autoSpaceDN w:val="0"/>
              <w:spacing w:line="333" w:lineRule="auto"/>
              <w:ind w:left="124" w:right="104"/>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相对偏差范围</w:t>
            </w:r>
          </w:p>
        </w:tc>
        <w:tc>
          <w:tcPr>
            <w:tcW w:w="226" w:type="pct"/>
            <w:tcBorders>
              <w:top w:val="single" w:color="000000" w:sz="4" w:space="0"/>
              <w:left w:val="single" w:color="000000" w:sz="4" w:space="0"/>
              <w:right w:val="single" w:color="000000" w:sz="4" w:space="0"/>
            </w:tcBorders>
          </w:tcPr>
          <w:p w14:paraId="33D0CD83">
            <w:pPr>
              <w:widowControl w:val="0"/>
              <w:autoSpaceDE w:val="0"/>
              <w:autoSpaceDN w:val="0"/>
              <w:rPr>
                <w:rFonts w:ascii="黑体" w:hAnsi="宋体" w:eastAsia="宋体" w:cs="宋体"/>
                <w:sz w:val="18"/>
                <w:szCs w:val="22"/>
                <w:lang w:val="en-US" w:eastAsia="en-US" w:bidi="ar-SA"/>
              </w:rPr>
            </w:pPr>
          </w:p>
          <w:p w14:paraId="5DBDB15A">
            <w:pPr>
              <w:widowControl w:val="0"/>
              <w:autoSpaceDE w:val="0"/>
              <w:autoSpaceDN w:val="0"/>
              <w:spacing w:before="133" w:line="333" w:lineRule="auto"/>
              <w:ind w:left="170" w:right="105" w:hanging="44"/>
              <w:rPr>
                <w:rFonts w:ascii="宋体" w:hAnsi="宋体" w:eastAsia="宋体" w:cs="宋体"/>
                <w:sz w:val="18"/>
                <w:szCs w:val="22"/>
                <w:lang w:val="en-US" w:eastAsia="en-US" w:bidi="ar-SA"/>
              </w:rPr>
            </w:pPr>
            <w:r>
              <w:rPr>
                <w:rFonts w:ascii="宋体" w:hAnsi="宋体" w:eastAsia="宋体" w:cs="宋体"/>
                <w:sz w:val="18"/>
                <w:szCs w:val="22"/>
                <w:lang w:val="en-US" w:eastAsia="en-US" w:bidi="ar-SA"/>
              </w:rPr>
              <w:t>合格率%</w:t>
            </w:r>
          </w:p>
        </w:tc>
        <w:tc>
          <w:tcPr>
            <w:tcW w:w="228" w:type="pct"/>
            <w:tcBorders>
              <w:top w:val="single" w:color="000000" w:sz="4" w:space="0"/>
              <w:left w:val="single" w:color="000000" w:sz="4" w:space="0"/>
              <w:right w:val="single" w:color="000000" w:sz="4" w:space="0"/>
            </w:tcBorders>
          </w:tcPr>
          <w:p w14:paraId="3F6D1B58">
            <w:pPr>
              <w:widowControl w:val="0"/>
              <w:autoSpaceDE w:val="0"/>
              <w:autoSpaceDN w:val="0"/>
              <w:rPr>
                <w:rFonts w:ascii="黑体" w:hAnsi="宋体" w:eastAsia="宋体" w:cs="宋体"/>
                <w:sz w:val="18"/>
                <w:szCs w:val="22"/>
                <w:lang w:val="en-US" w:eastAsia="en-US" w:bidi="ar-SA"/>
              </w:rPr>
            </w:pPr>
          </w:p>
          <w:p w14:paraId="76B0573F">
            <w:pPr>
              <w:widowControl w:val="0"/>
              <w:autoSpaceDE w:val="0"/>
              <w:autoSpaceDN w:val="0"/>
              <w:spacing w:before="12"/>
              <w:rPr>
                <w:rFonts w:ascii="黑体" w:hAnsi="宋体" w:eastAsia="宋体" w:cs="宋体"/>
                <w:sz w:val="22"/>
                <w:szCs w:val="22"/>
                <w:lang w:val="en-US" w:eastAsia="en-US" w:bidi="ar-SA"/>
              </w:rPr>
            </w:pPr>
          </w:p>
          <w:p w14:paraId="343813E1">
            <w:pPr>
              <w:widowControl w:val="0"/>
              <w:autoSpaceDE w:val="0"/>
              <w:autoSpaceDN w:val="0"/>
              <w:ind w:left="129"/>
              <w:rPr>
                <w:rFonts w:ascii="宋体" w:hAnsi="宋体" w:eastAsia="宋体" w:cs="宋体"/>
                <w:sz w:val="18"/>
                <w:szCs w:val="22"/>
                <w:lang w:val="en-US" w:eastAsia="en-US" w:bidi="ar-SA"/>
              </w:rPr>
            </w:pPr>
            <w:r>
              <w:rPr>
                <w:rFonts w:ascii="宋体" w:hAnsi="宋体" w:eastAsia="宋体" w:cs="宋体"/>
                <w:sz w:val="18"/>
                <w:szCs w:val="22"/>
                <w:lang w:val="en-US" w:eastAsia="en-US" w:bidi="ar-SA"/>
              </w:rPr>
              <w:t>个数</w:t>
            </w:r>
          </w:p>
        </w:tc>
        <w:tc>
          <w:tcPr>
            <w:tcW w:w="222" w:type="pct"/>
            <w:tcBorders>
              <w:top w:val="single" w:color="000000" w:sz="4" w:space="0"/>
              <w:left w:val="single" w:color="000000" w:sz="4" w:space="0"/>
              <w:right w:val="single" w:color="000000" w:sz="4" w:space="0"/>
            </w:tcBorders>
          </w:tcPr>
          <w:p w14:paraId="7D7FF12A">
            <w:pPr>
              <w:widowControl w:val="0"/>
              <w:autoSpaceDE w:val="0"/>
              <w:autoSpaceDN w:val="0"/>
              <w:spacing w:before="11"/>
              <w:rPr>
                <w:rFonts w:ascii="黑体" w:hAnsi="宋体" w:eastAsia="宋体" w:cs="宋体"/>
                <w:sz w:val="15"/>
                <w:szCs w:val="22"/>
                <w:lang w:val="en-US" w:eastAsia="en-US" w:bidi="ar-SA"/>
              </w:rPr>
            </w:pPr>
          </w:p>
          <w:p w14:paraId="44C3082A">
            <w:pPr>
              <w:widowControl w:val="0"/>
              <w:autoSpaceDE w:val="0"/>
              <w:autoSpaceDN w:val="0"/>
              <w:spacing w:line="333" w:lineRule="auto"/>
              <w:ind w:left="121" w:right="100"/>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样品比 例%</w:t>
            </w:r>
          </w:p>
        </w:tc>
        <w:tc>
          <w:tcPr>
            <w:tcW w:w="226" w:type="pct"/>
            <w:tcBorders>
              <w:top w:val="single" w:color="000000" w:sz="4" w:space="0"/>
              <w:left w:val="single" w:color="000000" w:sz="4" w:space="0"/>
              <w:right w:val="single" w:color="000000" w:sz="4" w:space="0"/>
            </w:tcBorders>
          </w:tcPr>
          <w:p w14:paraId="6FA9A11B">
            <w:pPr>
              <w:widowControl w:val="0"/>
              <w:autoSpaceDE w:val="0"/>
              <w:autoSpaceDN w:val="0"/>
              <w:rPr>
                <w:rFonts w:ascii="黑体" w:hAnsi="宋体" w:eastAsia="宋体" w:cs="宋体"/>
                <w:sz w:val="18"/>
                <w:szCs w:val="22"/>
                <w:lang w:val="en-US" w:eastAsia="en-US" w:bidi="ar-SA"/>
              </w:rPr>
            </w:pPr>
          </w:p>
          <w:p w14:paraId="3AA9C01B">
            <w:pPr>
              <w:widowControl w:val="0"/>
              <w:autoSpaceDE w:val="0"/>
              <w:autoSpaceDN w:val="0"/>
              <w:spacing w:before="133" w:line="333" w:lineRule="auto"/>
              <w:ind w:left="127" w:right="106"/>
              <w:rPr>
                <w:rFonts w:ascii="宋体" w:hAnsi="宋体" w:eastAsia="宋体" w:cs="宋体"/>
                <w:sz w:val="18"/>
                <w:szCs w:val="22"/>
                <w:lang w:val="en-US" w:eastAsia="en-US" w:bidi="ar-SA"/>
              </w:rPr>
            </w:pPr>
            <w:r>
              <w:rPr>
                <w:rFonts w:ascii="宋体" w:hAnsi="宋体" w:eastAsia="宋体" w:cs="宋体"/>
                <w:sz w:val="18"/>
                <w:szCs w:val="22"/>
                <w:lang w:val="en-US" w:eastAsia="en-US" w:bidi="ar-SA"/>
              </w:rPr>
              <w:t>数据范围</w:t>
            </w:r>
          </w:p>
        </w:tc>
        <w:tc>
          <w:tcPr>
            <w:tcW w:w="224" w:type="pct"/>
            <w:tcBorders>
              <w:top w:val="single" w:color="000000" w:sz="4" w:space="0"/>
              <w:left w:val="single" w:color="000000" w:sz="4" w:space="0"/>
              <w:right w:val="single" w:color="000000" w:sz="4" w:space="0"/>
            </w:tcBorders>
          </w:tcPr>
          <w:p w14:paraId="75D785CF">
            <w:pPr>
              <w:widowControl w:val="0"/>
              <w:autoSpaceDE w:val="0"/>
              <w:autoSpaceDN w:val="0"/>
              <w:rPr>
                <w:rFonts w:ascii="黑体" w:hAnsi="宋体" w:eastAsia="宋体" w:cs="宋体"/>
                <w:sz w:val="18"/>
                <w:szCs w:val="22"/>
                <w:lang w:val="en-US" w:eastAsia="en-US" w:bidi="ar-SA"/>
              </w:rPr>
            </w:pPr>
          </w:p>
          <w:p w14:paraId="742961D3">
            <w:pPr>
              <w:widowControl w:val="0"/>
              <w:autoSpaceDE w:val="0"/>
              <w:autoSpaceDN w:val="0"/>
              <w:spacing w:before="133" w:line="333" w:lineRule="auto"/>
              <w:ind w:left="169" w:right="104" w:hanging="46"/>
              <w:rPr>
                <w:rFonts w:ascii="宋体" w:hAnsi="宋体" w:eastAsia="宋体" w:cs="宋体"/>
                <w:sz w:val="18"/>
                <w:szCs w:val="22"/>
                <w:lang w:val="en-US" w:eastAsia="en-US" w:bidi="ar-SA"/>
              </w:rPr>
            </w:pPr>
            <w:r>
              <w:rPr>
                <w:rFonts w:ascii="宋体" w:hAnsi="宋体" w:eastAsia="宋体" w:cs="宋体"/>
                <w:sz w:val="18"/>
                <w:szCs w:val="22"/>
                <w:lang w:val="en-US" w:eastAsia="en-US" w:bidi="ar-SA"/>
              </w:rPr>
              <w:t>合格率%</w:t>
            </w:r>
          </w:p>
        </w:tc>
        <w:tc>
          <w:tcPr>
            <w:tcW w:w="225" w:type="pct"/>
            <w:tcBorders>
              <w:top w:val="single" w:color="000000" w:sz="4" w:space="0"/>
              <w:left w:val="single" w:color="000000" w:sz="4" w:space="0"/>
              <w:right w:val="single" w:color="000000" w:sz="4" w:space="0"/>
            </w:tcBorders>
          </w:tcPr>
          <w:p w14:paraId="6AE5ED04">
            <w:pPr>
              <w:widowControl w:val="0"/>
              <w:autoSpaceDE w:val="0"/>
              <w:autoSpaceDN w:val="0"/>
              <w:rPr>
                <w:rFonts w:ascii="黑体" w:hAnsi="宋体" w:eastAsia="宋体" w:cs="宋体"/>
                <w:sz w:val="18"/>
                <w:szCs w:val="22"/>
                <w:lang w:val="en-US" w:eastAsia="en-US" w:bidi="ar-SA"/>
              </w:rPr>
            </w:pPr>
          </w:p>
          <w:p w14:paraId="782DA101">
            <w:pPr>
              <w:widowControl w:val="0"/>
              <w:autoSpaceDE w:val="0"/>
              <w:autoSpaceDN w:val="0"/>
              <w:spacing w:before="12"/>
              <w:rPr>
                <w:rFonts w:ascii="黑体" w:hAnsi="宋体" w:eastAsia="宋体" w:cs="宋体"/>
                <w:sz w:val="22"/>
                <w:szCs w:val="22"/>
                <w:lang w:val="en-US" w:eastAsia="en-US" w:bidi="ar-SA"/>
              </w:rPr>
            </w:pPr>
          </w:p>
          <w:p w14:paraId="6E2827E4">
            <w:pPr>
              <w:widowControl w:val="0"/>
              <w:autoSpaceDE w:val="0"/>
              <w:autoSpaceDN w:val="0"/>
              <w:ind w:left="126"/>
              <w:rPr>
                <w:rFonts w:ascii="宋体" w:hAnsi="宋体" w:eastAsia="宋体" w:cs="宋体"/>
                <w:sz w:val="18"/>
                <w:szCs w:val="22"/>
                <w:lang w:val="en-US" w:eastAsia="en-US" w:bidi="ar-SA"/>
              </w:rPr>
            </w:pPr>
            <w:r>
              <w:rPr>
                <w:rFonts w:ascii="宋体" w:hAnsi="宋体" w:eastAsia="宋体" w:cs="宋体"/>
                <w:sz w:val="18"/>
                <w:szCs w:val="22"/>
                <w:lang w:val="en-US" w:eastAsia="en-US" w:bidi="ar-SA"/>
              </w:rPr>
              <w:t>个数</w:t>
            </w:r>
          </w:p>
        </w:tc>
        <w:tc>
          <w:tcPr>
            <w:tcW w:w="225" w:type="pct"/>
            <w:tcBorders>
              <w:top w:val="single" w:color="000000" w:sz="4" w:space="0"/>
              <w:left w:val="single" w:color="000000" w:sz="4" w:space="0"/>
              <w:right w:val="single" w:color="000000" w:sz="4" w:space="0"/>
            </w:tcBorders>
          </w:tcPr>
          <w:p w14:paraId="79DD4FFE">
            <w:pPr>
              <w:widowControl w:val="0"/>
              <w:autoSpaceDE w:val="0"/>
              <w:autoSpaceDN w:val="0"/>
              <w:spacing w:before="11"/>
              <w:rPr>
                <w:rFonts w:ascii="黑体" w:hAnsi="宋体" w:eastAsia="宋体" w:cs="宋体"/>
                <w:sz w:val="15"/>
                <w:szCs w:val="22"/>
                <w:lang w:val="en-US" w:eastAsia="en-US" w:bidi="ar-SA"/>
              </w:rPr>
            </w:pPr>
          </w:p>
          <w:p w14:paraId="3499BCDE">
            <w:pPr>
              <w:widowControl w:val="0"/>
              <w:autoSpaceDE w:val="0"/>
              <w:autoSpaceDN w:val="0"/>
              <w:spacing w:line="333" w:lineRule="auto"/>
              <w:ind w:left="124" w:right="105"/>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样品比 例%</w:t>
            </w:r>
          </w:p>
        </w:tc>
        <w:tc>
          <w:tcPr>
            <w:tcW w:w="229" w:type="pct"/>
            <w:tcBorders>
              <w:top w:val="single" w:color="000000" w:sz="4" w:space="0"/>
              <w:left w:val="single" w:color="000000" w:sz="4" w:space="0"/>
              <w:right w:val="single" w:color="000000" w:sz="4" w:space="0"/>
            </w:tcBorders>
          </w:tcPr>
          <w:p w14:paraId="080C46D4">
            <w:pPr>
              <w:widowControl w:val="0"/>
              <w:autoSpaceDE w:val="0"/>
              <w:autoSpaceDN w:val="0"/>
              <w:spacing w:before="11"/>
              <w:rPr>
                <w:rFonts w:ascii="黑体" w:hAnsi="宋体" w:eastAsia="宋体" w:cs="宋体"/>
                <w:sz w:val="15"/>
                <w:szCs w:val="22"/>
                <w:lang w:val="en-US" w:eastAsia="en-US" w:bidi="ar-SA"/>
              </w:rPr>
            </w:pPr>
          </w:p>
          <w:p w14:paraId="67F44F4D">
            <w:pPr>
              <w:widowControl w:val="0"/>
              <w:autoSpaceDE w:val="0"/>
              <w:autoSpaceDN w:val="0"/>
              <w:spacing w:line="333" w:lineRule="auto"/>
              <w:ind w:left="124" w:right="114"/>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相对偏差范围</w:t>
            </w:r>
          </w:p>
        </w:tc>
        <w:tc>
          <w:tcPr>
            <w:tcW w:w="223" w:type="pct"/>
            <w:tcBorders>
              <w:top w:val="single" w:color="000000" w:sz="4" w:space="0"/>
              <w:left w:val="single" w:color="000000" w:sz="4" w:space="0"/>
              <w:right w:val="single" w:color="000000" w:sz="4" w:space="0"/>
            </w:tcBorders>
          </w:tcPr>
          <w:p w14:paraId="58BE5CD4">
            <w:pPr>
              <w:widowControl w:val="0"/>
              <w:autoSpaceDE w:val="0"/>
              <w:autoSpaceDN w:val="0"/>
              <w:rPr>
                <w:rFonts w:ascii="黑体" w:hAnsi="宋体" w:eastAsia="宋体" w:cs="宋体"/>
                <w:sz w:val="18"/>
                <w:szCs w:val="22"/>
                <w:lang w:val="en-US" w:eastAsia="en-US" w:bidi="ar-SA"/>
              </w:rPr>
            </w:pPr>
          </w:p>
          <w:p w14:paraId="09801551">
            <w:pPr>
              <w:widowControl w:val="0"/>
              <w:autoSpaceDE w:val="0"/>
              <w:autoSpaceDN w:val="0"/>
              <w:spacing w:before="133" w:line="333" w:lineRule="auto"/>
              <w:ind w:left="164" w:right="107" w:hanging="46"/>
              <w:rPr>
                <w:rFonts w:ascii="宋体" w:hAnsi="宋体" w:eastAsia="宋体" w:cs="宋体"/>
                <w:sz w:val="18"/>
                <w:szCs w:val="22"/>
                <w:lang w:val="en-US" w:eastAsia="en-US" w:bidi="ar-SA"/>
              </w:rPr>
            </w:pPr>
            <w:r>
              <w:rPr>
                <w:rFonts w:ascii="宋体" w:hAnsi="宋体" w:eastAsia="宋体" w:cs="宋体"/>
                <w:sz w:val="18"/>
                <w:szCs w:val="22"/>
                <w:lang w:val="en-US" w:eastAsia="en-US" w:bidi="ar-SA"/>
              </w:rPr>
              <w:t>合格率%</w:t>
            </w:r>
          </w:p>
        </w:tc>
        <w:tc>
          <w:tcPr>
            <w:tcW w:w="225" w:type="pct"/>
            <w:tcBorders>
              <w:top w:val="single" w:color="000000" w:sz="4" w:space="0"/>
              <w:left w:val="single" w:color="000000" w:sz="4" w:space="0"/>
              <w:right w:val="single" w:color="000000" w:sz="4" w:space="0"/>
            </w:tcBorders>
          </w:tcPr>
          <w:p w14:paraId="621C10B6">
            <w:pPr>
              <w:widowControl w:val="0"/>
              <w:autoSpaceDE w:val="0"/>
              <w:autoSpaceDN w:val="0"/>
              <w:rPr>
                <w:rFonts w:ascii="黑体" w:hAnsi="宋体" w:eastAsia="宋体" w:cs="宋体"/>
                <w:sz w:val="18"/>
                <w:szCs w:val="22"/>
                <w:lang w:val="en-US" w:eastAsia="en-US" w:bidi="ar-SA"/>
              </w:rPr>
            </w:pPr>
          </w:p>
          <w:p w14:paraId="5858A99D">
            <w:pPr>
              <w:widowControl w:val="0"/>
              <w:autoSpaceDE w:val="0"/>
              <w:autoSpaceDN w:val="0"/>
              <w:spacing w:before="12"/>
              <w:rPr>
                <w:rFonts w:ascii="黑体" w:hAnsi="宋体" w:eastAsia="宋体" w:cs="宋体"/>
                <w:sz w:val="22"/>
                <w:szCs w:val="22"/>
                <w:lang w:val="en-US" w:eastAsia="en-US" w:bidi="ar-SA"/>
              </w:rPr>
            </w:pPr>
          </w:p>
          <w:p w14:paraId="13E3BCD1">
            <w:pPr>
              <w:widowControl w:val="0"/>
              <w:autoSpaceDE w:val="0"/>
              <w:autoSpaceDN w:val="0"/>
              <w:ind w:left="125"/>
              <w:rPr>
                <w:rFonts w:ascii="宋体" w:hAnsi="宋体" w:eastAsia="宋体" w:cs="宋体"/>
                <w:sz w:val="18"/>
                <w:szCs w:val="22"/>
                <w:lang w:val="en-US" w:eastAsia="en-US" w:bidi="ar-SA"/>
              </w:rPr>
            </w:pPr>
            <w:r>
              <w:rPr>
                <w:rFonts w:ascii="宋体" w:hAnsi="宋体" w:eastAsia="宋体" w:cs="宋体"/>
                <w:sz w:val="18"/>
                <w:szCs w:val="22"/>
                <w:lang w:val="en-US" w:eastAsia="en-US" w:bidi="ar-SA"/>
              </w:rPr>
              <w:t>个数</w:t>
            </w:r>
          </w:p>
        </w:tc>
        <w:tc>
          <w:tcPr>
            <w:tcW w:w="225" w:type="pct"/>
            <w:tcBorders>
              <w:top w:val="single" w:color="000000" w:sz="4" w:space="0"/>
              <w:left w:val="single" w:color="000000" w:sz="4" w:space="0"/>
              <w:right w:val="single" w:color="000000" w:sz="4" w:space="0"/>
            </w:tcBorders>
          </w:tcPr>
          <w:p w14:paraId="3D0BA1BB">
            <w:pPr>
              <w:widowControl w:val="0"/>
              <w:autoSpaceDE w:val="0"/>
              <w:autoSpaceDN w:val="0"/>
              <w:spacing w:before="11"/>
              <w:rPr>
                <w:rFonts w:ascii="黑体" w:hAnsi="宋体" w:eastAsia="宋体" w:cs="宋体"/>
                <w:sz w:val="15"/>
                <w:szCs w:val="22"/>
                <w:lang w:val="en-US" w:eastAsia="en-US" w:bidi="ar-SA"/>
              </w:rPr>
            </w:pPr>
          </w:p>
          <w:p w14:paraId="0BF67E75">
            <w:pPr>
              <w:widowControl w:val="0"/>
              <w:autoSpaceDE w:val="0"/>
              <w:autoSpaceDN w:val="0"/>
              <w:spacing w:line="333" w:lineRule="auto"/>
              <w:ind w:left="122" w:right="108"/>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样品比 例%</w:t>
            </w:r>
          </w:p>
        </w:tc>
        <w:tc>
          <w:tcPr>
            <w:tcW w:w="225" w:type="pct"/>
            <w:tcBorders>
              <w:top w:val="single" w:color="000000" w:sz="4" w:space="0"/>
              <w:left w:val="single" w:color="000000" w:sz="4" w:space="0"/>
              <w:right w:val="single" w:color="000000" w:sz="4" w:space="0"/>
            </w:tcBorders>
          </w:tcPr>
          <w:p w14:paraId="0D466B2D">
            <w:pPr>
              <w:widowControl w:val="0"/>
              <w:autoSpaceDE w:val="0"/>
              <w:autoSpaceDN w:val="0"/>
              <w:spacing w:before="40" w:line="336" w:lineRule="auto"/>
              <w:ind w:left="121" w:right="109"/>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加标回收率范</w:t>
            </w:r>
          </w:p>
          <w:p w14:paraId="5BC8F99D">
            <w:pPr>
              <w:widowControl w:val="0"/>
              <w:autoSpaceDE w:val="0"/>
              <w:autoSpaceDN w:val="0"/>
              <w:spacing w:line="229" w:lineRule="exact"/>
              <w:ind w:left="13"/>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围</w:t>
            </w:r>
          </w:p>
        </w:tc>
        <w:tc>
          <w:tcPr>
            <w:tcW w:w="192" w:type="pct"/>
            <w:tcBorders>
              <w:top w:val="single" w:color="000000" w:sz="4" w:space="0"/>
              <w:left w:val="single" w:color="000000" w:sz="4" w:space="0"/>
              <w:right w:val="single" w:color="000000" w:sz="4" w:space="0"/>
            </w:tcBorders>
          </w:tcPr>
          <w:p w14:paraId="7031FE89">
            <w:pPr>
              <w:widowControl w:val="0"/>
              <w:autoSpaceDE w:val="0"/>
              <w:autoSpaceDN w:val="0"/>
              <w:spacing w:before="11"/>
              <w:rPr>
                <w:rFonts w:ascii="黑体" w:hAnsi="宋体" w:eastAsia="宋体" w:cs="宋体"/>
                <w:sz w:val="15"/>
                <w:szCs w:val="22"/>
                <w:lang w:val="en-US" w:eastAsia="en-US" w:bidi="ar-SA"/>
              </w:rPr>
            </w:pPr>
          </w:p>
          <w:p w14:paraId="6896B8C6">
            <w:pPr>
              <w:widowControl w:val="0"/>
              <w:autoSpaceDE w:val="0"/>
              <w:autoSpaceDN w:val="0"/>
              <w:spacing w:line="333" w:lineRule="auto"/>
              <w:ind w:left="121" w:right="109" w:firstLine="45"/>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合格率%</w:t>
            </w:r>
          </w:p>
        </w:tc>
        <w:tc>
          <w:tcPr>
            <w:tcW w:w="191" w:type="pct"/>
            <w:tcBorders>
              <w:top w:val="single" w:color="000000" w:sz="4" w:space="0"/>
              <w:left w:val="single" w:color="000000" w:sz="4" w:space="0"/>
              <w:right w:val="single" w:color="000000" w:sz="4" w:space="0"/>
            </w:tcBorders>
          </w:tcPr>
          <w:p w14:paraId="79CFB4FF">
            <w:pPr>
              <w:widowControl w:val="0"/>
              <w:autoSpaceDE w:val="0"/>
              <w:autoSpaceDN w:val="0"/>
              <w:rPr>
                <w:rFonts w:ascii="黑体" w:hAnsi="宋体" w:eastAsia="宋体" w:cs="宋体"/>
                <w:sz w:val="18"/>
                <w:szCs w:val="22"/>
                <w:lang w:val="en-US" w:eastAsia="en-US" w:bidi="ar-SA"/>
              </w:rPr>
            </w:pPr>
          </w:p>
          <w:p w14:paraId="10CAE567">
            <w:pPr>
              <w:widowControl w:val="0"/>
              <w:autoSpaceDE w:val="0"/>
              <w:autoSpaceDN w:val="0"/>
              <w:spacing w:before="133" w:line="333" w:lineRule="auto"/>
              <w:ind w:left="164" w:right="154"/>
              <w:rPr>
                <w:rFonts w:ascii="宋体" w:hAnsi="宋体" w:eastAsia="宋体" w:cs="宋体"/>
                <w:sz w:val="18"/>
                <w:szCs w:val="22"/>
                <w:lang w:val="en-US" w:eastAsia="en-US" w:bidi="ar-SA"/>
              </w:rPr>
            </w:pPr>
            <w:r>
              <w:rPr>
                <w:rFonts w:ascii="宋体" w:hAnsi="宋体" w:eastAsia="宋体" w:cs="宋体"/>
                <w:sz w:val="18"/>
                <w:szCs w:val="22"/>
                <w:lang w:val="en-US" w:eastAsia="en-US" w:bidi="ar-SA"/>
              </w:rPr>
              <w:t>个数</w:t>
            </w:r>
          </w:p>
        </w:tc>
        <w:tc>
          <w:tcPr>
            <w:tcW w:w="192" w:type="pct"/>
            <w:tcBorders>
              <w:top w:val="single" w:color="000000" w:sz="4" w:space="0"/>
              <w:left w:val="single" w:color="000000" w:sz="4" w:space="0"/>
              <w:right w:val="single" w:color="000000" w:sz="4" w:space="0"/>
            </w:tcBorders>
          </w:tcPr>
          <w:p w14:paraId="14FF6181">
            <w:pPr>
              <w:widowControl w:val="0"/>
              <w:autoSpaceDE w:val="0"/>
              <w:autoSpaceDN w:val="0"/>
              <w:spacing w:before="40" w:line="336" w:lineRule="auto"/>
              <w:ind w:left="165" w:right="156"/>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样品比</w:t>
            </w:r>
          </w:p>
          <w:p w14:paraId="6D957C19">
            <w:pPr>
              <w:widowControl w:val="0"/>
              <w:autoSpaceDE w:val="0"/>
              <w:autoSpaceDN w:val="0"/>
              <w:spacing w:line="229" w:lineRule="exact"/>
              <w:ind w:left="119"/>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例%</w:t>
            </w:r>
          </w:p>
        </w:tc>
        <w:tc>
          <w:tcPr>
            <w:tcW w:w="186" w:type="pct"/>
            <w:tcBorders>
              <w:top w:val="single" w:color="000000" w:sz="4" w:space="0"/>
              <w:left w:val="single" w:color="000000" w:sz="4" w:space="0"/>
              <w:right w:val="single" w:color="000000" w:sz="4" w:space="0"/>
            </w:tcBorders>
          </w:tcPr>
          <w:p w14:paraId="685ECC48">
            <w:pPr>
              <w:widowControl w:val="0"/>
              <w:autoSpaceDE w:val="0"/>
              <w:autoSpaceDN w:val="0"/>
              <w:spacing w:before="40" w:line="336" w:lineRule="auto"/>
              <w:ind w:left="157" w:right="149"/>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数据范</w:t>
            </w:r>
          </w:p>
          <w:p w14:paraId="3D051E95">
            <w:pPr>
              <w:widowControl w:val="0"/>
              <w:autoSpaceDE w:val="0"/>
              <w:autoSpaceDN w:val="0"/>
              <w:spacing w:line="229" w:lineRule="exact"/>
              <w:ind w:left="157"/>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围</w:t>
            </w:r>
          </w:p>
        </w:tc>
        <w:tc>
          <w:tcPr>
            <w:tcW w:w="181" w:type="pct"/>
            <w:tcBorders>
              <w:top w:val="single" w:color="000000" w:sz="4" w:space="0"/>
              <w:left w:val="single" w:color="000000" w:sz="4" w:space="0"/>
            </w:tcBorders>
          </w:tcPr>
          <w:p w14:paraId="384636FC">
            <w:pPr>
              <w:widowControl w:val="0"/>
              <w:autoSpaceDE w:val="0"/>
              <w:autoSpaceDN w:val="0"/>
              <w:spacing w:before="40" w:line="336" w:lineRule="auto"/>
              <w:ind w:left="145" w:right="138"/>
              <w:jc w:val="both"/>
              <w:rPr>
                <w:rFonts w:ascii="宋体" w:hAnsi="宋体" w:eastAsia="宋体" w:cs="宋体"/>
                <w:sz w:val="18"/>
                <w:szCs w:val="22"/>
                <w:lang w:val="en-US" w:eastAsia="en-US" w:bidi="ar-SA"/>
              </w:rPr>
            </w:pPr>
            <w:r>
              <w:rPr>
                <w:rFonts w:ascii="宋体" w:hAnsi="宋体" w:eastAsia="宋体" w:cs="宋体"/>
                <w:sz w:val="18"/>
                <w:szCs w:val="22"/>
                <w:lang w:val="en-US" w:eastAsia="en-US" w:bidi="ar-SA"/>
              </w:rPr>
              <w:t>合格率</w:t>
            </w:r>
          </w:p>
          <w:p w14:paraId="489967BC">
            <w:pPr>
              <w:widowControl w:val="0"/>
              <w:autoSpaceDE w:val="0"/>
              <w:autoSpaceDN w:val="0"/>
              <w:spacing w:line="229" w:lineRule="exact"/>
              <w:ind w:left="6"/>
              <w:jc w:val="center"/>
              <w:rPr>
                <w:rFonts w:ascii="宋体" w:hAnsi="宋体" w:eastAsia="宋体" w:cs="宋体"/>
                <w:sz w:val="18"/>
                <w:szCs w:val="22"/>
                <w:lang w:val="en-US" w:eastAsia="en-US" w:bidi="ar-SA"/>
              </w:rPr>
            </w:pPr>
            <w:r>
              <w:rPr>
                <w:rFonts w:ascii="宋体" w:hAnsi="宋体" w:eastAsia="宋体" w:cs="宋体"/>
                <w:sz w:val="18"/>
                <w:szCs w:val="22"/>
                <w:lang w:val="en-US" w:eastAsia="en-US" w:bidi="ar-SA"/>
              </w:rPr>
              <w:t>%</w:t>
            </w:r>
          </w:p>
        </w:tc>
      </w:tr>
      <w:tr w14:paraId="4CA694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223" w:type="pct"/>
            <w:tcBorders>
              <w:bottom w:val="single" w:color="000000" w:sz="4" w:space="0"/>
              <w:right w:val="single" w:color="000000" w:sz="4" w:space="0"/>
            </w:tcBorders>
          </w:tcPr>
          <w:p w14:paraId="5BC003CB">
            <w:pPr>
              <w:widowControl w:val="0"/>
              <w:autoSpaceDE w:val="0"/>
              <w:autoSpaceDN w:val="0"/>
              <w:rPr>
                <w:rFonts w:ascii="Times New Roman" w:hAnsi="宋体" w:eastAsia="宋体" w:cs="宋体"/>
                <w:sz w:val="18"/>
                <w:szCs w:val="22"/>
                <w:lang w:val="en-US" w:eastAsia="en-US" w:bidi="ar-SA"/>
              </w:rPr>
            </w:pPr>
          </w:p>
        </w:tc>
        <w:tc>
          <w:tcPr>
            <w:tcW w:w="210" w:type="pct"/>
            <w:tcBorders>
              <w:left w:val="single" w:color="000000" w:sz="4" w:space="0"/>
              <w:bottom w:val="single" w:color="000000" w:sz="4" w:space="0"/>
              <w:right w:val="single" w:color="000000" w:sz="4" w:space="0"/>
            </w:tcBorders>
          </w:tcPr>
          <w:p w14:paraId="10655DB5">
            <w:pPr>
              <w:widowControl w:val="0"/>
              <w:autoSpaceDE w:val="0"/>
              <w:autoSpaceDN w:val="0"/>
              <w:rPr>
                <w:rFonts w:ascii="Times New Roman" w:hAnsi="宋体" w:eastAsia="宋体" w:cs="宋体"/>
                <w:sz w:val="18"/>
                <w:szCs w:val="22"/>
                <w:lang w:val="en-US" w:eastAsia="en-US" w:bidi="ar-SA"/>
              </w:rPr>
            </w:pPr>
          </w:p>
        </w:tc>
        <w:tc>
          <w:tcPr>
            <w:tcW w:w="238" w:type="pct"/>
            <w:tcBorders>
              <w:left w:val="single" w:color="000000" w:sz="4" w:space="0"/>
              <w:bottom w:val="single" w:color="000000" w:sz="4" w:space="0"/>
              <w:right w:val="single" w:color="000000" w:sz="4" w:space="0"/>
            </w:tcBorders>
          </w:tcPr>
          <w:p w14:paraId="21D07749">
            <w:pPr>
              <w:widowControl w:val="0"/>
              <w:autoSpaceDE w:val="0"/>
              <w:autoSpaceDN w:val="0"/>
              <w:rPr>
                <w:rFonts w:ascii="Times New Roman" w:hAnsi="宋体" w:eastAsia="宋体" w:cs="宋体"/>
                <w:sz w:val="18"/>
                <w:szCs w:val="22"/>
                <w:lang w:val="en-US" w:eastAsia="en-US" w:bidi="ar-SA"/>
              </w:rPr>
            </w:pPr>
          </w:p>
        </w:tc>
        <w:tc>
          <w:tcPr>
            <w:tcW w:w="224" w:type="pct"/>
            <w:tcBorders>
              <w:left w:val="single" w:color="000000" w:sz="4" w:space="0"/>
              <w:bottom w:val="single" w:color="000000" w:sz="4" w:space="0"/>
              <w:right w:val="single" w:color="000000" w:sz="4" w:space="0"/>
            </w:tcBorders>
          </w:tcPr>
          <w:p w14:paraId="0AD9ECAD">
            <w:pPr>
              <w:widowControl w:val="0"/>
              <w:autoSpaceDE w:val="0"/>
              <w:autoSpaceDN w:val="0"/>
              <w:rPr>
                <w:rFonts w:ascii="Times New Roman" w:hAnsi="宋体" w:eastAsia="宋体" w:cs="宋体"/>
                <w:sz w:val="18"/>
                <w:szCs w:val="22"/>
                <w:lang w:val="en-US" w:eastAsia="en-US" w:bidi="ar-SA"/>
              </w:rPr>
            </w:pPr>
          </w:p>
        </w:tc>
        <w:tc>
          <w:tcPr>
            <w:tcW w:w="224" w:type="pct"/>
            <w:tcBorders>
              <w:left w:val="single" w:color="000000" w:sz="4" w:space="0"/>
              <w:bottom w:val="single" w:color="000000" w:sz="4" w:space="0"/>
              <w:right w:val="single" w:color="000000" w:sz="4" w:space="0"/>
            </w:tcBorders>
          </w:tcPr>
          <w:p w14:paraId="4DA2251E">
            <w:pPr>
              <w:widowControl w:val="0"/>
              <w:autoSpaceDE w:val="0"/>
              <w:autoSpaceDN w:val="0"/>
              <w:rPr>
                <w:rFonts w:ascii="Times New Roman" w:hAnsi="宋体" w:eastAsia="宋体" w:cs="宋体"/>
                <w:sz w:val="18"/>
                <w:szCs w:val="22"/>
                <w:lang w:val="en-US" w:eastAsia="en-US" w:bidi="ar-SA"/>
              </w:rPr>
            </w:pPr>
          </w:p>
        </w:tc>
        <w:tc>
          <w:tcPr>
            <w:tcW w:w="224" w:type="pct"/>
            <w:tcBorders>
              <w:left w:val="single" w:color="000000" w:sz="4" w:space="0"/>
              <w:bottom w:val="single" w:color="000000" w:sz="4" w:space="0"/>
              <w:right w:val="single" w:color="000000" w:sz="4" w:space="0"/>
            </w:tcBorders>
          </w:tcPr>
          <w:p w14:paraId="4FB2266F">
            <w:pPr>
              <w:widowControl w:val="0"/>
              <w:autoSpaceDE w:val="0"/>
              <w:autoSpaceDN w:val="0"/>
              <w:rPr>
                <w:rFonts w:ascii="Times New Roman" w:hAnsi="宋体" w:eastAsia="宋体" w:cs="宋体"/>
                <w:sz w:val="18"/>
                <w:szCs w:val="22"/>
                <w:lang w:val="en-US" w:eastAsia="en-US" w:bidi="ar-SA"/>
              </w:rPr>
            </w:pPr>
          </w:p>
        </w:tc>
        <w:tc>
          <w:tcPr>
            <w:tcW w:w="226" w:type="pct"/>
            <w:tcBorders>
              <w:left w:val="single" w:color="000000" w:sz="4" w:space="0"/>
              <w:bottom w:val="single" w:color="000000" w:sz="4" w:space="0"/>
              <w:right w:val="single" w:color="000000" w:sz="4" w:space="0"/>
            </w:tcBorders>
          </w:tcPr>
          <w:p w14:paraId="28C3BE27">
            <w:pPr>
              <w:widowControl w:val="0"/>
              <w:autoSpaceDE w:val="0"/>
              <w:autoSpaceDN w:val="0"/>
              <w:rPr>
                <w:rFonts w:ascii="Times New Roman" w:hAnsi="宋体" w:eastAsia="宋体" w:cs="宋体"/>
                <w:sz w:val="18"/>
                <w:szCs w:val="22"/>
                <w:lang w:val="en-US" w:eastAsia="en-US" w:bidi="ar-SA"/>
              </w:rPr>
            </w:pPr>
          </w:p>
        </w:tc>
        <w:tc>
          <w:tcPr>
            <w:tcW w:w="228" w:type="pct"/>
            <w:tcBorders>
              <w:left w:val="single" w:color="000000" w:sz="4" w:space="0"/>
              <w:bottom w:val="single" w:color="000000" w:sz="4" w:space="0"/>
              <w:right w:val="single" w:color="000000" w:sz="4" w:space="0"/>
            </w:tcBorders>
          </w:tcPr>
          <w:p w14:paraId="01EE27FA">
            <w:pPr>
              <w:widowControl w:val="0"/>
              <w:autoSpaceDE w:val="0"/>
              <w:autoSpaceDN w:val="0"/>
              <w:rPr>
                <w:rFonts w:ascii="Times New Roman" w:hAnsi="宋体" w:eastAsia="宋体" w:cs="宋体"/>
                <w:sz w:val="18"/>
                <w:szCs w:val="22"/>
                <w:lang w:val="en-US" w:eastAsia="en-US" w:bidi="ar-SA"/>
              </w:rPr>
            </w:pPr>
          </w:p>
        </w:tc>
        <w:tc>
          <w:tcPr>
            <w:tcW w:w="222" w:type="pct"/>
            <w:tcBorders>
              <w:left w:val="single" w:color="000000" w:sz="4" w:space="0"/>
              <w:bottom w:val="single" w:color="000000" w:sz="4" w:space="0"/>
              <w:right w:val="single" w:color="000000" w:sz="4" w:space="0"/>
            </w:tcBorders>
          </w:tcPr>
          <w:p w14:paraId="3E1EEC8E">
            <w:pPr>
              <w:widowControl w:val="0"/>
              <w:autoSpaceDE w:val="0"/>
              <w:autoSpaceDN w:val="0"/>
              <w:rPr>
                <w:rFonts w:ascii="Times New Roman" w:hAnsi="宋体" w:eastAsia="宋体" w:cs="宋体"/>
                <w:sz w:val="18"/>
                <w:szCs w:val="22"/>
                <w:lang w:val="en-US" w:eastAsia="en-US" w:bidi="ar-SA"/>
              </w:rPr>
            </w:pPr>
          </w:p>
        </w:tc>
        <w:tc>
          <w:tcPr>
            <w:tcW w:w="226" w:type="pct"/>
            <w:tcBorders>
              <w:left w:val="single" w:color="000000" w:sz="4" w:space="0"/>
              <w:bottom w:val="single" w:color="000000" w:sz="4" w:space="0"/>
              <w:right w:val="single" w:color="000000" w:sz="4" w:space="0"/>
            </w:tcBorders>
          </w:tcPr>
          <w:p w14:paraId="2D744384">
            <w:pPr>
              <w:widowControl w:val="0"/>
              <w:autoSpaceDE w:val="0"/>
              <w:autoSpaceDN w:val="0"/>
              <w:rPr>
                <w:rFonts w:ascii="Times New Roman" w:hAnsi="宋体" w:eastAsia="宋体" w:cs="宋体"/>
                <w:sz w:val="18"/>
                <w:szCs w:val="22"/>
                <w:lang w:val="en-US" w:eastAsia="en-US" w:bidi="ar-SA"/>
              </w:rPr>
            </w:pPr>
          </w:p>
        </w:tc>
        <w:tc>
          <w:tcPr>
            <w:tcW w:w="224" w:type="pct"/>
            <w:tcBorders>
              <w:left w:val="single" w:color="000000" w:sz="4" w:space="0"/>
              <w:bottom w:val="single" w:color="000000" w:sz="4" w:space="0"/>
              <w:right w:val="single" w:color="000000" w:sz="4" w:space="0"/>
            </w:tcBorders>
          </w:tcPr>
          <w:p w14:paraId="6599DB79">
            <w:pPr>
              <w:widowControl w:val="0"/>
              <w:autoSpaceDE w:val="0"/>
              <w:autoSpaceDN w:val="0"/>
              <w:rPr>
                <w:rFonts w:ascii="Times New Roman" w:hAnsi="宋体" w:eastAsia="宋体" w:cs="宋体"/>
                <w:sz w:val="18"/>
                <w:szCs w:val="22"/>
                <w:lang w:val="en-US" w:eastAsia="en-US" w:bidi="ar-SA"/>
              </w:rPr>
            </w:pPr>
          </w:p>
        </w:tc>
        <w:tc>
          <w:tcPr>
            <w:tcW w:w="225" w:type="pct"/>
            <w:tcBorders>
              <w:left w:val="single" w:color="000000" w:sz="4" w:space="0"/>
              <w:bottom w:val="single" w:color="000000" w:sz="4" w:space="0"/>
              <w:right w:val="single" w:color="000000" w:sz="4" w:space="0"/>
            </w:tcBorders>
          </w:tcPr>
          <w:p w14:paraId="3FBA12C3">
            <w:pPr>
              <w:widowControl w:val="0"/>
              <w:autoSpaceDE w:val="0"/>
              <w:autoSpaceDN w:val="0"/>
              <w:rPr>
                <w:rFonts w:ascii="Times New Roman" w:hAnsi="宋体" w:eastAsia="宋体" w:cs="宋体"/>
                <w:sz w:val="18"/>
                <w:szCs w:val="22"/>
                <w:lang w:val="en-US" w:eastAsia="en-US" w:bidi="ar-SA"/>
              </w:rPr>
            </w:pPr>
          </w:p>
        </w:tc>
        <w:tc>
          <w:tcPr>
            <w:tcW w:w="225" w:type="pct"/>
            <w:tcBorders>
              <w:left w:val="single" w:color="000000" w:sz="4" w:space="0"/>
              <w:bottom w:val="single" w:color="000000" w:sz="4" w:space="0"/>
              <w:right w:val="single" w:color="000000" w:sz="4" w:space="0"/>
            </w:tcBorders>
          </w:tcPr>
          <w:p w14:paraId="46C1308D">
            <w:pPr>
              <w:widowControl w:val="0"/>
              <w:autoSpaceDE w:val="0"/>
              <w:autoSpaceDN w:val="0"/>
              <w:rPr>
                <w:rFonts w:ascii="Times New Roman" w:hAnsi="宋体" w:eastAsia="宋体" w:cs="宋体"/>
                <w:sz w:val="18"/>
                <w:szCs w:val="22"/>
                <w:lang w:val="en-US" w:eastAsia="en-US" w:bidi="ar-SA"/>
              </w:rPr>
            </w:pPr>
          </w:p>
        </w:tc>
        <w:tc>
          <w:tcPr>
            <w:tcW w:w="229" w:type="pct"/>
            <w:tcBorders>
              <w:left w:val="single" w:color="000000" w:sz="4" w:space="0"/>
              <w:bottom w:val="single" w:color="000000" w:sz="4" w:space="0"/>
              <w:right w:val="single" w:color="000000" w:sz="4" w:space="0"/>
            </w:tcBorders>
          </w:tcPr>
          <w:p w14:paraId="6A1F3198">
            <w:pPr>
              <w:widowControl w:val="0"/>
              <w:autoSpaceDE w:val="0"/>
              <w:autoSpaceDN w:val="0"/>
              <w:rPr>
                <w:rFonts w:ascii="Times New Roman" w:hAnsi="宋体" w:eastAsia="宋体" w:cs="宋体"/>
                <w:sz w:val="18"/>
                <w:szCs w:val="22"/>
                <w:lang w:val="en-US" w:eastAsia="en-US" w:bidi="ar-SA"/>
              </w:rPr>
            </w:pPr>
          </w:p>
        </w:tc>
        <w:tc>
          <w:tcPr>
            <w:tcW w:w="223" w:type="pct"/>
            <w:tcBorders>
              <w:left w:val="single" w:color="000000" w:sz="4" w:space="0"/>
              <w:bottom w:val="single" w:color="000000" w:sz="4" w:space="0"/>
              <w:right w:val="single" w:color="000000" w:sz="4" w:space="0"/>
            </w:tcBorders>
          </w:tcPr>
          <w:p w14:paraId="6BDBFABD">
            <w:pPr>
              <w:widowControl w:val="0"/>
              <w:autoSpaceDE w:val="0"/>
              <w:autoSpaceDN w:val="0"/>
              <w:rPr>
                <w:rFonts w:ascii="Times New Roman" w:hAnsi="宋体" w:eastAsia="宋体" w:cs="宋体"/>
                <w:sz w:val="18"/>
                <w:szCs w:val="22"/>
                <w:lang w:val="en-US" w:eastAsia="en-US" w:bidi="ar-SA"/>
              </w:rPr>
            </w:pPr>
          </w:p>
        </w:tc>
        <w:tc>
          <w:tcPr>
            <w:tcW w:w="225" w:type="pct"/>
            <w:tcBorders>
              <w:left w:val="single" w:color="000000" w:sz="4" w:space="0"/>
              <w:bottom w:val="single" w:color="000000" w:sz="4" w:space="0"/>
              <w:right w:val="single" w:color="000000" w:sz="4" w:space="0"/>
            </w:tcBorders>
          </w:tcPr>
          <w:p w14:paraId="2D7A3985">
            <w:pPr>
              <w:widowControl w:val="0"/>
              <w:autoSpaceDE w:val="0"/>
              <w:autoSpaceDN w:val="0"/>
              <w:rPr>
                <w:rFonts w:ascii="Times New Roman" w:hAnsi="宋体" w:eastAsia="宋体" w:cs="宋体"/>
                <w:sz w:val="18"/>
                <w:szCs w:val="22"/>
                <w:lang w:val="en-US" w:eastAsia="en-US" w:bidi="ar-SA"/>
              </w:rPr>
            </w:pPr>
          </w:p>
        </w:tc>
        <w:tc>
          <w:tcPr>
            <w:tcW w:w="225" w:type="pct"/>
            <w:tcBorders>
              <w:left w:val="single" w:color="000000" w:sz="4" w:space="0"/>
              <w:bottom w:val="single" w:color="000000" w:sz="4" w:space="0"/>
              <w:right w:val="single" w:color="000000" w:sz="4" w:space="0"/>
            </w:tcBorders>
          </w:tcPr>
          <w:p w14:paraId="794ECA40">
            <w:pPr>
              <w:widowControl w:val="0"/>
              <w:autoSpaceDE w:val="0"/>
              <w:autoSpaceDN w:val="0"/>
              <w:rPr>
                <w:rFonts w:ascii="Times New Roman" w:hAnsi="宋体" w:eastAsia="宋体" w:cs="宋体"/>
                <w:sz w:val="18"/>
                <w:szCs w:val="22"/>
                <w:lang w:val="en-US" w:eastAsia="en-US" w:bidi="ar-SA"/>
              </w:rPr>
            </w:pPr>
          </w:p>
        </w:tc>
        <w:tc>
          <w:tcPr>
            <w:tcW w:w="225" w:type="pct"/>
            <w:tcBorders>
              <w:left w:val="single" w:color="000000" w:sz="4" w:space="0"/>
              <w:bottom w:val="single" w:color="000000" w:sz="4" w:space="0"/>
              <w:right w:val="single" w:color="000000" w:sz="4" w:space="0"/>
            </w:tcBorders>
          </w:tcPr>
          <w:p w14:paraId="60FA2F70">
            <w:pPr>
              <w:widowControl w:val="0"/>
              <w:autoSpaceDE w:val="0"/>
              <w:autoSpaceDN w:val="0"/>
              <w:rPr>
                <w:rFonts w:ascii="Times New Roman" w:hAnsi="宋体" w:eastAsia="宋体" w:cs="宋体"/>
                <w:sz w:val="18"/>
                <w:szCs w:val="22"/>
                <w:lang w:val="en-US" w:eastAsia="en-US" w:bidi="ar-SA"/>
              </w:rPr>
            </w:pPr>
          </w:p>
        </w:tc>
        <w:tc>
          <w:tcPr>
            <w:tcW w:w="192" w:type="pct"/>
            <w:tcBorders>
              <w:left w:val="single" w:color="000000" w:sz="4" w:space="0"/>
              <w:bottom w:val="single" w:color="000000" w:sz="4" w:space="0"/>
              <w:right w:val="single" w:color="000000" w:sz="4" w:space="0"/>
            </w:tcBorders>
          </w:tcPr>
          <w:p w14:paraId="59038D71">
            <w:pPr>
              <w:widowControl w:val="0"/>
              <w:autoSpaceDE w:val="0"/>
              <w:autoSpaceDN w:val="0"/>
              <w:rPr>
                <w:rFonts w:ascii="Times New Roman" w:hAnsi="宋体" w:eastAsia="宋体" w:cs="宋体"/>
                <w:sz w:val="18"/>
                <w:szCs w:val="22"/>
                <w:lang w:val="en-US" w:eastAsia="en-US" w:bidi="ar-SA"/>
              </w:rPr>
            </w:pPr>
          </w:p>
        </w:tc>
        <w:tc>
          <w:tcPr>
            <w:tcW w:w="191" w:type="pct"/>
            <w:tcBorders>
              <w:left w:val="single" w:color="000000" w:sz="4" w:space="0"/>
              <w:bottom w:val="single" w:color="000000" w:sz="4" w:space="0"/>
              <w:right w:val="single" w:color="000000" w:sz="4" w:space="0"/>
            </w:tcBorders>
          </w:tcPr>
          <w:p w14:paraId="54BCADA3">
            <w:pPr>
              <w:widowControl w:val="0"/>
              <w:autoSpaceDE w:val="0"/>
              <w:autoSpaceDN w:val="0"/>
              <w:rPr>
                <w:rFonts w:ascii="Times New Roman" w:hAnsi="宋体" w:eastAsia="宋体" w:cs="宋体"/>
                <w:sz w:val="18"/>
                <w:szCs w:val="22"/>
                <w:lang w:val="en-US" w:eastAsia="en-US" w:bidi="ar-SA"/>
              </w:rPr>
            </w:pPr>
          </w:p>
        </w:tc>
        <w:tc>
          <w:tcPr>
            <w:tcW w:w="192" w:type="pct"/>
            <w:tcBorders>
              <w:left w:val="single" w:color="000000" w:sz="4" w:space="0"/>
              <w:bottom w:val="single" w:color="000000" w:sz="4" w:space="0"/>
              <w:right w:val="single" w:color="000000" w:sz="4" w:space="0"/>
            </w:tcBorders>
          </w:tcPr>
          <w:p w14:paraId="3DCE511E">
            <w:pPr>
              <w:widowControl w:val="0"/>
              <w:autoSpaceDE w:val="0"/>
              <w:autoSpaceDN w:val="0"/>
              <w:rPr>
                <w:rFonts w:ascii="Times New Roman" w:hAnsi="宋体" w:eastAsia="宋体" w:cs="宋体"/>
                <w:sz w:val="18"/>
                <w:szCs w:val="22"/>
                <w:lang w:val="en-US" w:eastAsia="en-US" w:bidi="ar-SA"/>
              </w:rPr>
            </w:pPr>
          </w:p>
        </w:tc>
        <w:tc>
          <w:tcPr>
            <w:tcW w:w="186" w:type="pct"/>
            <w:tcBorders>
              <w:left w:val="single" w:color="000000" w:sz="4" w:space="0"/>
              <w:bottom w:val="single" w:color="000000" w:sz="4" w:space="0"/>
              <w:right w:val="single" w:color="000000" w:sz="4" w:space="0"/>
            </w:tcBorders>
          </w:tcPr>
          <w:p w14:paraId="568CD882">
            <w:pPr>
              <w:widowControl w:val="0"/>
              <w:autoSpaceDE w:val="0"/>
              <w:autoSpaceDN w:val="0"/>
              <w:rPr>
                <w:rFonts w:ascii="Times New Roman" w:hAnsi="宋体" w:eastAsia="宋体" w:cs="宋体"/>
                <w:sz w:val="18"/>
                <w:szCs w:val="22"/>
                <w:lang w:val="en-US" w:eastAsia="en-US" w:bidi="ar-SA"/>
              </w:rPr>
            </w:pPr>
          </w:p>
        </w:tc>
        <w:tc>
          <w:tcPr>
            <w:tcW w:w="181" w:type="pct"/>
            <w:tcBorders>
              <w:left w:val="single" w:color="000000" w:sz="4" w:space="0"/>
              <w:bottom w:val="single" w:color="000000" w:sz="4" w:space="0"/>
            </w:tcBorders>
          </w:tcPr>
          <w:p w14:paraId="2A651B11">
            <w:pPr>
              <w:widowControl w:val="0"/>
              <w:autoSpaceDE w:val="0"/>
              <w:autoSpaceDN w:val="0"/>
              <w:rPr>
                <w:rFonts w:ascii="Times New Roman" w:hAnsi="宋体" w:eastAsia="宋体" w:cs="宋体"/>
                <w:sz w:val="18"/>
                <w:szCs w:val="22"/>
                <w:lang w:val="en-US" w:eastAsia="en-US" w:bidi="ar-SA"/>
              </w:rPr>
            </w:pPr>
          </w:p>
        </w:tc>
      </w:tr>
      <w:tr w14:paraId="2B9EC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223" w:type="pct"/>
            <w:tcBorders>
              <w:top w:val="single" w:color="000000" w:sz="4" w:space="0"/>
              <w:bottom w:val="single" w:color="000000" w:sz="4" w:space="0"/>
              <w:right w:val="single" w:color="000000" w:sz="4" w:space="0"/>
            </w:tcBorders>
          </w:tcPr>
          <w:p w14:paraId="1C680E7E">
            <w:pPr>
              <w:widowControl w:val="0"/>
              <w:autoSpaceDE w:val="0"/>
              <w:autoSpaceDN w:val="0"/>
              <w:rPr>
                <w:rFonts w:ascii="Times New Roman" w:hAnsi="宋体" w:eastAsia="宋体" w:cs="宋体"/>
                <w:sz w:val="18"/>
                <w:szCs w:val="22"/>
                <w:lang w:val="en-US" w:eastAsia="en-US" w:bidi="ar-SA"/>
              </w:rPr>
            </w:pPr>
          </w:p>
        </w:tc>
        <w:tc>
          <w:tcPr>
            <w:tcW w:w="210" w:type="pct"/>
            <w:tcBorders>
              <w:top w:val="single" w:color="000000" w:sz="4" w:space="0"/>
              <w:left w:val="single" w:color="000000" w:sz="4" w:space="0"/>
              <w:bottom w:val="single" w:color="000000" w:sz="4" w:space="0"/>
              <w:right w:val="single" w:color="000000" w:sz="4" w:space="0"/>
            </w:tcBorders>
          </w:tcPr>
          <w:p w14:paraId="79AF80B9">
            <w:pPr>
              <w:widowControl w:val="0"/>
              <w:autoSpaceDE w:val="0"/>
              <w:autoSpaceDN w:val="0"/>
              <w:rPr>
                <w:rFonts w:ascii="Times New Roman" w:hAnsi="宋体" w:eastAsia="宋体" w:cs="宋体"/>
                <w:sz w:val="18"/>
                <w:szCs w:val="22"/>
                <w:lang w:val="en-US" w:eastAsia="en-US" w:bidi="ar-SA"/>
              </w:rPr>
            </w:pPr>
          </w:p>
        </w:tc>
        <w:tc>
          <w:tcPr>
            <w:tcW w:w="238" w:type="pct"/>
            <w:tcBorders>
              <w:top w:val="single" w:color="000000" w:sz="4" w:space="0"/>
              <w:left w:val="single" w:color="000000" w:sz="4" w:space="0"/>
              <w:bottom w:val="single" w:color="000000" w:sz="4" w:space="0"/>
              <w:right w:val="single" w:color="000000" w:sz="4" w:space="0"/>
            </w:tcBorders>
          </w:tcPr>
          <w:p w14:paraId="7A544844">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615E0933">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0C522DF8">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3EA8376D">
            <w:pPr>
              <w:widowControl w:val="0"/>
              <w:autoSpaceDE w:val="0"/>
              <w:autoSpaceDN w:val="0"/>
              <w:rPr>
                <w:rFonts w:ascii="Times New Roman" w:hAnsi="宋体" w:eastAsia="宋体" w:cs="宋体"/>
                <w:sz w:val="18"/>
                <w:szCs w:val="22"/>
                <w:lang w:val="en-US" w:eastAsia="en-US" w:bidi="ar-SA"/>
              </w:rPr>
            </w:pPr>
          </w:p>
        </w:tc>
        <w:tc>
          <w:tcPr>
            <w:tcW w:w="226" w:type="pct"/>
            <w:tcBorders>
              <w:top w:val="single" w:color="000000" w:sz="4" w:space="0"/>
              <w:left w:val="single" w:color="000000" w:sz="4" w:space="0"/>
              <w:bottom w:val="single" w:color="000000" w:sz="4" w:space="0"/>
              <w:right w:val="single" w:color="000000" w:sz="4" w:space="0"/>
            </w:tcBorders>
          </w:tcPr>
          <w:p w14:paraId="0F09DF0B">
            <w:pPr>
              <w:widowControl w:val="0"/>
              <w:autoSpaceDE w:val="0"/>
              <w:autoSpaceDN w:val="0"/>
              <w:rPr>
                <w:rFonts w:ascii="Times New Roman" w:hAnsi="宋体" w:eastAsia="宋体" w:cs="宋体"/>
                <w:sz w:val="18"/>
                <w:szCs w:val="22"/>
                <w:lang w:val="en-US" w:eastAsia="en-US" w:bidi="ar-SA"/>
              </w:rPr>
            </w:pPr>
          </w:p>
        </w:tc>
        <w:tc>
          <w:tcPr>
            <w:tcW w:w="228" w:type="pct"/>
            <w:tcBorders>
              <w:top w:val="single" w:color="000000" w:sz="4" w:space="0"/>
              <w:left w:val="single" w:color="000000" w:sz="4" w:space="0"/>
              <w:bottom w:val="single" w:color="000000" w:sz="4" w:space="0"/>
              <w:right w:val="single" w:color="000000" w:sz="4" w:space="0"/>
            </w:tcBorders>
          </w:tcPr>
          <w:p w14:paraId="1454F940">
            <w:pPr>
              <w:widowControl w:val="0"/>
              <w:autoSpaceDE w:val="0"/>
              <w:autoSpaceDN w:val="0"/>
              <w:rPr>
                <w:rFonts w:ascii="Times New Roman" w:hAnsi="宋体" w:eastAsia="宋体" w:cs="宋体"/>
                <w:sz w:val="18"/>
                <w:szCs w:val="22"/>
                <w:lang w:val="en-US" w:eastAsia="en-US" w:bidi="ar-SA"/>
              </w:rPr>
            </w:pPr>
          </w:p>
        </w:tc>
        <w:tc>
          <w:tcPr>
            <w:tcW w:w="222" w:type="pct"/>
            <w:tcBorders>
              <w:top w:val="single" w:color="000000" w:sz="4" w:space="0"/>
              <w:left w:val="single" w:color="000000" w:sz="4" w:space="0"/>
              <w:bottom w:val="single" w:color="000000" w:sz="4" w:space="0"/>
              <w:right w:val="single" w:color="000000" w:sz="4" w:space="0"/>
            </w:tcBorders>
          </w:tcPr>
          <w:p w14:paraId="359C566E">
            <w:pPr>
              <w:widowControl w:val="0"/>
              <w:autoSpaceDE w:val="0"/>
              <w:autoSpaceDN w:val="0"/>
              <w:rPr>
                <w:rFonts w:ascii="Times New Roman" w:hAnsi="宋体" w:eastAsia="宋体" w:cs="宋体"/>
                <w:sz w:val="18"/>
                <w:szCs w:val="22"/>
                <w:lang w:val="en-US" w:eastAsia="en-US" w:bidi="ar-SA"/>
              </w:rPr>
            </w:pPr>
          </w:p>
        </w:tc>
        <w:tc>
          <w:tcPr>
            <w:tcW w:w="226" w:type="pct"/>
            <w:tcBorders>
              <w:top w:val="single" w:color="000000" w:sz="4" w:space="0"/>
              <w:left w:val="single" w:color="000000" w:sz="4" w:space="0"/>
              <w:bottom w:val="single" w:color="000000" w:sz="4" w:space="0"/>
              <w:right w:val="single" w:color="000000" w:sz="4" w:space="0"/>
            </w:tcBorders>
          </w:tcPr>
          <w:p w14:paraId="176AF88A">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317BE418">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596D89A0">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66A67AAB">
            <w:pPr>
              <w:widowControl w:val="0"/>
              <w:autoSpaceDE w:val="0"/>
              <w:autoSpaceDN w:val="0"/>
              <w:rPr>
                <w:rFonts w:ascii="Times New Roman" w:hAnsi="宋体" w:eastAsia="宋体" w:cs="宋体"/>
                <w:sz w:val="18"/>
                <w:szCs w:val="22"/>
                <w:lang w:val="en-US" w:eastAsia="en-US" w:bidi="ar-SA"/>
              </w:rPr>
            </w:pPr>
          </w:p>
        </w:tc>
        <w:tc>
          <w:tcPr>
            <w:tcW w:w="229" w:type="pct"/>
            <w:tcBorders>
              <w:top w:val="single" w:color="000000" w:sz="4" w:space="0"/>
              <w:left w:val="single" w:color="000000" w:sz="4" w:space="0"/>
              <w:bottom w:val="single" w:color="000000" w:sz="4" w:space="0"/>
              <w:right w:val="single" w:color="000000" w:sz="4" w:space="0"/>
            </w:tcBorders>
          </w:tcPr>
          <w:p w14:paraId="4E626DF9">
            <w:pPr>
              <w:widowControl w:val="0"/>
              <w:autoSpaceDE w:val="0"/>
              <w:autoSpaceDN w:val="0"/>
              <w:rPr>
                <w:rFonts w:ascii="Times New Roman" w:hAnsi="宋体" w:eastAsia="宋体" w:cs="宋体"/>
                <w:sz w:val="18"/>
                <w:szCs w:val="22"/>
                <w:lang w:val="en-US" w:eastAsia="en-US" w:bidi="ar-SA"/>
              </w:rPr>
            </w:pPr>
          </w:p>
        </w:tc>
        <w:tc>
          <w:tcPr>
            <w:tcW w:w="223" w:type="pct"/>
            <w:tcBorders>
              <w:top w:val="single" w:color="000000" w:sz="4" w:space="0"/>
              <w:left w:val="single" w:color="000000" w:sz="4" w:space="0"/>
              <w:bottom w:val="single" w:color="000000" w:sz="4" w:space="0"/>
              <w:right w:val="single" w:color="000000" w:sz="4" w:space="0"/>
            </w:tcBorders>
          </w:tcPr>
          <w:p w14:paraId="2662F9C8">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36510018">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51B07A78">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283B82B4">
            <w:pPr>
              <w:widowControl w:val="0"/>
              <w:autoSpaceDE w:val="0"/>
              <w:autoSpaceDN w:val="0"/>
              <w:rPr>
                <w:rFonts w:ascii="Times New Roman" w:hAnsi="宋体" w:eastAsia="宋体" w:cs="宋体"/>
                <w:sz w:val="18"/>
                <w:szCs w:val="22"/>
                <w:lang w:val="en-US" w:eastAsia="en-US" w:bidi="ar-SA"/>
              </w:rPr>
            </w:pPr>
          </w:p>
        </w:tc>
        <w:tc>
          <w:tcPr>
            <w:tcW w:w="192" w:type="pct"/>
            <w:tcBorders>
              <w:top w:val="single" w:color="000000" w:sz="4" w:space="0"/>
              <w:left w:val="single" w:color="000000" w:sz="4" w:space="0"/>
              <w:bottom w:val="single" w:color="000000" w:sz="4" w:space="0"/>
              <w:right w:val="single" w:color="000000" w:sz="4" w:space="0"/>
            </w:tcBorders>
          </w:tcPr>
          <w:p w14:paraId="29A89D4C">
            <w:pPr>
              <w:widowControl w:val="0"/>
              <w:autoSpaceDE w:val="0"/>
              <w:autoSpaceDN w:val="0"/>
              <w:rPr>
                <w:rFonts w:ascii="Times New Roman" w:hAnsi="宋体" w:eastAsia="宋体" w:cs="宋体"/>
                <w:sz w:val="18"/>
                <w:szCs w:val="22"/>
                <w:lang w:val="en-US" w:eastAsia="en-US" w:bidi="ar-SA"/>
              </w:rPr>
            </w:pPr>
          </w:p>
        </w:tc>
        <w:tc>
          <w:tcPr>
            <w:tcW w:w="191" w:type="pct"/>
            <w:tcBorders>
              <w:top w:val="single" w:color="000000" w:sz="4" w:space="0"/>
              <w:left w:val="single" w:color="000000" w:sz="4" w:space="0"/>
              <w:bottom w:val="single" w:color="000000" w:sz="4" w:space="0"/>
              <w:right w:val="single" w:color="000000" w:sz="4" w:space="0"/>
            </w:tcBorders>
          </w:tcPr>
          <w:p w14:paraId="3A84C6C1">
            <w:pPr>
              <w:widowControl w:val="0"/>
              <w:autoSpaceDE w:val="0"/>
              <w:autoSpaceDN w:val="0"/>
              <w:rPr>
                <w:rFonts w:ascii="Times New Roman" w:hAnsi="宋体" w:eastAsia="宋体" w:cs="宋体"/>
                <w:sz w:val="18"/>
                <w:szCs w:val="22"/>
                <w:lang w:val="en-US" w:eastAsia="en-US" w:bidi="ar-SA"/>
              </w:rPr>
            </w:pPr>
          </w:p>
        </w:tc>
        <w:tc>
          <w:tcPr>
            <w:tcW w:w="192" w:type="pct"/>
            <w:tcBorders>
              <w:top w:val="single" w:color="000000" w:sz="4" w:space="0"/>
              <w:left w:val="single" w:color="000000" w:sz="4" w:space="0"/>
              <w:bottom w:val="single" w:color="000000" w:sz="4" w:space="0"/>
              <w:right w:val="single" w:color="000000" w:sz="4" w:space="0"/>
            </w:tcBorders>
          </w:tcPr>
          <w:p w14:paraId="460D1F97">
            <w:pPr>
              <w:widowControl w:val="0"/>
              <w:autoSpaceDE w:val="0"/>
              <w:autoSpaceDN w:val="0"/>
              <w:rPr>
                <w:rFonts w:ascii="Times New Roman" w:hAnsi="宋体" w:eastAsia="宋体" w:cs="宋体"/>
                <w:sz w:val="18"/>
                <w:szCs w:val="22"/>
                <w:lang w:val="en-US" w:eastAsia="en-US" w:bidi="ar-SA"/>
              </w:rPr>
            </w:pPr>
          </w:p>
        </w:tc>
        <w:tc>
          <w:tcPr>
            <w:tcW w:w="186" w:type="pct"/>
            <w:tcBorders>
              <w:top w:val="single" w:color="000000" w:sz="4" w:space="0"/>
              <w:left w:val="single" w:color="000000" w:sz="4" w:space="0"/>
              <w:bottom w:val="single" w:color="000000" w:sz="4" w:space="0"/>
              <w:right w:val="single" w:color="000000" w:sz="4" w:space="0"/>
            </w:tcBorders>
          </w:tcPr>
          <w:p w14:paraId="24A302FA">
            <w:pPr>
              <w:widowControl w:val="0"/>
              <w:autoSpaceDE w:val="0"/>
              <w:autoSpaceDN w:val="0"/>
              <w:rPr>
                <w:rFonts w:ascii="Times New Roman" w:hAnsi="宋体" w:eastAsia="宋体" w:cs="宋体"/>
                <w:sz w:val="18"/>
                <w:szCs w:val="22"/>
                <w:lang w:val="en-US" w:eastAsia="en-US" w:bidi="ar-SA"/>
              </w:rPr>
            </w:pPr>
          </w:p>
        </w:tc>
        <w:tc>
          <w:tcPr>
            <w:tcW w:w="181" w:type="pct"/>
            <w:tcBorders>
              <w:top w:val="single" w:color="000000" w:sz="4" w:space="0"/>
              <w:left w:val="single" w:color="000000" w:sz="4" w:space="0"/>
              <w:bottom w:val="single" w:color="000000" w:sz="4" w:space="0"/>
            </w:tcBorders>
          </w:tcPr>
          <w:p w14:paraId="7F6555CB">
            <w:pPr>
              <w:widowControl w:val="0"/>
              <w:autoSpaceDE w:val="0"/>
              <w:autoSpaceDN w:val="0"/>
              <w:rPr>
                <w:rFonts w:ascii="Times New Roman" w:hAnsi="宋体" w:eastAsia="宋体" w:cs="宋体"/>
                <w:sz w:val="18"/>
                <w:szCs w:val="22"/>
                <w:lang w:val="en-US" w:eastAsia="en-US" w:bidi="ar-SA"/>
              </w:rPr>
            </w:pPr>
          </w:p>
        </w:tc>
      </w:tr>
      <w:tr w14:paraId="422DF7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223" w:type="pct"/>
            <w:tcBorders>
              <w:top w:val="single" w:color="000000" w:sz="4" w:space="0"/>
              <w:bottom w:val="single" w:color="000000" w:sz="4" w:space="0"/>
              <w:right w:val="single" w:color="000000" w:sz="4" w:space="0"/>
            </w:tcBorders>
          </w:tcPr>
          <w:p w14:paraId="0467A4D7">
            <w:pPr>
              <w:widowControl w:val="0"/>
              <w:autoSpaceDE w:val="0"/>
              <w:autoSpaceDN w:val="0"/>
              <w:rPr>
                <w:rFonts w:ascii="Times New Roman" w:hAnsi="宋体" w:eastAsia="宋体" w:cs="宋体"/>
                <w:sz w:val="18"/>
                <w:szCs w:val="22"/>
                <w:lang w:val="en-US" w:eastAsia="en-US" w:bidi="ar-SA"/>
              </w:rPr>
            </w:pPr>
          </w:p>
        </w:tc>
        <w:tc>
          <w:tcPr>
            <w:tcW w:w="210" w:type="pct"/>
            <w:tcBorders>
              <w:top w:val="single" w:color="000000" w:sz="4" w:space="0"/>
              <w:left w:val="single" w:color="000000" w:sz="4" w:space="0"/>
              <w:bottom w:val="single" w:color="000000" w:sz="4" w:space="0"/>
              <w:right w:val="single" w:color="000000" w:sz="4" w:space="0"/>
            </w:tcBorders>
          </w:tcPr>
          <w:p w14:paraId="366F594D">
            <w:pPr>
              <w:widowControl w:val="0"/>
              <w:autoSpaceDE w:val="0"/>
              <w:autoSpaceDN w:val="0"/>
              <w:rPr>
                <w:rFonts w:ascii="Times New Roman" w:hAnsi="宋体" w:eastAsia="宋体" w:cs="宋体"/>
                <w:sz w:val="18"/>
                <w:szCs w:val="22"/>
                <w:lang w:val="en-US" w:eastAsia="en-US" w:bidi="ar-SA"/>
              </w:rPr>
            </w:pPr>
          </w:p>
        </w:tc>
        <w:tc>
          <w:tcPr>
            <w:tcW w:w="238" w:type="pct"/>
            <w:tcBorders>
              <w:top w:val="single" w:color="000000" w:sz="4" w:space="0"/>
              <w:left w:val="single" w:color="000000" w:sz="4" w:space="0"/>
              <w:bottom w:val="single" w:color="000000" w:sz="4" w:space="0"/>
              <w:right w:val="single" w:color="000000" w:sz="4" w:space="0"/>
            </w:tcBorders>
          </w:tcPr>
          <w:p w14:paraId="01959E84">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1AA20256">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5B6A6C39">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348D9F60">
            <w:pPr>
              <w:widowControl w:val="0"/>
              <w:autoSpaceDE w:val="0"/>
              <w:autoSpaceDN w:val="0"/>
              <w:rPr>
                <w:rFonts w:ascii="Times New Roman" w:hAnsi="宋体" w:eastAsia="宋体" w:cs="宋体"/>
                <w:sz w:val="18"/>
                <w:szCs w:val="22"/>
                <w:lang w:val="en-US" w:eastAsia="en-US" w:bidi="ar-SA"/>
              </w:rPr>
            </w:pPr>
          </w:p>
        </w:tc>
        <w:tc>
          <w:tcPr>
            <w:tcW w:w="226" w:type="pct"/>
            <w:tcBorders>
              <w:top w:val="single" w:color="000000" w:sz="4" w:space="0"/>
              <w:left w:val="single" w:color="000000" w:sz="4" w:space="0"/>
              <w:bottom w:val="single" w:color="000000" w:sz="4" w:space="0"/>
              <w:right w:val="single" w:color="000000" w:sz="4" w:space="0"/>
            </w:tcBorders>
          </w:tcPr>
          <w:p w14:paraId="44B987B0">
            <w:pPr>
              <w:widowControl w:val="0"/>
              <w:autoSpaceDE w:val="0"/>
              <w:autoSpaceDN w:val="0"/>
              <w:rPr>
                <w:rFonts w:ascii="Times New Roman" w:hAnsi="宋体" w:eastAsia="宋体" w:cs="宋体"/>
                <w:sz w:val="18"/>
                <w:szCs w:val="22"/>
                <w:lang w:val="en-US" w:eastAsia="en-US" w:bidi="ar-SA"/>
              </w:rPr>
            </w:pPr>
          </w:p>
        </w:tc>
        <w:tc>
          <w:tcPr>
            <w:tcW w:w="228" w:type="pct"/>
            <w:tcBorders>
              <w:top w:val="single" w:color="000000" w:sz="4" w:space="0"/>
              <w:left w:val="single" w:color="000000" w:sz="4" w:space="0"/>
              <w:bottom w:val="single" w:color="000000" w:sz="4" w:space="0"/>
              <w:right w:val="single" w:color="000000" w:sz="4" w:space="0"/>
            </w:tcBorders>
          </w:tcPr>
          <w:p w14:paraId="43437F79">
            <w:pPr>
              <w:widowControl w:val="0"/>
              <w:autoSpaceDE w:val="0"/>
              <w:autoSpaceDN w:val="0"/>
              <w:rPr>
                <w:rFonts w:ascii="Times New Roman" w:hAnsi="宋体" w:eastAsia="宋体" w:cs="宋体"/>
                <w:sz w:val="18"/>
                <w:szCs w:val="22"/>
                <w:lang w:val="en-US" w:eastAsia="en-US" w:bidi="ar-SA"/>
              </w:rPr>
            </w:pPr>
          </w:p>
        </w:tc>
        <w:tc>
          <w:tcPr>
            <w:tcW w:w="222" w:type="pct"/>
            <w:tcBorders>
              <w:top w:val="single" w:color="000000" w:sz="4" w:space="0"/>
              <w:left w:val="single" w:color="000000" w:sz="4" w:space="0"/>
              <w:bottom w:val="single" w:color="000000" w:sz="4" w:space="0"/>
              <w:right w:val="single" w:color="000000" w:sz="4" w:space="0"/>
            </w:tcBorders>
          </w:tcPr>
          <w:p w14:paraId="5056C7D9">
            <w:pPr>
              <w:widowControl w:val="0"/>
              <w:autoSpaceDE w:val="0"/>
              <w:autoSpaceDN w:val="0"/>
              <w:rPr>
                <w:rFonts w:ascii="Times New Roman" w:hAnsi="宋体" w:eastAsia="宋体" w:cs="宋体"/>
                <w:sz w:val="18"/>
                <w:szCs w:val="22"/>
                <w:lang w:val="en-US" w:eastAsia="en-US" w:bidi="ar-SA"/>
              </w:rPr>
            </w:pPr>
          </w:p>
        </w:tc>
        <w:tc>
          <w:tcPr>
            <w:tcW w:w="226" w:type="pct"/>
            <w:tcBorders>
              <w:top w:val="single" w:color="000000" w:sz="4" w:space="0"/>
              <w:left w:val="single" w:color="000000" w:sz="4" w:space="0"/>
              <w:bottom w:val="single" w:color="000000" w:sz="4" w:space="0"/>
              <w:right w:val="single" w:color="000000" w:sz="4" w:space="0"/>
            </w:tcBorders>
          </w:tcPr>
          <w:p w14:paraId="4991A74F">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7E0AE31E">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723AFC96">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79907BD9">
            <w:pPr>
              <w:widowControl w:val="0"/>
              <w:autoSpaceDE w:val="0"/>
              <w:autoSpaceDN w:val="0"/>
              <w:rPr>
                <w:rFonts w:ascii="Times New Roman" w:hAnsi="宋体" w:eastAsia="宋体" w:cs="宋体"/>
                <w:sz w:val="18"/>
                <w:szCs w:val="22"/>
                <w:lang w:val="en-US" w:eastAsia="en-US" w:bidi="ar-SA"/>
              </w:rPr>
            </w:pPr>
          </w:p>
        </w:tc>
        <w:tc>
          <w:tcPr>
            <w:tcW w:w="229" w:type="pct"/>
            <w:tcBorders>
              <w:top w:val="single" w:color="000000" w:sz="4" w:space="0"/>
              <w:left w:val="single" w:color="000000" w:sz="4" w:space="0"/>
              <w:bottom w:val="single" w:color="000000" w:sz="4" w:space="0"/>
              <w:right w:val="single" w:color="000000" w:sz="4" w:space="0"/>
            </w:tcBorders>
          </w:tcPr>
          <w:p w14:paraId="36B8850F">
            <w:pPr>
              <w:widowControl w:val="0"/>
              <w:autoSpaceDE w:val="0"/>
              <w:autoSpaceDN w:val="0"/>
              <w:rPr>
                <w:rFonts w:ascii="Times New Roman" w:hAnsi="宋体" w:eastAsia="宋体" w:cs="宋体"/>
                <w:sz w:val="18"/>
                <w:szCs w:val="22"/>
                <w:lang w:val="en-US" w:eastAsia="en-US" w:bidi="ar-SA"/>
              </w:rPr>
            </w:pPr>
          </w:p>
        </w:tc>
        <w:tc>
          <w:tcPr>
            <w:tcW w:w="223" w:type="pct"/>
            <w:tcBorders>
              <w:top w:val="single" w:color="000000" w:sz="4" w:space="0"/>
              <w:left w:val="single" w:color="000000" w:sz="4" w:space="0"/>
              <w:bottom w:val="single" w:color="000000" w:sz="4" w:space="0"/>
              <w:right w:val="single" w:color="000000" w:sz="4" w:space="0"/>
            </w:tcBorders>
          </w:tcPr>
          <w:p w14:paraId="74FE6B87">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53A5A0D8">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3314277D">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2F7C6806">
            <w:pPr>
              <w:widowControl w:val="0"/>
              <w:autoSpaceDE w:val="0"/>
              <w:autoSpaceDN w:val="0"/>
              <w:rPr>
                <w:rFonts w:ascii="Times New Roman" w:hAnsi="宋体" w:eastAsia="宋体" w:cs="宋体"/>
                <w:sz w:val="18"/>
                <w:szCs w:val="22"/>
                <w:lang w:val="en-US" w:eastAsia="en-US" w:bidi="ar-SA"/>
              </w:rPr>
            </w:pPr>
          </w:p>
        </w:tc>
        <w:tc>
          <w:tcPr>
            <w:tcW w:w="192" w:type="pct"/>
            <w:tcBorders>
              <w:top w:val="single" w:color="000000" w:sz="4" w:space="0"/>
              <w:left w:val="single" w:color="000000" w:sz="4" w:space="0"/>
              <w:bottom w:val="single" w:color="000000" w:sz="4" w:space="0"/>
              <w:right w:val="single" w:color="000000" w:sz="4" w:space="0"/>
            </w:tcBorders>
          </w:tcPr>
          <w:p w14:paraId="0EC1C251">
            <w:pPr>
              <w:widowControl w:val="0"/>
              <w:autoSpaceDE w:val="0"/>
              <w:autoSpaceDN w:val="0"/>
              <w:rPr>
                <w:rFonts w:ascii="Times New Roman" w:hAnsi="宋体" w:eastAsia="宋体" w:cs="宋体"/>
                <w:sz w:val="18"/>
                <w:szCs w:val="22"/>
                <w:lang w:val="en-US" w:eastAsia="en-US" w:bidi="ar-SA"/>
              </w:rPr>
            </w:pPr>
          </w:p>
        </w:tc>
        <w:tc>
          <w:tcPr>
            <w:tcW w:w="191" w:type="pct"/>
            <w:tcBorders>
              <w:top w:val="single" w:color="000000" w:sz="4" w:space="0"/>
              <w:left w:val="single" w:color="000000" w:sz="4" w:space="0"/>
              <w:bottom w:val="single" w:color="000000" w:sz="4" w:space="0"/>
              <w:right w:val="single" w:color="000000" w:sz="4" w:space="0"/>
            </w:tcBorders>
          </w:tcPr>
          <w:p w14:paraId="17403C40">
            <w:pPr>
              <w:widowControl w:val="0"/>
              <w:autoSpaceDE w:val="0"/>
              <w:autoSpaceDN w:val="0"/>
              <w:rPr>
                <w:rFonts w:ascii="Times New Roman" w:hAnsi="宋体" w:eastAsia="宋体" w:cs="宋体"/>
                <w:sz w:val="18"/>
                <w:szCs w:val="22"/>
                <w:lang w:val="en-US" w:eastAsia="en-US" w:bidi="ar-SA"/>
              </w:rPr>
            </w:pPr>
          </w:p>
        </w:tc>
        <w:tc>
          <w:tcPr>
            <w:tcW w:w="192" w:type="pct"/>
            <w:tcBorders>
              <w:top w:val="single" w:color="000000" w:sz="4" w:space="0"/>
              <w:left w:val="single" w:color="000000" w:sz="4" w:space="0"/>
              <w:bottom w:val="single" w:color="000000" w:sz="4" w:space="0"/>
              <w:right w:val="single" w:color="000000" w:sz="4" w:space="0"/>
            </w:tcBorders>
          </w:tcPr>
          <w:p w14:paraId="11D9F365">
            <w:pPr>
              <w:widowControl w:val="0"/>
              <w:autoSpaceDE w:val="0"/>
              <w:autoSpaceDN w:val="0"/>
              <w:rPr>
                <w:rFonts w:ascii="Times New Roman" w:hAnsi="宋体" w:eastAsia="宋体" w:cs="宋体"/>
                <w:sz w:val="18"/>
                <w:szCs w:val="22"/>
                <w:lang w:val="en-US" w:eastAsia="en-US" w:bidi="ar-SA"/>
              </w:rPr>
            </w:pPr>
          </w:p>
        </w:tc>
        <w:tc>
          <w:tcPr>
            <w:tcW w:w="186" w:type="pct"/>
            <w:tcBorders>
              <w:top w:val="single" w:color="000000" w:sz="4" w:space="0"/>
              <w:left w:val="single" w:color="000000" w:sz="4" w:space="0"/>
              <w:bottom w:val="single" w:color="000000" w:sz="4" w:space="0"/>
              <w:right w:val="single" w:color="000000" w:sz="4" w:space="0"/>
            </w:tcBorders>
          </w:tcPr>
          <w:p w14:paraId="31D91A74">
            <w:pPr>
              <w:widowControl w:val="0"/>
              <w:autoSpaceDE w:val="0"/>
              <w:autoSpaceDN w:val="0"/>
              <w:rPr>
                <w:rFonts w:ascii="Times New Roman" w:hAnsi="宋体" w:eastAsia="宋体" w:cs="宋体"/>
                <w:sz w:val="18"/>
                <w:szCs w:val="22"/>
                <w:lang w:val="en-US" w:eastAsia="en-US" w:bidi="ar-SA"/>
              </w:rPr>
            </w:pPr>
          </w:p>
        </w:tc>
        <w:tc>
          <w:tcPr>
            <w:tcW w:w="181" w:type="pct"/>
            <w:tcBorders>
              <w:top w:val="single" w:color="000000" w:sz="4" w:space="0"/>
              <w:left w:val="single" w:color="000000" w:sz="4" w:space="0"/>
              <w:bottom w:val="single" w:color="000000" w:sz="4" w:space="0"/>
            </w:tcBorders>
          </w:tcPr>
          <w:p w14:paraId="7F04569E">
            <w:pPr>
              <w:widowControl w:val="0"/>
              <w:autoSpaceDE w:val="0"/>
              <w:autoSpaceDN w:val="0"/>
              <w:rPr>
                <w:rFonts w:ascii="Times New Roman" w:hAnsi="宋体" w:eastAsia="宋体" w:cs="宋体"/>
                <w:sz w:val="18"/>
                <w:szCs w:val="22"/>
                <w:lang w:val="en-US" w:eastAsia="en-US" w:bidi="ar-SA"/>
              </w:rPr>
            </w:pPr>
          </w:p>
        </w:tc>
      </w:tr>
      <w:tr w14:paraId="4776F9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223" w:type="pct"/>
            <w:tcBorders>
              <w:top w:val="single" w:color="000000" w:sz="4" w:space="0"/>
              <w:bottom w:val="single" w:color="000000" w:sz="4" w:space="0"/>
              <w:right w:val="single" w:color="000000" w:sz="4" w:space="0"/>
            </w:tcBorders>
          </w:tcPr>
          <w:p w14:paraId="2F1CC75B">
            <w:pPr>
              <w:widowControl w:val="0"/>
              <w:autoSpaceDE w:val="0"/>
              <w:autoSpaceDN w:val="0"/>
              <w:rPr>
                <w:rFonts w:ascii="Times New Roman" w:hAnsi="宋体" w:eastAsia="宋体" w:cs="宋体"/>
                <w:sz w:val="18"/>
                <w:szCs w:val="22"/>
                <w:lang w:val="en-US" w:eastAsia="en-US" w:bidi="ar-SA"/>
              </w:rPr>
            </w:pPr>
          </w:p>
        </w:tc>
        <w:tc>
          <w:tcPr>
            <w:tcW w:w="210" w:type="pct"/>
            <w:tcBorders>
              <w:top w:val="single" w:color="000000" w:sz="4" w:space="0"/>
              <w:left w:val="single" w:color="000000" w:sz="4" w:space="0"/>
              <w:bottom w:val="single" w:color="000000" w:sz="4" w:space="0"/>
              <w:right w:val="single" w:color="000000" w:sz="4" w:space="0"/>
            </w:tcBorders>
          </w:tcPr>
          <w:p w14:paraId="2E22EAF8">
            <w:pPr>
              <w:widowControl w:val="0"/>
              <w:autoSpaceDE w:val="0"/>
              <w:autoSpaceDN w:val="0"/>
              <w:rPr>
                <w:rFonts w:ascii="Times New Roman" w:hAnsi="宋体" w:eastAsia="宋体" w:cs="宋体"/>
                <w:sz w:val="18"/>
                <w:szCs w:val="22"/>
                <w:lang w:val="en-US" w:eastAsia="en-US" w:bidi="ar-SA"/>
              </w:rPr>
            </w:pPr>
          </w:p>
        </w:tc>
        <w:tc>
          <w:tcPr>
            <w:tcW w:w="238" w:type="pct"/>
            <w:tcBorders>
              <w:top w:val="single" w:color="000000" w:sz="4" w:space="0"/>
              <w:left w:val="single" w:color="000000" w:sz="4" w:space="0"/>
              <w:bottom w:val="single" w:color="000000" w:sz="4" w:space="0"/>
              <w:right w:val="single" w:color="000000" w:sz="4" w:space="0"/>
            </w:tcBorders>
          </w:tcPr>
          <w:p w14:paraId="157380F3">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13C972AE">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7F30BF12">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1DB141AC">
            <w:pPr>
              <w:widowControl w:val="0"/>
              <w:autoSpaceDE w:val="0"/>
              <w:autoSpaceDN w:val="0"/>
              <w:rPr>
                <w:rFonts w:ascii="Times New Roman" w:hAnsi="宋体" w:eastAsia="宋体" w:cs="宋体"/>
                <w:sz w:val="18"/>
                <w:szCs w:val="22"/>
                <w:lang w:val="en-US" w:eastAsia="en-US" w:bidi="ar-SA"/>
              </w:rPr>
            </w:pPr>
          </w:p>
        </w:tc>
        <w:tc>
          <w:tcPr>
            <w:tcW w:w="226" w:type="pct"/>
            <w:tcBorders>
              <w:top w:val="single" w:color="000000" w:sz="4" w:space="0"/>
              <w:left w:val="single" w:color="000000" w:sz="4" w:space="0"/>
              <w:bottom w:val="single" w:color="000000" w:sz="4" w:space="0"/>
              <w:right w:val="single" w:color="000000" w:sz="4" w:space="0"/>
            </w:tcBorders>
          </w:tcPr>
          <w:p w14:paraId="4E1487F4">
            <w:pPr>
              <w:widowControl w:val="0"/>
              <w:autoSpaceDE w:val="0"/>
              <w:autoSpaceDN w:val="0"/>
              <w:rPr>
                <w:rFonts w:ascii="Times New Roman" w:hAnsi="宋体" w:eastAsia="宋体" w:cs="宋体"/>
                <w:sz w:val="18"/>
                <w:szCs w:val="22"/>
                <w:lang w:val="en-US" w:eastAsia="en-US" w:bidi="ar-SA"/>
              </w:rPr>
            </w:pPr>
          </w:p>
        </w:tc>
        <w:tc>
          <w:tcPr>
            <w:tcW w:w="228" w:type="pct"/>
            <w:tcBorders>
              <w:top w:val="single" w:color="000000" w:sz="4" w:space="0"/>
              <w:left w:val="single" w:color="000000" w:sz="4" w:space="0"/>
              <w:bottom w:val="single" w:color="000000" w:sz="4" w:space="0"/>
              <w:right w:val="single" w:color="000000" w:sz="4" w:space="0"/>
            </w:tcBorders>
          </w:tcPr>
          <w:p w14:paraId="5F8E8B45">
            <w:pPr>
              <w:widowControl w:val="0"/>
              <w:autoSpaceDE w:val="0"/>
              <w:autoSpaceDN w:val="0"/>
              <w:rPr>
                <w:rFonts w:ascii="Times New Roman" w:hAnsi="宋体" w:eastAsia="宋体" w:cs="宋体"/>
                <w:sz w:val="18"/>
                <w:szCs w:val="22"/>
                <w:lang w:val="en-US" w:eastAsia="en-US" w:bidi="ar-SA"/>
              </w:rPr>
            </w:pPr>
          </w:p>
        </w:tc>
        <w:tc>
          <w:tcPr>
            <w:tcW w:w="222" w:type="pct"/>
            <w:tcBorders>
              <w:top w:val="single" w:color="000000" w:sz="4" w:space="0"/>
              <w:left w:val="single" w:color="000000" w:sz="4" w:space="0"/>
              <w:bottom w:val="single" w:color="000000" w:sz="4" w:space="0"/>
              <w:right w:val="single" w:color="000000" w:sz="4" w:space="0"/>
            </w:tcBorders>
          </w:tcPr>
          <w:p w14:paraId="22AEA770">
            <w:pPr>
              <w:widowControl w:val="0"/>
              <w:autoSpaceDE w:val="0"/>
              <w:autoSpaceDN w:val="0"/>
              <w:rPr>
                <w:rFonts w:ascii="Times New Roman" w:hAnsi="宋体" w:eastAsia="宋体" w:cs="宋体"/>
                <w:sz w:val="18"/>
                <w:szCs w:val="22"/>
                <w:lang w:val="en-US" w:eastAsia="en-US" w:bidi="ar-SA"/>
              </w:rPr>
            </w:pPr>
          </w:p>
        </w:tc>
        <w:tc>
          <w:tcPr>
            <w:tcW w:w="226" w:type="pct"/>
            <w:tcBorders>
              <w:top w:val="single" w:color="000000" w:sz="4" w:space="0"/>
              <w:left w:val="single" w:color="000000" w:sz="4" w:space="0"/>
              <w:bottom w:val="single" w:color="000000" w:sz="4" w:space="0"/>
              <w:right w:val="single" w:color="000000" w:sz="4" w:space="0"/>
            </w:tcBorders>
          </w:tcPr>
          <w:p w14:paraId="2D0E2F11">
            <w:pPr>
              <w:widowControl w:val="0"/>
              <w:autoSpaceDE w:val="0"/>
              <w:autoSpaceDN w:val="0"/>
              <w:rPr>
                <w:rFonts w:ascii="Times New Roman" w:hAnsi="宋体" w:eastAsia="宋体" w:cs="宋体"/>
                <w:sz w:val="18"/>
                <w:szCs w:val="22"/>
                <w:lang w:val="en-US" w:eastAsia="en-US" w:bidi="ar-SA"/>
              </w:rPr>
            </w:pPr>
          </w:p>
        </w:tc>
        <w:tc>
          <w:tcPr>
            <w:tcW w:w="224" w:type="pct"/>
            <w:tcBorders>
              <w:top w:val="single" w:color="000000" w:sz="4" w:space="0"/>
              <w:left w:val="single" w:color="000000" w:sz="4" w:space="0"/>
              <w:bottom w:val="single" w:color="000000" w:sz="4" w:space="0"/>
              <w:right w:val="single" w:color="000000" w:sz="4" w:space="0"/>
            </w:tcBorders>
          </w:tcPr>
          <w:p w14:paraId="1CDE624A">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0C9B9C68">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56CD6C71">
            <w:pPr>
              <w:widowControl w:val="0"/>
              <w:autoSpaceDE w:val="0"/>
              <w:autoSpaceDN w:val="0"/>
              <w:rPr>
                <w:rFonts w:ascii="Times New Roman" w:hAnsi="宋体" w:eastAsia="宋体" w:cs="宋体"/>
                <w:sz w:val="18"/>
                <w:szCs w:val="22"/>
                <w:lang w:val="en-US" w:eastAsia="en-US" w:bidi="ar-SA"/>
              </w:rPr>
            </w:pPr>
          </w:p>
        </w:tc>
        <w:tc>
          <w:tcPr>
            <w:tcW w:w="229" w:type="pct"/>
            <w:tcBorders>
              <w:top w:val="single" w:color="000000" w:sz="4" w:space="0"/>
              <w:left w:val="single" w:color="000000" w:sz="4" w:space="0"/>
              <w:bottom w:val="single" w:color="000000" w:sz="4" w:space="0"/>
              <w:right w:val="single" w:color="000000" w:sz="4" w:space="0"/>
            </w:tcBorders>
          </w:tcPr>
          <w:p w14:paraId="56126AA2">
            <w:pPr>
              <w:widowControl w:val="0"/>
              <w:autoSpaceDE w:val="0"/>
              <w:autoSpaceDN w:val="0"/>
              <w:rPr>
                <w:rFonts w:ascii="Times New Roman" w:hAnsi="宋体" w:eastAsia="宋体" w:cs="宋体"/>
                <w:sz w:val="18"/>
                <w:szCs w:val="22"/>
                <w:lang w:val="en-US" w:eastAsia="en-US" w:bidi="ar-SA"/>
              </w:rPr>
            </w:pPr>
          </w:p>
        </w:tc>
        <w:tc>
          <w:tcPr>
            <w:tcW w:w="223" w:type="pct"/>
            <w:tcBorders>
              <w:top w:val="single" w:color="000000" w:sz="4" w:space="0"/>
              <w:left w:val="single" w:color="000000" w:sz="4" w:space="0"/>
              <w:bottom w:val="single" w:color="000000" w:sz="4" w:space="0"/>
              <w:right w:val="single" w:color="000000" w:sz="4" w:space="0"/>
            </w:tcBorders>
          </w:tcPr>
          <w:p w14:paraId="61C6FC74">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3F74C4ED">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173210D9">
            <w:pPr>
              <w:widowControl w:val="0"/>
              <w:autoSpaceDE w:val="0"/>
              <w:autoSpaceDN w:val="0"/>
              <w:rPr>
                <w:rFonts w:ascii="Times New Roman" w:hAnsi="宋体" w:eastAsia="宋体" w:cs="宋体"/>
                <w:sz w:val="18"/>
                <w:szCs w:val="22"/>
                <w:lang w:val="en-US" w:eastAsia="en-US" w:bidi="ar-SA"/>
              </w:rPr>
            </w:pPr>
          </w:p>
        </w:tc>
        <w:tc>
          <w:tcPr>
            <w:tcW w:w="225" w:type="pct"/>
            <w:tcBorders>
              <w:top w:val="single" w:color="000000" w:sz="4" w:space="0"/>
              <w:left w:val="single" w:color="000000" w:sz="4" w:space="0"/>
              <w:bottom w:val="single" w:color="000000" w:sz="4" w:space="0"/>
              <w:right w:val="single" w:color="000000" w:sz="4" w:space="0"/>
            </w:tcBorders>
          </w:tcPr>
          <w:p w14:paraId="54C5C17F">
            <w:pPr>
              <w:widowControl w:val="0"/>
              <w:autoSpaceDE w:val="0"/>
              <w:autoSpaceDN w:val="0"/>
              <w:rPr>
                <w:rFonts w:ascii="Times New Roman" w:hAnsi="宋体" w:eastAsia="宋体" w:cs="宋体"/>
                <w:sz w:val="18"/>
                <w:szCs w:val="22"/>
                <w:lang w:val="en-US" w:eastAsia="en-US" w:bidi="ar-SA"/>
              </w:rPr>
            </w:pPr>
          </w:p>
        </w:tc>
        <w:tc>
          <w:tcPr>
            <w:tcW w:w="192" w:type="pct"/>
            <w:tcBorders>
              <w:top w:val="single" w:color="000000" w:sz="4" w:space="0"/>
              <w:left w:val="single" w:color="000000" w:sz="4" w:space="0"/>
              <w:bottom w:val="single" w:color="000000" w:sz="4" w:space="0"/>
              <w:right w:val="single" w:color="000000" w:sz="4" w:space="0"/>
            </w:tcBorders>
          </w:tcPr>
          <w:p w14:paraId="00E366EF">
            <w:pPr>
              <w:widowControl w:val="0"/>
              <w:autoSpaceDE w:val="0"/>
              <w:autoSpaceDN w:val="0"/>
              <w:rPr>
                <w:rFonts w:ascii="Times New Roman" w:hAnsi="宋体" w:eastAsia="宋体" w:cs="宋体"/>
                <w:sz w:val="18"/>
                <w:szCs w:val="22"/>
                <w:lang w:val="en-US" w:eastAsia="en-US" w:bidi="ar-SA"/>
              </w:rPr>
            </w:pPr>
          </w:p>
        </w:tc>
        <w:tc>
          <w:tcPr>
            <w:tcW w:w="191" w:type="pct"/>
            <w:tcBorders>
              <w:top w:val="single" w:color="000000" w:sz="4" w:space="0"/>
              <w:left w:val="single" w:color="000000" w:sz="4" w:space="0"/>
              <w:bottom w:val="single" w:color="000000" w:sz="4" w:space="0"/>
              <w:right w:val="single" w:color="000000" w:sz="4" w:space="0"/>
            </w:tcBorders>
          </w:tcPr>
          <w:p w14:paraId="54E85B20">
            <w:pPr>
              <w:widowControl w:val="0"/>
              <w:autoSpaceDE w:val="0"/>
              <w:autoSpaceDN w:val="0"/>
              <w:rPr>
                <w:rFonts w:ascii="Times New Roman" w:hAnsi="宋体" w:eastAsia="宋体" w:cs="宋体"/>
                <w:sz w:val="18"/>
                <w:szCs w:val="22"/>
                <w:lang w:val="en-US" w:eastAsia="en-US" w:bidi="ar-SA"/>
              </w:rPr>
            </w:pPr>
          </w:p>
        </w:tc>
        <w:tc>
          <w:tcPr>
            <w:tcW w:w="192" w:type="pct"/>
            <w:tcBorders>
              <w:top w:val="single" w:color="000000" w:sz="4" w:space="0"/>
              <w:left w:val="single" w:color="000000" w:sz="4" w:space="0"/>
              <w:bottom w:val="single" w:color="000000" w:sz="4" w:space="0"/>
              <w:right w:val="single" w:color="000000" w:sz="4" w:space="0"/>
            </w:tcBorders>
          </w:tcPr>
          <w:p w14:paraId="23D3B04A">
            <w:pPr>
              <w:widowControl w:val="0"/>
              <w:autoSpaceDE w:val="0"/>
              <w:autoSpaceDN w:val="0"/>
              <w:rPr>
                <w:rFonts w:ascii="Times New Roman" w:hAnsi="宋体" w:eastAsia="宋体" w:cs="宋体"/>
                <w:sz w:val="18"/>
                <w:szCs w:val="22"/>
                <w:lang w:val="en-US" w:eastAsia="en-US" w:bidi="ar-SA"/>
              </w:rPr>
            </w:pPr>
          </w:p>
        </w:tc>
        <w:tc>
          <w:tcPr>
            <w:tcW w:w="186" w:type="pct"/>
            <w:tcBorders>
              <w:top w:val="single" w:color="000000" w:sz="4" w:space="0"/>
              <w:left w:val="single" w:color="000000" w:sz="4" w:space="0"/>
              <w:bottom w:val="single" w:color="000000" w:sz="4" w:space="0"/>
              <w:right w:val="single" w:color="000000" w:sz="4" w:space="0"/>
            </w:tcBorders>
          </w:tcPr>
          <w:p w14:paraId="6427BE15">
            <w:pPr>
              <w:widowControl w:val="0"/>
              <w:autoSpaceDE w:val="0"/>
              <w:autoSpaceDN w:val="0"/>
              <w:rPr>
                <w:rFonts w:ascii="Times New Roman" w:hAnsi="宋体" w:eastAsia="宋体" w:cs="宋体"/>
                <w:sz w:val="18"/>
                <w:szCs w:val="22"/>
                <w:lang w:val="en-US" w:eastAsia="en-US" w:bidi="ar-SA"/>
              </w:rPr>
            </w:pPr>
          </w:p>
        </w:tc>
        <w:tc>
          <w:tcPr>
            <w:tcW w:w="181" w:type="pct"/>
            <w:tcBorders>
              <w:top w:val="single" w:color="000000" w:sz="4" w:space="0"/>
              <w:left w:val="single" w:color="000000" w:sz="4" w:space="0"/>
              <w:bottom w:val="single" w:color="000000" w:sz="4" w:space="0"/>
            </w:tcBorders>
          </w:tcPr>
          <w:p w14:paraId="4623C8F9">
            <w:pPr>
              <w:widowControl w:val="0"/>
              <w:autoSpaceDE w:val="0"/>
              <w:autoSpaceDN w:val="0"/>
              <w:rPr>
                <w:rFonts w:ascii="Times New Roman" w:hAnsi="宋体" w:eastAsia="宋体" w:cs="宋体"/>
                <w:sz w:val="18"/>
                <w:szCs w:val="22"/>
                <w:lang w:val="en-US" w:eastAsia="en-US" w:bidi="ar-SA"/>
              </w:rPr>
            </w:pPr>
          </w:p>
        </w:tc>
      </w:tr>
      <w:tr w14:paraId="449FF1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3" w:hRule="atLeast"/>
        </w:trPr>
        <w:tc>
          <w:tcPr>
            <w:tcW w:w="5000" w:type="pct"/>
            <w:gridSpan w:val="23"/>
            <w:tcBorders>
              <w:top w:val="single" w:color="000000" w:sz="4" w:space="0"/>
            </w:tcBorders>
          </w:tcPr>
          <w:p w14:paraId="463D1444">
            <w:pPr>
              <w:widowControl w:val="0"/>
              <w:autoSpaceDE w:val="0"/>
              <w:autoSpaceDN w:val="0"/>
              <w:spacing w:before="96"/>
              <w:ind w:left="107"/>
              <w:rPr>
                <w:rFonts w:ascii="宋体" w:hAnsi="宋体" w:eastAsia="宋体" w:cs="宋体"/>
                <w:sz w:val="18"/>
                <w:szCs w:val="22"/>
                <w:lang w:val="en-US" w:eastAsia="en-US" w:bidi="ar-SA"/>
              </w:rPr>
            </w:pPr>
            <w:r>
              <w:rPr>
                <w:rFonts w:ascii="宋体" w:hAnsi="宋体" w:eastAsia="宋体" w:cs="宋体"/>
                <w:sz w:val="18"/>
                <w:szCs w:val="22"/>
                <w:lang w:val="en-US" w:eastAsia="en-US" w:bidi="ar-SA"/>
              </w:rPr>
              <w:t>注：</w:t>
            </w:r>
          </w:p>
        </w:tc>
      </w:tr>
    </w:tbl>
    <w:p w14:paraId="521938BC">
      <w:pPr>
        <w:spacing w:before="4"/>
        <w:rPr>
          <w:rFonts w:ascii="黑体"/>
          <w:sz w:val="17"/>
        </w:rPr>
        <w:sectPr>
          <w:headerReference r:id="rId41" w:type="default"/>
          <w:pgSz w:w="16838" w:h="11906" w:orient="landscape"/>
          <w:pgMar w:top="1417" w:right="567" w:bottom="850" w:left="1134" w:header="1417" w:footer="1134" w:gutter="0"/>
          <w:cols w:space="425" w:num="1"/>
          <w:docGrid w:type="lines" w:linePitch="312" w:charSpace="0"/>
        </w:sectPr>
      </w:pPr>
    </w:p>
    <w:p w14:paraId="227F50E1">
      <w:pPr>
        <w:keepNext/>
        <w:widowControl/>
        <w:shd w:val="clear" w:color="FFFFFF" w:fill="FFFFFF"/>
        <w:tabs>
          <w:tab w:val="left" w:pos="6405"/>
        </w:tabs>
        <w:autoSpaceDE/>
        <w:autoSpaceDN/>
        <w:spacing w:before="0" w:after="0"/>
        <w:jc w:val="center"/>
        <w:outlineLvl w:val="0"/>
        <w:rPr>
          <w:rFonts w:ascii="黑体" w:hAnsi="Times New Roman" w:eastAsia="黑体" w:cs="宋体"/>
          <w:sz w:val="28"/>
          <w:szCs w:val="28"/>
          <w:lang w:val="en-US" w:eastAsia="zh-CN" w:bidi="ar-SA"/>
        </w:rPr>
      </w:pPr>
      <w:bookmarkStart w:id="232" w:name="_Toc169694675"/>
      <w:r>
        <w:rPr>
          <w:rFonts w:hint="eastAsia" w:ascii="黑体" w:hAnsi="Times New Roman" w:eastAsia="黑体" w:cs="宋体"/>
          <w:sz w:val="28"/>
          <w:szCs w:val="28"/>
          <w:lang w:val="en-US" w:eastAsia="zh-CN" w:bidi="ar-SA"/>
        </w:rPr>
        <w:t>附录</w:t>
      </w:r>
      <w:r>
        <w:rPr>
          <w:rFonts w:ascii="黑体" w:hAnsi="Times New Roman" w:eastAsia="黑体" w:cs="宋体"/>
          <w:sz w:val="28"/>
          <w:szCs w:val="28"/>
          <w:lang w:val="en-US" w:eastAsia="zh-CN" w:bidi="ar-SA"/>
        </w:rPr>
        <w:t>C</w:t>
      </w:r>
      <w:bookmarkEnd w:id="232"/>
    </w:p>
    <w:p w14:paraId="03177B1F">
      <w:pPr>
        <w:widowControl w:val="0"/>
        <w:autoSpaceDE/>
        <w:autoSpaceDN/>
        <w:jc w:val="center"/>
        <w:rPr>
          <w:rFonts w:ascii="宋体" w:hAnsi="宋体" w:eastAsia="宋体" w:cs="宋体"/>
          <w:sz w:val="28"/>
          <w:szCs w:val="28"/>
          <w:lang w:val="en-US" w:eastAsia="zh-CN" w:bidi="ar-SA"/>
        </w:rPr>
      </w:pPr>
      <w:r>
        <w:rPr>
          <w:rFonts w:hint="eastAsia" w:ascii="宋体" w:hAnsi="宋体" w:eastAsia="宋体" w:cs="宋体"/>
          <w:sz w:val="28"/>
          <w:szCs w:val="28"/>
          <w:lang w:val="en-US" w:eastAsia="zh-CN" w:bidi="ar-SA"/>
        </w:rPr>
        <w:t>（资料性）</w:t>
      </w:r>
    </w:p>
    <w:p w14:paraId="331A0E84">
      <w:pPr>
        <w:widowControl w:val="0"/>
        <w:autoSpaceDE/>
        <w:autoSpaceDN/>
        <w:jc w:val="center"/>
        <w:rPr>
          <w:rFonts w:ascii="宋体" w:hAnsi="宋体" w:eastAsia="宋体" w:cs="宋体"/>
          <w:b/>
          <w:sz w:val="28"/>
          <w:szCs w:val="28"/>
          <w:lang w:val="en-US" w:eastAsia="zh-CN" w:bidi="ar-SA"/>
        </w:rPr>
      </w:pPr>
      <w:r>
        <w:rPr>
          <w:rFonts w:hint="eastAsia" w:ascii="宋体" w:hAnsi="宋体" w:eastAsia="宋体" w:cs="宋体"/>
          <w:b/>
          <w:sz w:val="28"/>
          <w:szCs w:val="28"/>
          <w:lang w:val="en-US" w:eastAsia="zh-CN" w:bidi="ar-SA"/>
        </w:rPr>
        <w:t>湖北省地方标准实施信息及意见反馈表</w:t>
      </w:r>
    </w:p>
    <w:tbl>
      <w:tblPr>
        <w:tblStyle w:val="9"/>
        <w:tblW w:w="5000" w:type="pct"/>
        <w:jc w:val="center"/>
        <w:tblLayout w:type="autofit"/>
        <w:tblCellMar>
          <w:top w:w="0" w:type="dxa"/>
          <w:left w:w="108" w:type="dxa"/>
          <w:bottom w:w="0" w:type="dxa"/>
          <w:right w:w="108" w:type="dxa"/>
        </w:tblCellMar>
      </w:tblPr>
      <w:tblGrid>
        <w:gridCol w:w="1180"/>
        <w:gridCol w:w="936"/>
        <w:gridCol w:w="4990"/>
        <w:gridCol w:w="1416"/>
      </w:tblGrid>
      <w:tr w14:paraId="691FA7CB">
        <w:tblPrEx>
          <w:tblCellMar>
            <w:top w:w="0" w:type="dxa"/>
            <w:left w:w="108" w:type="dxa"/>
            <w:bottom w:w="0" w:type="dxa"/>
            <w:right w:w="108" w:type="dxa"/>
          </w:tblCellMar>
        </w:tblPrEx>
        <w:trPr>
          <w:trHeight w:val="703" w:hRule="atLeast"/>
          <w:jc w:val="center"/>
        </w:trPr>
        <w:tc>
          <w:tcPr>
            <w:tcW w:w="1053"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8459094">
            <w:pPr>
              <w:widowControl/>
              <w:autoSpaceDE/>
              <w:autoSpaceDN/>
              <w:jc w:val="left"/>
              <w:rPr>
                <w:rFonts w:ascii="Calibri" w:hAnsi="Calibri" w:eastAsia="宋体" w:cs="Calibri"/>
                <w:b/>
                <w:kern w:val="0"/>
                <w:sz w:val="24"/>
                <w:szCs w:val="24"/>
                <w:lang w:eastAsia="zh-CN"/>
              </w:rPr>
            </w:pPr>
            <w:r>
              <w:rPr>
                <w:rFonts w:hint="eastAsia" w:ascii="宋体" w:hAnsi="宋体" w:eastAsia="宋体" w:cs="Calibri"/>
                <w:b/>
                <w:kern w:val="0"/>
                <w:sz w:val="24"/>
                <w:szCs w:val="24"/>
                <w:lang w:eastAsia="zh-CN"/>
              </w:rPr>
              <w:t>标准名称及标号</w:t>
            </w:r>
          </w:p>
        </w:tc>
        <w:tc>
          <w:tcPr>
            <w:tcW w:w="394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4244C2">
            <w:pPr>
              <w:widowControl/>
              <w:autoSpaceDE/>
              <w:autoSpaceDN/>
              <w:jc w:val="left"/>
              <w:rPr>
                <w:rFonts w:ascii="Calibri" w:hAnsi="Calibri" w:eastAsia="宋体" w:cs="Calibri"/>
                <w:kern w:val="0"/>
                <w:sz w:val="24"/>
                <w:szCs w:val="24"/>
                <w:lang w:eastAsia="zh-CN"/>
              </w:rPr>
            </w:pPr>
          </w:p>
        </w:tc>
      </w:tr>
      <w:tr w14:paraId="1896AC48">
        <w:tblPrEx>
          <w:tblCellMar>
            <w:top w:w="0" w:type="dxa"/>
            <w:left w:w="108" w:type="dxa"/>
            <w:bottom w:w="0" w:type="dxa"/>
            <w:right w:w="108" w:type="dxa"/>
          </w:tblCellMar>
        </w:tblPrEx>
        <w:trPr>
          <w:trHeight w:val="1054" w:hRule="atLeast"/>
          <w:jc w:val="center"/>
        </w:trPr>
        <w:tc>
          <w:tcPr>
            <w:tcW w:w="587" w:type="pct"/>
            <w:vMerge w:val="restart"/>
            <w:tcBorders>
              <w:top w:val="nil"/>
              <w:left w:val="single" w:color="auto" w:sz="4" w:space="0"/>
              <w:bottom w:val="single" w:color="auto" w:sz="4" w:space="0"/>
              <w:right w:val="single" w:color="auto" w:sz="4" w:space="0"/>
            </w:tcBorders>
            <w:shd w:val="clear" w:color="auto" w:fill="auto"/>
            <w:noWrap/>
            <w:vAlign w:val="center"/>
          </w:tcPr>
          <w:p w14:paraId="6ED8F303">
            <w:pPr>
              <w:widowControl/>
              <w:autoSpaceDE/>
              <w:autoSpaceDN/>
              <w:jc w:val="center"/>
              <w:rPr>
                <w:rFonts w:ascii="宋体" w:hAnsi="宋体" w:eastAsia="宋体" w:cs="Calibri"/>
                <w:b/>
                <w:kern w:val="0"/>
                <w:sz w:val="24"/>
                <w:szCs w:val="24"/>
                <w:lang w:eastAsia="zh-CN"/>
              </w:rPr>
            </w:pPr>
            <w:r>
              <w:rPr>
                <w:rFonts w:hint="eastAsia" w:ascii="宋体" w:hAnsi="宋体" w:eastAsia="宋体" w:cs="Calibri"/>
                <w:b/>
                <w:kern w:val="0"/>
                <w:sz w:val="24"/>
                <w:szCs w:val="24"/>
                <w:lang w:eastAsia="zh-CN"/>
              </w:rPr>
              <w:t>总体评价</w:t>
            </w:r>
          </w:p>
        </w:tc>
        <w:tc>
          <w:tcPr>
            <w:tcW w:w="466" w:type="pct"/>
            <w:tcBorders>
              <w:top w:val="nil"/>
              <w:left w:val="nil"/>
              <w:bottom w:val="single" w:color="auto" w:sz="4" w:space="0"/>
              <w:right w:val="single" w:color="auto" w:sz="4" w:space="0"/>
            </w:tcBorders>
            <w:shd w:val="clear" w:color="auto" w:fill="auto"/>
            <w:noWrap/>
            <w:vAlign w:val="center"/>
          </w:tcPr>
          <w:p w14:paraId="0EA0D267">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适用性</w:t>
            </w:r>
          </w:p>
        </w:tc>
        <w:tc>
          <w:tcPr>
            <w:tcW w:w="3242" w:type="pct"/>
            <w:tcBorders>
              <w:top w:val="nil"/>
              <w:left w:val="nil"/>
              <w:bottom w:val="single" w:color="auto" w:sz="4" w:space="0"/>
              <w:right w:val="single" w:color="auto" w:sz="4" w:space="0"/>
            </w:tcBorders>
            <w:shd w:val="clear" w:color="auto" w:fill="auto"/>
            <w:vAlign w:val="center"/>
          </w:tcPr>
          <w:p w14:paraId="1CD025DF">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该标准与当前所在地的产业或社会发展水平是否相匹配？</w:t>
            </w:r>
          </w:p>
        </w:tc>
        <w:tc>
          <w:tcPr>
            <w:tcW w:w="705" w:type="pct"/>
            <w:tcBorders>
              <w:top w:val="nil"/>
              <w:left w:val="nil"/>
              <w:bottom w:val="single" w:color="auto" w:sz="4" w:space="0"/>
              <w:right w:val="single" w:color="auto" w:sz="4" w:space="0"/>
            </w:tcBorders>
            <w:shd w:val="clear" w:color="auto" w:fill="auto"/>
            <w:noWrap/>
            <w:vAlign w:val="center"/>
          </w:tcPr>
          <w:p w14:paraId="4CC177DB">
            <w:pPr>
              <w:widowControl/>
              <w:autoSpaceDE/>
              <w:autoSpaceDN/>
              <w:jc w:val="left"/>
              <w:rPr>
                <w:rFonts w:ascii="Calibri" w:hAnsi="Calibri" w:eastAsia="宋体" w:cs="Calibri"/>
                <w:kern w:val="0"/>
                <w:sz w:val="24"/>
                <w:szCs w:val="24"/>
                <w:lang w:eastAsia="zh-CN"/>
              </w:rPr>
            </w:pPr>
            <w:r>
              <w:rPr>
                <w:rFonts w:hint="eastAsia" w:ascii="宋体" w:hAnsi="宋体" w:eastAsia="宋体" w:cs="Calibri"/>
                <w:kern w:val="0"/>
                <w:sz w:val="24"/>
                <w:szCs w:val="24"/>
                <w:lang w:eastAsia="zh-CN"/>
              </w:rPr>
              <w:t>□是</w:t>
            </w:r>
            <w:r>
              <w:rPr>
                <w:rFonts w:ascii="Calibri" w:hAnsi="Calibri" w:eastAsia="宋体" w:cs="Calibri"/>
                <w:kern w:val="0"/>
                <w:sz w:val="24"/>
                <w:szCs w:val="24"/>
                <w:lang w:eastAsia="zh-CN"/>
              </w:rPr>
              <w:t xml:space="preserve">  </w:t>
            </w:r>
            <w:r>
              <w:rPr>
                <w:rFonts w:hint="eastAsia" w:ascii="宋体" w:hAnsi="宋体" w:eastAsia="宋体" w:cs="Calibri"/>
                <w:kern w:val="0"/>
                <w:sz w:val="24"/>
                <w:szCs w:val="24"/>
                <w:lang w:eastAsia="zh-CN"/>
              </w:rPr>
              <w:t>□否</w:t>
            </w:r>
          </w:p>
        </w:tc>
      </w:tr>
      <w:tr w14:paraId="22DF279D">
        <w:tblPrEx>
          <w:tblCellMar>
            <w:top w:w="0" w:type="dxa"/>
            <w:left w:w="108" w:type="dxa"/>
            <w:bottom w:w="0" w:type="dxa"/>
            <w:right w:w="108" w:type="dxa"/>
          </w:tblCellMar>
        </w:tblPrEx>
        <w:trPr>
          <w:trHeight w:val="1074" w:hRule="atLeast"/>
          <w:jc w:val="center"/>
        </w:trPr>
        <w:tc>
          <w:tcPr>
            <w:tcW w:w="587" w:type="pct"/>
            <w:vMerge w:val="continue"/>
            <w:tcBorders>
              <w:top w:val="nil"/>
              <w:left w:val="single" w:color="auto" w:sz="4" w:space="0"/>
              <w:bottom w:val="single" w:color="auto" w:sz="4" w:space="0"/>
              <w:right w:val="single" w:color="auto" w:sz="4" w:space="0"/>
            </w:tcBorders>
            <w:vAlign w:val="center"/>
          </w:tcPr>
          <w:p w14:paraId="71CEE25F">
            <w:pPr>
              <w:widowControl/>
              <w:autoSpaceDE/>
              <w:autoSpaceDN/>
              <w:jc w:val="left"/>
              <w:rPr>
                <w:rFonts w:ascii="宋体" w:hAnsi="宋体" w:eastAsia="宋体" w:cs="Calibri"/>
                <w:b/>
                <w:kern w:val="0"/>
                <w:sz w:val="24"/>
                <w:szCs w:val="24"/>
                <w:lang w:eastAsia="zh-CN"/>
              </w:rPr>
            </w:pPr>
          </w:p>
        </w:tc>
        <w:tc>
          <w:tcPr>
            <w:tcW w:w="466" w:type="pct"/>
            <w:tcBorders>
              <w:top w:val="nil"/>
              <w:left w:val="nil"/>
              <w:bottom w:val="single" w:color="auto" w:sz="4" w:space="0"/>
              <w:right w:val="single" w:color="auto" w:sz="4" w:space="0"/>
            </w:tcBorders>
            <w:shd w:val="clear" w:color="auto" w:fill="auto"/>
            <w:noWrap/>
            <w:vAlign w:val="center"/>
          </w:tcPr>
          <w:p w14:paraId="7B4230F6">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协调性</w:t>
            </w:r>
          </w:p>
        </w:tc>
        <w:tc>
          <w:tcPr>
            <w:tcW w:w="3242" w:type="pct"/>
            <w:tcBorders>
              <w:top w:val="nil"/>
              <w:left w:val="nil"/>
              <w:bottom w:val="single" w:color="auto" w:sz="4" w:space="0"/>
              <w:right w:val="single" w:color="auto" w:sz="4" w:space="0"/>
            </w:tcBorders>
            <w:shd w:val="clear" w:color="auto" w:fill="auto"/>
            <w:vAlign w:val="center"/>
          </w:tcPr>
          <w:p w14:paraId="60287A4F">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该标准的特色要求与其他强制性标准的主要技术指标、相关法律法规、部门规章或产业政策是否协调？</w:t>
            </w:r>
          </w:p>
        </w:tc>
        <w:tc>
          <w:tcPr>
            <w:tcW w:w="705" w:type="pct"/>
            <w:tcBorders>
              <w:top w:val="nil"/>
              <w:left w:val="nil"/>
              <w:bottom w:val="single" w:color="auto" w:sz="4" w:space="0"/>
              <w:right w:val="single" w:color="auto" w:sz="4" w:space="0"/>
            </w:tcBorders>
            <w:shd w:val="clear" w:color="auto" w:fill="auto"/>
            <w:noWrap/>
            <w:vAlign w:val="center"/>
          </w:tcPr>
          <w:p w14:paraId="2B792493">
            <w:pPr>
              <w:widowControl/>
              <w:autoSpaceDE/>
              <w:autoSpaceDN/>
              <w:jc w:val="left"/>
              <w:rPr>
                <w:rFonts w:ascii="Calibri" w:hAnsi="Calibri" w:eastAsia="宋体" w:cs="Calibri"/>
                <w:kern w:val="0"/>
                <w:sz w:val="24"/>
                <w:szCs w:val="24"/>
                <w:lang w:eastAsia="zh-CN"/>
              </w:rPr>
            </w:pPr>
            <w:r>
              <w:rPr>
                <w:rFonts w:hint="eastAsia" w:ascii="宋体" w:hAnsi="宋体" w:eastAsia="宋体" w:cs="Calibri"/>
                <w:kern w:val="0"/>
                <w:sz w:val="24"/>
                <w:szCs w:val="24"/>
                <w:lang w:eastAsia="zh-CN"/>
              </w:rPr>
              <w:t>□是</w:t>
            </w:r>
            <w:r>
              <w:rPr>
                <w:rFonts w:ascii="Calibri" w:hAnsi="Calibri" w:eastAsia="宋体" w:cs="Calibri"/>
                <w:kern w:val="0"/>
                <w:sz w:val="24"/>
                <w:szCs w:val="24"/>
                <w:lang w:eastAsia="zh-CN"/>
              </w:rPr>
              <w:t xml:space="preserve">  </w:t>
            </w:r>
            <w:r>
              <w:rPr>
                <w:rFonts w:hint="eastAsia" w:ascii="宋体" w:hAnsi="宋体" w:eastAsia="宋体" w:cs="Calibri"/>
                <w:kern w:val="0"/>
                <w:sz w:val="24"/>
                <w:szCs w:val="24"/>
                <w:lang w:eastAsia="zh-CN"/>
              </w:rPr>
              <w:t>□否</w:t>
            </w:r>
          </w:p>
        </w:tc>
      </w:tr>
      <w:tr w14:paraId="23333012">
        <w:tblPrEx>
          <w:tblCellMar>
            <w:top w:w="0" w:type="dxa"/>
            <w:left w:w="108" w:type="dxa"/>
            <w:bottom w:w="0" w:type="dxa"/>
            <w:right w:w="108" w:type="dxa"/>
          </w:tblCellMar>
        </w:tblPrEx>
        <w:trPr>
          <w:trHeight w:val="1074" w:hRule="atLeast"/>
          <w:jc w:val="center"/>
        </w:trPr>
        <w:tc>
          <w:tcPr>
            <w:tcW w:w="587" w:type="pct"/>
            <w:vMerge w:val="continue"/>
            <w:tcBorders>
              <w:top w:val="nil"/>
              <w:left w:val="single" w:color="auto" w:sz="4" w:space="0"/>
              <w:bottom w:val="single" w:color="auto" w:sz="4" w:space="0"/>
              <w:right w:val="single" w:color="auto" w:sz="4" w:space="0"/>
            </w:tcBorders>
            <w:vAlign w:val="center"/>
          </w:tcPr>
          <w:p w14:paraId="24406A28">
            <w:pPr>
              <w:widowControl/>
              <w:autoSpaceDE/>
              <w:autoSpaceDN/>
              <w:jc w:val="left"/>
              <w:rPr>
                <w:rFonts w:ascii="宋体" w:hAnsi="宋体" w:eastAsia="宋体" w:cs="Calibri"/>
                <w:b/>
                <w:kern w:val="0"/>
                <w:sz w:val="24"/>
                <w:szCs w:val="24"/>
                <w:lang w:eastAsia="zh-CN"/>
              </w:rPr>
            </w:pPr>
          </w:p>
        </w:tc>
        <w:tc>
          <w:tcPr>
            <w:tcW w:w="466" w:type="pct"/>
            <w:tcBorders>
              <w:top w:val="nil"/>
              <w:left w:val="nil"/>
              <w:bottom w:val="single" w:color="auto" w:sz="4" w:space="0"/>
              <w:right w:val="single" w:color="auto" w:sz="4" w:space="0"/>
            </w:tcBorders>
            <w:shd w:val="clear" w:color="auto" w:fill="auto"/>
            <w:noWrap/>
            <w:vAlign w:val="center"/>
          </w:tcPr>
          <w:p w14:paraId="248750AB">
            <w:pPr>
              <w:widowControl/>
              <w:autoSpaceDE/>
              <w:autoSpaceDN/>
              <w:jc w:val="center"/>
              <w:rPr>
                <w:rFonts w:ascii="宋体" w:hAnsi="宋体" w:eastAsia="宋体" w:cs="Calibri"/>
                <w:kern w:val="0"/>
                <w:sz w:val="24"/>
                <w:szCs w:val="24"/>
                <w:lang w:eastAsia="zh-CN"/>
              </w:rPr>
            </w:pPr>
            <w:r>
              <w:rPr>
                <w:rFonts w:hint="eastAsia" w:ascii="宋体" w:hAnsi="宋体" w:eastAsia="宋体" w:cs="Calibri"/>
                <w:kern w:val="0"/>
                <w:sz w:val="24"/>
                <w:szCs w:val="24"/>
                <w:lang w:eastAsia="zh-CN"/>
              </w:rPr>
              <w:t>执行</w:t>
            </w:r>
          </w:p>
          <w:p w14:paraId="31648CEF">
            <w:pPr>
              <w:widowControl/>
              <w:autoSpaceDE/>
              <w:autoSpaceDN/>
              <w:jc w:val="center"/>
              <w:rPr>
                <w:rFonts w:ascii="宋体" w:hAnsi="宋体" w:eastAsia="宋体" w:cs="Calibri"/>
                <w:kern w:val="0"/>
                <w:sz w:val="24"/>
                <w:szCs w:val="24"/>
                <w:lang w:eastAsia="zh-CN"/>
              </w:rPr>
            </w:pPr>
            <w:r>
              <w:rPr>
                <w:rFonts w:hint="eastAsia" w:ascii="宋体" w:hAnsi="宋体" w:eastAsia="宋体" w:cs="Calibri"/>
                <w:kern w:val="0"/>
                <w:sz w:val="24"/>
                <w:szCs w:val="24"/>
                <w:lang w:eastAsia="zh-CN"/>
              </w:rPr>
              <w:t>情况</w:t>
            </w:r>
          </w:p>
        </w:tc>
        <w:tc>
          <w:tcPr>
            <w:tcW w:w="3242" w:type="pct"/>
            <w:tcBorders>
              <w:top w:val="nil"/>
              <w:left w:val="nil"/>
              <w:bottom w:val="single" w:color="auto" w:sz="4" w:space="0"/>
              <w:right w:val="single" w:color="auto" w:sz="4" w:space="0"/>
            </w:tcBorders>
            <w:shd w:val="clear" w:color="auto" w:fill="auto"/>
            <w:vAlign w:val="center"/>
          </w:tcPr>
          <w:p w14:paraId="02E49970">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标准执行单位或人员是否按照标准要求组织开展相关工作？</w:t>
            </w:r>
          </w:p>
        </w:tc>
        <w:tc>
          <w:tcPr>
            <w:tcW w:w="705" w:type="pct"/>
            <w:tcBorders>
              <w:top w:val="nil"/>
              <w:left w:val="nil"/>
              <w:bottom w:val="single" w:color="auto" w:sz="4" w:space="0"/>
              <w:right w:val="single" w:color="auto" w:sz="4" w:space="0"/>
            </w:tcBorders>
            <w:shd w:val="clear" w:color="auto" w:fill="auto"/>
            <w:noWrap/>
            <w:vAlign w:val="center"/>
          </w:tcPr>
          <w:p w14:paraId="6CEA2CD6">
            <w:pPr>
              <w:widowControl/>
              <w:autoSpaceDE/>
              <w:autoSpaceDN/>
              <w:jc w:val="left"/>
              <w:rPr>
                <w:rFonts w:ascii="Calibri" w:hAnsi="Calibri" w:eastAsia="宋体" w:cs="Calibri"/>
                <w:kern w:val="0"/>
                <w:sz w:val="24"/>
                <w:szCs w:val="24"/>
                <w:lang w:eastAsia="zh-CN"/>
              </w:rPr>
            </w:pPr>
            <w:r>
              <w:rPr>
                <w:rFonts w:hint="eastAsia" w:ascii="宋体" w:hAnsi="宋体" w:eastAsia="宋体" w:cs="Calibri"/>
                <w:kern w:val="0"/>
                <w:sz w:val="24"/>
                <w:szCs w:val="24"/>
                <w:lang w:eastAsia="zh-CN"/>
              </w:rPr>
              <w:t>□是</w:t>
            </w:r>
            <w:r>
              <w:rPr>
                <w:rFonts w:ascii="Calibri" w:hAnsi="Calibri" w:eastAsia="宋体" w:cs="Calibri"/>
                <w:kern w:val="0"/>
                <w:sz w:val="24"/>
                <w:szCs w:val="24"/>
                <w:lang w:eastAsia="zh-CN"/>
              </w:rPr>
              <w:t xml:space="preserve">  </w:t>
            </w:r>
            <w:r>
              <w:rPr>
                <w:rFonts w:hint="eastAsia" w:ascii="宋体" w:hAnsi="宋体" w:eastAsia="宋体" w:cs="Calibri"/>
                <w:kern w:val="0"/>
                <w:sz w:val="24"/>
                <w:szCs w:val="24"/>
                <w:lang w:eastAsia="zh-CN"/>
              </w:rPr>
              <w:t>□否</w:t>
            </w:r>
          </w:p>
        </w:tc>
      </w:tr>
      <w:tr w14:paraId="2882C253">
        <w:tblPrEx>
          <w:tblCellMar>
            <w:top w:w="0" w:type="dxa"/>
            <w:left w:w="108" w:type="dxa"/>
            <w:bottom w:w="0" w:type="dxa"/>
            <w:right w:w="108" w:type="dxa"/>
          </w:tblCellMar>
        </w:tblPrEx>
        <w:trPr>
          <w:trHeight w:val="526" w:hRule="atLeast"/>
          <w:jc w:val="center"/>
        </w:trPr>
        <w:tc>
          <w:tcPr>
            <w:tcW w:w="587" w:type="pct"/>
            <w:vMerge w:val="restart"/>
            <w:tcBorders>
              <w:top w:val="nil"/>
              <w:left w:val="single" w:color="auto" w:sz="4" w:space="0"/>
              <w:bottom w:val="single" w:color="000000" w:sz="4" w:space="0"/>
              <w:right w:val="single" w:color="auto" w:sz="4" w:space="0"/>
            </w:tcBorders>
            <w:shd w:val="clear" w:color="auto" w:fill="auto"/>
            <w:noWrap/>
            <w:vAlign w:val="center"/>
          </w:tcPr>
          <w:p w14:paraId="01EE1F2E">
            <w:pPr>
              <w:widowControl/>
              <w:autoSpaceDE/>
              <w:autoSpaceDN/>
              <w:jc w:val="center"/>
              <w:rPr>
                <w:rFonts w:ascii="宋体" w:hAnsi="宋体" w:eastAsia="宋体" w:cs="Calibri"/>
                <w:b/>
                <w:kern w:val="0"/>
                <w:sz w:val="24"/>
                <w:szCs w:val="24"/>
                <w:lang w:eastAsia="zh-CN"/>
              </w:rPr>
            </w:pPr>
            <w:r>
              <w:rPr>
                <w:rFonts w:hint="eastAsia" w:ascii="宋体" w:hAnsi="宋体" w:eastAsia="宋体" w:cs="Calibri"/>
                <w:b/>
                <w:kern w:val="0"/>
                <w:sz w:val="24"/>
                <w:szCs w:val="24"/>
                <w:lang w:eastAsia="zh-CN"/>
              </w:rPr>
              <w:t>实施信息</w:t>
            </w:r>
          </w:p>
        </w:tc>
        <w:tc>
          <w:tcPr>
            <w:tcW w:w="3708" w:type="pct"/>
            <w:gridSpan w:val="2"/>
            <w:tcBorders>
              <w:top w:val="single" w:color="auto" w:sz="4" w:space="0"/>
              <w:left w:val="nil"/>
              <w:bottom w:val="single" w:color="auto" w:sz="4" w:space="0"/>
              <w:right w:val="single" w:color="000000" w:sz="4" w:space="0"/>
            </w:tcBorders>
            <w:shd w:val="clear" w:color="auto" w:fill="auto"/>
            <w:noWrap/>
            <w:vAlign w:val="center"/>
          </w:tcPr>
          <w:p w14:paraId="26E7EAFF">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标准实施过程中是否存在阻力或障碍？</w:t>
            </w:r>
          </w:p>
        </w:tc>
        <w:tc>
          <w:tcPr>
            <w:tcW w:w="705" w:type="pct"/>
            <w:tcBorders>
              <w:top w:val="nil"/>
              <w:left w:val="nil"/>
              <w:bottom w:val="single" w:color="auto" w:sz="4" w:space="0"/>
              <w:right w:val="single" w:color="auto" w:sz="4" w:space="0"/>
            </w:tcBorders>
            <w:shd w:val="clear" w:color="auto" w:fill="auto"/>
            <w:noWrap/>
            <w:vAlign w:val="center"/>
          </w:tcPr>
          <w:p w14:paraId="2DB1EA23">
            <w:pPr>
              <w:widowControl/>
              <w:autoSpaceDE/>
              <w:autoSpaceDN/>
              <w:jc w:val="left"/>
              <w:rPr>
                <w:rFonts w:ascii="Calibri" w:hAnsi="Calibri" w:eastAsia="宋体" w:cs="Calibri"/>
                <w:kern w:val="0"/>
                <w:sz w:val="24"/>
                <w:szCs w:val="24"/>
                <w:lang w:eastAsia="zh-CN"/>
              </w:rPr>
            </w:pPr>
            <w:r>
              <w:rPr>
                <w:rFonts w:hint="eastAsia" w:ascii="宋体" w:hAnsi="宋体" w:eastAsia="宋体" w:cs="Calibri"/>
                <w:kern w:val="0"/>
                <w:sz w:val="24"/>
                <w:szCs w:val="24"/>
                <w:lang w:eastAsia="zh-CN"/>
              </w:rPr>
              <w:t>□是</w:t>
            </w:r>
            <w:r>
              <w:rPr>
                <w:rFonts w:ascii="Calibri" w:hAnsi="Calibri" w:eastAsia="宋体" w:cs="Calibri"/>
                <w:kern w:val="0"/>
                <w:sz w:val="24"/>
                <w:szCs w:val="24"/>
                <w:lang w:eastAsia="zh-CN"/>
              </w:rPr>
              <w:t xml:space="preserve">  </w:t>
            </w:r>
            <w:r>
              <w:rPr>
                <w:rFonts w:hint="eastAsia" w:ascii="宋体" w:hAnsi="宋体" w:eastAsia="宋体" w:cs="Calibri"/>
                <w:kern w:val="0"/>
                <w:sz w:val="24"/>
                <w:szCs w:val="24"/>
                <w:lang w:eastAsia="zh-CN"/>
              </w:rPr>
              <w:t>□否</w:t>
            </w:r>
          </w:p>
        </w:tc>
      </w:tr>
      <w:tr w14:paraId="3023DEEE">
        <w:tblPrEx>
          <w:tblCellMar>
            <w:top w:w="0" w:type="dxa"/>
            <w:left w:w="108" w:type="dxa"/>
            <w:bottom w:w="0" w:type="dxa"/>
            <w:right w:w="108" w:type="dxa"/>
          </w:tblCellMar>
        </w:tblPrEx>
        <w:trPr>
          <w:trHeight w:val="548" w:hRule="atLeast"/>
          <w:jc w:val="center"/>
        </w:trPr>
        <w:tc>
          <w:tcPr>
            <w:tcW w:w="587" w:type="pct"/>
            <w:vMerge w:val="continue"/>
            <w:tcBorders>
              <w:top w:val="nil"/>
              <w:left w:val="single" w:color="auto" w:sz="4" w:space="0"/>
              <w:bottom w:val="single" w:color="000000" w:sz="4" w:space="0"/>
              <w:right w:val="single" w:color="auto" w:sz="4" w:space="0"/>
            </w:tcBorders>
            <w:vAlign w:val="center"/>
          </w:tcPr>
          <w:p w14:paraId="7ACD9D4D">
            <w:pPr>
              <w:widowControl/>
              <w:autoSpaceDE/>
              <w:autoSpaceDN/>
              <w:jc w:val="left"/>
              <w:rPr>
                <w:rFonts w:ascii="宋体" w:hAnsi="宋体" w:eastAsia="宋体" w:cs="Calibri"/>
                <w:b/>
                <w:kern w:val="0"/>
                <w:sz w:val="24"/>
                <w:szCs w:val="24"/>
                <w:lang w:eastAsia="zh-CN"/>
              </w:rPr>
            </w:pPr>
          </w:p>
        </w:tc>
        <w:tc>
          <w:tcPr>
            <w:tcW w:w="4413" w:type="pct"/>
            <w:gridSpan w:val="3"/>
            <w:tcBorders>
              <w:top w:val="nil"/>
              <w:left w:val="nil"/>
              <w:bottom w:val="single" w:color="auto" w:sz="4" w:space="0"/>
              <w:right w:val="single" w:color="auto" w:sz="4" w:space="0"/>
            </w:tcBorders>
            <w:shd w:val="clear" w:color="auto" w:fill="auto"/>
            <w:noWrap/>
            <w:vAlign w:val="center"/>
          </w:tcPr>
          <w:p w14:paraId="6A9DF83C">
            <w:pPr>
              <w:widowControl/>
              <w:autoSpaceDE/>
              <w:autoSpaceDN/>
              <w:jc w:val="left"/>
              <w:rPr>
                <w:rFonts w:ascii="Calibri" w:hAnsi="Calibri" w:eastAsia="宋体" w:cs="Calibri"/>
                <w:kern w:val="0"/>
                <w:sz w:val="24"/>
                <w:szCs w:val="24"/>
                <w:lang w:eastAsia="zh-CN"/>
              </w:rPr>
            </w:pPr>
            <w:r>
              <w:rPr>
                <w:rFonts w:hint="eastAsia" w:ascii="宋体" w:hAnsi="宋体" w:eastAsia="宋体" w:cs="Calibri"/>
                <w:kern w:val="0"/>
                <w:sz w:val="24"/>
                <w:szCs w:val="24"/>
                <w:lang w:eastAsia="zh-CN"/>
              </w:rPr>
              <w:t>实施过程中存在的主要问题</w:t>
            </w:r>
            <w:r>
              <w:rPr>
                <w:rFonts w:ascii="Calibri" w:hAnsi="Calibri" w:eastAsia="宋体" w:cs="Calibri"/>
                <w:kern w:val="0"/>
                <w:sz w:val="24"/>
                <w:szCs w:val="24"/>
                <w:lang w:eastAsia="zh-CN"/>
              </w:rPr>
              <w:t>　</w:t>
            </w:r>
          </w:p>
        </w:tc>
      </w:tr>
      <w:tr w14:paraId="694BE515">
        <w:tblPrEx>
          <w:tblCellMar>
            <w:top w:w="0" w:type="dxa"/>
            <w:left w:w="108" w:type="dxa"/>
            <w:bottom w:w="0" w:type="dxa"/>
            <w:right w:w="108" w:type="dxa"/>
          </w:tblCellMar>
        </w:tblPrEx>
        <w:trPr>
          <w:trHeight w:val="1054" w:hRule="atLeast"/>
          <w:jc w:val="center"/>
        </w:trPr>
        <w:tc>
          <w:tcPr>
            <w:tcW w:w="587" w:type="pct"/>
            <w:vMerge w:val="restart"/>
            <w:tcBorders>
              <w:top w:val="nil"/>
              <w:left w:val="single" w:color="auto" w:sz="4" w:space="0"/>
              <w:right w:val="single" w:color="auto" w:sz="4" w:space="0"/>
            </w:tcBorders>
            <w:shd w:val="clear" w:color="auto" w:fill="auto"/>
            <w:noWrap/>
            <w:vAlign w:val="center"/>
          </w:tcPr>
          <w:p w14:paraId="57BCB169">
            <w:pPr>
              <w:widowControl/>
              <w:autoSpaceDE/>
              <w:autoSpaceDN/>
              <w:jc w:val="left"/>
              <w:rPr>
                <w:rFonts w:ascii="宋体" w:hAnsi="宋体" w:eastAsia="宋体" w:cs="Calibri"/>
                <w:b/>
                <w:kern w:val="0"/>
                <w:sz w:val="24"/>
                <w:szCs w:val="24"/>
                <w:lang w:eastAsia="zh-CN"/>
              </w:rPr>
            </w:pPr>
            <w:r>
              <w:rPr>
                <w:rFonts w:hint="eastAsia" w:ascii="宋体" w:hAnsi="宋体" w:eastAsia="宋体" w:cs="Calibri"/>
                <w:b/>
                <w:kern w:val="0"/>
                <w:sz w:val="24"/>
                <w:szCs w:val="24"/>
                <w:lang w:eastAsia="zh-CN"/>
              </w:rPr>
              <w:t>修改意见</w:t>
            </w:r>
            <w:r>
              <w:rPr>
                <w:rFonts w:ascii="Calibri" w:hAnsi="Calibri" w:eastAsia="宋体" w:cs="Calibri"/>
                <w:b/>
                <w:kern w:val="0"/>
                <w:sz w:val="24"/>
                <w:szCs w:val="24"/>
                <w:lang w:eastAsia="zh-CN"/>
              </w:rPr>
              <w:t>　</w:t>
            </w:r>
          </w:p>
        </w:tc>
        <w:tc>
          <w:tcPr>
            <w:tcW w:w="466" w:type="pct"/>
            <w:tcBorders>
              <w:top w:val="nil"/>
              <w:left w:val="nil"/>
              <w:bottom w:val="single" w:color="auto" w:sz="4" w:space="0"/>
              <w:right w:val="single" w:color="auto" w:sz="4" w:space="0"/>
            </w:tcBorders>
            <w:shd w:val="clear" w:color="auto" w:fill="auto"/>
            <w:noWrap/>
            <w:vAlign w:val="center"/>
          </w:tcPr>
          <w:p w14:paraId="01723563">
            <w:pPr>
              <w:widowControl/>
              <w:autoSpaceDE/>
              <w:autoSpaceDN/>
              <w:jc w:val="center"/>
              <w:rPr>
                <w:rFonts w:ascii="宋体" w:hAnsi="宋体" w:eastAsia="宋体" w:cs="Calibri"/>
                <w:kern w:val="0"/>
                <w:sz w:val="24"/>
                <w:szCs w:val="24"/>
                <w:lang w:eastAsia="zh-CN"/>
              </w:rPr>
            </w:pPr>
            <w:r>
              <w:rPr>
                <w:rFonts w:hint="eastAsia" w:ascii="宋体" w:hAnsi="宋体" w:eastAsia="宋体" w:cs="Calibri"/>
                <w:kern w:val="0"/>
                <w:sz w:val="24"/>
                <w:szCs w:val="24"/>
                <w:lang w:eastAsia="zh-CN"/>
              </w:rPr>
              <w:t>总体</w:t>
            </w:r>
          </w:p>
          <w:p w14:paraId="1B52795D">
            <w:pPr>
              <w:widowControl/>
              <w:autoSpaceDE/>
              <w:autoSpaceDN/>
              <w:jc w:val="center"/>
              <w:rPr>
                <w:rFonts w:ascii="宋体" w:hAnsi="宋体" w:eastAsia="宋体" w:cs="Calibri"/>
                <w:kern w:val="0"/>
                <w:sz w:val="24"/>
                <w:szCs w:val="24"/>
                <w:lang w:eastAsia="zh-CN"/>
              </w:rPr>
            </w:pPr>
            <w:r>
              <w:rPr>
                <w:rFonts w:hint="eastAsia" w:ascii="宋体" w:hAnsi="宋体" w:eastAsia="宋体" w:cs="Calibri"/>
                <w:kern w:val="0"/>
                <w:sz w:val="24"/>
                <w:szCs w:val="24"/>
                <w:lang w:eastAsia="zh-CN"/>
              </w:rPr>
              <w:t>意见</w:t>
            </w:r>
          </w:p>
        </w:tc>
        <w:tc>
          <w:tcPr>
            <w:tcW w:w="3947" w:type="pct"/>
            <w:gridSpan w:val="2"/>
            <w:tcBorders>
              <w:top w:val="nil"/>
              <w:left w:val="nil"/>
              <w:bottom w:val="single" w:color="auto" w:sz="4" w:space="0"/>
              <w:right w:val="single" w:color="000000" w:sz="4" w:space="0"/>
            </w:tcBorders>
            <w:shd w:val="clear" w:color="auto" w:fill="auto"/>
            <w:vAlign w:val="center"/>
          </w:tcPr>
          <w:p w14:paraId="62A4B502">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□适用 □修改 □废止</w:t>
            </w:r>
          </w:p>
        </w:tc>
      </w:tr>
      <w:tr w14:paraId="4151012C">
        <w:tblPrEx>
          <w:tblCellMar>
            <w:top w:w="0" w:type="dxa"/>
            <w:left w:w="108" w:type="dxa"/>
            <w:bottom w:w="0" w:type="dxa"/>
            <w:right w:w="108" w:type="dxa"/>
          </w:tblCellMar>
        </w:tblPrEx>
        <w:trPr>
          <w:trHeight w:val="1074" w:hRule="atLeast"/>
          <w:jc w:val="center"/>
        </w:trPr>
        <w:tc>
          <w:tcPr>
            <w:tcW w:w="587" w:type="pct"/>
            <w:vMerge w:val="continue"/>
            <w:tcBorders>
              <w:left w:val="single" w:color="auto" w:sz="4" w:space="0"/>
              <w:bottom w:val="single" w:color="auto" w:sz="4" w:space="0"/>
              <w:right w:val="single" w:color="auto" w:sz="4" w:space="0"/>
            </w:tcBorders>
            <w:shd w:val="clear" w:color="auto" w:fill="auto"/>
            <w:noWrap/>
            <w:vAlign w:val="center"/>
          </w:tcPr>
          <w:p w14:paraId="07E3F194">
            <w:pPr>
              <w:widowControl/>
              <w:autoSpaceDE/>
              <w:autoSpaceDN/>
              <w:jc w:val="left"/>
              <w:rPr>
                <w:rFonts w:ascii="Calibri" w:hAnsi="Calibri" w:eastAsia="宋体" w:cs="Calibri"/>
                <w:b/>
                <w:kern w:val="0"/>
                <w:sz w:val="24"/>
                <w:szCs w:val="24"/>
                <w:lang w:eastAsia="zh-CN"/>
              </w:rPr>
            </w:pPr>
          </w:p>
        </w:tc>
        <w:tc>
          <w:tcPr>
            <w:tcW w:w="466" w:type="pct"/>
            <w:tcBorders>
              <w:top w:val="nil"/>
              <w:left w:val="nil"/>
              <w:bottom w:val="single" w:color="auto" w:sz="4" w:space="0"/>
              <w:right w:val="single" w:color="auto" w:sz="4" w:space="0"/>
            </w:tcBorders>
            <w:shd w:val="clear" w:color="auto" w:fill="auto"/>
            <w:noWrap/>
            <w:vAlign w:val="center"/>
          </w:tcPr>
          <w:p w14:paraId="01734FEF">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具体修</w:t>
            </w:r>
          </w:p>
          <w:p w14:paraId="1DFB3115">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改意见</w:t>
            </w:r>
          </w:p>
        </w:tc>
        <w:tc>
          <w:tcPr>
            <w:tcW w:w="3947" w:type="pct"/>
            <w:gridSpan w:val="2"/>
            <w:tcBorders>
              <w:top w:val="nil"/>
              <w:left w:val="nil"/>
              <w:bottom w:val="single" w:color="auto" w:sz="4" w:space="0"/>
              <w:right w:val="single" w:color="000000" w:sz="4" w:space="0"/>
            </w:tcBorders>
            <w:shd w:val="clear" w:color="auto" w:fill="auto"/>
            <w:vAlign w:val="center"/>
          </w:tcPr>
          <w:p w14:paraId="62963AAD">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需修改章节：</w:t>
            </w:r>
            <w:r>
              <w:rPr>
                <w:rFonts w:hint="eastAsia" w:ascii="宋体" w:hAnsi="宋体" w:eastAsia="宋体" w:cs="Calibri"/>
                <w:kern w:val="0"/>
                <w:sz w:val="24"/>
                <w:szCs w:val="24"/>
                <w:lang w:eastAsia="zh-CN"/>
              </w:rPr>
              <w:br w:type="textWrapping"/>
            </w:r>
            <w:r>
              <w:rPr>
                <w:rFonts w:hint="eastAsia" w:ascii="宋体" w:hAnsi="宋体" w:eastAsia="宋体" w:cs="Calibri"/>
                <w:kern w:val="0"/>
                <w:sz w:val="24"/>
                <w:szCs w:val="24"/>
                <w:lang w:eastAsia="zh-CN"/>
              </w:rPr>
              <w:t>具体修改意见：</w:t>
            </w:r>
          </w:p>
        </w:tc>
      </w:tr>
      <w:tr w14:paraId="74896C9F">
        <w:tblPrEx>
          <w:tblCellMar>
            <w:top w:w="0" w:type="dxa"/>
            <w:left w:w="108" w:type="dxa"/>
            <w:bottom w:w="0" w:type="dxa"/>
            <w:right w:w="108" w:type="dxa"/>
          </w:tblCellMar>
        </w:tblPrEx>
        <w:trPr>
          <w:trHeight w:val="2129" w:hRule="atLeast"/>
          <w:jc w:val="center"/>
        </w:trPr>
        <w:tc>
          <w:tcPr>
            <w:tcW w:w="587" w:type="pct"/>
            <w:tcBorders>
              <w:top w:val="nil"/>
              <w:left w:val="single" w:color="auto" w:sz="4" w:space="0"/>
              <w:bottom w:val="single" w:color="auto" w:sz="4" w:space="0"/>
              <w:right w:val="single" w:color="auto" w:sz="4" w:space="0"/>
            </w:tcBorders>
            <w:shd w:val="clear" w:color="auto" w:fill="auto"/>
            <w:noWrap/>
            <w:vAlign w:val="center"/>
          </w:tcPr>
          <w:p w14:paraId="0460E386">
            <w:pPr>
              <w:widowControl/>
              <w:autoSpaceDE/>
              <w:autoSpaceDN/>
              <w:jc w:val="left"/>
              <w:rPr>
                <w:rFonts w:ascii="宋体" w:hAnsi="宋体" w:eastAsia="宋体" w:cs="Calibri"/>
                <w:b/>
                <w:kern w:val="0"/>
                <w:sz w:val="24"/>
                <w:szCs w:val="24"/>
                <w:lang w:eastAsia="zh-CN"/>
              </w:rPr>
            </w:pPr>
            <w:r>
              <w:rPr>
                <w:rFonts w:hint="eastAsia" w:ascii="宋体" w:hAnsi="宋体" w:eastAsia="宋体" w:cs="Calibri"/>
                <w:b/>
                <w:kern w:val="0"/>
                <w:sz w:val="24"/>
                <w:szCs w:val="24"/>
                <w:lang w:eastAsia="zh-CN"/>
              </w:rPr>
              <w:t>反馈渠道</w:t>
            </w:r>
          </w:p>
        </w:tc>
        <w:tc>
          <w:tcPr>
            <w:tcW w:w="4413" w:type="pct"/>
            <w:gridSpan w:val="3"/>
            <w:tcBorders>
              <w:top w:val="single" w:color="auto" w:sz="4" w:space="0"/>
              <w:left w:val="nil"/>
              <w:bottom w:val="single" w:color="auto" w:sz="4" w:space="0"/>
              <w:right w:val="single" w:color="000000" w:sz="4" w:space="0"/>
            </w:tcBorders>
            <w:shd w:val="clear" w:color="auto" w:fill="auto"/>
            <w:vAlign w:val="center"/>
          </w:tcPr>
          <w:p w14:paraId="06C9DA1E">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□标准化行政主管部门</w:t>
            </w:r>
            <w:r>
              <w:rPr>
                <w:rFonts w:hint="eastAsia" w:ascii="宋体" w:hAnsi="宋体" w:eastAsia="宋体" w:cs="Calibri"/>
                <w:kern w:val="0"/>
                <w:sz w:val="24"/>
                <w:szCs w:val="24"/>
                <w:lang w:eastAsia="zh-CN"/>
              </w:rPr>
              <w:br w:type="textWrapping"/>
            </w:r>
            <w:r>
              <w:rPr>
                <w:rFonts w:hint="eastAsia" w:ascii="宋体" w:hAnsi="宋体" w:eastAsia="宋体" w:cs="Calibri"/>
                <w:kern w:val="0"/>
                <w:sz w:val="24"/>
                <w:szCs w:val="24"/>
                <w:lang w:eastAsia="zh-CN"/>
              </w:rPr>
              <w:t>□省直行业主管部门</w:t>
            </w:r>
            <w:r>
              <w:rPr>
                <w:rFonts w:hint="eastAsia" w:ascii="宋体" w:hAnsi="宋体" w:eastAsia="宋体" w:cs="Calibri"/>
                <w:kern w:val="0"/>
                <w:sz w:val="24"/>
                <w:szCs w:val="24"/>
                <w:lang w:eastAsia="zh-CN"/>
              </w:rPr>
              <w:br w:type="textWrapping"/>
            </w:r>
            <w:r>
              <w:rPr>
                <w:rFonts w:hint="eastAsia" w:ascii="宋体" w:hAnsi="宋体" w:eastAsia="宋体" w:cs="Calibri"/>
                <w:kern w:val="0"/>
                <w:sz w:val="24"/>
                <w:szCs w:val="24"/>
                <w:lang w:eastAsia="zh-CN"/>
              </w:rPr>
              <w:t>□专业标准化技术委员会（工作组）</w:t>
            </w:r>
            <w:r>
              <w:rPr>
                <w:rFonts w:hint="eastAsia" w:ascii="宋体" w:hAnsi="宋体" w:eastAsia="宋体" w:cs="Calibri"/>
                <w:kern w:val="0"/>
                <w:sz w:val="24"/>
                <w:szCs w:val="24"/>
                <w:lang w:eastAsia="zh-CN"/>
              </w:rPr>
              <w:br w:type="textWrapping"/>
            </w:r>
            <w:r>
              <w:rPr>
                <w:rFonts w:hint="eastAsia" w:ascii="宋体" w:hAnsi="宋体" w:eastAsia="宋体" w:cs="Calibri"/>
                <w:kern w:val="0"/>
                <w:sz w:val="24"/>
                <w:szCs w:val="24"/>
                <w:lang w:eastAsia="zh-CN"/>
              </w:rPr>
              <w:t>□标准起草组（牵头起草单位）</w:t>
            </w:r>
          </w:p>
        </w:tc>
      </w:tr>
      <w:tr w14:paraId="1A9EA903">
        <w:tblPrEx>
          <w:tblCellMar>
            <w:top w:w="0" w:type="dxa"/>
            <w:left w:w="108" w:type="dxa"/>
            <w:bottom w:w="0" w:type="dxa"/>
            <w:right w:w="108" w:type="dxa"/>
          </w:tblCellMar>
        </w:tblPrEx>
        <w:trPr>
          <w:trHeight w:val="1046" w:hRule="atLeast"/>
          <w:jc w:val="center"/>
        </w:trPr>
        <w:tc>
          <w:tcPr>
            <w:tcW w:w="587" w:type="pct"/>
            <w:tcBorders>
              <w:top w:val="nil"/>
              <w:left w:val="single" w:color="auto" w:sz="4" w:space="0"/>
              <w:bottom w:val="single" w:color="auto" w:sz="4" w:space="0"/>
              <w:right w:val="single" w:color="auto" w:sz="4" w:space="0"/>
            </w:tcBorders>
            <w:shd w:val="clear" w:color="auto" w:fill="auto"/>
            <w:noWrap/>
            <w:vAlign w:val="center"/>
          </w:tcPr>
          <w:p w14:paraId="0B07C4E1">
            <w:pPr>
              <w:widowControl/>
              <w:autoSpaceDE/>
              <w:autoSpaceDN/>
              <w:jc w:val="left"/>
              <w:rPr>
                <w:rFonts w:ascii="宋体" w:hAnsi="宋体" w:eastAsia="宋体" w:cs="Calibri"/>
                <w:b/>
                <w:kern w:val="0"/>
                <w:sz w:val="24"/>
                <w:szCs w:val="24"/>
                <w:lang w:eastAsia="zh-CN"/>
              </w:rPr>
            </w:pPr>
            <w:r>
              <w:rPr>
                <w:rFonts w:hint="eastAsia" w:ascii="宋体" w:hAnsi="宋体" w:eastAsia="宋体" w:cs="Calibri"/>
                <w:b/>
                <w:kern w:val="0"/>
                <w:sz w:val="24"/>
                <w:szCs w:val="24"/>
                <w:lang w:eastAsia="zh-CN"/>
              </w:rPr>
              <w:t>反馈人</w:t>
            </w:r>
          </w:p>
        </w:tc>
        <w:tc>
          <w:tcPr>
            <w:tcW w:w="4413" w:type="pct"/>
            <w:gridSpan w:val="3"/>
            <w:tcBorders>
              <w:top w:val="single" w:color="auto" w:sz="4" w:space="0"/>
              <w:left w:val="nil"/>
              <w:bottom w:val="single" w:color="auto" w:sz="4" w:space="0"/>
              <w:right w:val="single" w:color="000000" w:sz="4" w:space="0"/>
            </w:tcBorders>
            <w:shd w:val="clear" w:color="auto" w:fill="auto"/>
            <w:noWrap/>
            <w:vAlign w:val="center"/>
          </w:tcPr>
          <w:p w14:paraId="7884275A">
            <w:pPr>
              <w:widowControl/>
              <w:autoSpaceDE/>
              <w:autoSpaceDN/>
              <w:jc w:val="left"/>
              <w:rPr>
                <w:rFonts w:ascii="宋体" w:hAnsi="宋体" w:eastAsia="宋体" w:cs="Calibri"/>
                <w:kern w:val="0"/>
                <w:sz w:val="24"/>
                <w:szCs w:val="24"/>
                <w:lang w:eastAsia="zh-CN"/>
              </w:rPr>
            </w:pPr>
            <w:r>
              <w:rPr>
                <w:rFonts w:hint="eastAsia" w:ascii="宋体" w:hAnsi="宋体" w:eastAsia="宋体" w:cs="Calibri"/>
                <w:kern w:val="0"/>
                <w:sz w:val="24"/>
                <w:szCs w:val="24"/>
                <w:lang w:eastAsia="zh-CN"/>
              </w:rPr>
              <w:t xml:space="preserve">姓名：   </w:t>
            </w:r>
            <w:r>
              <w:rPr>
                <w:rFonts w:ascii="宋体" w:hAnsi="宋体" w:eastAsia="宋体" w:cs="Calibri"/>
                <w:kern w:val="0"/>
                <w:sz w:val="24"/>
                <w:szCs w:val="24"/>
                <w:lang w:eastAsia="zh-CN"/>
              </w:rPr>
              <w:t xml:space="preserve">       </w:t>
            </w:r>
            <w:r>
              <w:rPr>
                <w:rFonts w:hint="eastAsia" w:ascii="宋体" w:hAnsi="宋体" w:eastAsia="宋体" w:cs="Calibri"/>
                <w:kern w:val="0"/>
                <w:sz w:val="24"/>
                <w:szCs w:val="24"/>
                <w:lang w:eastAsia="zh-CN"/>
              </w:rPr>
              <w:t xml:space="preserve">单位： </w:t>
            </w:r>
            <w:r>
              <w:rPr>
                <w:rFonts w:ascii="宋体" w:hAnsi="宋体" w:eastAsia="宋体" w:cs="Calibri"/>
                <w:kern w:val="0"/>
                <w:sz w:val="24"/>
                <w:szCs w:val="24"/>
                <w:lang w:eastAsia="zh-CN"/>
              </w:rPr>
              <w:t xml:space="preserve">              </w:t>
            </w:r>
            <w:r>
              <w:rPr>
                <w:rFonts w:hint="eastAsia" w:ascii="宋体" w:hAnsi="宋体" w:eastAsia="宋体" w:cs="Calibri"/>
                <w:kern w:val="0"/>
                <w:sz w:val="24"/>
                <w:szCs w:val="24"/>
                <w:lang w:eastAsia="zh-CN"/>
              </w:rPr>
              <w:t xml:space="preserve"> 联系方式</w:t>
            </w:r>
          </w:p>
        </w:tc>
      </w:tr>
    </w:tbl>
    <w:p w14:paraId="018E1793">
      <w:pPr>
        <w:widowControl w:val="0"/>
        <w:autoSpaceDE/>
        <w:autoSpaceDN/>
        <w:ind w:firstLine="495"/>
        <w:rPr>
          <w:rFonts w:ascii="宋体" w:hAnsi="宋体" w:eastAsia="宋体" w:cs="宋体"/>
          <w:sz w:val="21"/>
          <w:szCs w:val="21"/>
          <w:lang w:val="en-US" w:eastAsia="zh-CN" w:bidi="ar-SA"/>
        </w:rPr>
      </w:pPr>
      <w:r>
        <w:rPr>
          <w:rFonts w:hint="eastAsia" w:ascii="宋体" w:hAnsi="宋体" w:eastAsia="宋体" w:cs="宋体"/>
          <w:sz w:val="21"/>
          <w:szCs w:val="21"/>
          <w:lang w:val="en-US" w:eastAsia="zh-CN" w:bidi="ar-SA"/>
        </w:rPr>
        <w:t>填表说明：为及时掌握标准实施情况，了解地方标准实施过程中存在的问题，并为标准复审提供科学依据，特制定《湖北省地方标准实施信息及意见反馈表》。可根据实际情况在表格中对应方框打勾，有需要文字说明的反馈意见可在相应位置进行文字描述，也可另附页。</w:t>
      </w:r>
    </w:p>
    <w:p w14:paraId="0FFBCE8C">
      <w:pPr>
        <w:widowControl w:val="0"/>
        <w:autoSpaceDE w:val="0"/>
        <w:autoSpaceDN w:val="0"/>
        <w:spacing w:before="4"/>
        <w:rPr>
          <w:rFonts w:hint="eastAsia" w:ascii="Times New Roman" w:hAnsi="Times New Roman"/>
          <w:sz w:val="24"/>
          <w:highlight w:val="yellow"/>
        </w:rPr>
      </w:pPr>
      <w:r>
        <w:rPr>
          <w:rFonts w:ascii="宋体" w:hAnsi="宋体" w:eastAsia="宋体" w:cs="宋体"/>
          <w:sz w:val="21"/>
          <w:szCs w:val="21"/>
          <w:lang w:val="en-US" w:eastAsia="zh-CN" w:bidi="ar-SA"/>
        </w:rPr>
        <mc:AlternateContent>
          <mc:Choice Requires="wps">
            <w:drawing>
              <wp:anchor distT="0" distB="0" distL="114300" distR="114300" simplePos="0" relativeHeight="251661312" behindDoc="0" locked="0" layoutInCell="1" allowOverlap="1">
                <wp:simplePos x="0" y="0"/>
                <wp:positionH relativeFrom="page">
                  <wp:posOffset>3893820</wp:posOffset>
                </wp:positionH>
                <wp:positionV relativeFrom="paragraph">
                  <wp:posOffset>247650</wp:posOffset>
                </wp:positionV>
                <wp:extent cx="2800985" cy="0"/>
                <wp:effectExtent l="0" t="8255" r="0" b="8255"/>
                <wp:wrapTopAndBottom/>
                <wp:docPr id="28" name="直接连接符 28"/>
                <wp:cNvGraphicFramePr/>
                <a:graphic xmlns:a="http://schemas.openxmlformats.org/drawingml/2006/main">
                  <a:graphicData uri="http://schemas.microsoft.com/office/word/2010/wordprocessingShape">
                    <wps:wsp>
                      <wps:cNvCnPr/>
                      <wps:spPr>
                        <a:xfrm>
                          <a:off x="0" y="0"/>
                          <a:ext cx="2800985" cy="0"/>
                        </a:xfrm>
                        <a:prstGeom prst="line">
                          <a:avLst/>
                        </a:prstGeom>
                        <a:ln w="1651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06.6pt;margin-top:19.5pt;height:0pt;width:220.55pt;mso-position-horizontal-relative:page;mso-wrap-distance-bottom:0pt;mso-wrap-distance-top:0pt;z-index:251661312;mso-width-relative:page;mso-height-relative:page;" filled="f" stroked="t" coordsize="21600,21600" o:gfxdata="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tPg1dkAAAAKAQAADwAAAAAAAAABACAAAAAiAAAAZHJzL2Rvd25yZXYueG1sUEsBAhQAFAAA&#10;AAgAh07iQC83XkvuAQAA2wMAAA4AAAAAAAAAAQAgAAAAKAEAAGRycy9lMm9Eb2MueG1sUEsFBgAA&#10;AAAGAAYAWQEAAIgFAAAAAA==&#10;">
                <v:fill on="f" focussize="0,0"/>
                <v:stroke weight="1.3pt" color="#000000" joinstyle="round"/>
                <v:imagedata o:title=""/>
                <o:lock v:ext="edit" aspectratio="f"/>
                <w10:wrap type="topAndBottom"/>
              </v:line>
            </w:pict>
          </mc:Fallback>
        </mc:AlternateContent>
      </w:r>
    </w:p>
    <w:p w14:paraId="6E1BCB42">
      <w:pPr>
        <w:spacing w:line="360" w:lineRule="auto"/>
        <w:jc w:val="both"/>
        <w:rPr>
          <w:rFonts w:hint="eastAsia" w:ascii="Times New Roman" w:hAnsi="Times New Roman"/>
          <w:sz w:val="24"/>
          <w:highlight w:val="yellow"/>
        </w:rPr>
        <w:sectPr>
          <w:headerReference r:id="rId42" w:type="default"/>
          <w:footerReference r:id="rId43" w:type="default"/>
          <w:pgSz w:w="11906" w:h="16838"/>
          <w:pgMar w:top="1440" w:right="1800" w:bottom="1440" w:left="1800" w:header="851" w:footer="992" w:gutter="0"/>
          <w:cols w:space="720" w:num="1"/>
          <w:docGrid w:type="lines" w:linePitch="312" w:charSpace="0"/>
        </w:sectPr>
      </w:pPr>
    </w:p>
    <w:p w14:paraId="4DD7DCE8">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5</w:t>
      </w:r>
    </w:p>
    <w:p w14:paraId="690657C3">
      <w:pPr>
        <w:adjustRightInd w:val="0"/>
        <w:snapToGrid w:val="0"/>
        <w:spacing w:line="560" w:lineRule="exact"/>
        <w:jc w:val="center"/>
        <w:rPr>
          <w:rFonts w:ascii="方正小标宋简体" w:hAnsi="Times New Roman" w:eastAsia="方正小标宋简体" w:cs="Times New Roman"/>
          <w:color w:val="000000"/>
          <w:sz w:val="44"/>
          <w:szCs w:val="44"/>
        </w:rPr>
      </w:pPr>
      <w:r>
        <w:rPr>
          <w:rFonts w:hint="eastAsia" w:ascii="方正小标宋简体" w:hAnsi="Times New Roman" w:eastAsia="方正小标宋简体" w:cs="Times New Roman"/>
          <w:color w:val="000000"/>
          <w:sz w:val="44"/>
          <w:szCs w:val="44"/>
        </w:rPr>
        <w:t>湖北省地方标准编制说明</w:t>
      </w:r>
    </w:p>
    <w:p w14:paraId="1598B2FD">
      <w:pPr>
        <w:adjustRightInd w:val="0"/>
        <w:snapToGrid w:val="0"/>
        <w:spacing w:line="300" w:lineRule="exact"/>
        <w:jc w:val="right"/>
        <w:rPr>
          <w:rFonts w:ascii="方正小标宋简体" w:hAnsi="Times New Roman" w:eastAsia="方正小标宋简体" w:cs="Times New Roman"/>
          <w:color w:val="000000"/>
          <w:sz w:val="44"/>
          <w:szCs w:val="44"/>
        </w:rPr>
      </w:pPr>
    </w:p>
    <w:p w14:paraId="2ABD9988">
      <w:pPr>
        <w:adjustRightInd w:val="0"/>
        <w:snapToGrid w:val="0"/>
        <w:spacing w:line="560" w:lineRule="exact"/>
        <w:jc w:val="right"/>
        <w:rPr>
          <w:rFonts w:ascii="方正仿宋_GBK" w:hAnsi="宋体" w:eastAsia="方正仿宋_GBK" w:cs="Times New Roman"/>
          <w:color w:val="000000"/>
          <w:sz w:val="32"/>
          <w:szCs w:val="32"/>
        </w:rPr>
      </w:pPr>
      <w:r>
        <w:rPr>
          <w:rFonts w:hint="eastAsia" w:ascii="Times New Roman" w:hAnsi="Times New Roman" w:eastAsia="仿宋" w:cs="Times New Roman"/>
          <w:color w:val="000000"/>
          <w:sz w:val="24"/>
          <w:szCs w:val="28"/>
        </w:rPr>
        <w:t>2</w:t>
      </w:r>
      <w:r>
        <w:rPr>
          <w:rFonts w:ascii="Times New Roman" w:hAnsi="Times New Roman" w:eastAsia="仿宋" w:cs="Times New Roman"/>
          <w:color w:val="000000"/>
          <w:sz w:val="24"/>
          <w:szCs w:val="28"/>
        </w:rPr>
        <w:t>023</w:t>
      </w:r>
      <w:r>
        <w:rPr>
          <w:rFonts w:hint="eastAsia" w:ascii="Times New Roman" w:hAnsi="Times New Roman" w:eastAsia="仿宋" w:cs="Times New Roman"/>
          <w:color w:val="000000"/>
          <w:sz w:val="24"/>
          <w:szCs w:val="28"/>
        </w:rPr>
        <w:t>年</w:t>
      </w:r>
      <w:r>
        <w:rPr>
          <w:rFonts w:ascii="Times New Roman" w:hAnsi="Times New Roman" w:eastAsia="仿宋" w:cs="Times New Roman"/>
          <w:color w:val="000000"/>
          <w:sz w:val="24"/>
          <w:szCs w:val="28"/>
        </w:rPr>
        <w:t>10</w:t>
      </w:r>
      <w:r>
        <w:rPr>
          <w:rFonts w:hint="eastAsia" w:ascii="Times New Roman" w:hAnsi="Times New Roman" w:eastAsia="仿宋" w:cs="Times New Roman"/>
          <w:color w:val="000000"/>
          <w:sz w:val="24"/>
          <w:szCs w:val="28"/>
        </w:rPr>
        <w:t>月</w:t>
      </w:r>
      <w:r>
        <w:rPr>
          <w:rFonts w:ascii="Times New Roman" w:hAnsi="Times New Roman" w:eastAsia="仿宋" w:cs="Times New Roman"/>
          <w:color w:val="000000"/>
          <w:sz w:val="24"/>
          <w:szCs w:val="28"/>
        </w:rPr>
        <w:t>8</w:t>
      </w:r>
      <w:r>
        <w:rPr>
          <w:rFonts w:hint="eastAsia" w:ascii="Times New Roman" w:hAnsi="Times New Roman" w:eastAsia="仿宋" w:cs="Times New Roman"/>
          <w:color w:val="000000"/>
          <w:sz w:val="24"/>
          <w:szCs w:val="28"/>
        </w:rPr>
        <w:t>日</w:t>
      </w:r>
      <w:r>
        <w:rPr>
          <w:rFonts w:hint="eastAsia" w:ascii="方正仿宋_GBK" w:hAnsi="宋体" w:eastAsia="方正仿宋_GBK" w:cs="Times New Roman"/>
          <w:color w:val="000000"/>
          <w:sz w:val="32"/>
          <w:szCs w:val="32"/>
        </w:rPr>
        <w:t xml:space="preserve">      </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2562"/>
        <w:gridCol w:w="1374"/>
        <w:gridCol w:w="2516"/>
      </w:tblGrid>
      <w:tr w14:paraId="3EF0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215" w:type="pct"/>
            <w:noWrap w:val="0"/>
            <w:vAlign w:val="center"/>
          </w:tcPr>
          <w:p w14:paraId="7BDD0CD2">
            <w:pPr>
              <w:adjustRightInd w:val="0"/>
              <w:snapToGrid w:val="0"/>
              <w:spacing w:line="360" w:lineRule="exact"/>
              <w:jc w:val="distribute"/>
              <w:rPr>
                <w:rFonts w:ascii="仿宋" w:hAnsi="仿宋" w:eastAsia="仿宋" w:cs="Times New Roman"/>
                <w:color w:val="000000"/>
                <w:sz w:val="24"/>
              </w:rPr>
            </w:pPr>
            <w:r>
              <w:rPr>
                <w:rFonts w:hint="eastAsia" w:ascii="仿宋" w:hAnsi="仿宋" w:eastAsia="仿宋" w:cs="Times New Roman"/>
                <w:color w:val="000000"/>
                <w:sz w:val="24"/>
              </w:rPr>
              <w:t>标准名称</w:t>
            </w:r>
          </w:p>
        </w:tc>
        <w:tc>
          <w:tcPr>
            <w:tcW w:w="3784" w:type="pct"/>
            <w:gridSpan w:val="3"/>
            <w:noWrap w:val="0"/>
            <w:vAlign w:val="center"/>
          </w:tcPr>
          <w:p w14:paraId="5F7C140E">
            <w:pPr>
              <w:adjustRightInd w:val="0"/>
              <w:snapToGrid w:val="0"/>
              <w:spacing w:line="360" w:lineRule="exact"/>
              <w:rPr>
                <w:rFonts w:ascii="仿宋" w:hAnsi="仿宋" w:eastAsia="仿宋" w:cs="Times New Roman"/>
                <w:sz w:val="24"/>
              </w:rPr>
            </w:pPr>
            <w:r>
              <w:rPr>
                <w:rFonts w:hint="eastAsia" w:ascii="仿宋" w:hAnsi="仿宋" w:eastAsia="仿宋" w:cs="Times New Roman"/>
                <w:sz w:val="24"/>
              </w:rPr>
              <w:t>建设用地土壤污染风险管控和修复 第2部分：建设用地土壤重金属监测质量保证与质量控制技术规范</w:t>
            </w:r>
          </w:p>
        </w:tc>
      </w:tr>
      <w:tr w14:paraId="222D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15" w:type="pct"/>
            <w:noWrap w:val="0"/>
            <w:vAlign w:val="center"/>
          </w:tcPr>
          <w:p w14:paraId="362181E5">
            <w:pPr>
              <w:adjustRightInd w:val="0"/>
              <w:snapToGrid w:val="0"/>
              <w:spacing w:line="360" w:lineRule="exact"/>
              <w:jc w:val="distribute"/>
              <w:rPr>
                <w:rFonts w:ascii="仿宋" w:hAnsi="仿宋" w:eastAsia="仿宋" w:cs="Times New Roman"/>
                <w:color w:val="000000"/>
                <w:sz w:val="24"/>
              </w:rPr>
            </w:pPr>
            <w:r>
              <w:rPr>
                <w:rFonts w:hint="eastAsia" w:ascii="仿宋" w:hAnsi="仿宋" w:eastAsia="仿宋" w:cs="Times New Roman"/>
                <w:color w:val="000000"/>
                <w:sz w:val="24"/>
              </w:rPr>
              <w:t>被修订或整合</w:t>
            </w:r>
          </w:p>
          <w:p w14:paraId="245DD4D6">
            <w:pPr>
              <w:adjustRightInd w:val="0"/>
              <w:snapToGrid w:val="0"/>
              <w:spacing w:line="360" w:lineRule="exact"/>
              <w:jc w:val="distribute"/>
              <w:rPr>
                <w:rFonts w:ascii="仿宋" w:hAnsi="仿宋" w:eastAsia="仿宋" w:cs="Times New Roman"/>
                <w:color w:val="000000"/>
                <w:sz w:val="24"/>
              </w:rPr>
            </w:pPr>
            <w:r>
              <w:rPr>
                <w:rFonts w:hint="eastAsia" w:ascii="仿宋" w:hAnsi="仿宋" w:eastAsia="仿宋" w:cs="Times New Roman"/>
                <w:color w:val="000000"/>
                <w:sz w:val="24"/>
              </w:rPr>
              <w:t>标准名称</w:t>
            </w:r>
          </w:p>
        </w:tc>
        <w:tc>
          <w:tcPr>
            <w:tcW w:w="1503" w:type="pct"/>
            <w:noWrap w:val="0"/>
            <w:vAlign w:val="center"/>
          </w:tcPr>
          <w:p w14:paraId="0735112C">
            <w:pPr>
              <w:adjustRightInd w:val="0"/>
              <w:snapToGrid w:val="0"/>
              <w:spacing w:line="360" w:lineRule="exact"/>
              <w:rPr>
                <w:rFonts w:ascii="仿宋" w:hAnsi="仿宋" w:eastAsia="仿宋" w:cs="Times New Roman"/>
                <w:color w:val="000000"/>
                <w:sz w:val="24"/>
              </w:rPr>
            </w:pPr>
            <w:r>
              <w:rPr>
                <w:rFonts w:hint="eastAsia" w:ascii="仿宋" w:hAnsi="仿宋" w:eastAsia="仿宋" w:cs="Times New Roman"/>
                <w:color w:val="000000"/>
                <w:sz w:val="24"/>
              </w:rPr>
              <w:t>无</w:t>
            </w:r>
          </w:p>
        </w:tc>
        <w:tc>
          <w:tcPr>
            <w:tcW w:w="806" w:type="pct"/>
            <w:noWrap w:val="0"/>
            <w:vAlign w:val="center"/>
          </w:tcPr>
          <w:p w14:paraId="35E2809F">
            <w:pPr>
              <w:adjustRightInd w:val="0"/>
              <w:snapToGrid w:val="0"/>
              <w:spacing w:line="360" w:lineRule="exact"/>
              <w:jc w:val="distribute"/>
              <w:rPr>
                <w:rFonts w:ascii="仿宋" w:hAnsi="仿宋" w:eastAsia="仿宋" w:cs="Times New Roman"/>
                <w:color w:val="000000"/>
                <w:sz w:val="24"/>
              </w:rPr>
            </w:pPr>
            <w:r>
              <w:rPr>
                <w:rFonts w:hint="eastAsia" w:ascii="仿宋" w:hAnsi="仿宋" w:eastAsia="仿宋" w:cs="Times New Roman"/>
                <w:color w:val="000000"/>
                <w:sz w:val="24"/>
              </w:rPr>
              <w:t>被代替</w:t>
            </w:r>
          </w:p>
          <w:p w14:paraId="62B5D13F">
            <w:pPr>
              <w:adjustRightInd w:val="0"/>
              <w:snapToGrid w:val="0"/>
              <w:spacing w:line="360" w:lineRule="exact"/>
              <w:rPr>
                <w:rFonts w:ascii="仿宋" w:hAnsi="仿宋" w:eastAsia="仿宋" w:cs="Times New Roman"/>
                <w:color w:val="000000"/>
                <w:sz w:val="24"/>
              </w:rPr>
            </w:pPr>
            <w:r>
              <w:rPr>
                <w:rFonts w:hint="eastAsia" w:ascii="仿宋" w:hAnsi="仿宋" w:eastAsia="仿宋" w:cs="Times New Roman"/>
                <w:color w:val="000000"/>
                <w:sz w:val="24"/>
              </w:rPr>
              <w:t>标准编号</w:t>
            </w:r>
          </w:p>
        </w:tc>
        <w:tc>
          <w:tcPr>
            <w:tcW w:w="1475" w:type="pct"/>
            <w:noWrap w:val="0"/>
            <w:vAlign w:val="center"/>
          </w:tcPr>
          <w:p w14:paraId="281A3BC9">
            <w:pPr>
              <w:adjustRightInd w:val="0"/>
              <w:snapToGrid w:val="0"/>
              <w:spacing w:line="360" w:lineRule="exact"/>
              <w:rPr>
                <w:rFonts w:ascii="仿宋" w:hAnsi="仿宋" w:eastAsia="仿宋" w:cs="Times New Roman"/>
                <w:color w:val="000000"/>
                <w:sz w:val="24"/>
              </w:rPr>
            </w:pPr>
            <w:r>
              <w:rPr>
                <w:rFonts w:hint="eastAsia" w:ascii="仿宋" w:hAnsi="仿宋" w:eastAsia="仿宋" w:cs="Times New Roman"/>
                <w:color w:val="000000"/>
                <w:sz w:val="24"/>
              </w:rPr>
              <w:t>无</w:t>
            </w:r>
          </w:p>
        </w:tc>
      </w:tr>
      <w:tr w14:paraId="60F3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1215" w:type="pct"/>
            <w:noWrap w:val="0"/>
            <w:vAlign w:val="center"/>
          </w:tcPr>
          <w:p w14:paraId="13FD1D7E">
            <w:pPr>
              <w:adjustRightInd w:val="0"/>
              <w:snapToGrid w:val="0"/>
              <w:spacing w:line="360" w:lineRule="exact"/>
              <w:jc w:val="distribute"/>
              <w:rPr>
                <w:rFonts w:ascii="仿宋" w:hAnsi="仿宋" w:eastAsia="仿宋" w:cs="Times New Roman"/>
                <w:color w:val="000000"/>
                <w:sz w:val="24"/>
              </w:rPr>
            </w:pPr>
            <w:r>
              <w:rPr>
                <w:rFonts w:hint="eastAsia" w:ascii="仿宋" w:hAnsi="仿宋" w:eastAsia="仿宋" w:cs="Times New Roman"/>
                <w:color w:val="000000"/>
                <w:sz w:val="24"/>
              </w:rPr>
              <w:t>起草单位</w:t>
            </w:r>
          </w:p>
          <w:p w14:paraId="5EA3068F">
            <w:pPr>
              <w:adjustRightInd w:val="0"/>
              <w:snapToGrid w:val="0"/>
              <w:spacing w:line="360" w:lineRule="exact"/>
              <w:jc w:val="distribute"/>
              <w:rPr>
                <w:rFonts w:ascii="仿宋" w:hAnsi="仿宋" w:eastAsia="仿宋" w:cs="Times New Roman"/>
                <w:color w:val="000000"/>
                <w:sz w:val="24"/>
              </w:rPr>
            </w:pPr>
            <w:r>
              <w:rPr>
                <w:rFonts w:hint="eastAsia" w:ascii="仿宋" w:hAnsi="仿宋" w:eastAsia="仿宋" w:cs="Times New Roman"/>
                <w:color w:val="000000"/>
                <w:sz w:val="24"/>
              </w:rPr>
              <w:t>（盖章）</w:t>
            </w:r>
          </w:p>
        </w:tc>
        <w:tc>
          <w:tcPr>
            <w:tcW w:w="3784" w:type="pct"/>
            <w:gridSpan w:val="3"/>
            <w:noWrap w:val="0"/>
            <w:vAlign w:val="center"/>
          </w:tcPr>
          <w:p w14:paraId="63A3EEC1">
            <w:pPr>
              <w:adjustRightInd w:val="0"/>
              <w:snapToGrid w:val="0"/>
              <w:spacing w:line="360" w:lineRule="exact"/>
              <w:rPr>
                <w:rFonts w:hint="eastAsia" w:ascii="仿宋" w:hAnsi="仿宋" w:eastAsia="仿宋" w:cs="Times New Roman"/>
                <w:color w:val="000000"/>
                <w:sz w:val="24"/>
              </w:rPr>
            </w:pPr>
            <w:r>
              <w:rPr>
                <w:rFonts w:ascii="仿宋" w:hAnsi="仿宋" w:eastAsia="仿宋" w:cs="Times New Roman"/>
                <w:sz w:val="24"/>
              </w:rPr>
              <w:t>湖北省</w:t>
            </w:r>
            <w:r>
              <w:rPr>
                <w:rFonts w:hint="eastAsia" w:ascii="仿宋" w:hAnsi="仿宋" w:eastAsia="仿宋" w:cs="Times New Roman"/>
                <w:sz w:val="24"/>
              </w:rPr>
              <w:t>生态</w:t>
            </w:r>
            <w:r>
              <w:rPr>
                <w:rFonts w:ascii="仿宋" w:hAnsi="仿宋" w:eastAsia="仿宋" w:cs="Times New Roman"/>
                <w:sz w:val="24"/>
              </w:rPr>
              <w:t>环境监测中心站</w:t>
            </w:r>
            <w:r>
              <w:rPr>
                <w:rFonts w:hint="eastAsia" w:ascii="仿宋" w:hAnsi="仿宋" w:eastAsia="仿宋" w:cs="Times New Roman"/>
                <w:sz w:val="24"/>
              </w:rPr>
              <w:t>、湖北省生态环境科学研究院（省生态环境工程评估中心）、</w:t>
            </w:r>
            <w:r>
              <w:rPr>
                <w:rFonts w:ascii="仿宋" w:hAnsi="仿宋" w:eastAsia="仿宋" w:cs="Times New Roman"/>
                <w:sz w:val="24"/>
              </w:rPr>
              <w:t>湖北省生态环境厅宜昌生态环境监测中心</w:t>
            </w:r>
            <w:r>
              <w:rPr>
                <w:rFonts w:hint="eastAsia" w:ascii="仿宋" w:hAnsi="仿宋" w:eastAsia="仿宋" w:cs="Times New Roman"/>
                <w:sz w:val="24"/>
              </w:rPr>
              <w:t>、</w:t>
            </w:r>
            <w:r>
              <w:rPr>
                <w:rFonts w:ascii="仿宋" w:hAnsi="仿宋" w:eastAsia="仿宋" w:cs="Times New Roman"/>
                <w:sz w:val="24"/>
              </w:rPr>
              <w:t>湖北省标准化与质量研究院</w:t>
            </w:r>
            <w:r>
              <w:rPr>
                <w:rFonts w:hint="eastAsia" w:ascii="仿宋" w:hAnsi="仿宋" w:eastAsia="仿宋" w:cs="Times New Roman"/>
                <w:sz w:val="24"/>
              </w:rPr>
              <w:t>、</w:t>
            </w:r>
            <w:r>
              <w:rPr>
                <w:rFonts w:ascii="仿宋" w:hAnsi="仿宋" w:eastAsia="仿宋" w:cs="Times New Roman"/>
                <w:sz w:val="24"/>
              </w:rPr>
              <w:t>湖北省生态环境厅武汉生态环境监测中心</w:t>
            </w:r>
            <w:r>
              <w:rPr>
                <w:rFonts w:hint="eastAsia" w:ascii="仿宋" w:hAnsi="仿宋" w:eastAsia="仿宋" w:cs="Times New Roman"/>
                <w:sz w:val="24"/>
              </w:rPr>
              <w:t>、广检检测技术（武汉）有限公司</w:t>
            </w:r>
          </w:p>
        </w:tc>
      </w:tr>
      <w:tr w14:paraId="29C7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noWrap w:val="0"/>
            <w:vAlign w:val="top"/>
          </w:tcPr>
          <w:p w14:paraId="136A555D">
            <w:pPr>
              <w:adjustRightInd w:val="0"/>
              <w:snapToGrid w:val="0"/>
              <w:spacing w:line="360" w:lineRule="auto"/>
              <w:rPr>
                <w:rFonts w:hint="eastAsia" w:ascii="Times New Roman" w:hAnsi="Times New Roman" w:eastAsia="黑体" w:cs="Times New Roman"/>
                <w:color w:val="000000"/>
                <w:sz w:val="24"/>
              </w:rPr>
            </w:pPr>
            <w:r>
              <w:rPr>
                <w:rFonts w:hint="eastAsia" w:ascii="Times New Roman" w:hAnsi="Times New Roman" w:eastAsia="黑体" w:cs="Times New Roman"/>
                <w:color w:val="000000"/>
                <w:sz w:val="24"/>
              </w:rPr>
              <w:t>1.项目简介：</w:t>
            </w:r>
          </w:p>
          <w:p w14:paraId="71FBF1DF">
            <w:pPr>
              <w:spacing w:line="360" w:lineRule="auto"/>
              <w:rPr>
                <w:rFonts w:ascii="Times New Roman" w:hAnsi="Times New Roman" w:eastAsia="楷体" w:cs="Times New Roman"/>
                <w:b/>
                <w:color w:val="000000"/>
                <w:sz w:val="24"/>
              </w:rPr>
            </w:pPr>
            <w:r>
              <w:rPr>
                <w:rFonts w:hint="eastAsia" w:ascii="Times New Roman" w:hAnsi="Times New Roman" w:eastAsia="楷体" w:cs="Times New Roman"/>
                <w:b/>
                <w:color w:val="000000"/>
                <w:sz w:val="24"/>
              </w:rPr>
              <w:t>1</w:t>
            </w:r>
            <w:r>
              <w:rPr>
                <w:rFonts w:ascii="Times New Roman" w:hAnsi="Times New Roman" w:eastAsia="楷体" w:cs="Times New Roman"/>
                <w:b/>
                <w:color w:val="000000"/>
                <w:sz w:val="24"/>
              </w:rPr>
              <w:t>.1</w:t>
            </w:r>
            <w:r>
              <w:rPr>
                <w:rFonts w:hint="eastAsia" w:ascii="Times New Roman" w:hAnsi="Times New Roman" w:eastAsia="楷体" w:cs="Times New Roman"/>
                <w:b/>
                <w:color w:val="000000"/>
                <w:sz w:val="24"/>
              </w:rPr>
              <w:t>任务来源</w:t>
            </w:r>
          </w:p>
          <w:p w14:paraId="1D758137">
            <w:pPr>
              <w:spacing w:line="360" w:lineRule="auto"/>
              <w:ind w:firstLine="480" w:firstLineChars="200"/>
              <w:rPr>
                <w:rFonts w:ascii="Times New Roman" w:hAnsi="Times New Roman" w:eastAsia="楷体" w:cs="Times New Roman"/>
                <w:b/>
                <w:color w:val="000000"/>
                <w:sz w:val="24"/>
              </w:rPr>
            </w:pPr>
            <w:r>
              <w:rPr>
                <w:rFonts w:hint="eastAsia" w:ascii="Times New Roman" w:hAnsi="Times New Roman" w:eastAsia="仿宋" w:cs="Times New Roman"/>
                <w:color w:val="000000"/>
                <w:sz w:val="24"/>
              </w:rPr>
              <w:t>2</w:t>
            </w:r>
            <w:r>
              <w:rPr>
                <w:rFonts w:ascii="Times New Roman" w:hAnsi="Times New Roman" w:eastAsia="仿宋" w:cs="Times New Roman"/>
                <w:color w:val="000000"/>
                <w:sz w:val="24"/>
              </w:rPr>
              <w:t>022</w:t>
            </w:r>
            <w:r>
              <w:rPr>
                <w:rFonts w:hint="eastAsia" w:ascii="Times New Roman" w:hAnsi="Times New Roman" w:eastAsia="仿宋" w:cs="Times New Roman"/>
                <w:color w:val="000000"/>
                <w:sz w:val="24"/>
              </w:rPr>
              <w:t>年4月，经</w:t>
            </w:r>
            <w:r>
              <w:rPr>
                <w:rFonts w:ascii="Times New Roman" w:hAnsi="Times New Roman" w:eastAsia="仿宋" w:cs="Times New Roman"/>
                <w:color w:val="000000"/>
                <w:sz w:val="24"/>
              </w:rPr>
              <w:t>湖北省生态环境厅批准，湖北省生态环境监测中心站向湖北省市场监督管理局报送了《</w:t>
            </w:r>
            <w:r>
              <w:rPr>
                <w:rFonts w:hint="eastAsia" w:ascii="Times New Roman" w:hAnsi="Times New Roman" w:eastAsia="仿宋" w:cs="Times New Roman"/>
                <w:color w:val="000000"/>
                <w:sz w:val="24"/>
              </w:rPr>
              <w:t>建设用地土壤污染防治 第2部分：建设用地土壤重金属监测质量保证与质量控制技术规范</w:t>
            </w:r>
            <w:r>
              <w:rPr>
                <w:rFonts w:ascii="Times New Roman" w:hAnsi="Times New Roman" w:eastAsia="仿宋" w:cs="Times New Roman"/>
                <w:color w:val="000000"/>
                <w:sz w:val="24"/>
              </w:rPr>
              <w:t>》</w:t>
            </w:r>
            <w:r>
              <w:rPr>
                <w:rFonts w:hint="eastAsia" w:ascii="Times New Roman" w:hAnsi="Times New Roman" w:eastAsia="仿宋" w:cs="Times New Roman"/>
                <w:color w:val="000000"/>
                <w:sz w:val="24"/>
              </w:rPr>
              <w:t>（该标准由三部分组成，本部分为标准第二部分）</w:t>
            </w:r>
            <w:r>
              <w:rPr>
                <w:rFonts w:ascii="Times New Roman" w:hAnsi="Times New Roman" w:eastAsia="仿宋" w:cs="Times New Roman"/>
                <w:color w:val="000000"/>
                <w:sz w:val="24"/>
              </w:rPr>
              <w:t>地方标准申报材料，2022年7月7日，经政策审查、专家组评审和公示等程序，湖北省市场监督管理局发布了《省市场监管局关于下达2022年地方标准制修订项目计划（第一批）的通知》（鄂市监标函〔2022〕134号），本项目作为推荐性标准正式立项，归口单位为湖北省生态环境厅，编号为T-Z-06-2022221。湖北省生态环境监测中心站、</w:t>
            </w:r>
            <w:r>
              <w:rPr>
                <w:rFonts w:hint="eastAsia" w:ascii="仿宋" w:hAnsi="仿宋" w:eastAsia="仿宋" w:cs="Times New Roman"/>
                <w:sz w:val="24"/>
              </w:rPr>
              <w:t>湖北省生态环境科学研究院（省生态环境工程评估中心）、</w:t>
            </w:r>
            <w:r>
              <w:rPr>
                <w:rFonts w:ascii="仿宋" w:hAnsi="仿宋" w:eastAsia="仿宋" w:cs="Times New Roman"/>
                <w:sz w:val="24"/>
              </w:rPr>
              <w:t>湖北省生态环境厅宜昌生态环境监测中心</w:t>
            </w:r>
            <w:r>
              <w:rPr>
                <w:rFonts w:hint="eastAsia" w:ascii="仿宋" w:hAnsi="仿宋" w:eastAsia="仿宋" w:cs="Times New Roman"/>
                <w:sz w:val="24"/>
              </w:rPr>
              <w:t>、</w:t>
            </w:r>
            <w:r>
              <w:rPr>
                <w:rFonts w:ascii="仿宋" w:hAnsi="仿宋" w:eastAsia="仿宋" w:cs="Times New Roman"/>
                <w:sz w:val="24"/>
              </w:rPr>
              <w:t>湖北省标准化与质量研究院</w:t>
            </w:r>
            <w:r>
              <w:rPr>
                <w:rFonts w:hint="eastAsia" w:ascii="仿宋" w:hAnsi="仿宋" w:eastAsia="仿宋" w:cs="Times New Roman"/>
                <w:sz w:val="24"/>
              </w:rPr>
              <w:t>、</w:t>
            </w:r>
            <w:r>
              <w:rPr>
                <w:rFonts w:ascii="仿宋" w:hAnsi="仿宋" w:eastAsia="仿宋" w:cs="Times New Roman"/>
                <w:sz w:val="24"/>
              </w:rPr>
              <w:t>湖北省生态环境厅武汉生态环境监测中心</w:t>
            </w:r>
            <w:r>
              <w:rPr>
                <w:rFonts w:hint="eastAsia" w:ascii="仿宋" w:hAnsi="仿宋" w:eastAsia="仿宋" w:cs="Times New Roman"/>
                <w:sz w:val="24"/>
              </w:rPr>
              <w:t>、广检检测技术（武汉）有限公司</w:t>
            </w:r>
            <w:r>
              <w:rPr>
                <w:rFonts w:ascii="Times New Roman" w:hAnsi="Times New Roman" w:eastAsia="仿宋" w:cs="Times New Roman"/>
                <w:color w:val="000000"/>
                <w:sz w:val="24"/>
              </w:rPr>
              <w:t>共同承担了该项任务。</w:t>
            </w:r>
          </w:p>
          <w:p w14:paraId="6152AD60">
            <w:pPr>
              <w:spacing w:line="360" w:lineRule="auto"/>
              <w:rPr>
                <w:rFonts w:ascii="Times New Roman" w:hAnsi="Times New Roman" w:eastAsia="楷体" w:cs="Times New Roman"/>
                <w:b/>
                <w:color w:val="000000"/>
                <w:sz w:val="24"/>
              </w:rPr>
            </w:pPr>
            <w:r>
              <w:rPr>
                <w:rFonts w:hint="eastAsia" w:ascii="Times New Roman" w:hAnsi="Times New Roman" w:eastAsia="楷体" w:cs="Times New Roman"/>
                <w:b/>
                <w:color w:val="000000"/>
                <w:sz w:val="24"/>
              </w:rPr>
              <w:t>1</w:t>
            </w:r>
            <w:r>
              <w:rPr>
                <w:rFonts w:ascii="Times New Roman" w:hAnsi="Times New Roman" w:eastAsia="楷体" w:cs="Times New Roman"/>
                <w:b/>
                <w:color w:val="000000"/>
                <w:sz w:val="24"/>
              </w:rPr>
              <w:t>.2</w:t>
            </w:r>
            <w:r>
              <w:rPr>
                <w:rFonts w:hint="eastAsia" w:ascii="Times New Roman" w:hAnsi="Times New Roman" w:eastAsia="楷体" w:cs="Times New Roman"/>
                <w:b/>
                <w:color w:val="000000"/>
                <w:sz w:val="24"/>
              </w:rPr>
              <w:t>研究必要性</w:t>
            </w:r>
          </w:p>
          <w:p w14:paraId="5BB46CCE">
            <w:pPr>
              <w:spacing w:line="360" w:lineRule="auto"/>
              <w:ind w:firstLine="480" w:firstLineChars="200"/>
              <w:rPr>
                <w:rFonts w:ascii="仿宋" w:hAnsi="仿宋" w:eastAsia="仿宋" w:cs="Times New Roman"/>
                <w:sz w:val="24"/>
              </w:rPr>
            </w:pPr>
            <w:r>
              <w:rPr>
                <w:rFonts w:hint="eastAsia" w:ascii="仿宋" w:hAnsi="仿宋" w:eastAsia="仿宋" w:cs="Times New Roman"/>
                <w:sz w:val="24"/>
              </w:rPr>
              <w:t>随着</w:t>
            </w:r>
            <w:r>
              <w:rPr>
                <w:rFonts w:ascii="仿宋" w:hAnsi="仿宋" w:eastAsia="仿宋" w:cs="Times New Roman"/>
                <w:sz w:val="24"/>
              </w:rPr>
              <w:t>城市化进程的加速发展，大量工业企业从城市中心外迁，而遗留地块会被开发为居住和商业用地，</w:t>
            </w:r>
            <w:r>
              <w:rPr>
                <w:rFonts w:hint="eastAsia" w:ascii="仿宋" w:hAnsi="仿宋" w:eastAsia="仿宋" w:cs="Times New Roman"/>
                <w:sz w:val="24"/>
              </w:rPr>
              <w:t>也即建设用地。</w:t>
            </w:r>
            <w:r>
              <w:rPr>
                <w:rFonts w:ascii="仿宋" w:hAnsi="仿宋" w:eastAsia="仿宋" w:cs="Times New Roman"/>
                <w:sz w:val="24"/>
              </w:rPr>
              <w:t>但地块内土壤重金属污染会对</w:t>
            </w:r>
            <w:r>
              <w:rPr>
                <w:rFonts w:hint="eastAsia" w:ascii="仿宋" w:hAnsi="仿宋" w:eastAsia="仿宋" w:cs="Times New Roman"/>
                <w:sz w:val="24"/>
              </w:rPr>
              <w:t>人类</w:t>
            </w:r>
            <w:r>
              <w:rPr>
                <w:rFonts w:ascii="仿宋" w:hAnsi="仿宋" w:eastAsia="仿宋" w:cs="Times New Roman"/>
                <w:sz w:val="24"/>
              </w:rPr>
              <w:t>身体健康和生态环境产生潜在威胁。</w:t>
            </w:r>
            <w:r>
              <w:rPr>
                <w:rFonts w:hint="eastAsia" w:ascii="仿宋" w:hAnsi="仿宋" w:eastAsia="仿宋" w:cs="Times New Roman"/>
                <w:sz w:val="24"/>
              </w:rPr>
              <w:t>建设用地土壤</w:t>
            </w:r>
            <w:r>
              <w:rPr>
                <w:rFonts w:ascii="仿宋" w:hAnsi="仿宋" w:eastAsia="仿宋" w:cs="Times New Roman"/>
                <w:sz w:val="24"/>
              </w:rPr>
              <w:t>污染状况调查是管理的起点，</w:t>
            </w:r>
            <w:r>
              <w:rPr>
                <w:rFonts w:hint="eastAsia" w:ascii="仿宋" w:hAnsi="仿宋" w:eastAsia="仿宋" w:cs="Times New Roman"/>
                <w:sz w:val="24"/>
              </w:rPr>
              <w:t>而</w:t>
            </w:r>
            <w:r>
              <w:rPr>
                <w:rFonts w:ascii="仿宋" w:hAnsi="仿宋" w:eastAsia="仿宋" w:cs="Times New Roman"/>
                <w:sz w:val="24"/>
              </w:rPr>
              <w:t>保障调查质量对于保障人居环境安全至关重要。</w:t>
            </w:r>
          </w:p>
          <w:p w14:paraId="1E3F4C93">
            <w:pPr>
              <w:spacing w:line="360" w:lineRule="auto"/>
              <w:ind w:firstLine="480" w:firstLineChars="200"/>
              <w:rPr>
                <w:rFonts w:ascii="Times New Roman" w:hAnsi="Times New Roman" w:eastAsia="仿宋" w:cs="Times New Roman"/>
                <w:color w:val="000000"/>
                <w:sz w:val="24"/>
              </w:rPr>
            </w:pPr>
            <w:r>
              <w:rPr>
                <w:rFonts w:ascii="仿宋" w:hAnsi="仿宋" w:eastAsia="仿宋" w:cs="Times New Roman"/>
                <w:sz w:val="24"/>
              </w:rPr>
              <w:t>《中华人民共和国土壤污染防治法》第四十三条规定，从事土壤污染状况调查等活动的单位对其出具的调查报告等的真实性、准确性、完整性负责。</w:t>
            </w:r>
            <w:r>
              <w:rPr>
                <w:rFonts w:ascii="Times New Roman" w:hAnsi="Times New Roman" w:eastAsia="仿宋" w:cs="Times New Roman"/>
                <w:color w:val="000000"/>
                <w:sz w:val="24"/>
              </w:rPr>
              <w:t>2022 年7月8日生态环境部办公厅</w:t>
            </w:r>
            <w:r>
              <w:rPr>
                <w:rFonts w:hint="eastAsia" w:ascii="Times New Roman" w:hAnsi="Times New Roman" w:eastAsia="仿宋" w:cs="Times New Roman"/>
                <w:color w:val="000000"/>
                <w:sz w:val="24"/>
              </w:rPr>
              <w:t>发布了</w:t>
            </w:r>
            <w:r>
              <w:rPr>
                <w:rFonts w:ascii="Times New Roman" w:hAnsi="Times New Roman" w:eastAsia="仿宋" w:cs="Times New Roman"/>
                <w:color w:val="000000"/>
                <w:sz w:val="24"/>
              </w:rPr>
              <w:t>《建设用地土壤污染状况调查质量控制技术规定（试行）</w:t>
            </w:r>
            <w:r>
              <w:rPr>
                <w:rFonts w:hint="eastAsia" w:ascii="Times New Roman" w:hAnsi="Times New Roman" w:eastAsia="仿宋" w:cs="Times New Roman"/>
                <w:color w:val="000000"/>
                <w:sz w:val="24"/>
              </w:rPr>
              <w:t>》（以下简称《规定》）。《规定》要求</w:t>
            </w:r>
            <w:r>
              <w:rPr>
                <w:rFonts w:ascii="Times New Roman" w:hAnsi="Times New Roman" w:eastAsia="仿宋" w:cs="Times New Roman"/>
                <w:color w:val="000000"/>
                <w:sz w:val="24"/>
              </w:rPr>
              <w:t>建立健全内部质量管理制度</w:t>
            </w:r>
            <w:r>
              <w:rPr>
                <w:rFonts w:hint="eastAsia" w:ascii="Times New Roman" w:hAnsi="Times New Roman" w:eastAsia="仿宋" w:cs="Times New Roman"/>
                <w:color w:val="000000"/>
                <w:sz w:val="24"/>
              </w:rPr>
              <w:t>，</w:t>
            </w:r>
            <w:r>
              <w:rPr>
                <w:rFonts w:ascii="Times New Roman" w:hAnsi="Times New Roman" w:eastAsia="仿宋" w:cs="Times New Roman"/>
                <w:color w:val="000000"/>
                <w:sz w:val="24"/>
              </w:rPr>
              <w:t>明确内部质量控制人员和内部质量控制工作安排，严格落实全过程质量保证与质量控制措施</w:t>
            </w:r>
            <w:r>
              <w:rPr>
                <w:rFonts w:hint="eastAsia" w:ascii="Times New Roman" w:hAnsi="Times New Roman" w:eastAsia="仿宋" w:cs="Times New Roman"/>
                <w:color w:val="000000"/>
                <w:sz w:val="24"/>
              </w:rPr>
              <w:t>；要</w:t>
            </w:r>
            <w:r>
              <w:rPr>
                <w:rFonts w:ascii="Times New Roman" w:hAnsi="Times New Roman" w:eastAsia="仿宋" w:cs="Times New Roman"/>
                <w:color w:val="000000"/>
                <w:sz w:val="24"/>
              </w:rPr>
              <w:t>配合事中事后监管</w:t>
            </w:r>
            <w:r>
              <w:rPr>
                <w:rFonts w:hint="eastAsia" w:ascii="Times New Roman" w:hAnsi="Times New Roman" w:eastAsia="仿宋" w:cs="Times New Roman"/>
                <w:color w:val="000000"/>
                <w:sz w:val="24"/>
              </w:rPr>
              <w:t>，</w:t>
            </w:r>
            <w:r>
              <w:rPr>
                <w:rFonts w:ascii="Times New Roman" w:hAnsi="Times New Roman" w:eastAsia="仿宋" w:cs="Times New Roman"/>
                <w:color w:val="000000"/>
                <w:sz w:val="24"/>
              </w:rPr>
              <w:t>在调查工作结束后，应当编制质量保证与质量控制报告，作为土壤污染状况调查报告附件或者在调查报告中编制专门篇章</w:t>
            </w:r>
            <w:r>
              <w:rPr>
                <w:rFonts w:hint="eastAsia" w:ascii="Times New Roman" w:hAnsi="Times New Roman" w:eastAsia="仿宋" w:cs="Times New Roman"/>
                <w:color w:val="000000"/>
                <w:sz w:val="24"/>
              </w:rPr>
              <w:t>并纳入对调查报告的评审。《规定》对现场采样和实验室检测分析方面也均提出了严格要求。</w:t>
            </w:r>
            <w:r>
              <w:rPr>
                <w:rFonts w:ascii="仿宋" w:hAnsi="仿宋" w:eastAsia="仿宋" w:cs="Times New Roman"/>
                <w:sz w:val="24"/>
              </w:rPr>
              <w:t>但建设用地土壤污染状况调查，特别是涉及</w:t>
            </w:r>
            <w:r>
              <w:rPr>
                <w:rFonts w:hint="eastAsia" w:ascii="仿宋" w:hAnsi="仿宋" w:eastAsia="仿宋" w:cs="Times New Roman"/>
                <w:sz w:val="24"/>
              </w:rPr>
              <w:t>重金属样品采集、流转、制备、实验室分析、质控等方面，</w:t>
            </w:r>
            <w:r>
              <w:rPr>
                <w:rFonts w:ascii="仿宋" w:hAnsi="仿宋" w:eastAsia="仿宋" w:cs="Times New Roman"/>
                <w:sz w:val="24"/>
              </w:rPr>
              <w:t>技术环节多且复杂。</w:t>
            </w:r>
            <w:r>
              <w:rPr>
                <w:rFonts w:hint="eastAsia" w:ascii="仿宋_GB2312" w:hAnsi="Times New Roman" w:eastAsia="仿宋_GB2312" w:cs="Times New Roman"/>
                <w:sz w:val="24"/>
                <w:szCs w:val="22"/>
              </w:rPr>
              <w:t>湖北省也开展了建设用地土壤环境初步调查、详细调查等工作，</w:t>
            </w:r>
            <w:r>
              <w:rPr>
                <w:rFonts w:ascii="仿宋" w:hAnsi="仿宋" w:eastAsia="仿宋" w:cs="Times New Roman"/>
                <w:sz w:val="24"/>
              </w:rPr>
              <w:t>实践表明，为切实保障</w:t>
            </w:r>
            <w:r>
              <w:rPr>
                <w:rFonts w:hint="eastAsia" w:ascii="仿宋" w:hAnsi="仿宋" w:eastAsia="仿宋" w:cs="Times New Roman"/>
                <w:sz w:val="24"/>
              </w:rPr>
              <w:t>重金属</w:t>
            </w:r>
            <w:r>
              <w:rPr>
                <w:rFonts w:ascii="仿宋" w:hAnsi="仿宋" w:eastAsia="仿宋" w:cs="Times New Roman"/>
                <w:sz w:val="24"/>
              </w:rPr>
              <w:t>调查质量，有必要进一步细化</w:t>
            </w:r>
            <w:r>
              <w:rPr>
                <w:rFonts w:hint="eastAsia" w:ascii="仿宋" w:hAnsi="仿宋" w:eastAsia="仿宋" w:cs="Times New Roman"/>
                <w:sz w:val="24"/>
              </w:rPr>
              <w:t>重金属</w:t>
            </w:r>
            <w:r>
              <w:rPr>
                <w:rFonts w:ascii="仿宋" w:hAnsi="仿宋" w:eastAsia="仿宋" w:cs="Times New Roman"/>
                <w:sz w:val="24"/>
              </w:rPr>
              <w:t>调查质量控制的要求</w:t>
            </w:r>
            <w:r>
              <w:rPr>
                <w:rFonts w:hint="eastAsia" w:ascii="仿宋" w:hAnsi="仿宋" w:eastAsia="仿宋" w:cs="Times New Roman"/>
                <w:sz w:val="24"/>
              </w:rPr>
              <w:t>，</w:t>
            </w:r>
            <w:r>
              <w:rPr>
                <w:rFonts w:hint="eastAsia" w:ascii="仿宋_GB2312" w:hAnsi="Times New Roman" w:eastAsia="仿宋_GB2312" w:cs="Times New Roman"/>
                <w:sz w:val="24"/>
                <w:szCs w:val="22"/>
              </w:rPr>
              <w:t>规范省内土壤重金属污染状况调查活动。</w:t>
            </w:r>
          </w:p>
          <w:p w14:paraId="014664A6">
            <w:pPr>
              <w:spacing w:line="360" w:lineRule="auto"/>
              <w:rPr>
                <w:rFonts w:hint="eastAsia" w:ascii="仿宋_GB2312" w:hAnsi="Times New Roman" w:eastAsia="仿宋_GB2312" w:cs="Times New Roman"/>
                <w:sz w:val="24"/>
                <w:szCs w:val="22"/>
              </w:rPr>
            </w:pPr>
            <w:r>
              <w:rPr>
                <w:rFonts w:ascii="Times New Roman" w:hAnsi="Times New Roman" w:eastAsia="楷体" w:cs="Times New Roman"/>
                <w:b/>
                <w:color w:val="000000"/>
                <w:sz w:val="24"/>
              </w:rPr>
              <w:t>1.3 主要内容</w:t>
            </w:r>
          </w:p>
          <w:p w14:paraId="6724874E">
            <w:pPr>
              <w:spacing w:line="360" w:lineRule="auto"/>
              <w:ind w:firstLine="480" w:firstLineChars="200"/>
              <w:rPr>
                <w:rFonts w:ascii="方正仿宋_GBK" w:hAnsi="仿宋_GB2312" w:eastAsia="方正仿宋_GBK" w:cs="仿宋_GB2312"/>
                <w:sz w:val="28"/>
                <w:szCs w:val="32"/>
              </w:rPr>
            </w:pPr>
            <w:r>
              <w:rPr>
                <w:rFonts w:hint="eastAsia" w:ascii="仿宋_GB2312" w:hAnsi="Times New Roman" w:eastAsia="仿宋_GB2312" w:cs="Times New Roman"/>
                <w:sz w:val="24"/>
                <w:szCs w:val="22"/>
              </w:rPr>
              <w:t>本文件主要针对建设用地土壤污染状况调查过程中重金属样品的现场采样、制样和实验室的内部分析开展的内部</w:t>
            </w:r>
            <w:r>
              <w:rPr>
                <w:rFonts w:hint="eastAsia" w:ascii="仿宋" w:hAnsi="仿宋" w:eastAsia="仿宋" w:cs="Times New Roman"/>
                <w:sz w:val="24"/>
              </w:rPr>
              <w:t>质量控制进行的规定，包括标准适用范围、</w:t>
            </w:r>
            <w:r>
              <w:rPr>
                <w:rFonts w:ascii="Times New Roman" w:hAnsi="Times New Roman" w:eastAsia="仿宋" w:cs="Times New Roman"/>
                <w:color w:val="000000"/>
                <w:sz w:val="24"/>
              </w:rPr>
              <w:t>规范性引用文件、</w:t>
            </w:r>
            <w:r>
              <w:rPr>
                <w:rFonts w:hint="eastAsia" w:ascii="Times New Roman" w:hAnsi="Times New Roman" w:eastAsia="仿宋" w:cs="Times New Roman"/>
                <w:color w:val="000000"/>
                <w:sz w:val="24"/>
              </w:rPr>
              <w:t>术语和定义、人员、仪器与设备、样品采集、样品制备、实验室分析与质量控制、质量监督计划、质控数据统计共十部分内容。</w:t>
            </w:r>
          </w:p>
        </w:tc>
      </w:tr>
      <w:tr w14:paraId="339C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noWrap w:val="0"/>
            <w:vAlign w:val="top"/>
          </w:tcPr>
          <w:p w14:paraId="1425203F">
            <w:pPr>
              <w:adjustRightInd w:val="0"/>
              <w:snapToGrid w:val="0"/>
              <w:spacing w:line="360" w:lineRule="exact"/>
              <w:rPr>
                <w:rFonts w:hint="eastAsia" w:ascii="方正仿宋_GBK" w:hAnsi="Times New Roman" w:eastAsia="方正仿宋_GBK" w:cs="Times New Roman"/>
                <w:color w:val="000000"/>
                <w:sz w:val="28"/>
                <w:szCs w:val="32"/>
              </w:rPr>
            </w:pPr>
            <w:r>
              <w:rPr>
                <w:rFonts w:hint="eastAsia" w:ascii="方正仿宋_GBK" w:hAnsi="Times New Roman" w:eastAsia="方正仿宋_GBK" w:cs="Times New Roman"/>
                <w:color w:val="000000"/>
                <w:sz w:val="28"/>
                <w:szCs w:val="32"/>
              </w:rPr>
              <w:t>2.技术路线：</w:t>
            </w:r>
          </w:p>
          <w:p w14:paraId="1A380B30">
            <w:pPr>
              <w:spacing w:line="360" w:lineRule="auto"/>
              <w:rPr>
                <w:rFonts w:ascii="Times New Roman" w:hAnsi="Times New Roman" w:eastAsia="楷体" w:cs="Times New Roman"/>
                <w:b/>
                <w:color w:val="000000"/>
                <w:sz w:val="24"/>
              </w:rPr>
            </w:pPr>
            <w:r>
              <w:rPr>
                <w:rFonts w:ascii="Times New Roman" w:hAnsi="Times New Roman" w:eastAsia="楷体" w:cs="Times New Roman"/>
                <w:b/>
                <w:color w:val="000000"/>
                <w:sz w:val="24"/>
              </w:rPr>
              <w:t xml:space="preserve">2.1 </w:t>
            </w:r>
            <w:r>
              <w:rPr>
                <w:rFonts w:hint="eastAsia" w:ascii="Times New Roman" w:hAnsi="Times New Roman" w:eastAsia="楷体" w:cs="Times New Roman"/>
                <w:b/>
                <w:color w:val="000000"/>
                <w:sz w:val="24"/>
              </w:rPr>
              <w:t>人员要求</w:t>
            </w:r>
          </w:p>
          <w:p w14:paraId="1BD27F43">
            <w:pPr>
              <w:pStyle w:val="34"/>
              <w:tabs>
                <w:tab w:val="left" w:pos="550"/>
              </w:tabs>
              <w:spacing w:before="156" w:beforeLines="50" w:after="156" w:afterLines="50" w:line="360" w:lineRule="auto"/>
              <w:ind w:firstLine="480"/>
              <w:jc w:val="left"/>
              <w:outlineLvl w:val="1"/>
              <w:rPr>
                <w:rFonts w:ascii="Times New Roman" w:hAnsi="Times New Roman" w:eastAsia="仿宋" w:cs="Times New Roman"/>
                <w:color w:val="000000"/>
                <w:sz w:val="24"/>
              </w:rPr>
            </w:pPr>
            <w:r>
              <w:rPr>
                <w:rFonts w:hint="eastAsia" w:ascii="Times New Roman" w:hAnsi="Times New Roman" w:eastAsia="仿宋" w:cs="Times New Roman"/>
                <w:color w:val="000000"/>
                <w:sz w:val="24"/>
              </w:rPr>
              <w:t>根据《检验检测机构资质认定评审准则》、《检验检测机构资质认定能力评价检验检测机构通用要求》（R</w:t>
            </w:r>
            <w:r>
              <w:rPr>
                <w:rFonts w:ascii="Times New Roman" w:hAnsi="Times New Roman" w:eastAsia="仿宋" w:cs="Times New Roman"/>
                <w:color w:val="000000"/>
                <w:sz w:val="24"/>
              </w:rPr>
              <w:t>B/T 214-2017</w:t>
            </w:r>
            <w:r>
              <w:rPr>
                <w:rFonts w:hint="eastAsia" w:ascii="Times New Roman" w:hAnsi="Times New Roman" w:eastAsia="仿宋" w:cs="Times New Roman"/>
                <w:color w:val="000000"/>
                <w:sz w:val="24"/>
              </w:rPr>
              <w:t>）和《</w:t>
            </w:r>
            <w:r>
              <w:rPr>
                <w:rFonts w:ascii="Times New Roman" w:hAnsi="Times New Roman" w:eastAsia="仿宋" w:cs="Times New Roman"/>
                <w:color w:val="000000"/>
                <w:sz w:val="24"/>
              </w:rPr>
              <w:t>《检验检测机构资质认定生态环境监测机构评审补充要求》 （国市监检测〔2018〕245 号）</w:t>
            </w:r>
            <w:r>
              <w:rPr>
                <w:rFonts w:hint="eastAsia" w:ascii="Times New Roman" w:hAnsi="Times New Roman" w:eastAsia="仿宋" w:cs="Times New Roman"/>
                <w:color w:val="000000"/>
                <w:sz w:val="24"/>
              </w:rPr>
              <w:t>，对现场监测人员、实验室分析人员、校核人员、报告审核人员、报告签发人员做了相关规定，使各人员能力水平与相关要求保持一致。</w:t>
            </w:r>
          </w:p>
          <w:p w14:paraId="151A84E8">
            <w:pPr>
              <w:spacing w:line="360" w:lineRule="auto"/>
              <w:rPr>
                <w:rFonts w:ascii="Times New Roman" w:hAnsi="Times New Roman" w:eastAsia="楷体" w:cs="Times New Roman"/>
                <w:b/>
                <w:color w:val="000000"/>
                <w:sz w:val="24"/>
              </w:rPr>
            </w:pPr>
            <w:r>
              <w:rPr>
                <w:rFonts w:ascii="Times New Roman" w:hAnsi="Times New Roman" w:eastAsia="楷体" w:cs="Times New Roman"/>
                <w:b/>
                <w:color w:val="000000"/>
                <w:sz w:val="24"/>
              </w:rPr>
              <w:t xml:space="preserve">2.2 </w:t>
            </w:r>
            <w:r>
              <w:rPr>
                <w:rFonts w:hint="eastAsia" w:ascii="Times New Roman" w:hAnsi="Times New Roman" w:eastAsia="楷体" w:cs="Times New Roman"/>
                <w:b/>
                <w:color w:val="000000"/>
                <w:sz w:val="24"/>
              </w:rPr>
              <w:t>采样设备</w:t>
            </w:r>
          </w:p>
          <w:p w14:paraId="5EF80DC7">
            <w:pPr>
              <w:pStyle w:val="34"/>
              <w:tabs>
                <w:tab w:val="left" w:pos="550"/>
              </w:tabs>
              <w:spacing w:before="156" w:beforeLines="50" w:after="156" w:afterLines="50" w:line="360" w:lineRule="auto"/>
              <w:ind w:firstLine="480"/>
              <w:jc w:val="left"/>
              <w:outlineLvl w:val="1"/>
              <w:rPr>
                <w:rFonts w:ascii="Times New Roman" w:hAnsi="Times New Roman" w:eastAsia="仿宋" w:cs="Times New Roman"/>
                <w:color w:val="000000"/>
                <w:sz w:val="24"/>
              </w:rPr>
            </w:pPr>
            <w:r>
              <w:rPr>
                <w:rFonts w:hint="eastAsia" w:ascii="Times New Roman" w:hAnsi="Times New Roman" w:eastAsia="仿宋" w:cs="Times New Roman"/>
                <w:color w:val="000000"/>
                <w:sz w:val="24"/>
              </w:rPr>
              <w:t>结合我省已开展的建设用地土壤调查工作，采样设备增加了钻探设备，包括冲击钻探法和直压式钻探法，可极大便利采集分层土壤；增加了现场快速检测设备——便携式X射线荧光光谱仪（XRF），用于现场快速筛查污染点位，同时对XRF法的现场制样和监测结果做了相关质控要求。</w:t>
            </w:r>
          </w:p>
          <w:p w14:paraId="02DAC199">
            <w:pPr>
              <w:spacing w:line="360" w:lineRule="auto"/>
              <w:rPr>
                <w:rFonts w:ascii="Times New Roman" w:hAnsi="Times New Roman" w:eastAsia="楷体" w:cs="Times New Roman"/>
                <w:b/>
                <w:color w:val="000000"/>
                <w:sz w:val="24"/>
              </w:rPr>
            </w:pPr>
            <w:r>
              <w:rPr>
                <w:rFonts w:ascii="Times New Roman" w:hAnsi="Times New Roman" w:eastAsia="楷体" w:cs="Times New Roman"/>
                <w:b/>
                <w:color w:val="000000"/>
                <w:sz w:val="24"/>
              </w:rPr>
              <w:t xml:space="preserve">2.3 </w:t>
            </w:r>
            <w:r>
              <w:rPr>
                <w:rFonts w:hint="eastAsia" w:ascii="Times New Roman" w:hAnsi="Times New Roman" w:eastAsia="楷体" w:cs="Times New Roman"/>
                <w:b/>
                <w:color w:val="000000"/>
                <w:sz w:val="24"/>
              </w:rPr>
              <w:t>样品采集</w:t>
            </w:r>
          </w:p>
          <w:p w14:paraId="019D2C25">
            <w:pPr>
              <w:pStyle w:val="34"/>
              <w:tabs>
                <w:tab w:val="left" w:pos="550"/>
              </w:tabs>
              <w:spacing w:before="156" w:beforeLines="50" w:after="156" w:afterLines="50" w:line="360" w:lineRule="auto"/>
              <w:ind w:firstLine="480"/>
              <w:jc w:val="left"/>
              <w:outlineLvl w:val="1"/>
              <w:rPr>
                <w:rFonts w:ascii="Times New Roman" w:hAnsi="Times New Roman" w:eastAsia="仿宋" w:cs="Times New Roman"/>
                <w:color w:val="000000"/>
                <w:sz w:val="24"/>
              </w:rPr>
            </w:pPr>
            <w:r>
              <w:rPr>
                <w:rFonts w:hint="eastAsia" w:ascii="Times New Roman" w:hAnsi="Times New Roman" w:eastAsia="仿宋" w:cs="Times New Roman"/>
                <w:color w:val="000000"/>
                <w:sz w:val="24"/>
              </w:rPr>
              <w:t>对点位布设的合理性判断提出了相关要求，布点</w:t>
            </w:r>
            <w:r>
              <w:rPr>
                <w:rFonts w:ascii="Times New Roman" w:hAnsi="Times New Roman" w:eastAsia="仿宋" w:cs="Times New Roman"/>
                <w:color w:val="000000"/>
                <w:sz w:val="24"/>
              </w:rPr>
              <w:t>不合理，将严重影响调查结果的真实性和准确性</w:t>
            </w:r>
            <w:r>
              <w:rPr>
                <w:rFonts w:hint="eastAsia" w:ascii="Times New Roman" w:hAnsi="Times New Roman" w:eastAsia="仿宋" w:cs="Times New Roman"/>
                <w:color w:val="000000"/>
                <w:sz w:val="24"/>
              </w:rPr>
              <w:t>；结合工作实际，增加了土孔钻探的采样方式，并重点对钻机架设、开孔、钻进、取样、封孔的各环节做了详细的技术要求；同时对现场记录等做了详细的规定；增加了现场采样质控要求，包括采样工具的清洗、现场平行样的采集、现场采样记录要求等。</w:t>
            </w:r>
          </w:p>
          <w:p w14:paraId="5024C856">
            <w:pPr>
              <w:spacing w:line="360" w:lineRule="auto"/>
              <w:rPr>
                <w:rFonts w:ascii="Times New Roman" w:hAnsi="Times New Roman" w:eastAsia="楷体" w:cs="Times New Roman"/>
                <w:b/>
                <w:color w:val="000000"/>
                <w:sz w:val="24"/>
              </w:rPr>
            </w:pPr>
            <w:r>
              <w:rPr>
                <w:rFonts w:hint="eastAsia" w:ascii="Times New Roman" w:hAnsi="Times New Roman" w:eastAsia="楷体" w:cs="Times New Roman"/>
                <w:b/>
                <w:color w:val="000000"/>
                <w:sz w:val="24"/>
              </w:rPr>
              <w:t>2</w:t>
            </w:r>
            <w:r>
              <w:rPr>
                <w:rFonts w:ascii="Times New Roman" w:hAnsi="Times New Roman" w:eastAsia="楷体" w:cs="Times New Roman"/>
                <w:b/>
                <w:color w:val="000000"/>
                <w:sz w:val="24"/>
              </w:rPr>
              <w:t xml:space="preserve">.4 </w:t>
            </w:r>
            <w:r>
              <w:rPr>
                <w:rFonts w:hint="eastAsia" w:ascii="Times New Roman" w:hAnsi="Times New Roman" w:eastAsia="楷体" w:cs="Times New Roman"/>
                <w:b/>
                <w:color w:val="000000"/>
                <w:sz w:val="24"/>
              </w:rPr>
              <w:t>样品的保存和流转</w:t>
            </w:r>
          </w:p>
          <w:p w14:paraId="61218C1B">
            <w:pPr>
              <w:pStyle w:val="34"/>
              <w:tabs>
                <w:tab w:val="left" w:pos="550"/>
              </w:tabs>
              <w:spacing w:line="360" w:lineRule="auto"/>
              <w:ind w:firstLine="480" w:firstLineChars="0"/>
              <w:jc w:val="left"/>
              <w:outlineLvl w:val="1"/>
              <w:rPr>
                <w:rFonts w:ascii="Times New Roman" w:hAnsi="Times New Roman" w:eastAsia="仿宋" w:cs="Times New Roman"/>
                <w:color w:val="000000"/>
                <w:sz w:val="24"/>
              </w:rPr>
            </w:pPr>
            <w:r>
              <w:rPr>
                <w:rFonts w:hint="eastAsia" w:ascii="Times New Roman" w:hAnsi="Times New Roman" w:eastAsia="仿宋" w:cs="Times New Roman"/>
                <w:color w:val="000000"/>
                <w:sz w:val="24"/>
              </w:rPr>
              <w:t>分别对样品现场暂存和流转保存两个主要环节进行了规定。根据日常实际工作情况，样品采集后规定要立即存放至冷藏箱内，样品采集当天不能送至实验室时，样品要低温避光保存。样品流转环节要在有冰冻蓝冰的保温箱内运达到实验室，这样更加符合日常工作实际，在不增加大量财力物力基础上也更容易落实。</w:t>
            </w:r>
          </w:p>
          <w:p w14:paraId="23B49E6D">
            <w:pPr>
              <w:pStyle w:val="34"/>
              <w:tabs>
                <w:tab w:val="left" w:pos="550"/>
              </w:tabs>
              <w:spacing w:line="360" w:lineRule="auto"/>
              <w:ind w:firstLine="0" w:firstLineChars="0"/>
              <w:jc w:val="left"/>
              <w:outlineLvl w:val="1"/>
              <w:rPr>
                <w:rFonts w:ascii="Times New Roman" w:hAnsi="Times New Roman" w:eastAsia="仿宋" w:cs="Times New Roman"/>
                <w:color w:val="000000"/>
                <w:sz w:val="24"/>
              </w:rPr>
            </w:pPr>
            <w:r>
              <w:rPr>
                <w:rFonts w:hint="eastAsia" w:ascii="Times New Roman" w:hAnsi="Times New Roman" w:eastAsia="仿宋" w:cs="Times New Roman"/>
                <w:color w:val="000000"/>
                <w:sz w:val="24"/>
              </w:rPr>
              <w:t>因土壤中六价铬样品的不稳定性，若按照HJ/T 166和</w:t>
            </w:r>
            <w:r>
              <w:rPr>
                <w:rFonts w:ascii="Times New Roman" w:hAnsi="Times New Roman" w:eastAsia="仿宋" w:cs="Times New Roman"/>
                <w:color w:val="000000"/>
                <w:sz w:val="24"/>
              </w:rPr>
              <w:t>HJ 1082</w:t>
            </w:r>
            <w:r>
              <w:rPr>
                <w:rFonts w:hint="eastAsia" w:ascii="Times New Roman" w:hAnsi="Times New Roman" w:eastAsia="仿宋" w:cs="Times New Roman"/>
                <w:color w:val="000000"/>
                <w:sz w:val="24"/>
              </w:rPr>
              <w:t>方法要求，应在1天内完成样品的制备，但实际工作中，因为样品风干、破碎、过筛以及前处理过程较长，不可能在1天内完成。结合工作实际要求，规定尽快</w:t>
            </w:r>
            <w:r>
              <w:rPr>
                <w:rFonts w:ascii="Times New Roman" w:hAnsi="Times New Roman" w:eastAsia="仿宋" w:cs="Times New Roman"/>
                <w:color w:val="000000"/>
                <w:sz w:val="24"/>
              </w:rPr>
              <w:t>完成风干、破碎、过筛</w:t>
            </w:r>
            <w:r>
              <w:rPr>
                <w:rFonts w:hint="eastAsia" w:ascii="Times New Roman" w:hAnsi="Times New Roman" w:eastAsia="仿宋" w:cs="Times New Roman"/>
                <w:color w:val="000000"/>
                <w:sz w:val="24"/>
              </w:rPr>
              <w:t>和</w:t>
            </w:r>
            <w:r>
              <w:rPr>
                <w:rFonts w:ascii="Times New Roman" w:hAnsi="Times New Roman" w:eastAsia="仿宋" w:cs="Times New Roman"/>
                <w:color w:val="000000"/>
                <w:sz w:val="24"/>
              </w:rPr>
              <w:t>样品前处理</w:t>
            </w:r>
            <w:r>
              <w:rPr>
                <w:rFonts w:hint="eastAsia" w:ascii="Times New Roman" w:hAnsi="Times New Roman" w:eastAsia="仿宋" w:cs="Times New Roman"/>
                <w:color w:val="000000"/>
                <w:sz w:val="24"/>
              </w:rPr>
              <w:t>，前处理好的试样，在0—</w:t>
            </w:r>
            <w:r>
              <w:rPr>
                <w:rFonts w:ascii="Times New Roman" w:hAnsi="Times New Roman" w:eastAsia="仿宋" w:cs="Times New Roman"/>
                <w:color w:val="000000"/>
                <w:sz w:val="24"/>
              </w:rPr>
              <w:t>4</w:t>
            </w:r>
            <w:r>
              <w:rPr>
                <w:rFonts w:hint="eastAsia" w:ascii="Times New Roman" w:hAnsi="Times New Roman" w:eastAsia="仿宋" w:cs="Times New Roman"/>
                <w:color w:val="000000"/>
                <w:sz w:val="24"/>
              </w:rPr>
              <w:t>℃密封</w:t>
            </w:r>
            <w:r>
              <w:rPr>
                <w:rFonts w:ascii="Times New Roman" w:hAnsi="Times New Roman" w:eastAsia="仿宋" w:cs="Times New Roman"/>
                <w:color w:val="000000"/>
                <w:sz w:val="24"/>
              </w:rPr>
              <w:t>保存，保存时间</w:t>
            </w:r>
            <w:r>
              <w:rPr>
                <w:rFonts w:hint="eastAsia" w:ascii="Times New Roman" w:hAnsi="Times New Roman" w:eastAsia="仿宋" w:cs="Times New Roman"/>
                <w:color w:val="000000"/>
                <w:sz w:val="24"/>
              </w:rPr>
              <w:t>不超过</w:t>
            </w:r>
            <w:r>
              <w:rPr>
                <w:rFonts w:ascii="Times New Roman" w:hAnsi="Times New Roman" w:eastAsia="仿宋" w:cs="Times New Roman"/>
                <w:color w:val="000000"/>
                <w:sz w:val="24"/>
              </w:rPr>
              <w:t>30天。</w:t>
            </w:r>
          </w:p>
          <w:p w14:paraId="48325E8D">
            <w:pPr>
              <w:pStyle w:val="34"/>
              <w:tabs>
                <w:tab w:val="left" w:pos="550"/>
              </w:tabs>
              <w:spacing w:line="360" w:lineRule="auto"/>
              <w:ind w:firstLine="0" w:firstLineChars="0"/>
              <w:jc w:val="left"/>
              <w:outlineLvl w:val="1"/>
              <w:rPr>
                <w:rFonts w:ascii="Times New Roman" w:hAnsi="Times New Roman" w:eastAsia="楷体" w:cs="Times New Roman"/>
                <w:b/>
                <w:color w:val="000000"/>
                <w:sz w:val="24"/>
              </w:rPr>
            </w:pPr>
            <w:r>
              <w:rPr>
                <w:rFonts w:hint="eastAsia" w:ascii="Times New Roman" w:hAnsi="Times New Roman" w:eastAsia="楷体" w:cs="Times New Roman"/>
                <w:b/>
                <w:color w:val="000000"/>
                <w:sz w:val="24"/>
              </w:rPr>
              <w:t>2</w:t>
            </w:r>
            <w:r>
              <w:rPr>
                <w:rFonts w:ascii="Times New Roman" w:hAnsi="Times New Roman" w:eastAsia="楷体" w:cs="Times New Roman"/>
                <w:b/>
                <w:color w:val="000000"/>
                <w:sz w:val="24"/>
              </w:rPr>
              <w:t xml:space="preserve">.5 </w:t>
            </w:r>
            <w:r>
              <w:rPr>
                <w:rFonts w:hint="eastAsia" w:ascii="Times New Roman" w:hAnsi="Times New Roman" w:eastAsia="楷体" w:cs="Times New Roman"/>
                <w:b/>
                <w:color w:val="000000"/>
                <w:sz w:val="24"/>
              </w:rPr>
              <w:t>现场记录</w:t>
            </w:r>
          </w:p>
          <w:p w14:paraId="6F08AA64">
            <w:pPr>
              <w:widowControl w:val="0"/>
              <w:autoSpaceDE/>
              <w:autoSpaceDN/>
              <w:spacing w:line="360" w:lineRule="auto"/>
              <w:ind w:firstLine="480" w:firstLineChars="200"/>
              <w:jc w:val="both"/>
              <w:rPr>
                <w:rFonts w:hint="eastAsia" w:ascii="Times New Roman" w:hAnsi="Times New Roman" w:eastAsia="仿宋" w:cs="Times New Roman"/>
                <w:color w:val="000000"/>
                <w:kern w:val="2"/>
                <w:sz w:val="24"/>
                <w:szCs w:val="24"/>
                <w:lang w:val="en-US" w:eastAsia="zh-CN" w:bidi="ar-SA"/>
              </w:rPr>
            </w:pPr>
            <w:r>
              <w:rPr>
                <w:rFonts w:hint="eastAsia" w:ascii="宋体" w:hAnsi="宋体" w:eastAsia="仿宋" w:cs="宋体"/>
                <w:color w:val="000000"/>
                <w:kern w:val="0"/>
                <w:sz w:val="24"/>
                <w:szCs w:val="21"/>
                <w:lang w:val="en-US" w:eastAsia="zh-CN" w:bidi="ar-SA"/>
              </w:rPr>
              <w:t>除常规的样品采集信息、样</w:t>
            </w:r>
            <w:r>
              <w:rPr>
                <w:rFonts w:hint="eastAsia" w:ascii="Times New Roman" w:hAnsi="Times New Roman" w:eastAsia="仿宋" w:cs="Times New Roman"/>
                <w:color w:val="000000"/>
                <w:kern w:val="2"/>
                <w:sz w:val="24"/>
                <w:szCs w:val="24"/>
                <w:lang w:val="en-US" w:eastAsia="zh-CN" w:bidi="ar-SA"/>
              </w:rPr>
              <w:t>品标识信息记录外，增加了采用高精度专业测量设备测量记录采样点位平面坐标（采用</w:t>
            </w:r>
            <w:r>
              <w:rPr>
                <w:rFonts w:ascii="Times New Roman" w:hAnsi="Times New Roman" w:eastAsia="仿宋" w:cs="Times New Roman"/>
                <w:color w:val="000000"/>
                <w:kern w:val="2"/>
                <w:sz w:val="24"/>
                <w:szCs w:val="24"/>
                <w:lang w:val="en-US" w:eastAsia="zh-CN" w:bidi="ar-SA"/>
              </w:rPr>
              <w:t>2000国家大地坐标系）、孔口高程、地下水监测井井口距地面高度等信息</w:t>
            </w:r>
            <w:r>
              <w:rPr>
                <w:rFonts w:hint="eastAsia" w:ascii="Times New Roman" w:hAnsi="Times New Roman" w:eastAsia="仿宋" w:cs="Times New Roman"/>
                <w:color w:val="000000"/>
                <w:kern w:val="2"/>
                <w:sz w:val="24"/>
                <w:szCs w:val="24"/>
                <w:lang w:val="en-US" w:eastAsia="zh-CN" w:bidi="ar-SA"/>
              </w:rPr>
              <w:t>，以及钻孔取样的全过程影像记录。</w:t>
            </w:r>
          </w:p>
          <w:p w14:paraId="1B39FADE">
            <w:pPr>
              <w:spacing w:line="360" w:lineRule="auto"/>
              <w:rPr>
                <w:rFonts w:ascii="Times New Roman" w:hAnsi="Times New Roman" w:eastAsia="楷体" w:cs="Times New Roman"/>
                <w:b/>
                <w:color w:val="000000"/>
                <w:sz w:val="24"/>
              </w:rPr>
            </w:pPr>
            <w:r>
              <w:rPr>
                <w:rFonts w:ascii="Times New Roman" w:hAnsi="Times New Roman" w:eastAsia="楷体" w:cs="Times New Roman"/>
                <w:b/>
                <w:color w:val="000000"/>
                <w:sz w:val="24"/>
              </w:rPr>
              <w:t xml:space="preserve">2.6 </w:t>
            </w:r>
            <w:r>
              <w:rPr>
                <w:rFonts w:hint="eastAsia" w:ascii="Times New Roman" w:hAnsi="Times New Roman" w:eastAsia="楷体" w:cs="Times New Roman"/>
                <w:b/>
                <w:color w:val="000000"/>
                <w:sz w:val="24"/>
              </w:rPr>
              <w:t>样品制备</w:t>
            </w:r>
          </w:p>
          <w:p w14:paraId="31668A0C">
            <w:pPr>
              <w:pStyle w:val="34"/>
              <w:tabs>
                <w:tab w:val="left" w:pos="550"/>
              </w:tabs>
              <w:spacing w:before="156" w:beforeLines="50" w:after="156" w:afterLines="50" w:line="360" w:lineRule="auto"/>
              <w:ind w:firstLine="480"/>
              <w:jc w:val="left"/>
              <w:outlineLvl w:val="1"/>
              <w:rPr>
                <w:rFonts w:ascii="Times New Roman" w:hAnsi="Times New Roman" w:eastAsia="仿宋" w:cs="Times New Roman"/>
                <w:color w:val="000000"/>
                <w:sz w:val="24"/>
              </w:rPr>
            </w:pPr>
            <w:r>
              <w:rPr>
                <w:rFonts w:hint="eastAsia" w:ascii="Times New Roman" w:hAnsi="Times New Roman" w:eastAsia="仿宋" w:cs="Times New Roman"/>
                <w:color w:val="000000"/>
                <w:sz w:val="24"/>
              </w:rPr>
              <w:t>在满足技术要求的前提下，根据实际工作情况增加了土壤冷冻干燥机和土壤干燥箱等风干设备；在制样质量控制方面增加了土壤损失率要求和过筛率检查，要求粗磨阶段损失率不高于 3%、细磨阶段不高于 7%，过筛率达到 95%。</w:t>
            </w:r>
          </w:p>
          <w:p w14:paraId="7708A6AB">
            <w:pPr>
              <w:spacing w:line="360" w:lineRule="auto"/>
              <w:rPr>
                <w:rFonts w:ascii="Times New Roman" w:hAnsi="Times New Roman" w:eastAsia="楷体" w:cs="Times New Roman"/>
                <w:b/>
                <w:color w:val="000000"/>
                <w:sz w:val="24"/>
              </w:rPr>
            </w:pPr>
            <w:r>
              <w:rPr>
                <w:rFonts w:ascii="Times New Roman" w:hAnsi="Times New Roman" w:eastAsia="楷体" w:cs="Times New Roman"/>
                <w:b/>
                <w:color w:val="000000"/>
                <w:sz w:val="24"/>
              </w:rPr>
              <w:t xml:space="preserve">2.7 </w:t>
            </w:r>
            <w:r>
              <w:rPr>
                <w:rFonts w:hint="eastAsia" w:ascii="Times New Roman" w:hAnsi="Times New Roman" w:eastAsia="楷体" w:cs="Times New Roman"/>
                <w:b/>
                <w:color w:val="000000"/>
                <w:sz w:val="24"/>
              </w:rPr>
              <w:t>实验室分析和质量控制</w:t>
            </w:r>
          </w:p>
          <w:p w14:paraId="5FC628BB">
            <w:pPr>
              <w:pStyle w:val="34"/>
              <w:tabs>
                <w:tab w:val="left" w:pos="550"/>
              </w:tabs>
              <w:spacing w:before="156" w:beforeLines="50" w:after="156" w:afterLines="50" w:line="360" w:lineRule="auto"/>
              <w:ind w:firstLine="480"/>
              <w:jc w:val="left"/>
              <w:outlineLvl w:val="1"/>
              <w:rPr>
                <w:rFonts w:ascii="Times New Roman" w:hAnsi="Times New Roman" w:eastAsia="仿宋" w:cs="Times New Roman"/>
                <w:color w:val="000000"/>
                <w:sz w:val="24"/>
              </w:rPr>
            </w:pPr>
            <w:r>
              <w:rPr>
                <w:rFonts w:hint="eastAsia" w:ascii="Times New Roman" w:hAnsi="Times New Roman" w:eastAsia="仿宋" w:cs="Times New Roman"/>
                <w:color w:val="000000"/>
                <w:sz w:val="24"/>
              </w:rPr>
              <w:t>从设施和环境条件、分析方法选择、试剂和材料、实验室空白试验、仪器定量校准、精密度控制、正确度控制、实验室分析注意事项、记录与报告等各环节做了相关规定，并对以下几方面结合工作实际和国家相关技术规定进行了详细说明：</w:t>
            </w:r>
          </w:p>
          <w:p w14:paraId="4BAAEC0C">
            <w:pPr>
              <w:pStyle w:val="34"/>
              <w:tabs>
                <w:tab w:val="left" w:pos="550"/>
              </w:tabs>
              <w:spacing w:before="156" w:beforeLines="50" w:after="156" w:afterLines="50" w:line="360" w:lineRule="auto"/>
              <w:ind w:firstLine="480"/>
              <w:jc w:val="left"/>
              <w:outlineLvl w:val="1"/>
              <w:rPr>
                <w:rFonts w:hint="eastAsia" w:ascii="Times New Roman" w:hAnsi="Times New Roman" w:eastAsia="仿宋" w:cs="Times New Roman"/>
                <w:color w:val="000000"/>
                <w:sz w:val="24"/>
              </w:rPr>
            </w:pPr>
            <w:r>
              <w:rPr>
                <w:rFonts w:hint="eastAsia" w:ascii="Times New Roman" w:hAnsi="Times New Roman" w:eastAsia="仿宋" w:cs="Times New Roman"/>
                <w:color w:val="000000"/>
                <w:sz w:val="24"/>
              </w:rPr>
              <w:t>（1）空白实验：重点对空白样品分析测试结果略高于方法检出限的情况进行了规定，若空白高于方法检出限但比较稳定，可进行多次重复试验，计算空白样品分析测试结果平均值并从样品分析测试结果中扣除；若空白样品分析测试结果明显超过正常值，实验室应查找原因并采取适当的纠正和预防措施，并重新对该批次样品进行分析测试。分析方法有规定的，按规定执行。</w:t>
            </w:r>
          </w:p>
          <w:p w14:paraId="0AB513A9">
            <w:pPr>
              <w:spacing w:line="360" w:lineRule="auto"/>
              <w:ind w:firstLine="480" w:firstLineChars="200"/>
              <w:rPr>
                <w:rFonts w:ascii="Times New Roman" w:hAnsi="Times New Roman" w:eastAsia="仿宋" w:cs="Times New Roman"/>
                <w:color w:val="000000"/>
                <w:sz w:val="24"/>
              </w:rPr>
            </w:pPr>
            <w:r>
              <w:rPr>
                <w:rFonts w:hint="eastAsia" w:ascii="Times New Roman" w:hAnsi="Times New Roman" w:eastAsia="仿宋" w:cs="Times New Roman"/>
                <w:color w:val="000000"/>
                <w:sz w:val="24"/>
              </w:rPr>
              <w:t xml:space="preserve"> （2）精密度控制：规定每批样品分析时，每个检测项目均须做平行双样分析。在每批次分析样品中，应随机抽取不低于5%的样品进行平行双样分析；当批次样品数＜20时，应至少随机抽取1个样品进行平行双样分析。平行双样测定结果的误差根据检测项目浓度范围对应的允许偏差范围进行判断。平行双样分析测试合格率要求应达到95%，当合格率低于95%时，应查明产生不合格结果的原因，采取适当的纠正和预防措施。除对不合格结果重新分析测试外，应再增加样品数5%～20%的平行样，直至平行双样测定合格率大于95%。</w:t>
            </w:r>
          </w:p>
          <w:p w14:paraId="5C60886E">
            <w:pPr>
              <w:spacing w:line="360" w:lineRule="auto"/>
              <w:ind w:firstLine="480" w:firstLineChars="200"/>
              <w:rPr>
                <w:rFonts w:ascii="Times New Roman" w:hAnsi="Times New Roman" w:eastAsia="仿宋" w:cs="Times New Roman"/>
                <w:color w:val="000000"/>
                <w:sz w:val="24"/>
              </w:rPr>
            </w:pPr>
            <w:r>
              <w:rPr>
                <w:rFonts w:hint="eastAsia" w:ascii="Times New Roman" w:hAnsi="Times New Roman" w:eastAsia="仿宋" w:cs="Times New Roman"/>
                <w:color w:val="000000"/>
                <w:sz w:val="24"/>
              </w:rPr>
              <w:t>（3）正确度控制：分为有证标准物质和加标回收率试验，加标回收率根据检测项目含量范围进行了规定。对于当加标回收率小于70%的情况，需要对不合格批次重新进行前处理和测试，并增加5%～20%的试样作加标回收率测定，直至总合格率大于或等于70%以上。</w:t>
            </w:r>
          </w:p>
          <w:p w14:paraId="3AE8BE8D">
            <w:pPr>
              <w:spacing w:line="360" w:lineRule="auto"/>
              <w:ind w:firstLine="480" w:firstLineChars="200"/>
              <w:rPr>
                <w:rFonts w:ascii="Times New Roman" w:hAnsi="Times New Roman" w:eastAsia="仿宋" w:cs="Times New Roman"/>
                <w:color w:val="000000"/>
                <w:sz w:val="24"/>
              </w:rPr>
            </w:pPr>
            <w:r>
              <w:rPr>
                <w:rFonts w:hint="eastAsia" w:ascii="Times New Roman" w:hAnsi="Times New Roman" w:eastAsia="仿宋" w:cs="Times New Roman"/>
                <w:color w:val="000000"/>
                <w:sz w:val="24"/>
              </w:rPr>
              <w:t>（4）分析注意事项：对重金属分析的难点进行了强调。</w:t>
            </w:r>
          </w:p>
          <w:p w14:paraId="0CA77B99">
            <w:pPr>
              <w:spacing w:line="360" w:lineRule="auto"/>
              <w:ind w:firstLine="480" w:firstLineChars="200"/>
              <w:rPr>
                <w:rFonts w:ascii="Times New Roman" w:hAnsi="Times New Roman" w:eastAsia="仿宋" w:cs="Times New Roman"/>
                <w:color w:val="000000"/>
                <w:sz w:val="24"/>
              </w:rPr>
            </w:pPr>
            <w:r>
              <w:rPr>
                <w:rFonts w:hint="eastAsia" w:ascii="Times New Roman" w:hAnsi="Times New Roman" w:eastAsia="仿宋" w:cs="Times New Roman"/>
                <w:color w:val="000000"/>
                <w:sz w:val="24"/>
              </w:rPr>
              <w:t>原子荧光法测定汞时对所用试剂纯度有着严格的要求，因此在测定时需重点关注实验用水和试剂的空白值，测试时尽量将空白值控制在</w:t>
            </w:r>
            <w:r>
              <w:rPr>
                <w:rFonts w:ascii="Times New Roman" w:hAnsi="Times New Roman" w:eastAsia="仿宋" w:cs="Times New Roman"/>
                <w:color w:val="000000"/>
                <w:sz w:val="24"/>
              </w:rPr>
              <w:t>500以下。测汞时，排除仪器条件因素和仪器污染后，空白荧光值与以往呈倍数差别时，应首先考虑酸中汞含量是否超标。</w:t>
            </w:r>
          </w:p>
          <w:p w14:paraId="48A1FCF4">
            <w:pPr>
              <w:spacing w:line="360" w:lineRule="auto"/>
              <w:ind w:firstLine="480" w:firstLineChars="200"/>
              <w:rPr>
                <w:rFonts w:ascii="Times New Roman" w:hAnsi="Times New Roman" w:eastAsia="仿宋" w:cs="Times New Roman"/>
                <w:color w:val="000000"/>
                <w:sz w:val="24"/>
              </w:rPr>
            </w:pPr>
            <w:r>
              <w:rPr>
                <w:rFonts w:hint="eastAsia" w:ascii="Times New Roman" w:hAnsi="Times New Roman" w:eastAsia="仿宋" w:cs="Times New Roman"/>
                <w:color w:val="000000"/>
                <w:sz w:val="24"/>
              </w:rPr>
              <w:t>同一点位，土壤中砷和汞的测定值相差</w:t>
            </w:r>
            <w:r>
              <w:rPr>
                <w:rFonts w:ascii="Times New Roman" w:hAnsi="Times New Roman" w:eastAsia="仿宋" w:cs="Times New Roman"/>
                <w:color w:val="000000"/>
                <w:sz w:val="24"/>
              </w:rPr>
              <w:t>2～3 个数量级。同时检测时，砷土壤样品大部分需要稀释，而汞土壤样品一般不需要稀释。</w:t>
            </w:r>
            <w:r>
              <w:rPr>
                <w:rFonts w:hint="eastAsia" w:ascii="Times New Roman" w:hAnsi="Times New Roman" w:eastAsia="仿宋" w:cs="Times New Roman"/>
                <w:color w:val="000000"/>
                <w:sz w:val="24"/>
              </w:rPr>
              <w:t>为确保测试结果的准确，砷汞土壤样品消解后单独测定。</w:t>
            </w:r>
          </w:p>
          <w:p w14:paraId="3B76EA17">
            <w:pPr>
              <w:spacing w:line="360" w:lineRule="auto"/>
              <w:ind w:firstLine="480" w:firstLineChars="200"/>
              <w:rPr>
                <w:rFonts w:ascii="方正仿宋_GBK" w:hAnsi="仿宋_GB2312" w:eastAsia="方正仿宋_GBK" w:cs="仿宋_GB2312"/>
                <w:szCs w:val="32"/>
              </w:rPr>
            </w:pPr>
            <w:r>
              <w:rPr>
                <w:rFonts w:hint="eastAsia" w:ascii="Times New Roman" w:hAnsi="Times New Roman" w:eastAsia="仿宋" w:cs="Times New Roman"/>
                <w:color w:val="000000"/>
                <w:sz w:val="24"/>
              </w:rPr>
              <w:t>石墨炉检测质控样时，标准样品证书上的不确定度比较窄，而标准方法上采用的相对误差评价范围比较宽，实际检测中可采用标准方法上相对误差评价。</w:t>
            </w:r>
          </w:p>
        </w:tc>
      </w:tr>
      <w:tr w14:paraId="0DBF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noWrap w:val="0"/>
            <w:vAlign w:val="top"/>
          </w:tcPr>
          <w:p w14:paraId="11D8BC92">
            <w:pPr>
              <w:numPr>
                <w:ilvl w:val="0"/>
                <w:numId w:val="47"/>
              </w:numPr>
              <w:adjustRightInd w:val="0"/>
              <w:snapToGrid w:val="0"/>
              <w:spacing w:line="360" w:lineRule="exact"/>
              <w:rPr>
                <w:rFonts w:hint="eastAsia" w:ascii="方正仿宋_GBK" w:hAnsi="Times New Roman" w:eastAsia="方正仿宋_GBK" w:cs="Times New Roman"/>
                <w:color w:val="000000"/>
                <w:sz w:val="28"/>
                <w:szCs w:val="28"/>
              </w:rPr>
            </w:pPr>
            <w:r>
              <w:rPr>
                <w:rFonts w:hint="eastAsia" w:ascii="方正仿宋_GBK" w:hAnsi="Times New Roman" w:eastAsia="方正仿宋_GBK" w:cs="Times New Roman"/>
                <w:color w:val="000000"/>
                <w:sz w:val="28"/>
                <w:szCs w:val="28"/>
              </w:rPr>
              <w:t>标准比对：</w:t>
            </w:r>
          </w:p>
          <w:p w14:paraId="2DB1522C">
            <w:pPr>
              <w:spacing w:line="360" w:lineRule="auto"/>
              <w:ind w:firstLine="480" w:firstLineChars="200"/>
              <w:rPr>
                <w:rFonts w:ascii="Times New Roman" w:hAnsi="Times New Roman" w:eastAsia="仿宋" w:cs="Times New Roman"/>
                <w:color w:val="000000"/>
                <w:sz w:val="24"/>
              </w:rPr>
            </w:pPr>
            <w:r>
              <w:rPr>
                <w:rFonts w:ascii="仿宋" w:hAnsi="仿宋" w:eastAsia="仿宋" w:cs="Times New Roman"/>
                <w:sz w:val="24"/>
              </w:rPr>
              <w:t>建设用地土壤污染状况调查是管理的起点，保障调查质量对于保障人居环境安全至关重要。 “十三五”期间，</w:t>
            </w:r>
            <w:r>
              <w:rPr>
                <w:rFonts w:hint="eastAsia" w:ascii="仿宋" w:hAnsi="仿宋" w:eastAsia="仿宋" w:cs="Times New Roman"/>
                <w:sz w:val="24"/>
              </w:rPr>
              <w:t>生态环境保护</w:t>
            </w:r>
            <w:r>
              <w:rPr>
                <w:rFonts w:ascii="仿宋" w:hAnsi="仿宋" w:eastAsia="仿宋" w:cs="Times New Roman"/>
                <w:sz w:val="24"/>
              </w:rPr>
              <w:t>部修订发布了《建设用地土壤污染状况调查技术导则</w:t>
            </w:r>
            <w:r>
              <w:rPr>
                <w:rFonts w:hint="eastAsia" w:ascii="仿宋" w:hAnsi="仿宋" w:eastAsia="仿宋" w:cs="Times New Roman"/>
                <w:sz w:val="24"/>
              </w:rPr>
              <w:t>（H</w:t>
            </w:r>
            <w:r>
              <w:rPr>
                <w:rFonts w:ascii="仿宋" w:hAnsi="仿宋" w:eastAsia="仿宋" w:cs="Times New Roman"/>
                <w:sz w:val="24"/>
              </w:rPr>
              <w:t>J 2</w:t>
            </w:r>
            <w:r>
              <w:rPr>
                <w:rFonts w:hint="eastAsia" w:ascii="仿宋" w:hAnsi="仿宋" w:eastAsia="仿宋" w:cs="Times New Roman"/>
                <w:sz w:val="24"/>
              </w:rPr>
              <w:t>5</w:t>
            </w:r>
            <w:r>
              <w:rPr>
                <w:rFonts w:ascii="仿宋" w:hAnsi="仿宋" w:eastAsia="仿宋" w:cs="Times New Roman"/>
                <w:sz w:val="24"/>
              </w:rPr>
              <w:t>.1-2019</w:t>
            </w:r>
            <w:r>
              <w:rPr>
                <w:rFonts w:hint="eastAsia" w:ascii="仿宋" w:hAnsi="仿宋" w:eastAsia="仿宋" w:cs="Times New Roman"/>
                <w:sz w:val="24"/>
              </w:rPr>
              <w:t>）</w:t>
            </w:r>
            <w:r>
              <w:rPr>
                <w:rFonts w:ascii="仿宋" w:hAnsi="仿宋" w:eastAsia="仿宋" w:cs="Times New Roman"/>
                <w:sz w:val="24"/>
              </w:rPr>
              <w:t>》</w:t>
            </w:r>
            <w:r>
              <w:rPr>
                <w:rFonts w:hint="eastAsia" w:ascii="仿宋" w:hAnsi="仿宋" w:eastAsia="仿宋" w:cs="Times New Roman"/>
                <w:sz w:val="24"/>
              </w:rPr>
              <w:t>，明确了</w:t>
            </w:r>
            <w:r>
              <w:rPr>
                <w:rFonts w:ascii="仿宋" w:hAnsi="仿宋" w:eastAsia="仿宋" w:cs="Times New Roman"/>
                <w:sz w:val="24"/>
              </w:rPr>
              <w:t>建设用地土壤污染状况调查的原则、内容、程序和技术要求</w:t>
            </w:r>
            <w:r>
              <w:rPr>
                <w:rFonts w:hint="eastAsia" w:ascii="仿宋" w:hAnsi="仿宋" w:eastAsia="仿宋" w:cs="Times New Roman"/>
                <w:sz w:val="24"/>
              </w:rPr>
              <w:t>，但并不涉及后期实验室制备和分析部分；</w:t>
            </w:r>
            <w:r>
              <w:rPr>
                <w:rFonts w:ascii="Times New Roman" w:hAnsi="Times New Roman" w:eastAsia="仿宋" w:cs="Times New Roman"/>
                <w:color w:val="000000"/>
                <w:sz w:val="24"/>
              </w:rPr>
              <w:t>2022 年生态环境部办公厅</w:t>
            </w:r>
            <w:r>
              <w:rPr>
                <w:rFonts w:hint="eastAsia" w:ascii="Times New Roman" w:hAnsi="Times New Roman" w:eastAsia="仿宋" w:cs="Times New Roman"/>
                <w:color w:val="000000"/>
                <w:sz w:val="24"/>
              </w:rPr>
              <w:t>发布了</w:t>
            </w:r>
            <w:r>
              <w:rPr>
                <w:rFonts w:ascii="Times New Roman" w:hAnsi="Times New Roman" w:eastAsia="仿宋" w:cs="Times New Roman"/>
                <w:color w:val="000000"/>
                <w:sz w:val="24"/>
              </w:rPr>
              <w:t>《建设用地土壤污染状况调查质量控制技术规定（试行）</w:t>
            </w:r>
            <w:r>
              <w:rPr>
                <w:rFonts w:hint="eastAsia" w:ascii="Times New Roman" w:hAnsi="Times New Roman" w:eastAsia="仿宋" w:cs="Times New Roman"/>
                <w:color w:val="000000"/>
                <w:sz w:val="24"/>
              </w:rPr>
              <w:t>》（以下简称《规定》），要求对</w:t>
            </w:r>
            <w:r>
              <w:rPr>
                <w:rFonts w:ascii="Times New Roman" w:hAnsi="Times New Roman" w:eastAsia="仿宋" w:cs="Times New Roman"/>
                <w:color w:val="000000"/>
                <w:sz w:val="24"/>
              </w:rPr>
              <w:t>从事建设用地土壤污染状况调查的单位</w:t>
            </w:r>
            <w:r>
              <w:rPr>
                <w:rFonts w:hint="eastAsia" w:ascii="Times New Roman" w:hAnsi="Times New Roman" w:eastAsia="仿宋" w:cs="Times New Roman"/>
                <w:color w:val="000000"/>
                <w:sz w:val="24"/>
              </w:rPr>
              <w:t>从采样分析工作计划、现场采样、实验室检测分析、报告编制方面制定</w:t>
            </w:r>
            <w:r>
              <w:rPr>
                <w:rFonts w:ascii="Times New Roman" w:hAnsi="Times New Roman" w:eastAsia="仿宋" w:cs="Times New Roman"/>
                <w:color w:val="000000"/>
                <w:sz w:val="24"/>
              </w:rPr>
              <w:t>和实施内部质量控制计划，</w:t>
            </w:r>
            <w:r>
              <w:rPr>
                <w:rFonts w:hint="eastAsia" w:ascii="Times New Roman" w:hAnsi="Times New Roman" w:eastAsia="仿宋" w:cs="Times New Roman"/>
                <w:color w:val="000000"/>
                <w:sz w:val="24"/>
              </w:rPr>
              <w:t>但对于如何开展</w:t>
            </w:r>
            <w:r>
              <w:rPr>
                <w:rFonts w:ascii="Times New Roman" w:hAnsi="Times New Roman" w:eastAsia="仿宋" w:cs="Times New Roman"/>
                <w:color w:val="000000"/>
                <w:sz w:val="24"/>
              </w:rPr>
              <w:t>内部质量控制工作</w:t>
            </w:r>
            <w:r>
              <w:rPr>
                <w:rFonts w:hint="eastAsia" w:ascii="Times New Roman" w:hAnsi="Times New Roman" w:eastAsia="仿宋" w:cs="Times New Roman"/>
                <w:color w:val="000000"/>
                <w:sz w:val="24"/>
              </w:rPr>
              <w:t>并未做详细说明</w:t>
            </w:r>
            <w:r>
              <w:rPr>
                <w:rFonts w:ascii="Times New Roman" w:hAnsi="Times New Roman" w:eastAsia="仿宋" w:cs="Times New Roman"/>
                <w:color w:val="000000"/>
                <w:sz w:val="24"/>
              </w:rPr>
              <w:t>，</w:t>
            </w:r>
            <w:r>
              <w:rPr>
                <w:rFonts w:hint="eastAsia" w:ascii="Times New Roman" w:hAnsi="Times New Roman" w:eastAsia="仿宋" w:cs="Times New Roman"/>
                <w:color w:val="000000"/>
                <w:sz w:val="24"/>
              </w:rPr>
              <w:t>尤其对于重金属监测过程中样品采集、样品制备、实验室分析质量控制并未做明确规定，不利于后期质控数据的统一评价</w:t>
            </w:r>
            <w:r>
              <w:rPr>
                <w:rFonts w:ascii="Times New Roman" w:hAnsi="Times New Roman" w:eastAsia="仿宋" w:cs="Times New Roman"/>
                <w:color w:val="000000"/>
                <w:sz w:val="24"/>
              </w:rPr>
              <w:t>。</w:t>
            </w:r>
          </w:p>
          <w:p w14:paraId="39A3E9CA">
            <w:pPr>
              <w:spacing w:line="360" w:lineRule="auto"/>
              <w:ind w:firstLine="480" w:firstLineChars="200"/>
              <w:rPr>
                <w:rFonts w:ascii="Times New Roman" w:hAnsi="Times New Roman" w:eastAsia="仿宋" w:cs="Times New Roman"/>
                <w:color w:val="000000"/>
                <w:sz w:val="24"/>
              </w:rPr>
            </w:pPr>
            <w:r>
              <w:rPr>
                <w:rFonts w:hint="eastAsia" w:ascii="Times New Roman" w:hAnsi="Times New Roman" w:eastAsia="仿宋" w:cs="Times New Roman"/>
                <w:color w:val="000000"/>
                <w:sz w:val="24"/>
              </w:rPr>
              <w:t>2</w:t>
            </w:r>
            <w:r>
              <w:rPr>
                <w:rFonts w:ascii="Times New Roman" w:hAnsi="Times New Roman" w:eastAsia="仿宋" w:cs="Times New Roman"/>
                <w:color w:val="000000"/>
                <w:sz w:val="24"/>
              </w:rPr>
              <w:t>021</w:t>
            </w:r>
            <w:r>
              <w:rPr>
                <w:rFonts w:hint="eastAsia" w:ascii="Times New Roman" w:hAnsi="Times New Roman" w:eastAsia="仿宋" w:cs="Times New Roman"/>
                <w:color w:val="000000"/>
                <w:sz w:val="24"/>
              </w:rPr>
              <w:t>年广东省发布了《建设用地土壤污染防治 第3部分：土壤重金属监测质量保证与质量控制技术规范（D</w:t>
            </w:r>
            <w:r>
              <w:rPr>
                <w:rFonts w:ascii="Times New Roman" w:hAnsi="Times New Roman" w:eastAsia="仿宋" w:cs="Times New Roman"/>
                <w:color w:val="000000"/>
                <w:sz w:val="24"/>
              </w:rPr>
              <w:t>B4401/T 102.3-2021</w:t>
            </w:r>
            <w:r>
              <w:rPr>
                <w:rFonts w:hint="eastAsia" w:ascii="Times New Roman" w:hAnsi="Times New Roman" w:eastAsia="仿宋" w:cs="Times New Roman"/>
                <w:color w:val="000000"/>
                <w:sz w:val="24"/>
              </w:rPr>
              <w:t>）》，该地标结合广东省的特点，提出了针对建设用地土壤重金属监测过程中的采样、制样、实验室分析环节的质控要求。</w:t>
            </w:r>
          </w:p>
          <w:p w14:paraId="6500148E">
            <w:pPr>
              <w:spacing w:line="360" w:lineRule="auto"/>
              <w:ind w:firstLine="480" w:firstLineChars="200"/>
              <w:rPr>
                <w:rFonts w:hint="eastAsia" w:ascii="Times New Roman" w:hAnsi="Times New Roman" w:eastAsia="仿宋" w:cs="Times New Roman"/>
                <w:color w:val="000000"/>
                <w:sz w:val="24"/>
              </w:rPr>
            </w:pPr>
            <w:r>
              <w:rPr>
                <w:rFonts w:hint="eastAsia" w:ascii="Times New Roman" w:hAnsi="Times New Roman" w:eastAsia="仿宋" w:cs="Times New Roman"/>
                <w:color w:val="000000"/>
                <w:sz w:val="24"/>
              </w:rPr>
              <w:t>湖北省建设用地因地理环境和污染情况差异较大，为方便后期监测结果评估，有必要</w:t>
            </w:r>
            <w:r>
              <w:rPr>
                <w:rFonts w:ascii="Times New Roman" w:hAnsi="Times New Roman" w:eastAsia="仿宋" w:cs="Times New Roman"/>
                <w:color w:val="000000"/>
                <w:sz w:val="24"/>
              </w:rPr>
              <w:t>细化质量控制</w:t>
            </w:r>
            <w:r>
              <w:rPr>
                <w:rFonts w:hint="eastAsia" w:ascii="Times New Roman" w:hAnsi="Times New Roman" w:eastAsia="仿宋" w:cs="Times New Roman"/>
                <w:color w:val="000000"/>
                <w:sz w:val="24"/>
              </w:rPr>
              <w:t>和质量评价</w:t>
            </w:r>
            <w:r>
              <w:rPr>
                <w:rFonts w:ascii="Times New Roman" w:hAnsi="Times New Roman" w:eastAsia="仿宋" w:cs="Times New Roman"/>
                <w:color w:val="000000"/>
                <w:sz w:val="24"/>
              </w:rPr>
              <w:t>要求</w:t>
            </w:r>
            <w:r>
              <w:rPr>
                <w:rFonts w:hint="eastAsia" w:ascii="Times New Roman" w:hAnsi="Times New Roman" w:eastAsia="仿宋" w:cs="Times New Roman"/>
                <w:color w:val="000000"/>
                <w:sz w:val="24"/>
              </w:rPr>
              <w:t>，建立适合本省的监测质控评价方法。</w:t>
            </w:r>
          </w:p>
          <w:p w14:paraId="6DED7E97">
            <w:pPr>
              <w:adjustRightInd w:val="0"/>
              <w:snapToGrid w:val="0"/>
              <w:spacing w:line="360" w:lineRule="exact"/>
              <w:ind w:firstLine="555"/>
              <w:rPr>
                <w:rFonts w:ascii="方正仿宋_GBK" w:hAnsi="Times New Roman" w:eastAsia="方正仿宋_GBK" w:cs="Times New Roman"/>
                <w:color w:val="000000"/>
                <w:sz w:val="28"/>
                <w:szCs w:val="32"/>
              </w:rPr>
            </w:pPr>
          </w:p>
        </w:tc>
      </w:tr>
      <w:tr w14:paraId="445F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5000" w:type="pct"/>
            <w:gridSpan w:val="4"/>
            <w:noWrap w:val="0"/>
            <w:vAlign w:val="top"/>
          </w:tcPr>
          <w:p w14:paraId="3A96DF0B">
            <w:pPr>
              <w:numPr>
                <w:ilvl w:val="0"/>
                <w:numId w:val="47"/>
              </w:numPr>
              <w:adjustRightInd w:val="0"/>
              <w:snapToGrid w:val="0"/>
              <w:spacing w:line="360" w:lineRule="auto"/>
              <w:rPr>
                <w:rFonts w:hint="eastAsia" w:ascii="Times New Roman" w:hAnsi="Times New Roman" w:eastAsia="黑体" w:cs="Times New Roman"/>
                <w:color w:val="000000"/>
                <w:sz w:val="24"/>
              </w:rPr>
            </w:pPr>
            <w:r>
              <w:rPr>
                <w:rFonts w:hint="eastAsia" w:ascii="Times New Roman" w:hAnsi="Times New Roman" w:eastAsia="黑体" w:cs="Times New Roman"/>
                <w:color w:val="000000"/>
                <w:sz w:val="24"/>
              </w:rPr>
              <w:t>风险分析：</w:t>
            </w:r>
          </w:p>
          <w:p w14:paraId="25919DED">
            <w:pPr>
              <w:spacing w:line="360" w:lineRule="auto"/>
              <w:ind w:firstLine="646"/>
              <w:rPr>
                <w:rFonts w:ascii="方正仿宋_GBK" w:hAnsi="仿宋_GB2312" w:eastAsia="方正仿宋_GBK" w:cs="仿宋_GB2312"/>
                <w:sz w:val="28"/>
                <w:szCs w:val="32"/>
              </w:rPr>
            </w:pPr>
            <w:r>
              <w:rPr>
                <w:rFonts w:hint="eastAsia" w:ascii="Times New Roman" w:hAnsi="Times New Roman" w:eastAsia="仿宋" w:cs="Times New Roman"/>
                <w:color w:val="000000"/>
                <w:sz w:val="24"/>
              </w:rPr>
              <w:t>无</w:t>
            </w:r>
          </w:p>
        </w:tc>
      </w:tr>
      <w:tr w14:paraId="0746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5000" w:type="pct"/>
            <w:gridSpan w:val="4"/>
            <w:noWrap w:val="0"/>
            <w:vAlign w:val="top"/>
          </w:tcPr>
          <w:p w14:paraId="06742DFD">
            <w:pPr>
              <w:adjustRightInd w:val="0"/>
              <w:snapToGrid w:val="0"/>
              <w:spacing w:line="360" w:lineRule="auto"/>
              <w:rPr>
                <w:rFonts w:hint="eastAsia" w:ascii="Times New Roman" w:hAnsi="Times New Roman" w:eastAsia="黑体" w:cs="Times New Roman"/>
                <w:color w:val="000000"/>
                <w:sz w:val="24"/>
              </w:rPr>
            </w:pPr>
            <w:r>
              <w:rPr>
                <w:rFonts w:hint="eastAsia" w:ascii="Times New Roman" w:hAnsi="Times New Roman" w:eastAsia="黑体" w:cs="Times New Roman"/>
                <w:color w:val="000000"/>
                <w:sz w:val="24"/>
              </w:rPr>
              <w:t>5.宣贯实施计划：</w:t>
            </w:r>
          </w:p>
          <w:p w14:paraId="64ECADFB">
            <w:pPr>
              <w:pStyle w:val="8"/>
              <w:widowControl w:val="0"/>
              <w:adjustRightInd w:val="0"/>
              <w:snapToGrid w:val="0"/>
              <w:spacing w:before="0" w:beforeAutospacing="0" w:after="0" w:afterAutospacing="0" w:line="360" w:lineRule="auto"/>
              <w:ind w:firstLine="480" w:firstLineChars="200"/>
              <w:jc w:val="both"/>
              <w:rPr>
                <w:rFonts w:ascii="Times New Roman" w:hAnsi="Times New Roman" w:eastAsia="仿宋_GB2312" w:cs="Times New Roman"/>
                <w:kern w:val="2"/>
              </w:rPr>
            </w:pPr>
            <w:r>
              <w:rPr>
                <w:rFonts w:hint="eastAsia" w:ascii="Times New Roman" w:hAnsi="Times New Roman" w:eastAsia="仿宋_GB2312" w:cs="Times New Roman"/>
                <w:kern w:val="2"/>
              </w:rPr>
              <w:t>2</w:t>
            </w:r>
            <w:r>
              <w:rPr>
                <w:rFonts w:ascii="Times New Roman" w:hAnsi="Times New Roman" w:eastAsia="仿宋_GB2312" w:cs="Times New Roman"/>
                <w:kern w:val="2"/>
              </w:rPr>
              <w:t>024</w:t>
            </w:r>
            <w:r>
              <w:rPr>
                <w:rFonts w:hint="eastAsia" w:ascii="Times New Roman" w:hAnsi="Times New Roman" w:eastAsia="仿宋_GB2312" w:cs="Times New Roman"/>
                <w:kern w:val="2"/>
              </w:rPr>
              <w:t>年</w:t>
            </w:r>
            <w:r>
              <w:rPr>
                <w:rFonts w:ascii="Times New Roman" w:hAnsi="Times New Roman" w:eastAsia="仿宋_GB2312" w:cs="Times New Roman"/>
                <w:kern w:val="2"/>
              </w:rPr>
              <w:t>9</w:t>
            </w:r>
            <w:r>
              <w:rPr>
                <w:rFonts w:hint="eastAsia" w:ascii="Times New Roman" w:hAnsi="Times New Roman" w:eastAsia="仿宋_GB2312" w:cs="Times New Roman"/>
                <w:kern w:val="2"/>
              </w:rPr>
              <w:t>月—1</w:t>
            </w:r>
            <w:r>
              <w:rPr>
                <w:rFonts w:ascii="Times New Roman" w:hAnsi="Times New Roman" w:eastAsia="仿宋_GB2312" w:cs="Times New Roman"/>
                <w:kern w:val="2"/>
              </w:rPr>
              <w:t>2</w:t>
            </w:r>
            <w:r>
              <w:rPr>
                <w:rFonts w:hint="eastAsia" w:ascii="Times New Roman" w:hAnsi="Times New Roman" w:eastAsia="仿宋_GB2312" w:cs="Times New Roman"/>
                <w:kern w:val="2"/>
              </w:rPr>
              <w:t>月，通过线上线下多种方式，计划在省内组织召开多期标准宣贯培训，集中对标准制定的背景、技术内容、排放限值等进行培训和解读。</w:t>
            </w:r>
          </w:p>
          <w:p w14:paraId="71C44060">
            <w:pPr>
              <w:pStyle w:val="8"/>
              <w:widowControl w:val="0"/>
              <w:adjustRightInd w:val="0"/>
              <w:snapToGrid w:val="0"/>
              <w:spacing w:before="0" w:beforeAutospacing="0" w:after="0" w:afterAutospacing="0" w:line="360" w:lineRule="auto"/>
              <w:ind w:firstLine="480" w:firstLineChars="200"/>
              <w:jc w:val="both"/>
              <w:rPr>
                <w:rFonts w:hint="eastAsia" w:ascii="仿宋_GB2312" w:eastAsia="仿宋_GB2312"/>
              </w:rPr>
            </w:pPr>
            <w:r>
              <w:rPr>
                <w:rFonts w:hint="eastAsia" w:ascii="仿宋_GB2312" w:hAnsi="Times New Roman" w:eastAsia="仿宋_GB2312" w:cs="Times New Roman"/>
                <w:kern w:val="2"/>
              </w:rPr>
              <w:t>标准实施过程中</w:t>
            </w:r>
            <w:r>
              <w:rPr>
                <w:rFonts w:hint="eastAsia" w:ascii="仿宋_GB2312" w:eastAsia="仿宋_GB2312"/>
              </w:rPr>
              <w:t>检查标准实施方案的落实情况，并记录未实施内容的理由或原因。做好标准实施验证记录，畅通标准实施信息采集的方式方法和反馈渠道，定期整理并处理收集到的意见建议。对标准实施评价的基本依据是《中华人民共和国标准化法》等。</w:t>
            </w:r>
          </w:p>
          <w:p w14:paraId="68F8CE3E">
            <w:pPr>
              <w:pStyle w:val="35"/>
              <w:numPr>
                <w:ilvl w:val="0"/>
                <w:numId w:val="0"/>
              </w:numPr>
              <w:adjustRightInd w:val="0"/>
              <w:snapToGrid w:val="0"/>
              <w:spacing w:before="0" w:beforeLines="0" w:after="0" w:afterLines="0" w:line="360" w:lineRule="auto"/>
              <w:jc w:val="both"/>
              <w:rPr>
                <w:rFonts w:hint="eastAsia" w:ascii="仿宋_GB2312" w:hAnsi="宋体" w:eastAsia="仿宋_GB2312" w:cs="Times New Roman"/>
                <w:sz w:val="24"/>
                <w:szCs w:val="24"/>
              </w:rPr>
            </w:pPr>
            <w:bookmarkStart w:id="233" w:name="_Toc167350343"/>
            <w:bookmarkStart w:id="234" w:name="_Toc167350673"/>
            <w:bookmarkStart w:id="235" w:name="_Toc166752568"/>
            <w:bookmarkStart w:id="236" w:name="_Toc166658488"/>
            <w:bookmarkStart w:id="237" w:name="_Toc167455836"/>
            <w:bookmarkStart w:id="238" w:name="_Toc166576573"/>
            <w:bookmarkStart w:id="239" w:name="_Toc166509511"/>
            <w:bookmarkStart w:id="240" w:name="_Toc166746009"/>
            <w:r>
              <w:rPr>
                <w:rFonts w:hint="eastAsia" w:ascii="仿宋_GB2312" w:hAnsi="宋体" w:eastAsia="仿宋_GB2312" w:cs="Times New Roman"/>
                <w:sz w:val="24"/>
                <w:szCs w:val="24"/>
              </w:rPr>
              <w:t>在标准实施半年后，对照标准实施方案，开展标准实施效果评价分析，总结实施经验成效，梳理存在的薄弱环节，标准实施的评价主要是评价标准实施的效果，主要从技术进步、质量水平提高、客户满意度、规范秩序、效率提高、节约费用、节省时间、履行社会责任等方面进行有益性评价，同时还要评价标准实施带来的问题，以便为未来改进提供参考。</w:t>
            </w:r>
            <w:bookmarkEnd w:id="233"/>
            <w:bookmarkEnd w:id="234"/>
            <w:bookmarkEnd w:id="235"/>
            <w:bookmarkEnd w:id="236"/>
            <w:bookmarkEnd w:id="237"/>
            <w:bookmarkEnd w:id="238"/>
            <w:bookmarkEnd w:id="239"/>
            <w:bookmarkEnd w:id="240"/>
          </w:p>
          <w:p w14:paraId="4D3EF26C">
            <w:pPr>
              <w:pStyle w:val="35"/>
              <w:numPr>
                <w:ilvl w:val="0"/>
                <w:numId w:val="0"/>
              </w:numPr>
              <w:adjustRightInd w:val="0"/>
              <w:snapToGrid w:val="0"/>
              <w:spacing w:before="0" w:beforeLines="0" w:after="0" w:afterLines="0" w:line="360" w:lineRule="auto"/>
              <w:jc w:val="both"/>
              <w:rPr>
                <w:rFonts w:ascii="仿宋_GB2312" w:hAnsi="宋体" w:eastAsia="仿宋_GB2312" w:cs="Times New Roman"/>
                <w:sz w:val="24"/>
                <w:szCs w:val="24"/>
              </w:rPr>
            </w:pPr>
            <w:bookmarkStart w:id="241" w:name="_Toc166746010"/>
            <w:bookmarkStart w:id="242" w:name="_Toc167350344"/>
            <w:bookmarkStart w:id="243" w:name="_Toc167350674"/>
            <w:bookmarkStart w:id="244" w:name="_Toc166576574"/>
            <w:bookmarkStart w:id="245" w:name="_Toc166752569"/>
            <w:bookmarkStart w:id="246" w:name="_Toc167455837"/>
            <w:bookmarkStart w:id="247" w:name="_Toc166658489"/>
            <w:bookmarkStart w:id="248" w:name="_Toc166509512"/>
            <w:r>
              <w:rPr>
                <w:rFonts w:hint="eastAsia" w:ascii="仿宋_GB2312" w:hAnsi="宋体" w:eastAsia="仿宋_GB2312" w:cs="Times New Roman"/>
                <w:sz w:val="24"/>
                <w:szCs w:val="24"/>
              </w:rPr>
              <w:t>适时向专业标准化技术委员会和标准归口管理单位反馈情况，提出标准推广、修改、补充、完善或者废止等意见建议。</w:t>
            </w:r>
            <w:bookmarkEnd w:id="241"/>
            <w:bookmarkEnd w:id="242"/>
            <w:bookmarkEnd w:id="243"/>
            <w:bookmarkEnd w:id="244"/>
            <w:bookmarkEnd w:id="245"/>
            <w:bookmarkEnd w:id="246"/>
            <w:bookmarkEnd w:id="247"/>
            <w:bookmarkEnd w:id="248"/>
          </w:p>
          <w:p w14:paraId="62D5CB20">
            <w:pPr>
              <w:pStyle w:val="8"/>
              <w:widowControl w:val="0"/>
              <w:adjustRightInd w:val="0"/>
              <w:snapToGrid w:val="0"/>
              <w:spacing w:before="0" w:beforeAutospacing="0" w:after="0" w:afterAutospacing="0" w:line="360" w:lineRule="auto"/>
              <w:ind w:firstLine="480" w:firstLineChars="200"/>
              <w:jc w:val="both"/>
              <w:rPr>
                <w:rFonts w:ascii="方正仿宋_GBK" w:eastAsia="方正仿宋_GBK"/>
                <w:color w:val="000000"/>
                <w:sz w:val="28"/>
                <w:szCs w:val="28"/>
              </w:rPr>
            </w:pPr>
            <w:r>
              <w:rPr>
                <w:rFonts w:hint="eastAsia" w:ascii="仿宋_GB2312" w:eastAsia="仿宋_GB2312"/>
              </w:rPr>
              <w:t>及时填写标准实施信息及意见反馈表。</w:t>
            </w:r>
          </w:p>
        </w:tc>
      </w:tr>
      <w:tr w14:paraId="04EF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1" w:hRule="atLeast"/>
          <w:jc w:val="center"/>
        </w:trPr>
        <w:tc>
          <w:tcPr>
            <w:tcW w:w="5000" w:type="pct"/>
            <w:gridSpan w:val="4"/>
            <w:noWrap w:val="0"/>
            <w:vAlign w:val="top"/>
          </w:tcPr>
          <w:p w14:paraId="00E7757D">
            <w:pPr>
              <w:pStyle w:val="8"/>
              <w:widowControl w:val="0"/>
              <w:spacing w:before="0" w:beforeAutospacing="0" w:after="0" w:afterAutospacing="0" w:line="360" w:lineRule="exact"/>
              <w:jc w:val="both"/>
              <w:rPr>
                <w:rFonts w:hint="eastAsia" w:ascii="方正仿宋_GBK" w:hAnsi="仿宋_GB2312" w:eastAsia="方正仿宋_GBK" w:cs="仿宋_GB2312"/>
                <w:kern w:val="2"/>
                <w:sz w:val="28"/>
                <w:szCs w:val="32"/>
              </w:rPr>
            </w:pPr>
            <w:r>
              <w:rPr>
                <w:rFonts w:hint="eastAsia" w:ascii="方正仿宋_GBK" w:hAnsi="仿宋_GB2312" w:eastAsia="方正仿宋_GBK" w:cs="仿宋_GB2312"/>
                <w:kern w:val="2"/>
                <w:sz w:val="28"/>
                <w:szCs w:val="32"/>
              </w:rPr>
              <w:t>6.专家组：</w:t>
            </w:r>
          </w:p>
          <w:p w14:paraId="3C67BD6D">
            <w:pPr>
              <w:spacing w:line="360" w:lineRule="exact"/>
              <w:rPr>
                <w:rFonts w:hint="eastAsia" w:ascii="方正仿宋_GBK" w:hAnsi="宋体" w:eastAsia="方正仿宋_GBK" w:cs="Times New Roman"/>
                <w:i/>
                <w:iCs/>
                <w:color w:val="000000"/>
                <w:sz w:val="28"/>
                <w:szCs w:val="32"/>
              </w:rPr>
            </w:pPr>
            <w:r>
              <w:rPr>
                <w:rFonts w:hint="eastAsia" w:ascii="方正仿宋_GBK" w:hAnsi="仿宋_GB2312" w:eastAsia="方正仿宋_GBK" w:cs="仿宋_GB2312"/>
                <w:i/>
                <w:iCs/>
                <w:sz w:val="28"/>
                <w:szCs w:val="32"/>
              </w:rPr>
              <w:t>（</w:t>
            </w:r>
            <w:r>
              <w:rPr>
                <w:rFonts w:hint="eastAsia" w:ascii="方正仿宋_GBK" w:hAnsi="宋体" w:eastAsia="方正仿宋_GBK" w:cs="Times New Roman"/>
                <w:i/>
                <w:iCs/>
                <w:color w:val="000000"/>
                <w:sz w:val="28"/>
                <w:szCs w:val="32"/>
              </w:rPr>
              <w:t>标准主要编制研制人员、职责分工等情况，包括姓名、单位、职称职务、专业、联系方式等）</w:t>
            </w:r>
          </w:p>
          <w:p w14:paraId="0B4AB467">
            <w:pPr>
              <w:pStyle w:val="8"/>
              <w:widowControl w:val="0"/>
              <w:spacing w:before="0" w:beforeAutospacing="0" w:after="0" w:afterAutospacing="0" w:line="360" w:lineRule="exact"/>
              <w:jc w:val="both"/>
              <w:rPr>
                <w:rFonts w:ascii="方正仿宋_GBK" w:hAnsi="仿宋_GB2312" w:eastAsia="方正仿宋_GBK" w:cs="仿宋_GB2312"/>
                <w:sz w:val="28"/>
                <w:szCs w:val="32"/>
              </w:rPr>
            </w:pPr>
          </w:p>
          <w:p w14:paraId="5B800FD5">
            <w:pPr>
              <w:pStyle w:val="8"/>
              <w:widowControl w:val="0"/>
              <w:spacing w:before="0" w:beforeAutospacing="0" w:after="0" w:afterAutospacing="0" w:line="360" w:lineRule="exact"/>
              <w:jc w:val="both"/>
              <w:rPr>
                <w:rFonts w:ascii="方正仿宋_GBK" w:hAnsi="仿宋_GB2312" w:eastAsia="方正仿宋_GBK" w:cs="仿宋_GB2312"/>
                <w:sz w:val="28"/>
                <w:szCs w:val="32"/>
              </w:rPr>
            </w:pPr>
          </w:p>
          <w:p w14:paraId="18F68043">
            <w:pPr>
              <w:pStyle w:val="8"/>
              <w:widowControl w:val="0"/>
              <w:spacing w:before="0" w:beforeAutospacing="0" w:after="0" w:afterAutospacing="0" w:line="360" w:lineRule="exact"/>
              <w:jc w:val="both"/>
              <w:rPr>
                <w:rFonts w:ascii="方正仿宋_GBK" w:hAnsi="仿宋_GB2312" w:eastAsia="方正仿宋_GBK" w:cs="仿宋_GB2312"/>
                <w:sz w:val="28"/>
                <w:szCs w:val="32"/>
              </w:rPr>
            </w:pPr>
          </w:p>
          <w:p w14:paraId="076F8178">
            <w:pPr>
              <w:pStyle w:val="8"/>
              <w:widowControl w:val="0"/>
              <w:spacing w:before="0" w:beforeAutospacing="0" w:after="0" w:afterAutospacing="0" w:line="360" w:lineRule="exact"/>
              <w:jc w:val="both"/>
              <w:rPr>
                <w:rFonts w:ascii="方正仿宋_GBK" w:hAnsi="仿宋_GB2312" w:eastAsia="方正仿宋_GBK" w:cs="仿宋_GB2312"/>
                <w:sz w:val="28"/>
                <w:szCs w:val="32"/>
              </w:rPr>
            </w:pPr>
          </w:p>
        </w:tc>
      </w:tr>
    </w:tbl>
    <w:p w14:paraId="689C3244">
      <w:pPr>
        <w:adjustRightInd w:val="0"/>
        <w:snapToGrid w:val="0"/>
        <w:spacing w:line="400" w:lineRule="exact"/>
        <w:rPr>
          <w:rFonts w:hint="eastAsia" w:ascii="方正仿宋_GBK" w:hAnsi="Times New Roman" w:eastAsia="方正仿宋_GBK" w:cs="Times New Roman"/>
          <w:color w:val="000000"/>
          <w:sz w:val="28"/>
          <w:szCs w:val="28"/>
        </w:rPr>
      </w:pPr>
      <w:r>
        <w:rPr>
          <w:rFonts w:hint="eastAsia" w:ascii="方正仿宋_GBK" w:hAnsi="Times New Roman" w:eastAsia="方正仿宋_GBK" w:cs="Times New Roman"/>
          <w:b/>
          <w:color w:val="000000"/>
          <w:sz w:val="28"/>
          <w:szCs w:val="28"/>
        </w:rPr>
        <w:t>注：</w:t>
      </w:r>
      <w:r>
        <w:rPr>
          <w:rFonts w:hint="eastAsia" w:ascii="方正仿宋_GBK" w:hAnsi="Times New Roman" w:eastAsia="方正仿宋_GBK" w:cs="Times New Roman"/>
          <w:color w:val="000000"/>
          <w:sz w:val="28"/>
          <w:szCs w:val="28"/>
        </w:rPr>
        <w:t>此表可根据内容多少调整格式，填写时删除斜体的填写说明。</w:t>
      </w:r>
    </w:p>
    <w:p w14:paraId="379AFF9F">
      <w:pPr>
        <w:spacing w:line="360" w:lineRule="auto"/>
        <w:jc w:val="both"/>
        <w:rPr>
          <w:rFonts w:hint="eastAsia" w:ascii="Times New Roman" w:hAnsi="Times New Roman"/>
          <w:sz w:val="24"/>
          <w:highlight w:val="yellow"/>
        </w:rPr>
        <w:sectPr>
          <w:pgSz w:w="11906" w:h="16838"/>
          <w:pgMar w:top="1327" w:right="1800" w:bottom="1327" w:left="1800" w:header="851" w:footer="992" w:gutter="0"/>
          <w:cols w:space="720" w:num="1"/>
          <w:docGrid w:type="lines" w:linePitch="312" w:charSpace="0"/>
        </w:sectPr>
      </w:pPr>
    </w:p>
    <w:p w14:paraId="30849748">
      <w:pPr>
        <w:widowControl w:val="0"/>
        <w:jc w:val="both"/>
        <w:rPr>
          <w:rFonts w:ascii="Times New Roman" w:hAnsi="宋体" w:eastAsia="宋体" w:cs="宋体"/>
          <w:kern w:val="2"/>
          <w:sz w:val="20"/>
          <w:szCs w:val="21"/>
          <w:lang w:val="en-US" w:eastAsia="zh-CN" w:bidi="ar-SA"/>
        </w:rPr>
      </w:pPr>
      <w:r>
        <w:rPr>
          <w:sz w:val="21"/>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-297180</wp:posOffset>
                </wp:positionV>
                <wp:extent cx="774065" cy="488950"/>
                <wp:effectExtent l="0" t="0" r="0" b="0"/>
                <wp:wrapNone/>
                <wp:docPr id="62" name="文本框 27"/>
                <wp:cNvGraphicFramePr/>
                <a:graphic xmlns:a="http://schemas.openxmlformats.org/drawingml/2006/main">
                  <a:graphicData uri="http://schemas.microsoft.com/office/word/2010/wordprocessingShape">
                    <wps:wsp>
                      <wps:cNvSpPr txBox="1"/>
                      <wps:spPr>
                        <a:xfrm>
                          <a:off x="0" y="0"/>
                          <a:ext cx="774065" cy="488950"/>
                        </a:xfrm>
                        <a:prstGeom prst="rect">
                          <a:avLst/>
                        </a:prstGeom>
                        <a:noFill/>
                        <a:ln w="9525">
                          <a:noFill/>
                        </a:ln>
                      </wps:spPr>
                      <wps:txbx>
                        <w:txbxContent>
                          <w:p w14:paraId="34454C68">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6</w:t>
                            </w:r>
                          </w:p>
                          <w:p w14:paraId="5F3579D7"/>
                        </w:txbxContent>
                      </wps:txbx>
                      <wps:bodyPr vert="horz" anchor="t" anchorCtr="0" upright="1"/>
                    </wps:wsp>
                  </a:graphicData>
                </a:graphic>
              </wp:anchor>
            </w:drawing>
          </mc:Choice>
          <mc:Fallback>
            <w:pict>
              <v:shape id="文本框 27" o:spid="_x0000_s1026" o:spt="202" type="#_x0000_t202" style="position:absolute;left:0pt;margin-left:-9pt;margin-top:-23.4pt;height:38.5pt;width:60.95pt;z-index:251688960;mso-width-relative:page;mso-height-relative:page;" filled="f" stroked="f" coordsize="21600,21600" o:gfxdata="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hKIodcAAAAKAQAADwAAAAAAAAABACAAAAAiAAAAZHJz&#10;L2Rvd25yZXYueG1sUEsBAhQAFAAAAAgAh07iQMKt29XMAQAAfQMAAA4AAAAAAAAAAQAgAAAAJgEA&#10;AGRycy9lMm9Eb2MueG1sUEsFBgAAAAAGAAYAWQEAAGQFAAAAAA==&#10;">
                <v:fill on="f" focussize="0,0"/>
                <v:stroke on="f"/>
                <v:imagedata o:title=""/>
                <o:lock v:ext="edit" aspectratio="f"/>
                <v:textbox>
                  <w:txbxContent>
                    <w:p w14:paraId="34454C68">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6</w:t>
                      </w:r>
                    </w:p>
                    <w:p w14:paraId="5F3579D7"/>
                  </w:txbxContent>
                </v:textbox>
              </v:shape>
            </w:pict>
          </mc:Fallback>
        </mc:AlternateContent>
      </w:r>
      <w:r>
        <w:rPr>
          <w:rFonts w:ascii="Times New Roman" w:hAnsi="宋体" w:eastAsia="宋体" w:cs="宋体"/>
          <w:kern w:val="2"/>
          <w:sz w:val="20"/>
          <w:szCs w:val="21"/>
          <w:lang w:val="en-US" w:eastAsia="zh-CN" w:bidi="ar-SA"/>
        </w:rPr>
        <mc:AlternateContent>
          <mc:Choice Requires="wpg">
            <w:drawing>
              <wp:inline distT="0" distB="0" distL="114300" distR="114300">
                <wp:extent cx="5703570" cy="1007745"/>
                <wp:effectExtent l="0" t="0" r="11430" b="1905"/>
                <wp:docPr id="42" name="组合 42"/>
                <wp:cNvGraphicFramePr/>
                <a:graphic xmlns:a="http://schemas.openxmlformats.org/drawingml/2006/main">
                  <a:graphicData uri="http://schemas.microsoft.com/office/word/2010/wordprocessingGroup">
                    <wpg:wgp>
                      <wpg:cNvGrpSpPr/>
                      <wpg:grpSpPr>
                        <a:xfrm>
                          <a:off x="0" y="0"/>
                          <a:ext cx="5703570" cy="1007745"/>
                          <a:chOff x="0" y="0"/>
                          <a:chExt cx="8982" cy="1587"/>
                        </a:xfrm>
                      </wpg:grpSpPr>
                      <wps:wsp>
                        <wps:cNvPr id="43" name="矩形 3"/>
                        <wps:cNvSpPr/>
                        <wps:spPr>
                          <a:xfrm>
                            <a:off x="0" y="0"/>
                            <a:ext cx="4448" cy="1349"/>
                          </a:xfrm>
                          <a:prstGeom prst="rect">
                            <a:avLst/>
                          </a:prstGeom>
                          <a:solidFill>
                            <a:srgbClr val="FFFFFF"/>
                          </a:solidFill>
                          <a:ln>
                            <a:noFill/>
                          </a:ln>
                        </wps:spPr>
                        <wps:bodyPr upright="1"/>
                      </wps:wsp>
                      <wps:wsp>
                        <wps:cNvPr id="44" name="矩形 4"/>
                        <wps:cNvSpPr/>
                        <wps:spPr>
                          <a:xfrm>
                            <a:off x="4051" y="170"/>
                            <a:ext cx="4911" cy="312"/>
                          </a:xfrm>
                          <a:prstGeom prst="rect">
                            <a:avLst/>
                          </a:prstGeom>
                          <a:solidFill>
                            <a:srgbClr val="FFFFFF"/>
                          </a:solidFill>
                          <a:ln>
                            <a:noFill/>
                          </a:ln>
                        </wps:spPr>
                        <wps:bodyPr upright="1"/>
                      </wps:wsp>
                      <wps:wsp>
                        <wps:cNvPr id="45" name="矩形 5"/>
                        <wps:cNvSpPr/>
                        <wps:spPr>
                          <a:xfrm>
                            <a:off x="4052" y="481"/>
                            <a:ext cx="4910" cy="1079"/>
                          </a:xfrm>
                          <a:prstGeom prst="rect">
                            <a:avLst/>
                          </a:prstGeom>
                          <a:solidFill>
                            <a:srgbClr val="FFFFFF"/>
                          </a:solidFill>
                          <a:ln>
                            <a:noFill/>
                          </a:ln>
                        </wps:spPr>
                        <wps:bodyPr upright="1"/>
                      </wps:wsp>
                      <wps:wsp>
                        <wps:cNvPr id="46" name="文本框 6"/>
                        <wps:cNvSpPr txBox="1"/>
                        <wps:spPr>
                          <a:xfrm>
                            <a:off x="0" y="51"/>
                            <a:ext cx="1071" cy="521"/>
                          </a:xfrm>
                          <a:prstGeom prst="rect">
                            <a:avLst/>
                          </a:prstGeom>
                          <a:noFill/>
                          <a:ln>
                            <a:noFill/>
                          </a:ln>
                        </wps:spPr>
                        <wps:txbx>
                          <w:txbxContent>
                            <w:p w14:paraId="17E870DB">
                              <w:pPr>
                                <w:keepNext w:val="0"/>
                                <w:keepLines w:val="0"/>
                                <w:pageBreakBefore w:val="0"/>
                                <w:widowControl w:val="0"/>
                                <w:kinsoku/>
                                <w:overflowPunct/>
                                <w:topLinePunct w:val="0"/>
                                <w:autoSpaceDE w:val="0"/>
                                <w:autoSpaceDN w:val="0"/>
                                <w:bidi w:val="0"/>
                                <w:adjustRightInd w:val="0"/>
                                <w:snapToGrid w:val="0"/>
                                <w:jc w:val="both"/>
                                <w:rPr>
                                  <w:rFonts w:ascii="黑体" w:hAnsi="宋体" w:eastAsia="宋体" w:cs="宋体"/>
                                  <w:kern w:val="2"/>
                                  <w:sz w:val="21"/>
                                  <w:szCs w:val="21"/>
                                  <w:lang w:val="en-US" w:eastAsia="zh-CN" w:bidi="ar-SA"/>
                                </w:rPr>
                              </w:pPr>
                              <w:r>
                                <w:rPr>
                                  <w:rFonts w:ascii="黑体" w:hAnsi="宋体" w:eastAsia="宋体" w:cs="宋体"/>
                                  <w:kern w:val="2"/>
                                  <w:sz w:val="21"/>
                                  <w:szCs w:val="21"/>
                                  <w:lang w:val="en-US" w:eastAsia="zh-CN" w:bidi="ar-SA"/>
                                </w:rPr>
                                <w:t>ICS 13.080</w:t>
                              </w:r>
                            </w:p>
                            <w:p w14:paraId="54599869">
                              <w:pPr>
                                <w:keepNext w:val="0"/>
                                <w:keepLines w:val="0"/>
                                <w:pageBreakBefore w:val="0"/>
                                <w:widowControl w:val="0"/>
                                <w:kinsoku/>
                                <w:overflowPunct/>
                                <w:topLinePunct w:val="0"/>
                                <w:autoSpaceDE w:val="0"/>
                                <w:autoSpaceDN w:val="0"/>
                                <w:bidi w:val="0"/>
                                <w:adjustRightInd w:val="0"/>
                                <w:snapToGrid w:val="0"/>
                                <w:jc w:val="both"/>
                                <w:rPr>
                                  <w:rFonts w:ascii="黑体" w:hAnsi="宋体" w:eastAsia="宋体" w:cs="宋体"/>
                                  <w:kern w:val="2"/>
                                  <w:sz w:val="21"/>
                                  <w:szCs w:val="21"/>
                                  <w:lang w:val="en-US" w:eastAsia="zh-CN" w:bidi="ar-SA"/>
                                </w:rPr>
                              </w:pPr>
                              <w:r>
                                <w:rPr>
                                  <w:rFonts w:ascii="黑体" w:hAnsi="宋体" w:eastAsia="宋体" w:cs="宋体"/>
                                  <w:kern w:val="2"/>
                                  <w:sz w:val="21"/>
                                  <w:szCs w:val="21"/>
                                  <w:lang w:val="en-US" w:eastAsia="zh-CN" w:bidi="ar-SA"/>
                                </w:rPr>
                                <w:t>CCS Z 10</w:t>
                              </w:r>
                            </w:p>
                            <w:p w14:paraId="381D41DF">
                              <w:pPr>
                                <w:spacing w:before="43" w:line="239" w:lineRule="exact"/>
                                <w:rPr>
                                  <w:rFonts w:ascii="黑体" w:eastAsia="宋体" w:cs="Times New Roman"/>
                                  <w:sz w:val="21"/>
                                </w:rPr>
                              </w:pPr>
                            </w:p>
                          </w:txbxContent>
                        </wps:txbx>
                        <wps:bodyPr lIns="0" tIns="0" rIns="0" bIns="0" upright="1"/>
                      </wps:wsp>
                      <wps:wsp>
                        <wps:cNvPr id="47" name="文本框 7"/>
                        <wps:cNvSpPr txBox="1"/>
                        <wps:spPr>
                          <a:xfrm>
                            <a:off x="4732" y="523"/>
                            <a:ext cx="4249" cy="1064"/>
                          </a:xfrm>
                          <a:prstGeom prst="rect">
                            <a:avLst/>
                          </a:prstGeom>
                          <a:noFill/>
                          <a:ln>
                            <a:noFill/>
                          </a:ln>
                        </wps:spPr>
                        <wps:txbx>
                          <w:txbxContent>
                            <w:p w14:paraId="35BFCF07">
                              <w:pPr>
                                <w:spacing w:line="1063" w:lineRule="exact"/>
                                <w:rPr>
                                  <w:rFonts w:ascii="Times New Roman" w:eastAsia="宋体" w:cs="Times New Roman"/>
                                  <w:b/>
                                  <w:sz w:val="96"/>
                                </w:rPr>
                              </w:pPr>
                              <w:r>
                                <w:rPr>
                                  <w:rFonts w:ascii="Times New Roman" w:eastAsia="宋体" w:cs="Times New Roman"/>
                                  <w:b/>
                                  <w:w w:val="130"/>
                                  <w:sz w:val="96"/>
                                </w:rPr>
                                <w:t>DB42</w:t>
                              </w:r>
                              <w:r>
                                <w:rPr>
                                  <w:rFonts w:hint="eastAsia" w:ascii="Times New Roman" w:eastAsia="宋体" w:cs="Times New Roman"/>
                                  <w:sz w:val="96"/>
                                  <w:lang w:eastAsia="zh-CN"/>
                                </w:rPr>
                                <w:t xml:space="preserve"> xx</w:t>
                              </w:r>
                              <w:r>
                                <w:rPr>
                                  <w:rFonts w:ascii="Times New Roman" w:eastAsia="宋体" w:cs="Times New Roman"/>
                                  <w:b/>
                                  <w:w w:val="130"/>
                                  <w:sz w:val="96"/>
                                </w:rPr>
                                <w:t xml:space="preserve"> X</w:t>
                              </w:r>
                            </w:p>
                          </w:txbxContent>
                        </wps:txbx>
                        <wps:bodyPr lIns="0" tIns="0" rIns="0" bIns="0" upright="1"/>
                      </wps:wsp>
                    </wpg:wgp>
                  </a:graphicData>
                </a:graphic>
              </wp:inline>
            </w:drawing>
          </mc:Choice>
          <mc:Fallback>
            <w:pict>
              <v:group id="_x0000_s1026" o:spid="_x0000_s1026" o:spt="203" style="height:79.35pt;width:449.1pt;" coordsize="8982,1587" o:gfxdata="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A/74vHWAAAABQEAAA8AAAAAAAAAAQAgAAAAIgAAAGRycy9kb3du&#10;cmV2LnhtbFBLAQIUABQAAAAIAIdO4kDeV+3b5QIAALAKAAAOAAAAAAAAAAEAIAAAACUBAABkcnMv&#10;ZTJvRG9jLnhtbFBLBQYAAAAABgAGAFkBAAB8BgAAAAA=&#10;">
                <o:lock v:ext="edit" aspectratio="f"/>
                <v:rect id="矩形 3" o:spid="_x0000_s1026" o:spt="1" style="position:absolute;left:0;top:0;height:1349;width:4448;" fillcolor="#FFFFFF" filled="t" stroked="f" coordsize="21600,21600" o:gfxdata="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p5Q7sAAADb&#10;AAAADwAAAAAAAAABACAAAAAiAAAAZHJzL2Rvd25yZXYueG1sUEsBAhQAFAAAAAgAh07iQDMvBZ47&#10;AAAAOQAAABAAAAAAAAAAAQAgAAAACgEAAGRycy9zaGFwZXhtbC54bWxQSwUGAAAAAAYABgBbAQAA&#10;tAMAAAAA&#10;">
                  <v:fill on="t" focussize="0,0"/>
                  <v:stroke on="f"/>
                  <v:imagedata o:title=""/>
                  <o:lock v:ext="edit" aspectratio="f"/>
                </v:rect>
                <v:rect id="矩形 4" o:spid="_x0000_s1026" o:spt="1" style="position:absolute;left:4051;top:170;height:312;width:4911;" fillcolor="#FFFFFF" filled="t" stroked="f" coordsize="21600,21600" o:gfxdata="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T4Te8AAAA&#10;2wAAAA8AAAAAAAAAAQAgAAAAIgAAAGRycy9kb3ducmV2LnhtbFBLAQIUABQAAAAIAIdO4kAzLwWe&#10;OwAAADkAAAAQAAAAAAAAAAEAIAAAAAsBAABkcnMvc2hhcGV4bWwueG1sUEsFBgAAAAAGAAYAWwEA&#10;ALUDAAAAAA==&#10;">
                  <v:fill on="t" focussize="0,0"/>
                  <v:stroke on="f"/>
                  <v:imagedata o:title=""/>
                  <o:lock v:ext="edit" aspectratio="f"/>
                </v:rect>
                <v:rect id="矩形 5" o:spid="_x0000_s1026" o:spt="1" style="position:absolute;left:4052;top:481;height:1079;width:4910;" fillcolor="#FFFFFF" filled="t" stroked="f" coordsize="21600,21600" o:gfxdata="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0SsvQAA&#10;ANsAAAAPAAAAAAAAAAEAIAAAACIAAABkcnMvZG93bnJldi54bWxQSwECFAAUAAAACACHTuJAMy8F&#10;njsAAAA5AAAAEAAAAAAAAAABACAAAAAMAQAAZHJzL3NoYXBleG1sLnhtbFBLBQYAAAAABgAGAFsB&#10;AAC2AwAAAAA=&#10;">
                  <v:fill on="t" focussize="0,0"/>
                  <v:stroke on="f"/>
                  <v:imagedata o:title=""/>
                  <o:lock v:ext="edit" aspectratio="f"/>
                </v:rect>
                <v:shape id="文本框 6" o:spid="_x0000_s1026" o:spt="202" type="#_x0000_t202" style="position:absolute;left:0;top:51;height:521;width:1071;"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E870DB">
                        <w:pPr>
                          <w:keepNext w:val="0"/>
                          <w:keepLines w:val="0"/>
                          <w:pageBreakBefore w:val="0"/>
                          <w:widowControl w:val="0"/>
                          <w:kinsoku/>
                          <w:overflowPunct/>
                          <w:topLinePunct w:val="0"/>
                          <w:autoSpaceDE w:val="0"/>
                          <w:autoSpaceDN w:val="0"/>
                          <w:bidi w:val="0"/>
                          <w:adjustRightInd w:val="0"/>
                          <w:snapToGrid w:val="0"/>
                          <w:jc w:val="both"/>
                          <w:rPr>
                            <w:rFonts w:ascii="黑体" w:hAnsi="宋体" w:eastAsia="宋体" w:cs="宋体"/>
                            <w:kern w:val="2"/>
                            <w:sz w:val="21"/>
                            <w:szCs w:val="21"/>
                            <w:lang w:val="en-US" w:eastAsia="zh-CN" w:bidi="ar-SA"/>
                          </w:rPr>
                        </w:pPr>
                        <w:r>
                          <w:rPr>
                            <w:rFonts w:ascii="黑体" w:hAnsi="宋体" w:eastAsia="宋体" w:cs="宋体"/>
                            <w:kern w:val="2"/>
                            <w:sz w:val="21"/>
                            <w:szCs w:val="21"/>
                            <w:lang w:val="en-US" w:eastAsia="zh-CN" w:bidi="ar-SA"/>
                          </w:rPr>
                          <w:t>ICS 13.080</w:t>
                        </w:r>
                      </w:p>
                      <w:p w14:paraId="54599869">
                        <w:pPr>
                          <w:keepNext w:val="0"/>
                          <w:keepLines w:val="0"/>
                          <w:pageBreakBefore w:val="0"/>
                          <w:widowControl w:val="0"/>
                          <w:kinsoku/>
                          <w:overflowPunct/>
                          <w:topLinePunct w:val="0"/>
                          <w:autoSpaceDE w:val="0"/>
                          <w:autoSpaceDN w:val="0"/>
                          <w:bidi w:val="0"/>
                          <w:adjustRightInd w:val="0"/>
                          <w:snapToGrid w:val="0"/>
                          <w:jc w:val="both"/>
                          <w:rPr>
                            <w:rFonts w:ascii="黑体" w:hAnsi="宋体" w:eastAsia="宋体" w:cs="宋体"/>
                            <w:kern w:val="2"/>
                            <w:sz w:val="21"/>
                            <w:szCs w:val="21"/>
                            <w:lang w:val="en-US" w:eastAsia="zh-CN" w:bidi="ar-SA"/>
                          </w:rPr>
                        </w:pPr>
                        <w:r>
                          <w:rPr>
                            <w:rFonts w:ascii="黑体" w:hAnsi="宋体" w:eastAsia="宋体" w:cs="宋体"/>
                            <w:kern w:val="2"/>
                            <w:sz w:val="21"/>
                            <w:szCs w:val="21"/>
                            <w:lang w:val="en-US" w:eastAsia="zh-CN" w:bidi="ar-SA"/>
                          </w:rPr>
                          <w:t>CCS Z 10</w:t>
                        </w:r>
                      </w:p>
                      <w:p w14:paraId="381D41DF">
                        <w:pPr>
                          <w:spacing w:before="43" w:line="239" w:lineRule="exact"/>
                          <w:rPr>
                            <w:rFonts w:ascii="黑体" w:eastAsia="宋体" w:cs="Times New Roman"/>
                            <w:sz w:val="21"/>
                          </w:rPr>
                        </w:pPr>
                      </w:p>
                    </w:txbxContent>
                  </v:textbox>
                </v:shape>
                <v:shape id="文本框 7" o:spid="_x0000_s1026" o:spt="202" type="#_x0000_t202" style="position:absolute;left:4732;top:523;height:1064;width:4249;"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BFCF07">
                        <w:pPr>
                          <w:spacing w:line="1063" w:lineRule="exact"/>
                          <w:rPr>
                            <w:rFonts w:ascii="Times New Roman" w:eastAsia="宋体" w:cs="Times New Roman"/>
                            <w:b/>
                            <w:sz w:val="96"/>
                          </w:rPr>
                        </w:pPr>
                        <w:r>
                          <w:rPr>
                            <w:rFonts w:ascii="Times New Roman" w:eastAsia="宋体" w:cs="Times New Roman"/>
                            <w:b/>
                            <w:w w:val="130"/>
                            <w:sz w:val="96"/>
                          </w:rPr>
                          <w:t>DB42</w:t>
                        </w:r>
                        <w:r>
                          <w:rPr>
                            <w:rFonts w:hint="eastAsia" w:ascii="Times New Roman" w:eastAsia="宋体" w:cs="Times New Roman"/>
                            <w:sz w:val="96"/>
                            <w:lang w:eastAsia="zh-CN"/>
                          </w:rPr>
                          <w:t xml:space="preserve"> xx</w:t>
                        </w:r>
                        <w:r>
                          <w:rPr>
                            <w:rFonts w:ascii="Times New Roman" w:eastAsia="宋体" w:cs="Times New Roman"/>
                            <w:b/>
                            <w:w w:val="130"/>
                            <w:sz w:val="96"/>
                          </w:rPr>
                          <w:t xml:space="preserve"> X</w:t>
                        </w:r>
                      </w:p>
                    </w:txbxContent>
                  </v:textbox>
                </v:shape>
                <w10:wrap type="none"/>
                <w10:anchorlock/>
              </v:group>
            </w:pict>
          </mc:Fallback>
        </mc:AlternateContent>
      </w:r>
    </w:p>
    <w:p w14:paraId="7E1244D4">
      <w:pPr>
        <w:widowControl w:val="0"/>
        <w:spacing w:before="2"/>
        <w:jc w:val="both"/>
        <w:rPr>
          <w:rFonts w:ascii="Times New Roman" w:hAnsi="宋体" w:eastAsia="宋体" w:cs="宋体"/>
          <w:kern w:val="2"/>
          <w:sz w:val="18"/>
          <w:szCs w:val="21"/>
          <w:lang w:val="en-US" w:eastAsia="zh-CN" w:bidi="ar-SA"/>
        </w:rPr>
      </w:pPr>
    </w:p>
    <w:p w14:paraId="607F327C">
      <w:pPr>
        <w:keepNext w:val="0"/>
        <w:keepLines w:val="0"/>
        <w:pageBreakBefore w:val="0"/>
        <w:widowControl w:val="0"/>
        <w:tabs>
          <w:tab w:val="left" w:pos="2020"/>
          <w:tab w:val="left" w:pos="3527"/>
          <w:tab w:val="left" w:pos="5032"/>
          <w:tab w:val="left" w:pos="6539"/>
          <w:tab w:val="left" w:pos="8044"/>
          <w:tab w:val="left" w:pos="9551"/>
        </w:tabs>
        <w:kinsoku/>
        <w:wordWrap/>
        <w:overflowPunct/>
        <w:topLinePunct w:val="0"/>
        <w:autoSpaceDE/>
        <w:autoSpaceDN/>
        <w:bidi w:val="0"/>
        <w:adjustRightInd/>
        <w:snapToGrid/>
        <w:spacing w:before="28"/>
        <w:ind w:left="0"/>
        <w:jc w:val="distribute"/>
        <w:textAlignment w:val="auto"/>
        <w:rPr>
          <w:rFonts w:ascii="黑体" w:eastAsia="黑体" w:cs="Times New Roman"/>
          <w:sz w:val="52"/>
          <w:lang w:eastAsia="zh-CN"/>
        </w:rPr>
      </w:pPr>
      <w:r>
        <w:rPr>
          <w:rFonts w:eastAsia="宋体" w:cs="Times New Roman"/>
        </w:rPr>
        <mc:AlternateContent>
          <mc:Choice Requires="wps">
            <w:drawing>
              <wp:anchor distT="0" distB="0" distL="114300" distR="114300" simplePos="0" relativeHeight="251679744" behindDoc="1" locked="0" layoutInCell="1" allowOverlap="1">
                <wp:simplePos x="0" y="0"/>
                <wp:positionH relativeFrom="page">
                  <wp:posOffset>899160</wp:posOffset>
                </wp:positionH>
                <wp:positionV relativeFrom="paragraph">
                  <wp:posOffset>-1113155</wp:posOffset>
                </wp:positionV>
                <wp:extent cx="56515" cy="1403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6515" cy="140335"/>
                        </a:xfrm>
                        <a:prstGeom prst="rect">
                          <a:avLst/>
                        </a:prstGeom>
                        <a:noFill/>
                        <a:ln>
                          <a:noFill/>
                        </a:ln>
                      </wps:spPr>
                      <wps:txbx>
                        <w:txbxContent>
                          <w:p w14:paraId="059E2F77">
                            <w:pPr>
                              <w:spacing w:line="220" w:lineRule="exact"/>
                              <w:rPr>
                                <w:rFonts w:ascii="Times New Roman" w:eastAsia="宋体" w:cs="Times New Roman"/>
                                <w:sz w:val="20"/>
                              </w:rPr>
                            </w:pPr>
                            <w:r>
                              <w:rPr>
                                <w:rFonts w:ascii="Times New Roman" w:eastAsia="宋体" w:cs="Times New Roman"/>
                                <w:w w:val="99"/>
                                <w:sz w:val="20"/>
                              </w:rPr>
                              <w:t>z</w:t>
                            </w:r>
                          </w:p>
                        </w:txbxContent>
                      </wps:txbx>
                      <wps:bodyPr lIns="0" tIns="0" rIns="0" bIns="0" upright="1"/>
                    </wps:wsp>
                  </a:graphicData>
                </a:graphic>
              </wp:anchor>
            </w:drawing>
          </mc:Choice>
          <mc:Fallback>
            <w:pict>
              <v:shape id="_x0000_s1026" o:spid="_x0000_s1026" o:spt="202" type="#_x0000_t202" style="position:absolute;left:0pt;margin-left:70.8pt;margin-top:-87.65pt;height:11.05pt;width:4.45pt;mso-position-horizontal-relative:page;z-index:-251636736;mso-width-relative:page;mso-height-relative:page;" filled="f" stroked="f" coordsize="21600,21600" o:gfxdata="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Ab7BnaAAAADQEAAA8AAAAAAAAAAQAgAAAAIgAAAGRycy9kb3ducmV2LnhtbFBL&#10;AQIUABQAAAAIAIdO4kAVuqk3uwEAAHIDAAAOAAAAAAAAAAEAIAAAACkBAABkcnMvZTJvRG9jLnht&#10;bFBLBQYAAAAABgAGAFkBAABWBQAAAAA=&#10;">
                <v:fill on="f" focussize="0,0"/>
                <v:stroke on="f"/>
                <v:imagedata o:title=""/>
                <o:lock v:ext="edit" aspectratio="f"/>
                <v:textbox inset="0mm,0mm,0mm,0mm">
                  <w:txbxContent>
                    <w:p w14:paraId="059E2F77">
                      <w:pPr>
                        <w:spacing w:line="220" w:lineRule="exact"/>
                        <w:rPr>
                          <w:rFonts w:ascii="Times New Roman" w:eastAsia="宋体" w:cs="Times New Roman"/>
                          <w:sz w:val="20"/>
                        </w:rPr>
                      </w:pPr>
                      <w:r>
                        <w:rPr>
                          <w:rFonts w:ascii="Times New Roman" w:eastAsia="宋体" w:cs="Times New Roman"/>
                          <w:w w:val="99"/>
                          <w:sz w:val="20"/>
                        </w:rPr>
                        <w:t>z</w:t>
                      </w:r>
                    </w:p>
                  </w:txbxContent>
                </v:textbox>
              </v:shape>
            </w:pict>
          </mc:Fallback>
        </mc:AlternateContent>
      </w:r>
      <w:r>
        <w:rPr>
          <w:rFonts w:hint="eastAsia" w:ascii="黑体" w:eastAsia="黑体" w:cs="Times New Roman"/>
          <w:sz w:val="52"/>
          <w:lang w:eastAsia="zh-CN"/>
        </w:rPr>
        <w:t>湖北省地方标准</w:t>
      </w:r>
    </w:p>
    <w:p w14:paraId="2445F8FE">
      <w:pPr>
        <w:widowControl w:val="0"/>
        <w:jc w:val="both"/>
        <w:rPr>
          <w:rFonts w:ascii="黑体" w:hAnsi="宋体" w:eastAsia="宋体" w:cs="宋体"/>
          <w:kern w:val="2"/>
          <w:sz w:val="20"/>
          <w:szCs w:val="21"/>
          <w:lang w:val="en-US" w:eastAsia="zh-CN" w:bidi="ar-SA"/>
        </w:rPr>
      </w:pPr>
    </w:p>
    <w:p w14:paraId="77FBA735">
      <w:pPr>
        <w:spacing w:before="220"/>
        <w:ind w:left="7166"/>
        <w:rPr>
          <w:rFonts w:ascii="黑体" w:hAnsi="黑体" w:eastAsia="宋体" w:cs="Times New Roman"/>
          <w:sz w:val="28"/>
          <w:lang w:eastAsia="zh-CN"/>
        </w:rPr>
      </w:pPr>
      <w:r>
        <w:rPr>
          <w:rFonts w:ascii="黑体" w:hAnsi="黑体" w:eastAsia="宋体" w:cs="Times New Roman"/>
          <w:sz w:val="28"/>
          <w:lang w:eastAsia="zh-CN"/>
        </w:rPr>
        <w:t>DB42xx/T—202x</w:t>
      </w:r>
    </w:p>
    <w:p w14:paraId="7D7D28AC">
      <w:pPr>
        <w:widowControl w:val="0"/>
        <w:spacing w:before="3"/>
        <w:jc w:val="both"/>
        <w:rPr>
          <w:rFonts w:ascii="黑体" w:hAnsi="宋体" w:eastAsia="宋体" w:cs="宋体"/>
          <w:kern w:val="2"/>
          <w:sz w:val="27"/>
          <w:szCs w:val="21"/>
          <w:lang w:val="en-US" w:eastAsia="zh-CN" w:bidi="ar-SA"/>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674624" behindDoc="0" locked="0" layoutInCell="1" allowOverlap="1">
                <wp:simplePos x="0" y="0"/>
                <wp:positionH relativeFrom="page">
                  <wp:posOffset>899795</wp:posOffset>
                </wp:positionH>
                <wp:positionV relativeFrom="paragraph">
                  <wp:posOffset>253365</wp:posOffset>
                </wp:positionV>
                <wp:extent cx="6121400" cy="0"/>
                <wp:effectExtent l="0" t="6350" r="0" b="6350"/>
                <wp:wrapTopAndBottom/>
                <wp:docPr id="49" name="直接连接符 49"/>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0.85pt;margin-top:19.95pt;height:0pt;width:482pt;mso-position-horizontal-relative:page;mso-wrap-distance-bottom:0pt;mso-wrap-distance-top:0pt;z-index:251674624;mso-width-relative:page;mso-height-relative:page;" filled="f" stroked="t" coordsize="21600,21600" o:gfxdata="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d70atgAAAAKAQAADwAAAAAAAAABACAAAAAiAAAAZHJzL2Rvd25yZXYueG1sUEsB&#10;AhQAFAAAAAgAh07iQJ3+k9L1AQAA5wMAAA4AAAAAAAAAAQAgAAAAJwEAAGRycy9lMm9Eb2MueG1s&#10;UEsFBgAAAAAGAAYAWQEAAI4FAAAAAA==&#10;">
                <v:fill on="f" focussize="0,0"/>
                <v:stroke weight="1pt" color="#000000" joinstyle="round"/>
                <v:imagedata o:title=""/>
                <o:lock v:ext="edit" aspectratio="f"/>
                <w10:wrap type="topAndBottom"/>
              </v:line>
            </w:pict>
          </mc:Fallback>
        </mc:AlternateContent>
      </w:r>
    </w:p>
    <w:p w14:paraId="710980CC">
      <w:pPr>
        <w:widowControl w:val="0"/>
        <w:jc w:val="both"/>
        <w:rPr>
          <w:rFonts w:ascii="黑体" w:hAnsi="宋体" w:eastAsia="宋体" w:cs="宋体"/>
          <w:kern w:val="2"/>
          <w:sz w:val="28"/>
          <w:szCs w:val="21"/>
          <w:lang w:val="en-US" w:eastAsia="zh-CN" w:bidi="ar-SA"/>
        </w:rPr>
      </w:pPr>
    </w:p>
    <w:p w14:paraId="67FFEC2B">
      <w:pPr>
        <w:widowControl w:val="0"/>
        <w:jc w:val="both"/>
        <w:rPr>
          <w:rFonts w:ascii="黑体" w:hAnsi="宋体" w:eastAsia="宋体" w:cs="宋体"/>
          <w:kern w:val="2"/>
          <w:sz w:val="28"/>
          <w:szCs w:val="21"/>
          <w:lang w:val="en-US" w:eastAsia="zh-CN" w:bidi="ar-SA"/>
        </w:rPr>
      </w:pPr>
    </w:p>
    <w:p w14:paraId="6E8B0F5F">
      <w:pPr>
        <w:widowControl w:val="0"/>
        <w:jc w:val="both"/>
        <w:rPr>
          <w:rFonts w:ascii="黑体" w:hAnsi="宋体" w:eastAsia="宋体" w:cs="宋体"/>
          <w:kern w:val="2"/>
          <w:sz w:val="28"/>
          <w:szCs w:val="21"/>
          <w:lang w:val="en-US" w:eastAsia="zh-CN" w:bidi="ar-SA"/>
        </w:rPr>
      </w:pPr>
    </w:p>
    <w:p w14:paraId="2B02D8FC">
      <w:pPr>
        <w:widowControl w:val="0"/>
        <w:jc w:val="both"/>
        <w:rPr>
          <w:rFonts w:ascii="黑体" w:hAnsi="宋体" w:eastAsia="宋体" w:cs="宋体"/>
          <w:kern w:val="2"/>
          <w:sz w:val="28"/>
          <w:szCs w:val="21"/>
          <w:lang w:val="en-US" w:eastAsia="zh-CN" w:bidi="ar-SA"/>
        </w:rPr>
      </w:pPr>
    </w:p>
    <w:p w14:paraId="0D332882">
      <w:pPr>
        <w:widowControl w:val="0"/>
        <w:jc w:val="both"/>
        <w:rPr>
          <w:rFonts w:ascii="黑体" w:hAnsi="宋体" w:eastAsia="宋体" w:cs="宋体"/>
          <w:kern w:val="2"/>
          <w:sz w:val="28"/>
          <w:szCs w:val="21"/>
          <w:lang w:val="en-US" w:eastAsia="zh-CN" w:bidi="ar-SA"/>
        </w:rPr>
      </w:pPr>
    </w:p>
    <w:p w14:paraId="40AF6BCF">
      <w:pPr>
        <w:widowControl w:val="0"/>
        <w:spacing w:before="9" w:line="240" w:lineRule="auto"/>
        <w:jc w:val="center"/>
        <w:rPr>
          <w:rFonts w:hint="eastAsia" w:ascii="黑体" w:hAnsi="宋体" w:eastAsia="黑体" w:cs="宋体"/>
          <w:kern w:val="0"/>
          <w:sz w:val="52"/>
          <w:szCs w:val="22"/>
          <w:lang w:val="en-US" w:eastAsia="zh-CN" w:bidi="ar-SA"/>
        </w:rPr>
      </w:pPr>
      <w:r>
        <w:rPr>
          <w:rFonts w:hint="eastAsia" w:ascii="黑体" w:hAnsi="宋体" w:eastAsia="黑体" w:cs="宋体"/>
          <w:kern w:val="0"/>
          <w:sz w:val="52"/>
          <w:szCs w:val="22"/>
          <w:lang w:val="en-US" w:eastAsia="zh-CN" w:bidi="ar-SA"/>
        </w:rPr>
        <w:t xml:space="preserve">建设用地土壤污染风险管控和修复 </w:t>
      </w:r>
    </w:p>
    <w:p w14:paraId="047B1E9E">
      <w:pPr>
        <w:widowControl w:val="0"/>
        <w:spacing w:before="9" w:line="240" w:lineRule="auto"/>
        <w:ind w:left="613" w:right="210"/>
        <w:jc w:val="center"/>
        <w:rPr>
          <w:rFonts w:hint="eastAsia" w:ascii="黑体" w:hAnsi="宋体" w:eastAsia="黑体" w:cs="宋体"/>
          <w:kern w:val="0"/>
          <w:sz w:val="52"/>
          <w:szCs w:val="22"/>
          <w:lang w:val="en-US" w:eastAsia="zh-CN" w:bidi="ar-SA"/>
        </w:rPr>
      </w:pPr>
      <w:r>
        <w:rPr>
          <w:rFonts w:hint="eastAsia" w:ascii="黑体" w:hAnsi="宋体" w:eastAsia="黑体" w:cs="宋体"/>
          <w:kern w:val="0"/>
          <w:sz w:val="52"/>
          <w:szCs w:val="22"/>
          <w:lang w:val="en-US" w:eastAsia="zh-CN" w:bidi="ar-SA"/>
        </w:rPr>
        <w:t>第3部分：</w:t>
      </w:r>
      <w:bookmarkStart w:id="249" w:name="OLE_LINK1"/>
      <w:r>
        <w:rPr>
          <w:rFonts w:hint="eastAsia" w:ascii="黑体" w:hAnsi="宋体" w:eastAsia="黑体" w:cs="宋体"/>
          <w:kern w:val="0"/>
          <w:sz w:val="52"/>
          <w:szCs w:val="22"/>
          <w:lang w:val="en-US" w:eastAsia="zh-CN" w:bidi="ar-SA"/>
        </w:rPr>
        <w:t>建设用地土壤挥发性有机物监测质量保证与质量控制技术规范</w:t>
      </w:r>
    </w:p>
    <w:p w14:paraId="55822F4D">
      <w:pPr>
        <w:autoSpaceDE w:val="0"/>
        <w:autoSpaceDN w:val="0"/>
        <w:spacing w:before="1" w:line="417" w:lineRule="auto"/>
        <w:ind w:left="613" w:right="210"/>
        <w:jc w:val="center"/>
        <w:rPr>
          <w:rFonts w:hint="eastAsia" w:ascii="黑体" w:hAnsi="宋体" w:eastAsia="黑体" w:cs="宋体"/>
          <w:kern w:val="0"/>
          <w:sz w:val="28"/>
          <w:szCs w:val="22"/>
          <w:lang w:val="en-US" w:eastAsia="zh-CN"/>
        </w:rPr>
      </w:pPr>
      <w:r>
        <w:rPr>
          <w:rFonts w:hint="eastAsia" w:ascii="黑体" w:hAnsi="宋体" w:eastAsia="黑体" w:cs="宋体"/>
          <w:kern w:val="0"/>
          <w:sz w:val="28"/>
          <w:szCs w:val="22"/>
          <w:lang w:val="en-US" w:eastAsia="zh-CN"/>
        </w:rPr>
        <w:t>Technical specification for monitoring quality assurance and quality control of soil volatile organic compounds in construction land</w:t>
      </w:r>
    </w:p>
    <w:bookmarkEnd w:id="249"/>
    <w:p w14:paraId="390476AF">
      <w:pPr>
        <w:keepNext w:val="0"/>
        <w:keepLines w:val="0"/>
        <w:pageBreakBefore w:val="0"/>
        <w:widowControl w:val="0"/>
        <w:kinsoku/>
        <w:overflowPunct/>
        <w:topLinePunct w:val="0"/>
        <w:autoSpaceDE w:val="0"/>
        <w:autoSpaceDN w:val="0"/>
        <w:bidi w:val="0"/>
        <w:adjustRightInd w:val="0"/>
        <w:snapToGrid w:val="0"/>
        <w:jc w:val="center"/>
        <w:rPr>
          <w:rFonts w:hint="eastAsia" w:ascii="黑体" w:hAnsi="宋体" w:eastAsia="宋体" w:cs="宋体"/>
          <w:b/>
          <w:bCs/>
          <w:kern w:val="2"/>
          <w:sz w:val="28"/>
          <w:szCs w:val="28"/>
          <w:lang w:val="en-US" w:eastAsia="zh-CN" w:bidi="ar-SA"/>
        </w:rPr>
      </w:pPr>
      <w:r>
        <w:rPr>
          <w:rFonts w:hint="eastAsia" w:ascii="黑体" w:hAnsi="宋体" w:eastAsia="宋体" w:cs="宋体"/>
          <w:b/>
          <w:bCs/>
          <w:kern w:val="2"/>
          <w:sz w:val="28"/>
          <w:szCs w:val="28"/>
          <w:lang w:val="en-US" w:eastAsia="zh-CN" w:bidi="ar-SA"/>
        </w:rPr>
        <w:t>（征求意见稿）</w:t>
      </w:r>
    </w:p>
    <w:p w14:paraId="066FF5B0">
      <w:pPr>
        <w:spacing w:before="1" w:line="417" w:lineRule="auto"/>
        <w:ind w:left="613" w:right="210"/>
        <w:jc w:val="center"/>
        <w:rPr>
          <w:rFonts w:ascii="黑体" w:eastAsia="黑体" w:cs="Times New Roman"/>
          <w:sz w:val="28"/>
        </w:rPr>
      </w:pPr>
    </w:p>
    <w:p w14:paraId="281F4580">
      <w:pPr>
        <w:widowControl w:val="0"/>
        <w:jc w:val="both"/>
        <w:rPr>
          <w:rFonts w:ascii="黑体" w:hAnsi="宋体" w:eastAsia="宋体" w:cs="宋体"/>
          <w:kern w:val="2"/>
          <w:sz w:val="28"/>
          <w:szCs w:val="21"/>
          <w:lang w:val="en-US" w:eastAsia="zh-CN" w:bidi="ar-SA"/>
        </w:rPr>
      </w:pPr>
    </w:p>
    <w:p w14:paraId="7147F4C2">
      <w:pPr>
        <w:widowControl w:val="0"/>
        <w:jc w:val="both"/>
        <w:rPr>
          <w:rFonts w:ascii="黑体" w:hAnsi="宋体" w:eastAsia="宋体" w:cs="宋体"/>
          <w:kern w:val="2"/>
          <w:sz w:val="28"/>
          <w:szCs w:val="21"/>
          <w:lang w:val="en-US" w:eastAsia="zh-CN" w:bidi="ar-SA"/>
        </w:rPr>
      </w:pPr>
    </w:p>
    <w:p w14:paraId="726394A2">
      <w:pPr>
        <w:widowControl w:val="0"/>
        <w:jc w:val="both"/>
        <w:rPr>
          <w:rFonts w:ascii="黑体" w:hAnsi="宋体" w:eastAsia="宋体" w:cs="宋体"/>
          <w:kern w:val="2"/>
          <w:sz w:val="28"/>
          <w:szCs w:val="21"/>
          <w:lang w:val="en-US" w:eastAsia="zh-CN" w:bidi="ar-SA"/>
        </w:rPr>
      </w:pPr>
    </w:p>
    <w:p w14:paraId="1144D3C6">
      <w:pPr>
        <w:widowControl w:val="0"/>
        <w:jc w:val="both"/>
        <w:rPr>
          <w:rFonts w:ascii="黑体" w:hAnsi="宋体" w:eastAsia="宋体" w:cs="宋体"/>
          <w:kern w:val="2"/>
          <w:sz w:val="28"/>
          <w:szCs w:val="21"/>
          <w:lang w:val="en-US" w:eastAsia="zh-CN" w:bidi="ar-SA"/>
        </w:rPr>
      </w:pPr>
    </w:p>
    <w:p w14:paraId="17BCC694">
      <w:pPr>
        <w:widowControl w:val="0"/>
        <w:jc w:val="both"/>
        <w:rPr>
          <w:rFonts w:ascii="黑体" w:hAnsi="宋体" w:eastAsia="宋体" w:cs="宋体"/>
          <w:kern w:val="2"/>
          <w:sz w:val="28"/>
          <w:szCs w:val="21"/>
          <w:lang w:val="en-US" w:eastAsia="zh-CN" w:bidi="ar-SA"/>
        </w:rPr>
      </w:pPr>
    </w:p>
    <w:p w14:paraId="528E651B">
      <w:pPr>
        <w:widowControl w:val="0"/>
        <w:jc w:val="both"/>
        <w:rPr>
          <w:rFonts w:ascii="黑体" w:hAnsi="宋体" w:eastAsia="宋体" w:cs="宋体"/>
          <w:kern w:val="2"/>
          <w:sz w:val="28"/>
          <w:szCs w:val="21"/>
          <w:lang w:val="en-US" w:eastAsia="zh-CN" w:bidi="ar-SA"/>
        </w:rPr>
      </w:pPr>
    </w:p>
    <w:p w14:paraId="578607B3">
      <w:pPr>
        <w:widowControl w:val="0"/>
        <w:jc w:val="both"/>
        <w:rPr>
          <w:rFonts w:ascii="黑体" w:hAnsi="宋体" w:eastAsia="宋体" w:cs="宋体"/>
          <w:kern w:val="2"/>
          <w:sz w:val="28"/>
          <w:szCs w:val="21"/>
          <w:lang w:val="en-US" w:eastAsia="zh-CN" w:bidi="ar-SA"/>
        </w:rPr>
      </w:pPr>
    </w:p>
    <w:p w14:paraId="741A6341">
      <w:pPr>
        <w:widowControl w:val="0"/>
        <w:spacing w:before="8"/>
        <w:jc w:val="both"/>
        <w:rPr>
          <w:rFonts w:ascii="黑体" w:hAnsi="宋体" w:eastAsia="宋体" w:cs="宋体"/>
          <w:kern w:val="2"/>
          <w:sz w:val="34"/>
          <w:szCs w:val="21"/>
          <w:lang w:val="en-US" w:eastAsia="zh-CN" w:bidi="ar-SA"/>
        </w:rPr>
      </w:pPr>
    </w:p>
    <w:p w14:paraId="3BCAD9BB">
      <w:pPr>
        <w:tabs>
          <w:tab w:val="left" w:pos="7789"/>
        </w:tabs>
        <w:ind w:left="437"/>
        <w:jc w:val="center"/>
        <w:rPr>
          <w:rFonts w:ascii="黑体" w:eastAsia="黑体" w:cs="Times New Roman"/>
          <w:sz w:val="28"/>
          <w:lang w:eastAsia="zh-CN"/>
        </w:rPr>
      </w:pPr>
      <w:r>
        <w:rPr>
          <w:rFonts w:eastAsia="宋体" w:cs="Times New Roman"/>
        </w:rPr>
        <mc:AlternateContent>
          <mc:Choice Requires="wps">
            <w:drawing>
              <wp:anchor distT="0" distB="0" distL="114300" distR="114300" simplePos="0" relativeHeight="251674624" behindDoc="0" locked="0" layoutInCell="1" allowOverlap="1">
                <wp:simplePos x="0" y="0"/>
                <wp:positionH relativeFrom="page">
                  <wp:posOffset>899795</wp:posOffset>
                </wp:positionH>
                <wp:positionV relativeFrom="paragraph">
                  <wp:posOffset>283845</wp:posOffset>
                </wp:positionV>
                <wp:extent cx="6121400" cy="0"/>
                <wp:effectExtent l="0" t="6350" r="0" b="6350"/>
                <wp:wrapTopAndBottom/>
                <wp:docPr id="50" name="直接连接符 50"/>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0.85pt;margin-top:22.35pt;height:0pt;width:482pt;mso-position-horizontal-relative:page;mso-wrap-distance-bottom:0pt;mso-wrap-distance-top:0pt;z-index:251674624;mso-width-relative:page;mso-height-relative:page;" filled="f" stroked="t" coordsize="21600,21600" o:gfxdata="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lVzBrXAAAACgEAAA8AAAAAAAAAAQAgAAAAIgAAAGRycy9kb3ducmV2LnhtbFBLAQIU&#10;ABQAAAAIAIdO4kABSWN99AEAAOcDAAAOAAAAAAAAAAEAIAAAACYBAABkcnMvZTJvRG9jLnhtbFBL&#10;BQYAAAAABgAGAFkBAACMBQAAAAA=&#10;">
                <v:fill on="f" focussize="0,0"/>
                <v:stroke weight="1pt" color="#000000" joinstyle="round"/>
                <v:imagedata o:title=""/>
                <o:lock v:ext="edit" aspectratio="f"/>
                <w10:wrap type="topAndBottom"/>
              </v:line>
            </w:pict>
          </mc:Fallback>
        </mc:AlternateContent>
      </w:r>
      <w:r>
        <w:rPr>
          <w:rFonts w:hint="eastAsia" w:ascii="黑体" w:eastAsia="黑体" w:cs="Times New Roman"/>
          <w:sz w:val="28"/>
          <w:lang w:eastAsia="zh-CN"/>
        </w:rPr>
        <w:t>202</w:t>
      </w:r>
      <w:r>
        <w:rPr>
          <w:rFonts w:ascii="黑体" w:eastAsia="黑体" w:cs="Times New Roman"/>
          <w:sz w:val="28"/>
          <w:lang w:eastAsia="zh-CN"/>
        </w:rPr>
        <w:t>x</w:t>
      </w:r>
      <w:r>
        <w:rPr>
          <w:rFonts w:hint="eastAsia" w:ascii="黑体" w:eastAsia="黑体" w:cs="Times New Roman"/>
          <w:sz w:val="28"/>
          <w:lang w:eastAsia="zh-CN"/>
        </w:rPr>
        <w:t>-</w:t>
      </w:r>
      <w:r>
        <w:rPr>
          <w:rFonts w:ascii="黑体" w:eastAsia="黑体" w:cs="Times New Roman"/>
          <w:sz w:val="28"/>
          <w:lang w:eastAsia="zh-CN"/>
        </w:rPr>
        <w:t>x</w:t>
      </w:r>
      <w:r>
        <w:rPr>
          <w:rFonts w:hint="eastAsia" w:ascii="黑体" w:eastAsia="黑体" w:cs="Times New Roman"/>
          <w:sz w:val="28"/>
          <w:lang w:eastAsia="zh-CN"/>
        </w:rPr>
        <w:t>-</w:t>
      </w:r>
      <w:r>
        <w:rPr>
          <w:rFonts w:ascii="黑体" w:eastAsia="黑体" w:cs="Times New Roman"/>
          <w:sz w:val="28"/>
          <w:lang w:eastAsia="zh-CN"/>
        </w:rPr>
        <w:t>x</w:t>
      </w:r>
      <w:r>
        <w:rPr>
          <w:rFonts w:hint="eastAsia" w:ascii="黑体" w:eastAsia="黑体" w:cs="Times New Roman"/>
          <w:spacing w:val="-72"/>
          <w:sz w:val="28"/>
          <w:lang w:eastAsia="zh-CN"/>
        </w:rPr>
        <w:t xml:space="preserve"> </w:t>
      </w:r>
      <w:r>
        <w:rPr>
          <w:rFonts w:hint="eastAsia" w:ascii="黑体" w:eastAsia="黑体" w:cs="Times New Roman"/>
          <w:sz w:val="28"/>
          <w:lang w:eastAsia="zh-CN"/>
        </w:rPr>
        <w:t>发布</w:t>
      </w:r>
      <w:r>
        <w:rPr>
          <w:rFonts w:hint="eastAsia" w:ascii="黑体" w:eastAsia="黑体" w:cs="Times New Roman"/>
          <w:sz w:val="28"/>
          <w:lang w:eastAsia="zh-CN"/>
        </w:rPr>
        <w:tab/>
      </w:r>
      <w:r>
        <w:rPr>
          <w:rFonts w:hint="eastAsia" w:ascii="黑体" w:eastAsia="黑体" w:cs="Times New Roman"/>
          <w:sz w:val="28"/>
          <w:lang w:eastAsia="zh-CN"/>
        </w:rPr>
        <w:t>202</w:t>
      </w:r>
      <w:r>
        <w:rPr>
          <w:rFonts w:ascii="黑体" w:eastAsia="黑体" w:cs="Times New Roman"/>
          <w:sz w:val="28"/>
          <w:lang w:eastAsia="zh-CN"/>
        </w:rPr>
        <w:t xml:space="preserve"> x</w:t>
      </w:r>
      <w:r>
        <w:rPr>
          <w:rFonts w:hint="eastAsia" w:ascii="黑体" w:eastAsia="黑体" w:cs="Times New Roman"/>
          <w:sz w:val="28"/>
          <w:lang w:eastAsia="zh-CN"/>
        </w:rPr>
        <w:t>-</w:t>
      </w:r>
      <w:r>
        <w:rPr>
          <w:rFonts w:ascii="黑体" w:eastAsia="黑体" w:cs="Times New Roman"/>
          <w:sz w:val="28"/>
          <w:lang w:eastAsia="zh-CN"/>
        </w:rPr>
        <w:t>x</w:t>
      </w:r>
      <w:r>
        <w:rPr>
          <w:rFonts w:hint="eastAsia" w:ascii="黑体" w:eastAsia="黑体" w:cs="Times New Roman"/>
          <w:sz w:val="28"/>
          <w:lang w:eastAsia="zh-CN"/>
        </w:rPr>
        <w:t>-</w:t>
      </w:r>
      <w:r>
        <w:rPr>
          <w:rFonts w:ascii="黑体" w:eastAsia="黑体" w:cs="Times New Roman"/>
          <w:sz w:val="28"/>
          <w:lang w:eastAsia="zh-CN"/>
        </w:rPr>
        <w:t>x</w:t>
      </w:r>
      <w:r>
        <w:rPr>
          <w:rFonts w:hint="eastAsia" w:ascii="黑体" w:eastAsia="黑体" w:cs="Times New Roman"/>
          <w:spacing w:val="-73"/>
          <w:sz w:val="28"/>
          <w:lang w:eastAsia="zh-CN"/>
        </w:rPr>
        <w:t xml:space="preserve"> </w:t>
      </w:r>
      <w:r>
        <w:rPr>
          <w:rFonts w:hint="eastAsia" w:ascii="黑体" w:eastAsia="黑体" w:cs="Times New Roman"/>
          <w:sz w:val="28"/>
          <w:lang w:eastAsia="zh-CN"/>
        </w:rPr>
        <w:t>实施</w:t>
      </w:r>
    </w:p>
    <w:p w14:paraId="460F0A41">
      <w:pPr>
        <w:keepNext w:val="0"/>
        <w:keepLines w:val="0"/>
        <w:pageBreakBefore w:val="0"/>
        <w:widowControl w:val="0"/>
        <w:kinsoku/>
        <w:wordWrap/>
        <w:overflowPunct/>
        <w:topLinePunct w:val="0"/>
        <w:autoSpaceDE w:val="0"/>
        <w:autoSpaceDN w:val="0"/>
        <w:bidi w:val="0"/>
        <w:adjustRightInd w:val="0"/>
        <w:snapToGrid w:val="0"/>
        <w:ind w:left="3022" w:leftChars="0" w:right="3022" w:rightChars="0" w:firstLine="0" w:firstLineChars="0"/>
        <w:jc w:val="distribute"/>
        <w:textAlignment w:val="auto"/>
        <w:rPr>
          <w:rFonts w:ascii="黑体" w:hAnsi="黑体" w:eastAsia="黑体" w:cs="黑体"/>
          <w:sz w:val="36"/>
          <w:szCs w:val="36"/>
          <w:lang w:val="en-US" w:eastAsia="zh-CN"/>
        </w:rPr>
      </w:pPr>
      <w:r>
        <w:rPr>
          <w:rFonts w:eastAsia="宋体" w:cs="Times New Roman"/>
          <w:sz w:val="36"/>
          <w:szCs w:val="36"/>
        </w:rPr>
        <mc:AlternateContent>
          <mc:Choice Requires="wps">
            <w:drawing>
              <wp:anchor distT="0" distB="0" distL="114300" distR="114300" simplePos="0" relativeHeight="251680768" behindDoc="0" locked="0" layoutInCell="1" allowOverlap="1">
                <wp:simplePos x="0" y="0"/>
                <wp:positionH relativeFrom="column">
                  <wp:posOffset>4244340</wp:posOffset>
                </wp:positionH>
                <wp:positionV relativeFrom="page">
                  <wp:posOffset>9382760</wp:posOffset>
                </wp:positionV>
                <wp:extent cx="913765" cy="36512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13765" cy="365125"/>
                        </a:xfrm>
                        <a:prstGeom prst="rect">
                          <a:avLst/>
                        </a:prstGeom>
                        <a:noFill/>
                        <a:ln>
                          <a:noFill/>
                        </a:ln>
                      </wps:spPr>
                      <wps:txbx>
                        <w:txbxContent>
                          <w:p w14:paraId="0C7C434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发 布</w:t>
                            </w:r>
                          </w:p>
                        </w:txbxContent>
                      </wps:txbx>
                      <wps:bodyPr upright="1"/>
                    </wps:wsp>
                  </a:graphicData>
                </a:graphic>
              </wp:anchor>
            </w:drawing>
          </mc:Choice>
          <mc:Fallback>
            <w:pict>
              <v:shape id="_x0000_s1026" o:spid="_x0000_s1026" o:spt="202" type="#_x0000_t202" style="position:absolute;left:0pt;margin-left:334.2pt;margin-top:738.8pt;height:28.75pt;width:71.95pt;mso-position-vertical-relative:page;z-index:251680768;mso-width-relative:page;mso-height-relative:page;" filled="f" stroked="f" coordsize="21600,21600" o:gfxdata="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lFs&#10;tdoAAAANAQAADwAAAAAAAAABACAAAAAiAAAAZHJzL2Rvd25yZXYueG1sUEsBAhQAFAAAAAgAh07i&#10;QFdis0auAQAATwMAAA4AAAAAAAAAAQAgAAAAKQEAAGRycy9lMm9Eb2MueG1sUEsFBgAAAAAGAAYA&#10;WQEAAEkFAAAAAA==&#10;">
                <v:fill on="f" focussize="0,0"/>
                <v:stroke on="f"/>
                <v:imagedata o:title=""/>
                <o:lock v:ext="edit" aspectratio="f"/>
                <v:textbox>
                  <w:txbxContent>
                    <w:p w14:paraId="0C7C434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发 布</w:t>
                      </w:r>
                    </w:p>
                  </w:txbxContent>
                </v:textbox>
              </v:shape>
            </w:pict>
          </mc:Fallback>
        </mc:AlternateContent>
      </w:r>
      <w:r>
        <w:rPr>
          <w:rFonts w:hint="eastAsia" w:ascii="黑体" w:hAnsi="黑体" w:eastAsia="黑体" w:cs="黑体"/>
          <w:sz w:val="36"/>
          <w:szCs w:val="36"/>
          <w:lang w:val="en-US" w:eastAsia="zh-CN"/>
        </w:rPr>
        <w:t>湖北省生态环境厅</w:t>
      </w:r>
    </w:p>
    <w:p w14:paraId="43AEDE2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湖北省市场监督管理局</w:t>
      </w:r>
    </w:p>
    <w:p w14:paraId="2D3000D8">
      <w:pP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br w:type="page"/>
      </w:r>
    </w:p>
    <w:p w14:paraId="390ACF82">
      <w:pP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br w:type="page"/>
      </w:r>
    </w:p>
    <w:p w14:paraId="32C4E2B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黑体" w:hAnsi="黑体" w:eastAsia="黑体" w:cs="黑体"/>
          <w:sz w:val="36"/>
          <w:szCs w:val="36"/>
          <w:lang w:val="en-US" w:eastAsia="zh-CN"/>
        </w:rPr>
        <w:sectPr>
          <w:headerReference r:id="rId44" w:type="default"/>
          <w:footerReference r:id="rId46" w:type="default"/>
          <w:headerReference r:id="rId45" w:type="even"/>
          <w:footerReference r:id="rId47" w:type="even"/>
          <w:pgSz w:w="11910" w:h="16840"/>
          <w:pgMar w:top="567" w:right="850" w:bottom="567" w:left="1417" w:header="0" w:footer="0" w:gutter="0"/>
          <w:cols w:space="720" w:num="1"/>
        </w:sectPr>
      </w:pPr>
    </w:p>
    <w:sdt>
      <w:sdtPr>
        <w:rPr>
          <w:rFonts w:ascii="宋体" w:hAnsi="宋体" w:eastAsia="宋体" w:cs="Times New Roman"/>
          <w:kern w:val="2"/>
          <w:sz w:val="21"/>
          <w:szCs w:val="24"/>
          <w:lang w:val="en-US" w:eastAsia="zh-CN" w:bidi="ar-SA"/>
        </w:rPr>
        <w:id w:val="147472345"/>
        <w15:color w:val="DBDBDB"/>
        <w:docPartObj>
          <w:docPartGallery w:val="Table of Contents"/>
          <w:docPartUnique/>
        </w:docPartObj>
      </w:sdtPr>
      <w:sdtEndPr>
        <w:rPr>
          <w:rFonts w:ascii="Times New Roman" w:hAnsi="Calibri" w:eastAsia="宋体" w:cs="Times New Roman"/>
          <w:kern w:val="2"/>
          <w:sz w:val="21"/>
          <w:szCs w:val="24"/>
          <w:lang w:val="en-US" w:eastAsia="zh-CN" w:bidi="ar-SA"/>
        </w:rPr>
      </w:sdtEndPr>
      <w:sdtContent>
        <w:p w14:paraId="2C01DCD8">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p w14:paraId="2B89ED26">
          <w:pPr>
            <w:spacing w:before="0" w:beforeLines="0" w:after="0" w:afterLines="0" w:line="240" w:lineRule="auto"/>
            <w:ind w:left="0" w:leftChars="0" w:right="0" w:rightChars="0" w:firstLine="0" w:firstLineChars="0"/>
            <w:jc w:val="center"/>
            <w:rPr>
              <w:rFonts w:hint="eastAsia" w:ascii="黑体" w:hAnsi="黑体" w:eastAsia="黑体" w:cs="黑体"/>
              <w:kern w:val="0"/>
              <w:sz w:val="32"/>
              <w:szCs w:val="32"/>
              <w:lang w:val="fr-FR" w:eastAsia="zh-CN" w:bidi="ar-SA"/>
            </w:rPr>
          </w:pPr>
          <w:r>
            <w:rPr>
              <w:rFonts w:hint="eastAsia" w:ascii="黑体" w:hAnsi="黑体" w:eastAsia="黑体" w:cs="黑体"/>
              <w:kern w:val="0"/>
              <w:sz w:val="32"/>
              <w:szCs w:val="32"/>
              <w:lang w:val="fr-FR" w:eastAsia="en-US" w:bidi="ar-SA"/>
            </w:rPr>
            <w:t>目</w:t>
          </w:r>
          <w:r>
            <w:rPr>
              <w:rFonts w:hint="eastAsia" w:ascii="黑体" w:hAnsi="黑体" w:eastAsia="黑体" w:cs="黑体"/>
              <w:kern w:val="0"/>
              <w:sz w:val="32"/>
              <w:szCs w:val="32"/>
              <w:lang w:val="en-US" w:eastAsia="zh-CN" w:bidi="ar-SA"/>
            </w:rPr>
            <w:t xml:space="preserve">  次</w:t>
          </w:r>
        </w:p>
        <w:p w14:paraId="2DD1DB26">
          <w:pPr>
            <w:widowControl w:val="0"/>
            <w:tabs>
              <w:tab w:val="right" w:pos="2400"/>
              <w:tab w:val="right" w:leader="dot" w:pos="10110"/>
            </w:tabs>
            <w:ind w:left="420" w:leftChars="200"/>
            <w:jc w:val="both"/>
            <w:rPr>
              <w:rFonts w:ascii="Calibri" w:hAnsi="Calibri" w:eastAsia="宋体" w:cs="Times New Roman"/>
              <w:kern w:val="2"/>
              <w:sz w:val="21"/>
              <w:szCs w:val="24"/>
              <w:lang w:val="en-US" w:eastAsia="zh-CN" w:bidi="ar-SA"/>
            </w:rPr>
          </w:pPr>
          <w:r>
            <w:rPr>
              <w:rFonts w:ascii="Times New Roman" w:hAnsi="Calibri" w:eastAsia="宋体" w:cs="Times New Roman"/>
              <w:kern w:val="2"/>
              <w:sz w:val="17"/>
              <w:szCs w:val="24"/>
              <w:lang w:val="en-US" w:eastAsia="zh-CN" w:bidi="ar-SA"/>
            </w:rPr>
            <w:fldChar w:fldCharType="begin"/>
          </w:r>
          <w:r>
            <w:rPr>
              <w:rFonts w:ascii="Times New Roman" w:hAnsi="Calibri" w:eastAsia="宋体" w:cs="Times New Roman"/>
              <w:kern w:val="2"/>
              <w:sz w:val="17"/>
              <w:szCs w:val="24"/>
              <w:lang w:val="en-US" w:eastAsia="zh-CN" w:bidi="ar-SA"/>
            </w:rPr>
            <w:instrText xml:space="preserve">TOC \o "1-3" \h \u </w:instrText>
          </w:r>
          <w:r>
            <w:rPr>
              <w:rFonts w:ascii="Times New Roman" w:hAnsi="Calibri" w:eastAsia="宋体" w:cs="Times New Roman"/>
              <w:kern w:val="2"/>
              <w:sz w:val="17"/>
              <w:szCs w:val="24"/>
              <w:lang w:val="en-US" w:eastAsia="zh-CN" w:bidi="ar-SA"/>
            </w:rPr>
            <w:fldChar w:fldCharType="separate"/>
          </w:r>
        </w:p>
        <w:p w14:paraId="46F48AA6">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_Toc9436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1 </w:t>
          </w:r>
          <w:r>
            <w:rPr>
              <w:rFonts w:hint="eastAsia" w:ascii="宋体" w:hAnsi="宋体" w:eastAsia="宋体" w:cs="宋体"/>
              <w:bCs/>
              <w:kern w:val="2"/>
              <w:sz w:val="21"/>
              <w:szCs w:val="21"/>
              <w:lang w:val="en-US" w:eastAsia="zh-CN" w:bidi="ar-SA"/>
            </w:rPr>
            <w:t>范围</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_Toc9436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620A7F5B">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_Toc2499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2 </w:t>
          </w:r>
          <w:r>
            <w:rPr>
              <w:rFonts w:hint="eastAsia" w:ascii="宋体" w:hAnsi="宋体" w:eastAsia="宋体" w:cs="宋体"/>
              <w:bCs/>
              <w:kern w:val="2"/>
              <w:sz w:val="21"/>
              <w:szCs w:val="21"/>
              <w:lang w:val="en-US" w:eastAsia="zh-CN" w:bidi="ar-SA"/>
            </w:rPr>
            <w:t>规范性引用文件</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_Toc2499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0125EC28">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_Toc11413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3 </w:t>
          </w:r>
          <w:r>
            <w:rPr>
              <w:rFonts w:hint="eastAsia" w:ascii="宋体" w:hAnsi="宋体" w:eastAsia="宋体" w:cs="宋体"/>
              <w:bCs/>
              <w:kern w:val="2"/>
              <w:sz w:val="21"/>
              <w:szCs w:val="21"/>
              <w:lang w:val="en-US" w:eastAsia="zh-CN" w:bidi="ar-SA"/>
            </w:rPr>
            <w:t>术语和定义</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_Toc11413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5E2C5369">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_Toc27195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4 </w:t>
          </w:r>
          <w:r>
            <w:rPr>
              <w:rFonts w:hint="eastAsia" w:ascii="宋体" w:hAnsi="宋体" w:eastAsia="宋体" w:cs="宋体"/>
              <w:bCs/>
              <w:kern w:val="2"/>
              <w:sz w:val="21"/>
              <w:szCs w:val="21"/>
              <w:lang w:val="en-US" w:eastAsia="zh-CN" w:bidi="ar-SA"/>
            </w:rPr>
            <w:t>人员</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_Toc27195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77248589">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_Toc12009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4.1 现场监测人员</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_Toc12009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02C7FFA4">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_Toc22579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4.2 实验室分析、校核人员</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_Toc22579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29B101A8">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_Toc26053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4.3 报告审核人员</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_Toc26053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77B6E5B9">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_Toc4718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4.4 报告签发人员</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_Toc4718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4E1C71A7">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_Toc30535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5 </w:t>
          </w:r>
          <w:r>
            <w:rPr>
              <w:rFonts w:hint="eastAsia" w:ascii="宋体" w:hAnsi="宋体" w:eastAsia="宋体" w:cs="宋体"/>
              <w:bCs/>
              <w:kern w:val="2"/>
              <w:sz w:val="21"/>
              <w:szCs w:val="21"/>
              <w:lang w:val="en-US" w:eastAsia="zh-CN" w:bidi="ar-SA"/>
            </w:rPr>
            <w:t>仪器与设备</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_Toc30535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0D504153">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_Toc1899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5.1采样设备</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_Toc1899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7BC40433">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_Toc23910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5.2 现场快速检测设备</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_Toc23910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7C77859C">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_Toc16625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5.3 实验室检测设备</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_Toc16625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41866DC7">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_Toc15307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6 </w:t>
          </w:r>
          <w:r>
            <w:rPr>
              <w:rFonts w:hint="eastAsia" w:ascii="宋体" w:hAnsi="宋体" w:eastAsia="宋体" w:cs="宋体"/>
              <w:bCs/>
              <w:kern w:val="2"/>
              <w:sz w:val="21"/>
              <w:szCs w:val="21"/>
              <w:lang w:val="en-US" w:eastAsia="zh-CN" w:bidi="ar-SA"/>
            </w:rPr>
            <w:t>样品采集</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_Toc15307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1F9BAD84">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_Toc6399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6.1 点位布设</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_Toc6399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5DA3A123">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_Toc7562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6.2 采样孔位置与深度</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_Toc7562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7E3021DD">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_Toc27427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6.3 采样</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_Toc27427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54F30A52">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_Toc8608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6.4 样品保存和流转</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_Toc8608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72C20F20">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_Toc19835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6.5 现场记录</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_Toc19835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64F900B9">
          <w:pPr>
            <w:keepNext w:val="0"/>
            <w:keepLines w:val="0"/>
            <w:pageBreakBefore w:val="0"/>
            <w:widowControl w:val="0"/>
            <w:tabs>
              <w:tab w:val="right" w:pos="2400"/>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_Toc5218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6.6</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t>现场质量控制样品</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_Toc5218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377DA14C">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_Toc30460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7 </w:t>
          </w:r>
          <w:r>
            <w:rPr>
              <w:rFonts w:hint="eastAsia" w:ascii="宋体" w:hAnsi="宋体" w:eastAsia="宋体" w:cs="宋体"/>
              <w:bCs/>
              <w:kern w:val="2"/>
              <w:sz w:val="21"/>
              <w:szCs w:val="21"/>
              <w:lang w:val="en-US" w:eastAsia="zh-CN" w:bidi="ar-SA"/>
            </w:rPr>
            <w:t>实验室分析</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_Toc30460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6DFCCF66">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_Toc9522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7.1 设施和环境条件</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_Toc9522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4AADB762">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_Toc25775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7.2 分析方法</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_Toc25775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1F480640">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_Toc9032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7.3 样品制备</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_Toc9032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5507348A">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_Toc7677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7.4 试剂和材料</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_Toc7677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2C94E13F">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_Toc16715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7.5 样品分析</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_Toc16715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26D17190">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_Toc14410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7.6 实验室质量控制</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_Toc14410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10</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7E58BA4E">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left="420" w:left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_Toc7939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7.7 记录与报告</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_Toc7939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169DB8A6">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ind w:right="1680" w:rightChars="8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_Toc31847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8 </w:t>
          </w:r>
          <w:r>
            <w:rPr>
              <w:rFonts w:hint="eastAsia" w:ascii="宋体" w:hAnsi="宋体" w:eastAsia="宋体" w:cs="宋体"/>
              <w:bCs/>
              <w:kern w:val="2"/>
              <w:sz w:val="21"/>
              <w:szCs w:val="21"/>
              <w:lang w:val="en-US" w:eastAsia="zh-CN" w:bidi="ar-SA"/>
            </w:rPr>
            <w:t>质量监督计划</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_Toc31847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59BDD5DE">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_Toc4476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w w:val="99"/>
              <w:kern w:val="2"/>
              <w:sz w:val="21"/>
              <w:szCs w:val="21"/>
              <w:lang w:val="en-US" w:eastAsia="zh-CN" w:bidi="ar-SA"/>
            </w:rPr>
            <w:t xml:space="preserve">9 </w:t>
          </w:r>
          <w:r>
            <w:rPr>
              <w:rFonts w:hint="eastAsia" w:ascii="宋体" w:hAnsi="宋体" w:eastAsia="宋体" w:cs="宋体"/>
              <w:bCs/>
              <w:kern w:val="2"/>
              <w:sz w:val="21"/>
              <w:szCs w:val="21"/>
              <w:lang w:val="en-US" w:eastAsia="zh-CN" w:bidi="ar-SA"/>
            </w:rPr>
            <w:t>质控数据统计</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_Toc4476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67BC497B">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_Toc25771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kern w:val="2"/>
              <w:sz w:val="21"/>
              <w:szCs w:val="21"/>
              <w:lang w:val="en-US" w:eastAsia="zh-CN" w:bidi="ar-SA"/>
            </w:rPr>
            <w:t>附录 A（资料性）主要检测分析方法测试精密度和准确度允许范围</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_Toc25771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13</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7C18F2A7">
          <w:pPr>
            <w:keepNext w:val="0"/>
            <w:keepLines w:val="0"/>
            <w:pageBreakBefore w:val="0"/>
            <w:widowControl w:val="0"/>
            <w:tabs>
              <w:tab w:val="right" w:leader="dot" w:pos="10110"/>
            </w:tabs>
            <w:kinsoku/>
            <w:wordWrap/>
            <w:overflowPunct/>
            <w:topLinePunct w:val="0"/>
            <w:autoSpaceDE/>
            <w:autoSpaceDN/>
            <w:bidi w:val="0"/>
            <w:adjustRightInd/>
            <w:snapToGrid/>
            <w:spacing w:line="36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_Toc9543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bCs/>
              <w:kern w:val="2"/>
              <w:sz w:val="21"/>
              <w:szCs w:val="21"/>
              <w:lang w:val="en-US" w:eastAsia="zh-CN" w:bidi="ar-SA"/>
            </w:rPr>
            <w:t>附录B （资料性）质控数据统计表</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_Toc9543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14</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14:paraId="301ECCAB">
          <w:pPr>
            <w:spacing w:after="0"/>
            <w:rPr>
              <w:rFonts w:ascii="Times New Roman"/>
              <w:sz w:val="17"/>
            </w:rPr>
            <w:sectPr>
              <w:headerReference r:id="rId48" w:type="default"/>
              <w:footerReference r:id="rId50" w:type="default"/>
              <w:headerReference r:id="rId49" w:type="even"/>
              <w:footerReference r:id="rId51" w:type="even"/>
              <w:pgSz w:w="11910" w:h="16840"/>
              <w:pgMar w:top="1417" w:right="1134" w:bottom="1134" w:left="1417" w:header="1417" w:footer="1134" w:gutter="0"/>
              <w:pgNumType w:fmt="upperRoman" w:start="1"/>
              <w:cols w:space="720" w:num="1"/>
            </w:sectPr>
          </w:pPr>
          <w:r>
            <w:rPr>
              <w:rFonts w:ascii="Times New Roman" w:eastAsia="宋体" w:cs="Times New Roman"/>
            </w:rPr>
            <w:fldChar w:fldCharType="end"/>
          </w:r>
        </w:p>
      </w:sdtContent>
    </w:sdt>
    <w:p w14:paraId="7288E263">
      <w:pPr>
        <w:keepNext w:val="0"/>
        <w:keepLines w:val="0"/>
        <w:pageBreakBefore w:val="0"/>
        <w:widowControl w:val="0"/>
        <w:kinsoku/>
        <w:overflowPunct/>
        <w:topLinePunct w:val="0"/>
        <w:autoSpaceDE w:val="0"/>
        <w:autoSpaceDN w:val="0"/>
        <w:bidi w:val="0"/>
        <w:adjustRightInd w:val="0"/>
        <w:snapToGrid w:val="0"/>
        <w:spacing w:before="850" w:after="680"/>
        <w:ind w:left="0" w:right="0"/>
        <w:jc w:val="center"/>
        <w:outlineLvl w:val="0"/>
        <w:rPr>
          <w:rFonts w:hint="eastAsia" w:ascii="黑体" w:hAnsi="黑体" w:eastAsia="黑体" w:cs="黑体"/>
          <w:kern w:val="0"/>
          <w:sz w:val="32"/>
          <w:szCs w:val="32"/>
          <w:lang w:val="fr-FR" w:eastAsia="zh-CN" w:bidi="ar-SA"/>
        </w:rPr>
      </w:pPr>
      <w:r>
        <w:rPr>
          <w:rFonts w:hint="eastAsia" w:ascii="黑体" w:hAnsi="黑体" w:eastAsia="黑体" w:cs="黑体"/>
          <w:kern w:val="0"/>
          <w:sz w:val="32"/>
          <w:szCs w:val="32"/>
          <w:lang w:val="fr-FR" w:eastAsia="zh-CN" w:bidi="ar-SA"/>
        </w:rPr>
        <w:t>前</w:t>
      </w:r>
      <w:r>
        <w:rPr>
          <w:rFonts w:ascii="黑体" w:hAnsi="黑体" w:eastAsia="黑体" w:cs="黑体"/>
          <w:kern w:val="0"/>
          <w:sz w:val="32"/>
          <w:szCs w:val="32"/>
          <w:lang w:val="fr-FR" w:eastAsia="zh-CN" w:bidi="ar-SA"/>
        </w:rPr>
        <w:t>  </w:t>
      </w:r>
      <w:r>
        <w:rPr>
          <w:rFonts w:hint="eastAsia" w:ascii="黑体" w:hAnsi="黑体" w:eastAsia="黑体" w:cs="黑体"/>
          <w:kern w:val="0"/>
          <w:sz w:val="32"/>
          <w:szCs w:val="32"/>
          <w:lang w:val="fr-FR" w:eastAsia="zh-CN" w:bidi="ar-SA"/>
        </w:rPr>
        <w:t>言</w:t>
      </w:r>
    </w:p>
    <w:p w14:paraId="1D4FBE16">
      <w:pPr>
        <w:widowControl w:val="0"/>
        <w:jc w:val="both"/>
        <w:rPr>
          <w:rFonts w:ascii="黑体" w:hAnsi="宋体" w:eastAsia="宋体" w:cs="宋体"/>
          <w:kern w:val="2"/>
          <w:sz w:val="20"/>
          <w:szCs w:val="21"/>
          <w:lang w:val="en-US" w:eastAsia="zh-CN" w:bidi="ar-SA"/>
        </w:rPr>
      </w:pPr>
    </w:p>
    <w:p w14:paraId="50448D0B">
      <w:pPr>
        <w:widowControl w:val="0"/>
        <w:jc w:val="both"/>
        <w:rPr>
          <w:rFonts w:ascii="黑体" w:hAnsi="宋体" w:eastAsia="宋体" w:cs="宋体"/>
          <w:kern w:val="2"/>
          <w:sz w:val="20"/>
          <w:szCs w:val="21"/>
          <w:lang w:val="en-US" w:eastAsia="zh-CN" w:bidi="ar-SA"/>
        </w:rPr>
      </w:pPr>
    </w:p>
    <w:p w14:paraId="3CC1892C">
      <w:pPr>
        <w:widowControl w:val="0"/>
        <w:spacing w:before="12"/>
        <w:jc w:val="both"/>
        <w:rPr>
          <w:rFonts w:ascii="黑体" w:hAnsi="宋体" w:eastAsia="宋体" w:cs="宋体"/>
          <w:kern w:val="2"/>
          <w:sz w:val="22"/>
          <w:szCs w:val="21"/>
          <w:lang w:val="en-US" w:eastAsia="zh-CN" w:bidi="ar-SA"/>
        </w:rPr>
      </w:pPr>
    </w:p>
    <w:p w14:paraId="38959297">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kern w:val="0"/>
          <w:sz w:val="21"/>
          <w:szCs w:val="21"/>
          <w:lang w:val="fr-FR" w:eastAsia="zh-CN" w:bidi="ar-SA"/>
        </w:rPr>
      </w:pPr>
      <w:r>
        <w:rPr>
          <w:rFonts w:hint="default" w:ascii="宋体" w:hAnsi="宋体" w:eastAsia="宋体" w:cs="宋体"/>
          <w:kern w:val="0"/>
          <w:sz w:val="21"/>
          <w:szCs w:val="21"/>
          <w:lang w:val="fr-FR" w:eastAsia="zh-CN" w:bidi="ar-SA"/>
        </w:rPr>
        <w:t>本文件按照GB/T 1.1—2020《标准化工作导则 第1部分：标准化文件的结构和起草规则》的规定起草。</w:t>
      </w:r>
    </w:p>
    <w:p w14:paraId="4FA9ACAA">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kern w:val="0"/>
          <w:sz w:val="21"/>
          <w:szCs w:val="21"/>
          <w:lang w:val="fr-FR" w:eastAsia="zh-CN" w:bidi="ar-SA"/>
        </w:rPr>
      </w:pPr>
      <w:r>
        <w:rPr>
          <w:rFonts w:hint="eastAsia" w:ascii="宋体" w:hAnsi="宋体" w:eastAsia="宋体" w:cs="宋体"/>
          <w:kern w:val="0"/>
          <w:sz w:val="21"/>
          <w:szCs w:val="21"/>
          <w:lang w:val="en-US" w:eastAsia="zh-CN" w:bidi="ar-SA"/>
        </w:rPr>
        <w:t>本文件为建设用地</w:t>
      </w:r>
      <w:r>
        <w:rPr>
          <w:rFonts w:hint="default" w:ascii="宋体" w:hAnsi="宋体" w:eastAsia="宋体" w:cs="宋体"/>
          <w:kern w:val="0"/>
          <w:sz w:val="21"/>
          <w:szCs w:val="21"/>
          <w:lang w:val="fr-FR" w:eastAsia="zh-CN" w:bidi="ar-SA"/>
        </w:rPr>
        <w:t>土壤污染防治技术规范</w:t>
      </w:r>
      <w:r>
        <w:rPr>
          <w:rFonts w:hint="eastAsia" w:ascii="宋体" w:hAnsi="宋体" w:eastAsia="宋体" w:cs="宋体"/>
          <w:kern w:val="0"/>
          <w:sz w:val="21"/>
          <w:szCs w:val="21"/>
          <w:lang w:val="en-US" w:eastAsia="zh-CN" w:bidi="ar-SA"/>
        </w:rPr>
        <w:t>的第三部分建设用地</w:t>
      </w:r>
      <w:r>
        <w:rPr>
          <w:rFonts w:hint="default" w:ascii="宋体" w:hAnsi="宋体" w:eastAsia="宋体" w:cs="宋体"/>
          <w:kern w:val="0"/>
          <w:sz w:val="21"/>
          <w:szCs w:val="21"/>
          <w:lang w:val="fr-FR" w:eastAsia="zh-CN" w:bidi="ar-SA"/>
        </w:rPr>
        <w:t>土壤污染防治技术规范</w:t>
      </w:r>
      <w:r>
        <w:rPr>
          <w:rFonts w:hint="eastAsia" w:ascii="宋体" w:hAnsi="宋体" w:eastAsia="宋体" w:cs="宋体"/>
          <w:kern w:val="0"/>
          <w:sz w:val="21"/>
          <w:szCs w:val="21"/>
          <w:lang w:val="en-US" w:eastAsia="zh-CN" w:bidi="ar-SA"/>
        </w:rPr>
        <w:t>分为</w:t>
      </w:r>
      <w:r>
        <w:rPr>
          <w:rFonts w:hint="default" w:ascii="宋体" w:hAnsi="宋体" w:eastAsia="宋体" w:cs="宋体"/>
          <w:kern w:val="0"/>
          <w:sz w:val="21"/>
          <w:szCs w:val="21"/>
          <w:lang w:val="fr-FR" w:eastAsia="zh-CN" w:bidi="ar-SA"/>
        </w:rPr>
        <w:t>以下部分：</w:t>
      </w:r>
    </w:p>
    <w:p w14:paraId="076E7ECE">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kern w:val="0"/>
          <w:sz w:val="21"/>
          <w:szCs w:val="21"/>
          <w:lang w:val="fr-FR" w:eastAsia="zh-CN" w:bidi="ar-SA"/>
        </w:rPr>
      </w:pPr>
      <w:r>
        <w:rPr>
          <w:rFonts w:hint="default" w:ascii="宋体" w:hAnsi="宋体" w:eastAsia="宋体" w:cs="宋体"/>
          <w:kern w:val="0"/>
          <w:sz w:val="21"/>
          <w:szCs w:val="21"/>
          <w:lang w:val="fr-FR" w:eastAsia="zh-CN" w:bidi="ar-SA"/>
        </w:rPr>
        <w:t>——第1部分：污染状况调查技术规范</w:t>
      </w:r>
    </w:p>
    <w:p w14:paraId="5A4CCE12">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kern w:val="0"/>
          <w:sz w:val="21"/>
          <w:szCs w:val="21"/>
          <w:lang w:val="fr-FR" w:eastAsia="zh-CN" w:bidi="ar-SA"/>
        </w:rPr>
      </w:pPr>
      <w:r>
        <w:rPr>
          <w:rFonts w:hint="default" w:ascii="宋体" w:hAnsi="宋体" w:eastAsia="宋体" w:cs="宋体"/>
          <w:kern w:val="0"/>
          <w:sz w:val="21"/>
          <w:szCs w:val="21"/>
          <w:lang w:val="fr-FR" w:eastAsia="zh-CN" w:bidi="ar-SA"/>
        </w:rPr>
        <w:t>——第</w:t>
      </w:r>
      <w:r>
        <w:rPr>
          <w:rFonts w:hint="eastAsia" w:ascii="宋体" w:hAnsi="宋体" w:eastAsia="宋体" w:cs="宋体"/>
          <w:kern w:val="0"/>
          <w:sz w:val="21"/>
          <w:szCs w:val="21"/>
          <w:lang w:val="en-US" w:eastAsia="zh-CN" w:bidi="ar-SA"/>
        </w:rPr>
        <w:t>2</w:t>
      </w:r>
      <w:r>
        <w:rPr>
          <w:rFonts w:hint="default" w:ascii="宋体" w:hAnsi="宋体" w:eastAsia="宋体" w:cs="宋体"/>
          <w:kern w:val="0"/>
          <w:sz w:val="21"/>
          <w:szCs w:val="21"/>
          <w:lang w:val="fr-FR" w:eastAsia="zh-CN" w:bidi="ar-SA"/>
        </w:rPr>
        <w:t>部分：土壤重金属监测质量保证与质量控制技术规范</w:t>
      </w:r>
    </w:p>
    <w:p w14:paraId="5C058308">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kern w:val="0"/>
          <w:sz w:val="21"/>
          <w:szCs w:val="21"/>
          <w:lang w:val="fr-FR" w:eastAsia="zh-CN" w:bidi="ar-SA"/>
        </w:rPr>
      </w:pPr>
      <w:r>
        <w:rPr>
          <w:rFonts w:hint="default" w:ascii="宋体" w:hAnsi="宋体" w:eastAsia="宋体" w:cs="宋体"/>
          <w:kern w:val="0"/>
          <w:sz w:val="21"/>
          <w:szCs w:val="21"/>
          <w:lang w:val="fr-FR" w:eastAsia="zh-CN" w:bidi="ar-SA"/>
        </w:rPr>
        <w:t>——第</w:t>
      </w:r>
      <w:r>
        <w:rPr>
          <w:rFonts w:hint="eastAsia" w:ascii="宋体" w:hAnsi="宋体" w:eastAsia="宋体" w:cs="宋体"/>
          <w:kern w:val="0"/>
          <w:sz w:val="21"/>
          <w:szCs w:val="21"/>
          <w:lang w:val="en-US" w:eastAsia="zh-CN" w:bidi="ar-SA"/>
        </w:rPr>
        <w:t>3</w:t>
      </w:r>
      <w:r>
        <w:rPr>
          <w:rFonts w:hint="default" w:ascii="宋体" w:hAnsi="宋体" w:eastAsia="宋体" w:cs="宋体"/>
          <w:kern w:val="0"/>
          <w:sz w:val="21"/>
          <w:szCs w:val="21"/>
          <w:lang w:val="fr-FR" w:eastAsia="zh-CN" w:bidi="ar-SA"/>
        </w:rPr>
        <w:t>部分：土壤挥发性有机物监测质量保证与质量控制技术规范</w:t>
      </w:r>
    </w:p>
    <w:p w14:paraId="5912B000">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kern w:val="0"/>
          <w:sz w:val="21"/>
          <w:szCs w:val="21"/>
          <w:lang w:val="fr-FR" w:eastAsia="zh-CN" w:bidi="ar-SA"/>
        </w:rPr>
      </w:pPr>
      <w:r>
        <w:rPr>
          <w:rFonts w:hint="default" w:ascii="宋体" w:hAnsi="宋体" w:eastAsia="宋体" w:cs="宋体"/>
          <w:kern w:val="0"/>
          <w:sz w:val="21"/>
          <w:szCs w:val="21"/>
          <w:lang w:val="fr-FR" w:eastAsia="zh-CN" w:bidi="ar-SA"/>
        </w:rPr>
        <w:t>本文件由</w:t>
      </w:r>
      <w:r>
        <w:rPr>
          <w:rFonts w:hint="default" w:ascii="宋体" w:hAnsi="宋体" w:eastAsia="宋体" w:cs="宋体"/>
          <w:kern w:val="0"/>
          <w:sz w:val="21"/>
          <w:szCs w:val="21"/>
          <w:lang w:val="en-US" w:eastAsia="zh-CN" w:bidi="ar-SA"/>
        </w:rPr>
        <w:t>湖北省生态环境</w:t>
      </w:r>
      <w:r>
        <w:rPr>
          <w:rFonts w:hint="eastAsia" w:ascii="宋体" w:hAnsi="宋体" w:eastAsia="宋体" w:cs="宋体"/>
          <w:kern w:val="0"/>
          <w:sz w:val="21"/>
          <w:szCs w:val="21"/>
          <w:lang w:val="en-US" w:eastAsia="zh-CN" w:bidi="ar-SA"/>
        </w:rPr>
        <w:t>厅</w:t>
      </w:r>
      <w:r>
        <w:rPr>
          <w:rFonts w:hint="default" w:ascii="宋体" w:hAnsi="宋体" w:eastAsia="宋体" w:cs="宋体"/>
          <w:kern w:val="0"/>
          <w:sz w:val="21"/>
          <w:szCs w:val="21"/>
          <w:lang w:val="fr-FR" w:eastAsia="zh-CN" w:bidi="ar-SA"/>
        </w:rPr>
        <w:t>提出并归口。</w:t>
      </w:r>
    </w:p>
    <w:p w14:paraId="6F539334">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本文件起草单位：湖北省生态环境科学研究院（省生态环境工程评估中心）、湖北省</w:t>
      </w:r>
      <w:r>
        <w:rPr>
          <w:rFonts w:hint="eastAsia" w:ascii="宋体" w:hAnsi="宋体" w:eastAsia="宋体" w:cs="宋体"/>
          <w:kern w:val="0"/>
          <w:sz w:val="21"/>
          <w:szCs w:val="21"/>
          <w:lang w:val="en-US" w:eastAsia="zh-CN" w:bidi="ar-SA"/>
        </w:rPr>
        <w:t>生态</w:t>
      </w:r>
      <w:r>
        <w:rPr>
          <w:rFonts w:hint="default" w:ascii="宋体" w:hAnsi="宋体" w:eastAsia="宋体" w:cs="宋体"/>
          <w:kern w:val="0"/>
          <w:sz w:val="21"/>
          <w:szCs w:val="21"/>
          <w:lang w:val="en-US" w:eastAsia="zh-CN" w:bidi="ar-SA"/>
        </w:rPr>
        <w:t>环境监测中心站、湖北省标准化与质量研究院、湖北省生态环境厅武汉生态环境监测中心、湖北省生态环境厅宜昌生态环境监测中心、广检检测技术（武汉）有限公司。</w:t>
      </w:r>
    </w:p>
    <w:p w14:paraId="1CD906CD">
      <w:pPr>
        <w:keepNext w:val="0"/>
        <w:keepLines w:val="0"/>
        <w:pageBreakBefore w:val="0"/>
        <w:widowControl w:val="0"/>
        <w:kinsoku/>
        <w:overflowPunct/>
        <w:topLinePunct w:val="0"/>
        <w:autoSpaceDE w:val="0"/>
        <w:autoSpaceDN w:val="0"/>
        <w:bidi w:val="0"/>
        <w:adjustRightInd w:val="0"/>
        <w:snapToGrid w:val="0"/>
        <w:spacing w:line="360" w:lineRule="auto"/>
        <w:ind w:firstLine="420"/>
        <w:jc w:val="both"/>
        <w:rPr>
          <w:rFonts w:hint="default" w:ascii="宋体" w:hAnsi="宋体" w:eastAsia="宋体" w:cs="宋体"/>
          <w:kern w:val="0"/>
          <w:sz w:val="21"/>
          <w:szCs w:val="21"/>
          <w:lang w:val="fr-FR" w:eastAsia="zh-CN" w:bidi="ar-SA"/>
        </w:rPr>
      </w:pPr>
      <w:r>
        <w:rPr>
          <w:rFonts w:hint="default" w:ascii="宋体" w:hAnsi="宋体" w:eastAsia="宋体" w:cs="宋体"/>
          <w:kern w:val="0"/>
          <w:sz w:val="21"/>
          <w:szCs w:val="21"/>
          <w:lang w:val="fr-FR" w:eastAsia="zh-CN" w:bidi="ar-SA"/>
        </w:rPr>
        <w:t>本文件主要起草人：</w:t>
      </w:r>
      <w:r>
        <w:rPr>
          <w:rFonts w:hint="default" w:ascii="宋体" w:hAnsi="宋体" w:eastAsia="宋体" w:cs="宋体"/>
          <w:kern w:val="0"/>
          <w:sz w:val="21"/>
          <w:szCs w:val="21"/>
          <w:lang w:val="en-US" w:eastAsia="zh-CN" w:bidi="ar-SA"/>
        </w:rPr>
        <w:t>*********</w:t>
      </w:r>
      <w:r>
        <w:rPr>
          <w:rFonts w:hint="default" w:ascii="宋体" w:hAnsi="宋体" w:eastAsia="宋体" w:cs="宋体"/>
          <w:kern w:val="0"/>
          <w:sz w:val="21"/>
          <w:szCs w:val="21"/>
          <w:lang w:val="fr-FR" w:eastAsia="zh-CN" w:bidi="ar-SA"/>
        </w:rPr>
        <w:t>。</w:t>
      </w:r>
    </w:p>
    <w:p w14:paraId="30205837">
      <w:pPr>
        <w:widowControl w:val="0"/>
        <w:spacing w:before="4"/>
        <w:jc w:val="both"/>
        <w:rPr>
          <w:rFonts w:ascii="Times New Roman" w:hAnsi="宋体" w:eastAsia="宋体" w:cs="宋体"/>
          <w:kern w:val="2"/>
          <w:sz w:val="17"/>
          <w:szCs w:val="21"/>
          <w:lang w:val="en-US" w:eastAsia="zh-CN" w:bidi="ar-SA"/>
        </w:rPr>
      </w:pPr>
    </w:p>
    <w:p w14:paraId="0707D07B">
      <w:pPr>
        <w:spacing w:before="957"/>
        <w:ind w:left="388" w:right="350" w:firstLine="0"/>
        <w:jc w:val="center"/>
        <w:rPr>
          <w:rFonts w:hint="eastAsia" w:ascii="黑体" w:hAnsi="黑体" w:eastAsia="黑体" w:cs="Times New Roman"/>
          <w:sz w:val="32"/>
        </w:rPr>
      </w:pPr>
      <w:bookmarkStart w:id="250" w:name="_Toc18984"/>
    </w:p>
    <w:p w14:paraId="75B0A3D9">
      <w:pPr>
        <w:spacing w:before="957"/>
        <w:ind w:left="388" w:right="350" w:firstLine="0"/>
        <w:jc w:val="center"/>
        <w:rPr>
          <w:rFonts w:hint="eastAsia" w:ascii="黑体" w:hAnsi="黑体" w:eastAsia="黑体" w:cs="Times New Roman"/>
          <w:sz w:val="32"/>
        </w:rPr>
      </w:pPr>
    </w:p>
    <w:p w14:paraId="7FDD0340">
      <w:pPr>
        <w:spacing w:before="957"/>
        <w:ind w:left="388" w:right="350" w:firstLine="0"/>
        <w:jc w:val="center"/>
        <w:rPr>
          <w:rFonts w:hint="eastAsia" w:ascii="黑体" w:hAnsi="黑体" w:eastAsia="黑体" w:cs="Times New Roman"/>
          <w:sz w:val="32"/>
        </w:rPr>
      </w:pPr>
    </w:p>
    <w:p w14:paraId="3AEED295">
      <w:pPr>
        <w:rPr>
          <w:rFonts w:hint="eastAsia" w:ascii="黑体" w:hAnsi="黑体" w:eastAsia="黑体" w:cs="Times New Roman"/>
          <w:sz w:val="32"/>
        </w:rPr>
      </w:pPr>
      <w:r>
        <w:rPr>
          <w:rFonts w:hint="eastAsia" w:ascii="黑体" w:hAnsi="黑体" w:eastAsia="黑体" w:cs="Times New Roman"/>
          <w:sz w:val="32"/>
        </w:rPr>
        <w:br w:type="page"/>
      </w:r>
    </w:p>
    <w:p w14:paraId="05E9F041">
      <w:pPr>
        <w:spacing w:before="957"/>
        <w:ind w:left="388" w:right="350" w:firstLine="0"/>
        <w:jc w:val="center"/>
        <w:rPr>
          <w:rFonts w:hint="eastAsia" w:ascii="黑体" w:hAnsi="黑体" w:eastAsia="黑体" w:cs="Times New Roman"/>
          <w:sz w:val="32"/>
        </w:rPr>
      </w:pPr>
      <w:r>
        <w:rPr>
          <w:rFonts w:hint="eastAsia" w:ascii="黑体" w:hAnsi="黑体" w:eastAsia="黑体" w:cs="Times New Roman"/>
          <w:sz w:val="32"/>
        </w:rPr>
        <w:t>引</w:t>
      </w:r>
      <w:r>
        <w:rPr>
          <w:rFonts w:hint="eastAsia" w:ascii="黑体" w:hAnsi="黑体" w:eastAsia="黑体" w:cs="Times New Roman"/>
          <w:sz w:val="32"/>
        </w:rPr>
        <w:tab/>
      </w:r>
      <w:r>
        <w:rPr>
          <w:rFonts w:hint="eastAsia" w:ascii="黑体" w:hAnsi="黑体" w:eastAsia="黑体" w:cs="Times New Roman"/>
          <w:sz w:val="32"/>
        </w:rPr>
        <w:t>言</w:t>
      </w:r>
      <w:bookmarkEnd w:id="250"/>
    </w:p>
    <w:p w14:paraId="0E2B15AB">
      <w:pPr>
        <w:widowControl w:val="0"/>
        <w:spacing w:before="12"/>
        <w:jc w:val="both"/>
        <w:outlineLvl w:val="9"/>
        <w:rPr>
          <w:rFonts w:ascii="黑体" w:hAnsi="宋体" w:eastAsia="宋体" w:cs="宋体"/>
          <w:kern w:val="2"/>
          <w:sz w:val="30"/>
          <w:szCs w:val="21"/>
          <w:lang w:val="en-US" w:eastAsia="zh-CN" w:bidi="ar-SA"/>
        </w:rPr>
      </w:pPr>
    </w:p>
    <w:p w14:paraId="7054F07F">
      <w:pPr>
        <w:keepNext w:val="0"/>
        <w:keepLines w:val="0"/>
        <w:pageBreakBefore w:val="0"/>
        <w:widowControl w:val="0"/>
        <w:kinsoku/>
        <w:wordWrap/>
        <w:overflowPunct/>
        <w:topLinePunct w:val="0"/>
        <w:autoSpaceDE/>
        <w:autoSpaceDN/>
        <w:bidi w:val="0"/>
        <w:adjustRightInd/>
        <w:snapToGrid/>
        <w:spacing w:line="360" w:lineRule="auto"/>
        <w:ind w:left="0" w:right="0" w:firstLine="396" w:firstLineChars="200"/>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pacing w:val="-6"/>
          <w:kern w:val="2"/>
          <w:sz w:val="21"/>
          <w:szCs w:val="21"/>
          <w:lang w:val="en-US" w:eastAsia="zh-CN" w:bidi="ar-SA"/>
        </w:rPr>
        <w:t>为贯彻《中华人民共和国环境保护法》《中华人民共和国土壤污染防治法》，保护土壤生态环境，保障人居环境安全，加强湖北省建设用地土壤环境监督管理，规范湖北省土壤污染状况调查工作，制定本文件。</w:t>
      </w:r>
    </w:p>
    <w:p w14:paraId="3D1EDA70">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outlineLvl w:val="9"/>
        <w:rPr>
          <w:rFonts w:hint="eastAsia" w:ascii="宋体" w:hAnsi="宋体" w:eastAsia="宋体" w:cs="宋体"/>
          <w:sz w:val="21"/>
          <w:szCs w:val="21"/>
        </w:rPr>
        <w:sectPr>
          <w:footerReference r:id="rId52" w:type="default"/>
          <w:footerReference r:id="rId53" w:type="even"/>
          <w:pgSz w:w="11910" w:h="16840"/>
          <w:pgMar w:top="1417" w:right="1134" w:bottom="1134" w:left="1417" w:header="1428" w:footer="1027" w:gutter="0"/>
          <w:pgNumType w:fmt="upperRoman"/>
          <w:cols w:space="720" w:num="1"/>
        </w:sectPr>
      </w:pPr>
      <w:r>
        <w:rPr>
          <w:rFonts w:hint="eastAsia" w:ascii="宋体" w:hAnsi="宋体" w:eastAsia="宋体" w:cs="宋体"/>
          <w:kern w:val="2"/>
          <w:sz w:val="21"/>
          <w:szCs w:val="21"/>
          <w:lang w:val="en-US" w:eastAsia="zh-CN" w:bidi="ar-SA"/>
        </w:rPr>
        <w:t>本文件规定了土壤污染防治相关挥发性有机物监测工作的质量保证和质量控制技术要求，从而保证土壤挥发性有机物监测数据的代表性、准确性和有效性。本部分与第1部分：污染状况调查技术规范、第2部分：重金属监测质量保证与质量控制技术规范等文件共同组成建设用地土壤污染防治技术规范。</w:t>
      </w:r>
    </w:p>
    <w:p w14:paraId="07025EE7">
      <w:pPr>
        <w:keepNext w:val="0"/>
        <w:keepLines w:val="0"/>
        <w:pageBreakBefore w:val="0"/>
        <w:widowControl w:val="0"/>
        <w:tabs>
          <w:tab w:val="left" w:pos="4432"/>
        </w:tabs>
        <w:kinsoku/>
        <w:wordWrap/>
        <w:overflowPunct/>
        <w:topLinePunct w:val="0"/>
        <w:autoSpaceDE/>
        <w:autoSpaceDN/>
        <w:bidi w:val="0"/>
        <w:adjustRightInd/>
        <w:snapToGrid/>
        <w:spacing w:before="850" w:line="240" w:lineRule="auto"/>
        <w:ind w:left="0" w:right="0" w:firstLine="0"/>
        <w:jc w:val="center"/>
        <w:textAlignment w:val="auto"/>
        <w:outlineLvl w:val="1"/>
        <w:rPr>
          <w:rFonts w:hint="eastAsia" w:ascii="黑体" w:hAnsi="黑体" w:eastAsia="黑体" w:cs="黑体"/>
          <w:kern w:val="2"/>
          <w:sz w:val="32"/>
          <w:szCs w:val="32"/>
          <w:lang w:val="en-US" w:eastAsia="zh-CN" w:bidi="ar-SA"/>
        </w:rPr>
      </w:pPr>
      <w:bookmarkStart w:id="251" w:name="_Toc30934"/>
      <w:r>
        <w:rPr>
          <w:rFonts w:hint="eastAsia" w:ascii="黑体" w:hAnsi="黑体" w:eastAsia="黑体" w:cs="黑体"/>
          <w:kern w:val="2"/>
          <w:sz w:val="32"/>
          <w:szCs w:val="32"/>
          <w:lang w:val="en-US" w:eastAsia="zh-CN" w:bidi="ar-SA"/>
        </w:rPr>
        <w:t>建设用地土壤污染风险管控和修复</w:t>
      </w:r>
    </w:p>
    <w:p w14:paraId="610CBB02">
      <w:pPr>
        <w:keepNext w:val="0"/>
        <w:keepLines w:val="0"/>
        <w:pageBreakBefore w:val="0"/>
        <w:widowControl w:val="0"/>
        <w:tabs>
          <w:tab w:val="left" w:pos="4432"/>
        </w:tabs>
        <w:kinsoku/>
        <w:wordWrap/>
        <w:overflowPunct/>
        <w:topLinePunct w:val="0"/>
        <w:autoSpaceDE/>
        <w:autoSpaceDN/>
        <w:bidi w:val="0"/>
        <w:adjustRightInd/>
        <w:snapToGrid/>
        <w:spacing w:before="0" w:after="680" w:line="240" w:lineRule="auto"/>
        <w:ind w:left="0" w:right="0" w:firstLine="0"/>
        <w:jc w:val="center"/>
        <w:textAlignment w:val="auto"/>
        <w:outlineLvl w:val="1"/>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第</w:t>
      </w:r>
      <w:r>
        <w:rPr>
          <w:rFonts w:hint="eastAsia" w:ascii="黑体" w:hAnsi="黑体" w:eastAsia="黑体" w:cs="黑体"/>
          <w:spacing w:val="-83"/>
          <w:kern w:val="2"/>
          <w:sz w:val="32"/>
          <w:szCs w:val="32"/>
          <w:lang w:val="en-US" w:eastAsia="zh-CN" w:bidi="ar-SA"/>
        </w:rPr>
        <w:t xml:space="preserve"> </w:t>
      </w:r>
      <w:r>
        <w:rPr>
          <w:rFonts w:hint="eastAsia" w:ascii="黑体" w:hAnsi="黑体" w:eastAsia="黑体" w:cs="黑体"/>
          <w:kern w:val="2"/>
          <w:sz w:val="32"/>
          <w:szCs w:val="32"/>
          <w:lang w:val="en-US" w:eastAsia="zh-CN" w:bidi="ar-SA"/>
        </w:rPr>
        <w:t>3</w:t>
      </w:r>
      <w:r>
        <w:rPr>
          <w:rFonts w:hint="eastAsia" w:ascii="黑体" w:hAnsi="黑体" w:eastAsia="黑体" w:cs="黑体"/>
          <w:spacing w:val="-84"/>
          <w:kern w:val="2"/>
          <w:sz w:val="32"/>
          <w:szCs w:val="32"/>
          <w:lang w:val="en-US" w:eastAsia="zh-CN" w:bidi="ar-SA"/>
        </w:rPr>
        <w:t xml:space="preserve"> </w:t>
      </w:r>
      <w:r>
        <w:rPr>
          <w:rFonts w:hint="eastAsia" w:ascii="黑体" w:hAnsi="黑体" w:eastAsia="黑体" w:cs="黑体"/>
          <w:kern w:val="2"/>
          <w:sz w:val="32"/>
          <w:szCs w:val="32"/>
          <w:lang w:val="en-US" w:eastAsia="zh-CN" w:bidi="ar-SA"/>
        </w:rPr>
        <w:t>部分：土壤挥发性有机物监测质量保证与质量控制技术规范</w:t>
      </w:r>
      <w:bookmarkEnd w:id="251"/>
    </w:p>
    <w:p w14:paraId="37D6646C">
      <w:pPr>
        <w:keepNext w:val="0"/>
        <w:keepLines w:val="0"/>
        <w:pageBreakBefore w:val="0"/>
        <w:widowControl w:val="0"/>
        <w:numPr>
          <w:ilvl w:val="0"/>
          <w:numId w:val="48"/>
        </w:numPr>
        <w:kinsoku/>
        <w:wordWrap/>
        <w:overflowPunct/>
        <w:topLinePunct w:val="0"/>
        <w:autoSpaceDE w:val="0"/>
        <w:autoSpaceDN w:val="0"/>
        <w:bidi w:val="0"/>
        <w:adjustRightInd w:val="0"/>
        <w:snapToGrid w:val="0"/>
        <w:spacing w:before="0" w:beforeLines="50" w:after="0" w:afterLines="50" w:line="360" w:lineRule="auto"/>
        <w:ind w:left="425" w:leftChars="0" w:hanging="425" w:firstLineChars="0"/>
        <w:jc w:val="both"/>
        <w:textAlignment w:val="auto"/>
        <w:outlineLvl w:val="1"/>
        <w:rPr>
          <w:rFonts w:hint="eastAsia" w:ascii="黑体" w:hAnsi="宋体" w:eastAsia="黑体" w:cs="宋体"/>
          <w:b w:val="0"/>
          <w:bCs w:val="0"/>
          <w:kern w:val="0"/>
          <w:sz w:val="21"/>
          <w:szCs w:val="21"/>
          <w:lang w:val="fr-FR" w:eastAsia="en-US" w:bidi="ar-SA"/>
        </w:rPr>
      </w:pPr>
      <w:bookmarkStart w:id="252" w:name="_Toc9436"/>
      <w:r>
        <w:rPr>
          <w:rFonts w:hint="eastAsia" w:ascii="黑体" w:hAnsi="宋体" w:eastAsia="黑体" w:cs="宋体"/>
          <w:b w:val="0"/>
          <w:bCs w:val="0"/>
          <w:kern w:val="0"/>
          <w:sz w:val="21"/>
          <w:szCs w:val="21"/>
          <w:lang w:val="fr-FR" w:eastAsia="en-US" w:bidi="ar-SA"/>
        </w:rPr>
        <w:t>范围</w:t>
      </w:r>
      <w:bookmarkEnd w:id="252"/>
    </w:p>
    <w:p w14:paraId="70C580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本文件规定了建设用地土壤挥发性有机物监测中术语和定义以及人员、仪器与设备、样品采集、实验室分析、质量监督计划、质控数据统计等质量保证与质量控制技术要求。</w:t>
      </w:r>
    </w:p>
    <w:p w14:paraId="67A05D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本文件适用于建设用地土壤调查监测过程中所涉及的GB 36600“建设用地土壤污染风险筛选值和管制值”中土壤挥发性有机物的监测质量控制。其他土壤挥发性有机物项目的监测质量控制可参照本文件执行。</w:t>
      </w:r>
    </w:p>
    <w:p w14:paraId="0B346D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本文件不适用于建设用地的放射性及致病性生物污染监测。</w:t>
      </w:r>
    </w:p>
    <w:p w14:paraId="217D8C38">
      <w:pPr>
        <w:keepNext w:val="0"/>
        <w:keepLines w:val="0"/>
        <w:pageBreakBefore w:val="0"/>
        <w:widowControl w:val="0"/>
        <w:numPr>
          <w:ilvl w:val="0"/>
          <w:numId w:val="48"/>
        </w:numPr>
        <w:kinsoku/>
        <w:wordWrap/>
        <w:overflowPunct/>
        <w:topLinePunct w:val="0"/>
        <w:autoSpaceDE w:val="0"/>
        <w:autoSpaceDN w:val="0"/>
        <w:bidi w:val="0"/>
        <w:adjustRightInd w:val="0"/>
        <w:snapToGrid w:val="0"/>
        <w:spacing w:before="0" w:beforeLines="50" w:after="0" w:afterLines="50" w:line="360" w:lineRule="auto"/>
        <w:ind w:left="425" w:leftChars="0" w:hanging="425" w:firstLineChars="0"/>
        <w:jc w:val="both"/>
        <w:textAlignment w:val="auto"/>
        <w:outlineLvl w:val="1"/>
        <w:rPr>
          <w:rFonts w:hint="eastAsia" w:ascii="黑体" w:hAnsi="宋体" w:eastAsia="黑体" w:cs="宋体"/>
          <w:b w:val="0"/>
          <w:bCs w:val="0"/>
          <w:kern w:val="0"/>
          <w:sz w:val="21"/>
          <w:szCs w:val="21"/>
          <w:lang w:val="fr-FR" w:eastAsia="en-US" w:bidi="ar-SA"/>
        </w:rPr>
      </w:pPr>
      <w:bookmarkStart w:id="253" w:name="_Toc2499"/>
      <w:r>
        <w:rPr>
          <w:rFonts w:hint="eastAsia" w:ascii="黑体" w:hAnsi="宋体" w:eastAsia="黑体" w:cs="宋体"/>
          <w:b w:val="0"/>
          <w:bCs w:val="0"/>
          <w:kern w:val="0"/>
          <w:sz w:val="21"/>
          <w:szCs w:val="21"/>
          <w:lang w:val="fr-FR" w:eastAsia="en-US" w:bidi="ar-SA"/>
        </w:rPr>
        <w:t>规范性引用文件</w:t>
      </w:r>
      <w:bookmarkEnd w:id="253"/>
    </w:p>
    <w:p w14:paraId="07A649E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下列文件中的内容通过文中的规范性引用而构成本文件必不可少的条款。其中，注日期的引用文件</w:t>
      </w:r>
      <w:r>
        <w:rPr>
          <w:rFonts w:hint="eastAsia" w:ascii="宋体" w:hAnsi="宋体" w:eastAsia="宋体" w:cs="宋体"/>
          <w:sz w:val="21"/>
          <w:szCs w:val="21"/>
          <w:lang w:eastAsia="zh-CN"/>
        </w:rPr>
        <w:t>，</w:t>
      </w:r>
      <w:r>
        <w:rPr>
          <w:rFonts w:hint="eastAsia" w:ascii="宋体" w:hAnsi="宋体" w:eastAsia="宋体" w:cs="宋体"/>
          <w:sz w:val="21"/>
          <w:szCs w:val="21"/>
        </w:rPr>
        <w:t>仅该日期对应的版本适用于本文件；不注日期的引用文件，其最新版本（包括所有的修改单）适用于本文件。</w:t>
      </w:r>
    </w:p>
    <w:p w14:paraId="311313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GB/T 8170</w:t>
      </w:r>
      <w:r>
        <w:rPr>
          <w:rFonts w:hint="eastAsia" w:ascii="宋体" w:hAnsi="宋体" w:eastAsia="宋体" w:cs="宋体"/>
          <w:sz w:val="21"/>
          <w:szCs w:val="21"/>
        </w:rPr>
        <w:tab/>
      </w:r>
      <w:r>
        <w:rPr>
          <w:rFonts w:hint="eastAsia" w:ascii="宋体" w:hAnsi="宋体" w:eastAsia="宋体" w:cs="宋体"/>
          <w:sz w:val="21"/>
          <w:szCs w:val="21"/>
        </w:rPr>
        <w:t>数值修约规则与极限数值的表示和判定</w:t>
      </w:r>
    </w:p>
    <w:p w14:paraId="69DAA2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GB/T 32722</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土壤质量 土壤样品长期和短期保存指南</w:t>
      </w:r>
    </w:p>
    <w:p w14:paraId="79F1A0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GB 36600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土壤环境质量 建设用地土壤污染风险管控标准（试行） </w:t>
      </w:r>
    </w:p>
    <w:p w14:paraId="7D5A13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 25.1</w:t>
      </w:r>
      <w:r>
        <w:rPr>
          <w:rFonts w:hint="eastAsia" w:ascii="宋体" w:hAnsi="宋体" w:eastAsia="宋体" w:cs="宋体"/>
          <w:sz w:val="21"/>
          <w:szCs w:val="21"/>
        </w:rPr>
        <w:tab/>
      </w:r>
      <w:r>
        <w:rPr>
          <w:rFonts w:hint="eastAsia" w:ascii="宋体" w:hAnsi="宋体" w:eastAsia="宋体" w:cs="宋体"/>
          <w:sz w:val="21"/>
          <w:szCs w:val="21"/>
        </w:rPr>
        <w:t>建设用地土壤污染状况调查技术导则</w:t>
      </w:r>
    </w:p>
    <w:p w14:paraId="4EECC7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 25.2</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建设用地土壤污染风险管控和修复监测技术导则</w:t>
      </w:r>
    </w:p>
    <w:p w14:paraId="3C842B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 25.5</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污染地块风险管控与土壤修复效果评估技术导则</w:t>
      </w:r>
    </w:p>
    <w:p w14:paraId="31E115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HJ/T 166</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土壤环境监测技术规范</w:t>
      </w:r>
    </w:p>
    <w:p w14:paraId="3C48D1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 168</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环境监测 分析方法标准制修订技术导则</w:t>
      </w:r>
    </w:p>
    <w:p w14:paraId="4BDF5B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 605</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土壤和沉积物 挥发性有机物的测定 吹扫捕集/气相色谱-质谱法</w:t>
      </w:r>
    </w:p>
    <w:p w14:paraId="345FBB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 613</w:t>
      </w:r>
      <w:r>
        <w:rPr>
          <w:rFonts w:hint="eastAsia" w:ascii="宋体" w:hAnsi="宋体" w:eastAsia="宋体" w:cs="宋体"/>
          <w:sz w:val="21"/>
          <w:szCs w:val="21"/>
        </w:rPr>
        <w:tab/>
      </w:r>
      <w:r>
        <w:rPr>
          <w:rFonts w:hint="eastAsia" w:ascii="宋体" w:hAnsi="宋体" w:eastAsia="宋体" w:cs="宋体"/>
          <w:sz w:val="21"/>
          <w:szCs w:val="21"/>
        </w:rPr>
        <w:t>土壤 干物质和水分的测定 重量法</w:t>
      </w:r>
    </w:p>
    <w:p w14:paraId="400B82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 630</w:t>
      </w:r>
      <w:r>
        <w:rPr>
          <w:rFonts w:hint="eastAsia" w:ascii="宋体" w:hAnsi="宋体" w:eastAsia="宋体" w:cs="宋体"/>
          <w:sz w:val="21"/>
          <w:szCs w:val="21"/>
        </w:rPr>
        <w:tab/>
      </w:r>
      <w:r>
        <w:rPr>
          <w:rFonts w:hint="eastAsia" w:ascii="宋体" w:hAnsi="宋体" w:eastAsia="宋体" w:cs="宋体"/>
          <w:sz w:val="21"/>
          <w:szCs w:val="21"/>
        </w:rPr>
        <w:t>环境监测质量管理技术导则</w:t>
      </w:r>
    </w:p>
    <w:p w14:paraId="55831A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642</w:t>
      </w:r>
      <w:r>
        <w:rPr>
          <w:rFonts w:hint="eastAsia" w:ascii="宋体" w:hAnsi="宋体" w:eastAsia="宋体" w:cs="宋体"/>
          <w:sz w:val="21"/>
          <w:szCs w:val="21"/>
        </w:rPr>
        <w:tab/>
      </w:r>
      <w:r>
        <w:rPr>
          <w:rFonts w:hint="eastAsia" w:ascii="宋体" w:hAnsi="宋体" w:eastAsia="宋体" w:cs="宋体"/>
          <w:sz w:val="21"/>
          <w:szCs w:val="21"/>
        </w:rPr>
        <w:t>土壤和沉积物</w:t>
      </w:r>
      <w:r>
        <w:rPr>
          <w:rFonts w:hint="eastAsia" w:ascii="宋体" w:hAnsi="宋体" w:eastAsia="宋体" w:cs="宋体"/>
          <w:sz w:val="21"/>
          <w:szCs w:val="21"/>
        </w:rPr>
        <w:tab/>
      </w:r>
      <w:r>
        <w:rPr>
          <w:rFonts w:hint="eastAsia" w:ascii="宋体" w:hAnsi="宋体" w:eastAsia="宋体" w:cs="宋体"/>
          <w:sz w:val="21"/>
          <w:szCs w:val="21"/>
        </w:rPr>
        <w:t>挥发性有机物的测定</w:t>
      </w:r>
      <w:r>
        <w:rPr>
          <w:rFonts w:hint="eastAsia" w:ascii="宋体" w:hAnsi="宋体" w:eastAsia="宋体" w:cs="宋体"/>
          <w:sz w:val="21"/>
          <w:szCs w:val="21"/>
        </w:rPr>
        <w:tab/>
      </w:r>
      <w:r>
        <w:rPr>
          <w:rFonts w:hint="eastAsia" w:ascii="宋体" w:hAnsi="宋体" w:eastAsia="宋体" w:cs="宋体"/>
          <w:sz w:val="21"/>
          <w:szCs w:val="21"/>
        </w:rPr>
        <w:t>顶空/气相色谱-质谱法</w:t>
      </w:r>
    </w:p>
    <w:p w14:paraId="04A2C3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735</w:t>
      </w:r>
      <w:r>
        <w:rPr>
          <w:rFonts w:hint="eastAsia" w:ascii="宋体" w:hAnsi="宋体" w:eastAsia="宋体" w:cs="宋体"/>
          <w:sz w:val="21"/>
          <w:szCs w:val="21"/>
        </w:rPr>
        <w:tab/>
      </w:r>
      <w:r>
        <w:rPr>
          <w:rFonts w:hint="eastAsia" w:ascii="宋体" w:hAnsi="宋体" w:eastAsia="宋体" w:cs="宋体"/>
          <w:sz w:val="21"/>
          <w:szCs w:val="21"/>
        </w:rPr>
        <w:t>土壤和沉积物</w:t>
      </w:r>
      <w:r>
        <w:rPr>
          <w:rFonts w:hint="eastAsia" w:ascii="宋体" w:hAnsi="宋体" w:eastAsia="宋体" w:cs="宋体"/>
          <w:sz w:val="21"/>
          <w:szCs w:val="21"/>
        </w:rPr>
        <w:tab/>
      </w:r>
      <w:r>
        <w:rPr>
          <w:rFonts w:hint="eastAsia" w:ascii="宋体" w:hAnsi="宋体" w:eastAsia="宋体" w:cs="宋体"/>
          <w:sz w:val="21"/>
          <w:szCs w:val="21"/>
        </w:rPr>
        <w:t>挥发性卤代烃的测定</w:t>
      </w:r>
      <w:r>
        <w:rPr>
          <w:rFonts w:hint="eastAsia" w:ascii="宋体" w:hAnsi="宋体" w:eastAsia="宋体" w:cs="宋体"/>
          <w:sz w:val="21"/>
          <w:szCs w:val="21"/>
        </w:rPr>
        <w:tab/>
      </w:r>
      <w:r>
        <w:rPr>
          <w:rFonts w:hint="eastAsia" w:ascii="宋体" w:hAnsi="宋体" w:eastAsia="宋体" w:cs="宋体"/>
          <w:sz w:val="21"/>
          <w:szCs w:val="21"/>
        </w:rPr>
        <w:t>吹扫捕集/气相色谱-质谱法</w:t>
      </w:r>
    </w:p>
    <w:p w14:paraId="1BB7BA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736</w:t>
      </w:r>
      <w:r>
        <w:rPr>
          <w:rFonts w:hint="eastAsia" w:ascii="宋体" w:hAnsi="宋体" w:eastAsia="宋体" w:cs="宋体"/>
          <w:sz w:val="21"/>
          <w:szCs w:val="21"/>
        </w:rPr>
        <w:tab/>
      </w:r>
      <w:r>
        <w:rPr>
          <w:rFonts w:hint="eastAsia" w:ascii="宋体" w:hAnsi="宋体" w:eastAsia="宋体" w:cs="宋体"/>
          <w:sz w:val="21"/>
          <w:szCs w:val="21"/>
        </w:rPr>
        <w:t>土壤和沉积物</w:t>
      </w:r>
      <w:r>
        <w:rPr>
          <w:rFonts w:hint="eastAsia" w:ascii="宋体" w:hAnsi="宋体" w:eastAsia="宋体" w:cs="宋体"/>
          <w:sz w:val="21"/>
          <w:szCs w:val="21"/>
        </w:rPr>
        <w:tab/>
      </w:r>
      <w:r>
        <w:rPr>
          <w:rFonts w:hint="eastAsia" w:ascii="宋体" w:hAnsi="宋体" w:eastAsia="宋体" w:cs="宋体"/>
          <w:sz w:val="21"/>
          <w:szCs w:val="21"/>
        </w:rPr>
        <w:t>挥发性卤代烃的测定</w:t>
      </w:r>
      <w:r>
        <w:rPr>
          <w:rFonts w:hint="eastAsia" w:ascii="宋体" w:hAnsi="宋体" w:eastAsia="宋体" w:cs="宋体"/>
          <w:sz w:val="21"/>
          <w:szCs w:val="21"/>
        </w:rPr>
        <w:tab/>
      </w:r>
      <w:r>
        <w:rPr>
          <w:rFonts w:hint="eastAsia" w:ascii="宋体" w:hAnsi="宋体" w:eastAsia="宋体" w:cs="宋体"/>
          <w:sz w:val="21"/>
          <w:szCs w:val="21"/>
        </w:rPr>
        <w:t>顶空/气相色谱-质谱法</w:t>
      </w:r>
    </w:p>
    <w:p w14:paraId="523284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741</w:t>
      </w:r>
      <w:r>
        <w:rPr>
          <w:rFonts w:hint="eastAsia" w:ascii="宋体" w:hAnsi="宋体" w:eastAsia="宋体" w:cs="宋体"/>
          <w:sz w:val="21"/>
          <w:szCs w:val="21"/>
        </w:rPr>
        <w:tab/>
      </w:r>
      <w:r>
        <w:rPr>
          <w:rFonts w:hint="eastAsia" w:ascii="宋体" w:hAnsi="宋体" w:eastAsia="宋体" w:cs="宋体"/>
          <w:sz w:val="21"/>
          <w:szCs w:val="21"/>
        </w:rPr>
        <w:t>土壤和沉积物</w:t>
      </w:r>
      <w:r>
        <w:rPr>
          <w:rFonts w:hint="eastAsia" w:ascii="宋体" w:hAnsi="宋体" w:eastAsia="宋体" w:cs="宋体"/>
          <w:sz w:val="21"/>
          <w:szCs w:val="21"/>
        </w:rPr>
        <w:tab/>
      </w:r>
      <w:r>
        <w:rPr>
          <w:rFonts w:hint="eastAsia" w:ascii="宋体" w:hAnsi="宋体" w:eastAsia="宋体" w:cs="宋体"/>
          <w:sz w:val="21"/>
          <w:szCs w:val="21"/>
        </w:rPr>
        <w:t>挥发性有机物的测定</w:t>
      </w:r>
      <w:r>
        <w:rPr>
          <w:rFonts w:hint="eastAsia" w:ascii="宋体" w:hAnsi="宋体" w:eastAsia="宋体" w:cs="宋体"/>
          <w:sz w:val="21"/>
          <w:szCs w:val="21"/>
        </w:rPr>
        <w:tab/>
      </w:r>
      <w:r>
        <w:rPr>
          <w:rFonts w:hint="eastAsia" w:ascii="宋体" w:hAnsi="宋体" w:eastAsia="宋体" w:cs="宋体"/>
          <w:sz w:val="21"/>
          <w:szCs w:val="21"/>
        </w:rPr>
        <w:t>顶空/气相色谱法</w:t>
      </w:r>
    </w:p>
    <w:p w14:paraId="1E6665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742</w:t>
      </w:r>
      <w:r>
        <w:rPr>
          <w:rFonts w:hint="eastAsia" w:ascii="宋体" w:hAnsi="宋体" w:eastAsia="宋体" w:cs="宋体"/>
          <w:sz w:val="21"/>
          <w:szCs w:val="21"/>
        </w:rPr>
        <w:tab/>
      </w:r>
      <w:r>
        <w:rPr>
          <w:rFonts w:hint="eastAsia" w:ascii="宋体" w:hAnsi="宋体" w:eastAsia="宋体" w:cs="宋体"/>
          <w:sz w:val="21"/>
          <w:szCs w:val="21"/>
        </w:rPr>
        <w:t>土壤和沉积物</w:t>
      </w:r>
      <w:r>
        <w:rPr>
          <w:rFonts w:hint="eastAsia" w:ascii="宋体" w:hAnsi="宋体" w:eastAsia="宋体" w:cs="宋体"/>
          <w:sz w:val="21"/>
          <w:szCs w:val="21"/>
        </w:rPr>
        <w:tab/>
      </w:r>
      <w:r>
        <w:rPr>
          <w:rFonts w:hint="eastAsia" w:ascii="宋体" w:hAnsi="宋体" w:eastAsia="宋体" w:cs="宋体"/>
          <w:sz w:val="21"/>
          <w:szCs w:val="21"/>
        </w:rPr>
        <w:t>挥发性芳香烃的测定</w:t>
      </w:r>
      <w:r>
        <w:rPr>
          <w:rFonts w:hint="eastAsia" w:ascii="宋体" w:hAnsi="宋体" w:eastAsia="宋体" w:cs="宋体"/>
          <w:sz w:val="21"/>
          <w:szCs w:val="21"/>
        </w:rPr>
        <w:tab/>
      </w:r>
      <w:r>
        <w:rPr>
          <w:rFonts w:hint="eastAsia" w:ascii="宋体" w:hAnsi="宋体" w:eastAsia="宋体" w:cs="宋体"/>
          <w:sz w:val="21"/>
          <w:szCs w:val="21"/>
        </w:rPr>
        <w:t>顶空/气相色谱法</w:t>
      </w:r>
    </w:p>
    <w:p w14:paraId="585075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sectPr>
          <w:footerReference r:id="rId54" w:type="default"/>
          <w:footerReference r:id="rId55" w:type="even"/>
          <w:pgSz w:w="11850" w:h="16790"/>
          <w:pgMar w:top="1417" w:right="1134" w:bottom="1134" w:left="1417" w:header="1428" w:footer="1135" w:gutter="0"/>
          <w:pgNumType w:fmt="decimal" w:start="1"/>
          <w:cols w:space="720" w:num="1"/>
        </w:sectPr>
      </w:pPr>
    </w:p>
    <w:p w14:paraId="359343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HJ 1019</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地块土壤和地下水中挥发性有机物采样技术导则</w:t>
      </w:r>
    </w:p>
    <w:p w14:paraId="327796F8">
      <w:pPr>
        <w:keepNext w:val="0"/>
        <w:keepLines w:val="0"/>
        <w:pageBreakBefore w:val="0"/>
        <w:widowControl w:val="0"/>
        <w:numPr>
          <w:ilvl w:val="0"/>
          <w:numId w:val="48"/>
        </w:numPr>
        <w:kinsoku/>
        <w:wordWrap/>
        <w:overflowPunct/>
        <w:topLinePunct w:val="0"/>
        <w:autoSpaceDE w:val="0"/>
        <w:autoSpaceDN w:val="0"/>
        <w:bidi w:val="0"/>
        <w:adjustRightInd w:val="0"/>
        <w:snapToGrid w:val="0"/>
        <w:spacing w:before="0" w:beforeLines="50" w:after="0" w:afterLines="50" w:line="360" w:lineRule="auto"/>
        <w:ind w:left="425" w:leftChars="0" w:hanging="425" w:firstLineChars="0"/>
        <w:jc w:val="both"/>
        <w:textAlignment w:val="auto"/>
        <w:outlineLvl w:val="1"/>
        <w:rPr>
          <w:rFonts w:hint="eastAsia" w:ascii="黑体" w:hAnsi="宋体" w:eastAsia="黑体" w:cs="宋体"/>
          <w:b w:val="0"/>
          <w:bCs w:val="0"/>
          <w:kern w:val="0"/>
          <w:sz w:val="21"/>
          <w:szCs w:val="21"/>
          <w:lang w:val="fr-FR" w:eastAsia="en-US" w:bidi="ar-SA"/>
        </w:rPr>
      </w:pPr>
      <w:bookmarkStart w:id="254" w:name="_Toc11413"/>
      <w:r>
        <w:rPr>
          <w:rFonts w:hint="eastAsia" w:ascii="黑体" w:hAnsi="宋体" w:eastAsia="黑体" w:cs="宋体"/>
          <w:b w:val="0"/>
          <w:bCs w:val="0"/>
          <w:kern w:val="0"/>
          <w:sz w:val="21"/>
          <w:szCs w:val="21"/>
          <w:lang w:val="fr-FR" w:eastAsia="en-US" w:bidi="ar-SA"/>
        </w:rPr>
        <w:t>术语和定义</w:t>
      </w:r>
      <w:bookmarkEnd w:id="254"/>
    </w:p>
    <w:p w14:paraId="7BFD62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仿宋_GB2312" w:cs="Times New Roman"/>
          <w:sz w:val="24"/>
          <w:szCs w:val="24"/>
        </w:rPr>
      </w:pPr>
      <w:r>
        <w:rPr>
          <w:rFonts w:hint="eastAsia" w:ascii="宋体" w:hAnsi="宋体" w:eastAsia="宋体" w:cs="宋体"/>
          <w:sz w:val="21"/>
          <w:szCs w:val="21"/>
        </w:rPr>
        <w:t>下列术语和定义适用于本文件。</w:t>
      </w:r>
    </w:p>
    <w:p w14:paraId="32FE21F7">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3.1</w:t>
      </w:r>
    </w:p>
    <w:p w14:paraId="792CF2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挥发性有机物</w:t>
      </w:r>
      <w:r>
        <w:rPr>
          <w:rFonts w:hint="eastAsia" w:ascii="黑体" w:hAnsi="黑体" w:eastAsia="黑体" w:cs="黑体"/>
          <w:b w:val="0"/>
          <w:bCs w:val="0"/>
          <w:sz w:val="21"/>
          <w:szCs w:val="21"/>
        </w:rPr>
        <w:tab/>
      </w:r>
      <w:r>
        <w:rPr>
          <w:rFonts w:hint="eastAsia" w:ascii="黑体" w:hAnsi="黑体" w:eastAsia="黑体" w:cs="黑体"/>
          <w:b w:val="0"/>
          <w:bCs w:val="0"/>
          <w:sz w:val="21"/>
          <w:szCs w:val="21"/>
        </w:rPr>
        <w:t>volatile organic compounds</w:t>
      </w:r>
    </w:p>
    <w:p w14:paraId="098A08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沸点低于或等于260℃，或在20℃和1个大气压下饱和蒸气压超过133.322Pa的有机化合物。</w:t>
      </w:r>
    </w:p>
    <w:p w14:paraId="4FC907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[来源：HJ 1019-2019，3.2]</w:t>
      </w:r>
    </w:p>
    <w:p w14:paraId="41D23F92">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default" w:ascii="黑体" w:hAnsi="黑体" w:eastAsia="黑体" w:cs="黑体"/>
          <w:b w:val="0"/>
          <w:bCs w:val="0"/>
          <w:kern w:val="2"/>
          <w:sz w:val="21"/>
          <w:szCs w:val="21"/>
          <w:lang w:val="en-US" w:eastAsia="zh-CN" w:bidi="ar-SA"/>
        </w:rPr>
      </w:pPr>
      <w:r>
        <w:rPr>
          <w:rFonts w:hint="default" w:ascii="黑体" w:hAnsi="黑体" w:eastAsia="黑体" w:cs="黑体"/>
          <w:b w:val="0"/>
          <w:bCs w:val="0"/>
          <w:kern w:val="2"/>
          <w:sz w:val="21"/>
          <w:szCs w:val="21"/>
          <w:lang w:val="en-US" w:eastAsia="zh-CN" w:bidi="ar-SA"/>
        </w:rPr>
        <w:t>3.2</w:t>
      </w:r>
    </w:p>
    <w:p w14:paraId="69A405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替代物</w:t>
      </w:r>
      <w:r>
        <w:rPr>
          <w:rFonts w:hint="eastAsia" w:ascii="黑体" w:hAnsi="黑体" w:eastAsia="黑体" w:cs="黑体"/>
          <w:b w:val="0"/>
          <w:bCs w:val="0"/>
          <w:sz w:val="21"/>
          <w:szCs w:val="21"/>
        </w:rPr>
        <w:tab/>
      </w:r>
      <w:r>
        <w:rPr>
          <w:rFonts w:hint="eastAsia" w:ascii="黑体" w:hAnsi="黑体" w:eastAsia="黑体" w:cs="黑体"/>
          <w:b w:val="0"/>
          <w:bCs w:val="0"/>
          <w:sz w:val="21"/>
          <w:szCs w:val="21"/>
        </w:rPr>
        <w:t>surrogate standards</w:t>
      </w:r>
    </w:p>
    <w:p w14:paraId="6A002B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在样品中不含有，但其物理化学性质与待测目标物相似的物质。一般在样品提取或其他前处理之前加入，通过回收率可以评价样品基体、样品处理过程对分析结果的影响。</w:t>
      </w:r>
    </w:p>
    <w:p w14:paraId="0B55E5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[来源：HJ 605-2011，3.2]</w:t>
      </w:r>
    </w:p>
    <w:p w14:paraId="5AC99FF7">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default" w:ascii="黑体" w:hAnsi="黑体" w:eastAsia="黑体" w:cs="黑体"/>
          <w:b w:val="0"/>
          <w:bCs w:val="0"/>
          <w:kern w:val="2"/>
          <w:sz w:val="21"/>
          <w:szCs w:val="21"/>
          <w:lang w:val="en-US" w:eastAsia="zh-CN" w:bidi="ar-SA"/>
        </w:rPr>
      </w:pPr>
      <w:r>
        <w:rPr>
          <w:rFonts w:hint="default" w:ascii="黑体" w:hAnsi="黑体" w:eastAsia="黑体" w:cs="黑体"/>
          <w:b w:val="0"/>
          <w:bCs w:val="0"/>
          <w:kern w:val="2"/>
          <w:sz w:val="21"/>
          <w:szCs w:val="21"/>
          <w:lang w:val="en-US" w:eastAsia="zh-CN" w:bidi="ar-SA"/>
        </w:rPr>
        <w:t>3.3</w:t>
      </w:r>
    </w:p>
    <w:p w14:paraId="1D7826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基体加标</w:t>
      </w:r>
      <w:r>
        <w:rPr>
          <w:rFonts w:hint="eastAsia" w:ascii="黑体" w:hAnsi="黑体" w:eastAsia="黑体" w:cs="黑体"/>
          <w:b w:val="0"/>
          <w:bCs w:val="0"/>
          <w:sz w:val="21"/>
          <w:szCs w:val="21"/>
        </w:rPr>
        <w:tab/>
      </w:r>
      <w:r>
        <w:rPr>
          <w:rFonts w:hint="eastAsia" w:ascii="黑体" w:hAnsi="黑体" w:eastAsia="黑体" w:cs="黑体"/>
          <w:b w:val="0"/>
          <w:bCs w:val="0"/>
          <w:sz w:val="21"/>
          <w:szCs w:val="21"/>
        </w:rPr>
        <w:t>matrix spike</w:t>
      </w:r>
    </w:p>
    <w:p w14:paraId="027EF1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在样品中添加已知量的待测目标物，用于评价目标物的回收率和样品的基体效应。</w:t>
      </w:r>
    </w:p>
    <w:p w14:paraId="2DB607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[来源：HJ 605-2011，3.3]</w:t>
      </w:r>
    </w:p>
    <w:p w14:paraId="2389D263">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default" w:ascii="黑体" w:hAnsi="黑体" w:eastAsia="黑体" w:cs="黑体"/>
          <w:b w:val="0"/>
          <w:bCs w:val="0"/>
          <w:kern w:val="2"/>
          <w:sz w:val="21"/>
          <w:szCs w:val="21"/>
          <w:lang w:val="en-US" w:eastAsia="zh-CN" w:bidi="ar-SA"/>
        </w:rPr>
      </w:pPr>
      <w:r>
        <w:rPr>
          <w:rFonts w:hint="default" w:ascii="黑体" w:hAnsi="黑体" w:eastAsia="黑体" w:cs="黑体"/>
          <w:b w:val="0"/>
          <w:bCs w:val="0"/>
          <w:kern w:val="2"/>
          <w:sz w:val="21"/>
          <w:szCs w:val="21"/>
          <w:lang w:val="en-US" w:eastAsia="zh-CN" w:bidi="ar-SA"/>
        </w:rPr>
        <w:t>3.4</w:t>
      </w:r>
    </w:p>
    <w:p w14:paraId="312ED9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实验室空白</w:t>
      </w:r>
      <w:r>
        <w:rPr>
          <w:rFonts w:hint="eastAsia" w:ascii="黑体" w:hAnsi="黑体" w:eastAsia="黑体" w:cs="黑体"/>
          <w:b w:val="0"/>
          <w:bCs w:val="0"/>
          <w:sz w:val="21"/>
          <w:szCs w:val="21"/>
        </w:rPr>
        <w:tab/>
      </w:r>
      <w:r>
        <w:rPr>
          <w:rFonts w:hint="eastAsia" w:ascii="黑体" w:hAnsi="黑体" w:eastAsia="黑体" w:cs="黑体"/>
          <w:b w:val="0"/>
          <w:bCs w:val="0"/>
          <w:sz w:val="21"/>
          <w:szCs w:val="21"/>
        </w:rPr>
        <w:t>laboratory blank</w:t>
      </w:r>
    </w:p>
    <w:p w14:paraId="533A3B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将一份空白（水、石英砂或基体改性剂等）放入样品瓶中密封，按与样品相同的操作步骤进行试验</w:t>
      </w:r>
      <w:r>
        <w:rPr>
          <w:rFonts w:hint="eastAsia" w:ascii="宋体" w:hAnsi="宋体" w:eastAsia="宋体" w:cs="宋体"/>
          <w:sz w:val="21"/>
          <w:szCs w:val="21"/>
          <w:lang w:eastAsia="zh-CN"/>
        </w:rPr>
        <w:t>，</w:t>
      </w:r>
      <w:r>
        <w:rPr>
          <w:rFonts w:hint="eastAsia" w:ascii="宋体" w:hAnsi="宋体" w:eastAsia="宋体" w:cs="宋体"/>
          <w:sz w:val="21"/>
          <w:szCs w:val="21"/>
        </w:rPr>
        <w:t>用于检查样品检测过程中是否受到污染。</w:t>
      </w:r>
    </w:p>
    <w:p w14:paraId="3EA3FF5C">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default" w:ascii="黑体" w:hAnsi="黑体" w:eastAsia="黑体" w:cs="黑体"/>
          <w:b w:val="0"/>
          <w:bCs w:val="0"/>
          <w:kern w:val="2"/>
          <w:sz w:val="21"/>
          <w:szCs w:val="21"/>
          <w:lang w:val="en-US" w:eastAsia="zh-CN" w:bidi="ar-SA"/>
        </w:rPr>
      </w:pPr>
      <w:r>
        <w:rPr>
          <w:rFonts w:hint="default" w:ascii="黑体" w:hAnsi="黑体" w:eastAsia="黑体" w:cs="黑体"/>
          <w:b w:val="0"/>
          <w:bCs w:val="0"/>
          <w:kern w:val="2"/>
          <w:sz w:val="21"/>
          <w:szCs w:val="21"/>
          <w:lang w:val="en-US" w:eastAsia="zh-CN" w:bidi="ar-SA"/>
        </w:rPr>
        <w:t>3.5</w:t>
      </w:r>
    </w:p>
    <w:p w14:paraId="39CCAF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运输空白</w:t>
      </w:r>
      <w:r>
        <w:rPr>
          <w:rFonts w:hint="eastAsia" w:ascii="黑体" w:hAnsi="黑体" w:eastAsia="黑体" w:cs="黑体"/>
          <w:b w:val="0"/>
          <w:bCs w:val="0"/>
          <w:sz w:val="21"/>
          <w:szCs w:val="21"/>
        </w:rPr>
        <w:tab/>
      </w:r>
      <w:r>
        <w:rPr>
          <w:rFonts w:hint="eastAsia" w:ascii="黑体" w:hAnsi="黑体" w:eastAsia="黑体" w:cs="黑体"/>
          <w:b w:val="0"/>
          <w:bCs w:val="0"/>
          <w:sz w:val="21"/>
          <w:szCs w:val="21"/>
        </w:rPr>
        <w:t>trip blank</w:t>
      </w:r>
    </w:p>
    <w:p w14:paraId="46C845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rPr>
        <w:t>采样前在实验室将一份空白（</w:t>
      </w:r>
      <w:r>
        <w:rPr>
          <w:rFonts w:hint="eastAsia" w:ascii="宋体" w:hAnsi="宋体" w:eastAsia="宋体" w:cs="宋体"/>
          <w:sz w:val="21"/>
          <w:szCs w:val="21"/>
        </w:rPr>
        <w:t>水、石英砂、基体改性剂或甲醇等）放入样品瓶中密封，将其带到采样现场。采样时不开封，之后随样品运回实验室，按与样品相同的操作步骤进行试验，用于检查样品运输过程中是否受到污染。</w:t>
      </w:r>
    </w:p>
    <w:p w14:paraId="20958C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[来源：HJ 605-2011，3.5，有修改]</w:t>
      </w:r>
    </w:p>
    <w:p w14:paraId="0F108243">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default" w:ascii="黑体" w:hAnsi="黑体" w:eastAsia="黑体" w:cs="黑体"/>
          <w:b w:val="0"/>
          <w:bCs w:val="0"/>
          <w:kern w:val="2"/>
          <w:sz w:val="21"/>
          <w:szCs w:val="21"/>
          <w:lang w:val="en-US" w:eastAsia="zh-CN" w:bidi="ar-SA"/>
        </w:rPr>
      </w:pPr>
      <w:r>
        <w:rPr>
          <w:rFonts w:hint="default" w:ascii="黑体" w:hAnsi="黑体" w:eastAsia="黑体" w:cs="黑体"/>
          <w:b w:val="0"/>
          <w:bCs w:val="0"/>
          <w:kern w:val="2"/>
          <w:sz w:val="21"/>
          <w:szCs w:val="21"/>
          <w:lang w:val="en-US" w:eastAsia="zh-CN" w:bidi="ar-SA"/>
        </w:rPr>
        <w:t>3.6</w:t>
      </w:r>
    </w:p>
    <w:p w14:paraId="21FC16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全程序空白</w:t>
      </w:r>
      <w:r>
        <w:rPr>
          <w:rFonts w:hint="eastAsia" w:ascii="黑体" w:hAnsi="黑体" w:eastAsia="黑体" w:cs="黑体"/>
          <w:b w:val="0"/>
          <w:bCs w:val="0"/>
          <w:sz w:val="21"/>
          <w:szCs w:val="21"/>
        </w:rPr>
        <w:tab/>
      </w:r>
      <w:r>
        <w:rPr>
          <w:rFonts w:hint="eastAsia" w:ascii="黑体" w:hAnsi="黑体" w:eastAsia="黑体" w:cs="黑体"/>
          <w:b w:val="0"/>
          <w:bCs w:val="0"/>
          <w:sz w:val="21"/>
          <w:szCs w:val="21"/>
        </w:rPr>
        <w:t>whole program blank</w:t>
      </w:r>
    </w:p>
    <w:p w14:paraId="70B733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sectPr>
          <w:footerReference r:id="rId56" w:type="default"/>
          <w:footerReference r:id="rId57" w:type="even"/>
          <w:pgSz w:w="11850" w:h="16790"/>
          <w:pgMar w:top="1417" w:right="1134" w:bottom="1134" w:left="1417" w:header="1428" w:footer="1135" w:gutter="0"/>
          <w:pgNumType w:fmt="decimal"/>
          <w:cols w:space="720" w:num="1"/>
        </w:sectPr>
      </w:pPr>
      <w:r>
        <w:rPr>
          <w:rFonts w:hint="eastAsia" w:ascii="宋体" w:hAnsi="宋体" w:eastAsia="宋体" w:cs="宋体"/>
          <w:sz w:val="21"/>
          <w:szCs w:val="21"/>
        </w:rPr>
        <w:t>采样前在实验室将一份空白（水、石英砂、基体改性剂或甲醇等）放入样品瓶中密封，将其带到采样现场。与采样的样品瓶同时开盖和密封，之后随样品运回实验室，按与样品相同的操作步骤进行</w:t>
      </w:r>
    </w:p>
    <w:p w14:paraId="7F0430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试验，用于检查从样品采集到分析全过程是否受到污染。</w:t>
      </w:r>
    </w:p>
    <w:p w14:paraId="4E33B6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[来源：HJ 605-2011，3.6，有修改]</w:t>
      </w:r>
    </w:p>
    <w:p w14:paraId="1D778900">
      <w:pPr>
        <w:keepNext w:val="0"/>
        <w:keepLines w:val="0"/>
        <w:pageBreakBefore w:val="0"/>
        <w:widowControl w:val="0"/>
        <w:numPr>
          <w:ilvl w:val="0"/>
          <w:numId w:val="48"/>
        </w:numPr>
        <w:kinsoku/>
        <w:wordWrap/>
        <w:overflowPunct/>
        <w:topLinePunct w:val="0"/>
        <w:autoSpaceDE w:val="0"/>
        <w:autoSpaceDN w:val="0"/>
        <w:bidi w:val="0"/>
        <w:adjustRightInd w:val="0"/>
        <w:snapToGrid w:val="0"/>
        <w:spacing w:before="0" w:beforeLines="50" w:after="0" w:afterLines="50" w:line="360" w:lineRule="auto"/>
        <w:ind w:left="425" w:leftChars="0" w:hanging="425" w:firstLineChars="0"/>
        <w:jc w:val="both"/>
        <w:textAlignment w:val="auto"/>
        <w:outlineLvl w:val="1"/>
        <w:rPr>
          <w:rFonts w:hint="eastAsia" w:ascii="黑体" w:hAnsi="宋体" w:eastAsia="黑体" w:cs="宋体"/>
          <w:b w:val="0"/>
          <w:bCs w:val="0"/>
          <w:kern w:val="0"/>
          <w:sz w:val="21"/>
          <w:szCs w:val="21"/>
          <w:lang w:val="fr-FR" w:eastAsia="en-US" w:bidi="ar-SA"/>
        </w:rPr>
      </w:pPr>
      <w:bookmarkStart w:id="255" w:name="_Toc27195"/>
      <w:r>
        <w:rPr>
          <w:rFonts w:hint="eastAsia" w:ascii="黑体" w:hAnsi="宋体" w:eastAsia="黑体" w:cs="宋体"/>
          <w:b w:val="0"/>
          <w:bCs w:val="0"/>
          <w:kern w:val="0"/>
          <w:sz w:val="21"/>
          <w:szCs w:val="21"/>
          <w:lang w:val="fr-FR" w:eastAsia="en-US" w:bidi="ar-SA"/>
        </w:rPr>
        <w:t>人员</w:t>
      </w:r>
      <w:bookmarkEnd w:id="255"/>
    </w:p>
    <w:p w14:paraId="37DFCEDE">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eastAsia" w:ascii="黑体" w:hAnsi="黑体" w:eastAsia="黑体" w:cs="黑体"/>
          <w:b w:val="0"/>
          <w:bCs w:val="0"/>
          <w:kern w:val="2"/>
          <w:sz w:val="21"/>
          <w:szCs w:val="21"/>
          <w:lang w:val="en-US" w:eastAsia="zh-CN" w:bidi="ar-SA"/>
        </w:rPr>
      </w:pPr>
      <w:bookmarkStart w:id="256" w:name="_Toc12009"/>
      <w:r>
        <w:rPr>
          <w:rFonts w:hint="eastAsia" w:ascii="黑体" w:hAnsi="黑体" w:eastAsia="黑体" w:cs="黑体"/>
          <w:b w:val="0"/>
          <w:bCs w:val="0"/>
          <w:kern w:val="2"/>
          <w:sz w:val="21"/>
          <w:szCs w:val="21"/>
          <w:lang w:val="en-US" w:eastAsia="zh-CN" w:bidi="ar-SA"/>
        </w:rPr>
        <w:t>4.1 现场监测人员</w:t>
      </w:r>
      <w:bookmarkEnd w:id="256"/>
    </w:p>
    <w:p w14:paraId="024DB0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现场监测人员应经培训并通过能力确认，具有环境、土壤等相关专业知识，熟悉采样和现场监测流程，掌握土壤采样、现场监测、样品保存与流转的技术要求和相关设备的操作方法，了解水文地质钻探知识。</w:t>
      </w:r>
    </w:p>
    <w:p w14:paraId="2E9E5204">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eastAsia" w:ascii="黑体" w:hAnsi="黑体" w:eastAsia="黑体" w:cs="黑体"/>
          <w:b w:val="0"/>
          <w:bCs w:val="0"/>
          <w:kern w:val="2"/>
          <w:sz w:val="21"/>
          <w:szCs w:val="21"/>
          <w:lang w:val="en-US" w:eastAsia="zh-CN" w:bidi="ar-SA"/>
        </w:rPr>
      </w:pPr>
      <w:bookmarkStart w:id="257" w:name="_Toc22579"/>
      <w:r>
        <w:rPr>
          <w:rFonts w:hint="eastAsia" w:ascii="黑体" w:hAnsi="黑体" w:eastAsia="黑体" w:cs="黑体"/>
          <w:b w:val="0"/>
          <w:bCs w:val="0"/>
          <w:kern w:val="2"/>
          <w:sz w:val="21"/>
          <w:szCs w:val="21"/>
          <w:lang w:val="en-US" w:eastAsia="zh-CN" w:bidi="ar-SA"/>
        </w:rPr>
        <w:t>4.2 实验室分析、校核人员</w:t>
      </w:r>
      <w:bookmarkEnd w:id="257"/>
    </w:p>
    <w:p w14:paraId="196E03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实验室分析、校核人员应经培训并通过能力确认，掌握本专业环境检测技术，具备样品流转、保存、分析、质控等相应技术能力。</w:t>
      </w:r>
    </w:p>
    <w:p w14:paraId="3378CC05">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eastAsia" w:ascii="黑体" w:hAnsi="黑体" w:eastAsia="黑体" w:cs="黑体"/>
          <w:b w:val="0"/>
          <w:bCs w:val="0"/>
          <w:kern w:val="2"/>
          <w:sz w:val="21"/>
          <w:szCs w:val="21"/>
          <w:lang w:val="en-US" w:eastAsia="zh-CN" w:bidi="ar-SA"/>
        </w:rPr>
      </w:pPr>
      <w:bookmarkStart w:id="258" w:name="_Toc26053"/>
      <w:r>
        <w:rPr>
          <w:rFonts w:hint="eastAsia" w:ascii="黑体" w:hAnsi="黑体" w:eastAsia="黑体" w:cs="黑体"/>
          <w:b w:val="0"/>
          <w:bCs w:val="0"/>
          <w:kern w:val="2"/>
          <w:sz w:val="21"/>
          <w:szCs w:val="21"/>
          <w:lang w:val="en-US" w:eastAsia="zh-CN" w:bidi="ar-SA"/>
        </w:rPr>
        <w:t>4.3 报告审核人员</w:t>
      </w:r>
      <w:bookmarkEnd w:id="258"/>
    </w:p>
    <w:p w14:paraId="2BAE32A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报告审核人员应充分了解相关环境质量标准和控制标准的适用范围，并具备对监测结果进行符合性判定的能力，熟悉报告编制、报告审核等环节要求，且具有从事生态环境监测相关工作2年以上经历。</w:t>
      </w:r>
    </w:p>
    <w:p w14:paraId="456DA0CE">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eastAsia" w:ascii="黑体" w:hAnsi="黑体" w:eastAsia="黑体" w:cs="黑体"/>
          <w:b w:val="0"/>
          <w:bCs w:val="0"/>
          <w:kern w:val="2"/>
          <w:sz w:val="21"/>
          <w:szCs w:val="21"/>
          <w:lang w:val="en-US" w:eastAsia="zh-CN" w:bidi="ar-SA"/>
        </w:rPr>
      </w:pPr>
      <w:bookmarkStart w:id="259" w:name="_Toc4718"/>
      <w:r>
        <w:rPr>
          <w:rFonts w:hint="eastAsia" w:ascii="黑体" w:hAnsi="黑体" w:eastAsia="黑体" w:cs="黑体"/>
          <w:b w:val="0"/>
          <w:bCs w:val="0"/>
          <w:kern w:val="2"/>
          <w:sz w:val="21"/>
          <w:szCs w:val="21"/>
          <w:lang w:val="en-US" w:eastAsia="zh-CN" w:bidi="ar-SA"/>
        </w:rPr>
        <w:t>4.4 报告签发人员</w:t>
      </w:r>
      <w:bookmarkEnd w:id="259"/>
    </w:p>
    <w:p w14:paraId="7EDF63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报告签发人员应具备报告审核能力，掌握较丰富的建设用地土壤监测相关专业知识，具有相适应的专业背景或教育培训经历，具备中级及以上专业技术职称或同等能力，具有从事生态环境监测相关工作3年以上经历。</w:t>
      </w:r>
    </w:p>
    <w:p w14:paraId="2F969BA8">
      <w:pPr>
        <w:keepNext w:val="0"/>
        <w:keepLines w:val="0"/>
        <w:pageBreakBefore w:val="0"/>
        <w:widowControl w:val="0"/>
        <w:numPr>
          <w:ilvl w:val="0"/>
          <w:numId w:val="48"/>
        </w:numPr>
        <w:kinsoku/>
        <w:wordWrap/>
        <w:overflowPunct/>
        <w:topLinePunct w:val="0"/>
        <w:autoSpaceDE w:val="0"/>
        <w:autoSpaceDN w:val="0"/>
        <w:bidi w:val="0"/>
        <w:adjustRightInd w:val="0"/>
        <w:snapToGrid w:val="0"/>
        <w:spacing w:before="0" w:beforeLines="50" w:after="0" w:afterLines="50" w:line="360" w:lineRule="auto"/>
        <w:ind w:left="425" w:leftChars="0" w:hanging="425" w:firstLineChars="0"/>
        <w:jc w:val="both"/>
        <w:textAlignment w:val="auto"/>
        <w:outlineLvl w:val="1"/>
        <w:rPr>
          <w:rFonts w:hint="eastAsia" w:ascii="黑体" w:hAnsi="宋体" w:eastAsia="黑体" w:cs="宋体"/>
          <w:b w:val="0"/>
          <w:bCs w:val="0"/>
          <w:kern w:val="0"/>
          <w:sz w:val="21"/>
          <w:szCs w:val="21"/>
          <w:lang w:val="fr-FR" w:eastAsia="en-US" w:bidi="ar-SA"/>
        </w:rPr>
      </w:pPr>
      <w:bookmarkStart w:id="260" w:name="_Toc30535"/>
      <w:r>
        <w:rPr>
          <w:rFonts w:hint="eastAsia" w:ascii="黑体" w:hAnsi="宋体" w:eastAsia="黑体" w:cs="宋体"/>
          <w:b w:val="0"/>
          <w:bCs w:val="0"/>
          <w:kern w:val="0"/>
          <w:sz w:val="21"/>
          <w:szCs w:val="21"/>
          <w:lang w:val="fr-FR" w:eastAsia="en-US" w:bidi="ar-SA"/>
        </w:rPr>
        <w:t>仪器与设备</w:t>
      </w:r>
      <w:bookmarkEnd w:id="260"/>
    </w:p>
    <w:p w14:paraId="3999498F">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firstLine="0" w:firstLineChars="0"/>
        <w:jc w:val="both"/>
        <w:textAlignment w:val="auto"/>
        <w:rPr>
          <w:rFonts w:hint="eastAsia" w:ascii="黑体" w:hAnsi="黑体" w:eastAsia="黑体" w:cs="黑体"/>
          <w:b w:val="0"/>
          <w:bCs w:val="0"/>
          <w:kern w:val="2"/>
          <w:sz w:val="21"/>
          <w:szCs w:val="21"/>
          <w:lang w:val="en-US" w:eastAsia="zh-CN" w:bidi="ar-SA"/>
        </w:rPr>
      </w:pPr>
      <w:bookmarkStart w:id="261" w:name="_Toc1899"/>
      <w:r>
        <w:rPr>
          <w:rFonts w:hint="eastAsia" w:ascii="黑体" w:hAnsi="黑体" w:eastAsia="黑体" w:cs="黑体"/>
          <w:b w:val="0"/>
          <w:bCs w:val="0"/>
          <w:kern w:val="2"/>
          <w:sz w:val="21"/>
          <w:szCs w:val="21"/>
          <w:lang w:val="en-US" w:eastAsia="zh-CN" w:bidi="ar-SA"/>
        </w:rPr>
        <w:t>5.1 采样设备</w:t>
      </w:r>
      <w:bookmarkEnd w:id="261"/>
    </w:p>
    <w:p w14:paraId="4D2779E6">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5.1.1 钻探设备</w:t>
      </w:r>
    </w:p>
    <w:p w14:paraId="54D159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应结合地块所在地区的地层条件、钻探作业条件选择经济有效的钻探设备，防止土壤扰动、发热，减少挥发性有机物的挥发损失。可采用冲击钻探法或直压式钻探法等钻孔方式，不应采用空气钻探法和回转钻探法。钻孔过程中应使用套管，套管之间的螺纹连接处不应使用润滑油。</w:t>
      </w:r>
    </w:p>
    <w:p w14:paraId="49E32129">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5.1.2采样工具</w:t>
      </w:r>
    </w:p>
    <w:p w14:paraId="0897F4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应使用非扰动采样器、一次性注射器或不锈钢专用采样器等。</w:t>
      </w:r>
    </w:p>
    <w:p w14:paraId="25B659E9">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5.1.3盛装容器</w:t>
      </w:r>
    </w:p>
    <w:p w14:paraId="131944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应使用具聚四氟乙烯-硅胶衬垫螺旋盖的40 mL、60 mL螺纹棕色玻璃瓶等符合分析方法要求的容器。</w:t>
      </w:r>
    </w:p>
    <w:p w14:paraId="53271AC2">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5.1.4便携式冷藏箱</w:t>
      </w:r>
    </w:p>
    <w:p w14:paraId="7AFDB7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具备温度显示功能（或内置校准合格的温度计），保存温度应能达到4℃以下。</w:t>
      </w:r>
    </w:p>
    <w:p w14:paraId="706E8D30">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62" w:name="_Toc23910"/>
      <w:r>
        <w:rPr>
          <w:rFonts w:hint="eastAsia" w:ascii="黑体" w:hAnsi="黑体" w:eastAsia="黑体" w:cs="黑体"/>
          <w:b w:val="0"/>
          <w:bCs w:val="0"/>
          <w:kern w:val="2"/>
          <w:sz w:val="21"/>
          <w:szCs w:val="21"/>
          <w:lang w:val="en-US" w:eastAsia="zh-CN" w:bidi="ar-SA"/>
        </w:rPr>
        <w:t>5.2 现场快速检测设备</w:t>
      </w:r>
      <w:bookmarkEnd w:id="262"/>
    </w:p>
    <w:p w14:paraId="50C69D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视目标化合物和现场条件可选择便携式光离子化检测仪（PID）对土壤中挥发性有机物进行初步检测筛查。选择便携式光离子化检测仪（PID）应确保仪器的紫外灯电能高于目标化合物的电离电位。土壤样品现场快速检测结果应及时做好记录。</w:t>
      </w:r>
    </w:p>
    <w:p w14:paraId="5934FA8A">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63" w:name="_Toc16625"/>
      <w:r>
        <w:rPr>
          <w:rFonts w:hint="eastAsia" w:ascii="黑体" w:hAnsi="黑体" w:eastAsia="黑体" w:cs="黑体"/>
          <w:b w:val="0"/>
          <w:bCs w:val="0"/>
          <w:kern w:val="2"/>
          <w:sz w:val="21"/>
          <w:szCs w:val="21"/>
          <w:lang w:val="en-US" w:eastAsia="zh-CN" w:bidi="ar-SA"/>
        </w:rPr>
        <w:t>5.3 实验室检测设备</w:t>
      </w:r>
      <w:bookmarkEnd w:id="263"/>
    </w:p>
    <w:p w14:paraId="554CE094">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default" w:ascii="黑体" w:hAnsi="黑体" w:eastAsia="黑体" w:cs="黑体"/>
          <w:b w:val="0"/>
          <w:bCs w:val="0"/>
          <w:kern w:val="2"/>
          <w:sz w:val="21"/>
          <w:szCs w:val="21"/>
          <w:lang w:val="en-US" w:eastAsia="zh-CN" w:bidi="ar-SA"/>
        </w:rPr>
      </w:pPr>
      <w:r>
        <w:rPr>
          <w:rFonts w:hint="default" w:ascii="黑体" w:hAnsi="黑体" w:eastAsia="黑体" w:cs="黑体"/>
          <w:b w:val="0"/>
          <w:bCs w:val="0"/>
          <w:kern w:val="2"/>
          <w:sz w:val="21"/>
          <w:szCs w:val="21"/>
          <w:lang w:val="en-US" w:eastAsia="zh-CN" w:bidi="ar-SA"/>
        </w:rPr>
        <w:t>5.3.1 仪器与设备的检定和校准</w:t>
      </w:r>
    </w:p>
    <w:p w14:paraId="7BA78F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按GB 36600所规定使用的分析方法选用适用的仪器设备。用于检测的仪器设备需经过检定或校准，确保其在有效期内使用。</w:t>
      </w:r>
    </w:p>
    <w:p w14:paraId="59F899A0">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5.3.2 仪器与设备的运行和维护</w:t>
      </w:r>
    </w:p>
    <w:p w14:paraId="191BCC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应</w:t>
      </w:r>
      <w:r>
        <w:rPr>
          <w:rFonts w:hint="eastAsia" w:ascii="宋体" w:hAnsi="宋体" w:eastAsia="宋体" w:cs="宋体"/>
          <w:kern w:val="0"/>
          <w:sz w:val="21"/>
          <w:szCs w:val="21"/>
          <w:lang w:val="en-US" w:eastAsia="zh-CN" w:bidi="ar-SA"/>
        </w:rPr>
        <w:t>授权专人管理，</w:t>
      </w:r>
      <w:r>
        <w:rPr>
          <w:rFonts w:hint="eastAsia" w:ascii="宋体" w:hAnsi="宋体" w:eastAsia="宋体" w:cs="宋体"/>
          <w:kern w:val="0"/>
          <w:sz w:val="21"/>
          <w:szCs w:val="21"/>
          <w:lang w:val="fr-FR" w:eastAsia="zh-CN" w:bidi="ar-SA"/>
        </w:rPr>
        <w:t>制定仪器与设备管理程序和操作规程，定期维护保养，做好仪器与设备使用和维护记录，保证仪器与设备处于完好状态。</w:t>
      </w:r>
    </w:p>
    <w:p w14:paraId="6E325145">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5.3.3 质控检查</w:t>
      </w:r>
    </w:p>
    <w:p w14:paraId="5714F9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每年应制定仪器与设备年度核查计划，并按计划执行。</w:t>
      </w:r>
    </w:p>
    <w:p w14:paraId="2F6B1212">
      <w:pPr>
        <w:keepNext w:val="0"/>
        <w:keepLines w:val="0"/>
        <w:pageBreakBefore w:val="0"/>
        <w:widowControl w:val="0"/>
        <w:numPr>
          <w:ilvl w:val="0"/>
          <w:numId w:val="48"/>
        </w:numPr>
        <w:kinsoku/>
        <w:wordWrap/>
        <w:overflowPunct/>
        <w:topLinePunct w:val="0"/>
        <w:autoSpaceDE w:val="0"/>
        <w:autoSpaceDN w:val="0"/>
        <w:bidi w:val="0"/>
        <w:adjustRightInd w:val="0"/>
        <w:snapToGrid w:val="0"/>
        <w:spacing w:after="0" w:afterLines="50" w:line="360" w:lineRule="auto"/>
        <w:ind w:left="425" w:leftChars="0" w:hanging="425" w:firstLineChars="0"/>
        <w:jc w:val="both"/>
        <w:textAlignment w:val="auto"/>
        <w:outlineLvl w:val="1"/>
        <w:rPr>
          <w:rFonts w:hint="eastAsia" w:ascii="黑体" w:hAnsi="宋体" w:eastAsia="黑体" w:cs="宋体"/>
          <w:kern w:val="0"/>
          <w:sz w:val="21"/>
          <w:szCs w:val="21"/>
          <w:lang w:val="fr-FR" w:eastAsia="en-US" w:bidi="ar-SA"/>
        </w:rPr>
      </w:pPr>
      <w:bookmarkStart w:id="264" w:name="_Toc15307"/>
      <w:r>
        <w:rPr>
          <w:rFonts w:hint="eastAsia" w:ascii="黑体" w:hAnsi="宋体" w:eastAsia="黑体" w:cs="宋体"/>
          <w:kern w:val="0"/>
          <w:sz w:val="21"/>
          <w:szCs w:val="21"/>
          <w:lang w:val="fr-FR" w:eastAsia="en-US" w:bidi="ar-SA"/>
        </w:rPr>
        <w:t>样品采集</w:t>
      </w:r>
      <w:bookmarkEnd w:id="264"/>
    </w:p>
    <w:p w14:paraId="2F6421EE">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65" w:name="_Toc6399"/>
      <w:r>
        <w:rPr>
          <w:rFonts w:hint="eastAsia" w:ascii="黑体" w:hAnsi="黑体" w:eastAsia="黑体" w:cs="黑体"/>
          <w:b w:val="0"/>
          <w:bCs w:val="0"/>
          <w:kern w:val="2"/>
          <w:sz w:val="21"/>
          <w:szCs w:val="21"/>
          <w:lang w:val="en-US" w:eastAsia="zh-CN" w:bidi="ar-SA"/>
        </w:rPr>
        <w:t>6.1 点位布设</w:t>
      </w:r>
      <w:bookmarkEnd w:id="265"/>
    </w:p>
    <w:p w14:paraId="0401E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点位布设应具代表性，真实反映地块的污染状况，符合HJ 25.1、HJ 25.2相关标准的要求。</w:t>
      </w:r>
    </w:p>
    <w:p w14:paraId="71312E54">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66" w:name="_Toc7562"/>
      <w:r>
        <w:rPr>
          <w:rFonts w:hint="eastAsia" w:ascii="黑体" w:hAnsi="黑体" w:eastAsia="黑体" w:cs="黑体"/>
          <w:b w:val="0"/>
          <w:bCs w:val="0"/>
          <w:kern w:val="2"/>
          <w:sz w:val="21"/>
          <w:szCs w:val="21"/>
          <w:lang w:val="en-US" w:eastAsia="zh-CN" w:bidi="ar-SA"/>
        </w:rPr>
        <w:t>6.2 采样孔位置与深度</w:t>
      </w:r>
      <w:bookmarkEnd w:id="266"/>
    </w:p>
    <w:p w14:paraId="1255DF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采样孔位置与深度应依据地块实际情况，符合HJ 25.1、HJ 25.2相关标准的要求。</w:t>
      </w:r>
    </w:p>
    <w:p w14:paraId="74786C08">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67" w:name="_Toc27427"/>
      <w:r>
        <w:rPr>
          <w:rFonts w:hint="eastAsia" w:ascii="黑体" w:hAnsi="黑体" w:eastAsia="黑体" w:cs="黑体"/>
          <w:b w:val="0"/>
          <w:bCs w:val="0"/>
          <w:kern w:val="2"/>
          <w:sz w:val="21"/>
          <w:szCs w:val="21"/>
          <w:lang w:val="en-US" w:eastAsia="zh-CN" w:bidi="ar-SA"/>
        </w:rPr>
        <w:t>6.3 采样</w:t>
      </w:r>
      <w:bookmarkEnd w:id="267"/>
    </w:p>
    <w:p w14:paraId="3614CB51">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right="0" w:rightChars="0" w:firstLine="0" w:firstLineChars="0"/>
        <w:jc w:val="left"/>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6.3.1</w:t>
      </w:r>
      <w:r>
        <w:rPr>
          <w:rFonts w:hint="eastAsia" w:ascii="宋体" w:hAnsi="宋体" w:eastAsia="宋体" w:cs="宋体"/>
          <w:b w:val="0"/>
          <w:bCs w:val="0"/>
          <w:kern w:val="0"/>
          <w:sz w:val="21"/>
          <w:szCs w:val="21"/>
          <w:lang w:val="en-US" w:eastAsia="zh-CN" w:bidi="ar-SA"/>
        </w:rPr>
        <w:t xml:space="preserve"> 表层土壤和深层土壤的采样均应采用钻孔方式，可根据土层特征选择合适的土壤机械钻探设备或土壤手工钻探设备。钻探前需清理钻探作业面。取样时应尽量保持土芯的完整性。应选择无浆液钻进，全程套管跟进，防止钻孔坍塌和上下层交叉污染。</w:t>
      </w:r>
    </w:p>
    <w:p w14:paraId="17D91456">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 xml:space="preserve">6.3.2 </w:t>
      </w:r>
      <w:r>
        <w:rPr>
          <w:rFonts w:hint="eastAsia" w:ascii="宋体" w:hAnsi="宋体" w:eastAsia="宋体" w:cs="宋体"/>
          <w:b w:val="0"/>
          <w:bCs w:val="0"/>
          <w:kern w:val="0"/>
          <w:sz w:val="21"/>
          <w:szCs w:val="21"/>
          <w:lang w:val="en-US" w:eastAsia="zh-CN" w:bidi="ar-SA"/>
        </w:rPr>
        <w:t>应使用非扰动采样器、一次性注射器或不锈钢专用采样器等进行样品的采集，禁止对样品进行均质化处理，不应采集混合样。</w:t>
      </w:r>
    </w:p>
    <w:p w14:paraId="550AA0FF">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 xml:space="preserve">6.3.3 </w:t>
      </w:r>
      <w:r>
        <w:rPr>
          <w:rFonts w:hint="eastAsia" w:ascii="宋体" w:hAnsi="宋体" w:eastAsia="宋体" w:cs="宋体"/>
          <w:b w:val="0"/>
          <w:bCs w:val="0"/>
          <w:kern w:val="0"/>
          <w:sz w:val="21"/>
          <w:szCs w:val="21"/>
          <w:lang w:val="en-US" w:eastAsia="zh-CN" w:bidi="ar-SA"/>
        </w:rPr>
        <w:t>如直接从原状取土器中采集土壤样品，应刮除原状取土器中土芯表面约2 cm的土壤（直压式取土器除外），在新露出的土芯表面采集样品；如原状取土器中的土芯已经转移至垫层，应尽快采集土芯中的非扰动部分。</w:t>
      </w:r>
    </w:p>
    <w:p w14:paraId="7C8BA3C3">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 xml:space="preserve">6.3.4 </w:t>
      </w:r>
      <w:r>
        <w:rPr>
          <w:rFonts w:hint="eastAsia" w:ascii="宋体" w:hAnsi="宋体" w:eastAsia="宋体" w:cs="宋体"/>
          <w:b w:val="0"/>
          <w:bCs w:val="0"/>
          <w:kern w:val="0"/>
          <w:sz w:val="21"/>
          <w:szCs w:val="21"/>
          <w:lang w:val="en-US" w:eastAsia="zh-CN" w:bidi="ar-SA"/>
        </w:rPr>
        <w:t>当采集用于测定不同类型污染物的土壤样品时，应优先采集用于测定挥发性有机物的土壤样品。</w:t>
      </w:r>
    </w:p>
    <w:p w14:paraId="6DABB4F3">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 xml:space="preserve">6.3.5 </w:t>
      </w:r>
      <w:r>
        <w:rPr>
          <w:rFonts w:hint="eastAsia" w:ascii="宋体" w:hAnsi="宋体" w:eastAsia="宋体" w:cs="宋体"/>
          <w:b w:val="0"/>
          <w:bCs w:val="0"/>
          <w:kern w:val="0"/>
          <w:sz w:val="21"/>
          <w:szCs w:val="21"/>
          <w:lang w:val="en-US" w:eastAsia="zh-CN" w:bidi="ar-SA"/>
        </w:rPr>
        <w:t>防止采样过程的交叉污染。两次钻孔之间钻探设备应进行清洗；同一钻孔在不同深度采样时应对取样设备进行清洗；非扰动采样器的一次性采样管不可重复用于采集土壤样品；不同土壤样品采集应更换手套；与土壤接触的其他采样工具重复使用时应用自来水洗净，必要时再用蒸馏水淋洗。</w:t>
      </w:r>
    </w:p>
    <w:p w14:paraId="6084CEAA">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 xml:space="preserve">6.3.6 </w:t>
      </w:r>
      <w:r>
        <w:rPr>
          <w:rFonts w:hint="eastAsia" w:ascii="宋体" w:hAnsi="宋体" w:eastAsia="宋体" w:cs="宋体"/>
          <w:b w:val="0"/>
          <w:bCs w:val="0"/>
          <w:kern w:val="0"/>
          <w:sz w:val="21"/>
          <w:szCs w:val="21"/>
          <w:lang w:val="en-US" w:eastAsia="zh-CN" w:bidi="ar-SA"/>
        </w:rPr>
        <w:t>钻孔采样应在无雨天气下进行，防止雨水冲刷土壤造成交叉污染。采样环境应光线充足，原则上不建议夜间钻孔采样。确需夜间钻孔采样时，应采取有效的照明措施，确保能够正确识别土层的结构特征。</w:t>
      </w:r>
    </w:p>
    <w:p w14:paraId="2865408B">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 xml:space="preserve">6.3.7 </w:t>
      </w:r>
      <w:r>
        <w:rPr>
          <w:rFonts w:hint="eastAsia" w:ascii="宋体" w:hAnsi="宋体" w:eastAsia="宋体" w:cs="宋体"/>
          <w:b w:val="0"/>
          <w:bCs w:val="0"/>
          <w:kern w:val="0"/>
          <w:sz w:val="21"/>
          <w:szCs w:val="21"/>
          <w:lang w:val="en-US" w:eastAsia="zh-CN" w:bidi="ar-SA"/>
        </w:rPr>
        <w:t>样品检测进样方式为手工进样吹扫捕集时，可使用符合5.1.3要求的60 mL样品瓶（或大于60 mL 的其它规格的样品瓶）采集1份样品，用于污染物检测和干物质含量测定。</w:t>
      </w:r>
    </w:p>
    <w:p w14:paraId="35B80086">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宋体"/>
          <w:b w:val="0"/>
          <w:bCs w:val="0"/>
          <w:kern w:val="0"/>
          <w:sz w:val="21"/>
          <w:szCs w:val="21"/>
          <w:lang w:val="en-US" w:eastAsia="zh-Hans" w:bidi="ar-SA"/>
        </w:rPr>
      </w:pPr>
      <w:bookmarkStart w:id="268" w:name="_Toc8608"/>
      <w:r>
        <w:rPr>
          <w:rFonts w:hint="eastAsia" w:ascii="黑体" w:hAnsi="黑体" w:eastAsia="黑体" w:cs="黑体"/>
          <w:b w:val="0"/>
          <w:bCs w:val="0"/>
          <w:kern w:val="0"/>
          <w:sz w:val="21"/>
          <w:szCs w:val="21"/>
          <w:lang w:val="en-US" w:eastAsia="zh-Hans" w:bidi="ar-SA"/>
        </w:rPr>
        <w:t xml:space="preserve">6.3.8 </w:t>
      </w:r>
      <w:r>
        <w:rPr>
          <w:rFonts w:hint="eastAsia" w:ascii="宋体" w:hAnsi="宋体" w:eastAsia="宋体" w:cs="宋体"/>
          <w:b w:val="0"/>
          <w:bCs w:val="0"/>
          <w:kern w:val="0"/>
          <w:sz w:val="21"/>
          <w:szCs w:val="21"/>
          <w:lang w:val="en-US" w:eastAsia="zh-Hans" w:bidi="ar-SA"/>
        </w:rPr>
        <w:t>样品检测进样方式为全自动进样吹扫捕集时，采样前，</w:t>
      </w:r>
      <w:r>
        <w:rPr>
          <w:rFonts w:hint="eastAsia" w:ascii="宋体" w:hAnsi="宋体" w:eastAsia="宋体" w:cs="宋体"/>
          <w:b w:val="0"/>
          <w:bCs w:val="0"/>
          <w:kern w:val="0"/>
          <w:sz w:val="21"/>
          <w:szCs w:val="21"/>
          <w:lang w:val="en-US" w:eastAsia="zh-CN" w:bidi="ar-SA"/>
        </w:rPr>
        <w:t>预先按每个点位样品准备5个40mL棕色吹扫瓶，向其中2个吹扫瓶中各加入10mL甲醇，再</w:t>
      </w:r>
      <w:r>
        <w:rPr>
          <w:rFonts w:hint="eastAsia" w:ascii="宋体" w:hAnsi="宋体" w:eastAsia="宋体" w:cs="宋体"/>
          <w:b w:val="0"/>
          <w:bCs w:val="0"/>
          <w:kern w:val="0"/>
          <w:sz w:val="21"/>
          <w:szCs w:val="21"/>
          <w:lang w:val="en-US" w:eastAsia="zh-Hans" w:bidi="ar-SA"/>
        </w:rPr>
        <w:t>向每个吹扫瓶中放</w:t>
      </w:r>
      <w:r>
        <w:rPr>
          <w:rFonts w:hint="eastAsia" w:ascii="宋体" w:hAnsi="宋体" w:eastAsia="宋体" w:cs="宋体"/>
          <w:b w:val="0"/>
          <w:bCs w:val="0"/>
          <w:kern w:val="0"/>
          <w:sz w:val="21"/>
          <w:szCs w:val="21"/>
          <w:lang w:val="en-US" w:eastAsia="zh-CN" w:bidi="ar-SA"/>
        </w:rPr>
        <w:t>入1</w:t>
      </w:r>
      <w:r>
        <w:rPr>
          <w:rFonts w:hint="eastAsia" w:ascii="宋体" w:hAnsi="宋体" w:eastAsia="宋体" w:cs="宋体"/>
          <w:b w:val="0"/>
          <w:bCs w:val="0"/>
          <w:kern w:val="0"/>
          <w:sz w:val="21"/>
          <w:szCs w:val="21"/>
          <w:lang w:val="en-US" w:eastAsia="zh-Hans" w:bidi="ar-SA"/>
        </w:rPr>
        <w:t>个清洁的磁力搅拌棒，密封，贴标签并称重（精确到0.01g），</w:t>
      </w:r>
      <w:r>
        <w:rPr>
          <w:rFonts w:hint="eastAsia" w:ascii="宋体" w:hAnsi="宋体" w:eastAsia="宋体" w:cs="宋体"/>
          <w:b w:val="0"/>
          <w:bCs w:val="0"/>
          <w:kern w:val="0"/>
          <w:sz w:val="21"/>
          <w:szCs w:val="21"/>
          <w:lang w:val="en-US" w:eastAsia="zh-CN" w:bidi="ar-SA"/>
        </w:rPr>
        <w:t>在样品瓶称重单上记录其重量</w:t>
      </w:r>
      <w:r>
        <w:rPr>
          <w:rFonts w:hint="eastAsia" w:ascii="宋体" w:hAnsi="宋体" w:eastAsia="宋体" w:cs="宋体"/>
          <w:b w:val="0"/>
          <w:bCs w:val="0"/>
          <w:kern w:val="0"/>
          <w:sz w:val="21"/>
          <w:szCs w:val="21"/>
          <w:lang w:val="en-US" w:eastAsia="zh-Hans" w:bidi="ar-SA"/>
        </w:rPr>
        <w:t>。采样时，用采样器采集</w:t>
      </w:r>
      <w:r>
        <w:rPr>
          <w:rFonts w:hint="eastAsia" w:ascii="宋体" w:hAnsi="宋体" w:eastAsia="宋体" w:cs="宋体"/>
          <w:b w:val="0"/>
          <w:bCs w:val="0"/>
          <w:kern w:val="0"/>
          <w:sz w:val="21"/>
          <w:szCs w:val="21"/>
          <w:lang w:val="en-US" w:eastAsia="zh-CN" w:bidi="ar-SA"/>
        </w:rPr>
        <w:t>约5g</w:t>
      </w:r>
      <w:r>
        <w:rPr>
          <w:rFonts w:hint="eastAsia" w:ascii="宋体" w:hAnsi="宋体" w:eastAsia="宋体" w:cs="宋体"/>
          <w:b w:val="0"/>
          <w:bCs w:val="0"/>
          <w:kern w:val="0"/>
          <w:sz w:val="21"/>
          <w:szCs w:val="21"/>
          <w:lang w:val="en-US" w:eastAsia="zh-Hans" w:bidi="ar-SA"/>
        </w:rPr>
        <w:t>样品到</w:t>
      </w:r>
      <w:r>
        <w:rPr>
          <w:rFonts w:hint="eastAsia" w:ascii="宋体" w:hAnsi="宋体" w:eastAsia="宋体" w:cs="宋体"/>
          <w:b w:val="0"/>
          <w:bCs w:val="0"/>
          <w:kern w:val="0"/>
          <w:sz w:val="21"/>
          <w:szCs w:val="21"/>
          <w:lang w:val="en-US" w:eastAsia="zh-CN" w:bidi="ar-SA"/>
        </w:rPr>
        <w:t>吹扫</w:t>
      </w:r>
      <w:r>
        <w:rPr>
          <w:rFonts w:hint="eastAsia" w:ascii="宋体" w:hAnsi="宋体" w:eastAsia="宋体" w:cs="宋体"/>
          <w:b w:val="0"/>
          <w:bCs w:val="0"/>
          <w:kern w:val="0"/>
          <w:sz w:val="21"/>
          <w:szCs w:val="21"/>
          <w:lang w:val="en-US" w:eastAsia="zh-Hans" w:bidi="ar-SA"/>
        </w:rPr>
        <w:t>瓶中，快速清除掉样品瓶螺纹及外表面上粘附的样品，密封样品瓶，</w:t>
      </w:r>
      <w:r>
        <w:rPr>
          <w:rFonts w:hint="eastAsia" w:ascii="宋体" w:hAnsi="宋体" w:eastAsia="宋体" w:cs="宋体"/>
          <w:b w:val="0"/>
          <w:bCs w:val="0"/>
          <w:kern w:val="0"/>
          <w:sz w:val="21"/>
          <w:szCs w:val="21"/>
          <w:lang w:val="en-US" w:eastAsia="zh-CN" w:bidi="ar-SA"/>
        </w:rPr>
        <w:t>每个点位</w:t>
      </w:r>
      <w:r>
        <w:rPr>
          <w:rFonts w:hint="eastAsia" w:ascii="宋体" w:hAnsi="宋体" w:eastAsia="宋体" w:cs="宋体"/>
          <w:b w:val="0"/>
          <w:bCs w:val="0"/>
          <w:kern w:val="0"/>
          <w:sz w:val="21"/>
          <w:szCs w:val="21"/>
          <w:lang w:val="en-US" w:eastAsia="zh-Hans" w:bidi="ar-SA"/>
        </w:rPr>
        <w:t>平行采集</w:t>
      </w:r>
      <w:r>
        <w:rPr>
          <w:rFonts w:hint="eastAsia" w:ascii="宋体" w:hAnsi="宋体" w:eastAsia="宋体" w:cs="宋体"/>
          <w:b w:val="0"/>
          <w:bCs w:val="0"/>
          <w:kern w:val="0"/>
          <w:sz w:val="21"/>
          <w:szCs w:val="21"/>
          <w:lang w:val="en-US" w:eastAsia="zh-CN" w:bidi="ar-SA"/>
        </w:rPr>
        <w:t>5</w:t>
      </w:r>
      <w:r>
        <w:rPr>
          <w:rFonts w:hint="eastAsia" w:ascii="宋体" w:hAnsi="宋体" w:eastAsia="宋体" w:cs="宋体"/>
          <w:b w:val="0"/>
          <w:bCs w:val="0"/>
          <w:kern w:val="0"/>
          <w:sz w:val="21"/>
          <w:szCs w:val="21"/>
          <w:lang w:val="en-US" w:eastAsia="zh-Hans" w:bidi="ar-SA"/>
        </w:rPr>
        <w:t>份样品（</w:t>
      </w:r>
      <w:r>
        <w:rPr>
          <w:rFonts w:hint="eastAsia" w:ascii="宋体" w:hAnsi="宋体" w:eastAsia="宋体" w:cs="宋体"/>
          <w:b w:val="0"/>
          <w:bCs w:val="0"/>
          <w:kern w:val="0"/>
          <w:sz w:val="21"/>
          <w:szCs w:val="21"/>
          <w:lang w:val="en-US" w:eastAsia="zh-CN" w:bidi="ar-SA"/>
        </w:rPr>
        <w:t>其中3个为低含量样品，2个被10mL甲醇浸泡的样品为高含量样品</w:t>
      </w:r>
      <w:r>
        <w:rPr>
          <w:rFonts w:hint="eastAsia" w:ascii="宋体" w:hAnsi="宋体" w:eastAsia="宋体" w:cs="宋体"/>
          <w:b w:val="0"/>
          <w:bCs w:val="0"/>
          <w:kern w:val="0"/>
          <w:sz w:val="21"/>
          <w:szCs w:val="21"/>
          <w:lang w:val="en-US" w:eastAsia="zh-Hans" w:bidi="ar-SA"/>
        </w:rPr>
        <w:t>），同时用60mL（或大于60mL的其它规格的样品瓶）另外采集1份样品用于测定干物质含量。</w:t>
      </w:r>
    </w:p>
    <w:p w14:paraId="03962C70">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default"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注：样品分析时视现场快筛值而定，快筛值目标物含量小于200μg/kg时，选用低含量样品分析，快筛值目标物含量大于200μg/kg时，选用高含量样品分析。</w:t>
      </w:r>
    </w:p>
    <w:p w14:paraId="3FBBE3C8">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宋体"/>
          <w:b w:val="0"/>
          <w:bCs w:val="0"/>
          <w:kern w:val="0"/>
          <w:sz w:val="21"/>
          <w:szCs w:val="21"/>
          <w:lang w:val="en-US" w:eastAsia="zh-Hans" w:bidi="ar-SA"/>
        </w:rPr>
      </w:pPr>
      <w:r>
        <w:rPr>
          <w:rFonts w:hint="eastAsia" w:ascii="黑体" w:hAnsi="黑体" w:eastAsia="黑体" w:cs="黑体"/>
          <w:b w:val="0"/>
          <w:bCs w:val="0"/>
          <w:kern w:val="0"/>
          <w:sz w:val="21"/>
          <w:szCs w:val="21"/>
          <w:lang w:val="en-US" w:eastAsia="zh-Hans" w:bidi="ar-SA"/>
        </w:rPr>
        <w:t xml:space="preserve">6.3.9 </w:t>
      </w:r>
      <w:r>
        <w:rPr>
          <w:rFonts w:hint="eastAsia" w:ascii="宋体" w:hAnsi="宋体" w:eastAsia="宋体" w:cs="宋体"/>
          <w:b w:val="0"/>
          <w:bCs w:val="0"/>
          <w:kern w:val="0"/>
          <w:sz w:val="21"/>
          <w:szCs w:val="21"/>
          <w:lang w:val="en-US" w:eastAsia="zh-Hans" w:bidi="ar-SA"/>
        </w:rPr>
        <w:t>样品检测进样方式为顶空进样时，同一采样点应至少采集3份样品，同时单独采集1份样品用于测定干物质含量及可能存在的高浓度挥发性有机物。</w:t>
      </w:r>
    </w:p>
    <w:p w14:paraId="09A9F1E4">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6.4 样品保存和流转</w:t>
      </w:r>
      <w:bookmarkEnd w:id="268"/>
    </w:p>
    <w:p w14:paraId="71A042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6.4.1</w:t>
      </w:r>
      <w:r>
        <w:rPr>
          <w:rFonts w:hint="eastAsia" w:ascii="宋体" w:hAnsi="宋体" w:eastAsia="宋体" w:cs="宋体"/>
          <w:b w:val="0"/>
          <w:bCs w:val="0"/>
          <w:kern w:val="0"/>
          <w:sz w:val="21"/>
          <w:szCs w:val="21"/>
          <w:lang w:val="en-US" w:eastAsia="zh-CN" w:bidi="ar-SA"/>
        </w:rPr>
        <w:t>不同点位的土壤样品瓶应单独密封在自封袋中，避免交叉污染。</w:t>
      </w:r>
    </w:p>
    <w:p w14:paraId="13B04D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6.4.2</w:t>
      </w:r>
      <w:r>
        <w:rPr>
          <w:rFonts w:hint="eastAsia" w:ascii="宋体" w:hAnsi="宋体" w:eastAsia="宋体" w:cs="宋体"/>
          <w:b w:val="0"/>
          <w:bCs w:val="0"/>
          <w:kern w:val="0"/>
          <w:sz w:val="21"/>
          <w:szCs w:val="21"/>
          <w:lang w:val="en-US" w:eastAsia="zh-CN" w:bidi="ar-SA"/>
        </w:rPr>
        <w:t>采样现场、运输过程、实验室样品存放区均应配备冷藏设施，确保样品采样后4℃以下避光保存。</w:t>
      </w:r>
    </w:p>
    <w:p w14:paraId="34923B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6.4.3</w:t>
      </w:r>
      <w:r>
        <w:rPr>
          <w:rFonts w:hint="eastAsia" w:ascii="宋体" w:hAnsi="宋体" w:eastAsia="宋体" w:cs="宋体"/>
          <w:b w:val="0"/>
          <w:bCs w:val="0"/>
          <w:kern w:val="0"/>
          <w:sz w:val="21"/>
          <w:szCs w:val="21"/>
          <w:lang w:val="en-US" w:eastAsia="zh-CN" w:bidi="ar-SA"/>
        </w:rPr>
        <w:t>选择安全快捷的运输方式，样品运输过程中严防样品损失、混淆和沾污。</w:t>
      </w:r>
    </w:p>
    <w:p w14:paraId="48E374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6.4.4</w:t>
      </w:r>
      <w:r>
        <w:rPr>
          <w:rFonts w:hint="eastAsia" w:ascii="宋体" w:hAnsi="宋体" w:eastAsia="宋体" w:cs="宋体"/>
          <w:b w:val="0"/>
          <w:bCs w:val="0"/>
          <w:kern w:val="0"/>
          <w:sz w:val="21"/>
          <w:szCs w:val="21"/>
          <w:lang w:val="en-US" w:eastAsia="zh-CN" w:bidi="ar-SA"/>
        </w:rPr>
        <w:t>样品的有效保存时间为从样品采集完成到样品上机测试前。保存期限一般不超过7天，分析方法有规定时，按分析方法执行。</w:t>
      </w:r>
    </w:p>
    <w:p w14:paraId="5F9F20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6.4.5</w:t>
      </w:r>
      <w:r>
        <w:rPr>
          <w:rFonts w:hint="eastAsia" w:ascii="宋体" w:hAnsi="宋体" w:eastAsia="宋体" w:cs="宋体"/>
          <w:b w:val="0"/>
          <w:bCs w:val="0"/>
          <w:kern w:val="0"/>
          <w:sz w:val="21"/>
          <w:szCs w:val="21"/>
          <w:lang w:val="en-US" w:eastAsia="zh-CN" w:bidi="ar-SA"/>
        </w:rPr>
        <w:t>样品运输过程和实验室存放区域均应无挥发性有机物干扰。</w:t>
      </w:r>
    </w:p>
    <w:p w14:paraId="3AD10C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6.4.6</w:t>
      </w:r>
      <w:r>
        <w:rPr>
          <w:rFonts w:hint="eastAsia" w:ascii="宋体" w:hAnsi="宋体" w:eastAsia="宋体" w:cs="宋体"/>
          <w:b w:val="0"/>
          <w:bCs w:val="0"/>
          <w:kern w:val="0"/>
          <w:sz w:val="21"/>
          <w:szCs w:val="21"/>
          <w:lang w:val="en-US" w:eastAsia="zh-CN" w:bidi="ar-SA"/>
        </w:rPr>
        <w:t>样品的交接流转应及时做好记录，记录内容应包括交样人、接样人、交接时间、样品数量、样品状态、保存条件、领样人、领样时间、样品编号、分析项目和现场快筛值等信息。</w:t>
      </w:r>
    </w:p>
    <w:p w14:paraId="1C5FE00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6.4.7</w:t>
      </w:r>
      <w:r>
        <w:rPr>
          <w:rFonts w:hint="eastAsia" w:ascii="宋体" w:hAnsi="宋体" w:eastAsia="宋体" w:cs="宋体"/>
          <w:b w:val="0"/>
          <w:bCs w:val="0"/>
          <w:kern w:val="0"/>
          <w:sz w:val="21"/>
          <w:szCs w:val="21"/>
          <w:lang w:val="en-US" w:eastAsia="zh-CN" w:bidi="ar-SA"/>
        </w:rPr>
        <w:t>对不符合土壤挥发性有机物样品检测要求的应拒收，并明确告知相关样品的偏离情况。</w:t>
      </w:r>
    </w:p>
    <w:p w14:paraId="748FDE64">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69" w:name="_Toc19835"/>
      <w:r>
        <w:rPr>
          <w:rFonts w:hint="eastAsia" w:ascii="黑体" w:hAnsi="黑体" w:eastAsia="黑体" w:cs="黑体"/>
          <w:b w:val="0"/>
          <w:bCs w:val="0"/>
          <w:kern w:val="2"/>
          <w:sz w:val="21"/>
          <w:szCs w:val="21"/>
          <w:lang w:val="en-US" w:eastAsia="zh-CN" w:bidi="ar-SA"/>
        </w:rPr>
        <w:t>6.5 现场记录</w:t>
      </w:r>
      <w:bookmarkEnd w:id="269"/>
    </w:p>
    <w:p w14:paraId="0935EB77">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6.5.1 样品采集记录</w:t>
      </w:r>
    </w:p>
    <w:p w14:paraId="1568D4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fr-FR" w:eastAsia="zh-CN" w:bidi="ar-SA"/>
        </w:rPr>
      </w:pPr>
      <w:r>
        <w:rPr>
          <w:rFonts w:hint="eastAsia" w:ascii="宋体" w:hAnsi="宋体" w:eastAsia="宋体" w:cs="宋体"/>
          <w:kern w:val="0"/>
          <w:sz w:val="21"/>
          <w:szCs w:val="21"/>
          <w:lang w:val="fr-FR" w:eastAsia="zh-CN" w:bidi="ar-SA"/>
        </w:rPr>
        <w:t>样品采集过程中应对采样工具、采集位置、</w:t>
      </w:r>
      <w:r>
        <w:rPr>
          <w:rFonts w:hint="eastAsia" w:ascii="宋体" w:hAnsi="宋体" w:eastAsia="宋体" w:cs="宋体"/>
          <w:kern w:val="0"/>
          <w:sz w:val="21"/>
          <w:szCs w:val="21"/>
          <w:lang w:val="en-US" w:eastAsia="zh-CN" w:bidi="ar-SA"/>
        </w:rPr>
        <w:t>现场钻孔、土壤</w:t>
      </w:r>
      <w:r>
        <w:rPr>
          <w:rFonts w:hint="eastAsia" w:ascii="宋体" w:hAnsi="宋体" w:eastAsia="宋体" w:cs="宋体"/>
          <w:kern w:val="0"/>
          <w:sz w:val="21"/>
          <w:szCs w:val="21"/>
          <w:lang w:val="fr-FR" w:eastAsia="zh-CN" w:bidi="ar-SA"/>
        </w:rPr>
        <w:t>岩芯、</w:t>
      </w:r>
      <w:r>
        <w:rPr>
          <w:rFonts w:hint="eastAsia" w:ascii="宋体" w:hAnsi="宋体" w:eastAsia="宋体" w:cs="宋体"/>
          <w:kern w:val="0"/>
          <w:sz w:val="21"/>
          <w:szCs w:val="21"/>
          <w:lang w:val="en-US" w:eastAsia="zh-CN" w:bidi="ar-SA"/>
        </w:rPr>
        <w:t>采样过程</w:t>
      </w:r>
      <w:r>
        <w:rPr>
          <w:rFonts w:hint="eastAsia" w:ascii="宋体" w:hAnsi="宋体" w:eastAsia="宋体" w:cs="宋体"/>
          <w:kern w:val="0"/>
          <w:sz w:val="21"/>
          <w:szCs w:val="21"/>
          <w:lang w:val="fr-FR" w:eastAsia="zh-CN" w:bidi="ar-SA"/>
        </w:rPr>
        <w:t>、样品瓶</w:t>
      </w:r>
      <w:r>
        <w:rPr>
          <w:rFonts w:hint="eastAsia" w:ascii="宋体" w:hAnsi="宋体" w:eastAsia="宋体" w:cs="宋体"/>
          <w:kern w:val="0"/>
          <w:sz w:val="21"/>
          <w:szCs w:val="21"/>
          <w:lang w:val="en-US" w:eastAsia="zh-CN" w:bidi="ar-SA"/>
        </w:rPr>
        <w:t>编号</w:t>
      </w:r>
      <w:r>
        <w:rPr>
          <w:rFonts w:hint="eastAsia" w:ascii="宋体" w:hAnsi="宋体" w:eastAsia="宋体" w:cs="宋体"/>
          <w:kern w:val="0"/>
          <w:sz w:val="21"/>
          <w:szCs w:val="21"/>
          <w:lang w:val="fr-FR" w:eastAsia="zh-CN" w:bidi="ar-SA"/>
        </w:rPr>
        <w:t>、现场</w:t>
      </w:r>
      <w:r>
        <w:rPr>
          <w:rFonts w:hint="eastAsia" w:ascii="宋体" w:hAnsi="宋体" w:eastAsia="宋体" w:cs="宋体"/>
          <w:kern w:val="0"/>
          <w:sz w:val="21"/>
          <w:szCs w:val="21"/>
          <w:lang w:val="en-US" w:eastAsia="zh-CN" w:bidi="ar-SA"/>
        </w:rPr>
        <w:t>快速测定</w:t>
      </w:r>
      <w:r>
        <w:rPr>
          <w:rFonts w:hint="eastAsia" w:ascii="宋体" w:hAnsi="宋体" w:eastAsia="宋体" w:cs="宋体"/>
          <w:kern w:val="0"/>
          <w:sz w:val="21"/>
          <w:szCs w:val="21"/>
          <w:lang w:val="fr-FR" w:eastAsia="zh-CN" w:bidi="ar-SA"/>
        </w:rPr>
        <w:t>仪器（</w:t>
      </w:r>
      <w:r>
        <w:rPr>
          <w:rFonts w:hint="eastAsia" w:ascii="宋体" w:hAnsi="宋体" w:eastAsia="宋体" w:cs="宋体"/>
          <w:kern w:val="0"/>
          <w:sz w:val="21"/>
          <w:szCs w:val="21"/>
          <w:lang w:val="en-US" w:eastAsia="zh-CN" w:bidi="ar-SA"/>
        </w:rPr>
        <w:t>PID</w:t>
      </w:r>
      <w:r>
        <w:rPr>
          <w:rFonts w:hint="eastAsia" w:ascii="宋体" w:hAnsi="宋体" w:eastAsia="宋体" w:cs="宋体"/>
          <w:kern w:val="0"/>
          <w:sz w:val="21"/>
          <w:szCs w:val="21"/>
          <w:lang w:val="fr-FR" w:eastAsia="zh-CN" w:bidi="ar-SA"/>
        </w:rPr>
        <w:t>）使用等关键信息进行拍照、视频记录，</w:t>
      </w:r>
      <w:r>
        <w:rPr>
          <w:rFonts w:hint="eastAsia" w:ascii="宋体" w:hAnsi="宋体" w:eastAsia="宋体" w:cs="宋体"/>
          <w:kern w:val="0"/>
          <w:sz w:val="21"/>
          <w:szCs w:val="21"/>
          <w:lang w:val="en-US" w:eastAsia="zh-CN" w:bidi="ar-SA"/>
        </w:rPr>
        <w:t>并填写相关作业记录</w:t>
      </w:r>
      <w:r>
        <w:rPr>
          <w:rFonts w:hint="eastAsia" w:ascii="宋体" w:hAnsi="宋体" w:eastAsia="宋体" w:cs="宋体"/>
          <w:kern w:val="0"/>
          <w:sz w:val="21"/>
          <w:szCs w:val="21"/>
          <w:lang w:val="fr-FR" w:eastAsia="zh-CN" w:bidi="ar-SA"/>
        </w:rPr>
        <w:t>。</w:t>
      </w:r>
    </w:p>
    <w:p w14:paraId="541DAD20">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6.5.2 样品标识</w:t>
      </w:r>
    </w:p>
    <w:p w14:paraId="40BFA3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样品标签应包含样品编号（样品唯一性标识）、检测项目、采样日期等必要信息，贴在外包装容器上，宜机器打印，避免手写。</w:t>
      </w:r>
    </w:p>
    <w:p w14:paraId="30D8EFC1">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6.5.3 影像记录</w:t>
      </w:r>
    </w:p>
    <w:p w14:paraId="4A83ED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土壤采样过程中应对调查项目名称、钻孔位置、钻孔点位平面坐标、钻孔过程、采样过程、样品及岩芯箱等关键信息拍照或录像记录，所有影像资料均应含有钻孔编号、采样单位名称、采样日期等信息。</w:t>
      </w:r>
    </w:p>
    <w:p w14:paraId="787603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钻孔位置：应能体现钻孔位置定位信息。</w:t>
      </w:r>
    </w:p>
    <w:p w14:paraId="3AD6BE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钻孔过程：应能体现钻孔作业中开孔、套管跟进、钻杆更换和取土器使用、原状土样采集、设备清洗等操作环节。</w:t>
      </w:r>
    </w:p>
    <w:p w14:paraId="5C4C88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采样过程：应能体现采样工具、采集位置、土壤装样过程、现场检测仪器使用等关键信息，采样过程拍摄视频记录备查。</w:t>
      </w:r>
    </w:p>
    <w:p w14:paraId="7F4EF3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样品及岩芯箱：应能体现整个钻孔土层的结构特征、岩芯深度等信息。</w:t>
      </w:r>
    </w:p>
    <w:p w14:paraId="5D597D8A">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70" w:name="_Toc5218"/>
      <w:r>
        <w:rPr>
          <w:rFonts w:hint="eastAsia" w:ascii="黑体" w:hAnsi="黑体" w:eastAsia="黑体" w:cs="黑体"/>
          <w:b w:val="0"/>
          <w:bCs w:val="0"/>
          <w:kern w:val="2"/>
          <w:sz w:val="21"/>
          <w:szCs w:val="21"/>
          <w:lang w:val="en-US" w:eastAsia="zh-CN" w:bidi="ar-SA"/>
        </w:rPr>
        <w:t>6.6 现场质量控制样品</w:t>
      </w:r>
      <w:bookmarkEnd w:id="270"/>
    </w:p>
    <w:p w14:paraId="49B798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每批次应至少采集一个运输空白和一个全程序空白样品。</w:t>
      </w:r>
    </w:p>
    <w:p w14:paraId="04DE6EF3">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fr-FR" w:eastAsia="en-US" w:bidi="ar-SA"/>
        </w:rPr>
      </w:pPr>
      <w:bookmarkStart w:id="271" w:name="_Toc30460"/>
      <w:r>
        <w:rPr>
          <w:rFonts w:hint="default" w:ascii="黑体" w:hAnsi="黑体" w:eastAsia="黑体" w:cs="黑体"/>
          <w:b w:val="0"/>
          <w:bCs w:val="0"/>
          <w:kern w:val="2"/>
          <w:sz w:val="21"/>
          <w:szCs w:val="21"/>
          <w:lang w:val="fr-FR" w:eastAsia="en-US" w:bidi="ar-SA"/>
        </w:rPr>
        <w:t>7</w:t>
      </w:r>
      <w:r>
        <w:rPr>
          <w:rFonts w:hint="eastAsia" w:ascii="黑体" w:hAnsi="黑体" w:eastAsia="黑体" w:cs="黑体"/>
          <w:b w:val="0"/>
          <w:bCs w:val="0"/>
          <w:kern w:val="2"/>
          <w:sz w:val="21"/>
          <w:szCs w:val="21"/>
          <w:lang w:val="fr-FR" w:eastAsia="en-US" w:bidi="ar-SA"/>
        </w:rPr>
        <w:t>实验室分析</w:t>
      </w:r>
      <w:bookmarkEnd w:id="271"/>
    </w:p>
    <w:p w14:paraId="04B2D0A2">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72" w:name="_Toc9522"/>
      <w:r>
        <w:rPr>
          <w:rFonts w:hint="eastAsia" w:ascii="黑体" w:hAnsi="黑体" w:eastAsia="黑体" w:cs="黑体"/>
          <w:b w:val="0"/>
          <w:bCs w:val="0"/>
          <w:kern w:val="2"/>
          <w:sz w:val="21"/>
          <w:szCs w:val="21"/>
          <w:lang w:val="en-US" w:eastAsia="zh-CN" w:bidi="ar-SA"/>
        </w:rPr>
        <w:t>7.1 设施和环境条件</w:t>
      </w:r>
      <w:bookmarkEnd w:id="272"/>
    </w:p>
    <w:p w14:paraId="0BCCE3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根据区域功能和控制要求，配置排风、防尘、避震和温湿度控制设备或设施；避免环境或交叉污染对监测结果产生影响。</w:t>
      </w:r>
    </w:p>
    <w:p w14:paraId="311F08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挥发性有机物检测实验区域应远离可能产生挥发性有机物干扰的试剂、材料或活动。</w:t>
      </w:r>
    </w:p>
    <w:p w14:paraId="11FD50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Hans" w:bidi="ar-SA"/>
        </w:rPr>
        <w:t>实验所用试剂器皿应进行除杂（例如：吹扫瓶采样前进行高温烘烤、石英砂高温灼烧、实验用水煮沸等）。</w:t>
      </w:r>
    </w:p>
    <w:p w14:paraId="4FF7F769">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73" w:name="_Toc25775"/>
      <w:r>
        <w:rPr>
          <w:rFonts w:hint="eastAsia" w:ascii="黑体" w:hAnsi="黑体" w:eastAsia="黑体" w:cs="黑体"/>
          <w:b w:val="0"/>
          <w:bCs w:val="0"/>
          <w:kern w:val="2"/>
          <w:sz w:val="21"/>
          <w:szCs w:val="21"/>
          <w:lang w:val="en-US" w:eastAsia="zh-CN" w:bidi="ar-SA"/>
        </w:rPr>
        <w:t>7.2 分析方法</w:t>
      </w:r>
      <w:bookmarkEnd w:id="273"/>
    </w:p>
    <w:p w14:paraId="19936E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建设用地土壤挥发性有机物分析方法按GB 36600执行。</w:t>
      </w:r>
    </w:p>
    <w:p w14:paraId="742D2E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指定方法以外的分析方法，如适用性满足要求，经过方法验证，也可采用，方法检出限一般应低于筛选值1/4，应制定作业指导书。</w:t>
      </w:r>
    </w:p>
    <w:p w14:paraId="53F4DD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初次使用标准方法前，应进行方法验证。包括对方法涉及的人员和技术能力、设施和环境条件、采样及分析仪器设备、试剂材料、标准物质、原始记录和监测报告格式、方法性能指标（如校准曲线、检出限、测定下限、准确度、精密度）等内容进行验证，并根据标准的适用范围，选取不少于一种实际样品进行测定。方法验证执行HJ 168的规定。方法验证的过程及结果应形成报告，并附全过程原始记录及谱图，保证过程可追溯。</w:t>
      </w:r>
    </w:p>
    <w:p w14:paraId="32594F59">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74" w:name="_Toc9032"/>
      <w:r>
        <w:rPr>
          <w:rFonts w:hint="eastAsia" w:ascii="黑体" w:hAnsi="黑体" w:eastAsia="黑体" w:cs="黑体"/>
          <w:b w:val="0"/>
          <w:bCs w:val="0"/>
          <w:kern w:val="2"/>
          <w:sz w:val="21"/>
          <w:szCs w:val="21"/>
          <w:lang w:val="en-US" w:eastAsia="zh-CN" w:bidi="ar-SA"/>
        </w:rPr>
        <w:t>7.3 样品制备</w:t>
      </w:r>
      <w:bookmarkEnd w:id="274"/>
    </w:p>
    <w:p w14:paraId="4C3074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分析挥发性有机物的土壤样品一般采用鲜样分析，按分析方法要求对样品进行处理。</w:t>
      </w:r>
    </w:p>
    <w:p w14:paraId="7EA3E402">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75" w:name="_Toc7677"/>
      <w:r>
        <w:rPr>
          <w:rFonts w:hint="eastAsia" w:ascii="黑体" w:hAnsi="黑体" w:eastAsia="黑体" w:cs="黑体"/>
          <w:b w:val="0"/>
          <w:bCs w:val="0"/>
          <w:kern w:val="2"/>
          <w:sz w:val="21"/>
          <w:szCs w:val="21"/>
          <w:lang w:val="en-US" w:eastAsia="zh-CN" w:bidi="ar-SA"/>
        </w:rPr>
        <w:t>7.4 标准物质、试剂和材料</w:t>
      </w:r>
      <w:bookmarkEnd w:id="275"/>
    </w:p>
    <w:p w14:paraId="289FD3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7.4.1</w:t>
      </w:r>
      <w:r>
        <w:rPr>
          <w:rFonts w:hint="eastAsia" w:ascii="宋体" w:hAnsi="宋体" w:eastAsia="宋体" w:cs="宋体"/>
          <w:b w:val="0"/>
          <w:bCs w:val="0"/>
          <w:kern w:val="0"/>
          <w:sz w:val="21"/>
          <w:szCs w:val="21"/>
          <w:lang w:val="en-US" w:eastAsia="zh-CN" w:bidi="ar-SA"/>
        </w:rPr>
        <w:t>挥发性有机物检测使用的器具、材料、试剂等应在检测活动开展前进行空白验收，空白试验结果应满足本文件7.5.2.1要求。</w:t>
      </w:r>
    </w:p>
    <w:p w14:paraId="14A908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kern w:val="0"/>
          <w:sz w:val="21"/>
          <w:szCs w:val="21"/>
          <w:lang w:val="en-US" w:eastAsia="zh-CN" w:bidi="ar-SA"/>
        </w:rPr>
      </w:pPr>
      <w:r>
        <w:rPr>
          <w:rFonts w:hint="eastAsia" w:ascii="黑体" w:hAnsi="黑体" w:eastAsia="黑体" w:cs="黑体"/>
          <w:b w:val="0"/>
          <w:bCs w:val="0"/>
          <w:kern w:val="0"/>
          <w:sz w:val="21"/>
          <w:szCs w:val="21"/>
          <w:lang w:val="en-US" w:eastAsia="zh-CN" w:bidi="ar-SA"/>
        </w:rPr>
        <w:t>7.4.2</w:t>
      </w:r>
      <w:r>
        <w:rPr>
          <w:rFonts w:hint="eastAsia" w:ascii="宋体" w:hAnsi="宋体" w:eastAsia="宋体" w:cs="宋体"/>
          <w:b w:val="0"/>
          <w:bCs w:val="0"/>
          <w:kern w:val="0"/>
          <w:sz w:val="21"/>
          <w:szCs w:val="21"/>
          <w:lang w:val="en-US" w:eastAsia="zh-CN" w:bidi="ar-SA"/>
        </w:rPr>
        <w:t>分析所用的标准物质应首选有证标准物质。当没有有证标准物质时，也可以用纯度较高（一般不低于98%）、性质稳定的化学试剂直接配制标准溶液。</w:t>
      </w:r>
    </w:p>
    <w:p w14:paraId="72734A29">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76" w:name="_Toc16715"/>
      <w:r>
        <w:rPr>
          <w:rFonts w:hint="eastAsia" w:ascii="黑体" w:hAnsi="黑体" w:eastAsia="黑体" w:cs="黑体"/>
          <w:b w:val="0"/>
          <w:bCs w:val="0"/>
          <w:kern w:val="2"/>
          <w:sz w:val="21"/>
          <w:szCs w:val="21"/>
          <w:lang w:val="en-US" w:eastAsia="zh-CN" w:bidi="ar-SA"/>
        </w:rPr>
        <w:t>7.5 样品分析</w:t>
      </w:r>
      <w:bookmarkEnd w:id="276"/>
    </w:p>
    <w:p w14:paraId="554C7216">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7.5.1 仪器性能检查</w:t>
      </w:r>
    </w:p>
    <w:p w14:paraId="3127F5A6">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气相色谱-质谱法（GC/MS法）每批样品分析之前或24h之内，需进行仪器性能检查，测定校准确认标准溶液和空白试验样品，得到的4-溴氟苯（BFB）质谱图应符合相关方法规定的要求。如果替代物中含有BFB，此步骤可与空白试验合并。</w:t>
      </w:r>
    </w:p>
    <w:p w14:paraId="1E446145">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7.5.2 空白试验</w:t>
      </w:r>
    </w:p>
    <w:p w14:paraId="46057C37">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黑体" w:hAnsi="黑体" w:eastAsia="黑体" w:cs="黑体"/>
          <w:b w:val="0"/>
          <w:bCs w:val="0"/>
          <w:kern w:val="0"/>
          <w:sz w:val="21"/>
          <w:szCs w:val="21"/>
          <w:lang w:val="en-US" w:eastAsia="zh-CN" w:bidi="ar-SA"/>
        </w:rPr>
        <w:t>7.5.2.1</w:t>
      </w:r>
      <w:r>
        <w:rPr>
          <w:rFonts w:hint="eastAsia" w:ascii="宋体" w:hAnsi="宋体" w:eastAsia="宋体" w:cs="宋体"/>
          <w:b w:val="0"/>
          <w:bCs w:val="0"/>
          <w:kern w:val="2"/>
          <w:sz w:val="21"/>
          <w:szCs w:val="21"/>
          <w:lang w:val="en-US" w:eastAsia="zh-CN" w:bidi="ar-SA"/>
        </w:rPr>
        <w:t>空白试验（包括实验室空白、运输空白、全程序空白）的测定结果应满足如下任一条件最大者：</w:t>
      </w:r>
    </w:p>
    <w:p w14:paraId="72FEB9FC">
      <w:pPr>
        <w:keepNext w:val="0"/>
        <w:keepLines w:val="0"/>
        <w:pageBreakBefore w:val="0"/>
        <w:widowControl w:val="0"/>
        <w:numPr>
          <w:ilvl w:val="0"/>
          <w:numId w:val="49"/>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目标物浓度小于方法检出限；</w:t>
      </w:r>
    </w:p>
    <w:p w14:paraId="6953016E">
      <w:pPr>
        <w:keepNext w:val="0"/>
        <w:keepLines w:val="0"/>
        <w:pageBreakBefore w:val="0"/>
        <w:widowControl w:val="0"/>
        <w:numPr>
          <w:ilvl w:val="0"/>
          <w:numId w:val="49"/>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目标物浓度小于相关环保标准限值的5%；</w:t>
      </w:r>
    </w:p>
    <w:p w14:paraId="5E06F1DC">
      <w:pPr>
        <w:keepNext w:val="0"/>
        <w:keepLines w:val="0"/>
        <w:pageBreakBefore w:val="0"/>
        <w:widowControl w:val="0"/>
        <w:numPr>
          <w:ilvl w:val="0"/>
          <w:numId w:val="49"/>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目标物浓度小于样品分析结果的5%。</w:t>
      </w:r>
    </w:p>
    <w:p w14:paraId="0EFC51F8">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若空白试验未满足以上要求，则应采取措施排除污染并重新分析同批样品。</w:t>
      </w:r>
    </w:p>
    <w:p w14:paraId="544ACDCD">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黑体" w:hAnsi="黑体" w:eastAsia="黑体" w:cs="黑体"/>
          <w:b w:val="0"/>
          <w:bCs w:val="0"/>
          <w:kern w:val="0"/>
          <w:sz w:val="21"/>
          <w:szCs w:val="21"/>
          <w:lang w:val="en-US" w:eastAsia="zh-CN" w:bidi="ar-SA"/>
        </w:rPr>
        <w:t xml:space="preserve">7.5.2.2 </w:t>
      </w:r>
      <w:r>
        <w:rPr>
          <w:rFonts w:hint="eastAsia" w:ascii="宋体" w:hAnsi="宋体" w:eastAsia="宋体" w:cs="宋体"/>
          <w:b w:val="0"/>
          <w:bCs w:val="0"/>
          <w:kern w:val="2"/>
          <w:sz w:val="21"/>
          <w:szCs w:val="21"/>
          <w:lang w:val="en-US" w:eastAsia="zh-CN" w:bidi="ar-SA"/>
        </w:rPr>
        <w:t>空白试验结果计算</w:t>
      </w:r>
    </w:p>
    <w:p w14:paraId="717608F4">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使用空白试剂水为空白试样时，以取样量5 g、干物质含量100%计；</w:t>
      </w:r>
    </w:p>
    <w:p w14:paraId="184FB0C8">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使用石英砂为空白试样时，取样量取石英砂实际称量值，干物质含量以100%计。</w:t>
      </w:r>
    </w:p>
    <w:p w14:paraId="2B3B7CED">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黑体" w:hAnsi="黑体" w:eastAsia="黑体" w:cs="黑体"/>
          <w:b w:val="0"/>
          <w:bCs w:val="0"/>
          <w:kern w:val="0"/>
          <w:sz w:val="21"/>
          <w:szCs w:val="21"/>
          <w:lang w:val="en-US" w:eastAsia="zh-CN" w:bidi="ar-SA"/>
        </w:rPr>
        <w:t>7.5.2.3</w:t>
      </w:r>
      <w:r>
        <w:rPr>
          <w:rFonts w:hint="eastAsia" w:ascii="宋体" w:hAnsi="宋体" w:eastAsia="宋体" w:cs="宋体"/>
          <w:b w:val="0"/>
          <w:bCs w:val="0"/>
          <w:kern w:val="2"/>
          <w:sz w:val="21"/>
          <w:szCs w:val="21"/>
          <w:lang w:val="en-US" w:eastAsia="zh-CN" w:bidi="ar-SA"/>
        </w:rPr>
        <w:t>每批样品（最多20个）均应在与测试样品相同的前处理和分析条件下至少进行一次实验室空白</w:t>
      </w:r>
      <w:r>
        <w:rPr>
          <w:rFonts w:hint="eastAsia" w:ascii="宋体" w:hAnsi="宋体" w:eastAsia="宋体" w:cs="宋体"/>
          <w:b w:val="0"/>
          <w:bCs w:val="0"/>
          <w:kern w:val="2"/>
          <w:sz w:val="21"/>
          <w:szCs w:val="21"/>
          <w:highlight w:val="none"/>
          <w:lang w:val="en-US" w:eastAsia="zh-CN" w:bidi="ar-SA"/>
        </w:rPr>
        <w:t>分析，其测定结果应满足7.5.2.1空白试验的控制要求。</w:t>
      </w:r>
    </w:p>
    <w:p w14:paraId="18917BCB">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黑体" w:hAnsi="黑体" w:eastAsia="黑体" w:cs="黑体"/>
          <w:b w:val="0"/>
          <w:bCs w:val="0"/>
          <w:kern w:val="0"/>
          <w:sz w:val="21"/>
          <w:szCs w:val="21"/>
          <w:highlight w:val="none"/>
          <w:lang w:val="en-US" w:eastAsia="zh-CN" w:bidi="ar-SA"/>
        </w:rPr>
        <w:t>7.5.2.4</w:t>
      </w:r>
      <w:r>
        <w:rPr>
          <w:rFonts w:hint="eastAsia" w:ascii="宋体" w:hAnsi="宋体" w:eastAsia="宋体" w:cs="宋体"/>
          <w:b w:val="0"/>
          <w:bCs w:val="0"/>
          <w:kern w:val="2"/>
          <w:sz w:val="21"/>
          <w:szCs w:val="21"/>
          <w:highlight w:val="none"/>
          <w:lang w:val="en-US" w:eastAsia="zh-CN" w:bidi="ar-SA"/>
        </w:rPr>
        <w:t>样品分析顺序应先分析空白，再分析样品。遇到高含量样品，分析完后，应分析实验室空白样品，直至实验室空白检测满足7.5.2.1的控制要求，才可以进行后续分析。</w:t>
      </w:r>
    </w:p>
    <w:p w14:paraId="58460166">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7.5.3 校准曲线</w:t>
      </w:r>
    </w:p>
    <w:p w14:paraId="431D33FC">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校准曲线至少需5个浓度梯度（空白除外），覆盖被测样品的浓度范围，且最低点浓度应接近方法测定下限，所要定量的目标物相对响应因子（RRF）的相对标准偏差（RSD）应≤20%（GC/MS法）,或线性、非线性校准曲线相关系数大于等于0.99。连续进样分析时，每24h或每分析20个样品应测定一次校准曲线中间浓度点，目标物的测定值与标准值间的相对误差应≤20%，否则应重新绘制校准曲线。</w:t>
      </w:r>
    </w:p>
    <w:p w14:paraId="08948FE5">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7.5.4 目标物定性</w:t>
      </w:r>
    </w:p>
    <w:p w14:paraId="52F4F5F3">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目标物以保留时间（或相对保留时间）和标准物质谱图进行比较定性。</w:t>
      </w:r>
    </w:p>
    <w:p w14:paraId="2AD55302">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使用保留时间定性时，目标物的保留时间偏差不应超过30 s。</w:t>
      </w:r>
    </w:p>
    <w:p w14:paraId="04367267">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使用相对保留时间定性时，样品中目标物相对保留时间与校准曲线中该目标物的相对保留时间的差值应在0.06 以内。</w:t>
      </w:r>
    </w:p>
    <w:p w14:paraId="430EDD18">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使用GC/MS分析时，应使用质谱图辅助定性，目标物在标准质谱图中的丰度高于30%的所有离子应在样品质谱图中存在，且样品质谱图中的相对丰度与标准质谱图中的相对丰度的偏差绝对值应小于20%。</w:t>
      </w:r>
    </w:p>
    <w:p w14:paraId="1CB531A5">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77" w:name="_Toc14410"/>
      <w:r>
        <w:rPr>
          <w:rFonts w:hint="eastAsia" w:ascii="黑体" w:hAnsi="黑体" w:eastAsia="黑体" w:cs="黑体"/>
          <w:b w:val="0"/>
          <w:bCs w:val="0"/>
          <w:kern w:val="2"/>
          <w:sz w:val="21"/>
          <w:szCs w:val="21"/>
          <w:lang w:val="en-US" w:eastAsia="zh-CN" w:bidi="ar-SA"/>
        </w:rPr>
        <w:t>7.6 实验室质量控制</w:t>
      </w:r>
      <w:bookmarkEnd w:id="277"/>
    </w:p>
    <w:p w14:paraId="6167125B">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7.6.1实验室内质量控制</w:t>
      </w:r>
    </w:p>
    <w:p w14:paraId="72DA9D2F">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snapToGrid/>
        <w:spacing w:before="0" w:beforeLines="50" w:after="0" w:afterLines="50" w:line="360" w:lineRule="auto"/>
        <w:ind w:left="0" w:leftChars="0" w:right="0" w:rightChars="0" w:firstLine="420" w:firstLineChars="200"/>
        <w:jc w:val="left"/>
        <w:textAlignment w:val="auto"/>
        <w:rPr>
          <w:rFonts w:hint="eastAsia" w:ascii="黑体" w:hAnsi="黑体" w:eastAsia="黑体" w:cs="黑体"/>
          <w:b w:val="0"/>
          <w:bCs w:val="0"/>
          <w:kern w:val="2"/>
          <w:sz w:val="21"/>
          <w:szCs w:val="21"/>
          <w:lang w:val="en-US" w:eastAsia="zh-CN" w:bidi="ar-SA"/>
        </w:rPr>
      </w:pPr>
      <w:r>
        <w:rPr>
          <w:rFonts w:hint="eastAsia" w:ascii="黑体" w:hAnsi="黑体" w:eastAsia="黑体" w:cs="黑体"/>
          <w:b w:val="0"/>
          <w:bCs w:val="0"/>
          <w:kern w:val="2"/>
          <w:sz w:val="21"/>
          <w:szCs w:val="21"/>
          <w:lang w:val="en-US" w:eastAsia="zh-CN" w:bidi="ar-SA"/>
        </w:rPr>
        <w:t>精密度控制</w:t>
      </w:r>
    </w:p>
    <w:p w14:paraId="72626A1D">
      <w:pPr>
        <w:keepNext w:val="0"/>
        <w:keepLines w:val="0"/>
        <w:pageBreakBefore w:val="0"/>
        <w:widowControl w:val="0"/>
        <w:kinsoku/>
        <w:wordWrap/>
        <w:overflowPunct/>
        <w:topLinePunct w:val="0"/>
        <w:autoSpaceDE/>
        <w:autoSpaceDN/>
        <w:bidi w:val="0"/>
        <w:adjustRightInd/>
        <w:snapToGrid/>
        <w:spacing w:before="0" w:line="360" w:lineRule="auto"/>
        <w:ind w:left="0" w:righ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每批样品（最多20个）应选择一个样品进行平行分析，使用GC/MS法的平行样品替代物相对偏差应≤25%。当目标物测定结果为10倍检出限以内（含10倍检出限），平行样品目标物测定结果的相对偏差应≤50%；当目标物测定结果大于10倍检出限，平行样品目标物测定结果的相对偏差应≤20%。</w:t>
      </w:r>
    </w:p>
    <w:p w14:paraId="2A40412D">
      <w:pPr>
        <w:keepNext w:val="0"/>
        <w:keepLines w:val="0"/>
        <w:pageBreakBefore w:val="0"/>
        <w:widowControl w:val="0"/>
        <w:kinsoku/>
        <w:wordWrap/>
        <w:overflowPunct/>
        <w:topLinePunct w:val="0"/>
        <w:autoSpaceDE/>
        <w:autoSpaceDN/>
        <w:bidi w:val="0"/>
        <w:adjustRightInd/>
        <w:snapToGrid/>
        <w:spacing w:before="0" w:line="360" w:lineRule="auto"/>
        <w:ind w:left="0" w:righ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当分析方法有规定时，按分析方法执行。各分析方法精密度允许范围参考附录A表A.1。</w:t>
      </w:r>
    </w:p>
    <w:p w14:paraId="4B6B33EA">
      <w:pPr>
        <w:keepNext w:val="0"/>
        <w:keepLines w:val="0"/>
        <w:pageBreakBefore w:val="0"/>
        <w:widowControl w:val="0"/>
        <w:numPr>
          <w:ilvl w:val="0"/>
          <w:numId w:val="0"/>
        </w:numPr>
        <w:tabs>
          <w:tab w:val="left" w:pos="1341"/>
          <w:tab w:val="left" w:pos="1342"/>
        </w:tabs>
        <w:kinsoku/>
        <w:wordWrap/>
        <w:overflowPunct/>
        <w:topLinePunct w:val="0"/>
        <w:autoSpaceDE/>
        <w:autoSpaceDN/>
        <w:bidi w:val="0"/>
        <w:snapToGrid/>
        <w:spacing w:before="0" w:beforeLines="50" w:after="0" w:line="360" w:lineRule="auto"/>
        <w:ind w:left="0" w:leftChars="0" w:right="0" w:rightChars="0" w:firstLine="420" w:firstLineChars="200"/>
        <w:jc w:val="both"/>
        <w:textAlignment w:val="auto"/>
        <w:rPr>
          <w:rFonts w:hint="default" w:ascii="黑体" w:hAnsi="黑体" w:eastAsia="黑体" w:cs="黑体"/>
          <w:b w:val="0"/>
          <w:bCs w:val="0"/>
          <w:kern w:val="2"/>
          <w:sz w:val="21"/>
          <w:szCs w:val="21"/>
          <w:lang w:val="en-US" w:eastAsia="zh-CN" w:bidi="ar-SA"/>
        </w:rPr>
      </w:pPr>
      <w:r>
        <w:rPr>
          <w:rFonts w:hint="default" w:ascii="黑体" w:hAnsi="黑体" w:eastAsia="黑体" w:cs="黑体"/>
          <w:b w:val="0"/>
          <w:bCs w:val="0"/>
          <w:kern w:val="2"/>
          <w:sz w:val="21"/>
          <w:szCs w:val="21"/>
          <w:lang w:val="en-US" w:eastAsia="zh-CN" w:bidi="ar-SA"/>
        </w:rPr>
        <w:t>准确度控制方式</w:t>
      </w:r>
    </w:p>
    <w:p w14:paraId="627E17B0">
      <w:pPr>
        <w:keepNext w:val="0"/>
        <w:keepLines w:val="0"/>
        <w:pageBreakBefore w:val="0"/>
        <w:widowControl w:val="0"/>
        <w:kinsoku/>
        <w:wordWrap/>
        <w:overflowPunct/>
        <w:topLinePunct w:val="0"/>
        <w:autoSpaceDE/>
        <w:autoSpaceDN/>
        <w:bidi w:val="0"/>
        <w:adjustRightInd/>
        <w:snapToGrid/>
        <w:spacing w:before="0" w:line="360" w:lineRule="auto"/>
        <w:ind w:left="0" w:righ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实验室分析准确度控制可选用有证标准物质检测或基体加标试验两种方式。</w:t>
      </w:r>
    </w:p>
    <w:p w14:paraId="2DD3ED1E">
      <w:pPr>
        <w:keepNext w:val="0"/>
        <w:keepLines w:val="0"/>
        <w:pageBreakBefore w:val="0"/>
        <w:widowControl w:val="0"/>
        <w:numPr>
          <w:ilvl w:val="0"/>
          <w:numId w:val="50"/>
        </w:numPr>
        <w:tabs>
          <w:tab w:val="left" w:pos="1235"/>
          <w:tab w:val="left" w:pos="1236"/>
        </w:tabs>
        <w:kinsoku/>
        <w:wordWrap/>
        <w:overflowPunct/>
        <w:topLinePunct w:val="0"/>
        <w:autoSpaceDE/>
        <w:autoSpaceDN/>
        <w:bidi w:val="0"/>
        <w:snapToGrid/>
        <w:spacing w:before="0" w:beforeLines="50" w:after="0" w:line="360" w:lineRule="auto"/>
        <w:ind w:left="946" w:leftChars="200" w:right="0" w:rightChars="0" w:hanging="526"/>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有证标准物质</w:t>
      </w:r>
    </w:p>
    <w:p w14:paraId="65C07644">
      <w:pPr>
        <w:keepNext w:val="0"/>
        <w:keepLines w:val="0"/>
        <w:pageBreakBefore w:val="0"/>
        <w:widowControl w:val="0"/>
        <w:kinsoku/>
        <w:wordWrap/>
        <w:overflowPunct/>
        <w:topLinePunct w:val="0"/>
        <w:autoSpaceDE/>
        <w:autoSpaceDN/>
        <w:bidi w:val="0"/>
        <w:adjustRightInd/>
        <w:snapToGrid/>
        <w:spacing w:before="0" w:line="360" w:lineRule="auto"/>
        <w:ind w:left="0" w:righ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准确度控制选用的有证标准物质不可与校准曲线所用标准物质同一来源。</w:t>
      </w:r>
    </w:p>
    <w:p w14:paraId="08E176C0">
      <w:pPr>
        <w:keepNext w:val="0"/>
        <w:keepLines w:val="0"/>
        <w:pageBreakBefore w:val="0"/>
        <w:widowControl w:val="0"/>
        <w:numPr>
          <w:ilvl w:val="0"/>
          <w:numId w:val="50"/>
        </w:numPr>
        <w:tabs>
          <w:tab w:val="left" w:pos="1235"/>
          <w:tab w:val="left" w:pos="1236"/>
        </w:tabs>
        <w:kinsoku/>
        <w:wordWrap/>
        <w:overflowPunct/>
        <w:topLinePunct w:val="0"/>
        <w:autoSpaceDE/>
        <w:autoSpaceDN/>
        <w:bidi w:val="0"/>
        <w:adjustRightInd/>
        <w:snapToGrid/>
        <w:spacing w:before="0" w:beforeLines="50" w:after="0" w:line="360" w:lineRule="auto"/>
        <w:ind w:left="420" w:leftChars="200" w:right="0" w:righ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基体加标试验</w:t>
      </w:r>
    </w:p>
    <w:p w14:paraId="2DC61FD7">
      <w:pPr>
        <w:keepNext w:val="0"/>
        <w:keepLines w:val="0"/>
        <w:pageBreakBefore w:val="0"/>
        <w:widowControl w:val="0"/>
        <w:numPr>
          <w:ilvl w:val="0"/>
          <w:numId w:val="51"/>
        </w:numPr>
        <w:tabs>
          <w:tab w:val="left" w:pos="1625"/>
        </w:tabs>
        <w:kinsoku/>
        <w:wordWrap/>
        <w:overflowPunct/>
        <w:topLinePunct w:val="0"/>
        <w:autoSpaceDE/>
        <w:autoSpaceDN/>
        <w:bidi w:val="0"/>
        <w:adjustRightInd/>
        <w:snapToGrid/>
        <w:spacing w:before="0" w:after="0" w:line="360" w:lineRule="auto"/>
        <w:ind w:left="0" w:leftChars="0" w:right="0" w:righ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基体加标应在样品前处理前加入，每批样品（最多20个）应测定一个基体加标样品，加标样品与测试样品应在相同的前处理和分析条件下进行。加标量视被测组分含量而定， 加标后浓度宜在曲线中间浓度点附近，不超出曲线测定上限。加标液浓度宜高，体积应小，不应超过试样体积的1%。</w:t>
      </w:r>
    </w:p>
    <w:p w14:paraId="4D1F7F32">
      <w:pPr>
        <w:keepNext w:val="0"/>
        <w:keepLines w:val="0"/>
        <w:pageBreakBefore w:val="0"/>
        <w:widowControl w:val="0"/>
        <w:numPr>
          <w:ilvl w:val="0"/>
          <w:numId w:val="51"/>
        </w:numPr>
        <w:tabs>
          <w:tab w:val="left" w:pos="1625"/>
        </w:tabs>
        <w:kinsoku/>
        <w:wordWrap/>
        <w:overflowPunct/>
        <w:topLinePunct w:val="0"/>
        <w:autoSpaceDE/>
        <w:autoSpaceDN/>
        <w:bidi w:val="0"/>
        <w:adjustRightInd/>
        <w:snapToGrid/>
        <w:spacing w:before="0" w:after="0" w:line="360" w:lineRule="auto"/>
        <w:ind w:left="0" w:leftChars="0" w:right="0" w:righ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GC/MS法目标物和替代物加标回收率应在70%~130%范围内。气相色谱法（GC法）基体加标样品分析结果中挥发性芳香烃加标回收率应在35%~110%范围内，其它挥发性有机物应在35%~120%范围内。</w:t>
      </w:r>
    </w:p>
    <w:p w14:paraId="23473735">
      <w:pPr>
        <w:keepNext w:val="0"/>
        <w:keepLines w:val="0"/>
        <w:pageBreakBefore w:val="0"/>
        <w:widowControl w:val="0"/>
        <w:numPr>
          <w:ilvl w:val="0"/>
          <w:numId w:val="51"/>
        </w:numPr>
        <w:tabs>
          <w:tab w:val="left" w:pos="1625"/>
        </w:tabs>
        <w:kinsoku/>
        <w:wordWrap/>
        <w:overflowPunct/>
        <w:topLinePunct w:val="0"/>
        <w:autoSpaceDE/>
        <w:autoSpaceDN/>
        <w:bidi w:val="0"/>
        <w:adjustRightInd/>
        <w:snapToGrid/>
        <w:spacing w:before="0" w:after="0" w:line="360" w:lineRule="auto"/>
        <w:ind w:left="0" w:leftChars="0" w:right="0" w:righ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若出现基体效应影响基体加标回收率时，应采取措施减少基体效应后重新检测。当基体效应无法消除，基体加标回收率不能满足上述要求时，如基体加标平行样分析结果的相对偏差≤25%，且实验室空白加标回收率在80%~120%范围内，可判定检测结果可以接受,监测报告中需标注存在基体效应。</w:t>
      </w:r>
    </w:p>
    <w:p w14:paraId="13EB721E">
      <w:pPr>
        <w:keepNext w:val="0"/>
        <w:keepLines w:val="0"/>
        <w:pageBreakBefore w:val="0"/>
        <w:widowControl w:val="0"/>
        <w:numPr>
          <w:ilvl w:val="0"/>
          <w:numId w:val="51"/>
        </w:numPr>
        <w:tabs>
          <w:tab w:val="left" w:pos="1625"/>
        </w:tabs>
        <w:kinsoku/>
        <w:wordWrap/>
        <w:overflowPunct/>
        <w:topLinePunct w:val="0"/>
        <w:autoSpaceDE/>
        <w:autoSpaceDN/>
        <w:bidi w:val="0"/>
        <w:adjustRightInd/>
        <w:snapToGrid/>
        <w:spacing w:before="0" w:after="0" w:line="360" w:lineRule="auto"/>
        <w:ind w:left="0" w:leftChars="0" w:right="0" w:righ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当分析方法有规定时，按分析方法执行。各分析方法准确度允许范围参考附录A表A.1。</w:t>
      </w:r>
    </w:p>
    <w:p w14:paraId="542C448C">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default" w:ascii="黑体" w:hAnsi="黑体" w:eastAsia="黑体" w:cs="黑体"/>
          <w:b w:val="0"/>
          <w:bCs w:val="0"/>
          <w:kern w:val="2"/>
          <w:sz w:val="21"/>
          <w:szCs w:val="21"/>
          <w:lang w:val="en-US" w:eastAsia="zh-CN" w:bidi="ar-SA"/>
        </w:rPr>
      </w:pPr>
      <w:r>
        <w:rPr>
          <w:rFonts w:hint="default" w:ascii="黑体" w:hAnsi="黑体" w:eastAsia="黑体" w:cs="黑体"/>
          <w:b w:val="0"/>
          <w:bCs w:val="0"/>
          <w:kern w:val="2"/>
          <w:sz w:val="21"/>
          <w:szCs w:val="21"/>
          <w:lang w:val="en-US" w:eastAsia="zh-CN" w:bidi="ar-SA"/>
        </w:rPr>
        <w:t>7.6.2 实验室间质量控制</w:t>
      </w:r>
    </w:p>
    <w:p w14:paraId="78889054">
      <w:pPr>
        <w:keepNext w:val="0"/>
        <w:keepLines w:val="0"/>
        <w:pageBreakBefore w:val="0"/>
        <w:widowControl w:val="0"/>
        <w:numPr>
          <w:ilvl w:val="0"/>
          <w:numId w:val="0"/>
        </w:numPr>
        <w:tabs>
          <w:tab w:val="left" w:pos="1625"/>
        </w:tabs>
        <w:kinsoku/>
        <w:wordWrap/>
        <w:overflowPunct/>
        <w:topLinePunct w:val="0"/>
        <w:autoSpaceDE/>
        <w:autoSpaceDN/>
        <w:bidi w:val="0"/>
        <w:adjustRightInd/>
        <w:snapToGrid/>
        <w:spacing w:before="0" w:after="0" w:line="360" w:lineRule="auto"/>
        <w:ind w:left="0" w:leftChars="0" w:right="0" w:rightChars="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实验室可采用能力验证、实验室间比对等质量控制措施，确保检测能力和水平，保证出具数据的可靠性和有效性。</w:t>
      </w:r>
    </w:p>
    <w:p w14:paraId="49389A77">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en-US" w:eastAsia="zh-CN" w:bidi="ar-SA"/>
        </w:rPr>
      </w:pPr>
      <w:bookmarkStart w:id="278" w:name="_Toc7939"/>
      <w:r>
        <w:rPr>
          <w:rFonts w:hint="eastAsia" w:ascii="黑体" w:hAnsi="黑体" w:eastAsia="黑体" w:cs="黑体"/>
          <w:b w:val="0"/>
          <w:bCs w:val="0"/>
          <w:kern w:val="2"/>
          <w:sz w:val="21"/>
          <w:szCs w:val="21"/>
          <w:lang w:val="en-US" w:eastAsia="zh-CN" w:bidi="ar-SA"/>
        </w:rPr>
        <w:t>7.7 记录与报告</w:t>
      </w:r>
      <w:bookmarkEnd w:id="278"/>
    </w:p>
    <w:p w14:paraId="7E3DDD40">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right="0" w:rightChars="0" w:firstLine="0"/>
        <w:jc w:val="both"/>
        <w:textAlignment w:val="auto"/>
        <w:rPr>
          <w:rFonts w:hint="eastAsia" w:ascii="Times New Roman" w:hAnsi="Times New Roman" w:eastAsia="仿宋_GB2312" w:cs="Times New Roman"/>
          <w:b w:val="0"/>
          <w:bCs w:val="0"/>
          <w:kern w:val="2"/>
          <w:sz w:val="24"/>
          <w:szCs w:val="32"/>
          <w:lang w:val="en-US" w:eastAsia="zh-CN" w:bidi="ar-SA"/>
        </w:rPr>
      </w:pPr>
      <w:r>
        <w:rPr>
          <w:rFonts w:hint="eastAsia" w:ascii="黑体" w:hAnsi="黑体" w:eastAsia="黑体" w:cs="黑体"/>
          <w:b w:val="0"/>
          <w:bCs w:val="0"/>
          <w:kern w:val="0"/>
          <w:sz w:val="21"/>
          <w:szCs w:val="21"/>
          <w:lang w:val="en-US" w:eastAsia="zh-CN" w:bidi="ar-SA"/>
        </w:rPr>
        <w:t>7.7.1</w:t>
      </w:r>
      <w:r>
        <w:rPr>
          <w:rFonts w:hint="default" w:ascii="宋体" w:hAnsi="宋体" w:eastAsia="宋体" w:cs="宋体"/>
          <w:b w:val="0"/>
          <w:bCs w:val="0"/>
          <w:kern w:val="2"/>
          <w:sz w:val="21"/>
          <w:szCs w:val="21"/>
          <w:lang w:val="en-US" w:eastAsia="zh-CN" w:bidi="ar-SA"/>
        </w:rPr>
        <w:t>应保证监测数据的完整性，确保全面、真实、客观地反映测试结果，不应选择性地舍弃数据或人为干预测试结果</w:t>
      </w:r>
      <w:r>
        <w:rPr>
          <w:rFonts w:hint="default" w:ascii="Times New Roman" w:hAnsi="Times New Roman" w:eastAsia="仿宋_GB2312" w:cs="Times New Roman"/>
          <w:b w:val="0"/>
          <w:bCs w:val="0"/>
          <w:kern w:val="2"/>
          <w:sz w:val="24"/>
          <w:szCs w:val="32"/>
          <w:lang w:val="en-US" w:eastAsia="zh-CN" w:bidi="ar-SA"/>
        </w:rPr>
        <w:t>。</w:t>
      </w:r>
    </w:p>
    <w:p w14:paraId="3728DF07">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right="0" w:rightChars="0" w:firstLine="0"/>
        <w:jc w:val="both"/>
        <w:textAlignment w:val="auto"/>
        <w:rPr>
          <w:rFonts w:hint="eastAsia" w:ascii="Times New Roman" w:hAnsi="Times New Roman" w:eastAsia="仿宋_GB2312" w:cs="Times New Roman"/>
          <w:b w:val="0"/>
          <w:bCs w:val="0"/>
          <w:kern w:val="2"/>
          <w:sz w:val="24"/>
          <w:szCs w:val="32"/>
          <w:lang w:val="en-US" w:eastAsia="zh-CN" w:bidi="ar-SA"/>
        </w:rPr>
      </w:pPr>
      <w:r>
        <w:rPr>
          <w:rFonts w:hint="eastAsia" w:ascii="黑体" w:hAnsi="黑体" w:eastAsia="黑体" w:cs="黑体"/>
          <w:b w:val="0"/>
          <w:bCs w:val="0"/>
          <w:kern w:val="0"/>
          <w:sz w:val="21"/>
          <w:szCs w:val="21"/>
          <w:lang w:val="en-US" w:eastAsia="zh-CN" w:bidi="ar-SA"/>
        </w:rPr>
        <w:t xml:space="preserve">7.7.2 </w:t>
      </w:r>
      <w:r>
        <w:rPr>
          <w:rFonts w:hint="default" w:ascii="宋体" w:hAnsi="宋体" w:eastAsia="宋体" w:cs="宋体"/>
          <w:b w:val="0"/>
          <w:bCs w:val="0"/>
          <w:kern w:val="2"/>
          <w:sz w:val="21"/>
          <w:szCs w:val="21"/>
          <w:lang w:val="en-US" w:eastAsia="zh-CN" w:bidi="ar-SA"/>
        </w:rPr>
        <w:t>测试结果小数位数应与方法检出限一致，最多保留3位有效数字；测试结果低于方法检出限时，用“ND”表示，注明“ND”表示未检出，同时给出方法检出限</w:t>
      </w:r>
      <w:r>
        <w:rPr>
          <w:rFonts w:hint="default" w:ascii="Times New Roman" w:hAnsi="Times New Roman" w:eastAsia="仿宋_GB2312" w:cs="Times New Roman"/>
          <w:b w:val="0"/>
          <w:bCs w:val="0"/>
          <w:kern w:val="2"/>
          <w:sz w:val="24"/>
          <w:szCs w:val="32"/>
          <w:lang w:val="en-US" w:eastAsia="zh-CN" w:bidi="ar-SA"/>
        </w:rPr>
        <w:t>。</w:t>
      </w:r>
    </w:p>
    <w:p w14:paraId="624AB124">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right="0" w:rightChars="0" w:firstLine="0"/>
        <w:jc w:val="left"/>
        <w:textAlignment w:val="auto"/>
        <w:rPr>
          <w:rFonts w:hint="default" w:ascii="Times New Roman" w:hAnsi="Times New Roman" w:eastAsia="仿宋_GB2312" w:cs="Times New Roman"/>
          <w:b w:val="0"/>
          <w:bCs w:val="0"/>
          <w:kern w:val="2"/>
          <w:sz w:val="24"/>
          <w:szCs w:val="32"/>
          <w:lang w:val="en-US" w:eastAsia="zh-CN" w:bidi="ar-SA"/>
        </w:rPr>
      </w:pPr>
      <w:r>
        <w:rPr>
          <w:rFonts w:hint="eastAsia" w:ascii="黑体" w:hAnsi="黑体" w:eastAsia="黑体" w:cs="黑体"/>
          <w:b w:val="0"/>
          <w:bCs w:val="0"/>
          <w:kern w:val="0"/>
          <w:sz w:val="21"/>
          <w:szCs w:val="21"/>
          <w:lang w:val="en-US" w:eastAsia="zh-CN" w:bidi="ar-SA"/>
        </w:rPr>
        <w:t xml:space="preserve">7.7.3 </w:t>
      </w:r>
      <w:r>
        <w:rPr>
          <w:rFonts w:hint="eastAsia" w:ascii="宋体" w:hAnsi="宋体" w:eastAsia="宋体" w:cs="宋体"/>
          <w:b w:val="0"/>
          <w:bCs w:val="0"/>
          <w:kern w:val="2"/>
          <w:sz w:val="21"/>
          <w:szCs w:val="21"/>
          <w:lang w:val="en-US" w:eastAsia="zh-CN" w:bidi="ar-SA"/>
        </w:rPr>
        <w:t>土壤挥发性有机物样品含水率按照各分析标准中含水率计算公式执行</w:t>
      </w:r>
      <w:r>
        <w:rPr>
          <w:rFonts w:hint="eastAsia" w:ascii="Times New Roman" w:hAnsi="Times New Roman" w:eastAsia="仿宋_GB2312" w:cs="Times New Roman"/>
          <w:b w:val="0"/>
          <w:bCs w:val="0"/>
          <w:kern w:val="2"/>
          <w:sz w:val="24"/>
          <w:szCs w:val="32"/>
          <w:lang w:val="en-US" w:eastAsia="zh-CN" w:bidi="ar-SA"/>
        </w:rPr>
        <w:t>。</w:t>
      </w:r>
    </w:p>
    <w:p w14:paraId="073F9650">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right="0" w:rightChars="0" w:firstLine="0"/>
        <w:jc w:val="both"/>
        <w:textAlignment w:val="auto"/>
        <w:rPr>
          <w:rFonts w:hint="eastAsia" w:ascii="Times New Roman" w:hAnsi="Times New Roman" w:eastAsia="仿宋_GB2312" w:cs="Times New Roman"/>
          <w:b w:val="0"/>
          <w:bCs w:val="0"/>
          <w:kern w:val="2"/>
          <w:sz w:val="24"/>
          <w:szCs w:val="32"/>
          <w:lang w:val="en-US" w:eastAsia="zh-CN" w:bidi="ar-SA"/>
        </w:rPr>
      </w:pPr>
      <w:r>
        <w:rPr>
          <w:rFonts w:hint="eastAsia" w:ascii="黑体" w:hAnsi="黑体" w:eastAsia="黑体" w:cs="黑体"/>
          <w:b w:val="0"/>
          <w:bCs w:val="0"/>
          <w:kern w:val="0"/>
          <w:sz w:val="21"/>
          <w:szCs w:val="21"/>
          <w:lang w:val="en-US" w:eastAsia="zh-CN" w:bidi="ar-SA"/>
        </w:rPr>
        <w:t xml:space="preserve">7.7.4 </w:t>
      </w:r>
      <w:r>
        <w:rPr>
          <w:rFonts w:hint="eastAsia" w:ascii="宋体" w:hAnsi="宋体" w:eastAsia="宋体" w:cs="宋体"/>
          <w:b w:val="0"/>
          <w:bCs w:val="0"/>
          <w:kern w:val="2"/>
          <w:sz w:val="21"/>
          <w:szCs w:val="21"/>
          <w:lang w:val="en-US" w:eastAsia="zh-CN" w:bidi="ar-SA"/>
        </w:rPr>
        <w:t>实验室分析人员应及时填写原始记录，校核人员应检查记录是否完整/录入计算机时是否有误、数据是否异常等。原始记录应有分析人员和校核人员的手写签名。仪器设备直接输出的数据和谱图应以纸质或电子介质的形式完整保存，电子介质储存的记录应采取适当措施备份保存，防止记录丢失、失效或篡改</w:t>
      </w:r>
      <w:r>
        <w:rPr>
          <w:rFonts w:hint="eastAsia" w:ascii="Times New Roman" w:hAnsi="Times New Roman" w:eastAsia="仿宋_GB2312" w:cs="Times New Roman"/>
          <w:b w:val="0"/>
          <w:bCs w:val="0"/>
          <w:kern w:val="2"/>
          <w:sz w:val="24"/>
          <w:szCs w:val="32"/>
          <w:lang w:val="en-US" w:eastAsia="zh-CN" w:bidi="ar-SA"/>
        </w:rPr>
        <w:t>。</w:t>
      </w:r>
    </w:p>
    <w:p w14:paraId="1346DB83">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right="0" w:rightChars="0" w:firstLine="0"/>
        <w:jc w:val="both"/>
        <w:textAlignment w:val="auto"/>
        <w:rPr>
          <w:rFonts w:hint="eastAsia" w:ascii="Times New Roman" w:hAnsi="Times New Roman" w:eastAsia="仿宋_GB2312" w:cs="Times New Roman"/>
          <w:b w:val="0"/>
          <w:bCs w:val="0"/>
          <w:kern w:val="2"/>
          <w:sz w:val="24"/>
          <w:szCs w:val="32"/>
          <w:lang w:val="en-US" w:eastAsia="zh-CN" w:bidi="ar-SA"/>
        </w:rPr>
      </w:pPr>
      <w:r>
        <w:rPr>
          <w:rFonts w:hint="eastAsia" w:ascii="黑体" w:hAnsi="黑体" w:eastAsia="黑体" w:cs="黑体"/>
          <w:b w:val="0"/>
          <w:bCs w:val="0"/>
          <w:kern w:val="0"/>
          <w:sz w:val="21"/>
          <w:szCs w:val="21"/>
          <w:lang w:val="en-US" w:eastAsia="zh-CN" w:bidi="ar-SA"/>
        </w:rPr>
        <w:t xml:space="preserve">7.7.5 </w:t>
      </w:r>
      <w:r>
        <w:rPr>
          <w:rFonts w:hint="eastAsia" w:ascii="宋体" w:hAnsi="宋体" w:eastAsia="宋体" w:cs="宋体"/>
          <w:b w:val="0"/>
          <w:bCs w:val="0"/>
          <w:kern w:val="2"/>
          <w:sz w:val="21"/>
          <w:szCs w:val="21"/>
          <w:lang w:val="en-US" w:eastAsia="zh-CN" w:bidi="ar-SA"/>
        </w:rPr>
        <w:t>监测报告实行三级审核制度。应对记录和数据的准确性、逻辑性、可比性和合理性进行审核.审核范围应包括样品采集、样品保存、样品流转与运输、分析检测原始记录及谱图等。原始记录中应包括质控的记录。质控样品测试结果符合要求，质控核查结果无误，监测报告方可通过审核。</w:t>
      </w:r>
    </w:p>
    <w:p w14:paraId="3B2ADD75">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fr-FR" w:eastAsia="en-US" w:bidi="ar-SA"/>
        </w:rPr>
      </w:pPr>
      <w:bookmarkStart w:id="279" w:name="_Toc31847"/>
      <w:r>
        <w:rPr>
          <w:rFonts w:hint="default" w:ascii="黑体" w:hAnsi="黑体" w:eastAsia="黑体" w:cs="黑体"/>
          <w:b w:val="0"/>
          <w:bCs w:val="0"/>
          <w:kern w:val="2"/>
          <w:sz w:val="21"/>
          <w:szCs w:val="21"/>
          <w:lang w:val="fr-FR" w:eastAsia="en-US" w:bidi="ar-SA"/>
        </w:rPr>
        <w:t>8</w:t>
      </w:r>
      <w:r>
        <w:rPr>
          <w:rFonts w:hint="eastAsia" w:ascii="黑体" w:hAnsi="黑体" w:eastAsia="黑体" w:cs="黑体"/>
          <w:b w:val="0"/>
          <w:bCs w:val="0"/>
          <w:kern w:val="2"/>
          <w:sz w:val="21"/>
          <w:szCs w:val="21"/>
          <w:lang w:val="fr-FR" w:eastAsia="en-US" w:bidi="ar-SA"/>
        </w:rPr>
        <w:t>质量监督计划</w:t>
      </w:r>
      <w:bookmarkEnd w:id="279"/>
    </w:p>
    <w:p w14:paraId="2E3641FE">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kern w:val="2"/>
          <w:sz w:val="21"/>
          <w:szCs w:val="21"/>
          <w:lang w:val="en-US" w:eastAsia="zh-CN" w:bidi="ar-SA"/>
        </w:rPr>
        <w:t>质量监督计划至少应包括质量监督范围和内容、质量监督人员、质量监督对象、频次和时间安排、结果评价方法等。质量监督范围和内容应涵盖土壤环境监测任务的各要</w:t>
      </w:r>
      <w:r>
        <w:rPr>
          <w:rFonts w:hint="eastAsia" w:ascii="宋体" w:hAnsi="宋体" w:eastAsia="宋体" w:cs="宋体"/>
          <w:b w:val="0"/>
          <w:bCs w:val="0"/>
          <w:kern w:val="2"/>
          <w:sz w:val="21"/>
          <w:szCs w:val="21"/>
          <w:lang w:val="en-US" w:eastAsia="zh-CN" w:bidi="ar-SA"/>
        </w:rPr>
        <w:t>素和各环节。确定质量监督人选，根据质量监督人员的专业方向和特长，确定检查内容。明确被监督的对象或工作环节。质量监督计划应是连续的或一定频次的（定期或不定期），对重点监督内容可采用连续的监督。质量监督计划应与监测任务周期和任务量相匹配，可随任务周期或任务量的变化而调整。明确质量监督量化评价方法。</w:t>
      </w:r>
    </w:p>
    <w:p w14:paraId="4A4BABAB">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beforeLines="50" w:after="0" w:afterLines="50" w:line="360" w:lineRule="auto"/>
        <w:ind w:left="0" w:leftChars="0" w:right="0" w:rightChars="0" w:firstLine="0" w:firstLineChars="0"/>
        <w:jc w:val="left"/>
        <w:textAlignment w:val="auto"/>
        <w:rPr>
          <w:rFonts w:hint="eastAsia" w:ascii="黑体" w:hAnsi="黑体" w:eastAsia="黑体" w:cs="黑体"/>
          <w:b w:val="0"/>
          <w:bCs w:val="0"/>
          <w:kern w:val="2"/>
          <w:sz w:val="21"/>
          <w:szCs w:val="21"/>
          <w:lang w:val="fr-FR" w:eastAsia="en-US" w:bidi="ar-SA"/>
        </w:rPr>
      </w:pPr>
      <w:bookmarkStart w:id="280" w:name="_Toc4476"/>
      <w:r>
        <w:rPr>
          <w:rFonts w:hint="default" w:ascii="黑体" w:hAnsi="黑体" w:eastAsia="黑体" w:cs="黑体"/>
          <w:b w:val="0"/>
          <w:bCs w:val="0"/>
          <w:kern w:val="2"/>
          <w:sz w:val="21"/>
          <w:szCs w:val="21"/>
          <w:lang w:val="fr-FR" w:eastAsia="en-US" w:bidi="ar-SA"/>
        </w:rPr>
        <w:t>9</w:t>
      </w:r>
      <w:r>
        <w:rPr>
          <w:rFonts w:hint="eastAsia" w:ascii="黑体" w:hAnsi="黑体" w:eastAsia="黑体" w:cs="黑体"/>
          <w:b w:val="0"/>
          <w:bCs w:val="0"/>
          <w:kern w:val="2"/>
          <w:sz w:val="21"/>
          <w:szCs w:val="21"/>
          <w:lang w:val="fr-FR" w:eastAsia="en-US" w:bidi="ar-SA"/>
        </w:rPr>
        <w:t>质控数据统计</w:t>
      </w:r>
      <w:bookmarkEnd w:id="280"/>
    </w:p>
    <w:p w14:paraId="1A429EF6">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实验室在完成分析测试任务后，应对最终报出的所有样品分析测试结果的可靠性和合理性进行全面、综合的评价，编制质控数据统计表，内容包括：空白试验数据、精密度数据和准确度数据及各指标数量、符合性判定与合格率等。质控数据统计表可参考附录B表B.1。</w:t>
      </w:r>
    </w:p>
    <w:p w14:paraId="04C09593">
      <w:pPr>
        <w:keepNext w:val="0"/>
        <w:keepLines w:val="0"/>
        <w:pageBreakBefore w:val="0"/>
        <w:widowControl w:val="0"/>
        <w:numPr>
          <w:ilvl w:val="0"/>
          <w:numId w:val="0"/>
        </w:numPr>
        <w:tabs>
          <w:tab w:val="left" w:pos="1132"/>
          <w:tab w:val="left" w:pos="1133"/>
        </w:tabs>
        <w:kinsoku/>
        <w:wordWrap/>
        <w:overflowPunct/>
        <w:topLinePunct w:val="0"/>
        <w:autoSpaceDE/>
        <w:autoSpaceDN/>
        <w:bidi w:val="0"/>
        <w:adjustRightInd w:val="0"/>
        <w:snapToGrid/>
        <w:spacing w:before="0" w:after="0" w:line="360" w:lineRule="auto"/>
        <w:ind w:left="0" w:leftChars="0" w:right="0" w:rightChars="0" w:firstLine="420" w:firstLineChars="200"/>
        <w:jc w:val="both"/>
        <w:textAlignment w:val="auto"/>
        <w:rPr>
          <w:rFonts w:hint="eastAsia" w:ascii="宋体" w:hAnsi="宋体" w:eastAsia="宋体" w:cs="宋体"/>
          <w:b w:val="0"/>
          <w:bCs w:val="0"/>
          <w:sz w:val="21"/>
          <w:szCs w:val="21"/>
          <w:lang w:val="en-US" w:eastAsia="zh-CN"/>
        </w:rPr>
        <w:sectPr>
          <w:footerReference r:id="rId58" w:type="default"/>
          <w:footerReference r:id="rId59" w:type="even"/>
          <w:pgSz w:w="11850" w:h="16790"/>
          <w:pgMar w:top="1417" w:right="1134" w:bottom="1134" w:left="1417" w:header="1428" w:footer="1135" w:gutter="0"/>
          <w:pgNumType w:fmt="decimal"/>
          <w:cols w:space="720" w:num="1"/>
        </w:sectPr>
      </w:pPr>
    </w:p>
    <w:p w14:paraId="7981EA23">
      <w:pPr>
        <w:widowControl w:val="0"/>
        <w:spacing w:before="7"/>
        <w:jc w:val="both"/>
        <w:rPr>
          <w:rFonts w:ascii="Times New Roman" w:hAnsi="宋体" w:eastAsia="宋体" w:cs="宋体"/>
          <w:kern w:val="2"/>
          <w:sz w:val="19"/>
          <w:szCs w:val="21"/>
          <w:lang w:val="en-US" w:eastAsia="zh-CN" w:bidi="ar-SA"/>
        </w:rPr>
      </w:pPr>
    </w:p>
    <w:p w14:paraId="52C0E35E">
      <w:pPr>
        <w:widowControl w:val="0"/>
        <w:numPr>
          <w:ilvl w:val="0"/>
          <w:numId w:val="0"/>
        </w:numPr>
        <w:tabs>
          <w:tab w:val="left" w:pos="712"/>
          <w:tab w:val="left" w:pos="713"/>
        </w:tabs>
        <w:spacing w:before="64" w:after="0" w:line="240" w:lineRule="auto"/>
        <w:ind w:left="396" w:leftChars="0" w:right="0" w:rightChars="0" w:hanging="526"/>
        <w:jc w:val="center"/>
        <w:outlineLvl w:val="0"/>
        <w:rPr>
          <w:rFonts w:hint="default" w:ascii="Times New Roman" w:hAnsi="Times New Roman" w:eastAsia="黑体" w:cs="Times New Roman"/>
          <w:b/>
          <w:bCs/>
          <w:kern w:val="2"/>
          <w:sz w:val="28"/>
          <w:szCs w:val="28"/>
          <w:lang w:val="en-US" w:eastAsia="zh-CN" w:bidi="ar-SA"/>
        </w:rPr>
      </w:pPr>
      <w:bookmarkStart w:id="281" w:name="_Toc25771"/>
      <w:r>
        <w:rPr>
          <w:rFonts w:hint="default" w:ascii="Times New Roman" w:hAnsi="Times New Roman" w:eastAsia="黑体" w:cs="Times New Roman"/>
          <w:b/>
          <w:bCs/>
          <w:kern w:val="2"/>
          <w:sz w:val="28"/>
          <w:szCs w:val="28"/>
          <w:lang w:val="en-US" w:eastAsia="zh-CN" w:bidi="ar-SA"/>
        </w:rPr>
        <w:t>附录 A（资料性）主要检测分析方法测试精密度和准确度允许范围</w:t>
      </w:r>
      <w:bookmarkEnd w:id="281"/>
    </w:p>
    <w:p w14:paraId="08984990">
      <w:pPr>
        <w:widowControl w:val="0"/>
        <w:ind w:left="444"/>
        <w:jc w:val="both"/>
        <w:rPr>
          <w:rFonts w:hint="eastAsia" w:ascii="宋体" w:hAnsi="宋体" w:eastAsia="宋体" w:cs="宋体"/>
          <w:kern w:val="2"/>
          <w:sz w:val="22"/>
          <w:szCs w:val="22"/>
          <w:lang w:val="en-US" w:eastAsia="zh-CN" w:bidi="ar-SA"/>
        </w:rPr>
      </w:pPr>
    </w:p>
    <w:p w14:paraId="48A11972">
      <w:pPr>
        <w:keepNext w:val="0"/>
        <w:keepLines w:val="0"/>
        <w:pageBreakBefore w:val="0"/>
        <w:widowControl w:val="0"/>
        <w:kinsoku/>
        <w:wordWrap/>
        <w:overflowPunct/>
        <w:topLinePunct w:val="0"/>
        <w:autoSpaceDE/>
        <w:autoSpaceDN/>
        <w:bidi w:val="0"/>
        <w:adjustRightInd/>
        <w:snapToGrid/>
        <w:spacing w:before="0" w:beforeLines="50" w:after="0" w:afterLines="50"/>
        <w:ind w:left="442"/>
        <w:jc w:val="both"/>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各分析方法精密度及准确度允许范围参考表 A.1</w:t>
      </w:r>
    </w:p>
    <w:p w14:paraId="7787D59B">
      <w:pPr>
        <w:widowControl w:val="0"/>
        <w:tabs>
          <w:tab w:val="left" w:pos="5073"/>
        </w:tabs>
        <w:spacing w:after="33"/>
        <w:ind w:left="4286"/>
        <w:jc w:val="both"/>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表</w:t>
      </w:r>
      <w:r>
        <w:rPr>
          <w:rFonts w:hint="eastAsia" w:ascii="宋体" w:hAnsi="宋体" w:eastAsia="宋体" w:cs="宋体"/>
          <w:spacing w:val="-54"/>
          <w:kern w:val="2"/>
          <w:sz w:val="22"/>
          <w:szCs w:val="22"/>
          <w:lang w:val="en-US" w:eastAsia="zh-CN" w:bidi="ar-SA"/>
        </w:rPr>
        <w:t xml:space="preserve"> </w:t>
      </w:r>
      <w:r>
        <w:rPr>
          <w:rFonts w:hint="eastAsia" w:ascii="宋体" w:hAnsi="宋体" w:eastAsia="宋体" w:cs="宋体"/>
          <w:kern w:val="2"/>
          <w:sz w:val="22"/>
          <w:szCs w:val="22"/>
          <w:lang w:val="en-US" w:eastAsia="zh-CN" w:bidi="ar-SA"/>
        </w:rPr>
        <w:t>A.1</w:t>
      </w:r>
      <w:r>
        <w:rPr>
          <w:rFonts w:hint="eastAsia" w:ascii="宋体" w:hAnsi="宋体" w:eastAsia="宋体" w:cs="宋体"/>
          <w:kern w:val="2"/>
          <w:sz w:val="22"/>
          <w:szCs w:val="22"/>
          <w:lang w:val="en-US" w:eastAsia="zh-CN" w:bidi="ar-SA"/>
        </w:rPr>
        <w:tab/>
      </w:r>
      <w:r>
        <w:rPr>
          <w:rFonts w:hint="eastAsia" w:ascii="宋体" w:hAnsi="宋体" w:eastAsia="宋体" w:cs="宋体"/>
          <w:kern w:val="2"/>
          <w:sz w:val="22"/>
          <w:szCs w:val="22"/>
          <w:lang w:val="en-US" w:eastAsia="zh-CN" w:bidi="ar-SA"/>
        </w:rPr>
        <w:t>主要检测分析方法测试精密度和准确度允许范围</w:t>
      </w:r>
    </w:p>
    <w:tbl>
      <w:tblPr>
        <w:tblStyle w:val="9"/>
        <w:tblW w:w="0" w:type="auto"/>
        <w:tblInd w:w="3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637"/>
        <w:gridCol w:w="4586"/>
        <w:gridCol w:w="4526"/>
      </w:tblGrid>
      <w:tr w14:paraId="39075F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80" w:hRule="atLeast"/>
        </w:trPr>
        <w:tc>
          <w:tcPr>
            <w:tcW w:w="3637" w:type="dxa"/>
            <w:vAlign w:val="center"/>
          </w:tcPr>
          <w:p w14:paraId="77D9E73E">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16"/>
                <w:szCs w:val="28"/>
                <w:lang w:val="en-US" w:eastAsia="zh-CN" w:bidi="ar-SA"/>
              </w:rPr>
            </w:pPr>
          </w:p>
          <w:p w14:paraId="6CEAD91A">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执行方法</w:t>
            </w:r>
          </w:p>
        </w:tc>
        <w:tc>
          <w:tcPr>
            <w:tcW w:w="4586" w:type="dxa"/>
            <w:vAlign w:val="center"/>
          </w:tcPr>
          <w:p w14:paraId="1CA9BC5D">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16"/>
                <w:szCs w:val="28"/>
                <w:lang w:val="en-US" w:eastAsia="zh-CN" w:bidi="ar-SA"/>
              </w:rPr>
            </w:pPr>
          </w:p>
          <w:p w14:paraId="10A35E29">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精密度</w:t>
            </w:r>
          </w:p>
        </w:tc>
        <w:tc>
          <w:tcPr>
            <w:tcW w:w="4526" w:type="dxa"/>
            <w:vAlign w:val="center"/>
          </w:tcPr>
          <w:p w14:paraId="02C4F37D">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16"/>
                <w:szCs w:val="28"/>
                <w:lang w:val="en-US" w:eastAsia="zh-CN" w:bidi="ar-SA"/>
              </w:rPr>
            </w:pPr>
          </w:p>
          <w:p w14:paraId="1CB0022C">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准确度</w:t>
            </w:r>
          </w:p>
        </w:tc>
      </w:tr>
      <w:tr w14:paraId="33B0EF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1" w:hRule="atLeast"/>
        </w:trPr>
        <w:tc>
          <w:tcPr>
            <w:tcW w:w="3637" w:type="dxa"/>
            <w:tcBorders>
              <w:bottom w:val="single" w:color="000000" w:sz="4" w:space="0"/>
              <w:right w:val="single" w:color="000000" w:sz="4" w:space="0"/>
            </w:tcBorders>
            <w:vAlign w:val="center"/>
          </w:tcPr>
          <w:p w14:paraId="4FC6E8CF">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HJ 605-2011</w:t>
            </w:r>
          </w:p>
        </w:tc>
        <w:tc>
          <w:tcPr>
            <w:tcW w:w="4586" w:type="dxa"/>
            <w:tcBorders>
              <w:left w:val="single" w:color="000000" w:sz="4" w:space="0"/>
              <w:bottom w:val="single" w:color="000000" w:sz="4" w:space="0"/>
              <w:right w:val="single" w:color="000000" w:sz="4" w:space="0"/>
            </w:tcBorders>
            <w:vAlign w:val="center"/>
          </w:tcPr>
          <w:p w14:paraId="67932F6D">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RD≤25%（替代物）</w:t>
            </w:r>
          </w:p>
        </w:tc>
        <w:tc>
          <w:tcPr>
            <w:tcW w:w="4526" w:type="dxa"/>
            <w:tcBorders>
              <w:left w:val="single" w:color="000000" w:sz="4" w:space="0"/>
              <w:bottom w:val="single" w:color="000000" w:sz="4" w:space="0"/>
            </w:tcBorders>
            <w:vAlign w:val="center"/>
          </w:tcPr>
          <w:p w14:paraId="510A8441">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70%~130%（替代物）</w:t>
            </w:r>
          </w:p>
        </w:tc>
      </w:tr>
      <w:tr w14:paraId="25EDD0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9" w:hRule="atLeast"/>
        </w:trPr>
        <w:tc>
          <w:tcPr>
            <w:tcW w:w="3637" w:type="dxa"/>
            <w:tcBorders>
              <w:top w:val="single" w:color="000000" w:sz="4" w:space="0"/>
              <w:bottom w:val="single" w:color="000000" w:sz="4" w:space="0"/>
              <w:right w:val="single" w:color="000000" w:sz="4" w:space="0"/>
            </w:tcBorders>
            <w:vAlign w:val="center"/>
          </w:tcPr>
          <w:p w14:paraId="64C71943">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HJ 642-2013</w:t>
            </w:r>
          </w:p>
        </w:tc>
        <w:tc>
          <w:tcPr>
            <w:tcW w:w="4586" w:type="dxa"/>
            <w:tcBorders>
              <w:top w:val="single" w:color="000000" w:sz="4" w:space="0"/>
              <w:left w:val="single" w:color="000000" w:sz="4" w:space="0"/>
              <w:bottom w:val="single" w:color="000000" w:sz="4" w:space="0"/>
              <w:right w:val="single" w:color="000000" w:sz="4" w:space="0"/>
            </w:tcBorders>
            <w:vAlign w:val="center"/>
          </w:tcPr>
          <w:p w14:paraId="00AA3FA3">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RD≤25%（替代物）</w:t>
            </w:r>
          </w:p>
        </w:tc>
        <w:tc>
          <w:tcPr>
            <w:tcW w:w="4526" w:type="dxa"/>
            <w:tcBorders>
              <w:top w:val="single" w:color="000000" w:sz="4" w:space="0"/>
              <w:left w:val="single" w:color="000000" w:sz="4" w:space="0"/>
              <w:bottom w:val="single" w:color="000000" w:sz="4" w:space="0"/>
            </w:tcBorders>
            <w:vAlign w:val="center"/>
          </w:tcPr>
          <w:p w14:paraId="18549513">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80%~130%（替代物）</w:t>
            </w:r>
          </w:p>
          <w:p w14:paraId="480DD070">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80%~120%（空白加标目标物）</w:t>
            </w:r>
          </w:p>
        </w:tc>
      </w:tr>
      <w:tr w14:paraId="43C10A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2" w:hRule="atLeast"/>
        </w:trPr>
        <w:tc>
          <w:tcPr>
            <w:tcW w:w="3637" w:type="dxa"/>
            <w:tcBorders>
              <w:top w:val="single" w:color="000000" w:sz="4" w:space="0"/>
              <w:bottom w:val="single" w:color="000000" w:sz="4" w:space="0"/>
              <w:right w:val="single" w:color="000000" w:sz="4" w:space="0"/>
            </w:tcBorders>
            <w:vAlign w:val="center"/>
          </w:tcPr>
          <w:p w14:paraId="2A3B53A9">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HJ 735-2015</w:t>
            </w:r>
          </w:p>
        </w:tc>
        <w:tc>
          <w:tcPr>
            <w:tcW w:w="4586" w:type="dxa"/>
            <w:tcBorders>
              <w:top w:val="single" w:color="000000" w:sz="4" w:space="0"/>
              <w:left w:val="single" w:color="000000" w:sz="4" w:space="0"/>
              <w:bottom w:val="single" w:color="000000" w:sz="4" w:space="0"/>
              <w:right w:val="single" w:color="000000" w:sz="4" w:space="0"/>
            </w:tcBorders>
            <w:vAlign w:val="center"/>
          </w:tcPr>
          <w:p w14:paraId="02B23F0A">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≤10MDL，RD≤50%</w:t>
            </w:r>
          </w:p>
        </w:tc>
        <w:tc>
          <w:tcPr>
            <w:tcW w:w="4526" w:type="dxa"/>
            <w:vMerge w:val="restart"/>
            <w:tcBorders>
              <w:top w:val="single" w:color="000000" w:sz="4" w:space="0"/>
              <w:left w:val="single" w:color="000000" w:sz="4" w:space="0"/>
            </w:tcBorders>
            <w:vAlign w:val="center"/>
          </w:tcPr>
          <w:p w14:paraId="2071A42D">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70%~130%（目标物和替代物）</w:t>
            </w:r>
          </w:p>
        </w:tc>
      </w:tr>
      <w:tr w14:paraId="56A251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0" w:hRule="atLeast"/>
        </w:trPr>
        <w:tc>
          <w:tcPr>
            <w:tcW w:w="3637" w:type="dxa"/>
            <w:tcBorders>
              <w:top w:val="single" w:color="000000" w:sz="4" w:space="0"/>
              <w:bottom w:val="single" w:color="000000" w:sz="4" w:space="0"/>
              <w:right w:val="single" w:color="000000" w:sz="4" w:space="0"/>
            </w:tcBorders>
            <w:vAlign w:val="center"/>
          </w:tcPr>
          <w:p w14:paraId="70A14CEA">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HJ 736-2015</w:t>
            </w:r>
          </w:p>
        </w:tc>
        <w:tc>
          <w:tcPr>
            <w:tcW w:w="4586" w:type="dxa"/>
            <w:tcBorders>
              <w:top w:val="single" w:color="000000" w:sz="4" w:space="0"/>
              <w:left w:val="single" w:color="000000" w:sz="4" w:space="0"/>
              <w:bottom w:val="single" w:color="000000" w:sz="4" w:space="0"/>
              <w:right w:val="single" w:color="000000" w:sz="4" w:space="0"/>
            </w:tcBorders>
            <w:vAlign w:val="center"/>
          </w:tcPr>
          <w:p w14:paraId="3066B49C">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＞10MDL，RD≤20%</w:t>
            </w:r>
          </w:p>
        </w:tc>
        <w:tc>
          <w:tcPr>
            <w:tcW w:w="4526" w:type="dxa"/>
            <w:vMerge w:val="continue"/>
            <w:tcBorders>
              <w:left w:val="single" w:color="000000" w:sz="4" w:space="0"/>
              <w:bottom w:val="single" w:color="000000" w:sz="4" w:space="0"/>
            </w:tcBorders>
            <w:vAlign w:val="center"/>
          </w:tcPr>
          <w:p w14:paraId="08C16BB7">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p>
        </w:tc>
      </w:tr>
      <w:tr w14:paraId="3164AB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6" w:hRule="atLeast"/>
        </w:trPr>
        <w:tc>
          <w:tcPr>
            <w:tcW w:w="3637" w:type="dxa"/>
            <w:tcBorders>
              <w:top w:val="single" w:color="000000" w:sz="4" w:space="0"/>
              <w:bottom w:val="single" w:color="000000" w:sz="4" w:space="0"/>
              <w:right w:val="single" w:color="000000" w:sz="4" w:space="0"/>
            </w:tcBorders>
            <w:vAlign w:val="center"/>
          </w:tcPr>
          <w:p w14:paraId="5F6543F0">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HJ 741-2015</w:t>
            </w:r>
          </w:p>
        </w:tc>
        <w:tc>
          <w:tcPr>
            <w:tcW w:w="4586" w:type="dxa"/>
            <w:tcBorders>
              <w:top w:val="single" w:color="000000" w:sz="4" w:space="0"/>
              <w:left w:val="single" w:color="000000" w:sz="4" w:space="0"/>
              <w:bottom w:val="single" w:color="000000" w:sz="4" w:space="0"/>
              <w:right w:val="single" w:color="000000" w:sz="4" w:space="0"/>
            </w:tcBorders>
            <w:vAlign w:val="center"/>
          </w:tcPr>
          <w:p w14:paraId="49E36352">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RD≤25%（基体加标）</w:t>
            </w:r>
          </w:p>
        </w:tc>
        <w:tc>
          <w:tcPr>
            <w:tcW w:w="4526" w:type="dxa"/>
            <w:tcBorders>
              <w:top w:val="single" w:color="000000" w:sz="4" w:space="0"/>
              <w:left w:val="single" w:color="000000" w:sz="4" w:space="0"/>
              <w:bottom w:val="single" w:color="000000" w:sz="4" w:space="0"/>
            </w:tcBorders>
            <w:vAlign w:val="center"/>
          </w:tcPr>
          <w:p w14:paraId="38B3B082">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80%~120%（空白加标）</w:t>
            </w:r>
          </w:p>
        </w:tc>
      </w:tr>
      <w:tr w14:paraId="3F513C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5" w:hRule="atLeast"/>
        </w:trPr>
        <w:tc>
          <w:tcPr>
            <w:tcW w:w="3637" w:type="dxa"/>
            <w:tcBorders>
              <w:top w:val="single" w:color="000000" w:sz="4" w:space="0"/>
              <w:right w:val="single" w:color="000000" w:sz="4" w:space="0"/>
            </w:tcBorders>
            <w:vAlign w:val="center"/>
          </w:tcPr>
          <w:p w14:paraId="18D3C427">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HJ 742-2015</w:t>
            </w:r>
          </w:p>
        </w:tc>
        <w:tc>
          <w:tcPr>
            <w:tcW w:w="4586" w:type="dxa"/>
            <w:tcBorders>
              <w:top w:val="single" w:color="000000" w:sz="4" w:space="0"/>
              <w:left w:val="single" w:color="000000" w:sz="4" w:space="0"/>
              <w:right w:val="single" w:color="000000" w:sz="4" w:space="0"/>
            </w:tcBorders>
            <w:vAlign w:val="center"/>
          </w:tcPr>
          <w:p w14:paraId="071416E7">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RD≤20%（基体加标）</w:t>
            </w:r>
          </w:p>
        </w:tc>
        <w:tc>
          <w:tcPr>
            <w:tcW w:w="4526" w:type="dxa"/>
            <w:tcBorders>
              <w:top w:val="single" w:color="000000" w:sz="4" w:space="0"/>
              <w:left w:val="single" w:color="000000" w:sz="4" w:space="0"/>
            </w:tcBorders>
            <w:vAlign w:val="center"/>
          </w:tcPr>
          <w:p w14:paraId="48244391">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80%~120%（空白加标）</w:t>
            </w:r>
          </w:p>
          <w:p w14:paraId="726029C2">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kern w:val="2"/>
                <w:sz w:val="22"/>
                <w:szCs w:val="28"/>
                <w:lang w:val="en-US" w:eastAsia="zh-CN" w:bidi="ar-SA"/>
              </w:rPr>
            </w:pPr>
            <w:r>
              <w:rPr>
                <w:rFonts w:hint="default" w:ascii="Times New Roman" w:hAnsi="Times New Roman" w:eastAsia="宋体" w:cs="Times New Roman"/>
                <w:kern w:val="2"/>
                <w:sz w:val="22"/>
                <w:szCs w:val="28"/>
                <w:lang w:val="en-US" w:eastAsia="zh-CN" w:bidi="ar-SA"/>
              </w:rPr>
              <w:t>35.0%~110%（基体加标）</w:t>
            </w:r>
          </w:p>
        </w:tc>
      </w:tr>
    </w:tbl>
    <w:p w14:paraId="5DC878CE">
      <w:pPr>
        <w:spacing w:after="0"/>
        <w:rPr>
          <w:sz w:val="21"/>
        </w:rPr>
        <w:sectPr>
          <w:headerReference r:id="rId60" w:type="even"/>
          <w:footerReference r:id="rId61" w:type="even"/>
          <w:pgSz w:w="15840" w:h="12240" w:orient="landscape"/>
          <w:pgMar w:top="1140" w:right="1020" w:bottom="1320" w:left="1020" w:header="1429" w:footer="1135" w:gutter="0"/>
          <w:pgNumType w:fmt="decimal"/>
          <w:cols w:space="720" w:num="1"/>
        </w:sectPr>
      </w:pPr>
    </w:p>
    <w:p w14:paraId="26F05171">
      <w:pPr>
        <w:widowControl w:val="0"/>
        <w:spacing w:before="8"/>
        <w:jc w:val="both"/>
        <w:rPr>
          <w:rFonts w:ascii="黑体" w:hAnsi="宋体" w:eastAsia="宋体" w:cs="宋体"/>
          <w:kern w:val="2"/>
          <w:sz w:val="14"/>
          <w:szCs w:val="21"/>
          <w:lang w:val="en-US" w:eastAsia="zh-CN" w:bidi="ar-SA"/>
        </w:rPr>
      </w:pPr>
    </w:p>
    <w:p w14:paraId="75FB36C7">
      <w:pPr>
        <w:widowControl w:val="0"/>
        <w:jc w:val="both"/>
        <w:rPr>
          <w:rFonts w:ascii="Times New Roman" w:hAnsi="宋体" w:eastAsia="宋体" w:cs="宋体"/>
          <w:kern w:val="2"/>
          <w:sz w:val="20"/>
          <w:szCs w:val="21"/>
          <w:lang w:val="en-US" w:eastAsia="zh-CN" w:bidi="ar-SA"/>
        </w:rPr>
      </w:pPr>
    </w:p>
    <w:p w14:paraId="43ECC375">
      <w:pPr>
        <w:widowControl w:val="0"/>
        <w:spacing w:before="10"/>
        <w:jc w:val="both"/>
        <w:rPr>
          <w:rFonts w:ascii="Times New Roman" w:hAnsi="宋体" w:eastAsia="宋体" w:cs="宋体"/>
          <w:kern w:val="2"/>
          <w:sz w:val="26"/>
          <w:szCs w:val="21"/>
          <w:lang w:val="en-US" w:eastAsia="zh-CN" w:bidi="ar-SA"/>
        </w:rPr>
      </w:pPr>
    </w:p>
    <w:p w14:paraId="21B2EA2F">
      <w:pPr>
        <w:widowControl w:val="0"/>
        <w:numPr>
          <w:ilvl w:val="0"/>
          <w:numId w:val="0"/>
        </w:numPr>
        <w:tabs>
          <w:tab w:val="left" w:pos="712"/>
          <w:tab w:val="left" w:pos="713"/>
        </w:tabs>
        <w:spacing w:before="64" w:after="0" w:line="240" w:lineRule="auto"/>
        <w:ind w:left="396" w:leftChars="0" w:right="0" w:rightChars="0" w:hanging="526"/>
        <w:jc w:val="center"/>
        <w:outlineLvl w:val="0"/>
        <w:rPr>
          <w:rFonts w:hint="eastAsia" w:ascii="Times New Roman" w:hAnsi="Times New Roman" w:eastAsia="黑体" w:cs="Times New Roman"/>
          <w:b/>
          <w:bCs/>
          <w:kern w:val="2"/>
          <w:sz w:val="28"/>
          <w:szCs w:val="28"/>
          <w:lang w:val="en-US" w:eastAsia="zh-CN" w:bidi="ar-SA"/>
        </w:rPr>
      </w:pPr>
      <w:bookmarkStart w:id="282" w:name="_Toc9543"/>
      <w:r>
        <w:rPr>
          <w:rFonts w:hint="eastAsia" w:ascii="Times New Roman" w:hAnsi="Times New Roman" w:eastAsia="黑体" w:cs="Times New Roman"/>
          <w:b/>
          <w:bCs/>
          <w:kern w:val="2"/>
          <w:sz w:val="28"/>
          <w:szCs w:val="28"/>
          <w:lang w:val="en-US" w:eastAsia="zh-CN" w:bidi="ar-SA"/>
        </w:rPr>
        <w:t>附录B （资料性）质控数据统计表</w:t>
      </w:r>
      <w:bookmarkEnd w:id="282"/>
    </w:p>
    <w:p w14:paraId="3DF576E9">
      <w:pPr>
        <w:widowControl w:val="0"/>
        <w:spacing w:before="155"/>
        <w:ind w:left="724"/>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质控数据统计表可参考表 B.1。</w:t>
      </w:r>
    </w:p>
    <w:p w14:paraId="75D2C5F6">
      <w:pPr>
        <w:widowControl w:val="0"/>
        <w:tabs>
          <w:tab w:val="left" w:pos="1324"/>
        </w:tabs>
        <w:spacing w:before="53" w:after="38"/>
        <w:ind w:left="537"/>
        <w:jc w:val="center"/>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t>表</w:t>
      </w:r>
      <w:r>
        <w:rPr>
          <w:rFonts w:hint="default" w:ascii="Times New Roman" w:hAnsi="Times New Roman" w:eastAsia="黑体" w:cs="Times New Roman"/>
          <w:spacing w:val="-54"/>
          <w:kern w:val="2"/>
          <w:sz w:val="24"/>
          <w:szCs w:val="24"/>
          <w:lang w:val="en-US" w:eastAsia="zh-CN" w:bidi="ar-SA"/>
        </w:rPr>
        <w:t xml:space="preserve"> </w:t>
      </w:r>
      <w:r>
        <w:rPr>
          <w:rFonts w:hint="default" w:ascii="Times New Roman" w:hAnsi="Times New Roman" w:eastAsia="黑体" w:cs="Times New Roman"/>
          <w:kern w:val="2"/>
          <w:sz w:val="24"/>
          <w:szCs w:val="24"/>
          <w:lang w:val="en-US" w:eastAsia="zh-CN" w:bidi="ar-SA"/>
        </w:rPr>
        <w:t>B.1</w:t>
      </w:r>
      <w:r>
        <w:rPr>
          <w:rFonts w:hint="default" w:ascii="Times New Roman" w:hAnsi="Times New Roman" w:eastAsia="黑体" w:cs="Times New Roman"/>
          <w:kern w:val="2"/>
          <w:sz w:val="24"/>
          <w:szCs w:val="24"/>
          <w:lang w:val="en-US" w:eastAsia="zh-CN" w:bidi="ar-SA"/>
        </w:rPr>
        <w:tab/>
      </w:r>
      <w:r>
        <w:rPr>
          <w:rFonts w:hint="default" w:ascii="Times New Roman" w:hAnsi="Times New Roman" w:eastAsia="黑体" w:cs="Times New Roman"/>
          <w:kern w:val="2"/>
          <w:sz w:val="24"/>
          <w:szCs w:val="24"/>
          <w:lang w:val="en-US" w:eastAsia="zh-CN" w:bidi="ar-SA"/>
        </w:rPr>
        <w:t>质控数据统计表</w:t>
      </w:r>
    </w:p>
    <w:tbl>
      <w:tblPr>
        <w:tblStyle w:val="9"/>
        <w:tblW w:w="0" w:type="auto"/>
        <w:tblInd w:w="29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4"/>
        <w:gridCol w:w="398"/>
        <w:gridCol w:w="398"/>
        <w:gridCol w:w="353"/>
        <w:gridCol w:w="523"/>
        <w:gridCol w:w="398"/>
        <w:gridCol w:w="502"/>
        <w:gridCol w:w="353"/>
        <w:gridCol w:w="524"/>
        <w:gridCol w:w="398"/>
        <w:gridCol w:w="501"/>
        <w:gridCol w:w="353"/>
        <w:gridCol w:w="523"/>
        <w:gridCol w:w="442"/>
        <w:gridCol w:w="501"/>
        <w:gridCol w:w="353"/>
        <w:gridCol w:w="194"/>
        <w:gridCol w:w="329"/>
        <w:gridCol w:w="399"/>
        <w:gridCol w:w="501"/>
        <w:gridCol w:w="353"/>
        <w:gridCol w:w="523"/>
        <w:gridCol w:w="441"/>
        <w:gridCol w:w="503"/>
        <w:gridCol w:w="353"/>
        <w:gridCol w:w="113"/>
        <w:gridCol w:w="410"/>
        <w:gridCol w:w="464"/>
        <w:gridCol w:w="501"/>
        <w:gridCol w:w="353"/>
        <w:gridCol w:w="523"/>
        <w:gridCol w:w="501"/>
      </w:tblGrid>
      <w:tr w14:paraId="23901C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2" w:hRule="atLeast"/>
        </w:trPr>
        <w:tc>
          <w:tcPr>
            <w:tcW w:w="7068" w:type="dxa"/>
            <w:gridSpan w:val="17"/>
          </w:tcPr>
          <w:p w14:paraId="1AED936A">
            <w:pPr>
              <w:widowControl w:val="0"/>
              <w:spacing w:before="140"/>
              <w:ind w:left="13"/>
              <w:jc w:val="both"/>
              <w:rPr>
                <w:rFonts w:ascii="宋体" w:hAnsi="宋体" w:eastAsia="宋体" w:cs="宋体"/>
                <w:b/>
                <w:kern w:val="2"/>
                <w:sz w:val="18"/>
                <w:szCs w:val="24"/>
                <w:lang w:val="en-US" w:eastAsia="zh-CN" w:bidi="ar-SA"/>
              </w:rPr>
            </w:pPr>
            <w:r>
              <w:rPr>
                <w:rFonts w:ascii="宋体" w:hAnsi="宋体" w:eastAsia="宋体" w:cs="宋体"/>
                <w:b/>
                <w:kern w:val="2"/>
                <w:sz w:val="18"/>
                <w:szCs w:val="24"/>
                <w:lang w:val="en-US" w:eastAsia="zh-CN" w:bidi="ar-SA"/>
              </w:rPr>
              <w:t>监测单位：</w:t>
            </w:r>
          </w:p>
        </w:tc>
        <w:tc>
          <w:tcPr>
            <w:tcW w:w="6267" w:type="dxa"/>
            <w:gridSpan w:val="15"/>
          </w:tcPr>
          <w:p w14:paraId="621FB58B">
            <w:pPr>
              <w:widowControl w:val="0"/>
              <w:spacing w:before="142"/>
              <w:ind w:left="13"/>
              <w:jc w:val="both"/>
              <w:rPr>
                <w:rFonts w:ascii="宋体" w:hAnsi="宋体" w:eastAsia="宋体" w:cs="宋体"/>
                <w:b/>
                <w:kern w:val="2"/>
                <w:sz w:val="18"/>
                <w:szCs w:val="24"/>
                <w:lang w:val="en-US" w:eastAsia="zh-CN" w:bidi="ar-SA"/>
              </w:rPr>
            </w:pPr>
            <w:r>
              <w:rPr>
                <w:rFonts w:ascii="宋体" w:hAnsi="宋体" w:eastAsia="宋体" w:cs="宋体"/>
                <w:b/>
                <w:kern w:val="2"/>
                <w:sz w:val="18"/>
                <w:szCs w:val="24"/>
                <w:lang w:val="en-US" w:eastAsia="zh-CN" w:bidi="ar-SA"/>
              </w:rPr>
              <w:t>项目名称：</w:t>
            </w:r>
          </w:p>
        </w:tc>
      </w:tr>
      <w:tr w14:paraId="0524FB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5" w:hRule="atLeast"/>
        </w:trPr>
        <w:tc>
          <w:tcPr>
            <w:tcW w:w="7068" w:type="dxa"/>
            <w:gridSpan w:val="17"/>
          </w:tcPr>
          <w:p w14:paraId="177510AB">
            <w:pPr>
              <w:widowControl w:val="0"/>
              <w:spacing w:before="3"/>
              <w:jc w:val="both"/>
              <w:rPr>
                <w:rFonts w:ascii="黑体" w:hAnsi="宋体" w:eastAsia="宋体" w:cs="宋体"/>
                <w:kern w:val="2"/>
                <w:sz w:val="16"/>
                <w:szCs w:val="24"/>
                <w:lang w:val="en-US" w:eastAsia="zh-CN" w:bidi="ar-SA"/>
              </w:rPr>
            </w:pPr>
          </w:p>
          <w:p w14:paraId="62724BD5">
            <w:pPr>
              <w:widowControl w:val="0"/>
              <w:ind w:left="13"/>
              <w:jc w:val="both"/>
              <w:rPr>
                <w:rFonts w:ascii="宋体" w:hAnsi="宋体" w:eastAsia="宋体" w:cs="宋体"/>
                <w:b/>
                <w:kern w:val="2"/>
                <w:sz w:val="18"/>
                <w:szCs w:val="24"/>
                <w:lang w:val="en-US" w:eastAsia="zh-CN" w:bidi="ar-SA"/>
              </w:rPr>
            </w:pPr>
            <w:r>
              <w:rPr>
                <w:rFonts w:ascii="宋体" w:hAnsi="宋体" w:eastAsia="宋体" w:cs="宋体"/>
                <w:b/>
                <w:kern w:val="2"/>
                <w:sz w:val="18"/>
                <w:szCs w:val="24"/>
                <w:lang w:val="en-US" w:eastAsia="zh-CN" w:bidi="ar-SA"/>
              </w:rPr>
              <w:t>报告编号：</w:t>
            </w:r>
          </w:p>
        </w:tc>
        <w:tc>
          <w:tcPr>
            <w:tcW w:w="3515" w:type="dxa"/>
            <w:gridSpan w:val="9"/>
          </w:tcPr>
          <w:p w14:paraId="34B317C3">
            <w:pPr>
              <w:widowControl w:val="0"/>
              <w:spacing w:before="3"/>
              <w:jc w:val="both"/>
              <w:rPr>
                <w:rFonts w:ascii="黑体" w:hAnsi="宋体" w:eastAsia="宋体" w:cs="宋体"/>
                <w:kern w:val="2"/>
                <w:sz w:val="16"/>
                <w:szCs w:val="24"/>
                <w:lang w:val="en-US" w:eastAsia="zh-CN" w:bidi="ar-SA"/>
              </w:rPr>
            </w:pPr>
          </w:p>
          <w:p w14:paraId="0B40B5C1">
            <w:pPr>
              <w:widowControl w:val="0"/>
              <w:ind w:left="13"/>
              <w:jc w:val="both"/>
              <w:rPr>
                <w:rFonts w:ascii="宋体" w:hAnsi="宋体" w:eastAsia="宋体" w:cs="宋体"/>
                <w:b/>
                <w:kern w:val="2"/>
                <w:sz w:val="18"/>
                <w:szCs w:val="24"/>
                <w:lang w:val="en-US" w:eastAsia="zh-CN" w:bidi="ar-SA"/>
              </w:rPr>
            </w:pPr>
            <w:r>
              <w:rPr>
                <w:rFonts w:ascii="宋体" w:hAnsi="宋体" w:eastAsia="宋体" w:cs="宋体"/>
                <w:b/>
                <w:kern w:val="2"/>
                <w:sz w:val="18"/>
                <w:szCs w:val="24"/>
                <w:lang w:val="en-US" w:eastAsia="zh-CN" w:bidi="ar-SA"/>
              </w:rPr>
              <w:t>项目类别：</w:t>
            </w:r>
          </w:p>
        </w:tc>
        <w:tc>
          <w:tcPr>
            <w:tcW w:w="2752" w:type="dxa"/>
            <w:gridSpan w:val="6"/>
          </w:tcPr>
          <w:p w14:paraId="7CBD3B0B">
            <w:pPr>
              <w:widowControl w:val="0"/>
              <w:spacing w:before="3"/>
              <w:jc w:val="both"/>
              <w:rPr>
                <w:rFonts w:ascii="黑体" w:hAnsi="宋体" w:eastAsia="宋体" w:cs="宋体"/>
                <w:kern w:val="2"/>
                <w:sz w:val="16"/>
                <w:szCs w:val="24"/>
                <w:lang w:val="en-US" w:eastAsia="zh-CN" w:bidi="ar-SA"/>
              </w:rPr>
            </w:pPr>
          </w:p>
          <w:p w14:paraId="44DBC931">
            <w:pPr>
              <w:widowControl w:val="0"/>
              <w:ind w:left="14"/>
              <w:jc w:val="both"/>
              <w:rPr>
                <w:rFonts w:ascii="宋体" w:hAnsi="宋体" w:eastAsia="宋体" w:cs="宋体"/>
                <w:b/>
                <w:kern w:val="2"/>
                <w:sz w:val="18"/>
                <w:szCs w:val="24"/>
                <w:lang w:val="en-US" w:eastAsia="zh-CN" w:bidi="ar-SA"/>
              </w:rPr>
            </w:pPr>
            <w:r>
              <w:rPr>
                <w:rFonts w:ascii="宋体" w:hAnsi="宋体" w:eastAsia="宋体" w:cs="宋体"/>
                <w:b/>
                <w:kern w:val="2"/>
                <w:sz w:val="18"/>
                <w:szCs w:val="24"/>
                <w:lang w:val="en-US" w:eastAsia="zh-CN" w:bidi="ar-SA"/>
              </w:rPr>
              <w:t>监测时间：</w:t>
            </w:r>
          </w:p>
        </w:tc>
      </w:tr>
      <w:tr w14:paraId="42A699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54" w:type="dxa"/>
            <w:vMerge w:val="restart"/>
            <w:tcBorders>
              <w:bottom w:val="single" w:color="000000" w:sz="4" w:space="0"/>
              <w:right w:val="single" w:color="000000" w:sz="4" w:space="0"/>
            </w:tcBorders>
          </w:tcPr>
          <w:p w14:paraId="20014D1D">
            <w:pPr>
              <w:widowControl w:val="0"/>
              <w:jc w:val="both"/>
              <w:rPr>
                <w:rFonts w:ascii="黑体" w:hAnsi="宋体" w:eastAsia="宋体" w:cs="宋体"/>
                <w:kern w:val="2"/>
                <w:sz w:val="18"/>
                <w:szCs w:val="24"/>
                <w:lang w:val="en-US" w:eastAsia="zh-CN" w:bidi="ar-SA"/>
              </w:rPr>
            </w:pPr>
          </w:p>
          <w:p w14:paraId="793E15B0">
            <w:pPr>
              <w:widowControl w:val="0"/>
              <w:jc w:val="both"/>
              <w:rPr>
                <w:rFonts w:ascii="黑体" w:hAnsi="宋体" w:eastAsia="宋体" w:cs="宋体"/>
                <w:kern w:val="2"/>
                <w:sz w:val="18"/>
                <w:szCs w:val="24"/>
                <w:lang w:val="en-US" w:eastAsia="zh-CN" w:bidi="ar-SA"/>
              </w:rPr>
            </w:pPr>
          </w:p>
          <w:p w14:paraId="583AA0CE">
            <w:pPr>
              <w:widowControl w:val="0"/>
              <w:jc w:val="both"/>
              <w:rPr>
                <w:rFonts w:ascii="黑体" w:hAnsi="宋体" w:eastAsia="宋体" w:cs="宋体"/>
                <w:kern w:val="2"/>
                <w:sz w:val="18"/>
                <w:szCs w:val="24"/>
                <w:lang w:val="en-US" w:eastAsia="zh-CN" w:bidi="ar-SA"/>
              </w:rPr>
            </w:pPr>
          </w:p>
          <w:p w14:paraId="3EE6FB87">
            <w:pPr>
              <w:widowControl w:val="0"/>
              <w:spacing w:before="8"/>
              <w:jc w:val="both"/>
              <w:rPr>
                <w:rFonts w:ascii="黑体" w:hAnsi="宋体" w:eastAsia="宋体" w:cs="宋体"/>
                <w:kern w:val="2"/>
                <w:sz w:val="22"/>
                <w:szCs w:val="24"/>
                <w:lang w:val="en-US" w:eastAsia="zh-CN" w:bidi="ar-SA"/>
              </w:rPr>
            </w:pPr>
          </w:p>
          <w:p w14:paraId="3394BCA8">
            <w:pPr>
              <w:widowControl w:val="0"/>
              <w:spacing w:before="1" w:line="324" w:lineRule="auto"/>
              <w:ind w:left="106" w:right="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序号</w:t>
            </w:r>
          </w:p>
        </w:tc>
        <w:tc>
          <w:tcPr>
            <w:tcW w:w="398" w:type="dxa"/>
            <w:vMerge w:val="restart"/>
            <w:tcBorders>
              <w:left w:val="single" w:color="000000" w:sz="4" w:space="0"/>
              <w:bottom w:val="single" w:color="000000" w:sz="4" w:space="0"/>
              <w:right w:val="single" w:color="000000" w:sz="4" w:space="0"/>
            </w:tcBorders>
          </w:tcPr>
          <w:p w14:paraId="2B50BEA6">
            <w:pPr>
              <w:widowControl w:val="0"/>
              <w:jc w:val="both"/>
              <w:rPr>
                <w:rFonts w:ascii="黑体" w:hAnsi="宋体" w:eastAsia="宋体" w:cs="宋体"/>
                <w:kern w:val="2"/>
                <w:sz w:val="18"/>
                <w:szCs w:val="24"/>
                <w:lang w:val="en-US" w:eastAsia="zh-CN" w:bidi="ar-SA"/>
              </w:rPr>
            </w:pPr>
          </w:p>
          <w:p w14:paraId="6C15EF04">
            <w:pPr>
              <w:widowControl w:val="0"/>
              <w:jc w:val="both"/>
              <w:rPr>
                <w:rFonts w:ascii="黑体" w:hAnsi="宋体" w:eastAsia="宋体" w:cs="宋体"/>
                <w:kern w:val="2"/>
                <w:sz w:val="18"/>
                <w:szCs w:val="24"/>
                <w:lang w:val="en-US" w:eastAsia="zh-CN" w:bidi="ar-SA"/>
              </w:rPr>
            </w:pPr>
          </w:p>
          <w:p w14:paraId="698C327C">
            <w:pPr>
              <w:widowControl w:val="0"/>
              <w:spacing w:before="4"/>
              <w:jc w:val="both"/>
              <w:rPr>
                <w:rFonts w:ascii="黑体" w:hAnsi="宋体" w:eastAsia="宋体" w:cs="宋体"/>
                <w:kern w:val="2"/>
                <w:sz w:val="16"/>
                <w:szCs w:val="24"/>
                <w:lang w:val="en-US" w:eastAsia="zh-CN" w:bidi="ar-SA"/>
              </w:rPr>
            </w:pPr>
          </w:p>
          <w:p w14:paraId="7090FFE7">
            <w:pPr>
              <w:widowControl w:val="0"/>
              <w:spacing w:line="324" w:lineRule="auto"/>
              <w:ind w:left="118" w:right="89"/>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分析项目</w:t>
            </w:r>
          </w:p>
        </w:tc>
        <w:tc>
          <w:tcPr>
            <w:tcW w:w="398" w:type="dxa"/>
            <w:vMerge w:val="restart"/>
            <w:tcBorders>
              <w:left w:val="single" w:color="000000" w:sz="4" w:space="0"/>
              <w:bottom w:val="single" w:color="000000" w:sz="4" w:space="0"/>
              <w:right w:val="single" w:color="000000" w:sz="4" w:space="0"/>
            </w:tcBorders>
          </w:tcPr>
          <w:p w14:paraId="6BD22063">
            <w:pPr>
              <w:widowControl w:val="0"/>
              <w:jc w:val="both"/>
              <w:rPr>
                <w:rFonts w:ascii="黑体" w:hAnsi="宋体" w:eastAsia="宋体" w:cs="宋体"/>
                <w:kern w:val="2"/>
                <w:sz w:val="18"/>
                <w:szCs w:val="24"/>
                <w:lang w:val="en-US" w:eastAsia="zh-CN" w:bidi="ar-SA"/>
              </w:rPr>
            </w:pPr>
          </w:p>
          <w:p w14:paraId="08441289">
            <w:pPr>
              <w:widowControl w:val="0"/>
              <w:jc w:val="both"/>
              <w:rPr>
                <w:rFonts w:ascii="黑体" w:hAnsi="宋体" w:eastAsia="宋体" w:cs="宋体"/>
                <w:kern w:val="2"/>
                <w:sz w:val="18"/>
                <w:szCs w:val="24"/>
                <w:lang w:val="en-US" w:eastAsia="zh-CN" w:bidi="ar-SA"/>
              </w:rPr>
            </w:pPr>
          </w:p>
          <w:p w14:paraId="0F9266EC">
            <w:pPr>
              <w:widowControl w:val="0"/>
              <w:spacing w:before="4"/>
              <w:jc w:val="both"/>
              <w:rPr>
                <w:rFonts w:ascii="黑体" w:hAnsi="宋体" w:eastAsia="宋体" w:cs="宋体"/>
                <w:kern w:val="2"/>
                <w:sz w:val="16"/>
                <w:szCs w:val="24"/>
                <w:lang w:val="en-US" w:eastAsia="zh-CN" w:bidi="ar-SA"/>
              </w:rPr>
            </w:pPr>
          </w:p>
          <w:p w14:paraId="56BC6B21">
            <w:pPr>
              <w:widowControl w:val="0"/>
              <w:spacing w:line="324" w:lineRule="auto"/>
              <w:ind w:left="118" w:right="87"/>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样品个数</w:t>
            </w:r>
          </w:p>
        </w:tc>
        <w:tc>
          <w:tcPr>
            <w:tcW w:w="1776" w:type="dxa"/>
            <w:gridSpan w:val="4"/>
            <w:tcBorders>
              <w:left w:val="single" w:color="000000" w:sz="4" w:space="0"/>
              <w:bottom w:val="single" w:color="000000" w:sz="4" w:space="0"/>
              <w:right w:val="single" w:color="000000" w:sz="4" w:space="0"/>
            </w:tcBorders>
          </w:tcPr>
          <w:p w14:paraId="5A475D18">
            <w:pPr>
              <w:widowControl w:val="0"/>
              <w:spacing w:before="41"/>
              <w:ind w:left="447"/>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全程序空白</w:t>
            </w:r>
          </w:p>
        </w:tc>
        <w:tc>
          <w:tcPr>
            <w:tcW w:w="1776" w:type="dxa"/>
            <w:gridSpan w:val="4"/>
            <w:tcBorders>
              <w:left w:val="single" w:color="000000" w:sz="4" w:space="0"/>
              <w:bottom w:val="single" w:color="000000" w:sz="4" w:space="0"/>
              <w:right w:val="single" w:color="000000" w:sz="4" w:space="0"/>
            </w:tcBorders>
          </w:tcPr>
          <w:p w14:paraId="2D32539E">
            <w:pPr>
              <w:widowControl w:val="0"/>
              <w:spacing w:before="41"/>
              <w:ind w:left="536"/>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运输空白</w:t>
            </w:r>
          </w:p>
        </w:tc>
        <w:tc>
          <w:tcPr>
            <w:tcW w:w="1819" w:type="dxa"/>
            <w:gridSpan w:val="4"/>
            <w:tcBorders>
              <w:left w:val="single" w:color="000000" w:sz="4" w:space="0"/>
              <w:bottom w:val="single" w:color="000000" w:sz="4" w:space="0"/>
              <w:right w:val="single" w:color="000000" w:sz="4" w:space="0"/>
            </w:tcBorders>
          </w:tcPr>
          <w:p w14:paraId="68505265">
            <w:pPr>
              <w:widowControl w:val="0"/>
              <w:spacing w:before="41"/>
              <w:ind w:left="469"/>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现场平行样</w:t>
            </w:r>
          </w:p>
        </w:tc>
        <w:tc>
          <w:tcPr>
            <w:tcW w:w="1776" w:type="dxa"/>
            <w:gridSpan w:val="5"/>
            <w:tcBorders>
              <w:left w:val="single" w:color="000000" w:sz="4" w:space="0"/>
              <w:bottom w:val="single" w:color="000000" w:sz="4" w:space="0"/>
              <w:right w:val="single" w:color="000000" w:sz="4" w:space="0"/>
            </w:tcBorders>
          </w:tcPr>
          <w:p w14:paraId="11BB95F4">
            <w:pPr>
              <w:widowControl w:val="0"/>
              <w:spacing w:before="41"/>
              <w:ind w:left="447"/>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实验室空白</w:t>
            </w:r>
          </w:p>
        </w:tc>
        <w:tc>
          <w:tcPr>
            <w:tcW w:w="1820" w:type="dxa"/>
            <w:gridSpan w:val="4"/>
            <w:tcBorders>
              <w:left w:val="single" w:color="000000" w:sz="4" w:space="0"/>
              <w:bottom w:val="single" w:color="000000" w:sz="4" w:space="0"/>
              <w:right w:val="single" w:color="000000" w:sz="4" w:space="0"/>
            </w:tcBorders>
          </w:tcPr>
          <w:p w14:paraId="111EA749">
            <w:pPr>
              <w:widowControl w:val="0"/>
              <w:spacing w:before="41"/>
              <w:ind w:left="378"/>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实验室平行样</w:t>
            </w:r>
          </w:p>
        </w:tc>
        <w:tc>
          <w:tcPr>
            <w:tcW w:w="1841" w:type="dxa"/>
            <w:gridSpan w:val="5"/>
            <w:tcBorders>
              <w:left w:val="single" w:color="000000" w:sz="4" w:space="0"/>
              <w:bottom w:val="single" w:color="000000" w:sz="4" w:space="0"/>
              <w:right w:val="single" w:color="000000" w:sz="4" w:space="0"/>
            </w:tcBorders>
          </w:tcPr>
          <w:p w14:paraId="57C96A9C">
            <w:pPr>
              <w:widowControl w:val="0"/>
              <w:spacing w:before="41"/>
              <w:ind w:left="478"/>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加标回收样</w:t>
            </w:r>
          </w:p>
        </w:tc>
        <w:tc>
          <w:tcPr>
            <w:tcW w:w="1377" w:type="dxa"/>
            <w:gridSpan w:val="3"/>
            <w:tcBorders>
              <w:left w:val="single" w:color="000000" w:sz="4" w:space="0"/>
              <w:bottom w:val="single" w:color="000000" w:sz="4" w:space="0"/>
            </w:tcBorders>
          </w:tcPr>
          <w:p w14:paraId="50F409F8">
            <w:pPr>
              <w:widowControl w:val="0"/>
              <w:spacing w:before="41"/>
              <w:ind w:left="336"/>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标准样品</w:t>
            </w:r>
          </w:p>
        </w:tc>
      </w:tr>
      <w:tr w14:paraId="366DA66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84" w:hRule="atLeast"/>
        </w:trPr>
        <w:tc>
          <w:tcPr>
            <w:tcW w:w="354" w:type="dxa"/>
            <w:vMerge w:val="continue"/>
            <w:tcBorders>
              <w:top w:val="nil"/>
              <w:bottom w:val="single" w:color="000000" w:sz="4" w:space="0"/>
              <w:right w:val="single" w:color="000000" w:sz="4" w:space="0"/>
            </w:tcBorders>
          </w:tcPr>
          <w:p w14:paraId="6E0797BF">
            <w:pPr>
              <w:rPr>
                <w:rFonts w:eastAsia="宋体" w:cs="Times New Roman"/>
                <w:sz w:val="2"/>
                <w:szCs w:val="2"/>
              </w:rPr>
            </w:pPr>
          </w:p>
        </w:tc>
        <w:tc>
          <w:tcPr>
            <w:tcW w:w="398" w:type="dxa"/>
            <w:vMerge w:val="continue"/>
            <w:tcBorders>
              <w:top w:val="nil"/>
              <w:left w:val="single" w:color="000000" w:sz="4" w:space="0"/>
              <w:bottom w:val="single" w:color="000000" w:sz="4" w:space="0"/>
              <w:right w:val="single" w:color="000000" w:sz="4" w:space="0"/>
            </w:tcBorders>
          </w:tcPr>
          <w:p w14:paraId="1E07530F">
            <w:pPr>
              <w:rPr>
                <w:rFonts w:eastAsia="宋体" w:cs="Times New Roman"/>
                <w:sz w:val="2"/>
                <w:szCs w:val="2"/>
              </w:rPr>
            </w:pPr>
          </w:p>
        </w:tc>
        <w:tc>
          <w:tcPr>
            <w:tcW w:w="398" w:type="dxa"/>
            <w:vMerge w:val="continue"/>
            <w:tcBorders>
              <w:top w:val="nil"/>
              <w:left w:val="single" w:color="000000" w:sz="4" w:space="0"/>
              <w:bottom w:val="single" w:color="000000" w:sz="4" w:space="0"/>
              <w:right w:val="single" w:color="000000" w:sz="4" w:space="0"/>
            </w:tcBorders>
          </w:tcPr>
          <w:p w14:paraId="33D1FF2E">
            <w:pPr>
              <w:rPr>
                <w:rFonts w:eastAsia="宋体" w:cs="Times New Roman"/>
                <w:sz w:val="2"/>
                <w:szCs w:val="2"/>
              </w:rPr>
            </w:pPr>
          </w:p>
        </w:tc>
        <w:tc>
          <w:tcPr>
            <w:tcW w:w="353" w:type="dxa"/>
            <w:tcBorders>
              <w:top w:val="single" w:color="000000" w:sz="4" w:space="0"/>
              <w:left w:val="single" w:color="000000" w:sz="4" w:space="0"/>
              <w:bottom w:val="single" w:color="000000" w:sz="4" w:space="0"/>
              <w:right w:val="single" w:color="000000" w:sz="4" w:space="0"/>
            </w:tcBorders>
          </w:tcPr>
          <w:p w14:paraId="06ADFDD0">
            <w:pPr>
              <w:widowControl w:val="0"/>
              <w:jc w:val="both"/>
              <w:rPr>
                <w:rFonts w:ascii="黑体" w:hAnsi="宋体" w:eastAsia="宋体" w:cs="宋体"/>
                <w:kern w:val="2"/>
                <w:sz w:val="18"/>
                <w:szCs w:val="24"/>
                <w:lang w:val="en-US" w:eastAsia="zh-CN" w:bidi="ar-SA"/>
              </w:rPr>
            </w:pPr>
          </w:p>
          <w:p w14:paraId="7E1812DF">
            <w:pPr>
              <w:widowControl w:val="0"/>
              <w:jc w:val="both"/>
              <w:rPr>
                <w:rFonts w:ascii="黑体" w:hAnsi="宋体" w:eastAsia="宋体" w:cs="宋体"/>
                <w:kern w:val="2"/>
                <w:sz w:val="18"/>
                <w:szCs w:val="24"/>
                <w:lang w:val="en-US" w:eastAsia="zh-CN" w:bidi="ar-SA"/>
              </w:rPr>
            </w:pPr>
          </w:p>
          <w:p w14:paraId="12B564D2">
            <w:pPr>
              <w:widowControl w:val="0"/>
              <w:jc w:val="both"/>
              <w:rPr>
                <w:rFonts w:ascii="黑体" w:hAnsi="宋体" w:eastAsia="宋体" w:cs="宋体"/>
                <w:kern w:val="2"/>
                <w:sz w:val="18"/>
                <w:szCs w:val="24"/>
                <w:lang w:val="en-US" w:eastAsia="zh-CN" w:bidi="ar-SA"/>
              </w:rPr>
            </w:pPr>
          </w:p>
          <w:p w14:paraId="3A3BE67D">
            <w:pPr>
              <w:widowControl w:val="0"/>
              <w:spacing w:before="129" w:line="324" w:lineRule="auto"/>
              <w:ind w:left="116" w:right="44"/>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个数</w:t>
            </w:r>
          </w:p>
        </w:tc>
        <w:tc>
          <w:tcPr>
            <w:tcW w:w="523" w:type="dxa"/>
            <w:tcBorders>
              <w:top w:val="single" w:color="000000" w:sz="4" w:space="0"/>
              <w:left w:val="single" w:color="000000" w:sz="4" w:space="0"/>
              <w:bottom w:val="single" w:color="000000" w:sz="4" w:space="0"/>
              <w:right w:val="single" w:color="000000" w:sz="4" w:space="0"/>
            </w:tcBorders>
          </w:tcPr>
          <w:p w14:paraId="3663DF44">
            <w:pPr>
              <w:widowControl w:val="0"/>
              <w:jc w:val="both"/>
              <w:rPr>
                <w:rFonts w:ascii="黑体" w:hAnsi="宋体" w:eastAsia="宋体" w:cs="宋体"/>
                <w:kern w:val="2"/>
                <w:sz w:val="18"/>
                <w:szCs w:val="24"/>
                <w:lang w:val="en-US" w:eastAsia="zh-CN" w:bidi="ar-SA"/>
              </w:rPr>
            </w:pPr>
          </w:p>
          <w:p w14:paraId="5746E528">
            <w:pPr>
              <w:widowControl w:val="0"/>
              <w:spacing w:before="9"/>
              <w:jc w:val="both"/>
              <w:rPr>
                <w:rFonts w:ascii="黑体" w:hAnsi="宋体" w:eastAsia="宋体" w:cs="宋体"/>
                <w:kern w:val="2"/>
                <w:sz w:val="21"/>
                <w:szCs w:val="24"/>
                <w:lang w:val="en-US" w:eastAsia="zh-CN" w:bidi="ar-SA"/>
              </w:rPr>
            </w:pPr>
          </w:p>
          <w:p w14:paraId="3CA62754">
            <w:pPr>
              <w:widowControl w:val="0"/>
              <w:spacing w:line="324" w:lineRule="auto"/>
              <w:ind w:left="135" w:right="105"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样品比例%</w:t>
            </w:r>
          </w:p>
        </w:tc>
        <w:tc>
          <w:tcPr>
            <w:tcW w:w="398" w:type="dxa"/>
            <w:tcBorders>
              <w:top w:val="single" w:color="000000" w:sz="4" w:space="0"/>
              <w:left w:val="single" w:color="000000" w:sz="4" w:space="0"/>
              <w:bottom w:val="single" w:color="000000" w:sz="4" w:space="0"/>
              <w:right w:val="single" w:color="000000" w:sz="4" w:space="0"/>
            </w:tcBorders>
          </w:tcPr>
          <w:p w14:paraId="2A9E00E4">
            <w:pPr>
              <w:widowControl w:val="0"/>
              <w:jc w:val="both"/>
              <w:rPr>
                <w:rFonts w:ascii="黑体" w:hAnsi="宋体" w:eastAsia="宋体" w:cs="宋体"/>
                <w:kern w:val="2"/>
                <w:sz w:val="18"/>
                <w:szCs w:val="24"/>
                <w:lang w:val="en-US" w:eastAsia="zh-CN" w:bidi="ar-SA"/>
              </w:rPr>
            </w:pPr>
          </w:p>
          <w:p w14:paraId="1997874A">
            <w:pPr>
              <w:widowControl w:val="0"/>
              <w:spacing w:before="9"/>
              <w:jc w:val="both"/>
              <w:rPr>
                <w:rFonts w:ascii="黑体" w:hAnsi="宋体" w:eastAsia="宋体" w:cs="宋体"/>
                <w:kern w:val="2"/>
                <w:sz w:val="21"/>
                <w:szCs w:val="24"/>
                <w:lang w:val="en-US" w:eastAsia="zh-CN" w:bidi="ar-SA"/>
              </w:rPr>
            </w:pPr>
          </w:p>
          <w:p w14:paraId="1ECF4A04">
            <w:pPr>
              <w:widowControl w:val="0"/>
              <w:spacing w:line="324" w:lineRule="auto"/>
              <w:ind w:left="118" w:right="87"/>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数据范围</w:t>
            </w:r>
          </w:p>
        </w:tc>
        <w:tc>
          <w:tcPr>
            <w:tcW w:w="502" w:type="dxa"/>
            <w:tcBorders>
              <w:top w:val="single" w:color="000000" w:sz="4" w:space="0"/>
              <w:left w:val="single" w:color="000000" w:sz="4" w:space="0"/>
              <w:bottom w:val="single" w:color="000000" w:sz="4" w:space="0"/>
              <w:right w:val="single" w:color="000000" w:sz="4" w:space="0"/>
            </w:tcBorders>
          </w:tcPr>
          <w:p w14:paraId="7FE441B1">
            <w:pPr>
              <w:widowControl w:val="0"/>
              <w:jc w:val="both"/>
              <w:rPr>
                <w:rFonts w:ascii="黑体" w:hAnsi="宋体" w:eastAsia="宋体" w:cs="宋体"/>
                <w:kern w:val="2"/>
                <w:sz w:val="18"/>
                <w:szCs w:val="24"/>
                <w:lang w:val="en-US" w:eastAsia="zh-CN" w:bidi="ar-SA"/>
              </w:rPr>
            </w:pPr>
          </w:p>
          <w:p w14:paraId="3D808AE7">
            <w:pPr>
              <w:widowControl w:val="0"/>
              <w:jc w:val="both"/>
              <w:rPr>
                <w:rFonts w:ascii="黑体" w:hAnsi="宋体" w:eastAsia="宋体" w:cs="宋体"/>
                <w:kern w:val="2"/>
                <w:sz w:val="18"/>
                <w:szCs w:val="24"/>
                <w:lang w:val="en-US" w:eastAsia="zh-CN" w:bidi="ar-SA"/>
              </w:rPr>
            </w:pPr>
          </w:p>
          <w:p w14:paraId="0B06B8BB">
            <w:pPr>
              <w:widowControl w:val="0"/>
              <w:spacing w:before="11"/>
              <w:jc w:val="both"/>
              <w:rPr>
                <w:rFonts w:ascii="黑体" w:hAnsi="宋体" w:eastAsia="宋体" w:cs="宋体"/>
                <w:kern w:val="2"/>
                <w:sz w:val="15"/>
                <w:szCs w:val="24"/>
                <w:lang w:val="en-US" w:eastAsia="zh-CN" w:bidi="ar-SA"/>
              </w:rPr>
            </w:pPr>
          </w:p>
          <w:p w14:paraId="2C33F825">
            <w:pPr>
              <w:widowControl w:val="0"/>
              <w:spacing w:line="324" w:lineRule="auto"/>
              <w:ind w:left="126" w:right="93" w:firstLine="43"/>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合格率%</w:t>
            </w:r>
          </w:p>
        </w:tc>
        <w:tc>
          <w:tcPr>
            <w:tcW w:w="353" w:type="dxa"/>
            <w:tcBorders>
              <w:top w:val="single" w:color="000000" w:sz="4" w:space="0"/>
              <w:left w:val="single" w:color="000000" w:sz="4" w:space="0"/>
              <w:bottom w:val="single" w:color="000000" w:sz="4" w:space="0"/>
              <w:right w:val="single" w:color="000000" w:sz="4" w:space="0"/>
            </w:tcBorders>
          </w:tcPr>
          <w:p w14:paraId="4C51D912">
            <w:pPr>
              <w:widowControl w:val="0"/>
              <w:jc w:val="both"/>
              <w:rPr>
                <w:rFonts w:ascii="黑体" w:hAnsi="宋体" w:eastAsia="宋体" w:cs="宋体"/>
                <w:kern w:val="2"/>
                <w:sz w:val="18"/>
                <w:szCs w:val="24"/>
                <w:lang w:val="en-US" w:eastAsia="zh-CN" w:bidi="ar-SA"/>
              </w:rPr>
            </w:pPr>
          </w:p>
          <w:p w14:paraId="33DCA8F1">
            <w:pPr>
              <w:widowControl w:val="0"/>
              <w:jc w:val="both"/>
              <w:rPr>
                <w:rFonts w:ascii="黑体" w:hAnsi="宋体" w:eastAsia="宋体" w:cs="宋体"/>
                <w:kern w:val="2"/>
                <w:sz w:val="18"/>
                <w:szCs w:val="24"/>
                <w:lang w:val="en-US" w:eastAsia="zh-CN" w:bidi="ar-SA"/>
              </w:rPr>
            </w:pPr>
          </w:p>
          <w:p w14:paraId="71A4FC9C">
            <w:pPr>
              <w:widowControl w:val="0"/>
              <w:jc w:val="both"/>
              <w:rPr>
                <w:rFonts w:ascii="黑体" w:hAnsi="宋体" w:eastAsia="宋体" w:cs="宋体"/>
                <w:kern w:val="2"/>
                <w:sz w:val="18"/>
                <w:szCs w:val="24"/>
                <w:lang w:val="en-US" w:eastAsia="zh-CN" w:bidi="ar-SA"/>
              </w:rPr>
            </w:pPr>
          </w:p>
          <w:p w14:paraId="2CA2AB53">
            <w:pPr>
              <w:widowControl w:val="0"/>
              <w:spacing w:before="129" w:line="324" w:lineRule="auto"/>
              <w:ind w:left="116" w:right="44"/>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个数</w:t>
            </w:r>
          </w:p>
        </w:tc>
        <w:tc>
          <w:tcPr>
            <w:tcW w:w="524" w:type="dxa"/>
            <w:tcBorders>
              <w:top w:val="single" w:color="000000" w:sz="4" w:space="0"/>
              <w:left w:val="single" w:color="000000" w:sz="4" w:space="0"/>
              <w:bottom w:val="single" w:color="000000" w:sz="4" w:space="0"/>
              <w:right w:val="single" w:color="000000" w:sz="4" w:space="0"/>
            </w:tcBorders>
          </w:tcPr>
          <w:p w14:paraId="161248DE">
            <w:pPr>
              <w:widowControl w:val="0"/>
              <w:jc w:val="both"/>
              <w:rPr>
                <w:rFonts w:ascii="黑体" w:hAnsi="宋体" w:eastAsia="宋体" w:cs="宋体"/>
                <w:kern w:val="2"/>
                <w:sz w:val="18"/>
                <w:szCs w:val="24"/>
                <w:lang w:val="en-US" w:eastAsia="zh-CN" w:bidi="ar-SA"/>
              </w:rPr>
            </w:pPr>
          </w:p>
          <w:p w14:paraId="34F120B9">
            <w:pPr>
              <w:widowControl w:val="0"/>
              <w:spacing w:before="9"/>
              <w:jc w:val="both"/>
              <w:rPr>
                <w:rFonts w:ascii="黑体" w:hAnsi="宋体" w:eastAsia="宋体" w:cs="宋体"/>
                <w:kern w:val="2"/>
                <w:sz w:val="21"/>
                <w:szCs w:val="24"/>
                <w:lang w:val="en-US" w:eastAsia="zh-CN" w:bidi="ar-SA"/>
              </w:rPr>
            </w:pPr>
          </w:p>
          <w:p w14:paraId="0970569E">
            <w:pPr>
              <w:widowControl w:val="0"/>
              <w:spacing w:line="324" w:lineRule="auto"/>
              <w:ind w:left="135" w:right="106"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样品比例%</w:t>
            </w:r>
          </w:p>
        </w:tc>
        <w:tc>
          <w:tcPr>
            <w:tcW w:w="398" w:type="dxa"/>
            <w:tcBorders>
              <w:top w:val="single" w:color="000000" w:sz="4" w:space="0"/>
              <w:left w:val="single" w:color="000000" w:sz="4" w:space="0"/>
              <w:bottom w:val="single" w:color="000000" w:sz="4" w:space="0"/>
              <w:right w:val="single" w:color="000000" w:sz="4" w:space="0"/>
            </w:tcBorders>
          </w:tcPr>
          <w:p w14:paraId="4A006F8A">
            <w:pPr>
              <w:widowControl w:val="0"/>
              <w:jc w:val="both"/>
              <w:rPr>
                <w:rFonts w:ascii="黑体" w:hAnsi="宋体" w:eastAsia="宋体" w:cs="宋体"/>
                <w:kern w:val="2"/>
                <w:sz w:val="18"/>
                <w:szCs w:val="24"/>
                <w:lang w:val="en-US" w:eastAsia="zh-CN" w:bidi="ar-SA"/>
              </w:rPr>
            </w:pPr>
          </w:p>
          <w:p w14:paraId="41E044DE">
            <w:pPr>
              <w:widowControl w:val="0"/>
              <w:spacing w:before="9"/>
              <w:jc w:val="both"/>
              <w:rPr>
                <w:rFonts w:ascii="黑体" w:hAnsi="宋体" w:eastAsia="宋体" w:cs="宋体"/>
                <w:kern w:val="2"/>
                <w:sz w:val="21"/>
                <w:szCs w:val="24"/>
                <w:lang w:val="en-US" w:eastAsia="zh-CN" w:bidi="ar-SA"/>
              </w:rPr>
            </w:pPr>
          </w:p>
          <w:p w14:paraId="4419AD11">
            <w:pPr>
              <w:widowControl w:val="0"/>
              <w:spacing w:line="324" w:lineRule="auto"/>
              <w:ind w:left="117" w:right="88"/>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数据范围</w:t>
            </w:r>
          </w:p>
        </w:tc>
        <w:tc>
          <w:tcPr>
            <w:tcW w:w="501" w:type="dxa"/>
            <w:tcBorders>
              <w:top w:val="single" w:color="000000" w:sz="4" w:space="0"/>
              <w:left w:val="single" w:color="000000" w:sz="4" w:space="0"/>
              <w:bottom w:val="single" w:color="000000" w:sz="4" w:space="0"/>
              <w:right w:val="single" w:color="000000" w:sz="4" w:space="0"/>
            </w:tcBorders>
          </w:tcPr>
          <w:p w14:paraId="437A9735">
            <w:pPr>
              <w:widowControl w:val="0"/>
              <w:jc w:val="both"/>
              <w:rPr>
                <w:rFonts w:ascii="黑体" w:hAnsi="宋体" w:eastAsia="宋体" w:cs="宋体"/>
                <w:kern w:val="2"/>
                <w:sz w:val="18"/>
                <w:szCs w:val="24"/>
                <w:lang w:val="en-US" w:eastAsia="zh-CN" w:bidi="ar-SA"/>
              </w:rPr>
            </w:pPr>
          </w:p>
          <w:p w14:paraId="16F84169">
            <w:pPr>
              <w:widowControl w:val="0"/>
              <w:jc w:val="both"/>
              <w:rPr>
                <w:rFonts w:ascii="黑体" w:hAnsi="宋体" w:eastAsia="宋体" w:cs="宋体"/>
                <w:kern w:val="2"/>
                <w:sz w:val="18"/>
                <w:szCs w:val="24"/>
                <w:lang w:val="en-US" w:eastAsia="zh-CN" w:bidi="ar-SA"/>
              </w:rPr>
            </w:pPr>
          </w:p>
          <w:p w14:paraId="6B3C1F86">
            <w:pPr>
              <w:widowControl w:val="0"/>
              <w:spacing w:before="11"/>
              <w:jc w:val="both"/>
              <w:rPr>
                <w:rFonts w:ascii="黑体" w:hAnsi="宋体" w:eastAsia="宋体" w:cs="宋体"/>
                <w:kern w:val="2"/>
                <w:sz w:val="15"/>
                <w:szCs w:val="24"/>
                <w:lang w:val="en-US" w:eastAsia="zh-CN" w:bidi="ar-SA"/>
              </w:rPr>
            </w:pPr>
          </w:p>
          <w:p w14:paraId="1CDDD9F0">
            <w:pPr>
              <w:widowControl w:val="0"/>
              <w:spacing w:line="324" w:lineRule="auto"/>
              <w:ind w:left="125" w:right="93" w:firstLine="43"/>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合格率%</w:t>
            </w:r>
          </w:p>
        </w:tc>
        <w:tc>
          <w:tcPr>
            <w:tcW w:w="353" w:type="dxa"/>
            <w:tcBorders>
              <w:top w:val="single" w:color="000000" w:sz="4" w:space="0"/>
              <w:left w:val="single" w:color="000000" w:sz="4" w:space="0"/>
              <w:bottom w:val="single" w:color="000000" w:sz="4" w:space="0"/>
              <w:right w:val="single" w:color="000000" w:sz="4" w:space="0"/>
            </w:tcBorders>
          </w:tcPr>
          <w:p w14:paraId="1264C228">
            <w:pPr>
              <w:widowControl w:val="0"/>
              <w:jc w:val="both"/>
              <w:rPr>
                <w:rFonts w:ascii="黑体" w:hAnsi="宋体" w:eastAsia="宋体" w:cs="宋体"/>
                <w:kern w:val="2"/>
                <w:sz w:val="18"/>
                <w:szCs w:val="24"/>
                <w:lang w:val="en-US" w:eastAsia="zh-CN" w:bidi="ar-SA"/>
              </w:rPr>
            </w:pPr>
          </w:p>
          <w:p w14:paraId="1B80C444">
            <w:pPr>
              <w:widowControl w:val="0"/>
              <w:jc w:val="both"/>
              <w:rPr>
                <w:rFonts w:ascii="黑体" w:hAnsi="宋体" w:eastAsia="宋体" w:cs="宋体"/>
                <w:kern w:val="2"/>
                <w:sz w:val="18"/>
                <w:szCs w:val="24"/>
                <w:lang w:val="en-US" w:eastAsia="zh-CN" w:bidi="ar-SA"/>
              </w:rPr>
            </w:pPr>
          </w:p>
          <w:p w14:paraId="3E046B8B">
            <w:pPr>
              <w:widowControl w:val="0"/>
              <w:jc w:val="both"/>
              <w:rPr>
                <w:rFonts w:ascii="黑体" w:hAnsi="宋体" w:eastAsia="宋体" w:cs="宋体"/>
                <w:kern w:val="2"/>
                <w:sz w:val="18"/>
                <w:szCs w:val="24"/>
                <w:lang w:val="en-US" w:eastAsia="zh-CN" w:bidi="ar-SA"/>
              </w:rPr>
            </w:pPr>
          </w:p>
          <w:p w14:paraId="0D02CE5D">
            <w:pPr>
              <w:widowControl w:val="0"/>
              <w:spacing w:before="129" w:line="324" w:lineRule="auto"/>
              <w:ind w:left="116" w:right="44"/>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个数</w:t>
            </w:r>
          </w:p>
        </w:tc>
        <w:tc>
          <w:tcPr>
            <w:tcW w:w="523" w:type="dxa"/>
            <w:tcBorders>
              <w:top w:val="single" w:color="000000" w:sz="4" w:space="0"/>
              <w:left w:val="single" w:color="000000" w:sz="4" w:space="0"/>
              <w:bottom w:val="single" w:color="000000" w:sz="4" w:space="0"/>
              <w:right w:val="single" w:color="000000" w:sz="4" w:space="0"/>
            </w:tcBorders>
          </w:tcPr>
          <w:p w14:paraId="633A4095">
            <w:pPr>
              <w:widowControl w:val="0"/>
              <w:jc w:val="both"/>
              <w:rPr>
                <w:rFonts w:ascii="黑体" w:hAnsi="宋体" w:eastAsia="宋体" w:cs="宋体"/>
                <w:kern w:val="2"/>
                <w:sz w:val="18"/>
                <w:szCs w:val="24"/>
                <w:lang w:val="en-US" w:eastAsia="zh-CN" w:bidi="ar-SA"/>
              </w:rPr>
            </w:pPr>
          </w:p>
          <w:p w14:paraId="1AE3701D">
            <w:pPr>
              <w:widowControl w:val="0"/>
              <w:spacing w:before="9"/>
              <w:jc w:val="both"/>
              <w:rPr>
                <w:rFonts w:ascii="黑体" w:hAnsi="宋体" w:eastAsia="宋体" w:cs="宋体"/>
                <w:kern w:val="2"/>
                <w:sz w:val="21"/>
                <w:szCs w:val="24"/>
                <w:lang w:val="en-US" w:eastAsia="zh-CN" w:bidi="ar-SA"/>
              </w:rPr>
            </w:pPr>
          </w:p>
          <w:p w14:paraId="1D2044FD">
            <w:pPr>
              <w:widowControl w:val="0"/>
              <w:spacing w:line="324" w:lineRule="auto"/>
              <w:ind w:left="135" w:right="105"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样品比例%</w:t>
            </w:r>
          </w:p>
        </w:tc>
        <w:tc>
          <w:tcPr>
            <w:tcW w:w="442" w:type="dxa"/>
            <w:tcBorders>
              <w:top w:val="single" w:color="000000" w:sz="4" w:space="0"/>
              <w:left w:val="single" w:color="000000" w:sz="4" w:space="0"/>
              <w:bottom w:val="single" w:color="000000" w:sz="4" w:space="0"/>
              <w:right w:val="single" w:color="000000" w:sz="4" w:space="0"/>
            </w:tcBorders>
          </w:tcPr>
          <w:p w14:paraId="0497727A">
            <w:pPr>
              <w:widowControl w:val="0"/>
              <w:spacing w:before="4"/>
              <w:jc w:val="both"/>
              <w:rPr>
                <w:rFonts w:ascii="黑体" w:hAnsi="宋体" w:eastAsia="宋体" w:cs="宋体"/>
                <w:kern w:val="2"/>
                <w:sz w:val="15"/>
                <w:szCs w:val="24"/>
                <w:lang w:val="en-US" w:eastAsia="zh-CN" w:bidi="ar-SA"/>
              </w:rPr>
            </w:pPr>
          </w:p>
          <w:p w14:paraId="25524DC4">
            <w:pPr>
              <w:widowControl w:val="0"/>
              <w:spacing w:before="1" w:line="324" w:lineRule="auto"/>
              <w:ind w:left="140" w:right="109"/>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相对偏差范围</w:t>
            </w:r>
          </w:p>
        </w:tc>
        <w:tc>
          <w:tcPr>
            <w:tcW w:w="501" w:type="dxa"/>
            <w:tcBorders>
              <w:top w:val="single" w:color="000000" w:sz="4" w:space="0"/>
              <w:left w:val="single" w:color="000000" w:sz="4" w:space="0"/>
              <w:bottom w:val="single" w:color="000000" w:sz="4" w:space="0"/>
              <w:right w:val="single" w:color="000000" w:sz="4" w:space="0"/>
            </w:tcBorders>
          </w:tcPr>
          <w:p w14:paraId="60881028">
            <w:pPr>
              <w:widowControl w:val="0"/>
              <w:jc w:val="both"/>
              <w:rPr>
                <w:rFonts w:ascii="黑体" w:hAnsi="宋体" w:eastAsia="宋体" w:cs="宋体"/>
                <w:kern w:val="2"/>
                <w:sz w:val="18"/>
                <w:szCs w:val="24"/>
                <w:lang w:val="en-US" w:eastAsia="zh-CN" w:bidi="ar-SA"/>
              </w:rPr>
            </w:pPr>
          </w:p>
          <w:p w14:paraId="6FC45BEB">
            <w:pPr>
              <w:widowControl w:val="0"/>
              <w:jc w:val="both"/>
              <w:rPr>
                <w:rFonts w:ascii="黑体" w:hAnsi="宋体" w:eastAsia="宋体" w:cs="宋体"/>
                <w:kern w:val="2"/>
                <w:sz w:val="18"/>
                <w:szCs w:val="24"/>
                <w:lang w:val="en-US" w:eastAsia="zh-CN" w:bidi="ar-SA"/>
              </w:rPr>
            </w:pPr>
          </w:p>
          <w:p w14:paraId="6061545B">
            <w:pPr>
              <w:widowControl w:val="0"/>
              <w:spacing w:before="11"/>
              <w:jc w:val="both"/>
              <w:rPr>
                <w:rFonts w:ascii="黑体" w:hAnsi="宋体" w:eastAsia="宋体" w:cs="宋体"/>
                <w:kern w:val="2"/>
                <w:sz w:val="15"/>
                <w:szCs w:val="24"/>
                <w:lang w:val="en-US" w:eastAsia="zh-CN" w:bidi="ar-SA"/>
              </w:rPr>
            </w:pPr>
          </w:p>
          <w:p w14:paraId="3CF09CB1">
            <w:pPr>
              <w:widowControl w:val="0"/>
              <w:spacing w:line="324" w:lineRule="auto"/>
              <w:ind w:left="123" w:right="95"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合格率%</w:t>
            </w:r>
          </w:p>
        </w:tc>
        <w:tc>
          <w:tcPr>
            <w:tcW w:w="353" w:type="dxa"/>
            <w:tcBorders>
              <w:top w:val="single" w:color="000000" w:sz="4" w:space="0"/>
              <w:left w:val="single" w:color="000000" w:sz="4" w:space="0"/>
              <w:bottom w:val="single" w:color="000000" w:sz="4" w:space="0"/>
              <w:right w:val="single" w:color="000000" w:sz="4" w:space="0"/>
            </w:tcBorders>
          </w:tcPr>
          <w:p w14:paraId="0E11A935">
            <w:pPr>
              <w:widowControl w:val="0"/>
              <w:jc w:val="both"/>
              <w:rPr>
                <w:rFonts w:ascii="黑体" w:hAnsi="宋体" w:eastAsia="宋体" w:cs="宋体"/>
                <w:kern w:val="2"/>
                <w:sz w:val="18"/>
                <w:szCs w:val="24"/>
                <w:lang w:val="en-US" w:eastAsia="zh-CN" w:bidi="ar-SA"/>
              </w:rPr>
            </w:pPr>
          </w:p>
          <w:p w14:paraId="6D4D1625">
            <w:pPr>
              <w:widowControl w:val="0"/>
              <w:jc w:val="both"/>
              <w:rPr>
                <w:rFonts w:ascii="黑体" w:hAnsi="宋体" w:eastAsia="宋体" w:cs="宋体"/>
                <w:kern w:val="2"/>
                <w:sz w:val="18"/>
                <w:szCs w:val="24"/>
                <w:lang w:val="en-US" w:eastAsia="zh-CN" w:bidi="ar-SA"/>
              </w:rPr>
            </w:pPr>
          </w:p>
          <w:p w14:paraId="1A2377E2">
            <w:pPr>
              <w:widowControl w:val="0"/>
              <w:jc w:val="both"/>
              <w:rPr>
                <w:rFonts w:ascii="黑体" w:hAnsi="宋体" w:eastAsia="宋体" w:cs="宋体"/>
                <w:kern w:val="2"/>
                <w:sz w:val="18"/>
                <w:szCs w:val="24"/>
                <w:lang w:val="en-US" w:eastAsia="zh-CN" w:bidi="ar-SA"/>
              </w:rPr>
            </w:pPr>
          </w:p>
          <w:p w14:paraId="2CF54583">
            <w:pPr>
              <w:widowControl w:val="0"/>
              <w:spacing w:before="129" w:line="324" w:lineRule="auto"/>
              <w:ind w:left="116" w:right="44"/>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个数</w:t>
            </w:r>
          </w:p>
        </w:tc>
        <w:tc>
          <w:tcPr>
            <w:tcW w:w="523" w:type="dxa"/>
            <w:gridSpan w:val="2"/>
            <w:tcBorders>
              <w:top w:val="single" w:color="000000" w:sz="4" w:space="0"/>
              <w:left w:val="single" w:color="000000" w:sz="4" w:space="0"/>
              <w:bottom w:val="single" w:color="000000" w:sz="4" w:space="0"/>
              <w:right w:val="single" w:color="000000" w:sz="4" w:space="0"/>
            </w:tcBorders>
          </w:tcPr>
          <w:p w14:paraId="3D372FD0">
            <w:pPr>
              <w:widowControl w:val="0"/>
              <w:jc w:val="both"/>
              <w:rPr>
                <w:rFonts w:ascii="黑体" w:hAnsi="宋体" w:eastAsia="宋体" w:cs="宋体"/>
                <w:kern w:val="2"/>
                <w:sz w:val="18"/>
                <w:szCs w:val="24"/>
                <w:lang w:val="en-US" w:eastAsia="zh-CN" w:bidi="ar-SA"/>
              </w:rPr>
            </w:pPr>
          </w:p>
          <w:p w14:paraId="4796868C">
            <w:pPr>
              <w:widowControl w:val="0"/>
              <w:spacing w:before="9"/>
              <w:jc w:val="both"/>
              <w:rPr>
                <w:rFonts w:ascii="黑体" w:hAnsi="宋体" w:eastAsia="宋体" w:cs="宋体"/>
                <w:kern w:val="2"/>
                <w:sz w:val="21"/>
                <w:szCs w:val="24"/>
                <w:lang w:val="en-US" w:eastAsia="zh-CN" w:bidi="ar-SA"/>
              </w:rPr>
            </w:pPr>
          </w:p>
          <w:p w14:paraId="2A8B0231">
            <w:pPr>
              <w:widowControl w:val="0"/>
              <w:spacing w:line="324" w:lineRule="auto"/>
              <w:ind w:left="135" w:right="105"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样品比例%</w:t>
            </w:r>
          </w:p>
        </w:tc>
        <w:tc>
          <w:tcPr>
            <w:tcW w:w="399" w:type="dxa"/>
            <w:tcBorders>
              <w:top w:val="single" w:color="000000" w:sz="4" w:space="0"/>
              <w:left w:val="single" w:color="000000" w:sz="4" w:space="0"/>
              <w:bottom w:val="single" w:color="000000" w:sz="4" w:space="0"/>
              <w:right w:val="single" w:color="000000" w:sz="4" w:space="0"/>
            </w:tcBorders>
          </w:tcPr>
          <w:p w14:paraId="23971465">
            <w:pPr>
              <w:widowControl w:val="0"/>
              <w:jc w:val="both"/>
              <w:rPr>
                <w:rFonts w:ascii="黑体" w:hAnsi="宋体" w:eastAsia="宋体" w:cs="宋体"/>
                <w:kern w:val="2"/>
                <w:sz w:val="18"/>
                <w:szCs w:val="24"/>
                <w:lang w:val="en-US" w:eastAsia="zh-CN" w:bidi="ar-SA"/>
              </w:rPr>
            </w:pPr>
          </w:p>
          <w:p w14:paraId="6CC28414">
            <w:pPr>
              <w:widowControl w:val="0"/>
              <w:spacing w:before="9"/>
              <w:jc w:val="both"/>
              <w:rPr>
                <w:rFonts w:ascii="黑体" w:hAnsi="宋体" w:eastAsia="宋体" w:cs="宋体"/>
                <w:kern w:val="2"/>
                <w:sz w:val="21"/>
                <w:szCs w:val="24"/>
                <w:lang w:val="en-US" w:eastAsia="zh-CN" w:bidi="ar-SA"/>
              </w:rPr>
            </w:pPr>
          </w:p>
          <w:p w14:paraId="64993EF2">
            <w:pPr>
              <w:widowControl w:val="0"/>
              <w:spacing w:line="324" w:lineRule="auto"/>
              <w:ind w:left="119" w:right="89"/>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数据范围</w:t>
            </w:r>
          </w:p>
        </w:tc>
        <w:tc>
          <w:tcPr>
            <w:tcW w:w="501" w:type="dxa"/>
            <w:tcBorders>
              <w:top w:val="single" w:color="000000" w:sz="4" w:space="0"/>
              <w:left w:val="single" w:color="000000" w:sz="4" w:space="0"/>
              <w:bottom w:val="single" w:color="000000" w:sz="4" w:space="0"/>
              <w:right w:val="single" w:color="000000" w:sz="4" w:space="0"/>
            </w:tcBorders>
          </w:tcPr>
          <w:p w14:paraId="785AF3A4">
            <w:pPr>
              <w:widowControl w:val="0"/>
              <w:jc w:val="both"/>
              <w:rPr>
                <w:rFonts w:ascii="黑体" w:hAnsi="宋体" w:eastAsia="宋体" w:cs="宋体"/>
                <w:kern w:val="2"/>
                <w:sz w:val="18"/>
                <w:szCs w:val="24"/>
                <w:lang w:val="en-US" w:eastAsia="zh-CN" w:bidi="ar-SA"/>
              </w:rPr>
            </w:pPr>
          </w:p>
          <w:p w14:paraId="493D252B">
            <w:pPr>
              <w:widowControl w:val="0"/>
              <w:jc w:val="both"/>
              <w:rPr>
                <w:rFonts w:ascii="黑体" w:hAnsi="宋体" w:eastAsia="宋体" w:cs="宋体"/>
                <w:kern w:val="2"/>
                <w:sz w:val="18"/>
                <w:szCs w:val="24"/>
                <w:lang w:val="en-US" w:eastAsia="zh-CN" w:bidi="ar-SA"/>
              </w:rPr>
            </w:pPr>
          </w:p>
          <w:p w14:paraId="5A921770">
            <w:pPr>
              <w:widowControl w:val="0"/>
              <w:spacing w:before="11"/>
              <w:jc w:val="both"/>
              <w:rPr>
                <w:rFonts w:ascii="黑体" w:hAnsi="宋体" w:eastAsia="宋体" w:cs="宋体"/>
                <w:kern w:val="2"/>
                <w:sz w:val="15"/>
                <w:szCs w:val="24"/>
                <w:lang w:val="en-US" w:eastAsia="zh-CN" w:bidi="ar-SA"/>
              </w:rPr>
            </w:pPr>
          </w:p>
          <w:p w14:paraId="72772CB2">
            <w:pPr>
              <w:widowControl w:val="0"/>
              <w:spacing w:line="324" w:lineRule="auto"/>
              <w:ind w:left="123" w:right="95"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合格率%</w:t>
            </w:r>
          </w:p>
        </w:tc>
        <w:tc>
          <w:tcPr>
            <w:tcW w:w="353" w:type="dxa"/>
            <w:tcBorders>
              <w:top w:val="single" w:color="000000" w:sz="4" w:space="0"/>
              <w:left w:val="single" w:color="000000" w:sz="4" w:space="0"/>
              <w:bottom w:val="single" w:color="000000" w:sz="4" w:space="0"/>
              <w:right w:val="single" w:color="000000" w:sz="4" w:space="0"/>
            </w:tcBorders>
          </w:tcPr>
          <w:p w14:paraId="34DF8857">
            <w:pPr>
              <w:widowControl w:val="0"/>
              <w:jc w:val="both"/>
              <w:rPr>
                <w:rFonts w:ascii="黑体" w:hAnsi="宋体" w:eastAsia="宋体" w:cs="宋体"/>
                <w:kern w:val="2"/>
                <w:sz w:val="18"/>
                <w:szCs w:val="24"/>
                <w:lang w:val="en-US" w:eastAsia="zh-CN" w:bidi="ar-SA"/>
              </w:rPr>
            </w:pPr>
          </w:p>
          <w:p w14:paraId="47244577">
            <w:pPr>
              <w:widowControl w:val="0"/>
              <w:jc w:val="both"/>
              <w:rPr>
                <w:rFonts w:ascii="黑体" w:hAnsi="宋体" w:eastAsia="宋体" w:cs="宋体"/>
                <w:kern w:val="2"/>
                <w:sz w:val="18"/>
                <w:szCs w:val="24"/>
                <w:lang w:val="en-US" w:eastAsia="zh-CN" w:bidi="ar-SA"/>
              </w:rPr>
            </w:pPr>
          </w:p>
          <w:p w14:paraId="77E7639E">
            <w:pPr>
              <w:widowControl w:val="0"/>
              <w:jc w:val="both"/>
              <w:rPr>
                <w:rFonts w:ascii="黑体" w:hAnsi="宋体" w:eastAsia="宋体" w:cs="宋体"/>
                <w:kern w:val="2"/>
                <w:sz w:val="18"/>
                <w:szCs w:val="24"/>
                <w:lang w:val="en-US" w:eastAsia="zh-CN" w:bidi="ar-SA"/>
              </w:rPr>
            </w:pPr>
          </w:p>
          <w:p w14:paraId="09E2A938">
            <w:pPr>
              <w:widowControl w:val="0"/>
              <w:spacing w:before="129" w:line="324" w:lineRule="auto"/>
              <w:ind w:left="116" w:right="44"/>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个数</w:t>
            </w:r>
          </w:p>
        </w:tc>
        <w:tc>
          <w:tcPr>
            <w:tcW w:w="523" w:type="dxa"/>
            <w:tcBorders>
              <w:top w:val="single" w:color="000000" w:sz="4" w:space="0"/>
              <w:left w:val="single" w:color="000000" w:sz="4" w:space="0"/>
              <w:bottom w:val="single" w:color="000000" w:sz="4" w:space="0"/>
              <w:right w:val="single" w:color="000000" w:sz="4" w:space="0"/>
            </w:tcBorders>
          </w:tcPr>
          <w:p w14:paraId="30188DE5">
            <w:pPr>
              <w:widowControl w:val="0"/>
              <w:jc w:val="both"/>
              <w:rPr>
                <w:rFonts w:ascii="黑体" w:hAnsi="宋体" w:eastAsia="宋体" w:cs="宋体"/>
                <w:kern w:val="2"/>
                <w:sz w:val="18"/>
                <w:szCs w:val="24"/>
                <w:lang w:val="en-US" w:eastAsia="zh-CN" w:bidi="ar-SA"/>
              </w:rPr>
            </w:pPr>
          </w:p>
          <w:p w14:paraId="1BFD55B0">
            <w:pPr>
              <w:widowControl w:val="0"/>
              <w:spacing w:before="9"/>
              <w:jc w:val="both"/>
              <w:rPr>
                <w:rFonts w:ascii="黑体" w:hAnsi="宋体" w:eastAsia="宋体" w:cs="宋体"/>
                <w:kern w:val="2"/>
                <w:sz w:val="21"/>
                <w:szCs w:val="24"/>
                <w:lang w:val="en-US" w:eastAsia="zh-CN" w:bidi="ar-SA"/>
              </w:rPr>
            </w:pPr>
          </w:p>
          <w:p w14:paraId="5A21EBC0">
            <w:pPr>
              <w:widowControl w:val="0"/>
              <w:spacing w:line="324" w:lineRule="auto"/>
              <w:ind w:left="135" w:right="105"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样品比例%</w:t>
            </w:r>
          </w:p>
        </w:tc>
        <w:tc>
          <w:tcPr>
            <w:tcW w:w="441" w:type="dxa"/>
            <w:tcBorders>
              <w:top w:val="single" w:color="000000" w:sz="4" w:space="0"/>
              <w:left w:val="single" w:color="000000" w:sz="4" w:space="0"/>
              <w:bottom w:val="single" w:color="000000" w:sz="4" w:space="0"/>
              <w:right w:val="single" w:color="000000" w:sz="4" w:space="0"/>
            </w:tcBorders>
          </w:tcPr>
          <w:p w14:paraId="0D74ABD5">
            <w:pPr>
              <w:widowControl w:val="0"/>
              <w:spacing w:before="4"/>
              <w:jc w:val="both"/>
              <w:rPr>
                <w:rFonts w:ascii="黑体" w:hAnsi="宋体" w:eastAsia="宋体" w:cs="宋体"/>
                <w:kern w:val="2"/>
                <w:sz w:val="15"/>
                <w:szCs w:val="24"/>
                <w:lang w:val="en-US" w:eastAsia="zh-CN" w:bidi="ar-SA"/>
              </w:rPr>
            </w:pPr>
          </w:p>
          <w:p w14:paraId="73630C88">
            <w:pPr>
              <w:widowControl w:val="0"/>
              <w:spacing w:before="1" w:line="324" w:lineRule="auto"/>
              <w:ind w:left="138" w:right="110"/>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相对偏差范围</w:t>
            </w:r>
          </w:p>
        </w:tc>
        <w:tc>
          <w:tcPr>
            <w:tcW w:w="503" w:type="dxa"/>
            <w:tcBorders>
              <w:top w:val="single" w:color="000000" w:sz="4" w:space="0"/>
              <w:left w:val="single" w:color="000000" w:sz="4" w:space="0"/>
              <w:bottom w:val="single" w:color="000000" w:sz="4" w:space="0"/>
              <w:right w:val="single" w:color="000000" w:sz="4" w:space="0"/>
            </w:tcBorders>
          </w:tcPr>
          <w:p w14:paraId="4C0220C4">
            <w:pPr>
              <w:widowControl w:val="0"/>
              <w:jc w:val="both"/>
              <w:rPr>
                <w:rFonts w:ascii="黑体" w:hAnsi="宋体" w:eastAsia="宋体" w:cs="宋体"/>
                <w:kern w:val="2"/>
                <w:sz w:val="18"/>
                <w:szCs w:val="24"/>
                <w:lang w:val="en-US" w:eastAsia="zh-CN" w:bidi="ar-SA"/>
              </w:rPr>
            </w:pPr>
          </w:p>
          <w:p w14:paraId="5990CA57">
            <w:pPr>
              <w:widowControl w:val="0"/>
              <w:jc w:val="both"/>
              <w:rPr>
                <w:rFonts w:ascii="黑体" w:hAnsi="宋体" w:eastAsia="宋体" w:cs="宋体"/>
                <w:kern w:val="2"/>
                <w:sz w:val="18"/>
                <w:szCs w:val="24"/>
                <w:lang w:val="en-US" w:eastAsia="zh-CN" w:bidi="ar-SA"/>
              </w:rPr>
            </w:pPr>
          </w:p>
          <w:p w14:paraId="251BC9E7">
            <w:pPr>
              <w:widowControl w:val="0"/>
              <w:spacing w:before="11"/>
              <w:jc w:val="both"/>
              <w:rPr>
                <w:rFonts w:ascii="黑体" w:hAnsi="宋体" w:eastAsia="宋体" w:cs="宋体"/>
                <w:kern w:val="2"/>
                <w:sz w:val="15"/>
                <w:szCs w:val="24"/>
                <w:lang w:val="en-US" w:eastAsia="zh-CN" w:bidi="ar-SA"/>
              </w:rPr>
            </w:pPr>
          </w:p>
          <w:p w14:paraId="174F3A5F">
            <w:pPr>
              <w:widowControl w:val="0"/>
              <w:spacing w:line="324" w:lineRule="auto"/>
              <w:ind w:left="124" w:right="96"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合格率%</w:t>
            </w:r>
          </w:p>
        </w:tc>
        <w:tc>
          <w:tcPr>
            <w:tcW w:w="353" w:type="dxa"/>
            <w:tcBorders>
              <w:top w:val="single" w:color="000000" w:sz="4" w:space="0"/>
              <w:left w:val="single" w:color="000000" w:sz="4" w:space="0"/>
              <w:bottom w:val="single" w:color="000000" w:sz="4" w:space="0"/>
              <w:right w:val="single" w:color="000000" w:sz="4" w:space="0"/>
            </w:tcBorders>
          </w:tcPr>
          <w:p w14:paraId="2FAFB087">
            <w:pPr>
              <w:widowControl w:val="0"/>
              <w:jc w:val="both"/>
              <w:rPr>
                <w:rFonts w:ascii="黑体" w:hAnsi="宋体" w:eastAsia="宋体" w:cs="宋体"/>
                <w:kern w:val="2"/>
                <w:sz w:val="18"/>
                <w:szCs w:val="24"/>
                <w:lang w:val="en-US" w:eastAsia="zh-CN" w:bidi="ar-SA"/>
              </w:rPr>
            </w:pPr>
          </w:p>
          <w:p w14:paraId="0B5377CA">
            <w:pPr>
              <w:widowControl w:val="0"/>
              <w:jc w:val="both"/>
              <w:rPr>
                <w:rFonts w:ascii="黑体" w:hAnsi="宋体" w:eastAsia="宋体" w:cs="宋体"/>
                <w:kern w:val="2"/>
                <w:sz w:val="18"/>
                <w:szCs w:val="24"/>
                <w:lang w:val="en-US" w:eastAsia="zh-CN" w:bidi="ar-SA"/>
              </w:rPr>
            </w:pPr>
          </w:p>
          <w:p w14:paraId="021A798D">
            <w:pPr>
              <w:widowControl w:val="0"/>
              <w:jc w:val="both"/>
              <w:rPr>
                <w:rFonts w:ascii="黑体" w:hAnsi="宋体" w:eastAsia="宋体" w:cs="宋体"/>
                <w:kern w:val="2"/>
                <w:sz w:val="18"/>
                <w:szCs w:val="24"/>
                <w:lang w:val="en-US" w:eastAsia="zh-CN" w:bidi="ar-SA"/>
              </w:rPr>
            </w:pPr>
          </w:p>
          <w:p w14:paraId="20F1450E">
            <w:pPr>
              <w:widowControl w:val="0"/>
              <w:spacing w:before="129" w:line="324" w:lineRule="auto"/>
              <w:ind w:left="118" w:right="42"/>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个数</w:t>
            </w:r>
          </w:p>
        </w:tc>
        <w:tc>
          <w:tcPr>
            <w:tcW w:w="523" w:type="dxa"/>
            <w:gridSpan w:val="2"/>
            <w:tcBorders>
              <w:top w:val="single" w:color="000000" w:sz="4" w:space="0"/>
              <w:left w:val="single" w:color="000000" w:sz="4" w:space="0"/>
              <w:bottom w:val="single" w:color="000000" w:sz="4" w:space="0"/>
              <w:right w:val="single" w:color="000000" w:sz="4" w:space="0"/>
            </w:tcBorders>
          </w:tcPr>
          <w:p w14:paraId="3CF6B49E">
            <w:pPr>
              <w:widowControl w:val="0"/>
              <w:jc w:val="both"/>
              <w:rPr>
                <w:rFonts w:ascii="黑体" w:hAnsi="宋体" w:eastAsia="宋体" w:cs="宋体"/>
                <w:kern w:val="2"/>
                <w:sz w:val="18"/>
                <w:szCs w:val="24"/>
                <w:lang w:val="en-US" w:eastAsia="zh-CN" w:bidi="ar-SA"/>
              </w:rPr>
            </w:pPr>
          </w:p>
          <w:p w14:paraId="6F007D2A">
            <w:pPr>
              <w:widowControl w:val="0"/>
              <w:spacing w:before="9"/>
              <w:jc w:val="both"/>
              <w:rPr>
                <w:rFonts w:ascii="黑体" w:hAnsi="宋体" w:eastAsia="宋体" w:cs="宋体"/>
                <w:kern w:val="2"/>
                <w:sz w:val="21"/>
                <w:szCs w:val="24"/>
                <w:lang w:val="en-US" w:eastAsia="zh-CN" w:bidi="ar-SA"/>
              </w:rPr>
            </w:pPr>
          </w:p>
          <w:p w14:paraId="62C5D4D8">
            <w:pPr>
              <w:widowControl w:val="0"/>
              <w:spacing w:line="324" w:lineRule="auto"/>
              <w:ind w:left="134" w:right="106"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样品比例%</w:t>
            </w:r>
          </w:p>
        </w:tc>
        <w:tc>
          <w:tcPr>
            <w:tcW w:w="464" w:type="dxa"/>
            <w:tcBorders>
              <w:top w:val="single" w:color="000000" w:sz="4" w:space="0"/>
              <w:left w:val="single" w:color="000000" w:sz="4" w:space="0"/>
              <w:bottom w:val="single" w:color="000000" w:sz="4" w:space="0"/>
              <w:right w:val="single" w:color="000000" w:sz="4" w:space="0"/>
            </w:tcBorders>
          </w:tcPr>
          <w:p w14:paraId="35693A7E">
            <w:pPr>
              <w:widowControl w:val="0"/>
              <w:spacing w:before="41" w:line="324" w:lineRule="auto"/>
              <w:ind w:left="151" w:right="120"/>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加标回收率范</w:t>
            </w:r>
          </w:p>
          <w:p w14:paraId="698DB55F">
            <w:pPr>
              <w:widowControl w:val="0"/>
              <w:spacing w:before="4"/>
              <w:ind w:left="151"/>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围</w:t>
            </w:r>
          </w:p>
        </w:tc>
        <w:tc>
          <w:tcPr>
            <w:tcW w:w="501" w:type="dxa"/>
            <w:tcBorders>
              <w:top w:val="single" w:color="000000" w:sz="4" w:space="0"/>
              <w:left w:val="single" w:color="000000" w:sz="4" w:space="0"/>
              <w:bottom w:val="single" w:color="000000" w:sz="4" w:space="0"/>
              <w:right w:val="single" w:color="000000" w:sz="4" w:space="0"/>
            </w:tcBorders>
          </w:tcPr>
          <w:p w14:paraId="650D1A64">
            <w:pPr>
              <w:widowControl w:val="0"/>
              <w:jc w:val="both"/>
              <w:rPr>
                <w:rFonts w:ascii="黑体" w:hAnsi="宋体" w:eastAsia="宋体" w:cs="宋体"/>
                <w:kern w:val="2"/>
                <w:sz w:val="18"/>
                <w:szCs w:val="24"/>
                <w:lang w:val="en-US" w:eastAsia="zh-CN" w:bidi="ar-SA"/>
              </w:rPr>
            </w:pPr>
          </w:p>
          <w:p w14:paraId="159A5FED">
            <w:pPr>
              <w:widowControl w:val="0"/>
              <w:jc w:val="both"/>
              <w:rPr>
                <w:rFonts w:ascii="黑体" w:hAnsi="宋体" w:eastAsia="宋体" w:cs="宋体"/>
                <w:kern w:val="2"/>
                <w:sz w:val="18"/>
                <w:szCs w:val="24"/>
                <w:lang w:val="en-US" w:eastAsia="zh-CN" w:bidi="ar-SA"/>
              </w:rPr>
            </w:pPr>
          </w:p>
          <w:p w14:paraId="2E6E5C44">
            <w:pPr>
              <w:widowControl w:val="0"/>
              <w:spacing w:before="11"/>
              <w:jc w:val="both"/>
              <w:rPr>
                <w:rFonts w:ascii="黑体" w:hAnsi="宋体" w:eastAsia="宋体" w:cs="宋体"/>
                <w:kern w:val="2"/>
                <w:sz w:val="15"/>
                <w:szCs w:val="24"/>
                <w:lang w:val="en-US" w:eastAsia="zh-CN" w:bidi="ar-SA"/>
              </w:rPr>
            </w:pPr>
          </w:p>
          <w:p w14:paraId="5E6AC24E">
            <w:pPr>
              <w:widowControl w:val="0"/>
              <w:spacing w:line="324" w:lineRule="auto"/>
              <w:ind w:left="124" w:right="94"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合格率%</w:t>
            </w:r>
          </w:p>
        </w:tc>
        <w:tc>
          <w:tcPr>
            <w:tcW w:w="353" w:type="dxa"/>
            <w:tcBorders>
              <w:top w:val="single" w:color="000000" w:sz="4" w:space="0"/>
              <w:left w:val="single" w:color="000000" w:sz="4" w:space="0"/>
              <w:bottom w:val="single" w:color="000000" w:sz="4" w:space="0"/>
              <w:right w:val="single" w:color="000000" w:sz="4" w:space="0"/>
            </w:tcBorders>
          </w:tcPr>
          <w:p w14:paraId="450078C7">
            <w:pPr>
              <w:widowControl w:val="0"/>
              <w:jc w:val="both"/>
              <w:rPr>
                <w:rFonts w:ascii="黑体" w:hAnsi="宋体" w:eastAsia="宋体" w:cs="宋体"/>
                <w:kern w:val="2"/>
                <w:sz w:val="18"/>
                <w:szCs w:val="24"/>
                <w:lang w:val="en-US" w:eastAsia="zh-CN" w:bidi="ar-SA"/>
              </w:rPr>
            </w:pPr>
          </w:p>
          <w:p w14:paraId="5A757C1F">
            <w:pPr>
              <w:widowControl w:val="0"/>
              <w:jc w:val="both"/>
              <w:rPr>
                <w:rFonts w:ascii="黑体" w:hAnsi="宋体" w:eastAsia="宋体" w:cs="宋体"/>
                <w:kern w:val="2"/>
                <w:sz w:val="18"/>
                <w:szCs w:val="24"/>
                <w:lang w:val="en-US" w:eastAsia="zh-CN" w:bidi="ar-SA"/>
              </w:rPr>
            </w:pPr>
          </w:p>
          <w:p w14:paraId="7F2F501A">
            <w:pPr>
              <w:widowControl w:val="0"/>
              <w:jc w:val="both"/>
              <w:rPr>
                <w:rFonts w:ascii="黑体" w:hAnsi="宋体" w:eastAsia="宋体" w:cs="宋体"/>
                <w:kern w:val="2"/>
                <w:sz w:val="18"/>
                <w:szCs w:val="24"/>
                <w:lang w:val="en-US" w:eastAsia="zh-CN" w:bidi="ar-SA"/>
              </w:rPr>
            </w:pPr>
          </w:p>
          <w:p w14:paraId="338E94FC">
            <w:pPr>
              <w:widowControl w:val="0"/>
              <w:spacing w:before="129" w:line="324" w:lineRule="auto"/>
              <w:ind w:left="118" w:right="44"/>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个数</w:t>
            </w:r>
          </w:p>
        </w:tc>
        <w:tc>
          <w:tcPr>
            <w:tcW w:w="523" w:type="dxa"/>
            <w:tcBorders>
              <w:top w:val="single" w:color="000000" w:sz="4" w:space="0"/>
              <w:left w:val="single" w:color="000000" w:sz="4" w:space="0"/>
              <w:bottom w:val="single" w:color="000000" w:sz="4" w:space="0"/>
              <w:right w:val="single" w:color="000000" w:sz="4" w:space="0"/>
            </w:tcBorders>
          </w:tcPr>
          <w:p w14:paraId="63A6E0C8">
            <w:pPr>
              <w:widowControl w:val="0"/>
              <w:jc w:val="both"/>
              <w:rPr>
                <w:rFonts w:ascii="黑体" w:hAnsi="宋体" w:eastAsia="宋体" w:cs="宋体"/>
                <w:kern w:val="2"/>
                <w:sz w:val="18"/>
                <w:szCs w:val="24"/>
                <w:lang w:val="en-US" w:eastAsia="zh-CN" w:bidi="ar-SA"/>
              </w:rPr>
            </w:pPr>
          </w:p>
          <w:p w14:paraId="14F12B05">
            <w:pPr>
              <w:widowControl w:val="0"/>
              <w:spacing w:before="9"/>
              <w:jc w:val="both"/>
              <w:rPr>
                <w:rFonts w:ascii="黑体" w:hAnsi="宋体" w:eastAsia="宋体" w:cs="宋体"/>
                <w:kern w:val="2"/>
                <w:sz w:val="21"/>
                <w:szCs w:val="24"/>
                <w:lang w:val="en-US" w:eastAsia="zh-CN" w:bidi="ar-SA"/>
              </w:rPr>
            </w:pPr>
          </w:p>
          <w:p w14:paraId="7A00637B">
            <w:pPr>
              <w:widowControl w:val="0"/>
              <w:spacing w:line="324" w:lineRule="auto"/>
              <w:ind w:left="134" w:right="106" w:firstLine="45"/>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样品比例%</w:t>
            </w:r>
          </w:p>
        </w:tc>
        <w:tc>
          <w:tcPr>
            <w:tcW w:w="501" w:type="dxa"/>
            <w:tcBorders>
              <w:top w:val="single" w:color="000000" w:sz="4" w:space="0"/>
              <w:left w:val="single" w:color="000000" w:sz="4" w:space="0"/>
              <w:bottom w:val="single" w:color="000000" w:sz="4" w:space="0"/>
            </w:tcBorders>
          </w:tcPr>
          <w:p w14:paraId="1854BDEA">
            <w:pPr>
              <w:widowControl w:val="0"/>
              <w:jc w:val="both"/>
              <w:rPr>
                <w:rFonts w:ascii="黑体" w:hAnsi="宋体" w:eastAsia="宋体" w:cs="宋体"/>
                <w:kern w:val="2"/>
                <w:sz w:val="18"/>
                <w:szCs w:val="24"/>
                <w:lang w:val="en-US" w:eastAsia="zh-CN" w:bidi="ar-SA"/>
              </w:rPr>
            </w:pPr>
          </w:p>
          <w:p w14:paraId="2ACA4C5A">
            <w:pPr>
              <w:widowControl w:val="0"/>
              <w:jc w:val="both"/>
              <w:rPr>
                <w:rFonts w:ascii="黑体" w:hAnsi="宋体" w:eastAsia="宋体" w:cs="宋体"/>
                <w:kern w:val="2"/>
                <w:sz w:val="18"/>
                <w:szCs w:val="24"/>
                <w:lang w:val="en-US" w:eastAsia="zh-CN" w:bidi="ar-SA"/>
              </w:rPr>
            </w:pPr>
          </w:p>
          <w:p w14:paraId="48DE6BD1">
            <w:pPr>
              <w:widowControl w:val="0"/>
              <w:spacing w:before="11"/>
              <w:jc w:val="both"/>
              <w:rPr>
                <w:rFonts w:ascii="黑体" w:hAnsi="宋体" w:eastAsia="宋体" w:cs="宋体"/>
                <w:kern w:val="2"/>
                <w:sz w:val="15"/>
                <w:szCs w:val="24"/>
                <w:lang w:val="en-US" w:eastAsia="zh-CN" w:bidi="ar-SA"/>
              </w:rPr>
            </w:pPr>
          </w:p>
          <w:p w14:paraId="30AF1CCE">
            <w:pPr>
              <w:widowControl w:val="0"/>
              <w:spacing w:line="324" w:lineRule="auto"/>
              <w:ind w:left="125" w:right="83" w:firstLine="43"/>
              <w:jc w:val="both"/>
              <w:rPr>
                <w:rFonts w:ascii="宋体" w:hAnsi="宋体" w:eastAsia="宋体" w:cs="宋体"/>
                <w:kern w:val="2"/>
                <w:sz w:val="18"/>
                <w:szCs w:val="24"/>
                <w:lang w:val="en-US" w:eastAsia="zh-CN" w:bidi="ar-SA"/>
              </w:rPr>
            </w:pPr>
            <w:r>
              <w:rPr>
                <w:rFonts w:ascii="宋体" w:hAnsi="宋体" w:eastAsia="宋体" w:cs="宋体"/>
                <w:kern w:val="2"/>
                <w:sz w:val="18"/>
                <w:szCs w:val="24"/>
                <w:lang w:val="en-US" w:eastAsia="zh-CN" w:bidi="ar-SA"/>
              </w:rPr>
              <w:t>合格率%</w:t>
            </w:r>
          </w:p>
        </w:tc>
      </w:tr>
      <w:tr w14:paraId="1541E1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54" w:type="dxa"/>
            <w:tcBorders>
              <w:top w:val="single" w:color="000000" w:sz="4" w:space="0"/>
              <w:bottom w:val="single" w:color="000000" w:sz="4" w:space="0"/>
              <w:right w:val="single" w:color="000000" w:sz="4" w:space="0"/>
            </w:tcBorders>
          </w:tcPr>
          <w:p w14:paraId="42B0B517">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1CE4AD33">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4729DED9">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7AAADE6D">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708F8140">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6BA3C71D">
            <w:pPr>
              <w:widowControl w:val="0"/>
              <w:jc w:val="both"/>
              <w:rPr>
                <w:rFonts w:ascii="Times New Roman" w:hAnsi="宋体" w:eastAsia="宋体" w:cs="宋体"/>
                <w:kern w:val="2"/>
                <w:sz w:val="18"/>
                <w:szCs w:val="24"/>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tcPr>
          <w:p w14:paraId="55814839">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52990125">
            <w:pPr>
              <w:widowControl w:val="0"/>
              <w:jc w:val="both"/>
              <w:rPr>
                <w:rFonts w:ascii="Times New Roman" w:hAnsi="宋体" w:eastAsia="宋体" w:cs="宋体"/>
                <w:kern w:val="2"/>
                <w:sz w:val="18"/>
                <w:szCs w:val="24"/>
                <w:lang w:val="en-US" w:eastAsia="zh-CN" w:bidi="ar-SA"/>
              </w:rPr>
            </w:pPr>
          </w:p>
        </w:tc>
        <w:tc>
          <w:tcPr>
            <w:tcW w:w="524" w:type="dxa"/>
            <w:tcBorders>
              <w:top w:val="single" w:color="000000" w:sz="4" w:space="0"/>
              <w:left w:val="single" w:color="000000" w:sz="4" w:space="0"/>
              <w:bottom w:val="single" w:color="000000" w:sz="4" w:space="0"/>
              <w:right w:val="single" w:color="000000" w:sz="4" w:space="0"/>
            </w:tcBorders>
          </w:tcPr>
          <w:p w14:paraId="0A8E10F6">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0B919988">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2EC2029C">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5609B51A">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7A2B99BB">
            <w:pPr>
              <w:widowControl w:val="0"/>
              <w:jc w:val="both"/>
              <w:rPr>
                <w:rFonts w:ascii="Times New Roman" w:hAnsi="宋体" w:eastAsia="宋体" w:cs="宋体"/>
                <w:kern w:val="2"/>
                <w:sz w:val="18"/>
                <w:szCs w:val="24"/>
                <w:lang w:val="en-US" w:eastAsia="zh-CN" w:bidi="ar-SA"/>
              </w:rPr>
            </w:pPr>
          </w:p>
        </w:tc>
        <w:tc>
          <w:tcPr>
            <w:tcW w:w="442" w:type="dxa"/>
            <w:tcBorders>
              <w:top w:val="single" w:color="000000" w:sz="4" w:space="0"/>
              <w:left w:val="single" w:color="000000" w:sz="4" w:space="0"/>
              <w:bottom w:val="single" w:color="000000" w:sz="4" w:space="0"/>
              <w:right w:val="single" w:color="000000" w:sz="4" w:space="0"/>
            </w:tcBorders>
          </w:tcPr>
          <w:p w14:paraId="48C1C85A">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38775681">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078E6B02">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73877D54">
            <w:pPr>
              <w:widowControl w:val="0"/>
              <w:jc w:val="both"/>
              <w:rPr>
                <w:rFonts w:ascii="Times New Roman" w:hAnsi="宋体" w:eastAsia="宋体" w:cs="宋体"/>
                <w:kern w:val="2"/>
                <w:sz w:val="18"/>
                <w:szCs w:val="24"/>
                <w:lang w:val="en-US" w:eastAsia="zh-CN" w:bidi="ar-SA"/>
              </w:rPr>
            </w:pPr>
          </w:p>
        </w:tc>
        <w:tc>
          <w:tcPr>
            <w:tcW w:w="399" w:type="dxa"/>
            <w:tcBorders>
              <w:top w:val="single" w:color="000000" w:sz="4" w:space="0"/>
              <w:left w:val="single" w:color="000000" w:sz="4" w:space="0"/>
              <w:bottom w:val="single" w:color="000000" w:sz="4" w:space="0"/>
              <w:right w:val="single" w:color="000000" w:sz="4" w:space="0"/>
            </w:tcBorders>
          </w:tcPr>
          <w:p w14:paraId="718DAB37">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2D7FA830">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4319F8F">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383D741E">
            <w:pPr>
              <w:widowControl w:val="0"/>
              <w:jc w:val="both"/>
              <w:rPr>
                <w:rFonts w:ascii="Times New Roman" w:hAnsi="宋体" w:eastAsia="宋体" w:cs="宋体"/>
                <w:kern w:val="2"/>
                <w:sz w:val="18"/>
                <w:szCs w:val="24"/>
                <w:lang w:val="en-US" w:eastAsia="zh-CN" w:bidi="ar-SA"/>
              </w:rPr>
            </w:pPr>
          </w:p>
        </w:tc>
        <w:tc>
          <w:tcPr>
            <w:tcW w:w="441" w:type="dxa"/>
            <w:tcBorders>
              <w:top w:val="single" w:color="000000" w:sz="4" w:space="0"/>
              <w:left w:val="single" w:color="000000" w:sz="4" w:space="0"/>
              <w:bottom w:val="single" w:color="000000" w:sz="4" w:space="0"/>
              <w:right w:val="single" w:color="000000" w:sz="4" w:space="0"/>
            </w:tcBorders>
          </w:tcPr>
          <w:p w14:paraId="656BB680">
            <w:pPr>
              <w:widowControl w:val="0"/>
              <w:jc w:val="both"/>
              <w:rPr>
                <w:rFonts w:ascii="Times New Roman" w:hAnsi="宋体" w:eastAsia="宋体" w:cs="宋体"/>
                <w:kern w:val="2"/>
                <w:sz w:val="18"/>
                <w:szCs w:val="24"/>
                <w:lang w:val="en-US" w:eastAsia="zh-CN" w:bidi="ar-SA"/>
              </w:rPr>
            </w:pPr>
          </w:p>
        </w:tc>
        <w:tc>
          <w:tcPr>
            <w:tcW w:w="503" w:type="dxa"/>
            <w:tcBorders>
              <w:top w:val="single" w:color="000000" w:sz="4" w:space="0"/>
              <w:left w:val="single" w:color="000000" w:sz="4" w:space="0"/>
              <w:bottom w:val="single" w:color="000000" w:sz="4" w:space="0"/>
              <w:right w:val="single" w:color="000000" w:sz="4" w:space="0"/>
            </w:tcBorders>
          </w:tcPr>
          <w:p w14:paraId="2CD4E3FB">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2FEF87FB">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62194012">
            <w:pPr>
              <w:widowControl w:val="0"/>
              <w:jc w:val="both"/>
              <w:rPr>
                <w:rFonts w:ascii="Times New Roman" w:hAnsi="宋体" w:eastAsia="宋体" w:cs="宋体"/>
                <w:kern w:val="2"/>
                <w:sz w:val="18"/>
                <w:szCs w:val="24"/>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tcPr>
          <w:p w14:paraId="14A2F9B6">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479C8EA8">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79AAA8E2">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1BFA0D32">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tcBorders>
          </w:tcPr>
          <w:p w14:paraId="0EB70951">
            <w:pPr>
              <w:widowControl w:val="0"/>
              <w:jc w:val="both"/>
              <w:rPr>
                <w:rFonts w:ascii="Times New Roman" w:hAnsi="宋体" w:eastAsia="宋体" w:cs="宋体"/>
                <w:kern w:val="2"/>
                <w:sz w:val="18"/>
                <w:szCs w:val="24"/>
                <w:lang w:val="en-US" w:eastAsia="zh-CN" w:bidi="ar-SA"/>
              </w:rPr>
            </w:pPr>
          </w:p>
        </w:tc>
      </w:tr>
      <w:tr w14:paraId="604ABF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54" w:type="dxa"/>
            <w:tcBorders>
              <w:top w:val="single" w:color="000000" w:sz="4" w:space="0"/>
              <w:bottom w:val="single" w:color="000000" w:sz="4" w:space="0"/>
              <w:right w:val="single" w:color="000000" w:sz="4" w:space="0"/>
            </w:tcBorders>
          </w:tcPr>
          <w:p w14:paraId="6E7C4C0E">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57405F3D">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51A563E2">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1D08A2B7">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686161F6">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276F689A">
            <w:pPr>
              <w:widowControl w:val="0"/>
              <w:jc w:val="both"/>
              <w:rPr>
                <w:rFonts w:ascii="Times New Roman" w:hAnsi="宋体" w:eastAsia="宋体" w:cs="宋体"/>
                <w:kern w:val="2"/>
                <w:sz w:val="18"/>
                <w:szCs w:val="24"/>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tcPr>
          <w:p w14:paraId="573B79B5">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29368479">
            <w:pPr>
              <w:widowControl w:val="0"/>
              <w:jc w:val="both"/>
              <w:rPr>
                <w:rFonts w:ascii="Times New Roman" w:hAnsi="宋体" w:eastAsia="宋体" w:cs="宋体"/>
                <w:kern w:val="2"/>
                <w:sz w:val="18"/>
                <w:szCs w:val="24"/>
                <w:lang w:val="en-US" w:eastAsia="zh-CN" w:bidi="ar-SA"/>
              </w:rPr>
            </w:pPr>
          </w:p>
        </w:tc>
        <w:tc>
          <w:tcPr>
            <w:tcW w:w="524" w:type="dxa"/>
            <w:tcBorders>
              <w:top w:val="single" w:color="000000" w:sz="4" w:space="0"/>
              <w:left w:val="single" w:color="000000" w:sz="4" w:space="0"/>
              <w:bottom w:val="single" w:color="000000" w:sz="4" w:space="0"/>
              <w:right w:val="single" w:color="000000" w:sz="4" w:space="0"/>
            </w:tcBorders>
          </w:tcPr>
          <w:p w14:paraId="0B531736">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1D197311">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6A4EE26B">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8244C4F">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6D956BEC">
            <w:pPr>
              <w:widowControl w:val="0"/>
              <w:jc w:val="both"/>
              <w:rPr>
                <w:rFonts w:ascii="Times New Roman" w:hAnsi="宋体" w:eastAsia="宋体" w:cs="宋体"/>
                <w:kern w:val="2"/>
                <w:sz w:val="18"/>
                <w:szCs w:val="24"/>
                <w:lang w:val="en-US" w:eastAsia="zh-CN" w:bidi="ar-SA"/>
              </w:rPr>
            </w:pPr>
          </w:p>
        </w:tc>
        <w:tc>
          <w:tcPr>
            <w:tcW w:w="442" w:type="dxa"/>
            <w:tcBorders>
              <w:top w:val="single" w:color="000000" w:sz="4" w:space="0"/>
              <w:left w:val="single" w:color="000000" w:sz="4" w:space="0"/>
              <w:bottom w:val="single" w:color="000000" w:sz="4" w:space="0"/>
              <w:right w:val="single" w:color="000000" w:sz="4" w:space="0"/>
            </w:tcBorders>
          </w:tcPr>
          <w:p w14:paraId="40B3C1B3">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17C5C7AA">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E5CFE08">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0A1F18EC">
            <w:pPr>
              <w:widowControl w:val="0"/>
              <w:jc w:val="both"/>
              <w:rPr>
                <w:rFonts w:ascii="Times New Roman" w:hAnsi="宋体" w:eastAsia="宋体" w:cs="宋体"/>
                <w:kern w:val="2"/>
                <w:sz w:val="18"/>
                <w:szCs w:val="24"/>
                <w:lang w:val="en-US" w:eastAsia="zh-CN" w:bidi="ar-SA"/>
              </w:rPr>
            </w:pPr>
          </w:p>
        </w:tc>
        <w:tc>
          <w:tcPr>
            <w:tcW w:w="399" w:type="dxa"/>
            <w:tcBorders>
              <w:top w:val="single" w:color="000000" w:sz="4" w:space="0"/>
              <w:left w:val="single" w:color="000000" w:sz="4" w:space="0"/>
              <w:bottom w:val="single" w:color="000000" w:sz="4" w:space="0"/>
              <w:right w:val="single" w:color="000000" w:sz="4" w:space="0"/>
            </w:tcBorders>
          </w:tcPr>
          <w:p w14:paraId="4B6E40FE">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48ABE878">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1F72F0EA">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467477A6">
            <w:pPr>
              <w:widowControl w:val="0"/>
              <w:jc w:val="both"/>
              <w:rPr>
                <w:rFonts w:ascii="Times New Roman" w:hAnsi="宋体" w:eastAsia="宋体" w:cs="宋体"/>
                <w:kern w:val="2"/>
                <w:sz w:val="18"/>
                <w:szCs w:val="24"/>
                <w:lang w:val="en-US" w:eastAsia="zh-CN" w:bidi="ar-SA"/>
              </w:rPr>
            </w:pPr>
          </w:p>
        </w:tc>
        <w:tc>
          <w:tcPr>
            <w:tcW w:w="441" w:type="dxa"/>
            <w:tcBorders>
              <w:top w:val="single" w:color="000000" w:sz="4" w:space="0"/>
              <w:left w:val="single" w:color="000000" w:sz="4" w:space="0"/>
              <w:bottom w:val="single" w:color="000000" w:sz="4" w:space="0"/>
              <w:right w:val="single" w:color="000000" w:sz="4" w:space="0"/>
            </w:tcBorders>
          </w:tcPr>
          <w:p w14:paraId="30D77299">
            <w:pPr>
              <w:widowControl w:val="0"/>
              <w:jc w:val="both"/>
              <w:rPr>
                <w:rFonts w:ascii="Times New Roman" w:hAnsi="宋体" w:eastAsia="宋体" w:cs="宋体"/>
                <w:kern w:val="2"/>
                <w:sz w:val="18"/>
                <w:szCs w:val="24"/>
                <w:lang w:val="en-US" w:eastAsia="zh-CN" w:bidi="ar-SA"/>
              </w:rPr>
            </w:pPr>
          </w:p>
        </w:tc>
        <w:tc>
          <w:tcPr>
            <w:tcW w:w="503" w:type="dxa"/>
            <w:tcBorders>
              <w:top w:val="single" w:color="000000" w:sz="4" w:space="0"/>
              <w:left w:val="single" w:color="000000" w:sz="4" w:space="0"/>
              <w:bottom w:val="single" w:color="000000" w:sz="4" w:space="0"/>
              <w:right w:val="single" w:color="000000" w:sz="4" w:space="0"/>
            </w:tcBorders>
          </w:tcPr>
          <w:p w14:paraId="6C450979">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48776F87">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61A5E19D">
            <w:pPr>
              <w:widowControl w:val="0"/>
              <w:jc w:val="both"/>
              <w:rPr>
                <w:rFonts w:ascii="Times New Roman" w:hAnsi="宋体" w:eastAsia="宋体" w:cs="宋体"/>
                <w:kern w:val="2"/>
                <w:sz w:val="18"/>
                <w:szCs w:val="24"/>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tcPr>
          <w:p w14:paraId="6219760E">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664790F3">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1D094E62">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096CFA18">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tcBorders>
          </w:tcPr>
          <w:p w14:paraId="1E107738">
            <w:pPr>
              <w:widowControl w:val="0"/>
              <w:jc w:val="both"/>
              <w:rPr>
                <w:rFonts w:ascii="Times New Roman" w:hAnsi="宋体" w:eastAsia="宋体" w:cs="宋体"/>
                <w:kern w:val="2"/>
                <w:sz w:val="18"/>
                <w:szCs w:val="24"/>
                <w:lang w:val="en-US" w:eastAsia="zh-CN" w:bidi="ar-SA"/>
              </w:rPr>
            </w:pPr>
          </w:p>
        </w:tc>
      </w:tr>
      <w:tr w14:paraId="4AEA79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54" w:type="dxa"/>
            <w:tcBorders>
              <w:top w:val="single" w:color="000000" w:sz="4" w:space="0"/>
              <w:bottom w:val="single" w:color="000000" w:sz="4" w:space="0"/>
              <w:right w:val="single" w:color="000000" w:sz="4" w:space="0"/>
            </w:tcBorders>
          </w:tcPr>
          <w:p w14:paraId="38F06677">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4BA3F69C">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242428B0">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CC0E23A">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32C99507">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6EA72C34">
            <w:pPr>
              <w:widowControl w:val="0"/>
              <w:jc w:val="both"/>
              <w:rPr>
                <w:rFonts w:ascii="Times New Roman" w:hAnsi="宋体" w:eastAsia="宋体" w:cs="宋体"/>
                <w:kern w:val="2"/>
                <w:sz w:val="18"/>
                <w:szCs w:val="24"/>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tcPr>
          <w:p w14:paraId="11DF733F">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D7129B9">
            <w:pPr>
              <w:widowControl w:val="0"/>
              <w:jc w:val="both"/>
              <w:rPr>
                <w:rFonts w:ascii="Times New Roman" w:hAnsi="宋体" w:eastAsia="宋体" w:cs="宋体"/>
                <w:kern w:val="2"/>
                <w:sz w:val="18"/>
                <w:szCs w:val="24"/>
                <w:lang w:val="en-US" w:eastAsia="zh-CN" w:bidi="ar-SA"/>
              </w:rPr>
            </w:pPr>
          </w:p>
        </w:tc>
        <w:tc>
          <w:tcPr>
            <w:tcW w:w="524" w:type="dxa"/>
            <w:tcBorders>
              <w:top w:val="single" w:color="000000" w:sz="4" w:space="0"/>
              <w:left w:val="single" w:color="000000" w:sz="4" w:space="0"/>
              <w:bottom w:val="single" w:color="000000" w:sz="4" w:space="0"/>
              <w:right w:val="single" w:color="000000" w:sz="4" w:space="0"/>
            </w:tcBorders>
          </w:tcPr>
          <w:p w14:paraId="3146B391">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04ECC822">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4F382FF6">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9DC71BA">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61677E5D">
            <w:pPr>
              <w:widowControl w:val="0"/>
              <w:jc w:val="both"/>
              <w:rPr>
                <w:rFonts w:ascii="Times New Roman" w:hAnsi="宋体" w:eastAsia="宋体" w:cs="宋体"/>
                <w:kern w:val="2"/>
                <w:sz w:val="18"/>
                <w:szCs w:val="24"/>
                <w:lang w:val="en-US" w:eastAsia="zh-CN" w:bidi="ar-SA"/>
              </w:rPr>
            </w:pPr>
          </w:p>
        </w:tc>
        <w:tc>
          <w:tcPr>
            <w:tcW w:w="442" w:type="dxa"/>
            <w:tcBorders>
              <w:top w:val="single" w:color="000000" w:sz="4" w:space="0"/>
              <w:left w:val="single" w:color="000000" w:sz="4" w:space="0"/>
              <w:bottom w:val="single" w:color="000000" w:sz="4" w:space="0"/>
              <w:right w:val="single" w:color="000000" w:sz="4" w:space="0"/>
            </w:tcBorders>
          </w:tcPr>
          <w:p w14:paraId="1D58BEED">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6A055C35">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6A8D86F">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0A5F9ABF">
            <w:pPr>
              <w:widowControl w:val="0"/>
              <w:jc w:val="both"/>
              <w:rPr>
                <w:rFonts w:ascii="Times New Roman" w:hAnsi="宋体" w:eastAsia="宋体" w:cs="宋体"/>
                <w:kern w:val="2"/>
                <w:sz w:val="18"/>
                <w:szCs w:val="24"/>
                <w:lang w:val="en-US" w:eastAsia="zh-CN" w:bidi="ar-SA"/>
              </w:rPr>
            </w:pPr>
          </w:p>
        </w:tc>
        <w:tc>
          <w:tcPr>
            <w:tcW w:w="399" w:type="dxa"/>
            <w:tcBorders>
              <w:top w:val="single" w:color="000000" w:sz="4" w:space="0"/>
              <w:left w:val="single" w:color="000000" w:sz="4" w:space="0"/>
              <w:bottom w:val="single" w:color="000000" w:sz="4" w:space="0"/>
              <w:right w:val="single" w:color="000000" w:sz="4" w:space="0"/>
            </w:tcBorders>
          </w:tcPr>
          <w:p w14:paraId="3FC4C297">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04A4243C">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3CA4DFE">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21F637AA">
            <w:pPr>
              <w:widowControl w:val="0"/>
              <w:jc w:val="both"/>
              <w:rPr>
                <w:rFonts w:ascii="Times New Roman" w:hAnsi="宋体" w:eastAsia="宋体" w:cs="宋体"/>
                <w:kern w:val="2"/>
                <w:sz w:val="18"/>
                <w:szCs w:val="24"/>
                <w:lang w:val="en-US" w:eastAsia="zh-CN" w:bidi="ar-SA"/>
              </w:rPr>
            </w:pPr>
          </w:p>
        </w:tc>
        <w:tc>
          <w:tcPr>
            <w:tcW w:w="441" w:type="dxa"/>
            <w:tcBorders>
              <w:top w:val="single" w:color="000000" w:sz="4" w:space="0"/>
              <w:left w:val="single" w:color="000000" w:sz="4" w:space="0"/>
              <w:bottom w:val="single" w:color="000000" w:sz="4" w:space="0"/>
              <w:right w:val="single" w:color="000000" w:sz="4" w:space="0"/>
            </w:tcBorders>
          </w:tcPr>
          <w:p w14:paraId="2157FD56">
            <w:pPr>
              <w:widowControl w:val="0"/>
              <w:jc w:val="both"/>
              <w:rPr>
                <w:rFonts w:ascii="Times New Roman" w:hAnsi="宋体" w:eastAsia="宋体" w:cs="宋体"/>
                <w:kern w:val="2"/>
                <w:sz w:val="18"/>
                <w:szCs w:val="24"/>
                <w:lang w:val="en-US" w:eastAsia="zh-CN" w:bidi="ar-SA"/>
              </w:rPr>
            </w:pPr>
          </w:p>
        </w:tc>
        <w:tc>
          <w:tcPr>
            <w:tcW w:w="503" w:type="dxa"/>
            <w:tcBorders>
              <w:top w:val="single" w:color="000000" w:sz="4" w:space="0"/>
              <w:left w:val="single" w:color="000000" w:sz="4" w:space="0"/>
              <w:bottom w:val="single" w:color="000000" w:sz="4" w:space="0"/>
              <w:right w:val="single" w:color="000000" w:sz="4" w:space="0"/>
            </w:tcBorders>
          </w:tcPr>
          <w:p w14:paraId="3E32A961">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380AE5D5">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5C6FFC8B">
            <w:pPr>
              <w:widowControl w:val="0"/>
              <w:jc w:val="both"/>
              <w:rPr>
                <w:rFonts w:ascii="Times New Roman" w:hAnsi="宋体" w:eastAsia="宋体" w:cs="宋体"/>
                <w:kern w:val="2"/>
                <w:sz w:val="18"/>
                <w:szCs w:val="24"/>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tcPr>
          <w:p w14:paraId="0D9EEA58">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3510FC50">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28C55BC0">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629B0DBD">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tcBorders>
          </w:tcPr>
          <w:p w14:paraId="07F139E4">
            <w:pPr>
              <w:widowControl w:val="0"/>
              <w:jc w:val="both"/>
              <w:rPr>
                <w:rFonts w:ascii="Times New Roman" w:hAnsi="宋体" w:eastAsia="宋体" w:cs="宋体"/>
                <w:kern w:val="2"/>
                <w:sz w:val="18"/>
                <w:szCs w:val="24"/>
                <w:lang w:val="en-US" w:eastAsia="zh-CN" w:bidi="ar-SA"/>
              </w:rPr>
            </w:pPr>
          </w:p>
        </w:tc>
      </w:tr>
      <w:tr w14:paraId="4C545C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54" w:type="dxa"/>
            <w:tcBorders>
              <w:top w:val="single" w:color="000000" w:sz="4" w:space="0"/>
              <w:bottom w:val="single" w:color="000000" w:sz="4" w:space="0"/>
              <w:right w:val="single" w:color="000000" w:sz="4" w:space="0"/>
            </w:tcBorders>
          </w:tcPr>
          <w:p w14:paraId="30A1FF0E">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186725F3">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75F77BFD">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026F9768">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124A8668">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218D4138">
            <w:pPr>
              <w:widowControl w:val="0"/>
              <w:jc w:val="both"/>
              <w:rPr>
                <w:rFonts w:ascii="Times New Roman" w:hAnsi="宋体" w:eastAsia="宋体" w:cs="宋体"/>
                <w:kern w:val="2"/>
                <w:sz w:val="18"/>
                <w:szCs w:val="24"/>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tcPr>
          <w:p w14:paraId="18939E68">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3691BFC6">
            <w:pPr>
              <w:widowControl w:val="0"/>
              <w:jc w:val="both"/>
              <w:rPr>
                <w:rFonts w:ascii="Times New Roman" w:hAnsi="宋体" w:eastAsia="宋体" w:cs="宋体"/>
                <w:kern w:val="2"/>
                <w:sz w:val="18"/>
                <w:szCs w:val="24"/>
                <w:lang w:val="en-US" w:eastAsia="zh-CN" w:bidi="ar-SA"/>
              </w:rPr>
            </w:pPr>
          </w:p>
        </w:tc>
        <w:tc>
          <w:tcPr>
            <w:tcW w:w="524" w:type="dxa"/>
            <w:tcBorders>
              <w:top w:val="single" w:color="000000" w:sz="4" w:space="0"/>
              <w:left w:val="single" w:color="000000" w:sz="4" w:space="0"/>
              <w:bottom w:val="single" w:color="000000" w:sz="4" w:space="0"/>
              <w:right w:val="single" w:color="000000" w:sz="4" w:space="0"/>
            </w:tcBorders>
          </w:tcPr>
          <w:p w14:paraId="261F8E2B">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6D4C6EAA">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0463AF56">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5CBE0F8">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0B6E2435">
            <w:pPr>
              <w:widowControl w:val="0"/>
              <w:jc w:val="both"/>
              <w:rPr>
                <w:rFonts w:ascii="Times New Roman" w:hAnsi="宋体" w:eastAsia="宋体" w:cs="宋体"/>
                <w:kern w:val="2"/>
                <w:sz w:val="18"/>
                <w:szCs w:val="24"/>
                <w:lang w:val="en-US" w:eastAsia="zh-CN" w:bidi="ar-SA"/>
              </w:rPr>
            </w:pPr>
          </w:p>
        </w:tc>
        <w:tc>
          <w:tcPr>
            <w:tcW w:w="442" w:type="dxa"/>
            <w:tcBorders>
              <w:top w:val="single" w:color="000000" w:sz="4" w:space="0"/>
              <w:left w:val="single" w:color="000000" w:sz="4" w:space="0"/>
              <w:bottom w:val="single" w:color="000000" w:sz="4" w:space="0"/>
              <w:right w:val="single" w:color="000000" w:sz="4" w:space="0"/>
            </w:tcBorders>
          </w:tcPr>
          <w:p w14:paraId="777CDB26">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75A4D1B6">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1910363C">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35FE8C49">
            <w:pPr>
              <w:widowControl w:val="0"/>
              <w:jc w:val="both"/>
              <w:rPr>
                <w:rFonts w:ascii="Times New Roman" w:hAnsi="宋体" w:eastAsia="宋体" w:cs="宋体"/>
                <w:kern w:val="2"/>
                <w:sz w:val="18"/>
                <w:szCs w:val="24"/>
                <w:lang w:val="en-US" w:eastAsia="zh-CN" w:bidi="ar-SA"/>
              </w:rPr>
            </w:pPr>
          </w:p>
        </w:tc>
        <w:tc>
          <w:tcPr>
            <w:tcW w:w="399" w:type="dxa"/>
            <w:tcBorders>
              <w:top w:val="single" w:color="000000" w:sz="4" w:space="0"/>
              <w:left w:val="single" w:color="000000" w:sz="4" w:space="0"/>
              <w:bottom w:val="single" w:color="000000" w:sz="4" w:space="0"/>
              <w:right w:val="single" w:color="000000" w:sz="4" w:space="0"/>
            </w:tcBorders>
          </w:tcPr>
          <w:p w14:paraId="140D35F3">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769DFCB6">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D37290C">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0A87A24C">
            <w:pPr>
              <w:widowControl w:val="0"/>
              <w:jc w:val="both"/>
              <w:rPr>
                <w:rFonts w:ascii="Times New Roman" w:hAnsi="宋体" w:eastAsia="宋体" w:cs="宋体"/>
                <w:kern w:val="2"/>
                <w:sz w:val="18"/>
                <w:szCs w:val="24"/>
                <w:lang w:val="en-US" w:eastAsia="zh-CN" w:bidi="ar-SA"/>
              </w:rPr>
            </w:pPr>
          </w:p>
        </w:tc>
        <w:tc>
          <w:tcPr>
            <w:tcW w:w="441" w:type="dxa"/>
            <w:tcBorders>
              <w:top w:val="single" w:color="000000" w:sz="4" w:space="0"/>
              <w:left w:val="single" w:color="000000" w:sz="4" w:space="0"/>
              <w:bottom w:val="single" w:color="000000" w:sz="4" w:space="0"/>
              <w:right w:val="single" w:color="000000" w:sz="4" w:space="0"/>
            </w:tcBorders>
          </w:tcPr>
          <w:p w14:paraId="4B16AAA5">
            <w:pPr>
              <w:widowControl w:val="0"/>
              <w:jc w:val="both"/>
              <w:rPr>
                <w:rFonts w:ascii="Times New Roman" w:hAnsi="宋体" w:eastAsia="宋体" w:cs="宋体"/>
                <w:kern w:val="2"/>
                <w:sz w:val="18"/>
                <w:szCs w:val="24"/>
                <w:lang w:val="en-US" w:eastAsia="zh-CN" w:bidi="ar-SA"/>
              </w:rPr>
            </w:pPr>
          </w:p>
        </w:tc>
        <w:tc>
          <w:tcPr>
            <w:tcW w:w="503" w:type="dxa"/>
            <w:tcBorders>
              <w:top w:val="single" w:color="000000" w:sz="4" w:space="0"/>
              <w:left w:val="single" w:color="000000" w:sz="4" w:space="0"/>
              <w:bottom w:val="single" w:color="000000" w:sz="4" w:space="0"/>
              <w:right w:val="single" w:color="000000" w:sz="4" w:space="0"/>
            </w:tcBorders>
          </w:tcPr>
          <w:p w14:paraId="702D0BB5">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7C0D3B06">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767D89B1">
            <w:pPr>
              <w:widowControl w:val="0"/>
              <w:jc w:val="both"/>
              <w:rPr>
                <w:rFonts w:ascii="Times New Roman" w:hAnsi="宋体" w:eastAsia="宋体" w:cs="宋体"/>
                <w:kern w:val="2"/>
                <w:sz w:val="18"/>
                <w:szCs w:val="24"/>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tcPr>
          <w:p w14:paraId="47134F08">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72C86C4D">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4CBB68F4">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04BAECBC">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tcBorders>
          </w:tcPr>
          <w:p w14:paraId="11D75939">
            <w:pPr>
              <w:widowControl w:val="0"/>
              <w:jc w:val="both"/>
              <w:rPr>
                <w:rFonts w:ascii="Times New Roman" w:hAnsi="宋体" w:eastAsia="宋体" w:cs="宋体"/>
                <w:kern w:val="2"/>
                <w:sz w:val="18"/>
                <w:szCs w:val="24"/>
                <w:lang w:val="en-US" w:eastAsia="zh-CN" w:bidi="ar-SA"/>
              </w:rPr>
            </w:pPr>
          </w:p>
        </w:tc>
      </w:tr>
      <w:tr w14:paraId="37FBE1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354" w:type="dxa"/>
            <w:tcBorders>
              <w:top w:val="single" w:color="000000" w:sz="4" w:space="0"/>
              <w:bottom w:val="single" w:color="000000" w:sz="4" w:space="0"/>
              <w:right w:val="single" w:color="000000" w:sz="4" w:space="0"/>
            </w:tcBorders>
          </w:tcPr>
          <w:p w14:paraId="3194EAFA">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58F89085">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541A493C">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056095B">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08384B00">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528963F6">
            <w:pPr>
              <w:widowControl w:val="0"/>
              <w:jc w:val="both"/>
              <w:rPr>
                <w:rFonts w:ascii="Times New Roman" w:hAnsi="宋体" w:eastAsia="宋体" w:cs="宋体"/>
                <w:kern w:val="2"/>
                <w:sz w:val="18"/>
                <w:szCs w:val="24"/>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tcPr>
          <w:p w14:paraId="4E811FBF">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0D4FAD93">
            <w:pPr>
              <w:widowControl w:val="0"/>
              <w:jc w:val="both"/>
              <w:rPr>
                <w:rFonts w:ascii="Times New Roman" w:hAnsi="宋体" w:eastAsia="宋体" w:cs="宋体"/>
                <w:kern w:val="2"/>
                <w:sz w:val="18"/>
                <w:szCs w:val="24"/>
                <w:lang w:val="en-US" w:eastAsia="zh-CN" w:bidi="ar-SA"/>
              </w:rPr>
            </w:pPr>
          </w:p>
        </w:tc>
        <w:tc>
          <w:tcPr>
            <w:tcW w:w="524" w:type="dxa"/>
            <w:tcBorders>
              <w:top w:val="single" w:color="000000" w:sz="4" w:space="0"/>
              <w:left w:val="single" w:color="000000" w:sz="4" w:space="0"/>
              <w:bottom w:val="single" w:color="000000" w:sz="4" w:space="0"/>
              <w:right w:val="single" w:color="000000" w:sz="4" w:space="0"/>
            </w:tcBorders>
          </w:tcPr>
          <w:p w14:paraId="1BB47E55">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04DC3158">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51A4EA3A">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08E868F7">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15625360">
            <w:pPr>
              <w:widowControl w:val="0"/>
              <w:jc w:val="both"/>
              <w:rPr>
                <w:rFonts w:ascii="Times New Roman" w:hAnsi="宋体" w:eastAsia="宋体" w:cs="宋体"/>
                <w:kern w:val="2"/>
                <w:sz w:val="18"/>
                <w:szCs w:val="24"/>
                <w:lang w:val="en-US" w:eastAsia="zh-CN" w:bidi="ar-SA"/>
              </w:rPr>
            </w:pPr>
          </w:p>
        </w:tc>
        <w:tc>
          <w:tcPr>
            <w:tcW w:w="442" w:type="dxa"/>
            <w:tcBorders>
              <w:top w:val="single" w:color="000000" w:sz="4" w:space="0"/>
              <w:left w:val="single" w:color="000000" w:sz="4" w:space="0"/>
              <w:bottom w:val="single" w:color="000000" w:sz="4" w:space="0"/>
              <w:right w:val="single" w:color="000000" w:sz="4" w:space="0"/>
            </w:tcBorders>
          </w:tcPr>
          <w:p w14:paraId="70026C0C">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79ACD543">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4FA6A6E7">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7CA5FDEF">
            <w:pPr>
              <w:widowControl w:val="0"/>
              <w:jc w:val="both"/>
              <w:rPr>
                <w:rFonts w:ascii="Times New Roman" w:hAnsi="宋体" w:eastAsia="宋体" w:cs="宋体"/>
                <w:kern w:val="2"/>
                <w:sz w:val="18"/>
                <w:szCs w:val="24"/>
                <w:lang w:val="en-US" w:eastAsia="zh-CN" w:bidi="ar-SA"/>
              </w:rPr>
            </w:pPr>
          </w:p>
        </w:tc>
        <w:tc>
          <w:tcPr>
            <w:tcW w:w="399" w:type="dxa"/>
            <w:tcBorders>
              <w:top w:val="single" w:color="000000" w:sz="4" w:space="0"/>
              <w:left w:val="single" w:color="000000" w:sz="4" w:space="0"/>
              <w:bottom w:val="single" w:color="000000" w:sz="4" w:space="0"/>
              <w:right w:val="single" w:color="000000" w:sz="4" w:space="0"/>
            </w:tcBorders>
          </w:tcPr>
          <w:p w14:paraId="46D5FD51">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18E89380">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588D35C9">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5D20C9CD">
            <w:pPr>
              <w:widowControl w:val="0"/>
              <w:jc w:val="both"/>
              <w:rPr>
                <w:rFonts w:ascii="Times New Roman" w:hAnsi="宋体" w:eastAsia="宋体" w:cs="宋体"/>
                <w:kern w:val="2"/>
                <w:sz w:val="18"/>
                <w:szCs w:val="24"/>
                <w:lang w:val="en-US" w:eastAsia="zh-CN" w:bidi="ar-SA"/>
              </w:rPr>
            </w:pPr>
          </w:p>
        </w:tc>
        <w:tc>
          <w:tcPr>
            <w:tcW w:w="441" w:type="dxa"/>
            <w:tcBorders>
              <w:top w:val="single" w:color="000000" w:sz="4" w:space="0"/>
              <w:left w:val="single" w:color="000000" w:sz="4" w:space="0"/>
              <w:bottom w:val="single" w:color="000000" w:sz="4" w:space="0"/>
              <w:right w:val="single" w:color="000000" w:sz="4" w:space="0"/>
            </w:tcBorders>
          </w:tcPr>
          <w:p w14:paraId="22D1B003">
            <w:pPr>
              <w:widowControl w:val="0"/>
              <w:jc w:val="both"/>
              <w:rPr>
                <w:rFonts w:ascii="Times New Roman" w:hAnsi="宋体" w:eastAsia="宋体" w:cs="宋体"/>
                <w:kern w:val="2"/>
                <w:sz w:val="18"/>
                <w:szCs w:val="24"/>
                <w:lang w:val="en-US" w:eastAsia="zh-CN" w:bidi="ar-SA"/>
              </w:rPr>
            </w:pPr>
          </w:p>
        </w:tc>
        <w:tc>
          <w:tcPr>
            <w:tcW w:w="503" w:type="dxa"/>
            <w:tcBorders>
              <w:top w:val="single" w:color="000000" w:sz="4" w:space="0"/>
              <w:left w:val="single" w:color="000000" w:sz="4" w:space="0"/>
              <w:bottom w:val="single" w:color="000000" w:sz="4" w:space="0"/>
              <w:right w:val="single" w:color="000000" w:sz="4" w:space="0"/>
            </w:tcBorders>
          </w:tcPr>
          <w:p w14:paraId="0697B9FB">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10F559D6">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1BC8CFEF">
            <w:pPr>
              <w:widowControl w:val="0"/>
              <w:jc w:val="both"/>
              <w:rPr>
                <w:rFonts w:ascii="Times New Roman" w:hAnsi="宋体" w:eastAsia="宋体" w:cs="宋体"/>
                <w:kern w:val="2"/>
                <w:sz w:val="18"/>
                <w:szCs w:val="24"/>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tcPr>
          <w:p w14:paraId="622B2B1D">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3DD59AEB">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8CA9F87">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162D49EB">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tcBorders>
          </w:tcPr>
          <w:p w14:paraId="0D0BF55D">
            <w:pPr>
              <w:widowControl w:val="0"/>
              <w:jc w:val="both"/>
              <w:rPr>
                <w:rFonts w:ascii="Times New Roman" w:hAnsi="宋体" w:eastAsia="宋体" w:cs="宋体"/>
                <w:kern w:val="2"/>
                <w:sz w:val="18"/>
                <w:szCs w:val="24"/>
                <w:lang w:val="en-US" w:eastAsia="zh-CN" w:bidi="ar-SA"/>
              </w:rPr>
            </w:pPr>
          </w:p>
        </w:tc>
      </w:tr>
      <w:tr w14:paraId="3D88A4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354" w:type="dxa"/>
            <w:tcBorders>
              <w:top w:val="single" w:color="000000" w:sz="4" w:space="0"/>
              <w:bottom w:val="single" w:color="000000" w:sz="4" w:space="0"/>
              <w:right w:val="single" w:color="000000" w:sz="4" w:space="0"/>
            </w:tcBorders>
          </w:tcPr>
          <w:p w14:paraId="20A9CF76">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1D39C75A">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1985AC8F">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4CDEC590">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5A47DCE1">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7B6388CE">
            <w:pPr>
              <w:widowControl w:val="0"/>
              <w:jc w:val="both"/>
              <w:rPr>
                <w:rFonts w:ascii="Times New Roman" w:hAnsi="宋体" w:eastAsia="宋体" w:cs="宋体"/>
                <w:kern w:val="2"/>
                <w:sz w:val="18"/>
                <w:szCs w:val="24"/>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tcPr>
          <w:p w14:paraId="14C56910">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2882F5F2">
            <w:pPr>
              <w:widowControl w:val="0"/>
              <w:jc w:val="both"/>
              <w:rPr>
                <w:rFonts w:ascii="Times New Roman" w:hAnsi="宋体" w:eastAsia="宋体" w:cs="宋体"/>
                <w:kern w:val="2"/>
                <w:sz w:val="18"/>
                <w:szCs w:val="24"/>
                <w:lang w:val="en-US" w:eastAsia="zh-CN" w:bidi="ar-SA"/>
              </w:rPr>
            </w:pPr>
          </w:p>
        </w:tc>
        <w:tc>
          <w:tcPr>
            <w:tcW w:w="524" w:type="dxa"/>
            <w:tcBorders>
              <w:top w:val="single" w:color="000000" w:sz="4" w:space="0"/>
              <w:left w:val="single" w:color="000000" w:sz="4" w:space="0"/>
              <w:bottom w:val="single" w:color="000000" w:sz="4" w:space="0"/>
              <w:right w:val="single" w:color="000000" w:sz="4" w:space="0"/>
            </w:tcBorders>
          </w:tcPr>
          <w:p w14:paraId="6090557E">
            <w:pPr>
              <w:widowControl w:val="0"/>
              <w:jc w:val="both"/>
              <w:rPr>
                <w:rFonts w:ascii="Times New Roman" w:hAnsi="宋体" w:eastAsia="宋体" w:cs="宋体"/>
                <w:kern w:val="2"/>
                <w:sz w:val="18"/>
                <w:szCs w:val="24"/>
                <w:lang w:val="en-US" w:eastAsia="zh-CN" w:bidi="ar-SA"/>
              </w:rPr>
            </w:pPr>
          </w:p>
        </w:tc>
        <w:tc>
          <w:tcPr>
            <w:tcW w:w="398" w:type="dxa"/>
            <w:tcBorders>
              <w:top w:val="single" w:color="000000" w:sz="4" w:space="0"/>
              <w:left w:val="single" w:color="000000" w:sz="4" w:space="0"/>
              <w:bottom w:val="single" w:color="000000" w:sz="4" w:space="0"/>
              <w:right w:val="single" w:color="000000" w:sz="4" w:space="0"/>
            </w:tcBorders>
          </w:tcPr>
          <w:p w14:paraId="082F0FFE">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13F5D6C0">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0497E449">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74B58BD5">
            <w:pPr>
              <w:widowControl w:val="0"/>
              <w:jc w:val="both"/>
              <w:rPr>
                <w:rFonts w:ascii="Times New Roman" w:hAnsi="宋体" w:eastAsia="宋体" w:cs="宋体"/>
                <w:kern w:val="2"/>
                <w:sz w:val="18"/>
                <w:szCs w:val="24"/>
                <w:lang w:val="en-US" w:eastAsia="zh-CN" w:bidi="ar-SA"/>
              </w:rPr>
            </w:pPr>
          </w:p>
        </w:tc>
        <w:tc>
          <w:tcPr>
            <w:tcW w:w="442" w:type="dxa"/>
            <w:tcBorders>
              <w:top w:val="single" w:color="000000" w:sz="4" w:space="0"/>
              <w:left w:val="single" w:color="000000" w:sz="4" w:space="0"/>
              <w:bottom w:val="single" w:color="000000" w:sz="4" w:space="0"/>
              <w:right w:val="single" w:color="000000" w:sz="4" w:space="0"/>
            </w:tcBorders>
          </w:tcPr>
          <w:p w14:paraId="3A552BD3">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39D84F93">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49361B59">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51E67DCC">
            <w:pPr>
              <w:widowControl w:val="0"/>
              <w:jc w:val="both"/>
              <w:rPr>
                <w:rFonts w:ascii="Times New Roman" w:hAnsi="宋体" w:eastAsia="宋体" w:cs="宋体"/>
                <w:kern w:val="2"/>
                <w:sz w:val="18"/>
                <w:szCs w:val="24"/>
                <w:lang w:val="en-US" w:eastAsia="zh-CN" w:bidi="ar-SA"/>
              </w:rPr>
            </w:pPr>
          </w:p>
        </w:tc>
        <w:tc>
          <w:tcPr>
            <w:tcW w:w="399" w:type="dxa"/>
            <w:tcBorders>
              <w:top w:val="single" w:color="000000" w:sz="4" w:space="0"/>
              <w:left w:val="single" w:color="000000" w:sz="4" w:space="0"/>
              <w:bottom w:val="single" w:color="000000" w:sz="4" w:space="0"/>
              <w:right w:val="single" w:color="000000" w:sz="4" w:space="0"/>
            </w:tcBorders>
          </w:tcPr>
          <w:p w14:paraId="6D132F6B">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10D98D22">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1121BBAA">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7852DB96">
            <w:pPr>
              <w:widowControl w:val="0"/>
              <w:jc w:val="both"/>
              <w:rPr>
                <w:rFonts w:ascii="Times New Roman" w:hAnsi="宋体" w:eastAsia="宋体" w:cs="宋体"/>
                <w:kern w:val="2"/>
                <w:sz w:val="18"/>
                <w:szCs w:val="24"/>
                <w:lang w:val="en-US" w:eastAsia="zh-CN" w:bidi="ar-SA"/>
              </w:rPr>
            </w:pPr>
          </w:p>
        </w:tc>
        <w:tc>
          <w:tcPr>
            <w:tcW w:w="441" w:type="dxa"/>
            <w:tcBorders>
              <w:top w:val="single" w:color="000000" w:sz="4" w:space="0"/>
              <w:left w:val="single" w:color="000000" w:sz="4" w:space="0"/>
              <w:bottom w:val="single" w:color="000000" w:sz="4" w:space="0"/>
              <w:right w:val="single" w:color="000000" w:sz="4" w:space="0"/>
            </w:tcBorders>
          </w:tcPr>
          <w:p w14:paraId="53E1767D">
            <w:pPr>
              <w:widowControl w:val="0"/>
              <w:jc w:val="both"/>
              <w:rPr>
                <w:rFonts w:ascii="Times New Roman" w:hAnsi="宋体" w:eastAsia="宋体" w:cs="宋体"/>
                <w:kern w:val="2"/>
                <w:sz w:val="18"/>
                <w:szCs w:val="24"/>
                <w:lang w:val="en-US" w:eastAsia="zh-CN" w:bidi="ar-SA"/>
              </w:rPr>
            </w:pPr>
          </w:p>
        </w:tc>
        <w:tc>
          <w:tcPr>
            <w:tcW w:w="503" w:type="dxa"/>
            <w:tcBorders>
              <w:top w:val="single" w:color="000000" w:sz="4" w:space="0"/>
              <w:left w:val="single" w:color="000000" w:sz="4" w:space="0"/>
              <w:bottom w:val="single" w:color="000000" w:sz="4" w:space="0"/>
              <w:right w:val="single" w:color="000000" w:sz="4" w:space="0"/>
            </w:tcBorders>
          </w:tcPr>
          <w:p w14:paraId="56EE3A97">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75D9E203">
            <w:pPr>
              <w:widowControl w:val="0"/>
              <w:jc w:val="both"/>
              <w:rPr>
                <w:rFonts w:ascii="Times New Roman" w:hAnsi="宋体" w:eastAsia="宋体" w:cs="宋体"/>
                <w:kern w:val="2"/>
                <w:sz w:val="18"/>
                <w:szCs w:val="24"/>
                <w:lang w:val="en-US" w:eastAsia="zh-CN" w:bidi="ar-SA"/>
              </w:rPr>
            </w:pPr>
          </w:p>
        </w:tc>
        <w:tc>
          <w:tcPr>
            <w:tcW w:w="523" w:type="dxa"/>
            <w:gridSpan w:val="2"/>
            <w:tcBorders>
              <w:top w:val="single" w:color="000000" w:sz="4" w:space="0"/>
              <w:left w:val="single" w:color="000000" w:sz="4" w:space="0"/>
              <w:bottom w:val="single" w:color="000000" w:sz="4" w:space="0"/>
              <w:right w:val="single" w:color="000000" w:sz="4" w:space="0"/>
            </w:tcBorders>
          </w:tcPr>
          <w:p w14:paraId="16DFCC8D">
            <w:pPr>
              <w:widowControl w:val="0"/>
              <w:jc w:val="both"/>
              <w:rPr>
                <w:rFonts w:ascii="Times New Roman" w:hAnsi="宋体" w:eastAsia="宋体" w:cs="宋体"/>
                <w:kern w:val="2"/>
                <w:sz w:val="18"/>
                <w:szCs w:val="24"/>
                <w:lang w:val="en-US" w:eastAsia="zh-CN" w:bidi="ar-SA"/>
              </w:rPr>
            </w:pPr>
          </w:p>
        </w:tc>
        <w:tc>
          <w:tcPr>
            <w:tcW w:w="464" w:type="dxa"/>
            <w:tcBorders>
              <w:top w:val="single" w:color="000000" w:sz="4" w:space="0"/>
              <w:left w:val="single" w:color="000000" w:sz="4" w:space="0"/>
              <w:bottom w:val="single" w:color="000000" w:sz="4" w:space="0"/>
              <w:right w:val="single" w:color="000000" w:sz="4" w:space="0"/>
            </w:tcBorders>
          </w:tcPr>
          <w:p w14:paraId="347804E5">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right w:val="single" w:color="000000" w:sz="4" w:space="0"/>
            </w:tcBorders>
          </w:tcPr>
          <w:p w14:paraId="6CC77205">
            <w:pPr>
              <w:widowControl w:val="0"/>
              <w:jc w:val="both"/>
              <w:rPr>
                <w:rFonts w:ascii="Times New Roman" w:hAnsi="宋体" w:eastAsia="宋体" w:cs="宋体"/>
                <w:kern w:val="2"/>
                <w:sz w:val="18"/>
                <w:szCs w:val="24"/>
                <w:lang w:val="en-US" w:eastAsia="zh-CN" w:bidi="ar-SA"/>
              </w:rPr>
            </w:pPr>
          </w:p>
        </w:tc>
        <w:tc>
          <w:tcPr>
            <w:tcW w:w="353" w:type="dxa"/>
            <w:tcBorders>
              <w:top w:val="single" w:color="000000" w:sz="4" w:space="0"/>
              <w:left w:val="single" w:color="000000" w:sz="4" w:space="0"/>
              <w:bottom w:val="single" w:color="000000" w:sz="4" w:space="0"/>
              <w:right w:val="single" w:color="000000" w:sz="4" w:space="0"/>
            </w:tcBorders>
          </w:tcPr>
          <w:p w14:paraId="68941B46">
            <w:pPr>
              <w:widowControl w:val="0"/>
              <w:jc w:val="both"/>
              <w:rPr>
                <w:rFonts w:ascii="Times New Roman" w:hAnsi="宋体" w:eastAsia="宋体" w:cs="宋体"/>
                <w:kern w:val="2"/>
                <w:sz w:val="18"/>
                <w:szCs w:val="24"/>
                <w:lang w:val="en-US" w:eastAsia="zh-CN" w:bidi="ar-SA"/>
              </w:rPr>
            </w:pPr>
          </w:p>
        </w:tc>
        <w:tc>
          <w:tcPr>
            <w:tcW w:w="523" w:type="dxa"/>
            <w:tcBorders>
              <w:top w:val="single" w:color="000000" w:sz="4" w:space="0"/>
              <w:left w:val="single" w:color="000000" w:sz="4" w:space="0"/>
              <w:bottom w:val="single" w:color="000000" w:sz="4" w:space="0"/>
              <w:right w:val="single" w:color="000000" w:sz="4" w:space="0"/>
            </w:tcBorders>
          </w:tcPr>
          <w:p w14:paraId="1D261944">
            <w:pPr>
              <w:widowControl w:val="0"/>
              <w:jc w:val="both"/>
              <w:rPr>
                <w:rFonts w:ascii="Times New Roman" w:hAnsi="宋体" w:eastAsia="宋体" w:cs="宋体"/>
                <w:kern w:val="2"/>
                <w:sz w:val="18"/>
                <w:szCs w:val="24"/>
                <w:lang w:val="en-US" w:eastAsia="zh-CN" w:bidi="ar-SA"/>
              </w:rPr>
            </w:pPr>
          </w:p>
        </w:tc>
        <w:tc>
          <w:tcPr>
            <w:tcW w:w="501" w:type="dxa"/>
            <w:tcBorders>
              <w:top w:val="single" w:color="000000" w:sz="4" w:space="0"/>
              <w:left w:val="single" w:color="000000" w:sz="4" w:space="0"/>
              <w:bottom w:val="single" w:color="000000" w:sz="4" w:space="0"/>
            </w:tcBorders>
          </w:tcPr>
          <w:p w14:paraId="045D7304">
            <w:pPr>
              <w:widowControl w:val="0"/>
              <w:jc w:val="both"/>
              <w:rPr>
                <w:rFonts w:ascii="Times New Roman" w:hAnsi="宋体" w:eastAsia="宋体" w:cs="宋体"/>
                <w:kern w:val="2"/>
                <w:sz w:val="18"/>
                <w:szCs w:val="24"/>
                <w:lang w:val="en-US" w:eastAsia="zh-CN" w:bidi="ar-SA"/>
              </w:rPr>
            </w:pPr>
          </w:p>
        </w:tc>
      </w:tr>
      <w:tr w14:paraId="1002F3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13335" w:type="dxa"/>
            <w:gridSpan w:val="32"/>
            <w:tcBorders>
              <w:top w:val="single" w:color="000000" w:sz="4" w:space="0"/>
            </w:tcBorders>
          </w:tcPr>
          <w:p w14:paraId="3669A186">
            <w:pPr>
              <w:widowControl w:val="0"/>
              <w:spacing w:before="40"/>
              <w:ind w:left="286"/>
              <w:jc w:val="both"/>
              <w:rPr>
                <w:rFonts w:hint="eastAsia" w:ascii="黑体" w:hAnsi="宋体" w:eastAsia="黑体" w:cs="宋体"/>
                <w:b/>
                <w:kern w:val="2"/>
                <w:sz w:val="18"/>
                <w:szCs w:val="24"/>
                <w:lang w:val="en-US" w:eastAsia="zh-CN" w:bidi="ar-SA"/>
              </w:rPr>
            </w:pPr>
            <w:r>
              <w:rPr>
                <w:rFonts w:hint="eastAsia" w:ascii="黑体" w:hAnsi="宋体" w:eastAsia="黑体" w:cs="宋体"/>
                <w:b/>
                <w:kern w:val="2"/>
                <w:sz w:val="18"/>
                <w:szCs w:val="24"/>
                <w:lang w:val="en-US" w:eastAsia="zh-CN" w:bidi="ar-SA"/>
              </w:rPr>
              <w:t>注：</w:t>
            </w:r>
          </w:p>
        </w:tc>
      </w:tr>
    </w:tbl>
    <w:p w14:paraId="78CE9B05">
      <w:pPr>
        <w:widowControl w:val="0"/>
        <w:tabs>
          <w:tab w:val="left" w:pos="464"/>
        </w:tabs>
        <w:spacing w:before="12"/>
        <w:jc w:val="both"/>
        <w:rPr>
          <w:rFonts w:ascii="黑体" w:hAnsi="宋体" w:eastAsia="宋体" w:cs="宋体"/>
          <w:kern w:val="2"/>
          <w:sz w:val="18"/>
          <w:szCs w:val="21"/>
          <w:lang w:val="en-US" w:eastAsia="zh-CN" w:bidi="ar-SA"/>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675648" behindDoc="0" locked="0" layoutInCell="1" allowOverlap="1">
                <wp:simplePos x="0" y="0"/>
                <wp:positionH relativeFrom="page">
                  <wp:posOffset>4252595</wp:posOffset>
                </wp:positionH>
                <wp:positionV relativeFrom="paragraph">
                  <wp:posOffset>185420</wp:posOffset>
                </wp:positionV>
                <wp:extent cx="2243455" cy="0"/>
                <wp:effectExtent l="0" t="6350" r="0" b="6985"/>
                <wp:wrapTopAndBottom/>
                <wp:docPr id="18" name="直接连接符 18"/>
                <wp:cNvGraphicFramePr/>
                <a:graphic xmlns:a="http://schemas.openxmlformats.org/drawingml/2006/main">
                  <a:graphicData uri="http://schemas.microsoft.com/office/word/2010/wordprocessingShape">
                    <wps:wsp>
                      <wps:cNvCnPr/>
                      <wps:spPr>
                        <a:xfrm>
                          <a:off x="0" y="0"/>
                          <a:ext cx="2243455" cy="0"/>
                        </a:xfrm>
                        <a:prstGeom prst="line">
                          <a:avLst/>
                        </a:prstGeom>
                        <a:ln w="1333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4.85pt;margin-top:14.6pt;height:0pt;width:176.65pt;mso-position-horizontal-relative:page;mso-wrap-distance-bottom:0pt;mso-wrap-distance-top:0pt;z-index:251675648;mso-width-relative:page;mso-height-relative:page;" filled="f" stroked="t" coordsize="21600,21600" o:gfxdata="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IXwq9UAAAAKAQAADwAAAAAAAAABACAAAAAiAAAAZHJzL2Rvd25yZXYueG1sUEsBAhQA&#10;FAAAAAgAh07iQJSr7cD1AQAA5wMAAA4AAAAAAAAAAQAgAAAAJAEAAGRycy9lMm9Eb2MueG1sUEsF&#10;BgAAAAAGAAYAWQEAAIsFAAAAAA==&#10;">
                <v:fill on="f" focussize="0,0"/>
                <v:stroke weight="1.05pt" color="#000000" joinstyle="round"/>
                <v:imagedata o:title=""/>
                <o:lock v:ext="edit" aspectratio="f"/>
                <w10:wrap type="topAndBottom"/>
              </v:line>
            </w:pict>
          </mc:Fallback>
        </mc:AlternateContent>
      </w:r>
      <w:r>
        <w:rPr>
          <w:rFonts w:hint="eastAsia" w:ascii="黑体" w:hAnsi="宋体" w:eastAsia="宋体" w:cs="宋体"/>
          <w:kern w:val="2"/>
          <w:sz w:val="18"/>
          <w:szCs w:val="21"/>
          <w:lang w:val="en-US" w:eastAsia="zh-CN" w:bidi="ar-SA"/>
        </w:rPr>
        <w:tab/>
      </w:r>
    </w:p>
    <w:p w14:paraId="65F9D4C1">
      <w:pPr>
        <w:spacing w:line="360" w:lineRule="auto"/>
        <w:jc w:val="both"/>
        <w:rPr>
          <w:rFonts w:hint="eastAsia" w:ascii="Times New Roman" w:hAnsi="Times New Roman"/>
          <w:sz w:val="24"/>
          <w:highlight w:val="yellow"/>
        </w:rPr>
        <w:sectPr>
          <w:headerReference r:id="rId62" w:type="default"/>
          <w:footerReference r:id="rId63" w:type="default"/>
          <w:footerReference r:id="rId64" w:type="even"/>
          <w:pgSz w:w="15840" w:h="12240" w:orient="landscape"/>
          <w:pgMar w:top="1140" w:right="1020" w:bottom="280" w:left="1020" w:header="1429" w:footer="1134" w:gutter="0"/>
          <w:pgNumType w:fmt="decimal"/>
          <w:cols w:space="720" w:num="1"/>
        </w:sectPr>
      </w:pPr>
    </w:p>
    <w:p w14:paraId="1496FC28">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7</w:t>
      </w:r>
    </w:p>
    <w:p w14:paraId="42203621">
      <w:pPr>
        <w:widowControl/>
        <w:spacing w:line="360" w:lineRule="auto"/>
        <w:ind w:firstLine="0" w:firstLineChars="0"/>
        <w:jc w:val="center"/>
        <w:rPr>
          <w:rFonts w:ascii="Times New Roman" w:hAnsi="Times New Roman" w:eastAsia="黑体" w:cs="Times New Roman"/>
          <w:color w:val="000000"/>
          <w:kern w:val="0"/>
          <w:sz w:val="43"/>
          <w:szCs w:val="43"/>
          <w:lang w:bidi="ar"/>
        </w:rPr>
      </w:pPr>
    </w:p>
    <w:p w14:paraId="3C842523">
      <w:pPr>
        <w:widowControl/>
        <w:spacing w:line="360" w:lineRule="auto"/>
        <w:ind w:firstLine="0" w:firstLineChars="0"/>
        <w:jc w:val="center"/>
        <w:rPr>
          <w:rFonts w:ascii="Times New Roman" w:hAnsi="Times New Roman" w:eastAsia="黑体" w:cs="Times New Roman"/>
          <w:color w:val="000000"/>
          <w:kern w:val="0"/>
          <w:sz w:val="43"/>
          <w:szCs w:val="43"/>
          <w:lang w:bidi="ar"/>
        </w:rPr>
      </w:pPr>
    </w:p>
    <w:p w14:paraId="724536F9">
      <w:pPr>
        <w:widowControl/>
        <w:spacing w:line="360" w:lineRule="auto"/>
        <w:ind w:firstLine="0" w:firstLineChars="0"/>
        <w:jc w:val="center"/>
        <w:rPr>
          <w:rFonts w:ascii="Times New Roman" w:hAnsi="Times New Roman" w:eastAsia="黑体" w:cs="Times New Roman"/>
          <w:color w:val="000000"/>
          <w:kern w:val="0"/>
          <w:sz w:val="43"/>
          <w:szCs w:val="43"/>
          <w:lang w:bidi="ar"/>
        </w:rPr>
      </w:pPr>
    </w:p>
    <w:p w14:paraId="7F45D1DF">
      <w:pPr>
        <w:widowControl/>
        <w:spacing w:line="360" w:lineRule="auto"/>
        <w:ind w:firstLine="0" w:firstLineChars="0"/>
        <w:jc w:val="center"/>
        <w:rPr>
          <w:rFonts w:ascii="Times New Roman" w:hAnsi="Times New Roman" w:eastAsia="黑体" w:cs="Times New Roman"/>
          <w:color w:val="000000"/>
          <w:kern w:val="0"/>
          <w:sz w:val="43"/>
          <w:szCs w:val="43"/>
          <w:lang w:bidi="ar"/>
        </w:rPr>
      </w:pPr>
    </w:p>
    <w:p w14:paraId="7CF68DD0">
      <w:pPr>
        <w:widowControl/>
        <w:spacing w:line="360" w:lineRule="auto"/>
        <w:ind w:firstLine="0" w:firstLineChars="0"/>
        <w:jc w:val="center"/>
        <w:rPr>
          <w:rFonts w:ascii="Times New Roman" w:hAnsi="Times New Roman" w:eastAsia="黑体" w:cs="Times New Roman"/>
          <w:color w:val="000000"/>
          <w:kern w:val="0"/>
          <w:sz w:val="43"/>
          <w:szCs w:val="43"/>
          <w:lang w:bidi="ar"/>
        </w:rPr>
      </w:pPr>
    </w:p>
    <w:p w14:paraId="3539949B">
      <w:pPr>
        <w:widowControl/>
        <w:spacing w:line="360" w:lineRule="auto"/>
        <w:ind w:firstLine="0" w:firstLineChars="0"/>
        <w:jc w:val="center"/>
        <w:rPr>
          <w:rFonts w:ascii="Times New Roman" w:hAnsi="Times New Roman" w:eastAsia="黑体" w:cs="Times New Roman"/>
          <w:color w:val="000000"/>
          <w:kern w:val="0"/>
          <w:sz w:val="43"/>
          <w:szCs w:val="43"/>
          <w:lang w:bidi="ar"/>
        </w:rPr>
      </w:pPr>
    </w:p>
    <w:p w14:paraId="5F08E9D7">
      <w:pPr>
        <w:widowControl/>
        <w:spacing w:line="360" w:lineRule="auto"/>
        <w:ind w:firstLine="0" w:firstLineChars="0"/>
        <w:jc w:val="center"/>
        <w:rPr>
          <w:rFonts w:ascii="Times New Roman" w:hAnsi="Times New Roman" w:eastAsia="黑体" w:cs="Times New Roman"/>
          <w:color w:val="000000"/>
          <w:kern w:val="0"/>
          <w:sz w:val="43"/>
          <w:szCs w:val="43"/>
          <w:lang w:bidi="ar"/>
        </w:rPr>
      </w:pPr>
    </w:p>
    <w:p w14:paraId="3D6F2C07">
      <w:pPr>
        <w:widowControl/>
        <w:spacing w:line="360" w:lineRule="auto"/>
        <w:ind w:firstLine="0" w:firstLineChars="0"/>
        <w:jc w:val="center"/>
        <w:rPr>
          <w:rFonts w:ascii="Times New Roman" w:hAnsi="Times New Roman" w:eastAsia="黑体" w:cs="Times New Roman"/>
          <w:color w:val="000000"/>
          <w:kern w:val="0"/>
          <w:sz w:val="43"/>
          <w:szCs w:val="43"/>
          <w:lang w:bidi="ar"/>
        </w:rPr>
      </w:pPr>
      <w:r>
        <w:rPr>
          <w:rFonts w:ascii="Times New Roman" w:hAnsi="Times New Roman" w:eastAsia="黑体" w:cs="Times New Roman"/>
          <w:color w:val="000000"/>
          <w:kern w:val="0"/>
          <w:sz w:val="43"/>
          <w:szCs w:val="43"/>
          <w:lang w:bidi="ar"/>
        </w:rPr>
        <w:t>《</w:t>
      </w:r>
      <w:r>
        <w:rPr>
          <w:rFonts w:hint="eastAsia" w:ascii="Times New Roman" w:hAnsi="Times New Roman" w:eastAsia="黑体" w:cs="Times New Roman"/>
          <w:color w:val="000000"/>
          <w:kern w:val="0"/>
          <w:sz w:val="43"/>
          <w:szCs w:val="43"/>
          <w:lang w:val="en-US" w:eastAsia="zh-CN" w:bidi="ar"/>
        </w:rPr>
        <w:t>建设用地土壤污染防治 第3部分：建设用地土壤挥发性有机物监测质量保证与质量控制技术规范</w:t>
      </w:r>
      <w:r>
        <w:rPr>
          <w:rFonts w:ascii="Times New Roman" w:hAnsi="Times New Roman" w:eastAsia="黑体" w:cs="Times New Roman"/>
          <w:color w:val="000000"/>
          <w:kern w:val="0"/>
          <w:sz w:val="43"/>
          <w:szCs w:val="43"/>
          <w:lang w:bidi="ar"/>
        </w:rPr>
        <w:t>（征求意见稿）》</w:t>
      </w:r>
    </w:p>
    <w:p w14:paraId="5FFC9493">
      <w:pPr>
        <w:widowControl/>
        <w:spacing w:line="360" w:lineRule="auto"/>
        <w:ind w:firstLine="0" w:firstLineChars="0"/>
        <w:jc w:val="center"/>
        <w:rPr>
          <w:rFonts w:ascii="Times New Roman" w:hAnsi="Times New Roman" w:eastAsia="宋体" w:cs="Times New Roman"/>
          <w:sz w:val="24"/>
        </w:rPr>
      </w:pPr>
      <w:r>
        <w:rPr>
          <w:rFonts w:ascii="Times New Roman" w:hAnsi="Times New Roman" w:eastAsia="黑体" w:cs="Times New Roman"/>
          <w:color w:val="000000"/>
          <w:kern w:val="0"/>
          <w:sz w:val="43"/>
          <w:szCs w:val="43"/>
          <w:lang w:bidi="ar"/>
        </w:rPr>
        <w:t>编 制 说 明</w:t>
      </w:r>
    </w:p>
    <w:p w14:paraId="56C53803">
      <w:pPr>
        <w:spacing w:line="360" w:lineRule="auto"/>
        <w:ind w:firstLine="0" w:firstLineChars="0"/>
        <w:rPr>
          <w:rFonts w:ascii="Times New Roman" w:hAnsi="Times New Roman" w:eastAsia="宋体" w:cs="Times New Roman"/>
          <w:sz w:val="24"/>
        </w:rPr>
      </w:pPr>
    </w:p>
    <w:p w14:paraId="63C016D4">
      <w:pPr>
        <w:spacing w:line="360" w:lineRule="auto"/>
        <w:ind w:firstLine="0" w:firstLineChars="0"/>
        <w:rPr>
          <w:rFonts w:ascii="Times New Roman" w:hAnsi="Times New Roman" w:eastAsia="宋体" w:cs="Times New Roman"/>
          <w:sz w:val="24"/>
        </w:rPr>
      </w:pPr>
    </w:p>
    <w:p w14:paraId="2C4BB5C3">
      <w:pPr>
        <w:spacing w:line="360" w:lineRule="auto"/>
        <w:ind w:firstLine="480" w:firstLineChars="200"/>
        <w:rPr>
          <w:rFonts w:ascii="Times New Roman" w:hAnsi="Times New Roman" w:eastAsia="宋体" w:cs="Times New Roman"/>
          <w:sz w:val="24"/>
        </w:rPr>
      </w:pPr>
    </w:p>
    <w:p w14:paraId="10197645">
      <w:pPr>
        <w:spacing w:line="360" w:lineRule="auto"/>
        <w:ind w:firstLine="480" w:firstLineChars="200"/>
        <w:rPr>
          <w:rFonts w:ascii="Times New Roman" w:hAnsi="Times New Roman" w:eastAsia="宋体" w:cs="Times New Roman"/>
          <w:sz w:val="24"/>
        </w:rPr>
      </w:pPr>
    </w:p>
    <w:p w14:paraId="4C2999F5">
      <w:pPr>
        <w:spacing w:line="360" w:lineRule="auto"/>
        <w:ind w:firstLine="480" w:firstLineChars="200"/>
        <w:rPr>
          <w:rFonts w:ascii="Times New Roman" w:hAnsi="Times New Roman" w:eastAsia="宋体" w:cs="Times New Roman"/>
          <w:sz w:val="24"/>
        </w:rPr>
      </w:pPr>
    </w:p>
    <w:p w14:paraId="0948737B">
      <w:pPr>
        <w:spacing w:line="360" w:lineRule="auto"/>
        <w:ind w:firstLine="480" w:firstLineChars="200"/>
        <w:rPr>
          <w:rFonts w:ascii="Times New Roman" w:hAnsi="Times New Roman" w:eastAsia="宋体" w:cs="Times New Roman"/>
          <w:sz w:val="24"/>
        </w:rPr>
      </w:pPr>
    </w:p>
    <w:p w14:paraId="6C5223CA">
      <w:pPr>
        <w:spacing w:line="360" w:lineRule="auto"/>
        <w:ind w:firstLine="480" w:firstLineChars="200"/>
        <w:rPr>
          <w:rFonts w:ascii="Times New Roman" w:hAnsi="Times New Roman" w:eastAsia="宋体" w:cs="Times New Roman"/>
          <w:sz w:val="24"/>
        </w:rPr>
      </w:pPr>
    </w:p>
    <w:p w14:paraId="4897F0B5">
      <w:pPr>
        <w:spacing w:line="360" w:lineRule="auto"/>
        <w:ind w:firstLine="480" w:firstLineChars="200"/>
        <w:rPr>
          <w:rFonts w:ascii="Times New Roman" w:hAnsi="Times New Roman" w:eastAsia="宋体" w:cs="Times New Roman"/>
          <w:sz w:val="24"/>
        </w:rPr>
      </w:pPr>
    </w:p>
    <w:p w14:paraId="2A80C29B">
      <w:pPr>
        <w:widowControl/>
        <w:spacing w:line="360" w:lineRule="auto"/>
        <w:ind w:firstLine="0" w:firstLineChars="0"/>
        <w:jc w:val="center"/>
        <w:rPr>
          <w:rFonts w:ascii="Times New Roman" w:hAnsi="Times New Roman" w:eastAsia="宋体" w:cs="Times New Roman"/>
          <w:sz w:val="24"/>
        </w:rPr>
      </w:pPr>
      <w:r>
        <w:rPr>
          <w:rFonts w:ascii="Times New Roman" w:hAnsi="Times New Roman" w:eastAsia="黑体" w:cs="Times New Roman"/>
          <w:color w:val="000000"/>
          <w:kern w:val="0"/>
          <w:sz w:val="28"/>
          <w:szCs w:val="28"/>
          <w:lang w:bidi="ar"/>
        </w:rPr>
        <w:t>标准编制组</w:t>
      </w:r>
    </w:p>
    <w:p w14:paraId="657869C0">
      <w:pPr>
        <w:widowControl/>
        <w:spacing w:line="360" w:lineRule="auto"/>
        <w:ind w:firstLine="0" w:firstLineChars="0"/>
        <w:jc w:val="center"/>
        <w:rPr>
          <w:rFonts w:ascii="Times New Roman" w:hAnsi="Times New Roman" w:eastAsia="黑体" w:cs="Times New Roman"/>
          <w:color w:val="000000"/>
          <w:kern w:val="0"/>
          <w:sz w:val="28"/>
          <w:szCs w:val="28"/>
          <w:lang w:bidi="ar"/>
        </w:rPr>
      </w:pPr>
      <w:r>
        <w:rPr>
          <w:rFonts w:ascii="Times New Roman" w:hAnsi="Times New Roman" w:eastAsia="黑体" w:cs="Times New Roman"/>
          <w:color w:val="000000"/>
          <w:kern w:val="0"/>
          <w:sz w:val="28"/>
          <w:szCs w:val="28"/>
          <w:lang w:bidi="ar"/>
        </w:rPr>
        <w:t>二〇二</w:t>
      </w:r>
      <w:r>
        <w:rPr>
          <w:rFonts w:hint="eastAsia" w:ascii="Times New Roman" w:hAnsi="Times New Roman" w:eastAsia="黑体" w:cs="Times New Roman"/>
          <w:color w:val="000000"/>
          <w:kern w:val="0"/>
          <w:sz w:val="28"/>
          <w:szCs w:val="28"/>
          <w:lang w:val="en-US" w:eastAsia="zh-CN" w:bidi="ar"/>
        </w:rPr>
        <w:t>三</w:t>
      </w:r>
      <w:r>
        <w:rPr>
          <w:rFonts w:ascii="Times New Roman" w:hAnsi="Times New Roman" w:eastAsia="黑体" w:cs="Times New Roman"/>
          <w:color w:val="000000"/>
          <w:kern w:val="0"/>
          <w:sz w:val="28"/>
          <w:szCs w:val="28"/>
          <w:lang w:bidi="ar"/>
        </w:rPr>
        <w:t>年</w:t>
      </w:r>
      <w:r>
        <w:rPr>
          <w:rFonts w:hint="eastAsia" w:ascii="Times New Roman" w:hAnsi="Times New Roman" w:eastAsia="黑体" w:cs="Times New Roman"/>
          <w:color w:val="000000"/>
          <w:kern w:val="0"/>
          <w:sz w:val="28"/>
          <w:szCs w:val="28"/>
          <w:lang w:val="en-US" w:eastAsia="zh-CN" w:bidi="ar"/>
        </w:rPr>
        <w:t>十</w:t>
      </w:r>
      <w:r>
        <w:rPr>
          <w:rFonts w:ascii="Times New Roman" w:hAnsi="Times New Roman" w:eastAsia="黑体" w:cs="Times New Roman"/>
          <w:color w:val="000000"/>
          <w:kern w:val="0"/>
          <w:sz w:val="28"/>
          <w:szCs w:val="28"/>
          <w:lang w:bidi="ar"/>
        </w:rPr>
        <w:t>月</w:t>
      </w:r>
    </w:p>
    <w:p w14:paraId="38BD4471">
      <w:pPr>
        <w:widowControl/>
        <w:ind w:firstLine="560"/>
        <w:jc w:val="center"/>
        <w:rPr>
          <w:rFonts w:eastAsia="黑体" w:cs="Times New Roman"/>
          <w:color w:val="000000"/>
          <w:kern w:val="0"/>
          <w:sz w:val="28"/>
          <w:szCs w:val="28"/>
          <w:lang w:bidi="ar"/>
        </w:rPr>
        <w:sectPr>
          <w:headerReference r:id="rId67" w:type="first"/>
          <w:footerReference r:id="rId70" w:type="first"/>
          <w:headerReference r:id="rId65" w:type="default"/>
          <w:footerReference r:id="rId68" w:type="default"/>
          <w:headerReference r:id="rId66" w:type="even"/>
          <w:footerReference r:id="rId69" w:type="even"/>
          <w:pgSz w:w="11906" w:h="16838"/>
          <w:pgMar w:top="1440" w:right="1800" w:bottom="1440" w:left="1800" w:header="851" w:footer="992" w:gutter="0"/>
          <w:pgNumType w:fmt="lowerRoman" w:start="1"/>
          <w:cols w:space="425" w:num="1"/>
          <w:docGrid w:type="lines" w:linePitch="312" w:charSpace="0"/>
        </w:sectPr>
      </w:pPr>
    </w:p>
    <w:p w14:paraId="4395BE2B">
      <w:pPr>
        <w:widowControl/>
        <w:spacing w:line="360" w:lineRule="auto"/>
        <w:ind w:firstLine="560" w:firstLineChars="200"/>
        <w:jc w:val="center"/>
        <w:rPr>
          <w:rFonts w:ascii="Times New Roman" w:hAnsi="Times New Roman" w:eastAsia="黑体" w:cs="Times New Roman"/>
          <w:color w:val="000000"/>
          <w:kern w:val="0"/>
          <w:sz w:val="28"/>
          <w:szCs w:val="28"/>
          <w:lang w:bidi="ar"/>
        </w:rPr>
      </w:pPr>
    </w:p>
    <w:p w14:paraId="3D3B0B26">
      <w:pPr>
        <w:widowControl/>
        <w:spacing w:line="360" w:lineRule="auto"/>
        <w:ind w:firstLine="560" w:firstLineChars="200"/>
        <w:jc w:val="center"/>
        <w:rPr>
          <w:rFonts w:ascii="Times New Roman" w:hAnsi="Times New Roman" w:eastAsia="黑体" w:cs="Times New Roman"/>
          <w:color w:val="000000"/>
          <w:kern w:val="0"/>
          <w:sz w:val="28"/>
          <w:szCs w:val="28"/>
          <w:lang w:bidi="ar"/>
        </w:rPr>
      </w:pPr>
      <w:r>
        <w:rPr>
          <w:rFonts w:ascii="Times New Roman" w:hAnsi="Times New Roman" w:eastAsia="黑体" w:cs="Times New Roman"/>
          <w:color w:val="000000"/>
          <w:kern w:val="0"/>
          <w:sz w:val="28"/>
          <w:szCs w:val="28"/>
          <w:lang w:bidi="ar"/>
        </w:rPr>
        <w:t>目录</w:t>
      </w:r>
    </w:p>
    <w:sdt>
      <w:sdtPr>
        <w:rPr>
          <w:rFonts w:ascii="Times New Roman" w:hAnsi="Times New Roman" w:eastAsia="宋体" w:cs="Times New Roman"/>
          <w:kern w:val="2"/>
          <w:sz w:val="21"/>
          <w:szCs w:val="24"/>
          <w:lang w:val="en-US" w:eastAsia="zh-CN" w:bidi="ar-SA"/>
        </w:rPr>
        <w:id w:val="147457363"/>
        <w15:color w:val="DBDBDB"/>
        <w:docPartObj>
          <w:docPartGallery w:val="Table of Contents"/>
          <w:docPartUnique/>
        </w:docPartObj>
      </w:sdtPr>
      <w:sdtEndPr>
        <w:rPr>
          <w:rFonts w:ascii="Times New Roman" w:hAnsi="Times New Roman" w:eastAsia="宋体" w:cs="Times New Roman"/>
          <w:b/>
          <w:kern w:val="2"/>
          <w:sz w:val="21"/>
          <w:szCs w:val="24"/>
          <w:lang w:val="en-US" w:eastAsia="zh-CN" w:bidi="ar-SA"/>
        </w:rPr>
      </w:sdtEndPr>
      <w:sdtContent>
        <w:p w14:paraId="1AA57068">
          <w:pPr>
            <w:spacing w:line="240" w:lineRule="auto"/>
            <w:ind w:firstLine="0" w:firstLineChars="0"/>
            <w:jc w:val="center"/>
            <w:rPr>
              <w:rFonts w:ascii="Times New Roman" w:hAnsi="Times New Roman" w:eastAsia="宋体" w:cs="Times New Roman"/>
              <w:sz w:val="24"/>
            </w:rPr>
          </w:pPr>
        </w:p>
        <w:p w14:paraId="0C544536">
          <w:pPr>
            <w:widowControl w:val="0"/>
            <w:tabs>
              <w:tab w:val="right" w:leader="dot" w:pos="8306"/>
            </w:tabs>
            <w:spacing w:line="360" w:lineRule="auto"/>
            <w:ind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TOC \o "1-2" \h \u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_Toc23252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1 </w:t>
          </w:r>
          <w:r>
            <w:rPr>
              <w:rFonts w:ascii="Times New Roman" w:hAnsi="Times New Roman" w:eastAsia="宋体" w:cs="Times New Roman"/>
              <w:kern w:val="2"/>
              <w:sz w:val="24"/>
              <w:szCs w:val="24"/>
              <w:lang w:val="en-US" w:eastAsia="zh-CN" w:bidi="ar-SA"/>
            </w:rPr>
            <w:t>标准的编制思路</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_Toc23252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１</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6DF0A50">
          <w:pPr>
            <w:widowControl w:val="0"/>
            <w:tabs>
              <w:tab w:val="right" w:leader="dot" w:pos="8306"/>
            </w:tabs>
            <w:spacing w:line="360" w:lineRule="auto"/>
            <w:ind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_Toc5496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2 </w:t>
          </w:r>
          <w:r>
            <w:rPr>
              <w:rFonts w:ascii="Times New Roman" w:hAnsi="Times New Roman" w:eastAsia="宋体" w:cs="Times New Roman"/>
              <w:kern w:val="2"/>
              <w:sz w:val="24"/>
              <w:szCs w:val="24"/>
              <w:lang w:val="en-US" w:eastAsia="zh-CN" w:bidi="ar-SA"/>
            </w:rPr>
            <w:t>国内外</w:t>
          </w:r>
          <w:r>
            <w:rPr>
              <w:rFonts w:hint="eastAsia" w:ascii="Times New Roman" w:hAnsi="Times New Roman" w:eastAsia="宋体" w:cs="Times New Roman"/>
              <w:kern w:val="2"/>
              <w:sz w:val="24"/>
              <w:szCs w:val="24"/>
              <w:lang w:val="en-US" w:eastAsia="zh-CN" w:bidi="ar-SA"/>
            </w:rPr>
            <w:t>土壤有机污染物监测工作开展情况</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_Toc5496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２</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1878BDA">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_Toc24147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2.1 </w:t>
          </w:r>
          <w:r>
            <w:rPr>
              <w:rFonts w:hint="eastAsia" w:ascii="Times New Roman" w:hAnsi="Times New Roman" w:eastAsia="宋体" w:cs="Times New Roman"/>
              <w:kern w:val="2"/>
              <w:sz w:val="24"/>
              <w:szCs w:val="24"/>
              <w:lang w:val="en-US" w:eastAsia="zh-CN" w:bidi="ar-SA"/>
            </w:rPr>
            <w:t>国外污染场地VOCs监测工作概况</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_Toc24147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２</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9191EEA">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_Toc32092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2.2 </w:t>
          </w:r>
          <w:r>
            <w:rPr>
              <w:rFonts w:hint="eastAsia" w:ascii="Times New Roman" w:hAnsi="Times New Roman" w:eastAsia="宋体" w:cs="Times New Roman"/>
              <w:kern w:val="2"/>
              <w:sz w:val="24"/>
              <w:szCs w:val="24"/>
              <w:lang w:val="en-US" w:eastAsia="zh-CN" w:bidi="ar-SA"/>
            </w:rPr>
            <w:t>国内染场地VOCs监测工作概况</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_Toc32092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４</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55C9DE6">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_Toc18346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2.3 </w:t>
          </w:r>
          <w:r>
            <w:rPr>
              <w:rFonts w:hint="eastAsia" w:ascii="Times New Roman" w:hAnsi="Times New Roman" w:eastAsia="宋体" w:cs="Times New Roman"/>
              <w:kern w:val="2"/>
              <w:sz w:val="24"/>
              <w:szCs w:val="24"/>
              <w:lang w:val="en-US" w:eastAsia="zh-CN" w:bidi="ar-SA"/>
            </w:rPr>
            <w:t>我国建设用地土壤挥发性有机物质量控制相关标准情况</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_Toc18346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６</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2D1A4D0">
          <w:pPr>
            <w:widowControl w:val="0"/>
            <w:tabs>
              <w:tab w:val="right" w:leader="dot" w:pos="8306"/>
            </w:tabs>
            <w:spacing w:line="360" w:lineRule="auto"/>
            <w:ind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_Toc30193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 </w:t>
          </w:r>
          <w:r>
            <w:rPr>
              <w:rFonts w:ascii="Times New Roman" w:hAnsi="Times New Roman" w:eastAsia="宋体" w:cs="Times New Roman"/>
              <w:kern w:val="2"/>
              <w:sz w:val="24"/>
              <w:szCs w:val="24"/>
              <w:lang w:val="en-US" w:eastAsia="zh-CN" w:bidi="ar-SA"/>
            </w:rPr>
            <w:t>标准主要技术内容</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_Toc30193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７</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B62945B">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_Toc31032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3.1 </w:t>
          </w:r>
          <w:r>
            <w:rPr>
              <w:rFonts w:ascii="Times New Roman" w:hAnsi="Times New Roman" w:eastAsia="宋体" w:cs="Times New Roman"/>
              <w:kern w:val="2"/>
              <w:sz w:val="24"/>
              <w:szCs w:val="24"/>
              <w:lang w:val="en-US" w:eastAsia="zh-CN" w:bidi="ar-SA"/>
            </w:rPr>
            <w:t>适用范围</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_Toc31032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７</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E435636">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_Toc25600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3.2 </w:t>
          </w:r>
          <w:r>
            <w:rPr>
              <w:rFonts w:ascii="Times New Roman" w:hAnsi="Times New Roman" w:eastAsia="宋体" w:cs="Times New Roman"/>
              <w:kern w:val="2"/>
              <w:sz w:val="24"/>
              <w:szCs w:val="24"/>
              <w:lang w:val="en-US" w:eastAsia="zh-CN" w:bidi="ar-SA"/>
            </w:rPr>
            <w:t>术语和定义</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_Toc25600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７</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A9A5D48">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_Toc10491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3.3 </w:t>
          </w:r>
          <w:r>
            <w:rPr>
              <w:rFonts w:hint="eastAsia" w:ascii="Times New Roman" w:hAnsi="Times New Roman" w:eastAsia="宋体" w:cs="Times New Roman"/>
              <w:kern w:val="2"/>
              <w:sz w:val="24"/>
              <w:szCs w:val="24"/>
              <w:lang w:val="en-US" w:eastAsia="zh-CN" w:bidi="ar-SA"/>
            </w:rPr>
            <w:t>人员</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_Toc10491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８</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59B86C4">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_Toc24707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3.4 </w:t>
          </w:r>
          <w:r>
            <w:rPr>
              <w:rFonts w:hint="eastAsia" w:ascii="Times New Roman" w:hAnsi="Times New Roman" w:eastAsia="宋体" w:cs="Times New Roman"/>
              <w:kern w:val="2"/>
              <w:sz w:val="24"/>
              <w:szCs w:val="24"/>
              <w:lang w:val="en-US" w:eastAsia="zh-CN" w:bidi="ar-SA"/>
            </w:rPr>
            <w:t>仪器与设备</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_Toc24707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８</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413ADF1">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_Toc9013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3.5 </w:t>
          </w:r>
          <w:r>
            <w:rPr>
              <w:rFonts w:hint="eastAsia" w:ascii="Times New Roman" w:hAnsi="Times New Roman" w:eastAsia="宋体" w:cs="Times New Roman"/>
              <w:kern w:val="2"/>
              <w:sz w:val="24"/>
              <w:szCs w:val="24"/>
              <w:lang w:val="en-US" w:eastAsia="zh-CN" w:bidi="ar-SA"/>
            </w:rPr>
            <w:t>样品采集、保存与运输</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_Toc9013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８</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12D2774">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_Toc26930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3.6 </w:t>
          </w:r>
          <w:r>
            <w:rPr>
              <w:rFonts w:hint="eastAsia" w:ascii="Times New Roman" w:hAnsi="Times New Roman" w:eastAsia="宋体" w:cs="Times New Roman"/>
              <w:kern w:val="2"/>
              <w:sz w:val="24"/>
              <w:szCs w:val="24"/>
              <w:lang w:val="en-US" w:eastAsia="zh-CN" w:bidi="ar-SA"/>
            </w:rPr>
            <w:t>样品制备</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_Toc26930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８</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5ED197B">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_Toc20274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3.7 </w:t>
          </w:r>
          <w:r>
            <w:rPr>
              <w:rFonts w:hint="eastAsia" w:ascii="Times New Roman" w:hAnsi="Times New Roman" w:eastAsia="宋体" w:cs="Times New Roman"/>
              <w:kern w:val="2"/>
              <w:sz w:val="24"/>
              <w:szCs w:val="24"/>
              <w:lang w:val="en-US" w:eastAsia="zh-CN" w:bidi="ar-SA"/>
            </w:rPr>
            <w:t>标准物质、试剂和材料</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_Toc20274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８</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AF79054">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_Toc3770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3.8 </w:t>
          </w:r>
          <w:r>
            <w:rPr>
              <w:rFonts w:hint="eastAsia" w:ascii="Times New Roman" w:hAnsi="Times New Roman" w:eastAsia="宋体" w:cs="Times New Roman"/>
              <w:kern w:val="2"/>
              <w:sz w:val="24"/>
              <w:szCs w:val="24"/>
              <w:lang w:val="en-US" w:eastAsia="zh-CN" w:bidi="ar-SA"/>
            </w:rPr>
            <w:t>样品分析</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_Toc3770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９</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DFD2D3E">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_Toc28472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3.9 </w:t>
          </w:r>
          <w:r>
            <w:rPr>
              <w:rFonts w:hint="eastAsia" w:ascii="Times New Roman" w:hAnsi="Times New Roman" w:eastAsia="宋体" w:cs="Times New Roman"/>
              <w:kern w:val="2"/>
              <w:sz w:val="24"/>
              <w:szCs w:val="24"/>
              <w:lang w:val="en-US" w:eastAsia="zh-CN" w:bidi="ar-SA"/>
            </w:rPr>
            <w:t>实验室质量控制</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_Toc28472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９</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3491E00">
          <w:pPr>
            <w:widowControl w:val="0"/>
            <w:tabs>
              <w:tab w:val="right" w:leader="dot" w:pos="8306"/>
            </w:tabs>
            <w:spacing w:line="360" w:lineRule="auto"/>
            <w:ind w:left="420" w:leftChars="20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_Toc21872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8"/>
              <w:lang w:val="en-US" w:eastAsia="zh-CN" w:bidi="ar-SA"/>
            </w:rPr>
            <w:t xml:space="preserve">3.10 </w:t>
          </w:r>
          <w:r>
            <w:rPr>
              <w:rFonts w:hint="eastAsia" w:ascii="Times New Roman" w:hAnsi="Times New Roman" w:eastAsia="宋体" w:cs="Times New Roman"/>
              <w:kern w:val="2"/>
              <w:sz w:val="24"/>
              <w:szCs w:val="24"/>
              <w:lang w:val="en-US" w:eastAsia="zh-CN" w:bidi="ar-SA"/>
            </w:rPr>
            <w:t>实验记录与报告要求</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_Toc21872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９</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79FA5B0">
          <w:pPr>
            <w:widowControl w:val="0"/>
            <w:tabs>
              <w:tab w:val="right" w:leader="dot" w:pos="8306"/>
            </w:tabs>
            <w:spacing w:line="360" w:lineRule="auto"/>
            <w:ind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_Toc7393 </w:instrText>
          </w:r>
          <w:r>
            <w:rPr>
              <w:rFonts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 xml:space="preserve">4 </w:t>
          </w:r>
          <w:r>
            <w:rPr>
              <w:rFonts w:ascii="Times New Roman" w:hAnsi="Times New Roman" w:eastAsia="宋体" w:cs="Times New Roman"/>
              <w:kern w:val="2"/>
              <w:sz w:val="24"/>
              <w:szCs w:val="24"/>
              <w:lang w:val="en-US" w:eastAsia="zh-CN" w:bidi="ar-SA"/>
            </w:rPr>
            <w:t>对实施本标准的建议</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_Toc7393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９</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9C32813">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fldChar w:fldCharType="end"/>
          </w:r>
        </w:p>
      </w:sdtContent>
    </w:sdt>
    <w:p w14:paraId="2B2A9EF5">
      <w:pPr>
        <w:tabs>
          <w:tab w:val="left" w:pos="0"/>
        </w:tabs>
        <w:rPr>
          <w:rFonts w:cs="Times New Roman"/>
        </w:rPr>
        <w:sectPr>
          <w:footerReference r:id="rId71" w:type="default"/>
          <w:pgSz w:w="11906" w:h="16838"/>
          <w:pgMar w:top="1440" w:right="1800" w:bottom="1440" w:left="1800" w:header="851" w:footer="992" w:gutter="0"/>
          <w:pgNumType w:fmt="lowerRoman" w:start="1"/>
          <w:cols w:space="425" w:num="1"/>
          <w:docGrid w:type="lines" w:linePitch="312" w:charSpace="0"/>
        </w:sectPr>
      </w:pPr>
      <w:bookmarkStart w:id="283" w:name="_Toc24682"/>
    </w:p>
    <w:bookmarkEnd w:id="283"/>
    <w:p w14:paraId="0685DFF1">
      <w:pPr>
        <w:keepNext/>
        <w:keepLines/>
        <w:numPr>
          <w:ilvl w:val="0"/>
          <w:numId w:val="52"/>
        </w:numPr>
        <w:spacing w:before="260" w:after="260" w:line="360" w:lineRule="auto"/>
        <w:outlineLvl w:val="0"/>
        <w:rPr>
          <w:rFonts w:ascii="Times New Roman" w:hAnsi="Times New Roman" w:eastAsia="宋体" w:cs="Times New Roman"/>
          <w:b/>
          <w:kern w:val="44"/>
          <w:sz w:val="32"/>
          <w:lang w:val="en-US" w:eastAsia="zh-CN" w:bidi="ar-SA"/>
        </w:rPr>
      </w:pPr>
      <w:bookmarkStart w:id="284" w:name="_Toc23572"/>
      <w:bookmarkStart w:id="285" w:name="_Toc7391"/>
      <w:bookmarkStart w:id="286" w:name="_Toc23252"/>
      <w:bookmarkStart w:id="287" w:name="_Toc12981"/>
      <w:bookmarkStart w:id="288" w:name="_Toc12524"/>
      <w:r>
        <w:rPr>
          <w:rFonts w:ascii="Times New Roman" w:hAnsi="Times New Roman" w:eastAsia="宋体" w:cs="Times New Roman"/>
          <w:b/>
          <w:kern w:val="44"/>
          <w:sz w:val="32"/>
          <w:lang w:val="en-US" w:eastAsia="zh-CN" w:bidi="ar-SA"/>
        </w:rPr>
        <w:t>标准的编制思路</w:t>
      </w:r>
      <w:bookmarkEnd w:id="284"/>
      <w:bookmarkEnd w:id="285"/>
      <w:bookmarkEnd w:id="286"/>
      <w:bookmarkEnd w:id="287"/>
      <w:bookmarkEnd w:id="288"/>
    </w:p>
    <w:p w14:paraId="0A3D639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近年来，</w:t>
      </w:r>
      <w:r>
        <w:rPr>
          <w:rFonts w:hint="default" w:ascii="Times New Roman" w:hAnsi="Times New Roman" w:eastAsia="宋体" w:cs="Times New Roman"/>
          <w:sz w:val="28"/>
          <w:szCs w:val="28"/>
        </w:rPr>
        <w:t>生态环境部和国家市场监督管理总局联合</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先后</w:t>
      </w:r>
      <w:r>
        <w:rPr>
          <w:rFonts w:hint="default" w:ascii="Times New Roman" w:hAnsi="Times New Roman" w:eastAsia="宋体" w:cs="Times New Roman"/>
          <w:sz w:val="28"/>
          <w:szCs w:val="28"/>
        </w:rPr>
        <w:t>发布了《土壤环境质量 建设用地土壤污染风险管控标准（试行）》（GB 36600-2018）</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《建设用地土壤污染状况调查技术导则》（HJ 25.1-2019）</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《建设用地土壤污染风险管控和修复监测技术导则》（HJ 25.2-2019）</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《建设用地土壤污染风险评估技术导则》（HJ 25.3-2019）</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《建设用地土壤修复技术导则》（HJ 25.4-2019）</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《污染地块风险管控与土壤修复效果评估技术导则（试行）》（HJ 25.5-2018）</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《污染地块地下水修复和风险管控技术导则》（HJ 25.6-2019）（GB/T 39793.2-2020）等系列标准，</w:t>
      </w:r>
      <w:r>
        <w:rPr>
          <w:rFonts w:hint="default" w:ascii="Times New Roman" w:hAnsi="Times New Roman" w:eastAsia="宋体" w:cs="Times New Roman"/>
          <w:sz w:val="28"/>
          <w:szCs w:val="28"/>
          <w:lang w:val="en-US" w:eastAsia="zh-CN"/>
        </w:rPr>
        <w:t>进一步丰富完善了</w:t>
      </w:r>
      <w:r>
        <w:rPr>
          <w:rFonts w:hint="default" w:ascii="Times New Roman" w:hAnsi="Times New Roman" w:eastAsia="宋体" w:cs="Times New Roman"/>
          <w:sz w:val="28"/>
          <w:szCs w:val="28"/>
        </w:rPr>
        <w:t>我国</w:t>
      </w:r>
      <w:r>
        <w:rPr>
          <w:rFonts w:hint="default" w:ascii="Times New Roman" w:hAnsi="Times New Roman" w:eastAsia="宋体" w:cs="Times New Roman"/>
          <w:sz w:val="28"/>
          <w:szCs w:val="28"/>
          <w:lang w:val="en-US" w:eastAsia="zh-CN"/>
        </w:rPr>
        <w:t>建设用地土壤污染风险管控和修复治理</w:t>
      </w:r>
      <w:r>
        <w:rPr>
          <w:rFonts w:hint="default" w:ascii="Times New Roman" w:hAnsi="Times New Roman" w:eastAsia="宋体" w:cs="Times New Roman"/>
          <w:sz w:val="28"/>
          <w:szCs w:val="28"/>
        </w:rPr>
        <w:t>框架体系，为我国</w:t>
      </w:r>
      <w:r>
        <w:rPr>
          <w:rFonts w:hint="default" w:ascii="Times New Roman" w:hAnsi="Times New Roman" w:eastAsia="宋体" w:cs="Times New Roman"/>
          <w:sz w:val="28"/>
          <w:szCs w:val="28"/>
          <w:lang w:val="en-US" w:eastAsia="zh-CN"/>
        </w:rPr>
        <w:t>建设用地土壤污染治理</w:t>
      </w:r>
      <w:r>
        <w:rPr>
          <w:rFonts w:hint="default" w:ascii="Times New Roman" w:hAnsi="Times New Roman" w:eastAsia="宋体" w:cs="Times New Roman"/>
          <w:sz w:val="28"/>
          <w:szCs w:val="28"/>
        </w:rPr>
        <w:t>提供了重要的技术支撑和保障。</w:t>
      </w:r>
    </w:p>
    <w:p w14:paraId="57AA27A5">
      <w:pPr>
        <w:keepNext w:val="0"/>
        <w:keepLines w:val="0"/>
        <w:pageBreakBefore w:val="0"/>
        <w:widowControl w:val="0"/>
        <w:kinsoku/>
        <w:wordWrap/>
        <w:overflowPunct/>
        <w:topLinePunct w:val="0"/>
        <w:autoSpaceDE/>
        <w:autoSpaceDN/>
        <w:bidi w:val="0"/>
        <w:adjustRightInd/>
        <w:snapToGrid/>
        <w:spacing w:after="0" w:line="560" w:lineRule="exact"/>
        <w:ind w:left="0" w:leftChars="0" w:firstLine="560" w:firstLineChars="200"/>
        <w:jc w:val="both"/>
        <w:textAlignment w:val="auto"/>
        <w:rPr>
          <w:rFonts w:hint="default" w:ascii="Times New Roman" w:hAnsi="Times New Roman" w:eastAsia="宋体"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t>尽管在宏观层面有了相应的技术指导，但是针对我省建设用地土壤污染防治工作的特殊性，往往在调查、监测过程中尚存在监测报告质量参差不齐、现有规范规定细节流程不清、VOC质量控制措施暂无明确规定等实践性问题。鉴于此，我们制定了《建设用地土壤污染防治 第3部分：建设用地土壤挥发性有机物监测质量保证与质量控制技术规范》，以适应日趋严格的建设用地土壤污染治理形式和湖北省建设用地土壤挥发性有机物监测日常工作。《建设用地土壤污染防治 第3部分：建设用地土壤挥发性有机物监测质量保证与质量控制技术规范》是在湖北省建设用地土壤污染防治系列标准技术体系框架下的一部专项的技术指南，旨在规范湖北省建设用地土壤挥发性有机物监测过程中的质量控制环节，明确质量控制措施。《建设用地土壤污染防治 第3部分：建设用地土壤挥发性有机物监测质量保证与质量控制技术规范》将与制定的《建设用地土壤污染防治 第1部分：土壤污染状况调查技术规范》《建设用地土壤污染防治 第2部分：建设用地土壤重金属监测质量保证与质量控制技术规范》等专项技术指南相衔接。</w:t>
      </w:r>
    </w:p>
    <w:p w14:paraId="6220BA4F">
      <w:pPr>
        <w:keepNext w:val="0"/>
        <w:keepLines w:val="0"/>
        <w:pageBreakBefore w:val="0"/>
        <w:widowControl w:val="0"/>
        <w:kinsoku/>
        <w:wordWrap/>
        <w:overflowPunct/>
        <w:topLinePunct w:val="0"/>
        <w:autoSpaceDE/>
        <w:autoSpaceDN/>
        <w:bidi w:val="0"/>
        <w:adjustRightInd/>
        <w:snapToGrid/>
        <w:spacing w:after="0" w:line="560" w:lineRule="exact"/>
        <w:ind w:left="0" w:leftChars="0" w:firstLine="560" w:firstLineChars="200"/>
        <w:jc w:val="both"/>
        <w:textAlignment w:val="auto"/>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kern w:val="2"/>
          <w:sz w:val="28"/>
          <w:szCs w:val="28"/>
          <w:lang w:val="en-US" w:eastAsia="zh-CN" w:bidi="ar-SA"/>
        </w:rPr>
        <w:t>《建设用地土壤污染防治 第3部分：建设用地土壤挥发性有机物监测质量保证与质量控制技术规范》的制定主要是结合省内外各地区出台相应地方土壤污染状况调查技术规范，参考湖北省土壤污染状况调查活动中样品挥发性有机物监测工作质量控制方面内容，从样品采集、点位布设、采样规范、保存流转、实验室检测分析等方面，提出数据质量控制技术要求。</w:t>
      </w:r>
      <w:r>
        <w:rPr>
          <w:rFonts w:hint="default" w:ascii="Times New Roman" w:hAnsi="Times New Roman" w:eastAsia="宋体" w:cs="Times New Roman"/>
          <w:color w:val="000000"/>
          <w:kern w:val="0"/>
          <w:sz w:val="28"/>
          <w:szCs w:val="28"/>
          <w:lang w:val="en-US" w:eastAsia="zh-CN" w:bidi="ar"/>
        </w:rPr>
        <w:t>技术规范制定过程中充分征求省内检测、监测及环境管理等部门的需求、意见和建议。吸纳相关单位在案例实践中的经验，确保制定技术规范具有较强的可操作性和实践指导意义。</w:t>
      </w:r>
    </w:p>
    <w:p w14:paraId="5819B763">
      <w:pPr>
        <w:keepNext/>
        <w:keepLines/>
        <w:numPr>
          <w:ilvl w:val="0"/>
          <w:numId w:val="52"/>
        </w:numPr>
        <w:spacing w:before="260" w:after="260" w:line="360" w:lineRule="auto"/>
        <w:outlineLvl w:val="0"/>
        <w:rPr>
          <w:rFonts w:ascii="Times New Roman" w:hAnsi="Times New Roman" w:eastAsia="宋体" w:cs="Times New Roman"/>
          <w:b/>
          <w:kern w:val="44"/>
          <w:sz w:val="32"/>
          <w:lang w:val="en-US" w:eastAsia="zh-CN" w:bidi="ar-SA"/>
        </w:rPr>
      </w:pPr>
      <w:bookmarkStart w:id="289" w:name="_Toc31751"/>
      <w:bookmarkStart w:id="290" w:name="_Toc19723"/>
      <w:bookmarkStart w:id="291" w:name="_Toc5496"/>
      <w:r>
        <w:rPr>
          <w:rFonts w:ascii="Times New Roman" w:hAnsi="Times New Roman" w:eastAsia="宋体" w:cs="Times New Roman"/>
          <w:b/>
          <w:kern w:val="44"/>
          <w:sz w:val="32"/>
          <w:lang w:val="en-US" w:eastAsia="zh-CN" w:bidi="ar-SA"/>
        </w:rPr>
        <w:t>国内外</w:t>
      </w:r>
      <w:bookmarkEnd w:id="289"/>
      <w:bookmarkEnd w:id="290"/>
      <w:r>
        <w:rPr>
          <w:rFonts w:hint="eastAsia" w:ascii="Times New Roman" w:hAnsi="Times New Roman" w:eastAsia="宋体" w:cs="Times New Roman"/>
          <w:b/>
          <w:kern w:val="44"/>
          <w:sz w:val="32"/>
          <w:lang w:val="en-US" w:eastAsia="zh-CN" w:bidi="ar-SA"/>
        </w:rPr>
        <w:t>土壤有机污染物监测工作开展情况</w:t>
      </w:r>
      <w:bookmarkEnd w:id="291"/>
    </w:p>
    <w:p w14:paraId="3F85496A">
      <w:pPr>
        <w:keepNext/>
        <w:keepLines/>
        <w:numPr>
          <w:ilvl w:val="1"/>
          <w:numId w:val="52"/>
        </w:numPr>
        <w:spacing w:before="156" w:beforeLines="50" w:after="156" w:afterLines="50" w:line="560" w:lineRule="exact"/>
        <w:jc w:val="both"/>
        <w:outlineLvl w:val="1"/>
        <w:rPr>
          <w:rFonts w:ascii="Times New Roman" w:hAnsi="Times New Roman" w:eastAsia="宋体" w:cs="Times New Roman"/>
          <w:b/>
          <w:sz w:val="30"/>
          <w:lang w:val="en-US" w:eastAsia="zh-CN" w:bidi="ar-SA"/>
        </w:rPr>
      </w:pPr>
      <w:bookmarkStart w:id="292" w:name="_Toc31964"/>
      <w:bookmarkStart w:id="293" w:name="_Toc13603"/>
      <w:bookmarkStart w:id="294" w:name="_Toc24147"/>
      <w:r>
        <w:rPr>
          <w:rFonts w:hint="eastAsia" w:ascii="Times New Roman" w:hAnsi="Times New Roman" w:eastAsia="宋体" w:cs="Times New Roman"/>
          <w:b/>
          <w:sz w:val="30"/>
          <w:lang w:val="en-US" w:eastAsia="zh-CN" w:bidi="ar-SA"/>
        </w:rPr>
        <w:t>国外污染场地VOCs监测工作</w:t>
      </w:r>
      <w:bookmarkEnd w:id="292"/>
      <w:bookmarkEnd w:id="293"/>
      <w:r>
        <w:rPr>
          <w:rFonts w:hint="eastAsia" w:ascii="Times New Roman" w:hAnsi="Times New Roman" w:eastAsia="宋体" w:cs="Times New Roman"/>
          <w:b/>
          <w:sz w:val="30"/>
          <w:lang w:val="en-US" w:eastAsia="zh-CN" w:bidi="ar-SA"/>
        </w:rPr>
        <w:t>概况</w:t>
      </w:r>
      <w:bookmarkEnd w:id="294"/>
    </w:p>
    <w:p w14:paraId="297A50D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20 世纪 80 年代以来，欧美国家在环境风险评价的理论基础上先后建立起了污染场地健康风险评价体系。美国环保局于 1980 年至 1988 年先后颁布了《环境响应、补偿与义务综合法案》（超级基金法）、《超级基金修正与授权法案》和《国家石油与有毒有害物质污染应急计划》作为响应污染物排放和突发污染事件的法律性文件。</w:t>
      </w:r>
    </w:p>
    <w:p w14:paraId="07A70DC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美国土壤监测主要以行业或协会的标准方法或规范为主。有关土壤质量的标准和规范主要有 EPA 方法和美国测试与材料学会（ASTM）标准，美国提供了需大量现场操作和实验室分析的标准和方法支撑，ASTM 有几十个标准用以规范调查、监测等过程，针对土壤、地下水、空气及废弃物等提供了相应的采样方法和现场测试方法。ASTM 建立的有关土壤采样的标准方法已被许多国家采用（如日本与加拿大等）。美国有关土壤的标准主要以采样和质量控制为主，包括土壤采样质量保证导则（EPA/ 600/ 8-89/ 046）、土壤采样的准备规范（EPA-600/ 4-83-020）、挥发性有机物的采样和分析方法（EPA 1.2:G 91/ 12）、测试挥发性有机物的废弃物和土壤的采样方法（ASTM D4547）、土壤样品的保存和运输方法（ASTM D4220）、用螺旋土钻采样器的采样方法（ASTM D1452）、用薄管采样器的采样方法（ASTM D1587）、用环型衬管式采样器的采样方法（ASTM D3550）、用劈管式采样器的采样方法（ASTM D1586）、土壤样品的定性描述方法（ASTM 3550）等。美国 EPA 在 Soil Screening Guidance（1996）中关于场地的监测采样也做出相关了规定，除挥发性有机物污染的土壤外可以根据土壤特征采集同层土壤的混合样品，即通过将场地划分为不同地块，地块面积为0.5 英亩（约 2024m2）或更小，一般情况下在从每个地块内划分 4 个、6 个或 9 个网格，每个网格内再进行同层取样，取样后制成混合样品待测。在采样深度上，从地表下 2cm 土壤开始采样，每隔 2 英尺（约 0.6m）采集一个土壤样品。</w:t>
      </w:r>
    </w:p>
    <w:p w14:paraId="3836E38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日本早在 1970 年就颁布了《农业用地土壤污染防治法》并作了数次修订，并制定了土壤质量标准和分析方法，1991 年 8 月修订了 Cd 等 10 项标准，于 1994 年 2 月增加了有机氯化合物等 15 项土壤环境限制标准。在颁布的《土壤污染对策法实施规则》中将监测物质分成三种，分别为特定有害物质（主要是挥发性有机物）、特定有害物质（主要是重金属等）和特定有害物质（主要是农药等）。针对土壤污染调查监测规定了点位布设、样品采集及样品分析检测等方法。采样布点是在场地东西和南北方向划定网格，原则上每 100m</w:t>
      </w:r>
      <w:r>
        <w:rPr>
          <w:rFonts w:hint="eastAsia" w:ascii="Times New Roman" w:hAnsi="Times New Roman" w:eastAsia="宋体" w:cs="Times New Roman"/>
          <w:sz w:val="28"/>
          <w:szCs w:val="28"/>
          <w:vertAlign w:val="superscript"/>
          <w:lang w:val="en-US" w:eastAsia="zh-CN"/>
        </w:rPr>
        <w:t>2</w:t>
      </w:r>
      <w:r>
        <w:rPr>
          <w:rFonts w:hint="eastAsia" w:ascii="Times New Roman" w:hAnsi="Times New Roman" w:eastAsia="宋体" w:cs="Times New Roman"/>
          <w:sz w:val="28"/>
          <w:szCs w:val="28"/>
          <w:lang w:val="en-US" w:eastAsia="zh-CN"/>
        </w:rPr>
        <w:t>（10m×10m）设 1 个采样地块；污染可能性小时为每 900m</w:t>
      </w:r>
      <w:r>
        <w:rPr>
          <w:rFonts w:hint="eastAsia" w:ascii="Times New Roman" w:hAnsi="Times New Roman" w:eastAsia="宋体" w:cs="Times New Roman"/>
          <w:sz w:val="28"/>
          <w:szCs w:val="28"/>
          <w:vertAlign w:val="superscript"/>
          <w:lang w:val="en-US" w:eastAsia="zh-CN"/>
        </w:rPr>
        <w:t>2</w:t>
      </w:r>
      <w:r>
        <w:rPr>
          <w:rFonts w:hint="eastAsia" w:ascii="Times New Roman" w:hAnsi="Times New Roman" w:eastAsia="宋体" w:cs="Times New Roman"/>
          <w:sz w:val="28"/>
          <w:szCs w:val="28"/>
          <w:lang w:val="en-US" w:eastAsia="zh-CN"/>
        </w:rPr>
        <w:t>（30m×30m）设 1 个采样地块；VOC不采混合样，金属和农药等可采 5 点混合样。其中样品采集分土壤气样品采集、土壤浸出浓度样品的采集和土壤中污染物含量样品的采集，样品分析测试也针对三种样品进行具体分析方法的规定。土壤的采集从地表到地下水依次为地表至地表下5cm土壤样、5cm到50cm 土壤样及深层土壤样（从0.5m以下到地下水位止每间隔1m采1个样品）。</w:t>
      </w:r>
    </w:p>
    <w:p w14:paraId="1B3BEA0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英国标准局（BSI）于1988 年颁布了《潜在污染土壤的调查规范》（草案）（DD175:1988），该规范规定了一般土壤污染调查的程序和方法指导，包括准备、布点方法、样品采集数量、样品采集方法、质量控制及报告编写等内容。此外，还积极采纳了 ISO 的有关土壤采样与制样标准。例如 ISO 11264 土壤质量理化分析用土壤样品的制备、ISO 10390 土壤质量土壤pH 的测定、ISO 1038226 土壤质量用于好氧菌评价的土壤样品收集、处理和贮存导则，以及 ISO 10381/ DIS 一系列土壤质量采样指南（草案），包括调查方法、取样设计、取样方法及安全防护方法等。</w:t>
      </w:r>
    </w:p>
    <w:p w14:paraId="23B20E20">
      <w:pPr>
        <w:widowControl w:val="0"/>
        <w:spacing w:after="120" w:line="360" w:lineRule="auto"/>
        <w:ind w:left="0" w:leftChars="0" w:firstLine="480" w:firstLineChars="200"/>
        <w:jc w:val="both"/>
        <w:rPr>
          <w:rFonts w:hint="default" w:ascii="Times New Roman" w:hAnsi="Times New Roman" w:eastAsia="宋体" w:cs="Times New Roman"/>
          <w:kern w:val="2"/>
          <w:sz w:val="24"/>
          <w:szCs w:val="24"/>
          <w:lang w:val="en-US" w:eastAsia="zh-CN" w:bidi="ar-SA"/>
        </w:rPr>
      </w:pPr>
    </w:p>
    <w:p w14:paraId="4FA373A7">
      <w:pPr>
        <w:keepNext/>
        <w:keepLines/>
        <w:numPr>
          <w:ilvl w:val="1"/>
          <w:numId w:val="52"/>
        </w:numPr>
        <w:spacing w:before="156" w:beforeLines="50" w:after="156" w:afterLines="50" w:line="560" w:lineRule="exact"/>
        <w:jc w:val="both"/>
        <w:outlineLvl w:val="1"/>
        <w:rPr>
          <w:rFonts w:ascii="Times New Roman" w:hAnsi="Times New Roman" w:eastAsia="宋体" w:cs="Times New Roman"/>
          <w:b/>
          <w:sz w:val="30"/>
          <w:lang w:val="en-US" w:eastAsia="zh-CN" w:bidi="ar-SA"/>
        </w:rPr>
      </w:pPr>
      <w:bookmarkStart w:id="295" w:name="_Toc32092"/>
      <w:r>
        <w:rPr>
          <w:rFonts w:hint="eastAsia" w:ascii="Times New Roman" w:hAnsi="Times New Roman" w:eastAsia="宋体" w:cs="Times New Roman"/>
          <w:b/>
          <w:sz w:val="30"/>
          <w:lang w:val="en-US" w:eastAsia="zh-CN" w:bidi="ar-SA"/>
        </w:rPr>
        <w:t>国内染场地VOCs监测工作概况</w:t>
      </w:r>
      <w:bookmarkEnd w:id="295"/>
    </w:p>
    <w:p w14:paraId="3F0C3DB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国内对污染场地环境监测起步较晚，经过几十年研究，初步构建了污染场地环境管理制度的框架，陆续颁布了系列技术导则和技术规范，指导我国污染场地调查与检测工作开展。</w:t>
      </w:r>
    </w:p>
    <w:p w14:paraId="7C98915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2004年，我国颁布《土壤环境监测技术规范》，介绍了对布点采样、样品制备和分析方法等技术，但是对土壤和地下水中挥发性有机物的采样技术没有详细说明；在14年发布的《场地环境调查技术导则》提出在采集挥发性有机污染物时，要尽量减少对样品的扰动，对样品不可以均质化处理要求。《地块土壤和地下水挥发性有机物采样技术导则》、《土壤和沉积物 挥发性有机物的测定 吹扫捕集/气相色谱-质谱法》、《土壤和沉积物 挥发性有机物的测定 顶空/气相色谱-质谱法》等方法提出了土壤VOCs样品的采样、转运、分析测试全过程规范要求。与国外相比，我国VOCs污染场地环境监测体系建设还有一些差距，在场地有机污染物监测方面，主要存在以下几方面问题。</w:t>
      </w:r>
    </w:p>
    <w:p w14:paraId="38C648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（一）现有技术规范难以满足复杂场地的调查精度</w:t>
      </w:r>
    </w:p>
    <w:p w14:paraId="07E4F3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现有场地调查与采样技术导则是基于场地水文地质条件的均一性和同相性，由于水文地质条件具有非均一性，往往导致污染物在很小的空间尺度上的巨大差异，相关研究表明，深度变化在20厘米的范围内，污染物浓度变化可达到4个数量级的差异。依赖传统侵入式的采样技术和实验室分析方法，由于调查成本过高，周期过长，难以支撑高密度采样技术要求，需要引入大量的在线快速检测技术和非侵入式的被动采样技术，通过与现有的侵入式技术相结合实现场地调查的动态化和高精度的应用。</w:t>
      </w:r>
    </w:p>
    <w:p w14:paraId="443E44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（二）现有场地调查方法与挥发性有机物污染物场地适配性较差</w:t>
      </w:r>
    </w:p>
    <w:p w14:paraId="3018154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我国目前VOCs场地调查与风险评估主要依赖于测试分析土壤中的VOCs浓度，即根据土壤中VOCs浓度采用线性三相平衡模型计算土壤气浓度，并依据土壤气中VOCs迁移扩散模型计算场地VOCs的呼吸暴露途径风险，但三相平衡计算的土壤气浓度往往高于场地实测土壤气，导致风险评估过于保守。</w:t>
      </w:r>
    </w:p>
    <w:p w14:paraId="09BF1BE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土壤样品采集过程中的扰动极易造成土壤中VOCs的逃逸，样品采集过程中，土壤VOCs浓度损失可达10-1000倍，现有调查方法低估了极易挥发的有机污染物场地的风险。同时样品使用甲醇保存可能导致检出限过高，不能满足调查精度。</w:t>
      </w:r>
    </w:p>
    <w:p w14:paraId="3FB917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针对上述问题，亟需在现有调查检测技术规范基础之上，制定明确的用于场地环境调查的VOCs污染土壤和地下水采样、检测、数据上报过程的质量控制技术规范，保证样品采集的质量，防止交叉污染。同时基于检测工作要求，制定采样阶段标准技术措施，在采样阶段加强质量控制措施，严格空白样品、样品、现场平行样、现场加标平行样的采集。在样品分析测试环节，对仪器设备性能、定量校准方法，实验室质控指标、内标及替代标准作详细技术说明，数据处理及审核上报阶段，明确审核管理内容，确保全过程数据真实性、可靠性。</w:t>
      </w:r>
    </w:p>
    <w:p w14:paraId="6FA27F07">
      <w:pPr>
        <w:widowControl w:val="0"/>
        <w:numPr>
          <w:ilvl w:val="0"/>
          <w:numId w:val="0"/>
        </w:numPr>
        <w:spacing w:after="120" w:line="360" w:lineRule="auto"/>
        <w:ind w:left="840" w:leftChars="400" w:firstLine="480" w:firstLineChars="200"/>
        <w:jc w:val="both"/>
        <w:rPr>
          <w:rFonts w:hint="default" w:ascii="等线" w:hAnsi="等线" w:eastAsia="等线" w:cs="Times New Roman"/>
          <w:kern w:val="2"/>
          <w:sz w:val="24"/>
          <w:szCs w:val="24"/>
          <w:lang w:val="en-US" w:eastAsia="zh-CN" w:bidi="ar-SA"/>
        </w:rPr>
      </w:pPr>
    </w:p>
    <w:p w14:paraId="3074591C">
      <w:pPr>
        <w:keepNext/>
        <w:keepLines/>
        <w:numPr>
          <w:ilvl w:val="1"/>
          <w:numId w:val="52"/>
        </w:numPr>
        <w:spacing w:before="156" w:beforeLines="50" w:after="156" w:afterLines="50" w:line="560" w:lineRule="exact"/>
        <w:jc w:val="both"/>
        <w:outlineLvl w:val="1"/>
        <w:rPr>
          <w:rFonts w:ascii="Times New Roman" w:hAnsi="Times New Roman" w:eastAsia="宋体" w:cs="Times New Roman"/>
          <w:b/>
          <w:sz w:val="30"/>
          <w:lang w:val="en-US" w:eastAsia="zh-CN" w:bidi="ar-SA"/>
        </w:rPr>
      </w:pPr>
      <w:bookmarkStart w:id="296" w:name="_Toc22312"/>
      <w:bookmarkStart w:id="297" w:name="_Toc110348299"/>
      <w:bookmarkStart w:id="298" w:name="_Toc9866"/>
      <w:bookmarkStart w:id="299" w:name="_Toc19674"/>
      <w:bookmarkStart w:id="300" w:name="_Toc18346"/>
      <w:r>
        <w:rPr>
          <w:rFonts w:hint="eastAsia" w:ascii="Times New Roman" w:hAnsi="Times New Roman" w:eastAsia="宋体" w:cs="Times New Roman"/>
          <w:b/>
          <w:sz w:val="30"/>
          <w:lang w:val="en-US" w:eastAsia="zh-CN" w:bidi="ar-SA"/>
        </w:rPr>
        <w:t>我国建设用地土壤挥发性有机物</w:t>
      </w:r>
      <w:bookmarkEnd w:id="296"/>
      <w:bookmarkEnd w:id="297"/>
      <w:bookmarkEnd w:id="298"/>
      <w:bookmarkEnd w:id="299"/>
      <w:r>
        <w:rPr>
          <w:rFonts w:hint="eastAsia" w:ascii="Times New Roman" w:hAnsi="Times New Roman" w:eastAsia="宋体" w:cs="Times New Roman"/>
          <w:b/>
          <w:sz w:val="30"/>
          <w:lang w:val="en-US" w:eastAsia="zh-CN" w:bidi="ar-SA"/>
        </w:rPr>
        <w:t>质量控制相关标准情况</w:t>
      </w:r>
      <w:bookmarkEnd w:id="300"/>
    </w:p>
    <w:p w14:paraId="6CCDDF6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目前国内与土壤挥发性有机物监测相关标准有国标HJ1019-2019《地块土壤和地下水中挥发性有机物采样技术导则》、广东省地方标准DB 4401/T 102.4《建设用地土壤污染防治 第4部分：土壤挥发性有机物监测质量保证与质量控制技术规范》、黑龙江省地方标准DB 23/T 3307-2022《建设用地土壤挥发性有机物监测质量保证和质量控制技术规范》</w:t>
      </w:r>
      <w:r>
        <w:rPr>
          <w:rFonts w:hint="default" w:ascii="Times New Roman" w:hAnsi="Times New Roman" w:eastAsia="宋体" w:cs="Times New Roman"/>
          <w:sz w:val="28"/>
          <w:szCs w:val="28"/>
          <w:lang w:val="en-US" w:eastAsia="zh-CN"/>
        </w:rPr>
        <w:t>。</w:t>
      </w:r>
    </w:p>
    <w:p w14:paraId="282CDC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地块土壤和地下水中挥发性有机物采样技术导则》（HJ1019-2019）重点关注土壤及地下水采样过程注意事项，明确了土壤采样现场工具、仪器设备及采样过程中钻探取土、样品筛查、样品采集阶段重点关注事项，未对检测过程进行进一步说明。黑龙江、广东省地方标准针对建设用地土壤挥发性有机物采样过程对人员、仪器设备、采样、样品保存与流转、实验室分析、质量控制、结果上报、质量监督计划做了详细技术说明，广东省地标重点对样品采集全过程、样品实验室分析关键环节及实验室质量控制内容做了细化说明。</w:t>
      </w:r>
    </w:p>
    <w:p w14:paraId="03F2F0B3">
      <w:pPr>
        <w:keepNext/>
        <w:keepLines/>
        <w:numPr>
          <w:ilvl w:val="0"/>
          <w:numId w:val="52"/>
        </w:numPr>
        <w:spacing w:before="260" w:after="260" w:line="360" w:lineRule="auto"/>
        <w:outlineLvl w:val="0"/>
        <w:rPr>
          <w:rFonts w:ascii="Times New Roman" w:hAnsi="Times New Roman" w:eastAsia="宋体" w:cs="Times New Roman"/>
          <w:b/>
          <w:kern w:val="44"/>
          <w:sz w:val="32"/>
          <w:lang w:val="en-US" w:eastAsia="zh-CN" w:bidi="ar-SA"/>
        </w:rPr>
      </w:pPr>
      <w:bookmarkStart w:id="301" w:name="_Toc30193"/>
      <w:bookmarkStart w:id="302" w:name="_Toc4621"/>
      <w:bookmarkStart w:id="303" w:name="_Toc26729"/>
      <w:bookmarkStart w:id="304" w:name="_Toc23864"/>
      <w:bookmarkStart w:id="305" w:name="_Toc5332"/>
      <w:r>
        <w:rPr>
          <w:rFonts w:ascii="Times New Roman" w:hAnsi="Times New Roman" w:eastAsia="宋体" w:cs="Times New Roman"/>
          <w:b/>
          <w:kern w:val="44"/>
          <w:sz w:val="32"/>
          <w:lang w:val="en-US" w:eastAsia="zh-CN" w:bidi="ar-SA"/>
        </w:rPr>
        <w:t>标准主要技术内容</w:t>
      </w:r>
      <w:bookmarkEnd w:id="301"/>
      <w:bookmarkEnd w:id="302"/>
      <w:bookmarkEnd w:id="303"/>
      <w:bookmarkEnd w:id="304"/>
      <w:bookmarkEnd w:id="305"/>
    </w:p>
    <w:p w14:paraId="72A46FE2">
      <w:pPr>
        <w:keepNext/>
        <w:keepLines/>
        <w:numPr>
          <w:ilvl w:val="1"/>
          <w:numId w:val="52"/>
        </w:numPr>
        <w:spacing w:before="156" w:beforeLines="50" w:after="156" w:afterLines="50" w:line="560" w:lineRule="exact"/>
        <w:jc w:val="both"/>
        <w:outlineLvl w:val="1"/>
        <w:rPr>
          <w:rFonts w:ascii="Times New Roman" w:hAnsi="Times New Roman" w:eastAsia="宋体" w:cs="Times New Roman"/>
          <w:b/>
          <w:sz w:val="30"/>
          <w:lang w:val="en-US" w:eastAsia="zh-CN" w:bidi="ar-SA"/>
        </w:rPr>
      </w:pPr>
      <w:bookmarkStart w:id="306" w:name="_Toc31032"/>
      <w:bookmarkStart w:id="307" w:name="_Toc6690"/>
      <w:bookmarkStart w:id="308" w:name="_Toc6836"/>
      <w:bookmarkStart w:id="309" w:name="_Toc23058"/>
      <w:bookmarkStart w:id="310" w:name="_Toc31119"/>
      <w:bookmarkStart w:id="311" w:name="_Toc10270"/>
      <w:r>
        <w:rPr>
          <w:rFonts w:ascii="Times New Roman" w:hAnsi="Times New Roman" w:eastAsia="宋体" w:cs="Times New Roman"/>
          <w:b/>
          <w:sz w:val="30"/>
          <w:lang w:val="en-US" w:eastAsia="zh-CN" w:bidi="ar-SA"/>
        </w:rPr>
        <w:t>适用范围</w:t>
      </w:r>
      <w:bookmarkEnd w:id="306"/>
      <w:bookmarkEnd w:id="307"/>
      <w:bookmarkEnd w:id="308"/>
      <w:bookmarkEnd w:id="309"/>
      <w:bookmarkEnd w:id="310"/>
      <w:bookmarkEnd w:id="311"/>
    </w:p>
    <w:p w14:paraId="261DE68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依据《中华人民共和国环境保护法》、《中华人民共和国土壤污染防治法》、《中华人民共和国固体废物污染环境防治法》、《土壤环境质量 建设用地土壤污染风险管控标准（试行）》（GB 36600-2018）、《建设用地土壤污染状况调查技术导则》（HJ 25.1-2019）、《建设用地土壤污染风险管控和修复监测技术导则》（HJ 25.2-2019）、《建设用地土壤污染风险评估技术导则》（HJ 25.3-2019）、《建设用地土壤修复技术导则》（HJ 25.4-2019）、《污染地块风险管控与土壤修复效果评估技术导则（试行）》（HJ 25.5-2018）、《污染地块地下水修复和风险管控技术导则》（HJ 25.6-2019）（GB/T 39793.2-2020）等系列</w:t>
      </w:r>
      <w:r>
        <w:rPr>
          <w:rFonts w:hint="eastAsia" w:ascii="Times New Roman" w:hAnsi="Times New Roman" w:eastAsia="宋体" w:cs="Times New Roman"/>
          <w:sz w:val="28"/>
          <w:szCs w:val="28"/>
          <w:lang w:val="en-US" w:eastAsia="zh-CN"/>
        </w:rPr>
        <w:t>法律</w:t>
      </w:r>
      <w:r>
        <w:rPr>
          <w:rFonts w:hint="default" w:ascii="Times New Roman" w:hAnsi="Times New Roman" w:eastAsia="宋体" w:cs="Times New Roman"/>
          <w:sz w:val="28"/>
          <w:szCs w:val="28"/>
          <w:lang w:val="en-US" w:eastAsia="zh-CN"/>
        </w:rPr>
        <w:t>标准规定，我们将《建设用地土壤污染防治</w:t>
      </w:r>
      <w:r>
        <w:rPr>
          <w:rFonts w:hint="default" w:ascii="Times New Roman" w:hAnsi="Times New Roman" w:eastAsia="宋体" w:cs="Times New Roman"/>
          <w:sz w:val="28"/>
          <w:szCs w:val="28"/>
          <w:lang w:val="en-US" w:eastAsia="zh-CN"/>
        </w:rPr>
        <w:tab/>
      </w:r>
      <w:r>
        <w:rPr>
          <w:rFonts w:hint="default" w:ascii="Times New Roman" w:hAnsi="Times New Roman" w:eastAsia="宋体" w:cs="Times New Roman"/>
          <w:sz w:val="28"/>
          <w:szCs w:val="28"/>
          <w:lang w:val="en-US" w:eastAsia="zh-CN"/>
        </w:rPr>
        <w:t>第 3 部分：土壤挥发性有机物监测质量保证与质量控制技术规范》的适用范围界定为</w:t>
      </w:r>
      <w:r>
        <w:rPr>
          <w:rFonts w:hint="eastAsia" w:ascii="Times New Roman" w:hAnsi="Times New Roman" w:eastAsia="宋体" w:cs="Times New Roman"/>
          <w:sz w:val="28"/>
          <w:szCs w:val="28"/>
          <w:lang w:val="en-US" w:eastAsia="zh-CN"/>
        </w:rPr>
        <w:t>建设用地土壤调查监测过程中所涉及的GB 36600“建设用地土壤污染风险筛选值和管制值”中土壤挥发性有机物的监测质量控制。其他土壤挥发性有机物项目的监测质量控制可参照本文件执行。</w:t>
      </w:r>
    </w:p>
    <w:p w14:paraId="3597FCD2">
      <w:pPr>
        <w:keepNext/>
        <w:keepLines/>
        <w:numPr>
          <w:ilvl w:val="1"/>
          <w:numId w:val="52"/>
        </w:numPr>
        <w:spacing w:before="156" w:beforeLines="50" w:after="156" w:afterLines="50" w:line="560" w:lineRule="exact"/>
        <w:jc w:val="both"/>
        <w:outlineLvl w:val="1"/>
        <w:rPr>
          <w:rFonts w:ascii="Times New Roman" w:hAnsi="Times New Roman" w:eastAsia="宋体" w:cs="Times New Roman"/>
          <w:b/>
          <w:sz w:val="30"/>
          <w:lang w:val="en-US" w:eastAsia="zh-CN" w:bidi="ar-SA"/>
        </w:rPr>
      </w:pPr>
      <w:bookmarkStart w:id="312" w:name="_Toc3405"/>
      <w:bookmarkStart w:id="313" w:name="_Toc25600"/>
      <w:bookmarkStart w:id="314" w:name="_Toc12313"/>
      <w:bookmarkStart w:id="315" w:name="_Toc17041"/>
      <w:bookmarkStart w:id="316" w:name="_Toc2106"/>
      <w:bookmarkStart w:id="317" w:name="_Toc19272"/>
      <w:r>
        <w:rPr>
          <w:rFonts w:ascii="Times New Roman" w:hAnsi="Times New Roman" w:eastAsia="宋体" w:cs="Times New Roman"/>
          <w:b/>
          <w:sz w:val="30"/>
          <w:lang w:val="en-US" w:eastAsia="zh-CN" w:bidi="ar-SA"/>
        </w:rPr>
        <w:t>术语和定义</w:t>
      </w:r>
      <w:bookmarkEnd w:id="312"/>
      <w:bookmarkEnd w:id="313"/>
      <w:bookmarkEnd w:id="314"/>
      <w:bookmarkEnd w:id="315"/>
      <w:bookmarkEnd w:id="316"/>
      <w:bookmarkEnd w:id="317"/>
    </w:p>
    <w:p w14:paraId="2982AC2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《建设用地土壤污染防治</w:t>
      </w:r>
      <w:r>
        <w:rPr>
          <w:rFonts w:hint="default" w:ascii="Times New Roman" w:hAnsi="Times New Roman" w:eastAsia="宋体" w:cs="Times New Roman"/>
          <w:sz w:val="28"/>
          <w:szCs w:val="28"/>
          <w:lang w:val="en-US" w:eastAsia="zh-CN"/>
        </w:rPr>
        <w:tab/>
      </w:r>
      <w:r>
        <w:rPr>
          <w:rFonts w:hint="default" w:ascii="Times New Roman" w:hAnsi="Times New Roman" w:eastAsia="宋体" w:cs="Times New Roman"/>
          <w:sz w:val="28"/>
          <w:szCs w:val="28"/>
          <w:lang w:val="en-US" w:eastAsia="zh-CN"/>
        </w:rPr>
        <w:t>第 3 部分：土壤挥发性有机物监测质量保证与质量控制技术规范》中对</w:t>
      </w:r>
      <w:r>
        <w:rPr>
          <w:rFonts w:hint="eastAsia" w:ascii="Times New Roman" w:hAnsi="Times New Roman" w:eastAsia="宋体" w:cs="Times New Roman"/>
          <w:sz w:val="28"/>
          <w:szCs w:val="28"/>
          <w:lang w:val="en-US" w:eastAsia="zh-CN"/>
        </w:rPr>
        <w:t>土壤挥发性有机物监测过程中挥发性有机物、替代物、基体加标、实验室空白、运输空白、全程序空白</w:t>
      </w:r>
      <w:r>
        <w:rPr>
          <w:rFonts w:hint="default" w:ascii="Times New Roman" w:hAnsi="Times New Roman" w:eastAsia="宋体" w:cs="Times New Roman"/>
          <w:sz w:val="28"/>
          <w:szCs w:val="28"/>
          <w:lang w:val="en-US" w:eastAsia="zh-CN"/>
        </w:rPr>
        <w:t>等部分术语和定义，主要是基于</w:t>
      </w:r>
      <w:r>
        <w:rPr>
          <w:rFonts w:hint="eastAsia" w:ascii="Times New Roman" w:hAnsi="Times New Roman" w:eastAsia="宋体" w:cs="Times New Roman"/>
          <w:sz w:val="28"/>
          <w:szCs w:val="28"/>
          <w:lang w:val="en-US" w:eastAsia="zh-CN"/>
        </w:rPr>
        <w:t>土壤有机物监测过程中非常规术语</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均为引用其他标准文件。</w:t>
      </w:r>
    </w:p>
    <w:p w14:paraId="52F505B7">
      <w:pPr>
        <w:keepNext/>
        <w:keepLines/>
        <w:numPr>
          <w:ilvl w:val="1"/>
          <w:numId w:val="52"/>
        </w:numPr>
        <w:spacing w:before="156" w:beforeLines="50" w:after="156" w:afterLines="50" w:line="560" w:lineRule="exact"/>
        <w:jc w:val="both"/>
        <w:outlineLvl w:val="1"/>
        <w:rPr>
          <w:rFonts w:ascii="Times New Roman" w:hAnsi="Times New Roman" w:eastAsia="宋体" w:cs="Times New Roman"/>
          <w:b/>
          <w:sz w:val="30"/>
          <w:lang w:val="en-US" w:eastAsia="zh-CN" w:bidi="ar-SA"/>
        </w:rPr>
      </w:pPr>
      <w:bookmarkStart w:id="318" w:name="_Toc10491"/>
      <w:bookmarkStart w:id="319" w:name="_Toc10839"/>
      <w:bookmarkStart w:id="320" w:name="_Toc6373"/>
      <w:bookmarkStart w:id="321" w:name="_Toc7767"/>
      <w:r>
        <w:rPr>
          <w:rFonts w:hint="eastAsia" w:ascii="Times New Roman" w:hAnsi="Times New Roman" w:eastAsia="宋体" w:cs="Times New Roman"/>
          <w:b/>
          <w:sz w:val="30"/>
          <w:lang w:val="en-US" w:eastAsia="zh-CN" w:bidi="ar-SA"/>
        </w:rPr>
        <w:t>人员</w:t>
      </w:r>
      <w:bookmarkEnd w:id="318"/>
      <w:bookmarkEnd w:id="319"/>
      <w:bookmarkEnd w:id="320"/>
      <w:bookmarkEnd w:id="321"/>
    </w:p>
    <w:p w14:paraId="2CD02D5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根据挥发性有机物监测质量全过程提出四类承担主要质量责任人员类型，并明确各类人员专业技能</w:t>
      </w:r>
      <w:r>
        <w:rPr>
          <w:rFonts w:hint="default" w:ascii="Times New Roman" w:hAnsi="Times New Roman" w:eastAsia="宋体" w:cs="Times New Roman"/>
          <w:sz w:val="28"/>
          <w:szCs w:val="28"/>
          <w:lang w:val="en-US" w:eastAsia="zh-CN"/>
        </w:rPr>
        <w:t>要求。</w:t>
      </w:r>
    </w:p>
    <w:p w14:paraId="415B3A50">
      <w:pPr>
        <w:keepNext/>
        <w:keepLines/>
        <w:numPr>
          <w:ilvl w:val="1"/>
          <w:numId w:val="52"/>
        </w:numPr>
        <w:spacing w:before="156" w:beforeLines="50" w:after="156" w:afterLines="50" w:line="560" w:lineRule="exact"/>
        <w:jc w:val="both"/>
        <w:outlineLvl w:val="1"/>
        <w:rPr>
          <w:rFonts w:hint="eastAsia" w:ascii="Times New Roman" w:hAnsi="Times New Roman" w:eastAsia="宋体" w:cs="Times New Roman"/>
          <w:b/>
          <w:sz w:val="30"/>
          <w:lang w:val="en-US" w:eastAsia="zh-CN" w:bidi="ar-SA"/>
        </w:rPr>
      </w:pPr>
      <w:bookmarkStart w:id="322" w:name="_Toc24707"/>
      <w:r>
        <w:rPr>
          <w:rFonts w:hint="eastAsia" w:ascii="Times New Roman" w:hAnsi="Times New Roman" w:eastAsia="宋体" w:cs="Times New Roman"/>
          <w:b/>
          <w:sz w:val="30"/>
          <w:lang w:val="en-US" w:eastAsia="zh-CN" w:bidi="ar-SA"/>
        </w:rPr>
        <w:t>仪器与设备</w:t>
      </w:r>
      <w:bookmarkEnd w:id="322"/>
    </w:p>
    <w:p w14:paraId="5223A95B">
      <w:pPr>
        <w:widowControl/>
        <w:spacing w:line="360" w:lineRule="auto"/>
        <w:ind w:firstLine="480" w:firstLineChars="200"/>
        <w:rPr>
          <w:rFonts w:ascii="Times New Roman" w:hAnsi="Times New Roman" w:eastAsia="宋体" w:cs="Times New Roman"/>
          <w:sz w:val="24"/>
          <w:szCs w:val="28"/>
        </w:rPr>
      </w:pPr>
      <w:r>
        <w:rPr>
          <w:rFonts w:hint="default" w:ascii="Times New Roman" w:hAnsi="Times New Roman" w:eastAsia="宋体" w:cs="Times New Roman"/>
          <w:sz w:val="24"/>
          <w:lang w:eastAsia="zh-CN"/>
        </w:rPr>
        <w:t>将仪器设备划分为采样设备、现场快速检测设备及实验室检测设备</w:t>
      </w:r>
    </w:p>
    <w:p w14:paraId="736B5137">
      <w:pPr>
        <w:keepNext/>
        <w:keepLines/>
        <w:numPr>
          <w:ilvl w:val="1"/>
          <w:numId w:val="52"/>
        </w:numPr>
        <w:spacing w:before="156" w:beforeLines="50" w:after="156" w:afterLines="50" w:line="560" w:lineRule="exact"/>
        <w:jc w:val="both"/>
        <w:outlineLvl w:val="1"/>
        <w:rPr>
          <w:rFonts w:hint="eastAsia" w:ascii="Times New Roman" w:hAnsi="Times New Roman" w:eastAsia="宋体" w:cs="Times New Roman"/>
          <w:b/>
          <w:sz w:val="30"/>
          <w:lang w:val="en-US" w:eastAsia="zh-CN" w:bidi="ar-SA"/>
        </w:rPr>
      </w:pPr>
      <w:bookmarkStart w:id="323" w:name="_Toc9013"/>
      <w:bookmarkStart w:id="324" w:name="_Toc20171"/>
      <w:bookmarkStart w:id="325" w:name="_Toc6157"/>
      <w:bookmarkStart w:id="326" w:name="_Toc3849"/>
      <w:bookmarkStart w:id="327" w:name="_Toc20722"/>
      <w:r>
        <w:rPr>
          <w:rFonts w:hint="eastAsia" w:ascii="Times New Roman" w:hAnsi="Times New Roman" w:eastAsia="宋体" w:cs="Times New Roman"/>
          <w:b/>
          <w:sz w:val="30"/>
          <w:lang w:val="en-US" w:eastAsia="zh-CN" w:bidi="ar-SA"/>
        </w:rPr>
        <w:t>样品采集、保存与运输</w:t>
      </w:r>
      <w:bookmarkEnd w:id="323"/>
    </w:p>
    <w:p w14:paraId="67C745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对有方法标准的，严格按照标准执行；针对无方法标准的，根据已有的方法标准和在研方法标准研究成果，以及目前方法标准采样、 保存与运输的规定，提出了样品的具体要求。 </w:t>
      </w:r>
    </w:p>
    <w:p w14:paraId="54981749">
      <w:pPr>
        <w:keepNext/>
        <w:keepLines/>
        <w:numPr>
          <w:ilvl w:val="1"/>
          <w:numId w:val="52"/>
        </w:numPr>
        <w:spacing w:before="156" w:beforeLines="50" w:after="156" w:afterLines="50" w:line="560" w:lineRule="exact"/>
        <w:jc w:val="both"/>
        <w:outlineLvl w:val="1"/>
        <w:rPr>
          <w:rFonts w:hint="eastAsia" w:ascii="Times New Roman" w:hAnsi="Times New Roman" w:eastAsia="宋体" w:cs="Times New Roman"/>
          <w:b/>
          <w:sz w:val="30"/>
          <w:lang w:val="en-US" w:eastAsia="zh-CN" w:bidi="ar-SA"/>
        </w:rPr>
      </w:pPr>
      <w:bookmarkStart w:id="328" w:name="_Toc26930"/>
      <w:r>
        <w:rPr>
          <w:rFonts w:hint="eastAsia" w:ascii="Times New Roman" w:hAnsi="Times New Roman" w:eastAsia="宋体" w:cs="Times New Roman"/>
          <w:b/>
          <w:sz w:val="30"/>
          <w:lang w:val="en-US" w:eastAsia="zh-CN" w:bidi="ar-SA"/>
        </w:rPr>
        <w:t>样品制备</w:t>
      </w:r>
      <w:bookmarkEnd w:id="328"/>
    </w:p>
    <w:p w14:paraId="78FDCE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ascii="Times New Roman" w:hAnsi="Times New Roman" w:eastAsia="宋体" w:cs="Times New Roman"/>
          <w:sz w:val="24"/>
        </w:rPr>
      </w:pPr>
      <w:r>
        <w:rPr>
          <w:rFonts w:hint="eastAsia" w:ascii="Times New Roman" w:hAnsi="Times New Roman" w:eastAsia="宋体" w:cs="Times New Roman"/>
          <w:sz w:val="28"/>
          <w:szCs w:val="28"/>
          <w:lang w:val="en-US" w:eastAsia="zh-CN"/>
        </w:rPr>
        <w:t xml:space="preserve">有方法标准的，在初次使用方法前，应开展方法验证；无方法标准的，按照相关要求编制作业指导书，并按照要求开展方法确认。 </w:t>
      </w:r>
    </w:p>
    <w:p w14:paraId="2CDE3C1C">
      <w:pPr>
        <w:keepNext/>
        <w:keepLines/>
        <w:numPr>
          <w:ilvl w:val="1"/>
          <w:numId w:val="52"/>
        </w:numPr>
        <w:spacing w:before="156" w:beforeLines="50" w:after="156" w:afterLines="50" w:line="560" w:lineRule="exact"/>
        <w:jc w:val="both"/>
        <w:outlineLvl w:val="1"/>
        <w:rPr>
          <w:rFonts w:hint="eastAsia" w:ascii="Times New Roman" w:hAnsi="Times New Roman" w:eastAsia="宋体" w:cs="Times New Roman"/>
          <w:b/>
          <w:sz w:val="30"/>
          <w:lang w:val="en-US" w:eastAsia="zh-CN" w:bidi="ar-SA"/>
        </w:rPr>
      </w:pPr>
      <w:bookmarkStart w:id="329" w:name="_Toc20274"/>
      <w:r>
        <w:rPr>
          <w:rFonts w:hint="eastAsia" w:ascii="Times New Roman" w:hAnsi="Times New Roman" w:eastAsia="宋体" w:cs="Times New Roman"/>
          <w:b/>
          <w:sz w:val="30"/>
          <w:lang w:val="en-US" w:eastAsia="zh-CN" w:bidi="ar-SA"/>
        </w:rPr>
        <w:t>标准物质、试剂和材料</w:t>
      </w:r>
      <w:bookmarkEnd w:id="329"/>
    </w:p>
    <w:p w14:paraId="67C3AE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实验室使用的标准物质应购买有证标准物质，应有标准物质的规范管理程序，对其购置、核查、使用、运输、储存和安全处置等进行规定。</w:t>
      </w:r>
    </w:p>
    <w:p w14:paraId="1BACF5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试剂和材料使用前需通过实验，确认无目标化合物或目标化合物浓度低于方法检出限。</w:t>
      </w:r>
    </w:p>
    <w:p w14:paraId="76F2D939">
      <w:pPr>
        <w:keepNext/>
        <w:keepLines/>
        <w:numPr>
          <w:ilvl w:val="1"/>
          <w:numId w:val="52"/>
        </w:numPr>
        <w:spacing w:before="156" w:beforeLines="50" w:after="156" w:afterLines="50" w:line="560" w:lineRule="exact"/>
        <w:jc w:val="both"/>
        <w:outlineLvl w:val="1"/>
        <w:rPr>
          <w:rFonts w:hint="eastAsia" w:ascii="Times New Roman" w:hAnsi="Times New Roman" w:eastAsia="宋体" w:cs="Times New Roman"/>
          <w:b/>
          <w:sz w:val="30"/>
          <w:lang w:val="en-US" w:eastAsia="zh-CN" w:bidi="ar-SA"/>
        </w:rPr>
      </w:pPr>
      <w:bookmarkStart w:id="330" w:name="_Toc3770"/>
      <w:r>
        <w:rPr>
          <w:rFonts w:hint="eastAsia" w:ascii="Times New Roman" w:hAnsi="Times New Roman" w:eastAsia="宋体" w:cs="Times New Roman"/>
          <w:b/>
          <w:sz w:val="30"/>
          <w:lang w:val="en-US" w:eastAsia="zh-CN" w:bidi="ar-SA"/>
        </w:rPr>
        <w:t>样品分析</w:t>
      </w:r>
      <w:bookmarkEnd w:id="330"/>
    </w:p>
    <w:p w14:paraId="762580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样品分析之前应进行仪器性能检查和空白试验，其测定结果应满足相关控制要求。连续进样分析时需要插入校准曲线中间浓度点来检查仪器性能变化。</w:t>
      </w:r>
    </w:p>
    <w:p w14:paraId="4C9A02DD">
      <w:pPr>
        <w:keepNext/>
        <w:keepLines/>
        <w:numPr>
          <w:ilvl w:val="1"/>
          <w:numId w:val="52"/>
        </w:numPr>
        <w:spacing w:before="156" w:beforeLines="50" w:after="156" w:afterLines="50" w:line="560" w:lineRule="exact"/>
        <w:jc w:val="both"/>
        <w:outlineLvl w:val="1"/>
        <w:rPr>
          <w:rFonts w:hint="eastAsia" w:ascii="Times New Roman" w:hAnsi="Times New Roman" w:eastAsia="宋体" w:cs="Times New Roman"/>
          <w:b/>
          <w:sz w:val="30"/>
          <w:lang w:val="en-US" w:eastAsia="zh-CN" w:bidi="ar-SA"/>
        </w:rPr>
      </w:pPr>
      <w:bookmarkStart w:id="331" w:name="_Toc28472"/>
      <w:r>
        <w:rPr>
          <w:rFonts w:hint="eastAsia" w:ascii="Times New Roman" w:hAnsi="Times New Roman" w:eastAsia="宋体" w:cs="Times New Roman"/>
          <w:b/>
          <w:sz w:val="30"/>
          <w:lang w:val="en-US" w:eastAsia="zh-CN" w:bidi="ar-SA"/>
        </w:rPr>
        <w:t>实验室质量控制</w:t>
      </w:r>
      <w:bookmarkEnd w:id="331"/>
    </w:p>
    <w:p w14:paraId="6DE917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根据环境监测质量保证和质量控制的通用要求，即监测仪器和设备应按有关规定定期检定</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 xml:space="preserve">校准和维护，监测人员应持有相关项目的上岗证或通过相关考核。在此基础上，明确有方法标准的，依据方法标准执行质量控制指标，无方法标准的，依据所建立的作业指导书执行质量控制指标，作业指导书应经方法确认，并通过资质认定。 </w:t>
      </w:r>
    </w:p>
    <w:p w14:paraId="02744AD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实验室内部质量控制应开展空白试验、校准曲线检查、精密度控制和准确度控制，实验室间质量控制应开展密码样测试和实验室间对比测试，应保留一定数量或比例的样品进行留样复测。</w:t>
      </w:r>
    </w:p>
    <w:p w14:paraId="0830E426">
      <w:pPr>
        <w:keepNext/>
        <w:keepLines/>
        <w:numPr>
          <w:ilvl w:val="1"/>
          <w:numId w:val="52"/>
        </w:numPr>
        <w:spacing w:before="156" w:beforeLines="50" w:after="156" w:afterLines="50" w:line="560" w:lineRule="exact"/>
        <w:jc w:val="both"/>
        <w:outlineLvl w:val="1"/>
        <w:rPr>
          <w:rFonts w:hint="eastAsia" w:ascii="Times New Roman" w:hAnsi="Times New Roman" w:eastAsia="宋体" w:cs="Times New Roman"/>
          <w:b/>
          <w:sz w:val="28"/>
          <w:szCs w:val="28"/>
          <w:lang w:val="en-US" w:eastAsia="zh-CN" w:bidi="ar-SA"/>
        </w:rPr>
      </w:pPr>
      <w:bookmarkStart w:id="332" w:name="_Toc21872"/>
      <w:r>
        <w:rPr>
          <w:rFonts w:hint="eastAsia" w:ascii="Times New Roman" w:hAnsi="Times New Roman" w:eastAsia="宋体" w:cs="Times New Roman"/>
          <w:b/>
          <w:sz w:val="30"/>
          <w:lang w:val="en-US" w:eastAsia="zh-CN" w:bidi="ar-SA"/>
        </w:rPr>
        <w:t>实验记录与报告要求</w:t>
      </w:r>
      <w:bookmarkEnd w:id="332"/>
    </w:p>
    <w:p w14:paraId="0DDD3A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8"/>
          <w:szCs w:val="28"/>
          <w:lang w:val="en-US" w:eastAsia="zh-CN"/>
        </w:rPr>
        <w:t>应保证监测数据的完整性，确保科学客观的反映分析测试结果，不得选择性的舍弃数据或者人为干预监测或者评价结果。检测原始数据应以纸质版或电子版保存留档，应有监测人员和审核人员的手写签名。分析测试结果应严格按照分析测试方法规定的有效数字和法定计量单位表示，同时给出本实验室的方法检出限值。检测数据和检测报告应建立三级审核制度。</w:t>
      </w:r>
    </w:p>
    <w:p w14:paraId="780FD7B0">
      <w:pPr>
        <w:keepNext/>
        <w:keepLines/>
        <w:numPr>
          <w:ilvl w:val="0"/>
          <w:numId w:val="52"/>
        </w:numPr>
        <w:spacing w:before="260" w:after="260" w:line="360" w:lineRule="auto"/>
        <w:outlineLvl w:val="0"/>
        <w:rPr>
          <w:rFonts w:ascii="Times New Roman" w:hAnsi="Times New Roman" w:eastAsia="宋体" w:cs="Times New Roman"/>
          <w:b/>
          <w:kern w:val="44"/>
          <w:sz w:val="32"/>
          <w:lang w:val="en-US" w:eastAsia="zh-CN" w:bidi="ar-SA"/>
        </w:rPr>
      </w:pPr>
      <w:bookmarkStart w:id="333" w:name="_Toc7393"/>
      <w:r>
        <w:rPr>
          <w:rFonts w:ascii="Times New Roman" w:hAnsi="Times New Roman" w:eastAsia="宋体" w:cs="Times New Roman"/>
          <w:b/>
          <w:kern w:val="44"/>
          <w:sz w:val="32"/>
          <w:lang w:val="en-US" w:eastAsia="zh-CN" w:bidi="ar-SA"/>
        </w:rPr>
        <w:t>对实施本标准的建议</w:t>
      </w:r>
      <w:bookmarkEnd w:id="324"/>
      <w:bookmarkEnd w:id="325"/>
      <w:bookmarkEnd w:id="326"/>
      <w:bookmarkEnd w:id="327"/>
      <w:bookmarkEnd w:id="333"/>
    </w:p>
    <w:p w14:paraId="48BF12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本标准是为贯彻落实《中华人民共和国土壤污染防治法》《湖北省土壤污染防治条例》，保护土壤生态环境，保障人居环境安全，加强湖北省建设用地土壤环境监督管理，建立健全我省土壤污染防治标准体系，规范我省土壤污染状况调查及监测工作而制定，标准内容涉及多部门、多领域，建议相关单位、部门加强与标准制定单位的交流，为建设用地污染防治工作提供有效的技术支撑。同时建议加大标准的宣传，扩大标准的影响力，促进标准在科研、污染防治实践以及其他领域的应用。</w:t>
      </w:r>
    </w:p>
    <w:p w14:paraId="59F55812">
      <w:pPr>
        <w:spacing w:line="360" w:lineRule="auto"/>
        <w:jc w:val="both"/>
        <w:rPr>
          <w:rFonts w:hint="eastAsia" w:ascii="Times New Roman" w:hAnsi="Times New Roman"/>
          <w:sz w:val="24"/>
          <w:highlight w:val="yellow"/>
        </w:rPr>
        <w:sectPr>
          <w:footerReference r:id="rId72" w:type="default"/>
          <w:pgSz w:w="11906" w:h="16838"/>
          <w:pgMar w:top="1440" w:right="1800" w:bottom="1440" w:left="1800" w:header="851" w:footer="992" w:gutter="0"/>
          <w:pgNumType w:fmt="decimalFullWidth" w:start="1"/>
          <w:cols w:space="425" w:num="1"/>
          <w:docGrid w:type="lines" w:linePitch="312" w:charSpace="0"/>
        </w:sectPr>
      </w:pPr>
    </w:p>
    <w:p w14:paraId="289DC60D">
      <w:pPr>
        <w:rPr>
          <w:rFonts w:hint="eastAsia" w:ascii="黑体" w:hAnsi="黑体" w:eastAsia="黑体"/>
          <w:sz w:val="32"/>
          <w:lang w:eastAsia="zh-CN"/>
        </w:rPr>
      </w:pPr>
      <w:r>
        <w:rPr>
          <w:rFonts w:hint="eastAsia" w:ascii="黑体" w:hAnsi="黑体" w:eastAsia="黑体"/>
          <w:sz w:val="32"/>
        </w:rPr>
        <w:t>附件</w:t>
      </w:r>
      <w:r>
        <w:rPr>
          <w:rFonts w:hint="eastAsia" w:ascii="黑体" w:hAnsi="黑体" w:eastAsia="黑体"/>
          <w:sz w:val="32"/>
          <w:lang w:val="en-US" w:eastAsia="zh-CN"/>
        </w:rPr>
        <w:t>8</w:t>
      </w:r>
    </w:p>
    <w:p w14:paraId="54ED7135">
      <w:pPr>
        <w:spacing w:before="156" w:beforeLines="50" w:after="156" w:afterLines="50"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地方标准征求意见表</w:t>
      </w:r>
    </w:p>
    <w:tbl>
      <w:tblPr>
        <w:tblStyle w:val="9"/>
        <w:tblW w:w="9630" w:type="dxa"/>
        <w:tblInd w:w="-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5"/>
        <w:gridCol w:w="1680"/>
        <w:gridCol w:w="1605"/>
        <w:gridCol w:w="1365"/>
        <w:gridCol w:w="2100"/>
      </w:tblGrid>
      <w:tr w14:paraId="3D71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05" w:type="dxa"/>
            <w:vAlign w:val="center"/>
          </w:tcPr>
          <w:p w14:paraId="08DDAF2F">
            <w:pPr>
              <w:spacing w:before="156" w:beforeLines="50" w:after="156" w:afterLines="50" w:line="600" w:lineRule="exact"/>
              <w:jc w:val="center"/>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标准名称</w:t>
            </w:r>
          </w:p>
        </w:tc>
        <w:tc>
          <w:tcPr>
            <w:tcW w:w="8025" w:type="dxa"/>
            <w:gridSpan w:val="5"/>
            <w:vAlign w:val="center"/>
          </w:tcPr>
          <w:p w14:paraId="2FC6D6D3">
            <w:pPr>
              <w:spacing w:before="156" w:beforeLines="50" w:after="156" w:afterLines="50" w:line="600" w:lineRule="exact"/>
              <w:jc w:val="center"/>
              <w:rPr>
                <w:rFonts w:hint="eastAsia" w:ascii="方正仿宋_GBK" w:hAnsi="仿宋_GB2312" w:eastAsia="方正仿宋_GBK" w:cs="仿宋_GB2312"/>
                <w:b/>
                <w:sz w:val="28"/>
                <w:szCs w:val="32"/>
              </w:rPr>
            </w:pPr>
          </w:p>
        </w:tc>
      </w:tr>
      <w:tr w14:paraId="7D4D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vAlign w:val="center"/>
          </w:tcPr>
          <w:p w14:paraId="56F7A6A7">
            <w:pPr>
              <w:spacing w:before="156" w:beforeLines="50" w:after="156" w:afterLines="50" w:line="600" w:lineRule="exact"/>
              <w:jc w:val="center"/>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填表单位</w:t>
            </w:r>
          </w:p>
        </w:tc>
        <w:tc>
          <w:tcPr>
            <w:tcW w:w="8025" w:type="dxa"/>
            <w:gridSpan w:val="5"/>
            <w:vAlign w:val="center"/>
          </w:tcPr>
          <w:p w14:paraId="72B0A690">
            <w:pPr>
              <w:spacing w:before="156" w:beforeLines="50" w:after="156" w:afterLines="50" w:line="600" w:lineRule="exact"/>
              <w:jc w:val="center"/>
              <w:rPr>
                <w:rFonts w:hint="eastAsia" w:ascii="方正仿宋_GBK" w:hAnsi="仿宋_GB2312" w:eastAsia="方正仿宋_GBK" w:cs="仿宋_GB2312"/>
                <w:sz w:val="28"/>
                <w:szCs w:val="32"/>
              </w:rPr>
            </w:pPr>
          </w:p>
        </w:tc>
      </w:tr>
      <w:tr w14:paraId="2C44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5" w:type="dxa"/>
            <w:vAlign w:val="center"/>
          </w:tcPr>
          <w:p w14:paraId="4E002000">
            <w:pPr>
              <w:spacing w:before="156" w:beforeLines="50" w:after="156" w:afterLines="50" w:line="600" w:lineRule="exact"/>
              <w:jc w:val="center"/>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填表人</w:t>
            </w:r>
          </w:p>
        </w:tc>
        <w:tc>
          <w:tcPr>
            <w:tcW w:w="1275" w:type="dxa"/>
            <w:vAlign w:val="center"/>
          </w:tcPr>
          <w:p w14:paraId="4AC6A9DF">
            <w:pPr>
              <w:spacing w:before="156" w:beforeLines="50" w:after="156" w:afterLines="50" w:line="600" w:lineRule="exact"/>
              <w:jc w:val="center"/>
              <w:rPr>
                <w:rFonts w:hint="eastAsia" w:ascii="方正仿宋_GBK" w:hAnsi="仿宋_GB2312" w:eastAsia="方正仿宋_GBK" w:cs="仿宋_GB2312"/>
                <w:sz w:val="28"/>
                <w:szCs w:val="32"/>
              </w:rPr>
            </w:pPr>
          </w:p>
        </w:tc>
        <w:tc>
          <w:tcPr>
            <w:tcW w:w="1680" w:type="dxa"/>
            <w:vAlign w:val="center"/>
          </w:tcPr>
          <w:p w14:paraId="6AAA6AB1">
            <w:pPr>
              <w:spacing w:before="156" w:beforeLines="50" w:after="156" w:afterLines="50" w:line="600" w:lineRule="exact"/>
              <w:jc w:val="center"/>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职务或职称</w:t>
            </w:r>
          </w:p>
        </w:tc>
        <w:tc>
          <w:tcPr>
            <w:tcW w:w="1605" w:type="dxa"/>
            <w:vAlign w:val="center"/>
          </w:tcPr>
          <w:p w14:paraId="1600C13F">
            <w:pPr>
              <w:spacing w:before="156" w:beforeLines="50" w:after="156" w:afterLines="50" w:line="600" w:lineRule="exact"/>
              <w:jc w:val="center"/>
              <w:rPr>
                <w:rFonts w:hint="eastAsia" w:ascii="方正仿宋_GBK" w:hAnsi="仿宋_GB2312" w:eastAsia="方正仿宋_GBK" w:cs="仿宋_GB2312"/>
                <w:sz w:val="28"/>
                <w:szCs w:val="32"/>
              </w:rPr>
            </w:pPr>
          </w:p>
        </w:tc>
        <w:tc>
          <w:tcPr>
            <w:tcW w:w="1365" w:type="dxa"/>
            <w:vAlign w:val="center"/>
          </w:tcPr>
          <w:p w14:paraId="4028A355">
            <w:pPr>
              <w:spacing w:before="156" w:beforeLines="50" w:after="156" w:afterLines="50" w:line="600" w:lineRule="exact"/>
              <w:jc w:val="center"/>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联系方式</w:t>
            </w:r>
          </w:p>
        </w:tc>
        <w:tc>
          <w:tcPr>
            <w:tcW w:w="2100" w:type="dxa"/>
            <w:vAlign w:val="center"/>
          </w:tcPr>
          <w:p w14:paraId="236A3C14">
            <w:pPr>
              <w:spacing w:before="156" w:beforeLines="50" w:after="156" w:afterLines="50" w:line="600" w:lineRule="exact"/>
              <w:jc w:val="center"/>
              <w:rPr>
                <w:rFonts w:hint="eastAsia" w:ascii="方正仿宋_GBK" w:hAnsi="仿宋_GB2312" w:eastAsia="方正仿宋_GBK" w:cs="仿宋_GB2312"/>
                <w:sz w:val="28"/>
                <w:szCs w:val="32"/>
              </w:rPr>
            </w:pPr>
          </w:p>
        </w:tc>
      </w:tr>
      <w:tr w14:paraId="7EFD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5" w:hRule="atLeast"/>
        </w:trPr>
        <w:tc>
          <w:tcPr>
            <w:tcW w:w="9630" w:type="dxa"/>
            <w:gridSpan w:val="6"/>
          </w:tcPr>
          <w:p w14:paraId="7F962BFD">
            <w:pPr>
              <w:spacing w:before="156" w:beforeLines="50" w:after="156" w:afterLines="50" w:line="600" w:lineRule="exact"/>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意见、建议和理由：</w:t>
            </w:r>
          </w:p>
          <w:p w14:paraId="1DFC63EF">
            <w:pPr>
              <w:spacing w:before="156" w:beforeLines="50" w:after="156" w:afterLines="50" w:line="600" w:lineRule="exact"/>
              <w:rPr>
                <w:rFonts w:hint="eastAsia" w:ascii="方正仿宋_GBK" w:hAnsi="仿宋_GB2312" w:eastAsia="方正仿宋_GBK" w:cs="仿宋_GB2312"/>
                <w:i/>
                <w:iCs/>
                <w:sz w:val="28"/>
                <w:szCs w:val="32"/>
              </w:rPr>
            </w:pPr>
            <w:r>
              <w:rPr>
                <w:rFonts w:hint="eastAsia" w:ascii="方正仿宋_GBK" w:hAnsi="仿宋_GB2312" w:eastAsia="方正仿宋_GBK" w:cs="仿宋_GB2312"/>
                <w:i/>
                <w:iCs/>
                <w:sz w:val="28"/>
                <w:szCs w:val="32"/>
              </w:rPr>
              <w:t>除整体性、结构性意见外，请尽量具体到标准的章、条，例如：xx(章或条) “xxxx”修改为“xxxxx”，理由是“xxxxx”。</w:t>
            </w:r>
          </w:p>
          <w:p w14:paraId="05D1FAA9">
            <w:pPr>
              <w:spacing w:before="156" w:beforeLines="50" w:after="156" w:afterLines="50" w:line="600" w:lineRule="exact"/>
              <w:ind w:firstLine="6020" w:firstLineChars="2150"/>
              <w:rPr>
                <w:rFonts w:ascii="方正仿宋_GBK" w:hAnsi="仿宋_GB2312" w:eastAsia="方正仿宋_GBK" w:cs="仿宋_GB2312"/>
                <w:sz w:val="28"/>
                <w:szCs w:val="32"/>
              </w:rPr>
            </w:pPr>
          </w:p>
          <w:p w14:paraId="360F3997">
            <w:pPr>
              <w:spacing w:before="156" w:beforeLines="50" w:after="156" w:afterLines="50" w:line="600" w:lineRule="exact"/>
              <w:ind w:firstLine="6020" w:firstLineChars="2150"/>
              <w:rPr>
                <w:rFonts w:hint="eastAsia" w:ascii="方正仿宋_GBK" w:hAnsi="仿宋_GB2312" w:eastAsia="方正仿宋_GBK" w:cs="仿宋_GB2312"/>
                <w:sz w:val="28"/>
                <w:szCs w:val="32"/>
              </w:rPr>
            </w:pPr>
          </w:p>
          <w:p w14:paraId="05D89035">
            <w:pPr>
              <w:spacing w:before="156" w:beforeLines="50" w:after="156" w:afterLines="50" w:line="600" w:lineRule="exact"/>
              <w:ind w:firstLine="6020" w:firstLineChars="2150"/>
              <w:rPr>
                <w:rFonts w:hint="eastAsia" w:ascii="方正仿宋_GBK" w:hAnsi="仿宋_GB2312" w:eastAsia="方正仿宋_GBK" w:cs="仿宋_GB2312"/>
                <w:sz w:val="28"/>
                <w:szCs w:val="32"/>
              </w:rPr>
            </w:pPr>
          </w:p>
          <w:p w14:paraId="2DB4777C">
            <w:pPr>
              <w:spacing w:before="156" w:beforeLines="50" w:after="156" w:afterLines="50" w:line="600" w:lineRule="exact"/>
              <w:ind w:firstLine="6020" w:firstLineChars="2150"/>
              <w:rPr>
                <w:rFonts w:hint="eastAsia" w:ascii="方正仿宋_GBK" w:hAnsi="仿宋_GB2312" w:eastAsia="方正仿宋_GBK" w:cs="仿宋_GB2312"/>
                <w:sz w:val="28"/>
                <w:szCs w:val="32"/>
              </w:rPr>
            </w:pPr>
          </w:p>
          <w:p w14:paraId="01888649">
            <w:pPr>
              <w:spacing w:before="156" w:beforeLines="50" w:after="156" w:afterLines="50" w:line="600" w:lineRule="exact"/>
              <w:ind w:firstLine="6020" w:firstLineChars="2150"/>
              <w:rPr>
                <w:rFonts w:hint="eastAsia" w:ascii="方正仿宋_GBK" w:hAnsi="仿宋_GB2312" w:eastAsia="方正仿宋_GBK" w:cs="仿宋_GB2312"/>
                <w:sz w:val="28"/>
                <w:szCs w:val="32"/>
              </w:rPr>
            </w:pPr>
          </w:p>
          <w:p w14:paraId="7EA4A559">
            <w:pPr>
              <w:spacing w:before="156" w:beforeLines="50" w:after="156" w:afterLines="50" w:line="600" w:lineRule="exact"/>
              <w:ind w:firstLine="6020" w:firstLineChars="2150"/>
              <w:rPr>
                <w:rFonts w:hint="eastAsia" w:ascii="方正仿宋_GBK" w:hAnsi="仿宋_GB2312" w:eastAsia="方正仿宋_GBK" w:cs="仿宋_GB2312"/>
                <w:sz w:val="28"/>
                <w:szCs w:val="32"/>
              </w:rPr>
            </w:pPr>
          </w:p>
          <w:p w14:paraId="7BAB534E">
            <w:pPr>
              <w:spacing w:before="156" w:beforeLines="50" w:after="156" w:afterLines="50" w:line="600" w:lineRule="exact"/>
              <w:ind w:firstLine="5040" w:firstLineChars="1800"/>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填表单位（盖章）：</w:t>
            </w:r>
          </w:p>
          <w:p w14:paraId="6BD7B9B9">
            <w:pPr>
              <w:spacing w:before="156" w:beforeLines="50" w:after="156" w:afterLines="50" w:line="600" w:lineRule="exact"/>
              <w:ind w:firstLine="5040" w:firstLineChars="1800"/>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填表人（签名）：</w:t>
            </w:r>
          </w:p>
          <w:p w14:paraId="781EE94C">
            <w:pPr>
              <w:spacing w:before="156" w:beforeLines="50" w:after="156" w:afterLines="50" w:line="600" w:lineRule="exact"/>
              <w:ind w:firstLine="6020" w:firstLineChars="2150"/>
              <w:rPr>
                <w:rFonts w:hint="eastAsia" w:ascii="方正仿宋_GBK" w:hAnsi="仿宋_GB2312" w:eastAsia="方正仿宋_GBK" w:cs="仿宋_GB2312"/>
                <w:sz w:val="28"/>
                <w:szCs w:val="32"/>
              </w:rPr>
            </w:pPr>
            <w:r>
              <w:rPr>
                <w:rFonts w:hint="eastAsia" w:ascii="方正仿宋_GBK" w:hAnsi="仿宋_GB2312" w:eastAsia="方正仿宋_GBK" w:cs="仿宋_GB2312"/>
                <w:sz w:val="28"/>
                <w:szCs w:val="32"/>
              </w:rPr>
              <w:t>年    月     日</w:t>
            </w:r>
          </w:p>
        </w:tc>
      </w:tr>
    </w:tbl>
    <w:p w14:paraId="1798B4E5">
      <w:pPr>
        <w:spacing w:line="360" w:lineRule="auto"/>
        <w:jc w:val="both"/>
        <w:rPr>
          <w:rFonts w:hint="eastAsia" w:ascii="Times New Roman" w:hAnsi="Times New Roman"/>
          <w:sz w:val="24"/>
          <w:highlight w:val="yellow"/>
        </w:rPr>
      </w:pPr>
    </w:p>
    <w:sectPr>
      <w:footerReference r:id="rId7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F7C11FB-417A-47EE-9A2E-63E2EF1B6E32}"/>
  </w:font>
  <w:font w:name="黑体">
    <w:panose1 w:val="02010609060101010101"/>
    <w:charset w:val="86"/>
    <w:family w:val="auto"/>
    <w:pitch w:val="default"/>
    <w:sig w:usb0="800002BF" w:usb1="38CF7CFA" w:usb2="00000016" w:usb3="00000000" w:csb0="00040001" w:csb1="00000000"/>
    <w:embedRegular r:id="rId2" w:fontKey="{B8C9E323-547F-4CA9-9C42-7A4BF227AF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BDB1A68-CFA5-43D2-8210-85B290E21A2F}"/>
  </w:font>
  <w:font w:name="方正小标宋简体">
    <w:panose1 w:val="02000000000000000000"/>
    <w:charset w:val="86"/>
    <w:family w:val="auto"/>
    <w:pitch w:val="default"/>
    <w:sig w:usb0="00000001" w:usb1="08000000" w:usb2="00000000" w:usb3="00000000" w:csb0="00040000" w:csb1="00000000"/>
    <w:embedRegular r:id="rId4" w:fontKey="{38F72494-753B-4216-94DA-F3DD21320C58}"/>
  </w:font>
  <w:font w:name="仿宋_GB2312">
    <w:altName w:val="仿宋"/>
    <w:panose1 w:val="02010609030101010101"/>
    <w:charset w:val="86"/>
    <w:family w:val="modern"/>
    <w:pitch w:val="default"/>
    <w:sig w:usb0="00000000" w:usb1="00000000" w:usb2="00000000" w:usb3="00000000" w:csb0="00040000" w:csb1="00000000"/>
    <w:embedRegular r:id="rId5" w:fontKey="{455FF0B5-C26D-41E8-8C63-09811463BBB9}"/>
  </w:font>
  <w:font w:name="MS Mincho">
    <w:altName w:val="Yu Gothic UI"/>
    <w:panose1 w:val="02020609040205080304"/>
    <w:charset w:val="80"/>
    <w:family w:val="modern"/>
    <w:pitch w:val="default"/>
    <w:sig w:usb0="00000000" w:usb1="00000000" w:usb2="08000012" w:usb3="00000000" w:csb0="0002009F" w:csb1="00000000"/>
    <w:embedRegular r:id="rId6" w:fontKey="{0E3D1027-018F-43FA-B15D-D9CA1180E578}"/>
  </w:font>
  <w:font w:name="Cambria Math">
    <w:panose1 w:val="02040503050406030204"/>
    <w:charset w:val="00"/>
    <w:family w:val="roman"/>
    <w:pitch w:val="default"/>
    <w:sig w:usb0="E00006FF" w:usb1="420024FF" w:usb2="02000000" w:usb3="00000000" w:csb0="2000019F" w:csb1="00000000"/>
    <w:embedRegular r:id="rId7" w:fontKey="{615E38A7-DF21-4C30-8B45-4D5E9AD82B99}"/>
  </w:font>
  <w:font w:name="仿宋">
    <w:panose1 w:val="02010609060101010101"/>
    <w:charset w:val="86"/>
    <w:family w:val="modern"/>
    <w:pitch w:val="default"/>
    <w:sig w:usb0="800002BF" w:usb1="38CF7CFA" w:usb2="00000016" w:usb3="00000000" w:csb0="00040001" w:csb1="00000000"/>
    <w:embedRegular r:id="rId8" w:fontKey="{04239B1D-1670-4A0D-8A3A-B91C64FF64A3}"/>
  </w:font>
  <w:font w:name="方正仿宋_GBK">
    <w:altName w:val="Microsoft YaHei UI"/>
    <w:panose1 w:val="03000509000000000000"/>
    <w:charset w:val="86"/>
    <w:family w:val="script"/>
    <w:pitch w:val="default"/>
    <w:sig w:usb0="00000000" w:usb1="00000000" w:usb2="00000000" w:usb3="00000000" w:csb0="00040000" w:csb1="00000000"/>
    <w:embedRegular r:id="rId9" w:fontKey="{71A5133C-DFA5-4693-89E2-3E9C16B94CF3}"/>
  </w:font>
  <w:font w:name="楷体">
    <w:panose1 w:val="02010609060101010101"/>
    <w:charset w:val="86"/>
    <w:family w:val="modern"/>
    <w:pitch w:val="default"/>
    <w:sig w:usb0="800002BF" w:usb1="38CF7CFA" w:usb2="00000016" w:usb3="00000000" w:csb0="00040001" w:csb1="00000000"/>
    <w:embedRegular r:id="rId10" w:fontKey="{98CC5B70-90CC-4240-8726-0D41E07474D4}"/>
  </w:font>
  <w:font w:name="Calibri Light">
    <w:panose1 w:val="020F0302020204030204"/>
    <w:charset w:val="00"/>
    <w:family w:val="auto"/>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1" w:fontKey="{3F541527-EEA7-484E-908B-0724DCEDBA0B}"/>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EBB52">
    <w:pPr>
      <w:widowControl w:val="0"/>
      <w:tabs>
        <w:tab w:val="center" w:pos="4153"/>
        <w:tab w:val="right" w:pos="8306"/>
      </w:tabs>
      <w:autoSpaceDE w:val="0"/>
      <w:autoSpaceDN w:val="0"/>
      <w:snapToGrid w:val="0"/>
      <w:rPr>
        <w:rFonts w:ascii="宋体" w:hAnsi="宋体" w:eastAsia="宋体" w:cs="宋体"/>
        <w:sz w:val="18"/>
        <w:szCs w:val="22"/>
        <w:lang w:val="fr-FR" w:eastAsia="en-US" w:bidi="ar-S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1FE8D">
    <w:pPr>
      <w:widowControl w:val="0"/>
      <w:autoSpaceDE w:val="0"/>
      <w:autoSpaceDN w:val="0"/>
      <w:spacing w:line="240" w:lineRule="auto"/>
      <w:jc w:val="both"/>
      <w:rPr>
        <w:rFonts w:ascii="宋体" w:hAnsi="宋体" w:eastAsia="宋体" w:cs="宋体"/>
        <w:sz w:val="18"/>
        <w:szCs w:val="18"/>
        <w:lang w:val="fr-FR" w:eastAsia="en-US" w:bidi="ar-S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90223">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zh-CN" w:bidi="ar-SA"/>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3E906">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I</w:t>
                          </w:r>
                          <w:r>
                            <w:rPr>
                              <w:rFonts w:ascii="宋体" w:hAnsi="宋体" w:eastAsia="宋体" w:cs="宋体"/>
                              <w:sz w:val="18"/>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Xd1k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QizZ1nY&#10;6p3lETrK4+3qGCBnUjmK0imB7sQDpi/1qd+UON5/nlPU4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pd3WTICAABlBAAADgAAAAAAAAABACAAAAAfAQAAZHJzL2Uyb0RvYy54bWxQSwUG&#10;AAAAAAYABgBZAQAAwwUAAAAA&#10;">
              <v:fill on="f" focussize="0,0"/>
              <v:stroke on="f" weight="0.5pt"/>
              <v:imagedata o:title=""/>
              <o:lock v:ext="edit" aspectratio="f"/>
              <v:textbox inset="0mm,0mm,0mm,0mm" style="mso-fit-shape-to-text:t;">
                <w:txbxContent>
                  <w:p w14:paraId="2023E906">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I</w:t>
                    </w:r>
                    <w:r>
                      <w:rPr>
                        <w:rFonts w:ascii="宋体" w:hAnsi="宋体" w:eastAsia="宋体" w:cs="宋体"/>
                        <w:sz w:val="18"/>
                        <w:szCs w:val="22"/>
                        <w:lang w:val="en-US" w:eastAsia="en-US" w:bidi="ar-S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C5C28">
    <w:pPr>
      <w:widowControl w:val="0"/>
      <w:autoSpaceDE w:val="0"/>
      <w:autoSpaceDN w:val="0"/>
      <w:spacing w:line="14" w:lineRule="auto"/>
      <w:rPr>
        <w:rFonts w:ascii="宋体" w:hAnsi="宋体" w:eastAsia="宋体" w:cs="宋体"/>
        <w:sz w:val="2"/>
        <w:szCs w:val="21"/>
        <w:lang w:val="en-US" w:eastAsia="en-US" w:bidi="ar-S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DF6B8">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zh-CN" w:bidi="ar-SA"/>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60588">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III</w:t>
                          </w:r>
                          <w:r>
                            <w:rPr>
                              <w:rFonts w:ascii="宋体" w:hAnsi="宋体" w:eastAsia="宋体" w:cs="宋体"/>
                              <w:sz w:val="18"/>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NUM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h+NUMzAgAAZQQAAA4AAAAAAAAAAQAgAAAAHwEAAGRycy9lMm9Eb2MueG1sUEsF&#10;BgAAAAAGAAYAWQEAAMQFAAAAAA==&#10;">
              <v:fill on="f" focussize="0,0"/>
              <v:stroke on="f" weight="0.5pt"/>
              <v:imagedata o:title=""/>
              <o:lock v:ext="edit" aspectratio="f"/>
              <v:textbox inset="0mm,0mm,0mm,0mm" style="mso-fit-shape-to-text:t;">
                <w:txbxContent>
                  <w:p w14:paraId="4EE60588">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III</w:t>
                    </w:r>
                    <w:r>
                      <w:rPr>
                        <w:rFonts w:ascii="宋体" w:hAnsi="宋体" w:eastAsia="宋体" w:cs="宋体"/>
                        <w:sz w:val="18"/>
                        <w:szCs w:val="22"/>
                        <w:lang w:val="en-US" w:eastAsia="en-US" w:bidi="ar-S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5A800">
    <w:pPr>
      <w:widowControl w:val="0"/>
      <w:autoSpaceDE w:val="0"/>
      <w:autoSpaceDN w:val="0"/>
      <w:spacing w:line="14" w:lineRule="auto"/>
      <w:rPr>
        <w:rFonts w:ascii="宋体" w:hAnsi="宋体" w:eastAsia="宋体" w:cs="宋体"/>
        <w:sz w:val="2"/>
        <w:szCs w:val="21"/>
        <w:lang w:val="en-US" w:eastAsia="en-US" w:bidi="ar-SA"/>
      </w:rPr>
    </w:pPr>
    <w:r>
      <w:rPr>
        <w:rFonts w:ascii="宋体" w:hAnsi="宋体" w:eastAsia="宋体" w:cs="宋体"/>
        <w:sz w:val="2"/>
        <w:szCs w:val="21"/>
        <w:lang w:val="en-US" w:eastAsia="zh-CN" w:bidi="ar-SA"/>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2535D">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II</w:t>
                          </w:r>
                          <w:r>
                            <w:rPr>
                              <w:rFonts w:ascii="宋体" w:hAnsi="宋体" w:eastAsia="宋体" w:cs="宋体"/>
                              <w:sz w:val="18"/>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j+QQ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j+QQzAgAAZQQAAA4AAAAAAAAAAQAgAAAAHwEAAGRycy9lMm9Eb2MueG1sUEsF&#10;BgAAAAAGAAYAWQEAAMQFAAAAAA==&#10;">
              <v:fill on="f" focussize="0,0"/>
              <v:stroke on="f" weight="0.5pt"/>
              <v:imagedata o:title=""/>
              <o:lock v:ext="edit" aspectratio="f"/>
              <v:textbox inset="0mm,0mm,0mm,0mm" style="mso-fit-shape-to-text:t;">
                <w:txbxContent>
                  <w:p w14:paraId="45B2535D">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II</w:t>
                    </w:r>
                    <w:r>
                      <w:rPr>
                        <w:rFonts w:ascii="宋体" w:hAnsi="宋体" w:eastAsia="宋体" w:cs="宋体"/>
                        <w:sz w:val="18"/>
                        <w:szCs w:val="22"/>
                        <w:lang w:val="en-US" w:eastAsia="en-US" w:bidi="ar-SA"/>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51B4B">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zh-CN" w:bidi="ar-SA"/>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C2771">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III</w:t>
                          </w:r>
                          <w:r>
                            <w:rPr>
                              <w:rFonts w:ascii="宋体" w:hAnsi="宋体" w:eastAsia="宋体" w:cs="宋体"/>
                              <w:sz w:val="18"/>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Kux4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QKux4zAgAAZQQAAA4AAAAAAAAAAQAgAAAAHwEAAGRycy9lMm9Eb2MueG1sUEsF&#10;BgAAAAAGAAYAWQEAAMQFAAAAAA==&#10;">
              <v:fill on="f" focussize="0,0"/>
              <v:stroke on="f" weight="0.5pt"/>
              <v:imagedata o:title=""/>
              <o:lock v:ext="edit" aspectratio="f"/>
              <v:textbox inset="0mm,0mm,0mm,0mm" style="mso-fit-shape-to-text:t;">
                <w:txbxContent>
                  <w:p w14:paraId="228C2771">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III</w:t>
                    </w:r>
                    <w:r>
                      <w:rPr>
                        <w:rFonts w:ascii="宋体" w:hAnsi="宋体" w:eastAsia="宋体" w:cs="宋体"/>
                        <w:sz w:val="18"/>
                        <w:szCs w:val="22"/>
                        <w:lang w:val="en-US" w:eastAsia="en-US" w:bidi="ar-SA"/>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91CA3">
    <w:pPr>
      <w:widowControl w:val="0"/>
      <w:autoSpaceDE w:val="0"/>
      <w:autoSpaceDN w:val="0"/>
      <w:spacing w:line="14" w:lineRule="auto"/>
      <w:rPr>
        <w:rFonts w:ascii="宋体" w:hAnsi="宋体" w:eastAsia="宋体" w:cs="宋体"/>
        <w:sz w:val="2"/>
        <w:szCs w:val="21"/>
        <w:lang w:val="en-US" w:eastAsia="en-US" w:bidi="ar-S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7E38C">
    <w:pPr>
      <w:widowControl w:val="0"/>
      <w:autoSpaceDE w:val="0"/>
      <w:autoSpaceDN w:val="0"/>
      <w:spacing w:line="14" w:lineRule="auto"/>
      <w:rPr>
        <w:rFonts w:ascii="宋体" w:hAnsi="宋体" w:eastAsia="宋体" w:cs="宋体"/>
        <w:sz w:val="20"/>
        <w:szCs w:val="21"/>
        <w:lang w:val="en-US" w:eastAsia="en-US" w:bidi="ar-SA"/>
      </w:rPr>
    </w:pPr>
    <w:r>
      <w:rPr>
        <w:rFonts w:ascii="宋体" w:hAnsi="宋体" w:eastAsia="宋体" w:cs="宋体"/>
        <w:sz w:val="20"/>
        <w:szCs w:val="21"/>
        <w:lang w:val="en-US" w:eastAsia="zh-CN" w:bidi="ar-SA"/>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9F286">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13</w:t>
                          </w:r>
                          <w:r>
                            <w:rPr>
                              <w:rFonts w:ascii="宋体" w:hAnsi="宋体" w:eastAsia="宋体" w:cs="宋体"/>
                              <w:sz w:val="18"/>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wfDA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jB8MDICAABlBAAADgAAAAAAAAABACAAAAAfAQAAZHJzL2Uyb0RvYy54bWxQSwUG&#10;AAAAAAYABgBZAQAAwwUAAAAA&#10;">
              <v:fill on="f" focussize="0,0"/>
              <v:stroke on="f" weight="0.5pt"/>
              <v:imagedata o:title=""/>
              <o:lock v:ext="edit" aspectratio="f"/>
              <v:textbox inset="0mm,0mm,0mm,0mm" style="mso-fit-shape-to-text:t;">
                <w:txbxContent>
                  <w:p w14:paraId="2D19F286">
                    <w:pPr>
                      <w:widowControl w:val="0"/>
                      <w:tabs>
                        <w:tab w:val="center" w:pos="4153"/>
                        <w:tab w:val="right" w:pos="8306"/>
                      </w:tabs>
                      <w:autoSpaceDE w:val="0"/>
                      <w:autoSpaceDN w:val="0"/>
                      <w:snapToGrid w:val="0"/>
                      <w:rPr>
                        <w:rFonts w:ascii="宋体" w:hAnsi="宋体" w:eastAsia="宋体" w:cs="宋体"/>
                        <w:sz w:val="18"/>
                        <w:szCs w:val="22"/>
                        <w:lang w:val="en-US" w:eastAsia="en-US" w:bidi="ar-SA"/>
                      </w:rPr>
                    </w:pPr>
                    <w:r>
                      <w:rPr>
                        <w:rFonts w:ascii="宋体" w:hAnsi="宋体" w:eastAsia="宋体" w:cs="宋体"/>
                        <w:sz w:val="18"/>
                        <w:szCs w:val="22"/>
                        <w:lang w:val="en-US" w:eastAsia="en-US" w:bidi="ar-SA"/>
                      </w:rPr>
                      <w:fldChar w:fldCharType="begin"/>
                    </w:r>
                    <w:r>
                      <w:rPr>
                        <w:rFonts w:ascii="宋体" w:hAnsi="宋体" w:eastAsia="宋体" w:cs="宋体"/>
                        <w:sz w:val="18"/>
                        <w:szCs w:val="22"/>
                        <w:lang w:val="en-US" w:eastAsia="en-US" w:bidi="ar-SA"/>
                      </w:rPr>
                      <w:instrText xml:space="preserve"> PAGE  \* MERGEFORMAT </w:instrText>
                    </w:r>
                    <w:r>
                      <w:rPr>
                        <w:rFonts w:ascii="宋体" w:hAnsi="宋体" w:eastAsia="宋体" w:cs="宋体"/>
                        <w:sz w:val="18"/>
                        <w:szCs w:val="22"/>
                        <w:lang w:val="en-US" w:eastAsia="en-US" w:bidi="ar-SA"/>
                      </w:rPr>
                      <w:fldChar w:fldCharType="separate"/>
                    </w:r>
                    <w:r>
                      <w:rPr>
                        <w:rFonts w:ascii="宋体" w:hAnsi="宋体" w:eastAsia="宋体" w:cs="宋体"/>
                        <w:sz w:val="18"/>
                        <w:szCs w:val="22"/>
                        <w:lang w:val="en-US" w:eastAsia="en-US" w:bidi="ar-SA"/>
                      </w:rPr>
                      <w:t>13</w:t>
                    </w:r>
                    <w:r>
                      <w:rPr>
                        <w:rFonts w:ascii="宋体" w:hAnsi="宋体" w:eastAsia="宋体" w:cs="宋体"/>
                        <w:sz w:val="18"/>
                        <w:szCs w:val="22"/>
                        <w:lang w:val="en-US" w:eastAsia="en-US" w:bidi="ar-SA"/>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00163">
    <w:pPr>
      <w:widowControl w:val="0"/>
      <w:autoSpaceDE w:val="0"/>
      <w:autoSpaceDN w:val="0"/>
      <w:spacing w:line="14" w:lineRule="auto"/>
      <w:rPr>
        <w:rFonts w:ascii="宋体" w:hAnsi="宋体" w:eastAsia="宋体" w:cs="宋体"/>
        <w:sz w:val="20"/>
        <w:szCs w:val="21"/>
        <w:lang w:val="en-US" w:eastAsia="en-US" w:bidi="ar-SA"/>
      </w:rPr>
    </w:pPr>
    <w:r>
      <w:rPr>
        <w:rFonts w:ascii="宋体" w:hAnsi="宋体" w:eastAsia="宋体" w:cs="宋体"/>
        <w:sz w:val="21"/>
        <w:szCs w:val="21"/>
        <w:lang w:val="en-US" w:eastAsia="zh-CN" w:bidi="ar-SA"/>
      </w:rPr>
      <mc:AlternateContent>
        <mc:Choice Requires="wps">
          <w:drawing>
            <wp:anchor distT="0" distB="0" distL="114300" distR="114300" simplePos="0" relativeHeight="251667456" behindDoc="1" locked="0" layoutInCell="1" allowOverlap="1">
              <wp:simplePos x="0" y="0"/>
              <wp:positionH relativeFrom="page">
                <wp:posOffset>859790</wp:posOffset>
              </wp:positionH>
              <wp:positionV relativeFrom="page">
                <wp:posOffset>9831705</wp:posOffset>
              </wp:positionV>
              <wp:extent cx="166370" cy="152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7FCCF72B">
                          <w:pPr>
                            <w:autoSpaceDE w:val="0"/>
                            <w:autoSpaceDN w:val="0"/>
                            <w:spacing w:before="12"/>
                            <w:ind w:left="40"/>
                            <w:jc w:val="left"/>
                            <w:rPr>
                              <w:rFonts w:ascii="Times New Roman" w:hAnsi="宋体" w:eastAsia="宋体" w:cs="宋体"/>
                              <w:kern w:val="0"/>
                              <w:sz w:val="18"/>
                              <w:szCs w:val="22"/>
                              <w:lang w:eastAsia="en-US"/>
                            </w:rPr>
                          </w:pPr>
                          <w:r>
                            <w:rPr>
                              <w:rFonts w:ascii="宋体" w:hAnsi="宋体" w:eastAsia="宋体" w:cs="宋体"/>
                              <w:kern w:val="0"/>
                              <w:sz w:val="22"/>
                              <w:szCs w:val="22"/>
                              <w:lang w:eastAsia="en-US"/>
                            </w:rPr>
                            <w:fldChar w:fldCharType="begin"/>
                          </w:r>
                          <w:r>
                            <w:rPr>
                              <w:rFonts w:ascii="Times New Roman" w:hAnsi="宋体" w:eastAsia="宋体" w:cs="宋体"/>
                              <w:kern w:val="0"/>
                              <w:sz w:val="18"/>
                              <w:szCs w:val="22"/>
                              <w:lang w:eastAsia="en-US"/>
                            </w:rPr>
                            <w:instrText xml:space="preserve"> PAGE </w:instrText>
                          </w:r>
                          <w:r>
                            <w:rPr>
                              <w:rFonts w:ascii="宋体" w:hAnsi="宋体" w:eastAsia="宋体" w:cs="宋体"/>
                              <w:kern w:val="0"/>
                              <w:sz w:val="22"/>
                              <w:szCs w:val="22"/>
                              <w:lang w:eastAsia="en-US"/>
                            </w:rPr>
                            <w:fldChar w:fldCharType="separate"/>
                          </w:r>
                          <w:r>
                            <w:rPr>
                              <w:rFonts w:ascii="Times New Roman" w:hAnsi="宋体" w:eastAsia="宋体" w:cs="宋体"/>
                              <w:kern w:val="0"/>
                              <w:sz w:val="18"/>
                              <w:szCs w:val="22"/>
                              <w:lang w:eastAsia="en-US"/>
                            </w:rPr>
                            <w:t>14</w:t>
                          </w:r>
                          <w:r>
                            <w:rPr>
                              <w:rFonts w:ascii="宋体" w:hAnsi="宋体" w:eastAsia="宋体" w:cs="宋体"/>
                              <w:kern w:val="0"/>
                              <w:sz w:val="22"/>
                              <w:szCs w:val="22"/>
                              <w:lang w:eastAsia="en-US"/>
                            </w:rPr>
                            <w:fldChar w:fldCharType="end"/>
                          </w:r>
                        </w:p>
                      </w:txbxContent>
                    </wps:txbx>
                    <wps:bodyPr lIns="0" tIns="0" rIns="0" bIns="0" upright="1"/>
                  </wps:wsp>
                </a:graphicData>
              </a:graphic>
            </wp:anchor>
          </w:drawing>
        </mc:Choice>
        <mc:Fallback>
          <w:pict>
            <v:shape id="_x0000_s1026" o:spid="_x0000_s1026" o:spt="202" type="#_x0000_t202" style="position:absolute;left:0pt;margin-left:67.7pt;margin-top:774.15pt;height:12pt;width:13.1pt;mso-position-horizontal-relative:page;mso-position-vertical-relative:page;z-index:-251649024;mso-width-relative:page;mso-height-relative:page;" filled="f" stroked="f" coordsize="21600,21600" o:gfxdata="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QH4eDaAAAADQEAAA8AAAAAAAAAAQAgAAAAIgAAAGRycy9kb3ducmV2LnhtbFBL&#10;AQIUABQAAAAIAIdO4kAg0YynuwEAAHMDAAAOAAAAAAAAAAEAIAAAACkBAABkcnMvZTJvRG9jLnht&#10;bFBLBQYAAAAABgAGAFkBAABWBQAAAAA=&#10;">
              <v:fill on="f" focussize="0,0"/>
              <v:stroke on="f"/>
              <v:imagedata o:title=""/>
              <o:lock v:ext="edit" aspectratio="f"/>
              <v:textbox inset="0mm,0mm,0mm,0mm">
                <w:txbxContent>
                  <w:p w14:paraId="7FCCF72B">
                    <w:pPr>
                      <w:autoSpaceDE w:val="0"/>
                      <w:autoSpaceDN w:val="0"/>
                      <w:spacing w:before="12"/>
                      <w:ind w:left="40"/>
                      <w:jc w:val="left"/>
                      <w:rPr>
                        <w:rFonts w:ascii="Times New Roman" w:hAnsi="宋体" w:eastAsia="宋体" w:cs="宋体"/>
                        <w:kern w:val="0"/>
                        <w:sz w:val="18"/>
                        <w:szCs w:val="22"/>
                        <w:lang w:eastAsia="en-US"/>
                      </w:rPr>
                    </w:pPr>
                    <w:r>
                      <w:rPr>
                        <w:rFonts w:ascii="宋体" w:hAnsi="宋体" w:eastAsia="宋体" w:cs="宋体"/>
                        <w:kern w:val="0"/>
                        <w:sz w:val="22"/>
                        <w:szCs w:val="22"/>
                        <w:lang w:eastAsia="en-US"/>
                      </w:rPr>
                      <w:fldChar w:fldCharType="begin"/>
                    </w:r>
                    <w:r>
                      <w:rPr>
                        <w:rFonts w:ascii="Times New Roman" w:hAnsi="宋体" w:eastAsia="宋体" w:cs="宋体"/>
                        <w:kern w:val="0"/>
                        <w:sz w:val="18"/>
                        <w:szCs w:val="22"/>
                        <w:lang w:eastAsia="en-US"/>
                      </w:rPr>
                      <w:instrText xml:space="preserve"> PAGE </w:instrText>
                    </w:r>
                    <w:r>
                      <w:rPr>
                        <w:rFonts w:ascii="宋体" w:hAnsi="宋体" w:eastAsia="宋体" w:cs="宋体"/>
                        <w:kern w:val="0"/>
                        <w:sz w:val="22"/>
                        <w:szCs w:val="22"/>
                        <w:lang w:eastAsia="en-US"/>
                      </w:rPr>
                      <w:fldChar w:fldCharType="separate"/>
                    </w:r>
                    <w:r>
                      <w:rPr>
                        <w:rFonts w:ascii="Times New Roman" w:hAnsi="宋体" w:eastAsia="宋体" w:cs="宋体"/>
                        <w:kern w:val="0"/>
                        <w:sz w:val="18"/>
                        <w:szCs w:val="22"/>
                        <w:lang w:eastAsia="en-US"/>
                      </w:rPr>
                      <w:t>14</w:t>
                    </w:r>
                    <w:r>
                      <w:rPr>
                        <w:rFonts w:ascii="宋体" w:hAnsi="宋体" w:eastAsia="宋体" w:cs="宋体"/>
                        <w:kern w:val="0"/>
                        <w:sz w:val="22"/>
                        <w:szCs w:val="22"/>
                        <w:lang w:eastAsia="en-US"/>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D7586">
    <w:pPr>
      <w:widowControl w:val="0"/>
      <w:autoSpaceDE w:val="0"/>
      <w:autoSpaceDN w:val="0"/>
      <w:spacing w:line="14" w:lineRule="auto"/>
      <w:rPr>
        <w:rFonts w:ascii="宋体" w:hAnsi="宋体" w:eastAsia="宋体" w:cs="宋体"/>
        <w:sz w:val="20"/>
        <w:szCs w:val="21"/>
        <w:lang w:val="en-US" w:eastAsia="en-US"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AC09D">
    <w:pPr>
      <w:widowControl w:val="0"/>
      <w:autoSpaceDE w:val="0"/>
      <w:autoSpaceDN w:val="0"/>
      <w:spacing w:line="240" w:lineRule="auto"/>
      <w:rPr>
        <w:rFonts w:ascii="宋体" w:hAnsi="宋体" w:eastAsia="宋体" w:cs="宋体"/>
        <w:sz w:val="18"/>
        <w:szCs w:val="18"/>
        <w:lang w:val="fr-FR" w:eastAsia="en-US" w:bidi="ar-SA"/>
      </w:rPr>
    </w:pPr>
    <w:r>
      <w:rPr>
        <w:rFonts w:ascii="宋体" w:hAnsi="宋体" w:eastAsia="宋体" w:cs="宋体"/>
        <w:sz w:val="18"/>
        <w:szCs w:val="18"/>
        <w:lang w:val="fr-FR" w:eastAsia="en-US" w:bidi="ar-SA"/>
      </w:rPr>
      <mc:AlternateContent>
        <mc:Choice Requires="wps">
          <w:drawing>
            <wp:anchor distT="0" distB="0" distL="114300" distR="114300" simplePos="0" relativeHeight="251694080" behindDoc="0" locked="0" layoutInCell="1" allowOverlap="1">
              <wp:simplePos x="0" y="0"/>
              <wp:positionH relativeFrom="margin">
                <wp:posOffset>5582920</wp:posOffset>
              </wp:positionH>
              <wp:positionV relativeFrom="paragraph">
                <wp:posOffset>-1905</wp:posOffset>
              </wp:positionV>
              <wp:extent cx="360045" cy="14732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60045" cy="147320"/>
                      </a:xfrm>
                      <a:prstGeom prst="rect">
                        <a:avLst/>
                      </a:prstGeom>
                      <a:noFill/>
                      <a:ln>
                        <a:noFill/>
                      </a:ln>
                    </wps:spPr>
                    <wps:txbx>
                      <w:txbxContent>
                        <w:p w14:paraId="5C3B3B57">
                          <w:pPr>
                            <w:autoSpaceDE w:val="0"/>
                            <w:autoSpaceDN w:val="0"/>
                            <w:ind w:right="227"/>
                            <w:jc w:val="right"/>
                            <w:rPr>
                              <w:rFonts w:ascii="宋体" w:hAnsi="宋体" w:eastAsia="宋体" w:cs="宋体"/>
                              <w:kern w:val="0"/>
                              <w:sz w:val="18"/>
                              <w:szCs w:val="18"/>
                              <w:lang w:val="fr-FR" w:eastAsia="en-US"/>
                            </w:rPr>
                          </w:pPr>
                          <w:r>
                            <w:rPr>
                              <w:rFonts w:hint="eastAsia" w:ascii="宋体" w:hAnsi="宋体" w:eastAsia="宋体" w:cs="宋体"/>
                              <w:kern w:val="0"/>
                              <w:sz w:val="18"/>
                              <w:szCs w:val="18"/>
                              <w:lang w:val="fr-FR" w:eastAsia="en-US"/>
                            </w:rPr>
                            <w:fldChar w:fldCharType="begin"/>
                          </w:r>
                          <w:r>
                            <w:rPr>
                              <w:rFonts w:hint="eastAsia" w:ascii="宋体" w:hAnsi="宋体" w:eastAsia="宋体" w:cs="宋体"/>
                              <w:kern w:val="0"/>
                              <w:sz w:val="18"/>
                              <w:szCs w:val="18"/>
                              <w:lang w:val="fr-FR" w:eastAsia="en-US"/>
                            </w:rPr>
                            <w:instrText xml:space="preserve"> PAGE  \* ROMAN </w:instrText>
                          </w:r>
                          <w:r>
                            <w:rPr>
                              <w:rFonts w:hint="eastAsia" w:ascii="宋体" w:hAnsi="宋体" w:eastAsia="宋体" w:cs="宋体"/>
                              <w:kern w:val="0"/>
                              <w:sz w:val="18"/>
                              <w:szCs w:val="18"/>
                              <w:lang w:val="fr-FR" w:eastAsia="en-US"/>
                            </w:rPr>
                            <w:fldChar w:fldCharType="separate"/>
                          </w:r>
                          <w:r>
                            <w:rPr>
                              <w:rFonts w:ascii="宋体" w:hAnsi="宋体" w:eastAsia="宋体" w:cs="宋体"/>
                              <w:kern w:val="0"/>
                              <w:sz w:val="18"/>
                              <w:szCs w:val="18"/>
                              <w:lang w:val="fr-FR" w:eastAsia="en-US"/>
                            </w:rPr>
                            <w:t>I</w:t>
                          </w:r>
                          <w:r>
                            <w:rPr>
                              <w:rFonts w:hint="eastAsia" w:ascii="宋体" w:hAnsi="宋体" w:eastAsia="宋体" w:cs="宋体"/>
                              <w:kern w:val="0"/>
                              <w:sz w:val="18"/>
                              <w:szCs w:val="18"/>
                              <w:lang w:val="fr-FR" w:eastAsia="en-US"/>
                            </w:rPr>
                            <w:fldChar w:fldCharType="end"/>
                          </w:r>
                        </w:p>
                      </w:txbxContent>
                    </wps:txbx>
                    <wps:bodyPr lIns="0" tIns="0" rIns="0" bIns="0" upright="1"/>
                  </wps:wsp>
                </a:graphicData>
              </a:graphic>
            </wp:anchor>
          </w:drawing>
        </mc:Choice>
        <mc:Fallback>
          <w:pict>
            <v:shape id="_x0000_s1026" o:spid="_x0000_s1026" o:spt="202" type="#_x0000_t202" style="position:absolute;left:0pt;margin-left:439.6pt;margin-top:-0.15pt;height:11.6pt;width:28.35pt;mso-position-horizontal-relative:margin;z-index:251694080;mso-width-relative:page;mso-height-relative:page;" filled="f" stroked="f" coordsize="21600,21600" o:gfxdata="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yGASbYAAAACAEAAA8AAAAAAAAAAQAgAAAAIgAAAGRycy9kb3ducmV2LnhtbFBL&#10;AQIUABQAAAAIAIdO4kDNUyFVvQEAAHMDAAAOAAAAAAAAAAEAIAAAACcBAABkcnMvZTJvRG9jLnht&#10;bFBLBQYAAAAABgAGAFkBAABWBQAAAAA=&#10;">
              <v:fill on="f" focussize="0,0"/>
              <v:stroke on="f"/>
              <v:imagedata o:title=""/>
              <o:lock v:ext="edit" aspectratio="f"/>
              <v:textbox inset="0mm,0mm,0mm,0mm">
                <w:txbxContent>
                  <w:p w14:paraId="5C3B3B57">
                    <w:pPr>
                      <w:autoSpaceDE w:val="0"/>
                      <w:autoSpaceDN w:val="0"/>
                      <w:ind w:right="227"/>
                      <w:jc w:val="right"/>
                      <w:rPr>
                        <w:rFonts w:ascii="宋体" w:hAnsi="宋体" w:eastAsia="宋体" w:cs="宋体"/>
                        <w:kern w:val="0"/>
                        <w:sz w:val="18"/>
                        <w:szCs w:val="18"/>
                        <w:lang w:val="fr-FR" w:eastAsia="en-US"/>
                      </w:rPr>
                    </w:pPr>
                    <w:r>
                      <w:rPr>
                        <w:rFonts w:hint="eastAsia" w:ascii="宋体" w:hAnsi="宋体" w:eastAsia="宋体" w:cs="宋体"/>
                        <w:kern w:val="0"/>
                        <w:sz w:val="18"/>
                        <w:szCs w:val="18"/>
                        <w:lang w:val="fr-FR" w:eastAsia="en-US"/>
                      </w:rPr>
                      <w:fldChar w:fldCharType="begin"/>
                    </w:r>
                    <w:r>
                      <w:rPr>
                        <w:rFonts w:hint="eastAsia" w:ascii="宋体" w:hAnsi="宋体" w:eastAsia="宋体" w:cs="宋体"/>
                        <w:kern w:val="0"/>
                        <w:sz w:val="18"/>
                        <w:szCs w:val="18"/>
                        <w:lang w:val="fr-FR" w:eastAsia="en-US"/>
                      </w:rPr>
                      <w:instrText xml:space="preserve"> PAGE  \* ROMAN </w:instrText>
                    </w:r>
                    <w:r>
                      <w:rPr>
                        <w:rFonts w:hint="eastAsia" w:ascii="宋体" w:hAnsi="宋体" w:eastAsia="宋体" w:cs="宋体"/>
                        <w:kern w:val="0"/>
                        <w:sz w:val="18"/>
                        <w:szCs w:val="18"/>
                        <w:lang w:val="fr-FR" w:eastAsia="en-US"/>
                      </w:rPr>
                      <w:fldChar w:fldCharType="separate"/>
                    </w:r>
                    <w:r>
                      <w:rPr>
                        <w:rFonts w:ascii="宋体" w:hAnsi="宋体" w:eastAsia="宋体" w:cs="宋体"/>
                        <w:kern w:val="0"/>
                        <w:sz w:val="18"/>
                        <w:szCs w:val="18"/>
                        <w:lang w:val="fr-FR" w:eastAsia="en-US"/>
                      </w:rPr>
                      <w:t>I</w:t>
                    </w:r>
                    <w:r>
                      <w:rPr>
                        <w:rFonts w:hint="eastAsia" w:ascii="宋体" w:hAnsi="宋体" w:eastAsia="宋体" w:cs="宋体"/>
                        <w:kern w:val="0"/>
                        <w:sz w:val="18"/>
                        <w:szCs w:val="18"/>
                        <w:lang w:val="fr-FR" w:eastAsia="en-US"/>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AAB88">
    <w:pPr>
      <w:widowControl w:val="0"/>
      <w:spacing w:line="14" w:lineRule="auto"/>
      <w:jc w:val="both"/>
      <w:rPr>
        <w:rFonts w:ascii="宋体" w:hAnsi="宋体" w:eastAsia="宋体" w:cs="宋体"/>
        <w:kern w:val="2"/>
        <w:sz w:val="20"/>
        <w:szCs w:val="21"/>
        <w:lang w:val="en-US" w:eastAsia="zh-CN" w:bidi="ar-SA"/>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98B7">
    <w:pPr>
      <w:widowControl w:val="0"/>
      <w:spacing w:line="14" w:lineRule="auto"/>
      <w:jc w:val="both"/>
      <w:rPr>
        <w:rFonts w:ascii="宋体" w:hAnsi="宋体" w:eastAsia="宋体" w:cs="宋体"/>
        <w:kern w:val="2"/>
        <w:sz w:val="2"/>
        <w:szCs w:val="21"/>
        <w:lang w:val="en-US" w:eastAsia="zh-CN" w:bidi="ar-SA"/>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66BD8">
    <w:pPr>
      <w:widowControl w:val="0"/>
      <w:spacing w:line="14" w:lineRule="auto"/>
      <w:jc w:val="both"/>
      <w:rPr>
        <w:rFonts w:ascii="宋体" w:hAnsi="宋体" w:eastAsia="宋体" w:cs="宋体"/>
        <w:kern w:val="2"/>
        <w:sz w:val="20"/>
        <w:szCs w:val="21"/>
        <w:lang w:val="en-US" w:eastAsia="zh-CN" w:bidi="ar-SA"/>
      </w:rPr>
    </w:pPr>
    <w:r>
      <w:rPr>
        <w:rFonts w:ascii="宋体" w:hAnsi="宋体" w:eastAsia="宋体" w:cs="宋体"/>
        <w:kern w:val="2"/>
        <w:sz w:val="20"/>
        <w:szCs w:val="21"/>
        <w:lang w:val="en-US" w:eastAsia="zh-CN" w:bidi="ar-SA"/>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95888">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3</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IXBE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pyFwROgIAAHEEAAAOAAAAAAAAAAEAIAAAAB8BAABkcnMvZTJvRG9j&#10;LnhtbFBLBQYAAAAABgAGAFkBAADLBQAAAAA=&#10;">
              <v:fill on="f" focussize="0,0"/>
              <v:stroke on="f" weight="0.5pt"/>
              <v:imagedata o:title=""/>
              <o:lock v:ext="edit" aspectratio="f"/>
              <v:textbox inset="0mm,0mm,0mm,0mm" style="mso-fit-shape-to-text:t;">
                <w:txbxContent>
                  <w:p w14:paraId="6FC95888">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3</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E6CA9">
    <w:pPr>
      <w:widowControl w:val="0"/>
      <w:spacing w:line="14" w:lineRule="auto"/>
      <w:jc w:val="both"/>
      <w:rPr>
        <w:rFonts w:ascii="宋体" w:hAnsi="宋体" w:eastAsia="宋体" w:cs="宋体"/>
        <w:kern w:val="2"/>
        <w:sz w:val="2"/>
        <w:szCs w:val="21"/>
        <w:lang w:val="en-US" w:eastAsia="zh-CN" w:bidi="ar-SA"/>
      </w:rPr>
    </w:pPr>
    <w:r>
      <w:rPr>
        <w:rFonts w:ascii="宋体" w:hAnsi="宋体" w:eastAsia="宋体" w:cs="宋体"/>
        <w:kern w:val="2"/>
        <w:sz w:val="2"/>
        <w:szCs w:val="21"/>
        <w:lang w:val="en-US" w:eastAsia="zh-CN" w:bidi="ar-S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002FF">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4</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6FlQ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PrK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IehZUOgIAAHEEAAAOAAAAAAAAAAEAIAAAAB8BAABkcnMvZTJvRG9j&#10;LnhtbFBLBQYAAAAABgAGAFkBAADLBQAAAAA=&#10;">
              <v:fill on="f" focussize="0,0"/>
              <v:stroke on="f" weight="0.5pt"/>
              <v:imagedata o:title=""/>
              <o:lock v:ext="edit" aspectratio="f"/>
              <v:textbox inset="0mm,0mm,0mm,0mm" style="mso-fit-shape-to-text:t;">
                <w:txbxContent>
                  <w:p w14:paraId="6FC002FF">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4</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7F2CA">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E4C06">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5</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iklU6AgAAcQ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uYpJVOgIAAHEEAAAOAAAAAAAAAAEAIAAAAB8BAABkcnMvZTJvRG9j&#10;LnhtbFBLBQYAAAAABgAGAFkBAADLBQAAAAA=&#10;">
              <v:fill on="f" focussize="0,0"/>
              <v:stroke on="f" weight="0.5pt"/>
              <v:imagedata o:title=""/>
              <o:lock v:ext="edit" aspectratio="f"/>
              <v:textbox inset="0mm,0mm,0mm,0mm" style="mso-fit-shape-to-text:t;">
                <w:txbxContent>
                  <w:p w14:paraId="070E4C06">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5</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D5F4D">
    <w:pPr>
      <w:widowControl w:val="0"/>
      <w:spacing w:line="14" w:lineRule="auto"/>
      <w:jc w:val="both"/>
      <w:rPr>
        <w:rFonts w:ascii="宋体" w:hAnsi="宋体" w:eastAsia="宋体" w:cs="宋体"/>
        <w:kern w:val="2"/>
        <w:sz w:val="2"/>
        <w:szCs w:val="21"/>
        <w:lang w:val="en-US" w:eastAsia="zh-CN" w:bidi="ar-SA"/>
      </w:rPr>
    </w:pPr>
    <w:r>
      <w:rPr>
        <w:rFonts w:ascii="宋体" w:hAnsi="宋体" w:eastAsia="宋体" w:cs="宋体"/>
        <w:kern w:val="2"/>
        <w:sz w:val="2"/>
        <w:szCs w:val="21"/>
        <w:lang w:val="en-US" w:eastAsia="zh-CN" w:bidi="ar-SA"/>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2DF05">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6</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2BA5AgAAcQ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ZUKKZQsfPP76f&#10;f/4+//pGcAeBGutniNtaRIb2nWkxNv29x2Xk3ZZOxV8wIvBD3tNVXtEGwuOj6Xg6HcLF4esPwM+e&#10;nlvnw3thFIlGTh36l2Rlx40PXWgfErNps66lTD2UmjQ5vXk7G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Q2BA5AgAAcQQAAA4AAAAAAAAAAQAgAAAAHwEAAGRycy9lMm9Eb2Mu&#10;eG1sUEsFBgAAAAAGAAYAWQEAAMoFAAAAAA==&#10;">
              <v:fill on="f" focussize="0,0"/>
              <v:stroke on="f" weight="0.5pt"/>
              <v:imagedata o:title=""/>
              <o:lock v:ext="edit" aspectratio="f"/>
              <v:textbox inset="0mm,0mm,0mm,0mm" style="mso-fit-shape-to-text:t;">
                <w:txbxContent>
                  <w:p w14:paraId="39B2DF05">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6</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7F91F">
    <w:pPr>
      <w:widowControl w:val="0"/>
      <w:spacing w:line="14" w:lineRule="auto"/>
      <w:jc w:val="both"/>
      <w:rPr>
        <w:rFonts w:ascii="宋体" w:hAnsi="宋体" w:eastAsia="宋体" w:cs="宋体"/>
        <w:kern w:val="2"/>
        <w:sz w:val="20"/>
        <w:szCs w:val="21"/>
        <w:lang w:val="en-US" w:eastAsia="zh-CN" w:bidi="ar-SA"/>
      </w:rPr>
    </w:pPr>
    <w:r>
      <w:rPr>
        <w:rFonts w:ascii="宋体" w:hAnsi="宋体" w:eastAsia="宋体" w:cs="宋体"/>
        <w:kern w:val="2"/>
        <w:sz w:val="20"/>
        <w:szCs w:val="21"/>
        <w:lang w:val="en-US" w:eastAsia="zh-CN" w:bidi="ar-SA"/>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B2173">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6</w:t>
                          </w:r>
                          <w:r>
                            <w:rPr>
                              <w:rFonts w:ascii="Calibri" w:hAnsi="Calibri" w:eastAsia="宋体" w:cs="Times New Roman"/>
                              <w:kern w:val="2"/>
                              <w:sz w:val="24"/>
                              <w:szCs w:val="4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ohX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DohXI5AgAAcQQAAA4AAAAAAAAAAQAgAAAAHwEAAGRycy9lMm9Eb2Mu&#10;eG1sUEsFBgAAAAAGAAYAWQEAAMoFAAAAAA==&#10;">
              <v:fill on="f" focussize="0,0"/>
              <v:stroke on="f" weight="0.5pt"/>
              <v:imagedata o:title=""/>
              <o:lock v:ext="edit" aspectratio="f"/>
              <v:textbox inset="0mm,0mm,0mm,0mm" style="mso-fit-shape-to-text:t;">
                <w:txbxContent>
                  <w:p w14:paraId="771B2173">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6</w:t>
                    </w:r>
                    <w:r>
                      <w:rPr>
                        <w:rFonts w:ascii="Calibri" w:hAnsi="Calibri" w:eastAsia="宋体" w:cs="Times New Roman"/>
                        <w:kern w:val="2"/>
                        <w:sz w:val="24"/>
                        <w:szCs w:val="40"/>
                        <w:lang w:val="en-US" w:eastAsia="zh-CN" w:bidi="ar-SA"/>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98C9D">
    <w:pPr>
      <w:widowControl w:val="0"/>
      <w:spacing w:line="14" w:lineRule="auto"/>
      <w:jc w:val="both"/>
      <w:rPr>
        <w:rFonts w:ascii="宋体" w:hAnsi="宋体" w:eastAsia="宋体" w:cs="宋体"/>
        <w:kern w:val="2"/>
        <w:sz w:val="2"/>
        <w:szCs w:val="21"/>
        <w:lang w:val="en-US" w:eastAsia="zh-CN" w:bidi="ar-SA"/>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D569E">
    <w:pPr>
      <w:widowControl w:val="0"/>
      <w:spacing w:line="14" w:lineRule="auto"/>
      <w:jc w:val="both"/>
      <w:rPr>
        <w:rFonts w:ascii="宋体" w:hAnsi="宋体" w:eastAsia="宋体" w:cs="宋体"/>
        <w:kern w:val="2"/>
        <w:sz w:val="20"/>
        <w:szCs w:val="21"/>
        <w:lang w:val="en-US" w:eastAsia="zh-CN" w:bidi="ar-SA"/>
      </w:rPr>
    </w:pPr>
    <w:r>
      <w:rPr>
        <w:rFonts w:ascii="宋体" w:hAnsi="宋体" w:eastAsia="宋体" w:cs="宋体"/>
        <w:kern w:val="2"/>
        <w:sz w:val="20"/>
        <w:szCs w:val="21"/>
        <w:lang w:val="en-US" w:eastAsia="zh-CN" w:bidi="ar-SA"/>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B2FA5">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6</w:t>
                          </w:r>
                          <w:r>
                            <w:rPr>
                              <w:rFonts w:ascii="Calibri" w:hAnsi="Calibri" w:eastAsia="宋体" w:cs="Times New Roman"/>
                              <w:kern w:val="2"/>
                              <w:sz w:val="24"/>
                              <w:szCs w:val="4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34BB2FA5">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6</w:t>
                    </w:r>
                    <w:r>
                      <w:rPr>
                        <w:rFonts w:ascii="Calibri" w:hAnsi="Calibri" w:eastAsia="宋体" w:cs="Times New Roman"/>
                        <w:kern w:val="2"/>
                        <w:sz w:val="24"/>
                        <w:szCs w:val="40"/>
                        <w:lang w:val="en-US" w:eastAsia="zh-CN" w:bidi="ar-SA"/>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7D807">
    <w:pPr>
      <w:widowControl w:val="0"/>
      <w:spacing w:line="14" w:lineRule="auto"/>
      <w:jc w:val="both"/>
      <w:rPr>
        <w:rFonts w:ascii="宋体" w:hAnsi="宋体" w:eastAsia="宋体" w:cs="宋体"/>
        <w:kern w:val="2"/>
        <w:sz w:val="2"/>
        <w:szCs w:val="21"/>
        <w:lang w:val="en-US" w:eastAsia="zh-CN" w:bidi="ar-SA"/>
      </w:rPr>
    </w:pPr>
    <w:r>
      <w:rPr>
        <w:rFonts w:ascii="宋体" w:hAnsi="宋体" w:eastAsia="宋体" w:cs="宋体"/>
        <w:kern w:val="2"/>
        <w:sz w:val="2"/>
        <w:szCs w:val="21"/>
        <w:lang w:val="en-US" w:eastAsia="zh-CN" w:bidi="ar-SA"/>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8F601">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2</w:t>
                          </w:r>
                          <w:r>
                            <w:rPr>
                              <w:rFonts w:ascii="Calibri" w:hAnsi="Calibri" w:eastAsia="宋体" w:cs="Times New Roman"/>
                              <w:kern w:val="2"/>
                              <w:sz w:val="24"/>
                              <w:szCs w:val="4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5EB8F601">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2</w:t>
                    </w:r>
                    <w:r>
                      <w:rPr>
                        <w:rFonts w:ascii="Calibri" w:hAnsi="Calibri" w:eastAsia="宋体" w:cs="Times New Roman"/>
                        <w:kern w:val="2"/>
                        <w:sz w:val="24"/>
                        <w:szCs w:val="40"/>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F0938">
    <w:pPr>
      <w:widowControl w:val="0"/>
      <w:tabs>
        <w:tab w:val="center" w:pos="4153"/>
        <w:tab w:val="right" w:pos="8306"/>
      </w:tabs>
      <w:autoSpaceDE w:val="0"/>
      <w:autoSpaceDN w:val="0"/>
      <w:snapToGrid w:val="0"/>
      <w:rPr>
        <w:rFonts w:ascii="宋体" w:hAnsi="宋体" w:eastAsia="宋体" w:cs="宋体"/>
        <w:sz w:val="18"/>
        <w:szCs w:val="22"/>
        <w:lang w:val="fr-FR" w:eastAsia="en-US" w:bidi="ar-SA"/>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89886">
    <w:pPr>
      <w:widowControl w:val="0"/>
      <w:spacing w:line="14" w:lineRule="auto"/>
      <w:jc w:val="both"/>
      <w:rPr>
        <w:rFonts w:ascii="宋体" w:hAnsi="宋体" w:eastAsia="宋体" w:cs="宋体"/>
        <w:kern w:val="2"/>
        <w:sz w:val="20"/>
        <w:szCs w:val="21"/>
        <w:lang w:val="en-US" w:eastAsia="zh-CN" w:bidi="ar-SA"/>
      </w:rPr>
    </w:pPr>
    <w:r>
      <w:rPr>
        <w:rFonts w:ascii="宋体" w:hAnsi="宋体" w:eastAsia="宋体" w:cs="宋体"/>
        <w:kern w:val="2"/>
        <w:sz w:val="20"/>
        <w:szCs w:val="21"/>
        <w:lang w:val="en-US" w:eastAsia="zh-CN" w:bidi="ar-SA"/>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79C04">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6</w:t>
                          </w:r>
                          <w:r>
                            <w:rPr>
                              <w:rFonts w:ascii="Calibri" w:hAnsi="Calibri" w:eastAsia="宋体" w:cs="Times New Roman"/>
                              <w:kern w:val="2"/>
                              <w:sz w:val="24"/>
                              <w:szCs w:val="4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GB985AgAAc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by9G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wGB985AgAAcQQAAA4AAAAAAAAAAQAgAAAAHwEAAGRycy9lMm9Eb2Mu&#10;eG1sUEsFBgAAAAAGAAYAWQEAAMoFAAAAAA==&#10;">
              <v:fill on="f" focussize="0,0"/>
              <v:stroke on="f" weight="0.5pt"/>
              <v:imagedata o:title=""/>
              <o:lock v:ext="edit" aspectratio="f"/>
              <v:textbox inset="0mm,0mm,0mm,0mm" style="mso-fit-shape-to-text:t;">
                <w:txbxContent>
                  <w:p w14:paraId="1F479C04">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6</w:t>
                    </w:r>
                    <w:r>
                      <w:rPr>
                        <w:rFonts w:ascii="Calibri" w:hAnsi="Calibri" w:eastAsia="宋体" w:cs="Times New Roman"/>
                        <w:kern w:val="2"/>
                        <w:sz w:val="24"/>
                        <w:szCs w:val="40"/>
                        <w:lang w:val="en-US" w:eastAsia="zh-CN" w:bidi="ar-SA"/>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A2B15">
    <w:pPr>
      <w:widowControl w:val="0"/>
      <w:spacing w:line="14" w:lineRule="auto"/>
      <w:jc w:val="both"/>
      <w:rPr>
        <w:rFonts w:ascii="宋体" w:hAnsi="宋体" w:eastAsia="宋体" w:cs="宋体"/>
        <w:kern w:val="2"/>
        <w:sz w:val="2"/>
        <w:szCs w:val="21"/>
        <w:lang w:val="en-US" w:eastAsia="zh-CN" w:bidi="ar-SA"/>
      </w:rPr>
    </w:pPr>
    <w:r>
      <w:rPr>
        <w:rFonts w:ascii="宋体" w:hAnsi="宋体" w:eastAsia="宋体" w:cs="宋体"/>
        <w:kern w:val="2"/>
        <w:sz w:val="2"/>
        <w:szCs w:val="21"/>
        <w:lang w:val="en-US" w:eastAsia="zh-CN" w:bidi="ar-SA"/>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37C0C">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2</w:t>
                          </w:r>
                          <w:r>
                            <w:rPr>
                              <w:rFonts w:ascii="Calibri" w:hAnsi="Calibri" w:eastAsia="宋体" w:cs="Times New Roman"/>
                              <w:kern w:val="2"/>
                              <w:sz w:val="24"/>
                              <w:szCs w:val="4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0TZo6AgAAc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tE2aOgIAAHEEAAAOAAAAAAAAAAEAIAAAAB8BAABkcnMvZTJvRG9j&#10;LnhtbFBLBQYAAAAABgAGAFkBAADLBQAAAAA=&#10;">
              <v:fill on="f" focussize="0,0"/>
              <v:stroke on="f" weight="0.5pt"/>
              <v:imagedata o:title=""/>
              <o:lock v:ext="edit" aspectratio="f"/>
              <v:textbox inset="0mm,0mm,0mm,0mm" style="mso-fit-shape-to-text:t;">
                <w:txbxContent>
                  <w:p w14:paraId="2CA37C0C">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2</w:t>
                    </w:r>
                    <w:r>
                      <w:rPr>
                        <w:rFonts w:ascii="Calibri" w:hAnsi="Calibri" w:eastAsia="宋体" w:cs="Times New Roman"/>
                        <w:kern w:val="2"/>
                        <w:sz w:val="24"/>
                        <w:szCs w:val="40"/>
                        <w:lang w:val="en-US" w:eastAsia="zh-CN" w:bidi="ar-SA"/>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84DCE">
    <w:pPr>
      <w:widowControl w:val="0"/>
      <w:spacing w:line="14" w:lineRule="auto"/>
      <w:jc w:val="both"/>
      <w:rPr>
        <w:rFonts w:ascii="宋体" w:hAnsi="宋体" w:eastAsia="宋体" w:cs="宋体"/>
        <w:kern w:val="2"/>
        <w:sz w:val="20"/>
        <w:szCs w:val="21"/>
        <w:lang w:val="en-US" w:eastAsia="zh-CN" w:bidi="ar-SA"/>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676672" behindDoc="1" locked="0" layoutInCell="1" allowOverlap="1">
              <wp:simplePos x="0" y="0"/>
              <wp:positionH relativeFrom="page">
                <wp:posOffset>706120</wp:posOffset>
              </wp:positionH>
              <wp:positionV relativeFrom="page">
                <wp:posOffset>6911340</wp:posOffset>
              </wp:positionV>
              <wp:extent cx="235585" cy="2159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35585" cy="215900"/>
                      </a:xfrm>
                      <a:prstGeom prst="rect">
                        <a:avLst/>
                      </a:prstGeom>
                      <a:noFill/>
                      <a:ln>
                        <a:noFill/>
                      </a:ln>
                    </wps:spPr>
                    <wps:txbx>
                      <w:txbxContent>
                        <w:p w14:paraId="1A4081F9">
                          <w:pPr>
                            <w:spacing w:before="12"/>
                            <w:ind w:left="20" w:right="0" w:firstLine="0"/>
                            <w:jc w:val="left"/>
                            <w:rPr>
                              <w:rFonts w:hint="default" w:ascii="Calibri Light" w:hAnsi="Calibri Light" w:eastAsia="宋体" w:cs="Times New Roman"/>
                              <w:sz w:val="24"/>
                              <w:szCs w:val="40"/>
                            </w:rPr>
                          </w:pPr>
                          <w:r>
                            <w:rPr>
                              <w:rFonts w:hint="default" w:ascii="Calibri Light" w:hAnsi="Calibri Light" w:eastAsia="宋体" w:cs="Times New Roman"/>
                              <w:sz w:val="24"/>
                              <w:szCs w:val="40"/>
                            </w:rPr>
                            <w:t>10</w:t>
                          </w:r>
                        </w:p>
                      </w:txbxContent>
                    </wps:txbx>
                    <wps:bodyPr lIns="0" tIns="0" rIns="0" bIns="0" upright="1"/>
                  </wps:wsp>
                </a:graphicData>
              </a:graphic>
            </wp:anchor>
          </w:drawing>
        </mc:Choice>
        <mc:Fallback>
          <w:pict>
            <v:shape id="_x0000_s1026" o:spid="_x0000_s1026" o:spt="202" type="#_x0000_t202" style="position:absolute;left:0pt;margin-left:55.6pt;margin-top:544.2pt;height:17pt;width:18.55pt;mso-position-horizontal-relative:page;mso-position-vertical-relative:page;z-index:-251639808;mso-width-relative:page;mso-height-relative:page;" filled="f" stroked="f" coordsize="21600,21600" o:gfxdata="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sHqBrZAAAADQEAAA8AAAAAAAAAAQAgAAAAIgAAAGRycy9kb3ducmV2LnhtbFBL&#10;AQIUABQAAAAIAIdO4kDL7VKEvAEAAHMDAAAOAAAAAAAAAAEAIAAAACgBAABkcnMvZTJvRG9jLnht&#10;bFBLBQYAAAAABgAGAFkBAABWBQAAAAA=&#10;">
              <v:fill on="f" focussize="0,0"/>
              <v:stroke on="f"/>
              <v:imagedata o:title=""/>
              <o:lock v:ext="edit" aspectratio="f"/>
              <v:textbox inset="0mm,0mm,0mm,0mm">
                <w:txbxContent>
                  <w:p w14:paraId="1A4081F9">
                    <w:pPr>
                      <w:spacing w:before="12"/>
                      <w:ind w:left="20" w:right="0" w:firstLine="0"/>
                      <w:jc w:val="left"/>
                      <w:rPr>
                        <w:rFonts w:hint="default" w:ascii="Calibri Light" w:hAnsi="Calibri Light" w:eastAsia="宋体" w:cs="Times New Roman"/>
                        <w:sz w:val="24"/>
                        <w:szCs w:val="40"/>
                      </w:rPr>
                    </w:pPr>
                    <w:r>
                      <w:rPr>
                        <w:rFonts w:hint="default" w:ascii="Calibri Light" w:hAnsi="Calibri Light" w:eastAsia="宋体" w:cs="Times New Roman"/>
                        <w:sz w:val="24"/>
                        <w:szCs w:val="40"/>
                      </w:rPr>
                      <w:t>10</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C4A3F">
    <w:pPr>
      <w:widowControl w:val="0"/>
      <w:spacing w:line="14" w:lineRule="auto"/>
      <w:jc w:val="both"/>
      <w:rPr>
        <w:rFonts w:ascii="宋体" w:hAnsi="宋体" w:eastAsia="宋体" w:cs="宋体"/>
        <w:kern w:val="2"/>
        <w:sz w:val="2"/>
        <w:szCs w:val="21"/>
        <w:lang w:val="en-US" w:eastAsia="zh-CN" w:bidi="ar-SA"/>
      </w:rPr>
    </w:pPr>
    <w:r>
      <w:rPr>
        <w:rFonts w:ascii="宋体" w:hAnsi="宋体" w:eastAsia="宋体" w:cs="宋体"/>
        <w:kern w:val="2"/>
        <w:sz w:val="2"/>
        <w:szCs w:val="21"/>
        <w:lang w:val="en-US" w:eastAsia="zh-CN" w:bidi="ar-SA"/>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06F51">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14</w:t>
                          </w:r>
                          <w:r>
                            <w:rPr>
                              <w:rFonts w:ascii="Calibri" w:hAnsi="Calibri" w:eastAsia="宋体" w:cs="Times New Roman"/>
                              <w:kern w:val="2"/>
                              <w:sz w:val="24"/>
                              <w:szCs w:val="4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fill on="f" focussize="0,0"/>
              <v:stroke on="f" weight="0.5pt"/>
              <v:imagedata o:title=""/>
              <o:lock v:ext="edit" aspectratio="f"/>
              <v:textbox inset="0mm,0mm,0mm,0mm" style="mso-fit-shape-to-text:t;">
                <w:txbxContent>
                  <w:p w14:paraId="17806F51">
                    <w:pPr>
                      <w:widowControl w:val="0"/>
                      <w:tabs>
                        <w:tab w:val="center" w:pos="4153"/>
                        <w:tab w:val="right" w:pos="8306"/>
                      </w:tabs>
                      <w:snapToGrid w:val="0"/>
                      <w:jc w:val="left"/>
                      <w:rPr>
                        <w:rFonts w:ascii="Calibri" w:hAnsi="Calibri" w:eastAsia="宋体" w:cs="Times New Roman"/>
                        <w:kern w:val="2"/>
                        <w:sz w:val="24"/>
                        <w:szCs w:val="40"/>
                        <w:lang w:val="en-US" w:eastAsia="zh-CN" w:bidi="ar-SA"/>
                      </w:rPr>
                    </w:pPr>
                    <w:r>
                      <w:rPr>
                        <w:rFonts w:ascii="Calibri" w:hAnsi="Calibri" w:eastAsia="宋体" w:cs="Times New Roman"/>
                        <w:kern w:val="2"/>
                        <w:sz w:val="24"/>
                        <w:szCs w:val="40"/>
                        <w:lang w:val="en-US" w:eastAsia="zh-CN" w:bidi="ar-SA"/>
                      </w:rPr>
                      <w:fldChar w:fldCharType="begin"/>
                    </w:r>
                    <w:r>
                      <w:rPr>
                        <w:rFonts w:ascii="Calibri" w:hAnsi="Calibri" w:eastAsia="宋体" w:cs="Times New Roman"/>
                        <w:kern w:val="2"/>
                        <w:sz w:val="24"/>
                        <w:szCs w:val="40"/>
                        <w:lang w:val="en-US" w:eastAsia="zh-CN" w:bidi="ar-SA"/>
                      </w:rPr>
                      <w:instrText xml:space="preserve"> PAGE  \* MERGEFORMAT </w:instrText>
                    </w:r>
                    <w:r>
                      <w:rPr>
                        <w:rFonts w:ascii="Calibri" w:hAnsi="Calibri" w:eastAsia="宋体" w:cs="Times New Roman"/>
                        <w:kern w:val="2"/>
                        <w:sz w:val="24"/>
                        <w:szCs w:val="40"/>
                        <w:lang w:val="en-US" w:eastAsia="zh-CN" w:bidi="ar-SA"/>
                      </w:rPr>
                      <w:fldChar w:fldCharType="separate"/>
                    </w:r>
                    <w:r>
                      <w:rPr>
                        <w:rFonts w:ascii="Calibri" w:hAnsi="Calibri" w:eastAsia="宋体" w:cs="Times New Roman"/>
                        <w:kern w:val="2"/>
                        <w:sz w:val="24"/>
                        <w:szCs w:val="40"/>
                        <w:lang w:val="en-US" w:eastAsia="zh-CN" w:bidi="ar-SA"/>
                      </w:rPr>
                      <w:t>14</w:t>
                    </w:r>
                    <w:r>
                      <w:rPr>
                        <w:rFonts w:ascii="Calibri" w:hAnsi="Calibri" w:eastAsia="宋体" w:cs="Times New Roman"/>
                        <w:kern w:val="2"/>
                        <w:sz w:val="24"/>
                        <w:szCs w:val="40"/>
                        <w:lang w:val="en-US" w:eastAsia="zh-CN" w:bidi="ar-SA"/>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B3A2B">
    <w:pPr>
      <w:widowControl w:val="0"/>
      <w:spacing w:line="14" w:lineRule="auto"/>
      <w:jc w:val="both"/>
      <w:rPr>
        <w:rFonts w:ascii="宋体" w:hAnsi="宋体" w:eastAsia="宋体" w:cs="宋体"/>
        <w:kern w:val="2"/>
        <w:sz w:val="20"/>
        <w:szCs w:val="21"/>
        <w:lang w:val="en-US" w:eastAsia="zh-CN" w:bidi="ar-SA"/>
      </w:rPr>
    </w:pPr>
    <w:r>
      <w:rPr>
        <w:rFonts w:ascii="宋体" w:hAnsi="宋体" w:eastAsia="宋体" w:cs="宋体"/>
        <w:kern w:val="2"/>
        <w:sz w:val="21"/>
        <w:szCs w:val="21"/>
        <w:lang w:val="en-US" w:eastAsia="zh-CN" w:bidi="ar-SA"/>
      </w:rPr>
      <mc:AlternateContent>
        <mc:Choice Requires="wps">
          <w:drawing>
            <wp:anchor distT="0" distB="0" distL="114300" distR="114300" simplePos="0" relativeHeight="251687936" behindDoc="1" locked="0" layoutInCell="1" allowOverlap="1">
              <wp:simplePos x="0" y="0"/>
              <wp:positionH relativeFrom="page">
                <wp:posOffset>706120</wp:posOffset>
              </wp:positionH>
              <wp:positionV relativeFrom="page">
                <wp:posOffset>6911340</wp:posOffset>
              </wp:positionV>
              <wp:extent cx="235585" cy="2159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235585" cy="215900"/>
                      </a:xfrm>
                      <a:prstGeom prst="rect">
                        <a:avLst/>
                      </a:prstGeom>
                      <a:noFill/>
                      <a:ln>
                        <a:noFill/>
                      </a:ln>
                    </wps:spPr>
                    <wps:txbx>
                      <w:txbxContent>
                        <w:p w14:paraId="73EBBD5B">
                          <w:pPr>
                            <w:spacing w:before="12"/>
                            <w:ind w:left="20" w:right="0" w:firstLine="0"/>
                            <w:jc w:val="left"/>
                            <w:rPr>
                              <w:rFonts w:ascii="Times New Roman" w:eastAsia="宋体" w:cs="Times New Roman"/>
                              <w:sz w:val="22"/>
                              <w:szCs w:val="36"/>
                            </w:rPr>
                          </w:pPr>
                          <w:r>
                            <w:rPr>
                              <w:rFonts w:ascii="Times New Roman" w:eastAsia="宋体" w:cs="Times New Roman"/>
                              <w:sz w:val="22"/>
                              <w:szCs w:val="36"/>
                            </w:rPr>
                            <w:t>10</w:t>
                          </w:r>
                        </w:p>
                      </w:txbxContent>
                    </wps:txbx>
                    <wps:bodyPr lIns="0" tIns="0" rIns="0" bIns="0" upright="1"/>
                  </wps:wsp>
                </a:graphicData>
              </a:graphic>
            </wp:anchor>
          </w:drawing>
        </mc:Choice>
        <mc:Fallback>
          <w:pict>
            <v:shape id="_x0000_s1026" o:spid="_x0000_s1026" o:spt="202" type="#_x0000_t202" style="position:absolute;left:0pt;margin-left:55.6pt;margin-top:544.2pt;height:17pt;width:18.55pt;mso-position-horizontal-relative:page;mso-position-vertical-relative:page;z-index:-251628544;mso-width-relative:page;mso-height-relative:page;" filled="f" stroked="f" coordsize="21600,21600" o:gfxdata="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sHqBrZAAAADQEAAA8AAAAAAAAAAQAgAAAAIgAAAGRycy9kb3ducmV2LnhtbFBL&#10;AQIUABQAAAAIAIdO4kCwRYaPvAEAAHMDAAAOAAAAAAAAAAEAIAAAACgBAABkcnMvZTJvRG9jLnht&#10;bFBLBQYAAAAABgAGAFkBAABWBQAAAAA=&#10;">
              <v:fill on="f" focussize="0,0"/>
              <v:stroke on="f"/>
              <v:imagedata o:title=""/>
              <o:lock v:ext="edit" aspectratio="f"/>
              <v:textbox inset="0mm,0mm,0mm,0mm">
                <w:txbxContent>
                  <w:p w14:paraId="73EBBD5B">
                    <w:pPr>
                      <w:spacing w:before="12"/>
                      <w:ind w:left="20" w:right="0" w:firstLine="0"/>
                      <w:jc w:val="left"/>
                      <w:rPr>
                        <w:rFonts w:ascii="Times New Roman" w:eastAsia="宋体" w:cs="Times New Roman"/>
                        <w:sz w:val="22"/>
                        <w:szCs w:val="36"/>
                      </w:rPr>
                    </w:pPr>
                    <w:r>
                      <w:rPr>
                        <w:rFonts w:ascii="Times New Roman" w:eastAsia="宋体" w:cs="Times New Roman"/>
                        <w:sz w:val="22"/>
                        <w:szCs w:val="36"/>
                      </w:rPr>
                      <w:t>10</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FF418">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2FE5E">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ACC26">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59BC2">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E9B14">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w:fldChar w:fldCharType="begin"/>
                          </w:r>
                          <w:r>
                            <w:rPr>
                              <w:rFonts w:ascii="Times New Roman" w:hAnsi="Times New Roman" w:eastAsia="宋体" w:cs="Times New Roman"/>
                              <w:kern w:val="2"/>
                              <w:sz w:val="18"/>
                              <w:szCs w:val="24"/>
                              <w:lang w:val="en-US" w:eastAsia="zh-CN" w:bidi="ar-SA"/>
                            </w:rPr>
                            <w:instrText xml:space="preserve"> PAGE  \* MERGEFORMAT </w:instrText>
                          </w:r>
                          <w:r>
                            <w:rPr>
                              <w:rFonts w:ascii="Times New Roman" w:hAnsi="Times New Roman" w:eastAsia="宋体" w:cs="Times New Roman"/>
                              <w:kern w:val="2"/>
                              <w:sz w:val="18"/>
                              <w:szCs w:val="24"/>
                              <w:lang w:val="en-US" w:eastAsia="zh-CN" w:bidi="ar-SA"/>
                            </w:rPr>
                            <w:fldChar w:fldCharType="separate"/>
                          </w:r>
                          <w:r>
                            <w:rPr>
                              <w:rFonts w:ascii="Times New Roman" w:hAnsi="Times New Roman" w:eastAsia="宋体" w:cs="Times New Roman"/>
                              <w:kern w:val="2"/>
                              <w:sz w:val="18"/>
                              <w:szCs w:val="24"/>
                              <w:lang w:val="en-US" w:eastAsia="zh-CN" w:bidi="ar-SA"/>
                            </w:rPr>
                            <w:t>i</w:t>
                          </w:r>
                          <w:r>
                            <w:rPr>
                              <w:rFonts w:ascii="Times New Roman" w:hAnsi="Times New Roman"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nLlg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5y5YMQIAAGUEAAAOAAAAAAAAAAEAIAAAAB8BAABkcnMvZTJvRG9jLnhtbFBLBQYA&#10;AAAABgAGAFkBAADCBQAAAAA=&#10;">
              <v:fill on="f" focussize="0,0"/>
              <v:stroke on="f" weight="0.5pt"/>
              <v:imagedata o:title=""/>
              <o:lock v:ext="edit" aspectratio="f"/>
              <v:textbox inset="0mm,0mm,0mm,0mm" style="mso-fit-shape-to-text:t;">
                <w:txbxContent>
                  <w:p w14:paraId="049E9B14">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w:fldChar w:fldCharType="begin"/>
                    </w:r>
                    <w:r>
                      <w:rPr>
                        <w:rFonts w:ascii="Times New Roman" w:hAnsi="Times New Roman" w:eastAsia="宋体" w:cs="Times New Roman"/>
                        <w:kern w:val="2"/>
                        <w:sz w:val="18"/>
                        <w:szCs w:val="24"/>
                        <w:lang w:val="en-US" w:eastAsia="zh-CN" w:bidi="ar-SA"/>
                      </w:rPr>
                      <w:instrText xml:space="preserve"> PAGE  \* MERGEFORMAT </w:instrText>
                    </w:r>
                    <w:r>
                      <w:rPr>
                        <w:rFonts w:ascii="Times New Roman" w:hAnsi="Times New Roman" w:eastAsia="宋体" w:cs="Times New Roman"/>
                        <w:kern w:val="2"/>
                        <w:sz w:val="18"/>
                        <w:szCs w:val="24"/>
                        <w:lang w:val="en-US" w:eastAsia="zh-CN" w:bidi="ar-SA"/>
                      </w:rPr>
                      <w:fldChar w:fldCharType="separate"/>
                    </w:r>
                    <w:r>
                      <w:rPr>
                        <w:rFonts w:ascii="Times New Roman" w:hAnsi="Times New Roman" w:eastAsia="宋体" w:cs="Times New Roman"/>
                        <w:kern w:val="2"/>
                        <w:sz w:val="18"/>
                        <w:szCs w:val="24"/>
                        <w:lang w:val="en-US" w:eastAsia="zh-CN" w:bidi="ar-SA"/>
                      </w:rPr>
                      <w:t>i</w:t>
                    </w:r>
                    <w:r>
                      <w:rPr>
                        <w:rFonts w:ascii="Times New Roman" w:hAnsi="Times New Roman" w:eastAsia="宋体" w:cs="Times New Roman"/>
                        <w:kern w:val="2"/>
                        <w:sz w:val="18"/>
                        <w:szCs w:val="24"/>
                        <w:lang w:val="en-US" w:eastAsia="zh-CN" w:bidi="ar-SA"/>
                      </w:rPr>
                      <w:fldChar w:fldCharType="end"/>
                    </w:r>
                  </w:p>
                </w:txbxContent>
              </v:textbox>
            </v:shape>
          </w:pict>
        </mc:Fallback>
      </mc:AlternateContent>
    </w:r>
    <w:r>
      <w:rPr>
        <w:rFonts w:hint="eastAsia" w:ascii="Times New Roman" w:hAnsi="Times New Roman" w:eastAsia="宋体" w:cs="Times New Roman"/>
        <w:kern w:val="2"/>
        <w:sz w:val="18"/>
        <w:szCs w:val="24"/>
        <w:lang w:val="en-US" w:eastAsia="zh-CN" w:bidi="ar-SA"/>
      </w:rPr>
      <w:tab/>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ECC02">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FF19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18"/>
                              <w:lang w:val="en-US" w:eastAsia="zh-CN" w:bidi="ar-SA"/>
                            </w:rPr>
                            <w:fldChar w:fldCharType="begin"/>
                          </w:r>
                          <w:r>
                            <w:rPr>
                              <w:rFonts w:hint="default" w:ascii="Times New Roman" w:hAnsi="Times New Roman" w:eastAsia="宋体" w:cs="Times New Roman"/>
                              <w:kern w:val="2"/>
                              <w:sz w:val="18"/>
                              <w:szCs w:val="18"/>
                              <w:lang w:val="en-US" w:eastAsia="zh-CN" w:bidi="ar-SA"/>
                            </w:rPr>
                            <w:instrText xml:space="preserve"> PAGE  \* MERGEFORMAT </w:instrText>
                          </w:r>
                          <w:r>
                            <w:rPr>
                              <w:rFonts w:hint="default" w:ascii="Times New Roman" w:hAnsi="Times New Roman" w:eastAsia="宋体" w:cs="Times New Roman"/>
                              <w:kern w:val="2"/>
                              <w:sz w:val="18"/>
                              <w:szCs w:val="18"/>
                              <w:lang w:val="en-US" w:eastAsia="zh-CN" w:bidi="ar-SA"/>
                            </w:rPr>
                            <w:fldChar w:fldCharType="separate"/>
                          </w:r>
                          <w:r>
                            <w:rPr>
                              <w:rFonts w:hint="default" w:ascii="Times New Roman" w:hAnsi="Times New Roman" w:eastAsia="宋体" w:cs="Times New Roman"/>
                              <w:kern w:val="2"/>
                              <w:sz w:val="18"/>
                              <w:szCs w:val="18"/>
                              <w:lang w:val="en-US" w:eastAsia="zh-CN" w:bidi="ar-SA"/>
                            </w:rPr>
                            <w:t>１３</w:t>
                          </w:r>
                          <w:r>
                            <w:rPr>
                              <w:rFonts w:hint="default"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ObEI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MVakaehhIqWu9GiFdt/2&#10;PPemOIOmM92keMs3NUrZMh8emMNooHw8nnCPpZQGKU1vUVIZ9+Vf5zEeHYOXkgajllONl0WJfK/R&#10;SQCGwXCDsR8MfVR3BrOL5qCWZOKCC3IwS2fUZ7yoVcwBF9McmXIaBvMudOOOF8nFapWCMHuWha3e&#10;WR6hozzero4BciaVoyidEuhO3GD6Up/6lxLH+899inr8O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DmxCMQIAAGUEAAAOAAAAAAAAAAEAIAAAAB8BAABkcnMvZTJvRG9jLnhtbFBLBQYA&#10;AAAABgAGAFkBAADCBQAAAAA=&#10;">
              <v:fill on="f" focussize="0,0"/>
              <v:stroke on="f" weight="0.5pt"/>
              <v:imagedata o:title=""/>
              <o:lock v:ext="edit" aspectratio="f"/>
              <v:textbox inset="0mm,0mm,0mm,0mm" style="mso-fit-shape-to-text:t;">
                <w:txbxContent>
                  <w:p w14:paraId="034FF19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eastAsia="宋体" w:cs="Times New Roman"/>
                        <w:kern w:val="2"/>
                        <w:sz w:val="18"/>
                        <w:szCs w:val="24"/>
                        <w:lang w:val="en-US" w:eastAsia="zh-CN" w:bidi="ar-SA"/>
                      </w:rPr>
                    </w:pPr>
                    <w:r>
                      <w:rPr>
                        <w:rFonts w:hint="default" w:ascii="Times New Roman" w:hAnsi="Times New Roman" w:eastAsia="宋体" w:cs="Times New Roman"/>
                        <w:kern w:val="2"/>
                        <w:sz w:val="18"/>
                        <w:szCs w:val="18"/>
                        <w:lang w:val="en-US" w:eastAsia="zh-CN" w:bidi="ar-SA"/>
                      </w:rPr>
                      <w:fldChar w:fldCharType="begin"/>
                    </w:r>
                    <w:r>
                      <w:rPr>
                        <w:rFonts w:hint="default" w:ascii="Times New Roman" w:hAnsi="Times New Roman" w:eastAsia="宋体" w:cs="Times New Roman"/>
                        <w:kern w:val="2"/>
                        <w:sz w:val="18"/>
                        <w:szCs w:val="18"/>
                        <w:lang w:val="en-US" w:eastAsia="zh-CN" w:bidi="ar-SA"/>
                      </w:rPr>
                      <w:instrText xml:space="preserve"> PAGE  \* MERGEFORMAT </w:instrText>
                    </w:r>
                    <w:r>
                      <w:rPr>
                        <w:rFonts w:hint="default" w:ascii="Times New Roman" w:hAnsi="Times New Roman" w:eastAsia="宋体" w:cs="Times New Roman"/>
                        <w:kern w:val="2"/>
                        <w:sz w:val="18"/>
                        <w:szCs w:val="18"/>
                        <w:lang w:val="en-US" w:eastAsia="zh-CN" w:bidi="ar-SA"/>
                      </w:rPr>
                      <w:fldChar w:fldCharType="separate"/>
                    </w:r>
                    <w:r>
                      <w:rPr>
                        <w:rFonts w:hint="default" w:ascii="Times New Roman" w:hAnsi="Times New Roman" w:eastAsia="宋体" w:cs="Times New Roman"/>
                        <w:kern w:val="2"/>
                        <w:sz w:val="18"/>
                        <w:szCs w:val="18"/>
                        <w:lang w:val="en-US" w:eastAsia="zh-CN" w:bidi="ar-SA"/>
                      </w:rPr>
                      <w:t>１３</w:t>
                    </w:r>
                    <w:r>
                      <w:rPr>
                        <w:rFonts w:hint="default" w:ascii="Times New Roman" w:hAnsi="Times New Roman" w:eastAsia="宋体" w:cs="Times New Roman"/>
                        <w:kern w:val="2"/>
                        <w:sz w:val="18"/>
                        <w:szCs w:val="18"/>
                        <w:lang w:val="en-US" w:eastAsia="zh-CN" w:bidi="ar-SA"/>
                      </w:rPr>
                      <w:fldChar w:fldCharType="end"/>
                    </w:r>
                  </w:p>
                </w:txbxContent>
              </v:textbox>
            </v:shape>
          </w:pict>
        </mc:Fallback>
      </mc:AlternateContent>
    </w:r>
    <w:r>
      <w:rPr>
        <w:rFonts w:hint="eastAsia" w:ascii="Times New Roman" w:hAnsi="Times New Roman" w:eastAsia="宋体" w:cs="Times New Roman"/>
        <w:kern w:val="2"/>
        <w:sz w:val="18"/>
        <w:szCs w:val="24"/>
        <w:lang w:val="en-US" w:eastAsia="zh-CN" w:bidi="ar-S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F6589">
    <w:pPr>
      <w:widowControl w:val="0"/>
      <w:autoSpaceDE w:val="0"/>
      <w:autoSpaceDN w:val="0"/>
      <w:spacing w:line="14" w:lineRule="auto"/>
      <w:rPr>
        <w:rFonts w:ascii="宋体" w:hAnsi="宋体" w:eastAsia="宋体" w:cs="宋体"/>
        <w:sz w:val="20"/>
        <w:szCs w:val="21"/>
        <w:lang w:val="fr-FR" w:eastAsia="en-US" w:bidi="ar-SA"/>
      </w:rPr>
    </w:pPr>
    <w:r>
      <w:rPr>
        <w:rFonts w:ascii="宋体" w:hAnsi="宋体" w:eastAsia="宋体" w:cs="宋体"/>
        <w:sz w:val="21"/>
        <w:szCs w:val="21"/>
        <w:lang w:val="fr-FR" w:eastAsia="en-US" w:bidi="ar-SA"/>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0</wp:posOffset>
              </wp:positionV>
              <wp:extent cx="190500" cy="1524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90500" cy="152400"/>
                      </a:xfrm>
                      <a:prstGeom prst="rect">
                        <a:avLst/>
                      </a:prstGeom>
                      <a:noFill/>
                      <a:ln>
                        <a:noFill/>
                      </a:ln>
                    </wps:spPr>
                    <wps:txbx>
                      <w:txbxContent>
                        <w:p w14:paraId="1F684A7D">
                          <w:pPr>
                            <w:keepNext w:val="0"/>
                            <w:keepLines w:val="0"/>
                            <w:pageBreakBefore w:val="0"/>
                            <w:widowControl w:val="0"/>
                            <w:kinsoku/>
                            <w:wordWrap/>
                            <w:overflowPunct/>
                            <w:topLinePunct w:val="0"/>
                            <w:autoSpaceDE w:val="0"/>
                            <w:autoSpaceDN w:val="0"/>
                            <w:bidi w:val="0"/>
                            <w:adjustRightInd/>
                            <w:snapToGrid/>
                            <w:ind w:right="227"/>
                            <w:jc w:val="left"/>
                            <w:textAlignment w:val="auto"/>
                            <w:rPr>
                              <w:rFonts w:ascii="宋体" w:hAnsi="宋体" w:eastAsia="宋体" w:cs="宋体"/>
                              <w:kern w:val="0"/>
                              <w:sz w:val="18"/>
                              <w:szCs w:val="18"/>
                              <w:lang w:val="fr-FR" w:eastAsia="en-US"/>
                            </w:rPr>
                          </w:pPr>
                          <w:r>
                            <w:rPr>
                              <w:rFonts w:hint="eastAsia" w:ascii="宋体" w:hAnsi="宋体" w:eastAsia="宋体" w:cs="宋体"/>
                              <w:kern w:val="0"/>
                              <w:sz w:val="18"/>
                              <w:szCs w:val="18"/>
                              <w:lang w:val="fr-FR" w:eastAsia="en-US"/>
                            </w:rPr>
                            <w:fldChar w:fldCharType="begin"/>
                          </w:r>
                          <w:r>
                            <w:rPr>
                              <w:rFonts w:hint="eastAsia" w:ascii="宋体" w:hAnsi="宋体" w:eastAsia="宋体" w:cs="宋体"/>
                              <w:kern w:val="0"/>
                              <w:sz w:val="18"/>
                              <w:szCs w:val="18"/>
                              <w:lang w:val="fr-FR" w:eastAsia="en-US"/>
                            </w:rPr>
                            <w:instrText xml:space="preserve"> PAGE  \* ROMAN </w:instrText>
                          </w:r>
                          <w:r>
                            <w:rPr>
                              <w:rFonts w:hint="eastAsia" w:ascii="宋体" w:hAnsi="宋体" w:eastAsia="宋体" w:cs="宋体"/>
                              <w:kern w:val="0"/>
                              <w:sz w:val="18"/>
                              <w:szCs w:val="18"/>
                              <w:lang w:val="fr-FR" w:eastAsia="en-US"/>
                            </w:rPr>
                            <w:fldChar w:fldCharType="separate"/>
                          </w:r>
                          <w:r>
                            <w:rPr>
                              <w:rFonts w:hint="eastAsia" w:ascii="宋体" w:hAnsi="宋体" w:eastAsia="宋体" w:cs="宋体"/>
                              <w:kern w:val="0"/>
                              <w:sz w:val="18"/>
                              <w:szCs w:val="18"/>
                              <w:lang w:val="fr-FR" w:eastAsia="en-US"/>
                            </w:rPr>
                            <w:t>III</w:t>
                          </w:r>
                          <w:r>
                            <w:rPr>
                              <w:rFonts w:hint="eastAsia" w:ascii="宋体" w:hAnsi="宋体" w:eastAsia="宋体" w:cs="宋体"/>
                              <w:kern w:val="0"/>
                              <w:sz w:val="18"/>
                              <w:szCs w:val="18"/>
                              <w:lang w:val="fr-FR" w:eastAsia="en-US"/>
                            </w:rPr>
                            <w:fldChar w:fldCharType="end"/>
                          </w:r>
                        </w:p>
                      </w:txbxContent>
                    </wps:txbx>
                    <wps:bodyPr lIns="0" tIns="0" rIns="0" bIns="0" upright="1"/>
                  </wps:wsp>
                </a:graphicData>
              </a:graphic>
            </wp:anchor>
          </w:drawing>
        </mc:Choice>
        <mc:Fallback>
          <w:pict>
            <v:shape id="_x0000_s1026" o:spid="_x0000_s1026" o:spt="202" type="#_x0000_t202" style="position:absolute;left:0pt;margin-top:0pt;height:12pt;width:15pt;mso-position-horizontal:right;mso-position-horizontal-relative:margin;z-index:251695104;mso-width-relative:page;mso-height-relative:page;" filled="f" stroked="f" coordsize="21600,21600" o:gfxdata="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arjM50wAAAAMBAAAPAAAAAAAAAAEAIAAAACIAAABkcnMvZG93bnJldi54bWxQSwECFAAUAAAA&#10;CACHTuJAOeE1aboBAABzAwAADgAAAAAAAAABACAAAAAiAQAAZHJzL2Uyb0RvYy54bWxQSwUGAAAA&#10;AAYABgBZAQAATgUAAAAA&#10;">
              <v:fill on="f" focussize="0,0"/>
              <v:stroke on="f"/>
              <v:imagedata o:title=""/>
              <o:lock v:ext="edit" aspectratio="f"/>
              <v:textbox inset="0mm,0mm,0mm,0mm">
                <w:txbxContent>
                  <w:p w14:paraId="1F684A7D">
                    <w:pPr>
                      <w:keepNext w:val="0"/>
                      <w:keepLines w:val="0"/>
                      <w:pageBreakBefore w:val="0"/>
                      <w:widowControl w:val="0"/>
                      <w:kinsoku/>
                      <w:wordWrap/>
                      <w:overflowPunct/>
                      <w:topLinePunct w:val="0"/>
                      <w:autoSpaceDE w:val="0"/>
                      <w:autoSpaceDN w:val="0"/>
                      <w:bidi w:val="0"/>
                      <w:adjustRightInd/>
                      <w:snapToGrid/>
                      <w:ind w:right="227"/>
                      <w:jc w:val="left"/>
                      <w:textAlignment w:val="auto"/>
                      <w:rPr>
                        <w:rFonts w:ascii="宋体" w:hAnsi="宋体" w:eastAsia="宋体" w:cs="宋体"/>
                        <w:kern w:val="0"/>
                        <w:sz w:val="18"/>
                        <w:szCs w:val="18"/>
                        <w:lang w:val="fr-FR" w:eastAsia="en-US"/>
                      </w:rPr>
                    </w:pPr>
                    <w:r>
                      <w:rPr>
                        <w:rFonts w:hint="eastAsia" w:ascii="宋体" w:hAnsi="宋体" w:eastAsia="宋体" w:cs="宋体"/>
                        <w:kern w:val="0"/>
                        <w:sz w:val="18"/>
                        <w:szCs w:val="18"/>
                        <w:lang w:val="fr-FR" w:eastAsia="en-US"/>
                      </w:rPr>
                      <w:fldChar w:fldCharType="begin"/>
                    </w:r>
                    <w:r>
                      <w:rPr>
                        <w:rFonts w:hint="eastAsia" w:ascii="宋体" w:hAnsi="宋体" w:eastAsia="宋体" w:cs="宋体"/>
                        <w:kern w:val="0"/>
                        <w:sz w:val="18"/>
                        <w:szCs w:val="18"/>
                        <w:lang w:val="fr-FR" w:eastAsia="en-US"/>
                      </w:rPr>
                      <w:instrText xml:space="preserve"> PAGE  \* ROMAN </w:instrText>
                    </w:r>
                    <w:r>
                      <w:rPr>
                        <w:rFonts w:hint="eastAsia" w:ascii="宋体" w:hAnsi="宋体" w:eastAsia="宋体" w:cs="宋体"/>
                        <w:kern w:val="0"/>
                        <w:sz w:val="18"/>
                        <w:szCs w:val="18"/>
                        <w:lang w:val="fr-FR" w:eastAsia="en-US"/>
                      </w:rPr>
                      <w:fldChar w:fldCharType="separate"/>
                    </w:r>
                    <w:r>
                      <w:rPr>
                        <w:rFonts w:hint="eastAsia" w:ascii="宋体" w:hAnsi="宋体" w:eastAsia="宋体" w:cs="宋体"/>
                        <w:kern w:val="0"/>
                        <w:sz w:val="18"/>
                        <w:szCs w:val="18"/>
                        <w:lang w:val="fr-FR" w:eastAsia="en-US"/>
                      </w:rPr>
                      <w:t>III</w:t>
                    </w:r>
                    <w:r>
                      <w:rPr>
                        <w:rFonts w:hint="eastAsia" w:ascii="宋体" w:hAnsi="宋体" w:eastAsia="宋体" w:cs="宋体"/>
                        <w:kern w:val="0"/>
                        <w:sz w:val="18"/>
                        <w:szCs w:val="18"/>
                        <w:lang w:val="fr-FR" w:eastAsia="en-US"/>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DB584">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r>
      <w:rPr>
        <w:rFonts w:hint="eastAsia" w:ascii="Times New Roman" w:hAnsi="Times New Roman" w:eastAsia="宋体" w:cs="Times New Roman"/>
        <w:kern w:val="2"/>
        <w:sz w:val="18"/>
        <w:szCs w:val="24"/>
        <w:lang w:val="en-US" w:eastAsia="zh-CN" w:bidi="ar-S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3E2B4">
    <w:pPr>
      <w:widowControl w:val="0"/>
      <w:tabs>
        <w:tab w:val="center" w:pos="4153"/>
        <w:tab w:val="right" w:pos="8306"/>
      </w:tabs>
      <w:autoSpaceDE w:val="0"/>
      <w:autoSpaceDN w:val="0"/>
      <w:snapToGrid w:val="0"/>
      <w:rPr>
        <w:rFonts w:ascii="宋体" w:hAnsi="宋体" w:eastAsia="宋体" w:cs="宋体"/>
        <w:sz w:val="18"/>
        <w:szCs w:val="22"/>
        <w:lang w:val="fr-FR" w:eastAsia="en-US" w:bidi="ar-SA"/>
      </w:rPr>
    </w:pPr>
    <w:r>
      <w:rPr>
        <w:rFonts w:ascii="宋体" w:hAnsi="宋体" w:eastAsia="宋体" w:cs="宋体"/>
        <w:sz w:val="18"/>
        <w:szCs w:val="22"/>
        <w:lang w:val="fr-FR" w:eastAsia="en-US" w:bidi="ar-SA"/>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0</wp:posOffset>
              </wp:positionV>
              <wp:extent cx="360045"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360045" cy="1828800"/>
                      </a:xfrm>
                      <a:prstGeom prst="rect">
                        <a:avLst/>
                      </a:prstGeom>
                      <a:noFill/>
                      <a:ln>
                        <a:noFill/>
                      </a:ln>
                    </wps:spPr>
                    <wps:txbx>
                      <w:txbxContent>
                        <w:p w14:paraId="6434826B">
                          <w:pPr>
                            <w:keepNext w:val="0"/>
                            <w:keepLines w:val="0"/>
                            <w:pageBreakBefore w:val="0"/>
                            <w:widowControl w:val="0"/>
                            <w:tabs>
                              <w:tab w:val="center" w:pos="4153"/>
                              <w:tab w:val="right" w:pos="8306"/>
                            </w:tabs>
                            <w:kinsoku/>
                            <w:wordWrap/>
                            <w:overflowPunct/>
                            <w:topLinePunct w:val="0"/>
                            <w:autoSpaceDE w:val="0"/>
                            <w:autoSpaceDN w:val="0"/>
                            <w:bidi w:val="0"/>
                            <w:adjustRightInd w:val="0"/>
                            <w:snapToGrid w:val="0"/>
                            <w:ind w:left="0" w:right="227"/>
                            <w:jc w:val="right"/>
                            <w:textAlignment w:val="auto"/>
                            <w:rPr>
                              <w:rFonts w:ascii="宋体" w:hAnsi="宋体" w:eastAsia="宋体" w:cs="宋体"/>
                              <w:sz w:val="18"/>
                              <w:szCs w:val="22"/>
                              <w:lang w:val="fr-FR" w:eastAsia="en-US" w:bidi="ar-SA"/>
                            </w:rPr>
                          </w:pPr>
                          <w:r>
                            <w:rPr>
                              <w:rFonts w:ascii="宋体" w:hAnsi="宋体" w:eastAsia="宋体" w:cs="宋体"/>
                              <w:sz w:val="18"/>
                              <w:szCs w:val="22"/>
                              <w:lang w:val="fr-FR" w:eastAsia="en-US" w:bidi="ar-SA"/>
                            </w:rPr>
                            <w:fldChar w:fldCharType="begin"/>
                          </w:r>
                          <w:r>
                            <w:rPr>
                              <w:rFonts w:ascii="宋体" w:hAnsi="宋体" w:eastAsia="宋体" w:cs="宋体"/>
                              <w:sz w:val="18"/>
                              <w:szCs w:val="22"/>
                              <w:lang w:val="fr-FR" w:eastAsia="en-US" w:bidi="ar-SA"/>
                            </w:rPr>
                            <w:instrText xml:space="preserve"> PAGE  \* MERGEFORMAT </w:instrText>
                          </w:r>
                          <w:r>
                            <w:rPr>
                              <w:rFonts w:ascii="宋体" w:hAnsi="宋体" w:eastAsia="宋体" w:cs="宋体"/>
                              <w:sz w:val="18"/>
                              <w:szCs w:val="22"/>
                              <w:lang w:val="fr-FR" w:eastAsia="en-US" w:bidi="ar-SA"/>
                            </w:rPr>
                            <w:fldChar w:fldCharType="separate"/>
                          </w:r>
                          <w:r>
                            <w:rPr>
                              <w:rFonts w:ascii="宋体" w:hAnsi="宋体" w:eastAsia="宋体" w:cs="宋体"/>
                              <w:sz w:val="18"/>
                              <w:szCs w:val="22"/>
                              <w:lang w:val="fr-FR" w:eastAsia="en-US" w:bidi="ar-SA"/>
                            </w:rPr>
                            <w:t>II</w:t>
                          </w:r>
                          <w:r>
                            <w:rPr>
                              <w:rFonts w:ascii="宋体" w:hAnsi="宋体" w:eastAsia="宋体" w:cs="宋体"/>
                              <w:sz w:val="18"/>
                              <w:szCs w:val="22"/>
                              <w:lang w:val="fr-FR" w:eastAsia="en-US" w:bidi="ar-SA"/>
                            </w:rPr>
                            <w:fldChar w:fldCharType="end"/>
                          </w:r>
                        </w:p>
                      </w:txbxContent>
                    </wps:txbx>
                    <wps:bodyPr lIns="0" tIns="0" rIns="0" bIns="0" upright="1">
                      <a:spAutoFit/>
                    </wps:bodyPr>
                  </wps:wsp>
                </a:graphicData>
              </a:graphic>
            </wp:anchor>
          </w:drawing>
        </mc:Choice>
        <mc:Fallback>
          <w:pict>
            <v:shape id="_x0000_s1026" o:spid="_x0000_s1026" o:spt="202" type="#_x0000_t202" style="position:absolute;left:0pt;margin-top:0pt;height:144pt;width:28.35pt;mso-position-horizontal:right;mso-position-horizontal-relative:margin;z-index:251696128;mso-width-relative:page;mso-height-relative:page;" filled="f" stroked="f" coordsize="21600,21600" o:gfxdata="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h+ZCTTAAAABAEAAA8AAAAAAAAAAQAgAAAAIgAAAGRycy9kb3ducmV2&#10;LnhtbFBLAQIUABQAAAAIAIdO4kBEUNmvyAEAAI4DAAAOAAAAAAAAAAEAIAAAACIBAABkcnMvZTJv&#10;RG9jLnhtbFBLBQYAAAAABgAGAFkBAABcBQAAAAA=&#10;">
              <v:fill on="f" focussize="0,0"/>
              <v:stroke on="f"/>
              <v:imagedata o:title=""/>
              <o:lock v:ext="edit" aspectratio="f"/>
              <v:textbox inset="0mm,0mm,0mm,0mm" style="mso-fit-shape-to-text:t;">
                <w:txbxContent>
                  <w:p w14:paraId="6434826B">
                    <w:pPr>
                      <w:keepNext w:val="0"/>
                      <w:keepLines w:val="0"/>
                      <w:pageBreakBefore w:val="0"/>
                      <w:widowControl w:val="0"/>
                      <w:tabs>
                        <w:tab w:val="center" w:pos="4153"/>
                        <w:tab w:val="right" w:pos="8306"/>
                      </w:tabs>
                      <w:kinsoku/>
                      <w:wordWrap/>
                      <w:overflowPunct/>
                      <w:topLinePunct w:val="0"/>
                      <w:autoSpaceDE w:val="0"/>
                      <w:autoSpaceDN w:val="0"/>
                      <w:bidi w:val="0"/>
                      <w:adjustRightInd w:val="0"/>
                      <w:snapToGrid w:val="0"/>
                      <w:ind w:left="0" w:right="227"/>
                      <w:jc w:val="right"/>
                      <w:textAlignment w:val="auto"/>
                      <w:rPr>
                        <w:rFonts w:ascii="宋体" w:hAnsi="宋体" w:eastAsia="宋体" w:cs="宋体"/>
                        <w:sz w:val="18"/>
                        <w:szCs w:val="22"/>
                        <w:lang w:val="fr-FR" w:eastAsia="en-US" w:bidi="ar-SA"/>
                      </w:rPr>
                    </w:pPr>
                    <w:r>
                      <w:rPr>
                        <w:rFonts w:ascii="宋体" w:hAnsi="宋体" w:eastAsia="宋体" w:cs="宋体"/>
                        <w:sz w:val="18"/>
                        <w:szCs w:val="22"/>
                        <w:lang w:val="fr-FR" w:eastAsia="en-US" w:bidi="ar-SA"/>
                      </w:rPr>
                      <w:fldChar w:fldCharType="begin"/>
                    </w:r>
                    <w:r>
                      <w:rPr>
                        <w:rFonts w:ascii="宋体" w:hAnsi="宋体" w:eastAsia="宋体" w:cs="宋体"/>
                        <w:sz w:val="18"/>
                        <w:szCs w:val="22"/>
                        <w:lang w:val="fr-FR" w:eastAsia="en-US" w:bidi="ar-SA"/>
                      </w:rPr>
                      <w:instrText xml:space="preserve"> PAGE  \* MERGEFORMAT </w:instrText>
                    </w:r>
                    <w:r>
                      <w:rPr>
                        <w:rFonts w:ascii="宋体" w:hAnsi="宋体" w:eastAsia="宋体" w:cs="宋体"/>
                        <w:sz w:val="18"/>
                        <w:szCs w:val="22"/>
                        <w:lang w:val="fr-FR" w:eastAsia="en-US" w:bidi="ar-SA"/>
                      </w:rPr>
                      <w:fldChar w:fldCharType="separate"/>
                    </w:r>
                    <w:r>
                      <w:rPr>
                        <w:rFonts w:ascii="宋体" w:hAnsi="宋体" w:eastAsia="宋体" w:cs="宋体"/>
                        <w:sz w:val="18"/>
                        <w:szCs w:val="22"/>
                        <w:lang w:val="fr-FR" w:eastAsia="en-US" w:bidi="ar-SA"/>
                      </w:rPr>
                      <w:t>II</w:t>
                    </w:r>
                    <w:r>
                      <w:rPr>
                        <w:rFonts w:ascii="宋体" w:hAnsi="宋体" w:eastAsia="宋体" w:cs="宋体"/>
                        <w:sz w:val="18"/>
                        <w:szCs w:val="22"/>
                        <w:lang w:val="fr-FR" w:eastAsia="en-US"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37A1F">
    <w:pPr>
      <w:widowControl w:val="0"/>
      <w:autoSpaceDE w:val="0"/>
      <w:autoSpaceDN w:val="0"/>
      <w:spacing w:line="240" w:lineRule="auto"/>
      <w:rPr>
        <w:rFonts w:ascii="宋体" w:hAnsi="宋体" w:eastAsia="宋体" w:cs="宋体"/>
        <w:sz w:val="18"/>
        <w:szCs w:val="18"/>
        <w:lang w:val="fr-FR" w:eastAsia="en-US" w:bidi="ar-SA"/>
      </w:rPr>
    </w:pPr>
    <w:r>
      <w:rPr>
        <w:rFonts w:ascii="宋体" w:hAnsi="宋体" w:eastAsia="宋体" w:cs="宋体"/>
        <w:sz w:val="18"/>
        <w:szCs w:val="18"/>
        <w:lang w:val="fr-FR" w:eastAsia="en-US" w:bidi="ar-SA"/>
      </w:rPr>
      <mc:AlternateContent>
        <mc:Choice Requires="wps">
          <w:drawing>
            <wp:anchor distT="0" distB="0" distL="114300" distR="114300" simplePos="0" relativeHeight="251698176" behindDoc="0" locked="0" layoutInCell="1" allowOverlap="1">
              <wp:simplePos x="0" y="0"/>
              <wp:positionH relativeFrom="margin">
                <wp:posOffset>5582920</wp:posOffset>
              </wp:positionH>
              <wp:positionV relativeFrom="paragraph">
                <wp:posOffset>0</wp:posOffset>
              </wp:positionV>
              <wp:extent cx="360045" cy="14922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360045" cy="149225"/>
                      </a:xfrm>
                      <a:prstGeom prst="rect">
                        <a:avLst/>
                      </a:prstGeom>
                      <a:noFill/>
                      <a:ln>
                        <a:noFill/>
                      </a:ln>
                    </wps:spPr>
                    <wps:txbx>
                      <w:txbxContent>
                        <w:p w14:paraId="03B55162">
                          <w:pPr>
                            <w:keepNext w:val="0"/>
                            <w:keepLines w:val="0"/>
                            <w:pageBreakBefore w:val="0"/>
                            <w:widowControl w:val="0"/>
                            <w:kinsoku/>
                            <w:wordWrap/>
                            <w:overflowPunct/>
                            <w:topLinePunct w:val="0"/>
                            <w:autoSpaceDE w:val="0"/>
                            <w:autoSpaceDN w:val="0"/>
                            <w:bidi w:val="0"/>
                            <w:adjustRightInd/>
                            <w:snapToGrid/>
                            <w:ind w:right="227"/>
                            <w:jc w:val="right"/>
                            <w:textAlignment w:val="auto"/>
                            <w:rPr>
                              <w:rFonts w:ascii="宋体" w:hAnsi="宋体" w:eastAsia="宋体" w:cs="宋体"/>
                              <w:kern w:val="0"/>
                              <w:sz w:val="18"/>
                              <w:szCs w:val="18"/>
                              <w:lang w:val="fr-FR" w:eastAsia="en-US"/>
                            </w:rPr>
                          </w:pPr>
                          <w:r>
                            <w:rPr>
                              <w:rFonts w:hint="eastAsia" w:ascii="宋体" w:hAnsi="宋体" w:eastAsia="宋体" w:cs="宋体"/>
                              <w:kern w:val="0"/>
                              <w:sz w:val="18"/>
                              <w:szCs w:val="18"/>
                              <w:lang w:val="fr-FR" w:eastAsia="en-US"/>
                            </w:rPr>
                            <w:fldChar w:fldCharType="begin"/>
                          </w:r>
                          <w:r>
                            <w:rPr>
                              <w:rFonts w:hint="eastAsia" w:ascii="宋体" w:hAnsi="宋体" w:eastAsia="宋体" w:cs="宋体"/>
                              <w:kern w:val="0"/>
                              <w:sz w:val="18"/>
                              <w:szCs w:val="18"/>
                              <w:lang w:val="fr-FR" w:eastAsia="en-US"/>
                            </w:rPr>
                            <w:instrText xml:space="preserve"> PAGE  \* ROMAN </w:instrText>
                          </w:r>
                          <w:r>
                            <w:rPr>
                              <w:rFonts w:hint="eastAsia" w:ascii="宋体" w:hAnsi="宋体" w:eastAsia="宋体" w:cs="宋体"/>
                              <w:kern w:val="0"/>
                              <w:sz w:val="18"/>
                              <w:szCs w:val="18"/>
                              <w:lang w:val="fr-FR" w:eastAsia="en-US"/>
                            </w:rPr>
                            <w:fldChar w:fldCharType="separate"/>
                          </w:r>
                          <w:r>
                            <w:rPr>
                              <w:rFonts w:hint="eastAsia" w:ascii="宋体" w:hAnsi="宋体" w:eastAsia="宋体" w:cs="宋体"/>
                              <w:kern w:val="0"/>
                              <w:sz w:val="18"/>
                              <w:szCs w:val="18"/>
                              <w:lang w:val="fr-FR" w:eastAsia="en-US"/>
                            </w:rPr>
                            <w:t>III</w:t>
                          </w:r>
                          <w:r>
                            <w:rPr>
                              <w:rFonts w:hint="eastAsia" w:ascii="宋体" w:hAnsi="宋体" w:eastAsia="宋体" w:cs="宋体"/>
                              <w:kern w:val="0"/>
                              <w:sz w:val="18"/>
                              <w:szCs w:val="18"/>
                              <w:lang w:val="fr-FR" w:eastAsia="en-US"/>
                            </w:rPr>
                            <w:fldChar w:fldCharType="end"/>
                          </w:r>
                        </w:p>
                      </w:txbxContent>
                    </wps:txbx>
                    <wps:bodyPr lIns="0" tIns="0" rIns="0" bIns="0" upright="1"/>
                  </wps:wsp>
                </a:graphicData>
              </a:graphic>
            </wp:anchor>
          </w:drawing>
        </mc:Choice>
        <mc:Fallback>
          <w:pict>
            <v:shape id="_x0000_s1026" o:spid="_x0000_s1026" o:spt="202" type="#_x0000_t202" style="position:absolute;left:0pt;margin-left:439.6pt;margin-top:0pt;height:11.75pt;width:28.35pt;mso-position-horizontal-relative:margin;z-index:251698176;mso-width-relative:page;mso-height-relative:page;" filled="f" stroked="f" coordsize="21600,21600" o:gfxdata="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wEE1wAAAAcBAAAPAAAAAAAAAAEAIAAAACIAAABkcnMvZG93bnJldi54bWxQSwEC&#10;FAAUAAAACACHTuJA0wXcn7wBAABzAwAADgAAAAAAAAABACAAAAAmAQAAZHJzL2Uyb0RvYy54bWxQ&#10;SwUGAAAAAAYABgBZAQAAVAUAAAAA&#10;">
              <v:fill on="f" focussize="0,0"/>
              <v:stroke on="f"/>
              <v:imagedata o:title=""/>
              <o:lock v:ext="edit" aspectratio="f"/>
              <v:textbox inset="0mm,0mm,0mm,0mm">
                <w:txbxContent>
                  <w:p w14:paraId="03B55162">
                    <w:pPr>
                      <w:keepNext w:val="0"/>
                      <w:keepLines w:val="0"/>
                      <w:pageBreakBefore w:val="0"/>
                      <w:widowControl w:val="0"/>
                      <w:kinsoku/>
                      <w:wordWrap/>
                      <w:overflowPunct/>
                      <w:topLinePunct w:val="0"/>
                      <w:autoSpaceDE w:val="0"/>
                      <w:autoSpaceDN w:val="0"/>
                      <w:bidi w:val="0"/>
                      <w:adjustRightInd/>
                      <w:snapToGrid/>
                      <w:ind w:right="227"/>
                      <w:jc w:val="right"/>
                      <w:textAlignment w:val="auto"/>
                      <w:rPr>
                        <w:rFonts w:ascii="宋体" w:hAnsi="宋体" w:eastAsia="宋体" w:cs="宋体"/>
                        <w:kern w:val="0"/>
                        <w:sz w:val="18"/>
                        <w:szCs w:val="18"/>
                        <w:lang w:val="fr-FR" w:eastAsia="en-US"/>
                      </w:rPr>
                    </w:pPr>
                    <w:r>
                      <w:rPr>
                        <w:rFonts w:hint="eastAsia" w:ascii="宋体" w:hAnsi="宋体" w:eastAsia="宋体" w:cs="宋体"/>
                        <w:kern w:val="0"/>
                        <w:sz w:val="18"/>
                        <w:szCs w:val="18"/>
                        <w:lang w:val="fr-FR" w:eastAsia="en-US"/>
                      </w:rPr>
                      <w:fldChar w:fldCharType="begin"/>
                    </w:r>
                    <w:r>
                      <w:rPr>
                        <w:rFonts w:hint="eastAsia" w:ascii="宋体" w:hAnsi="宋体" w:eastAsia="宋体" w:cs="宋体"/>
                        <w:kern w:val="0"/>
                        <w:sz w:val="18"/>
                        <w:szCs w:val="18"/>
                        <w:lang w:val="fr-FR" w:eastAsia="en-US"/>
                      </w:rPr>
                      <w:instrText xml:space="preserve"> PAGE  \* ROMAN </w:instrText>
                    </w:r>
                    <w:r>
                      <w:rPr>
                        <w:rFonts w:hint="eastAsia" w:ascii="宋体" w:hAnsi="宋体" w:eastAsia="宋体" w:cs="宋体"/>
                        <w:kern w:val="0"/>
                        <w:sz w:val="18"/>
                        <w:szCs w:val="18"/>
                        <w:lang w:val="fr-FR" w:eastAsia="en-US"/>
                      </w:rPr>
                      <w:fldChar w:fldCharType="separate"/>
                    </w:r>
                    <w:r>
                      <w:rPr>
                        <w:rFonts w:hint="eastAsia" w:ascii="宋体" w:hAnsi="宋体" w:eastAsia="宋体" w:cs="宋体"/>
                        <w:kern w:val="0"/>
                        <w:sz w:val="18"/>
                        <w:szCs w:val="18"/>
                        <w:lang w:val="fr-FR" w:eastAsia="en-US"/>
                      </w:rPr>
                      <w:t>III</w:t>
                    </w:r>
                    <w:r>
                      <w:rPr>
                        <w:rFonts w:hint="eastAsia" w:ascii="宋体" w:hAnsi="宋体" w:eastAsia="宋体" w:cs="宋体"/>
                        <w:kern w:val="0"/>
                        <w:sz w:val="18"/>
                        <w:szCs w:val="18"/>
                        <w:lang w:val="fr-FR" w:eastAsia="en-US"/>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2453B">
    <w:pPr>
      <w:widowControl w:val="0"/>
      <w:tabs>
        <w:tab w:val="center" w:pos="4153"/>
        <w:tab w:val="right" w:pos="8306"/>
      </w:tabs>
      <w:autoSpaceDE w:val="0"/>
      <w:autoSpaceDN w:val="0"/>
      <w:snapToGrid w:val="0"/>
      <w:rPr>
        <w:rFonts w:ascii="宋体" w:hAnsi="宋体" w:eastAsia="宋体" w:cs="宋体"/>
        <w:sz w:val="18"/>
        <w:szCs w:val="22"/>
        <w:lang w:val="fr-FR" w:eastAsia="en-US" w:bidi="ar-SA"/>
      </w:rPr>
    </w:pPr>
    <w:r>
      <w:rPr>
        <w:rFonts w:ascii="宋体" w:hAnsi="宋体" w:eastAsia="宋体" w:cs="宋体"/>
        <w:sz w:val="18"/>
        <w:szCs w:val="22"/>
        <w:lang w:val="fr-FR" w:eastAsia="en-US" w:bidi="ar-SA"/>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FE0747">
                          <w:pPr>
                            <w:keepNext w:val="0"/>
                            <w:keepLines w:val="0"/>
                            <w:pageBreakBefore w:val="0"/>
                            <w:widowControl w:val="0"/>
                            <w:tabs>
                              <w:tab w:val="center" w:pos="4153"/>
                              <w:tab w:val="right" w:pos="8306"/>
                            </w:tabs>
                            <w:kinsoku/>
                            <w:wordWrap/>
                            <w:overflowPunct/>
                            <w:topLinePunct w:val="0"/>
                            <w:autoSpaceDE w:val="0"/>
                            <w:autoSpaceDN w:val="0"/>
                            <w:bidi w:val="0"/>
                            <w:adjustRightInd w:val="0"/>
                            <w:snapToGrid w:val="0"/>
                            <w:ind w:left="0" w:right="227"/>
                            <w:textAlignment w:val="auto"/>
                            <w:rPr>
                              <w:rFonts w:ascii="宋体" w:hAnsi="宋体" w:eastAsia="宋体" w:cs="宋体"/>
                              <w:sz w:val="18"/>
                              <w:szCs w:val="22"/>
                              <w:lang w:val="fr-FR" w:eastAsia="en-US" w:bidi="ar-SA"/>
                            </w:rPr>
                          </w:pPr>
                          <w:r>
                            <w:rPr>
                              <w:rFonts w:ascii="宋体" w:hAnsi="宋体" w:eastAsia="宋体" w:cs="宋体"/>
                              <w:sz w:val="18"/>
                              <w:szCs w:val="22"/>
                              <w:lang w:val="fr-FR" w:eastAsia="en-US" w:bidi="ar-SA"/>
                            </w:rPr>
                            <w:fldChar w:fldCharType="begin"/>
                          </w:r>
                          <w:r>
                            <w:rPr>
                              <w:rFonts w:ascii="宋体" w:hAnsi="宋体" w:eastAsia="宋体" w:cs="宋体"/>
                              <w:sz w:val="18"/>
                              <w:szCs w:val="22"/>
                              <w:lang w:val="fr-FR" w:eastAsia="en-US" w:bidi="ar-SA"/>
                            </w:rPr>
                            <w:instrText xml:space="preserve"> PAGE  \* MERGEFORMAT </w:instrText>
                          </w:r>
                          <w:r>
                            <w:rPr>
                              <w:rFonts w:ascii="宋体" w:hAnsi="宋体" w:eastAsia="宋体" w:cs="宋体"/>
                              <w:sz w:val="18"/>
                              <w:szCs w:val="22"/>
                              <w:lang w:val="fr-FR" w:eastAsia="en-US" w:bidi="ar-SA"/>
                            </w:rPr>
                            <w:fldChar w:fldCharType="separate"/>
                          </w:r>
                          <w:r>
                            <w:rPr>
                              <w:rFonts w:ascii="宋体" w:hAnsi="宋体" w:eastAsia="宋体" w:cs="宋体"/>
                              <w:sz w:val="18"/>
                              <w:szCs w:val="22"/>
                              <w:lang w:val="fr-FR" w:eastAsia="en-US" w:bidi="ar-SA"/>
                            </w:rPr>
                            <w:t>II</w:t>
                          </w:r>
                          <w:r>
                            <w:rPr>
                              <w:rFonts w:ascii="宋体" w:hAnsi="宋体" w:eastAsia="宋体" w:cs="宋体"/>
                              <w:sz w:val="18"/>
                              <w:szCs w:val="22"/>
                              <w:lang w:val="fr-FR" w:eastAsia="en-US" w:bidi="ar-S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9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64V08oBAACb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M1rShy3OPHLj++Xn78vv74R&#10;9GGD+gA15t0HzEzDWz/g2sx+QGfWPaho8xcVEYxje8/X9sohEZEfrVfrdYUhgbH5gvjs4XmIkN5J&#10;b0k2GhpxfqWt/PQB0pg6p+Rqzt9pY8oMjfvLgZjZwzL3kWO20rAfJkF7355RT4+jb6jDTafEvHfY&#10;2bwlsxFnYz8bxxD1oUNqy8ILwptjQhKFW64wwk6FcWZF3bRfeSke30vWwz+1/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64V08oBAACbAwAADgAAAAAAAAABACAAAAAeAQAAZHJzL2Uyb0Rv&#10;Yy54bWxQSwUGAAAAAAYABgBZAQAAWgUAAAAA&#10;">
              <v:fill on="f" focussize="0,0"/>
              <v:stroke on="f"/>
              <v:imagedata o:title=""/>
              <o:lock v:ext="edit" aspectratio="f"/>
              <v:textbox inset="0mm,0mm,0mm,0mm" style="mso-fit-shape-to-text:t;">
                <w:txbxContent>
                  <w:p w14:paraId="09FE0747">
                    <w:pPr>
                      <w:keepNext w:val="0"/>
                      <w:keepLines w:val="0"/>
                      <w:pageBreakBefore w:val="0"/>
                      <w:widowControl w:val="0"/>
                      <w:tabs>
                        <w:tab w:val="center" w:pos="4153"/>
                        <w:tab w:val="right" w:pos="8306"/>
                      </w:tabs>
                      <w:kinsoku/>
                      <w:wordWrap/>
                      <w:overflowPunct/>
                      <w:topLinePunct w:val="0"/>
                      <w:autoSpaceDE w:val="0"/>
                      <w:autoSpaceDN w:val="0"/>
                      <w:bidi w:val="0"/>
                      <w:adjustRightInd w:val="0"/>
                      <w:snapToGrid w:val="0"/>
                      <w:ind w:left="0" w:right="227"/>
                      <w:textAlignment w:val="auto"/>
                      <w:rPr>
                        <w:rFonts w:ascii="宋体" w:hAnsi="宋体" w:eastAsia="宋体" w:cs="宋体"/>
                        <w:sz w:val="18"/>
                        <w:szCs w:val="22"/>
                        <w:lang w:val="fr-FR" w:eastAsia="en-US" w:bidi="ar-SA"/>
                      </w:rPr>
                    </w:pPr>
                    <w:r>
                      <w:rPr>
                        <w:rFonts w:ascii="宋体" w:hAnsi="宋体" w:eastAsia="宋体" w:cs="宋体"/>
                        <w:sz w:val="18"/>
                        <w:szCs w:val="22"/>
                        <w:lang w:val="fr-FR" w:eastAsia="en-US" w:bidi="ar-SA"/>
                      </w:rPr>
                      <w:fldChar w:fldCharType="begin"/>
                    </w:r>
                    <w:r>
                      <w:rPr>
                        <w:rFonts w:ascii="宋体" w:hAnsi="宋体" w:eastAsia="宋体" w:cs="宋体"/>
                        <w:sz w:val="18"/>
                        <w:szCs w:val="22"/>
                        <w:lang w:val="fr-FR" w:eastAsia="en-US" w:bidi="ar-SA"/>
                      </w:rPr>
                      <w:instrText xml:space="preserve"> PAGE  \* MERGEFORMAT </w:instrText>
                    </w:r>
                    <w:r>
                      <w:rPr>
                        <w:rFonts w:ascii="宋体" w:hAnsi="宋体" w:eastAsia="宋体" w:cs="宋体"/>
                        <w:sz w:val="18"/>
                        <w:szCs w:val="22"/>
                        <w:lang w:val="fr-FR" w:eastAsia="en-US" w:bidi="ar-SA"/>
                      </w:rPr>
                      <w:fldChar w:fldCharType="separate"/>
                    </w:r>
                    <w:r>
                      <w:rPr>
                        <w:rFonts w:ascii="宋体" w:hAnsi="宋体" w:eastAsia="宋体" w:cs="宋体"/>
                        <w:sz w:val="18"/>
                        <w:szCs w:val="22"/>
                        <w:lang w:val="fr-FR" w:eastAsia="en-US" w:bidi="ar-SA"/>
                      </w:rPr>
                      <w:t>II</w:t>
                    </w:r>
                    <w:r>
                      <w:rPr>
                        <w:rFonts w:ascii="宋体" w:hAnsi="宋体" w:eastAsia="宋体" w:cs="宋体"/>
                        <w:sz w:val="18"/>
                        <w:szCs w:val="22"/>
                        <w:lang w:val="fr-FR" w:eastAsia="en-US"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4B6DD">
    <w:pPr>
      <w:widowControl w:val="0"/>
      <w:autoSpaceDE w:val="0"/>
      <w:autoSpaceDN w:val="0"/>
      <w:spacing w:line="240" w:lineRule="auto"/>
      <w:jc w:val="both"/>
      <w:rPr>
        <w:rFonts w:ascii="宋体" w:hAnsi="宋体" w:eastAsia="宋体" w:cs="宋体"/>
        <w:sz w:val="18"/>
        <w:szCs w:val="18"/>
        <w:lang w:val="fr-FR" w:eastAsia="en-US" w:bidi="ar-SA"/>
      </w:rPr>
    </w:pPr>
    <w:r>
      <w:rPr>
        <w:rFonts w:ascii="宋体" w:hAnsi="宋体" w:eastAsia="宋体" w:cs="宋体"/>
        <w:sz w:val="18"/>
        <w:szCs w:val="21"/>
        <w:lang w:val="fr-FR" w:eastAsia="en-US" w:bidi="ar-SA"/>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360045"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60045" cy="1828800"/>
                      </a:xfrm>
                      <a:prstGeom prst="rect">
                        <a:avLst/>
                      </a:prstGeom>
                      <a:noFill/>
                      <a:ln>
                        <a:noFill/>
                      </a:ln>
                    </wps:spPr>
                    <wps:txbx>
                      <w:txbxContent>
                        <w:p w14:paraId="623ED044">
                          <w:pPr>
                            <w:keepNext w:val="0"/>
                            <w:keepLines w:val="0"/>
                            <w:pageBreakBefore w:val="0"/>
                            <w:widowControl w:val="0"/>
                            <w:tabs>
                              <w:tab w:val="center" w:pos="4153"/>
                              <w:tab w:val="right" w:pos="8306"/>
                            </w:tabs>
                            <w:kinsoku/>
                            <w:wordWrap/>
                            <w:overflowPunct/>
                            <w:topLinePunct w:val="0"/>
                            <w:autoSpaceDE w:val="0"/>
                            <w:autoSpaceDN w:val="0"/>
                            <w:bidi w:val="0"/>
                            <w:adjustRightInd/>
                            <w:snapToGrid w:val="0"/>
                            <w:ind w:right="227"/>
                            <w:jc w:val="right"/>
                            <w:textAlignment w:val="auto"/>
                            <w:rPr>
                              <w:rFonts w:ascii="宋体" w:hAnsi="宋体" w:eastAsia="宋体" w:cs="宋体"/>
                              <w:sz w:val="18"/>
                              <w:szCs w:val="22"/>
                              <w:lang w:val="fr-FR" w:eastAsia="en-US" w:bidi="ar-SA"/>
                            </w:rPr>
                          </w:pPr>
                          <w:r>
                            <w:rPr>
                              <w:rFonts w:ascii="宋体" w:hAnsi="宋体" w:eastAsia="宋体" w:cs="宋体"/>
                              <w:sz w:val="18"/>
                              <w:szCs w:val="22"/>
                              <w:lang w:val="fr-FR" w:eastAsia="en-US" w:bidi="ar-SA"/>
                            </w:rPr>
                            <w:fldChar w:fldCharType="begin"/>
                          </w:r>
                          <w:r>
                            <w:rPr>
                              <w:rFonts w:ascii="宋体" w:hAnsi="宋体" w:eastAsia="宋体" w:cs="宋体"/>
                              <w:sz w:val="18"/>
                              <w:szCs w:val="22"/>
                              <w:lang w:val="fr-FR" w:eastAsia="en-US" w:bidi="ar-SA"/>
                            </w:rPr>
                            <w:instrText xml:space="preserve"> PAGE  \* MERGEFORMAT </w:instrText>
                          </w:r>
                          <w:r>
                            <w:rPr>
                              <w:rFonts w:ascii="宋体" w:hAnsi="宋体" w:eastAsia="宋体" w:cs="宋体"/>
                              <w:sz w:val="18"/>
                              <w:szCs w:val="22"/>
                              <w:lang w:val="fr-FR" w:eastAsia="en-US" w:bidi="ar-SA"/>
                            </w:rPr>
                            <w:fldChar w:fldCharType="separate"/>
                          </w:r>
                          <w:r>
                            <w:rPr>
                              <w:rFonts w:ascii="宋体" w:hAnsi="宋体" w:eastAsia="宋体" w:cs="宋体"/>
                              <w:sz w:val="18"/>
                              <w:szCs w:val="22"/>
                              <w:lang w:val="fr-FR" w:eastAsia="en-US" w:bidi="ar-SA"/>
                            </w:rPr>
                            <w:t>I</w:t>
                          </w:r>
                          <w:r>
                            <w:rPr>
                              <w:rFonts w:ascii="宋体" w:hAnsi="宋体" w:eastAsia="宋体" w:cs="宋体"/>
                              <w:sz w:val="18"/>
                              <w:szCs w:val="22"/>
                              <w:lang w:val="fr-FR" w:eastAsia="en-US" w:bidi="ar-SA"/>
                            </w:rPr>
                            <w:fldChar w:fldCharType="end"/>
                          </w:r>
                        </w:p>
                      </w:txbxContent>
                    </wps:txbx>
                    <wps:bodyPr lIns="0" tIns="0" rIns="0" bIns="0" upright="0">
                      <a:spAutoFit/>
                    </wps:bodyPr>
                  </wps:wsp>
                </a:graphicData>
              </a:graphic>
            </wp:anchor>
          </w:drawing>
        </mc:Choice>
        <mc:Fallback>
          <w:pict>
            <v:shape id="_x0000_s1026" o:spid="_x0000_s1026" o:spt="202" type="#_x0000_t202" style="position:absolute;left:0pt;margin-top:0pt;height:144pt;width:28.35pt;mso-position-horizontal:outside;mso-position-horizontal-relative:margin;z-index:251700224;mso-width-relative:page;mso-height-relative:page;" filled="f" stroked="f" coordsize="21600,21600" o:gfxdata="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h+ZCTTAAAABAEAAA8AAAAAAAAAAQAgAAAAIgAAAGRycy9kb3ducmV2&#10;LnhtbFBLAQIUABQAAAAIAIdO4kDaWCq0yAEAAI4DAAAOAAAAAAAAAAEAIAAAACIBAABkcnMvZTJv&#10;RG9jLnhtbFBLBQYAAAAABgAGAFkBAABcBQAAAAA=&#10;">
              <v:fill on="f" focussize="0,0"/>
              <v:stroke on="f"/>
              <v:imagedata o:title=""/>
              <o:lock v:ext="edit" aspectratio="f"/>
              <v:textbox inset="0mm,0mm,0mm,0mm" style="mso-fit-shape-to-text:t;">
                <w:txbxContent>
                  <w:p w14:paraId="623ED044">
                    <w:pPr>
                      <w:keepNext w:val="0"/>
                      <w:keepLines w:val="0"/>
                      <w:pageBreakBefore w:val="0"/>
                      <w:widowControl w:val="0"/>
                      <w:tabs>
                        <w:tab w:val="center" w:pos="4153"/>
                        <w:tab w:val="right" w:pos="8306"/>
                      </w:tabs>
                      <w:kinsoku/>
                      <w:wordWrap/>
                      <w:overflowPunct/>
                      <w:topLinePunct w:val="0"/>
                      <w:autoSpaceDE w:val="0"/>
                      <w:autoSpaceDN w:val="0"/>
                      <w:bidi w:val="0"/>
                      <w:adjustRightInd/>
                      <w:snapToGrid w:val="0"/>
                      <w:ind w:right="227"/>
                      <w:jc w:val="right"/>
                      <w:textAlignment w:val="auto"/>
                      <w:rPr>
                        <w:rFonts w:ascii="宋体" w:hAnsi="宋体" w:eastAsia="宋体" w:cs="宋体"/>
                        <w:sz w:val="18"/>
                        <w:szCs w:val="22"/>
                        <w:lang w:val="fr-FR" w:eastAsia="en-US" w:bidi="ar-SA"/>
                      </w:rPr>
                    </w:pPr>
                    <w:r>
                      <w:rPr>
                        <w:rFonts w:ascii="宋体" w:hAnsi="宋体" w:eastAsia="宋体" w:cs="宋体"/>
                        <w:sz w:val="18"/>
                        <w:szCs w:val="22"/>
                        <w:lang w:val="fr-FR" w:eastAsia="en-US" w:bidi="ar-SA"/>
                      </w:rPr>
                      <w:fldChar w:fldCharType="begin"/>
                    </w:r>
                    <w:r>
                      <w:rPr>
                        <w:rFonts w:ascii="宋体" w:hAnsi="宋体" w:eastAsia="宋体" w:cs="宋体"/>
                        <w:sz w:val="18"/>
                        <w:szCs w:val="22"/>
                        <w:lang w:val="fr-FR" w:eastAsia="en-US" w:bidi="ar-SA"/>
                      </w:rPr>
                      <w:instrText xml:space="preserve"> PAGE  \* MERGEFORMAT </w:instrText>
                    </w:r>
                    <w:r>
                      <w:rPr>
                        <w:rFonts w:ascii="宋体" w:hAnsi="宋体" w:eastAsia="宋体" w:cs="宋体"/>
                        <w:sz w:val="18"/>
                        <w:szCs w:val="22"/>
                        <w:lang w:val="fr-FR" w:eastAsia="en-US" w:bidi="ar-SA"/>
                      </w:rPr>
                      <w:fldChar w:fldCharType="separate"/>
                    </w:r>
                    <w:r>
                      <w:rPr>
                        <w:rFonts w:ascii="宋体" w:hAnsi="宋体" w:eastAsia="宋体" w:cs="宋体"/>
                        <w:sz w:val="18"/>
                        <w:szCs w:val="22"/>
                        <w:lang w:val="fr-FR" w:eastAsia="en-US" w:bidi="ar-SA"/>
                      </w:rPr>
                      <w:t>I</w:t>
                    </w:r>
                    <w:r>
                      <w:rPr>
                        <w:rFonts w:ascii="宋体" w:hAnsi="宋体" w:eastAsia="宋体" w:cs="宋体"/>
                        <w:sz w:val="18"/>
                        <w:szCs w:val="22"/>
                        <w:lang w:val="fr-FR" w:eastAsia="en-US" w:bidi="ar-S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262D4">
    <w:pPr>
      <w:widowControl w:val="0"/>
      <w:tabs>
        <w:tab w:val="center" w:pos="4153"/>
        <w:tab w:val="right" w:pos="8306"/>
      </w:tabs>
      <w:autoSpaceDE w:val="0"/>
      <w:autoSpaceDN w:val="0"/>
      <w:snapToGrid w:val="0"/>
      <w:rPr>
        <w:rFonts w:ascii="宋体" w:hAnsi="宋体" w:eastAsia="宋体" w:cs="宋体"/>
        <w:sz w:val="18"/>
        <w:szCs w:val="22"/>
        <w:lang w:val="fr-FR" w:eastAsia="en-US" w:bidi="ar-SA"/>
      </w:rPr>
    </w:pPr>
    <w:r>
      <w:rPr>
        <w:rFonts w:ascii="宋体" w:hAnsi="宋体" w:eastAsia="宋体" w:cs="宋体"/>
        <w:sz w:val="18"/>
        <w:szCs w:val="22"/>
        <w:lang w:val="fr-FR" w:eastAsia="en-US" w:bidi="ar-SA"/>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360045"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360045" cy="1828800"/>
                      </a:xfrm>
                      <a:prstGeom prst="rect">
                        <a:avLst/>
                      </a:prstGeom>
                      <a:noFill/>
                      <a:ln>
                        <a:noFill/>
                      </a:ln>
                    </wps:spPr>
                    <wps:txbx>
                      <w:txbxContent>
                        <w:p w14:paraId="12887158">
                          <w:pPr>
                            <w:keepNext w:val="0"/>
                            <w:keepLines w:val="0"/>
                            <w:pageBreakBefore w:val="0"/>
                            <w:widowControl w:val="0"/>
                            <w:tabs>
                              <w:tab w:val="center" w:pos="4153"/>
                              <w:tab w:val="right" w:pos="8306"/>
                            </w:tabs>
                            <w:kinsoku/>
                            <w:wordWrap/>
                            <w:overflowPunct/>
                            <w:topLinePunct w:val="0"/>
                            <w:autoSpaceDE w:val="0"/>
                            <w:autoSpaceDN w:val="0"/>
                            <w:bidi w:val="0"/>
                            <w:adjustRightInd/>
                            <w:snapToGrid w:val="0"/>
                            <w:ind w:left="227"/>
                            <w:textAlignment w:val="auto"/>
                            <w:rPr>
                              <w:rFonts w:ascii="宋体" w:hAnsi="宋体" w:eastAsia="宋体" w:cs="宋体"/>
                              <w:sz w:val="18"/>
                              <w:szCs w:val="22"/>
                              <w:lang w:val="fr-FR" w:eastAsia="en-US" w:bidi="ar-SA"/>
                            </w:rPr>
                          </w:pPr>
                          <w:r>
                            <w:rPr>
                              <w:rFonts w:ascii="宋体" w:hAnsi="宋体" w:eastAsia="宋体" w:cs="宋体"/>
                              <w:sz w:val="18"/>
                              <w:szCs w:val="22"/>
                              <w:lang w:val="fr-FR" w:eastAsia="en-US" w:bidi="ar-SA"/>
                            </w:rPr>
                            <w:fldChar w:fldCharType="begin"/>
                          </w:r>
                          <w:r>
                            <w:rPr>
                              <w:rFonts w:ascii="宋体" w:hAnsi="宋体" w:eastAsia="宋体" w:cs="宋体"/>
                              <w:sz w:val="18"/>
                              <w:szCs w:val="22"/>
                              <w:lang w:val="fr-FR" w:eastAsia="en-US" w:bidi="ar-SA"/>
                            </w:rPr>
                            <w:instrText xml:space="preserve"> PAGE  \* MERGEFORMAT </w:instrText>
                          </w:r>
                          <w:r>
                            <w:rPr>
                              <w:rFonts w:ascii="宋体" w:hAnsi="宋体" w:eastAsia="宋体" w:cs="宋体"/>
                              <w:sz w:val="18"/>
                              <w:szCs w:val="22"/>
                              <w:lang w:val="fr-FR" w:eastAsia="en-US" w:bidi="ar-SA"/>
                            </w:rPr>
                            <w:fldChar w:fldCharType="separate"/>
                          </w:r>
                          <w:r>
                            <w:rPr>
                              <w:rFonts w:ascii="宋体" w:hAnsi="宋体" w:eastAsia="宋体" w:cs="宋体"/>
                              <w:sz w:val="18"/>
                              <w:szCs w:val="22"/>
                              <w:lang w:val="fr-FR" w:eastAsia="en-US" w:bidi="ar-SA"/>
                            </w:rPr>
                            <w:t>14</w:t>
                          </w:r>
                          <w:r>
                            <w:rPr>
                              <w:rFonts w:ascii="宋体" w:hAnsi="宋体" w:eastAsia="宋体" w:cs="宋体"/>
                              <w:sz w:val="18"/>
                              <w:szCs w:val="22"/>
                              <w:lang w:val="fr-FR" w:eastAsia="en-US" w:bidi="ar-SA"/>
                            </w:rPr>
                            <w:fldChar w:fldCharType="end"/>
                          </w:r>
                        </w:p>
                      </w:txbxContent>
                    </wps:txbx>
                    <wps:bodyPr lIns="0" tIns="0" rIns="0" bIns="0" upright="1">
                      <a:spAutoFit/>
                    </wps:bodyPr>
                  </wps:wsp>
                </a:graphicData>
              </a:graphic>
            </wp:anchor>
          </w:drawing>
        </mc:Choice>
        <mc:Fallback>
          <w:pict>
            <v:shape id="_x0000_s1026" o:spid="_x0000_s1026" o:spt="202" type="#_x0000_t202" style="position:absolute;left:0pt;margin-top:0pt;height:144pt;width:28.35pt;mso-position-horizontal:outside;mso-position-horizontal-relative:margin;z-index:251697152;mso-width-relative:page;mso-height-relative:page;" filled="f" stroked="f" coordsize="21600,21600" o:gfxdata="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fmQk0wAAAAQBAAAPAAAAAAAAAAEAIAAAACIAAABkcnMvZG93bnJl&#10;di54bWxQSwECFAAUAAAACACHTuJAciDSJckBAACOAwAADgAAAAAAAAABACAAAAAiAQAAZHJzL2Uy&#10;b0RvYy54bWxQSwUGAAAAAAYABgBZAQAAXQUAAAAA&#10;">
              <v:fill on="f" focussize="0,0"/>
              <v:stroke on="f"/>
              <v:imagedata o:title=""/>
              <o:lock v:ext="edit" aspectratio="f"/>
              <v:textbox inset="0mm,0mm,0mm,0mm" style="mso-fit-shape-to-text:t;">
                <w:txbxContent>
                  <w:p w14:paraId="12887158">
                    <w:pPr>
                      <w:keepNext w:val="0"/>
                      <w:keepLines w:val="0"/>
                      <w:pageBreakBefore w:val="0"/>
                      <w:widowControl w:val="0"/>
                      <w:tabs>
                        <w:tab w:val="center" w:pos="4153"/>
                        <w:tab w:val="right" w:pos="8306"/>
                      </w:tabs>
                      <w:kinsoku/>
                      <w:wordWrap/>
                      <w:overflowPunct/>
                      <w:topLinePunct w:val="0"/>
                      <w:autoSpaceDE w:val="0"/>
                      <w:autoSpaceDN w:val="0"/>
                      <w:bidi w:val="0"/>
                      <w:adjustRightInd/>
                      <w:snapToGrid w:val="0"/>
                      <w:ind w:left="227"/>
                      <w:textAlignment w:val="auto"/>
                      <w:rPr>
                        <w:rFonts w:ascii="宋体" w:hAnsi="宋体" w:eastAsia="宋体" w:cs="宋体"/>
                        <w:sz w:val="18"/>
                        <w:szCs w:val="22"/>
                        <w:lang w:val="fr-FR" w:eastAsia="en-US" w:bidi="ar-SA"/>
                      </w:rPr>
                    </w:pPr>
                    <w:r>
                      <w:rPr>
                        <w:rFonts w:ascii="宋体" w:hAnsi="宋体" w:eastAsia="宋体" w:cs="宋体"/>
                        <w:sz w:val="18"/>
                        <w:szCs w:val="22"/>
                        <w:lang w:val="fr-FR" w:eastAsia="en-US" w:bidi="ar-SA"/>
                      </w:rPr>
                      <w:fldChar w:fldCharType="begin"/>
                    </w:r>
                    <w:r>
                      <w:rPr>
                        <w:rFonts w:ascii="宋体" w:hAnsi="宋体" w:eastAsia="宋体" w:cs="宋体"/>
                        <w:sz w:val="18"/>
                        <w:szCs w:val="22"/>
                        <w:lang w:val="fr-FR" w:eastAsia="en-US" w:bidi="ar-SA"/>
                      </w:rPr>
                      <w:instrText xml:space="preserve"> PAGE  \* MERGEFORMAT </w:instrText>
                    </w:r>
                    <w:r>
                      <w:rPr>
                        <w:rFonts w:ascii="宋体" w:hAnsi="宋体" w:eastAsia="宋体" w:cs="宋体"/>
                        <w:sz w:val="18"/>
                        <w:szCs w:val="22"/>
                        <w:lang w:val="fr-FR" w:eastAsia="en-US" w:bidi="ar-SA"/>
                      </w:rPr>
                      <w:fldChar w:fldCharType="separate"/>
                    </w:r>
                    <w:r>
                      <w:rPr>
                        <w:rFonts w:ascii="宋体" w:hAnsi="宋体" w:eastAsia="宋体" w:cs="宋体"/>
                        <w:sz w:val="18"/>
                        <w:szCs w:val="22"/>
                        <w:lang w:val="fr-FR" w:eastAsia="en-US" w:bidi="ar-SA"/>
                      </w:rPr>
                      <w:t>14</w:t>
                    </w:r>
                    <w:r>
                      <w:rPr>
                        <w:rFonts w:ascii="宋体" w:hAnsi="宋体" w:eastAsia="宋体" w:cs="宋体"/>
                        <w:sz w:val="18"/>
                        <w:szCs w:val="22"/>
                        <w:lang w:val="fr-FR" w:eastAsia="en-US"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9462">
    <w:pPr>
      <w:widowControl w:val="0"/>
      <w:autoSpaceDE w:val="0"/>
      <w:autoSpaceDN w:val="0"/>
      <w:jc w:val="right"/>
      <w:rPr>
        <w:rFonts w:ascii="宋体" w:hAnsi="宋体" w:eastAsia="宋体" w:cs="宋体"/>
        <w:sz w:val="21"/>
        <w:szCs w:val="21"/>
        <w:lang w:val="fr-FR" w:eastAsia="en-US" w:bidi="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A8EE9">
    <w:pPr>
      <w:widowControl w:val="0"/>
      <w:autoSpaceDE w:val="0"/>
      <w:autoSpaceDN w:val="0"/>
      <w:spacing w:line="240" w:lineRule="auto"/>
      <w:jc w:val="right"/>
      <w:rPr>
        <w:rFonts w:ascii="黑体" w:hAnsi="黑体" w:eastAsia="宋体" w:cs="宋体"/>
        <w:sz w:val="21"/>
        <w:szCs w:val="21"/>
        <w:lang w:val="en-US" w:eastAsia="zh-CN"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p w14:paraId="35514B0D">
    <w:pPr>
      <w:widowControl w:val="0"/>
      <w:autoSpaceDE w:val="0"/>
      <w:autoSpaceDN w:val="0"/>
      <w:spacing w:line="14" w:lineRule="auto"/>
      <w:jc w:val="right"/>
      <w:rPr>
        <w:rFonts w:ascii="宋体" w:hAnsi="宋体" w:eastAsia="宋体" w:cs="宋体"/>
        <w:sz w:val="20"/>
        <w:szCs w:val="21"/>
        <w:lang w:val="fr-FR" w:eastAsia="en-US"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D004">
    <w:pPr>
      <w:widowControl w:val="0"/>
      <w:autoSpaceDE w:val="0"/>
      <w:autoSpaceDN w:val="0"/>
      <w:spacing w:line="240" w:lineRule="auto"/>
      <w:jc w:val="left"/>
      <w:rPr>
        <w:rFonts w:ascii="宋体" w:hAnsi="宋体" w:eastAsia="宋体" w:cs="宋体"/>
        <w:sz w:val="21"/>
        <w:szCs w:val="21"/>
        <w:lang w:val="fr-FR" w:eastAsia="en-US"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C58B">
    <w:pPr>
      <w:widowControl w:val="0"/>
      <w:autoSpaceDE w:val="0"/>
      <w:autoSpaceDN w:val="0"/>
      <w:spacing w:line="240" w:lineRule="auto"/>
      <w:jc w:val="right"/>
      <w:rPr>
        <w:rFonts w:ascii="黑体" w:hAnsi="黑体" w:eastAsia="宋体" w:cs="宋体"/>
        <w:sz w:val="21"/>
        <w:szCs w:val="21"/>
        <w:lang w:val="en-US" w:eastAsia="zh-CN"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p w14:paraId="534D85ED">
    <w:pPr>
      <w:widowControl w:val="0"/>
      <w:autoSpaceDE w:val="0"/>
      <w:autoSpaceDN w:val="0"/>
      <w:spacing w:line="14" w:lineRule="auto"/>
      <w:jc w:val="right"/>
      <w:rPr>
        <w:rFonts w:ascii="宋体" w:hAnsi="宋体" w:eastAsia="宋体" w:cs="宋体"/>
        <w:sz w:val="20"/>
        <w:szCs w:val="21"/>
        <w:lang w:val="fr-FR" w:eastAsia="en-US" w:bidi="ar-S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2A813">
    <w:pPr>
      <w:widowControl w:val="0"/>
      <w:autoSpaceDE w:val="0"/>
      <w:autoSpaceDN w:val="0"/>
      <w:spacing w:line="240" w:lineRule="auto"/>
      <w:jc w:val="left"/>
      <w:rPr>
        <w:rFonts w:ascii="宋体" w:hAnsi="宋体" w:eastAsia="宋体" w:cs="宋体"/>
        <w:sz w:val="21"/>
        <w:szCs w:val="21"/>
        <w:lang w:val="fr-FR" w:eastAsia="en-US"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8C9DE">
    <w:pPr>
      <w:widowControl w:val="0"/>
      <w:autoSpaceDE w:val="0"/>
      <w:autoSpaceDN w:val="0"/>
      <w:spacing w:line="251" w:lineRule="exact"/>
      <w:ind w:left="23" w:right="195" w:rightChars="93"/>
      <w:jc w:val="right"/>
      <w:rPr>
        <w:rFonts w:ascii="黑体" w:hAnsi="黑体" w:eastAsia="宋体" w:cs="宋体"/>
        <w:sz w:val="21"/>
        <w:szCs w:val="21"/>
        <w:lang w:val="en-US" w:eastAsia="zh-CN"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p w14:paraId="3D21E6C6">
    <w:pPr>
      <w:widowControl w:val="0"/>
      <w:autoSpaceDE w:val="0"/>
      <w:autoSpaceDN w:val="0"/>
      <w:spacing w:line="14" w:lineRule="auto"/>
      <w:jc w:val="both"/>
      <w:rPr>
        <w:rFonts w:ascii="宋体" w:hAnsi="宋体" w:eastAsia="宋体" w:cs="宋体"/>
        <w:sz w:val="20"/>
        <w:szCs w:val="21"/>
        <w:lang w:val="fr-FR" w:eastAsia="en-US" w:bidi="ar-S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07364">
    <w:pPr>
      <w:widowControl w:val="0"/>
      <w:autoSpaceDE w:val="0"/>
      <w:autoSpaceDN w:val="0"/>
      <w:spacing w:line="251" w:lineRule="exact"/>
      <w:ind w:left="23" w:right="195" w:rightChars="93"/>
      <w:rPr>
        <w:rFonts w:ascii="宋体" w:hAnsi="宋体" w:eastAsia="宋体" w:cs="宋体"/>
        <w:sz w:val="21"/>
        <w:szCs w:val="21"/>
        <w:lang w:val="fr-FR" w:eastAsia="en-US" w:bidi="ar-S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8588A">
    <w:pPr>
      <w:pStyle w:val="7"/>
      <w:pBdr>
        <w:bottom w:val="none" w:color="auto" w:sz="0" w:space="1"/>
      </w:pBdr>
      <w:rPr>
        <w:lang w:val="fr-FR" w:eastAsia="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B5D03">
    <w:pPr>
      <w:widowControl w:val="0"/>
      <w:pBdr>
        <w:top w:val="none" w:color="auto" w:sz="0" w:space="1"/>
        <w:left w:val="none" w:color="auto" w:sz="0" w:space="4"/>
        <w:bottom w:val="none" w:color="auto" w:sz="0" w:space="1"/>
        <w:right w:val="none" w:color="auto" w:sz="0" w:space="4"/>
      </w:pBdr>
      <w:tabs>
        <w:tab w:val="center" w:pos="4153"/>
        <w:tab w:val="right" w:pos="8306"/>
      </w:tabs>
      <w:autoSpaceDE w:val="0"/>
      <w:autoSpaceDN w:val="0"/>
      <w:snapToGrid w:val="0"/>
      <w:spacing w:after="220"/>
      <w:jc w:val="right"/>
      <w:rPr>
        <w:rFonts w:ascii="黑体" w:hAnsi="黑体" w:eastAsia="黑体" w:cs="黑体"/>
        <w:sz w:val="21"/>
        <w:szCs w:val="21"/>
        <w:lang w:val="en-US" w:eastAsia="en-US" w:bidi="ar-SA"/>
      </w:rPr>
    </w:pPr>
    <w:r>
      <w:rPr>
        <w:rFonts w:hint="eastAsia" w:ascii="黑体" w:hAnsi="黑体" w:eastAsia="黑体" w:cs="黑体"/>
        <w:sz w:val="21"/>
        <w:szCs w:val="21"/>
        <w:lang w:val="en-US" w:eastAsia="en-US" w:bidi="ar-SA"/>
      </w:rPr>
      <w:t>DB42/T  XX—202x</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ECB50">
    <w:pPr>
      <w:widowControl w:val="0"/>
      <w:autoSpaceDE w:val="0"/>
      <w:autoSpaceDN w:val="0"/>
      <w:spacing w:after="220"/>
      <w:jc w:val="right"/>
      <w:rPr>
        <w:rFonts w:ascii="宋体" w:hAnsi="宋体" w:eastAsia="宋体" w:cs="宋体"/>
        <w:sz w:val="2"/>
        <w:szCs w:val="21"/>
        <w:lang w:val="en-US" w:eastAsia="en-US" w:bidi="ar-S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0F766">
    <w:pPr>
      <w:widowControl w:val="0"/>
      <w:autoSpaceDE w:val="0"/>
      <w:autoSpaceDN w:val="0"/>
      <w:spacing w:after="220"/>
      <w:jc w:val="right"/>
      <w:rPr>
        <w:rFonts w:ascii="宋体" w:hAnsi="宋体" w:eastAsia="宋体" w:cs="宋体"/>
        <w:sz w:val="20"/>
        <w:szCs w:val="21"/>
        <w:lang w:val="en-US" w:eastAsia="en-US" w:bidi="ar-SA"/>
      </w:rPr>
    </w:pPr>
    <w:r>
      <w:rPr>
        <w:rFonts w:ascii="Times New Roman" w:hAnsi="Times New Roman" w:eastAsia="宋体" w:cs="宋体"/>
        <w:sz w:val="21"/>
        <w:szCs w:val="21"/>
        <w:lang w:val="en-US" w:eastAsia="en-US" w:bidi="ar-SA"/>
      </w:rPr>
      <w:t>DB42/T XX—202x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DA76F">
    <w:pPr>
      <w:widowControl w:val="0"/>
      <w:autoSpaceDE w:val="0"/>
      <w:autoSpaceDN w:val="0"/>
      <w:spacing w:line="251" w:lineRule="exact"/>
      <w:ind w:left="23" w:right="195" w:rightChars="93"/>
      <w:rPr>
        <w:rFonts w:ascii="宋体" w:hAnsi="宋体" w:eastAsia="宋体" w:cs="宋体"/>
        <w:sz w:val="21"/>
        <w:szCs w:val="21"/>
        <w:lang w:val="fr-FR" w:eastAsia="en-US"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48C5A">
    <w:pPr>
      <w:widowControl w:val="0"/>
      <w:autoSpaceDE w:val="0"/>
      <w:autoSpaceDN w:val="0"/>
      <w:spacing w:after="220"/>
      <w:rPr>
        <w:rFonts w:ascii="宋体" w:hAnsi="宋体" w:eastAsia="宋体" w:cs="宋体"/>
        <w:sz w:val="20"/>
        <w:szCs w:val="21"/>
        <w:lang w:val="en-US" w:eastAsia="en-US" w:bidi="ar-SA"/>
      </w:rPr>
    </w:pPr>
    <w:r>
      <w:rPr>
        <w:rFonts w:ascii="Times New Roman" w:hAnsi="Times New Roman" w:eastAsia="宋体" w:cs="宋体"/>
        <w:sz w:val="21"/>
        <w:szCs w:val="21"/>
        <w:lang w:val="en-US" w:eastAsia="en-US" w:bidi="ar-SA"/>
      </w:rPr>
      <w:t>DB42/T XX—202x</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B303A">
    <w:pPr>
      <w:widowControl w:val="0"/>
      <w:autoSpaceDE w:val="0"/>
      <w:autoSpaceDN w:val="0"/>
      <w:spacing w:after="220"/>
      <w:jc w:val="right"/>
      <w:rPr>
        <w:rFonts w:ascii="黑体" w:hAnsi="黑体" w:eastAsia="黑体" w:cs="黑体"/>
        <w:sz w:val="21"/>
        <w:szCs w:val="21"/>
        <w:lang w:val="en-US" w:eastAsia="zh-CN" w:bidi="ar-SA"/>
      </w:rPr>
    </w:pPr>
    <w:r>
      <w:rPr>
        <w:rFonts w:hint="eastAsia" w:ascii="黑体" w:hAnsi="黑体" w:eastAsia="黑体" w:cs="黑体"/>
        <w:sz w:val="21"/>
        <w:szCs w:val="21"/>
        <w:lang w:val="en-US" w:eastAsia="en-US" w:bidi="ar-SA"/>
      </w:rPr>
      <w:t>DB42/T  XX—202x</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68677">
    <w:pPr>
      <w:pStyle w:val="7"/>
      <w:pBdr>
        <w:bottom w:val="none" w:color="auto" w:sz="0" w:space="1"/>
      </w:pBdr>
      <w:rPr>
        <w:lang w:val="en-US" w:eastAsia="zh-CN"/>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CBA18">
    <w:pPr>
      <w:widowControl w:val="0"/>
      <w:spacing w:line="14" w:lineRule="auto"/>
      <w:jc w:val="both"/>
      <w:rPr>
        <w:rFonts w:ascii="宋体" w:hAnsi="宋体" w:eastAsia="宋体" w:cs="宋体"/>
        <w:kern w:val="2"/>
        <w:sz w:val="20"/>
        <w:szCs w:val="21"/>
        <w:lang w:val="en-US" w:eastAsia="zh-CN" w:bidi="ar-SA"/>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5726C">
    <w:pPr>
      <w:widowControl w:val="0"/>
      <w:spacing w:line="14" w:lineRule="auto"/>
      <w:jc w:val="both"/>
      <w:rPr>
        <w:rFonts w:ascii="宋体" w:hAnsi="宋体" w:eastAsia="宋体" w:cs="宋体"/>
        <w:kern w:val="2"/>
        <w:sz w:val="2"/>
        <w:szCs w:val="21"/>
        <w:lang w:val="en-US" w:eastAsia="zh-CN" w:bidi="ar-SA"/>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56D53">
    <w:pPr>
      <w:widowControl w:val="0"/>
      <w:spacing w:line="240" w:lineRule="auto"/>
      <w:jc w:val="right"/>
      <w:rPr>
        <w:rFonts w:ascii="黑体" w:hAnsi="黑体" w:eastAsia="宋体" w:cs="宋体"/>
        <w:kern w:val="2"/>
        <w:sz w:val="21"/>
        <w:szCs w:val="21"/>
        <w:lang w:val="en-US" w:eastAsia="zh-CN" w:bidi="ar-SA"/>
      </w:rPr>
    </w:pPr>
    <w:r>
      <w:rPr>
        <w:rFonts w:hint="eastAsia" w:ascii="黑体" w:hAnsi="黑体" w:eastAsia="宋体" w:cs="宋体"/>
        <w:kern w:val="2"/>
        <w:sz w:val="21"/>
        <w:szCs w:val="21"/>
        <w:lang w:val="en-US" w:eastAsia="zh-CN" w:bidi="ar-SA"/>
      </w:rPr>
      <w:t>DB42/T xxxx</w:t>
    </w:r>
  </w:p>
  <w:p w14:paraId="140EDA45">
    <w:pPr>
      <w:widowControl w:val="0"/>
      <w:spacing w:line="14" w:lineRule="auto"/>
      <w:jc w:val="both"/>
      <w:rPr>
        <w:rFonts w:ascii="宋体" w:hAnsi="宋体" w:eastAsia="宋体" w:cs="宋体"/>
        <w:kern w:val="2"/>
        <w:sz w:val="20"/>
        <w:szCs w:val="21"/>
        <w:lang w:val="en-US" w:eastAsia="zh-CN" w:bidi="ar-SA"/>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F7614">
    <w:pPr>
      <w:widowControl w:val="0"/>
      <w:spacing w:line="240" w:lineRule="auto"/>
      <w:jc w:val="left"/>
      <w:rPr>
        <w:rFonts w:ascii="宋体" w:hAnsi="宋体" w:eastAsia="宋体" w:cs="宋体"/>
        <w:kern w:val="2"/>
        <w:sz w:val="21"/>
        <w:szCs w:val="21"/>
        <w:lang w:val="en-US" w:eastAsia="zh-CN" w:bidi="ar-SA"/>
      </w:rPr>
    </w:pPr>
    <w:r>
      <w:rPr>
        <w:rFonts w:hint="eastAsia" w:ascii="黑体" w:hAnsi="黑体" w:eastAsia="宋体" w:cs="宋体"/>
        <w:kern w:val="2"/>
        <w:sz w:val="21"/>
        <w:szCs w:val="21"/>
        <w:lang w:val="en-US" w:eastAsia="zh-CN" w:bidi="ar-SA"/>
      </w:rPr>
      <w:t>DB42/T xxxx</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8999">
    <w:pPr>
      <w:widowControl w:val="0"/>
      <w:spacing w:line="240" w:lineRule="auto"/>
      <w:jc w:val="left"/>
      <w:rPr>
        <w:rFonts w:ascii="宋体" w:hAnsi="宋体" w:eastAsia="宋体" w:cs="宋体"/>
        <w:kern w:val="2"/>
        <w:sz w:val="21"/>
        <w:szCs w:val="21"/>
        <w:lang w:val="en-US" w:eastAsia="zh-CN" w:bidi="ar-SA"/>
      </w:rPr>
    </w:pPr>
    <w:r>
      <w:rPr>
        <w:rFonts w:hint="eastAsia" w:ascii="黑体" w:hAnsi="黑体" w:eastAsia="宋体" w:cs="宋体"/>
        <w:kern w:val="2"/>
        <w:sz w:val="21"/>
        <w:szCs w:val="21"/>
        <w:lang w:val="en-US" w:eastAsia="zh-CN" w:bidi="ar-SA"/>
      </w:rPr>
      <w:t>DB42/T xxxx</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3F4B5">
    <w:pPr>
      <w:widowControl w:val="0"/>
      <w:spacing w:line="240" w:lineRule="auto"/>
      <w:jc w:val="right"/>
      <w:rPr>
        <w:rFonts w:ascii="宋体" w:hAnsi="宋体" w:eastAsia="宋体" w:cs="宋体"/>
        <w:kern w:val="2"/>
        <w:sz w:val="21"/>
        <w:szCs w:val="21"/>
        <w:lang w:val="en-US" w:eastAsia="zh-CN" w:bidi="ar-SA"/>
      </w:rPr>
    </w:pPr>
    <w:r>
      <w:rPr>
        <w:rFonts w:hint="eastAsia" w:ascii="黑体" w:hAnsi="黑体" w:eastAsia="宋体" w:cs="宋体"/>
        <w:kern w:val="2"/>
        <w:sz w:val="21"/>
        <w:szCs w:val="21"/>
        <w:lang w:val="en-US" w:eastAsia="zh-CN" w:bidi="ar-SA"/>
      </w:rPr>
      <w:t>DB42/T xxxx</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DA17A">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5DDD">
    <w:pPr>
      <w:widowControl w:val="0"/>
      <w:pBdr>
        <w:top w:val="none" w:color="auto" w:sz="0" w:space="1"/>
        <w:left w:val="none" w:color="auto" w:sz="0" w:space="4"/>
        <w:bottom w:val="none" w:color="auto" w:sz="0" w:space="1"/>
        <w:right w:val="none" w:color="auto" w:sz="0" w:space="4"/>
      </w:pBdr>
      <w:tabs>
        <w:tab w:val="center" w:pos="4153"/>
        <w:tab w:val="right" w:pos="8306"/>
      </w:tabs>
      <w:autoSpaceDE w:val="0"/>
      <w:autoSpaceDN w:val="0"/>
      <w:snapToGrid w:val="0"/>
      <w:jc w:val="both"/>
      <w:rPr>
        <w:rFonts w:ascii="宋体" w:hAnsi="宋体" w:eastAsia="宋体" w:cs="宋体"/>
        <w:sz w:val="18"/>
        <w:szCs w:val="22"/>
        <w:lang w:val="fr-FR" w:eastAsia="en-US" w:bidi="ar-SA"/>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BEE69">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ascii="Times New Roman" w:hAnsi="Times New Roman" w:eastAsia="宋体" w:cs="Times New Roman"/>
        <w:kern w:val="2"/>
        <w:sz w:val="18"/>
        <w:szCs w:val="24"/>
        <w:lang w:val="en-US" w:eastAsia="zh-CN" w:bidi="ar-SA"/>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20A5E">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rPr>
        <w:rFonts w:ascii="Times New Roman" w:hAnsi="Times New Roman" w:eastAsia="宋体" w:cs="Times New Roman"/>
        <w:kern w:val="2"/>
        <w:sz w:val="18"/>
        <w:szCs w:val="24"/>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AABBD">
    <w:pPr>
      <w:widowControl w:val="0"/>
      <w:autoSpaceDE w:val="0"/>
      <w:autoSpaceDN w:val="0"/>
      <w:spacing w:line="240" w:lineRule="auto"/>
      <w:jc w:val="right"/>
      <w:rPr>
        <w:rFonts w:ascii="黑体" w:hAnsi="黑体" w:eastAsia="宋体" w:cs="宋体"/>
        <w:sz w:val="21"/>
        <w:szCs w:val="21"/>
        <w:lang w:val="en-US" w:eastAsia="zh-CN"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p w14:paraId="581F0F37">
    <w:pPr>
      <w:widowControl w:val="0"/>
      <w:autoSpaceDE w:val="0"/>
      <w:autoSpaceDN w:val="0"/>
      <w:spacing w:line="14" w:lineRule="auto"/>
      <w:jc w:val="right"/>
      <w:rPr>
        <w:rFonts w:ascii="宋体" w:hAnsi="宋体" w:eastAsia="宋体" w:cs="宋体"/>
        <w:sz w:val="20"/>
        <w:szCs w:val="21"/>
        <w:lang w:val="fr-FR" w:eastAsia="en-US"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4FB2D">
    <w:pPr>
      <w:widowControl w:val="0"/>
      <w:autoSpaceDE w:val="0"/>
      <w:autoSpaceDN w:val="0"/>
      <w:spacing w:line="251" w:lineRule="exact"/>
      <w:jc w:val="right"/>
      <w:rPr>
        <w:rFonts w:ascii="宋体" w:hAnsi="宋体" w:eastAsia="宋体" w:cs="宋体"/>
        <w:sz w:val="21"/>
        <w:szCs w:val="21"/>
        <w:lang w:val="fr-FR" w:eastAsia="en-US"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5D03F">
    <w:pPr>
      <w:widowControl w:val="0"/>
      <w:autoSpaceDE w:val="0"/>
      <w:autoSpaceDN w:val="0"/>
      <w:spacing w:line="240" w:lineRule="auto"/>
      <w:jc w:val="right"/>
      <w:rPr>
        <w:rFonts w:ascii="宋体" w:hAnsi="宋体" w:eastAsia="宋体" w:cs="宋体"/>
        <w:sz w:val="21"/>
        <w:szCs w:val="21"/>
        <w:lang w:val="fr-FR" w:eastAsia="en-US"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F6A02">
    <w:pPr>
      <w:widowControl w:val="0"/>
      <w:autoSpaceDE w:val="0"/>
      <w:autoSpaceDN w:val="0"/>
      <w:spacing w:line="240" w:lineRule="auto"/>
      <w:jc w:val="left"/>
      <w:rPr>
        <w:rFonts w:ascii="宋体" w:hAnsi="宋体" w:eastAsia="宋体" w:cs="宋体"/>
        <w:sz w:val="21"/>
        <w:szCs w:val="21"/>
        <w:lang w:val="fr-FR" w:eastAsia="en-US"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B723E">
    <w:pPr>
      <w:widowControl w:val="0"/>
      <w:autoSpaceDE w:val="0"/>
      <w:autoSpaceDN w:val="0"/>
      <w:spacing w:line="240" w:lineRule="auto"/>
      <w:jc w:val="left"/>
      <w:rPr>
        <w:rFonts w:ascii="黑体" w:hAnsi="黑体" w:eastAsia="宋体" w:cs="宋体"/>
        <w:sz w:val="21"/>
        <w:szCs w:val="21"/>
        <w:lang w:val="en-US" w:eastAsia="zh-CN"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p w14:paraId="3C760843">
    <w:pPr>
      <w:widowControl w:val="0"/>
      <w:autoSpaceDE w:val="0"/>
      <w:autoSpaceDN w:val="0"/>
      <w:spacing w:line="14" w:lineRule="auto"/>
      <w:jc w:val="right"/>
      <w:rPr>
        <w:rFonts w:ascii="宋体" w:hAnsi="宋体" w:eastAsia="宋体" w:cs="宋体"/>
        <w:sz w:val="20"/>
        <w:szCs w:val="21"/>
        <w:lang w:val="fr-FR" w:eastAsia="en-US"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3C65E">
    <w:pPr>
      <w:widowControl w:val="0"/>
      <w:autoSpaceDE w:val="0"/>
      <w:autoSpaceDN w:val="0"/>
      <w:spacing w:line="240" w:lineRule="auto"/>
      <w:jc w:val="left"/>
      <w:rPr>
        <w:rFonts w:ascii="宋体" w:hAnsi="宋体" w:eastAsia="宋体" w:cs="宋体"/>
        <w:sz w:val="21"/>
        <w:szCs w:val="21"/>
        <w:lang w:val="fr-FR" w:eastAsia="en-US" w:bidi="ar-SA"/>
      </w:rPr>
    </w:pPr>
    <w:r>
      <w:rPr>
        <w:rFonts w:hint="eastAsia" w:ascii="黑体" w:hAnsi="黑体" w:eastAsia="宋体" w:cs="宋体"/>
        <w:sz w:val="21"/>
        <w:szCs w:val="21"/>
        <w:lang w:val="fr-FR" w:eastAsia="zh-CN" w:bidi="ar-SA"/>
      </w:rPr>
      <w:t>DB42/T</w:t>
    </w:r>
    <w:r>
      <w:rPr>
        <w:rFonts w:hint="eastAsia" w:ascii="黑体" w:hAnsi="黑体" w:eastAsia="宋体" w:cs="宋体"/>
        <w:sz w:val="21"/>
        <w:szCs w:val="21"/>
        <w:lang w:val="en-US" w:eastAsia="zh-CN" w:bidi="ar-SA"/>
      </w:rPr>
      <w:t xml:space="preserve"> 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D915D"/>
    <w:multiLevelType w:val="multilevel"/>
    <w:tmpl w:val="861D915D"/>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1">
    <w:nsid w:val="8930C634"/>
    <w:multiLevelType w:val="multilevel"/>
    <w:tmpl w:val="8930C634"/>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2">
    <w:nsid w:val="8B90AC3E"/>
    <w:multiLevelType w:val="multilevel"/>
    <w:tmpl w:val="8B90AC3E"/>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3">
    <w:nsid w:val="97E4967F"/>
    <w:multiLevelType w:val="multilevel"/>
    <w:tmpl w:val="97E4967F"/>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4">
    <w:nsid w:val="A7CEF1D5"/>
    <w:multiLevelType w:val="singleLevel"/>
    <w:tmpl w:val="A7CEF1D5"/>
    <w:lvl w:ilvl="0" w:tentative="0">
      <w:start w:val="1"/>
      <w:numFmt w:val="lowerLetter"/>
      <w:suff w:val="space"/>
      <w:lvlText w:val="%1)"/>
      <w:lvlJc w:val="left"/>
    </w:lvl>
  </w:abstractNum>
  <w:abstractNum w:abstractNumId="5">
    <w:nsid w:val="AE4FAC37"/>
    <w:multiLevelType w:val="multilevel"/>
    <w:tmpl w:val="AE4FAC37"/>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6">
    <w:nsid w:val="B32D75B9"/>
    <w:multiLevelType w:val="multilevel"/>
    <w:tmpl w:val="B32D75B9"/>
    <w:lvl w:ilvl="0" w:tentative="0">
      <w:start w:val="1"/>
      <w:numFmt w:val="decimal"/>
      <w:lvlText w:val="%1"/>
      <w:lvlJc w:val="left"/>
      <w:pPr>
        <w:ind w:left="573" w:hanging="274"/>
        <w:jc w:val="left"/>
      </w:pPr>
      <w:rPr>
        <w:rFonts w:hint="default" w:ascii="宋体" w:hAnsi="宋体" w:eastAsia="宋体" w:cs="宋体"/>
        <w:w w:val="100"/>
        <w:sz w:val="21"/>
        <w:szCs w:val="21"/>
        <w:lang w:val="fr-FR" w:eastAsia="en-US" w:bidi="ar-SA"/>
      </w:rPr>
    </w:lvl>
    <w:lvl w:ilvl="1" w:tentative="0">
      <w:start w:val="1"/>
      <w:numFmt w:val="decimal"/>
      <w:lvlText w:val="%1.%2"/>
      <w:lvlJc w:val="left"/>
      <w:pPr>
        <w:tabs>
          <w:tab w:val="left" w:pos="420"/>
        </w:tabs>
        <w:ind w:left="1113" w:hanging="634"/>
        <w:jc w:val="left"/>
      </w:pPr>
      <w:rPr>
        <w:rFonts w:hint="default" w:ascii="宋体" w:hAnsi="宋体" w:eastAsia="宋体" w:cs="宋体"/>
        <w:snapToGrid w:val="0"/>
        <w:spacing w:val="0"/>
        <w:w w:val="100"/>
        <w:sz w:val="21"/>
        <w:szCs w:val="21"/>
        <w:lang w:val="fr-FR" w:eastAsia="en-US" w:bidi="ar-SA"/>
      </w:rPr>
    </w:lvl>
    <w:lvl w:ilvl="2" w:tentative="0">
      <w:start w:val="0"/>
      <w:numFmt w:val="bullet"/>
      <w:lvlText w:val="•"/>
      <w:lvlJc w:val="left"/>
      <w:pPr>
        <w:ind w:left="1140" w:hanging="634"/>
      </w:pPr>
      <w:rPr>
        <w:rFonts w:hint="default"/>
        <w:lang w:val="fr-FR" w:eastAsia="en-US" w:bidi="ar-SA"/>
      </w:rPr>
    </w:lvl>
    <w:lvl w:ilvl="3" w:tentative="0">
      <w:start w:val="0"/>
      <w:numFmt w:val="bullet"/>
      <w:lvlText w:val="•"/>
      <w:lvlJc w:val="left"/>
      <w:pPr>
        <w:ind w:left="2270" w:hanging="634"/>
      </w:pPr>
      <w:rPr>
        <w:rFonts w:hint="default"/>
        <w:lang w:val="fr-FR" w:eastAsia="en-US" w:bidi="ar-SA"/>
      </w:rPr>
    </w:lvl>
    <w:lvl w:ilvl="4" w:tentative="0">
      <w:start w:val="0"/>
      <w:numFmt w:val="bullet"/>
      <w:lvlText w:val="•"/>
      <w:lvlJc w:val="left"/>
      <w:pPr>
        <w:ind w:left="3401" w:hanging="634"/>
      </w:pPr>
      <w:rPr>
        <w:rFonts w:hint="default"/>
        <w:lang w:val="fr-FR" w:eastAsia="en-US" w:bidi="ar-SA"/>
      </w:rPr>
    </w:lvl>
    <w:lvl w:ilvl="5" w:tentative="0">
      <w:start w:val="0"/>
      <w:numFmt w:val="bullet"/>
      <w:lvlText w:val="•"/>
      <w:lvlJc w:val="left"/>
      <w:pPr>
        <w:ind w:left="4532" w:hanging="634"/>
      </w:pPr>
      <w:rPr>
        <w:rFonts w:hint="default"/>
        <w:lang w:val="fr-FR" w:eastAsia="en-US" w:bidi="ar-SA"/>
      </w:rPr>
    </w:lvl>
    <w:lvl w:ilvl="6" w:tentative="0">
      <w:start w:val="0"/>
      <w:numFmt w:val="bullet"/>
      <w:lvlText w:val="•"/>
      <w:lvlJc w:val="left"/>
      <w:pPr>
        <w:ind w:left="5663" w:hanging="634"/>
      </w:pPr>
      <w:rPr>
        <w:rFonts w:hint="default"/>
        <w:lang w:val="fr-FR" w:eastAsia="en-US" w:bidi="ar-SA"/>
      </w:rPr>
    </w:lvl>
    <w:lvl w:ilvl="7" w:tentative="0">
      <w:start w:val="0"/>
      <w:numFmt w:val="bullet"/>
      <w:lvlText w:val="•"/>
      <w:lvlJc w:val="left"/>
      <w:pPr>
        <w:ind w:left="6794" w:hanging="634"/>
      </w:pPr>
      <w:rPr>
        <w:rFonts w:hint="default"/>
        <w:lang w:val="fr-FR" w:eastAsia="en-US" w:bidi="ar-SA"/>
      </w:rPr>
    </w:lvl>
    <w:lvl w:ilvl="8" w:tentative="0">
      <w:start w:val="0"/>
      <w:numFmt w:val="bullet"/>
      <w:lvlText w:val="•"/>
      <w:lvlJc w:val="left"/>
      <w:pPr>
        <w:ind w:left="7924" w:hanging="634"/>
      </w:pPr>
      <w:rPr>
        <w:rFonts w:hint="default"/>
        <w:lang w:val="fr-FR" w:eastAsia="en-US" w:bidi="ar-SA"/>
      </w:rPr>
    </w:lvl>
  </w:abstractNum>
  <w:abstractNum w:abstractNumId="7">
    <w:nsid w:val="B3CAC1EE"/>
    <w:multiLevelType w:val="multilevel"/>
    <w:tmpl w:val="B3CAC1EE"/>
    <w:lvl w:ilvl="0" w:tentative="0">
      <w:start w:val="1"/>
      <w:numFmt w:val="decimal"/>
      <w:suff w:val="space"/>
      <w:lvlText w:val="%1"/>
      <w:lvlJc w:val="left"/>
      <w:pPr>
        <w:tabs>
          <w:tab w:val="left" w:pos="420"/>
        </w:tabs>
        <w:ind w:left="832" w:hanging="317"/>
        <w:jc w:val="right"/>
      </w:pPr>
      <w:rPr>
        <w:rFonts w:hint="default" w:ascii="黑体" w:hAnsi="黑体" w:eastAsia="黑体" w:cs="黑体"/>
        <w:w w:val="99"/>
        <w:sz w:val="21"/>
        <w:szCs w:val="21"/>
      </w:rPr>
    </w:lvl>
    <w:lvl w:ilvl="1" w:tentative="0">
      <w:start w:val="1"/>
      <w:numFmt w:val="decimal"/>
      <w:lvlText w:val="%1.%2"/>
      <w:lvlJc w:val="left"/>
      <w:pPr>
        <w:ind w:left="549" w:hanging="317"/>
      </w:pPr>
      <w:rPr>
        <w:rFonts w:hint="default" w:ascii="黑体" w:hAnsi="黑体" w:eastAsia="黑体" w:cs="黑体"/>
        <w:spacing w:val="0"/>
        <w:w w:val="99"/>
        <w:sz w:val="21"/>
        <w:szCs w:val="21"/>
      </w:rPr>
    </w:lvl>
    <w:lvl w:ilvl="2" w:tentative="0">
      <w:start w:val="1"/>
      <w:numFmt w:val="decimal"/>
      <w:lvlText w:val="%1.%2.%3"/>
      <w:lvlJc w:val="left"/>
      <w:pPr>
        <w:ind w:left="1252" w:hanging="737"/>
      </w:pPr>
      <w:rPr>
        <w:rFonts w:hint="default" w:ascii="黑体" w:hAnsi="黑体" w:eastAsia="黑体" w:cs="黑体"/>
        <w:spacing w:val="-2"/>
        <w:w w:val="99"/>
        <w:sz w:val="21"/>
        <w:szCs w:val="21"/>
      </w:rPr>
    </w:lvl>
    <w:lvl w:ilvl="3" w:tentative="0">
      <w:start w:val="0"/>
      <w:numFmt w:val="bullet"/>
      <w:lvlText w:val="•"/>
      <w:lvlJc w:val="left"/>
      <w:pPr>
        <w:ind w:left="1040" w:hanging="737"/>
      </w:pPr>
      <w:rPr>
        <w:rFonts w:hint="default"/>
      </w:rPr>
    </w:lvl>
    <w:lvl w:ilvl="4" w:tentative="0">
      <w:start w:val="0"/>
      <w:numFmt w:val="bullet"/>
      <w:lvlText w:val="•"/>
      <w:lvlJc w:val="left"/>
      <w:pPr>
        <w:ind w:left="1260" w:hanging="737"/>
      </w:pPr>
      <w:rPr>
        <w:rFonts w:hint="default"/>
      </w:rPr>
    </w:lvl>
    <w:lvl w:ilvl="5" w:tentative="0">
      <w:start w:val="0"/>
      <w:numFmt w:val="bullet"/>
      <w:lvlText w:val="•"/>
      <w:lvlJc w:val="left"/>
      <w:pPr>
        <w:ind w:left="2747" w:hanging="737"/>
      </w:pPr>
      <w:rPr>
        <w:rFonts w:hint="default"/>
      </w:rPr>
    </w:lvl>
    <w:lvl w:ilvl="6" w:tentative="0">
      <w:start w:val="0"/>
      <w:numFmt w:val="bullet"/>
      <w:lvlText w:val="•"/>
      <w:lvlJc w:val="left"/>
      <w:pPr>
        <w:ind w:left="4235" w:hanging="737"/>
      </w:pPr>
      <w:rPr>
        <w:rFonts w:hint="default"/>
      </w:rPr>
    </w:lvl>
    <w:lvl w:ilvl="7" w:tentative="0">
      <w:start w:val="0"/>
      <w:numFmt w:val="bullet"/>
      <w:lvlText w:val="•"/>
      <w:lvlJc w:val="left"/>
      <w:pPr>
        <w:ind w:left="5723" w:hanging="737"/>
      </w:pPr>
      <w:rPr>
        <w:rFonts w:hint="default"/>
      </w:rPr>
    </w:lvl>
    <w:lvl w:ilvl="8" w:tentative="0">
      <w:start w:val="0"/>
      <w:numFmt w:val="bullet"/>
      <w:lvlText w:val="•"/>
      <w:lvlJc w:val="left"/>
      <w:pPr>
        <w:ind w:left="7211" w:hanging="737"/>
      </w:pPr>
      <w:rPr>
        <w:rFonts w:hint="default"/>
      </w:rPr>
    </w:lvl>
  </w:abstractNum>
  <w:abstractNum w:abstractNumId="8">
    <w:nsid w:val="B3EAAFE6"/>
    <w:multiLevelType w:val="multilevel"/>
    <w:tmpl w:val="B3EAAFE6"/>
    <w:lvl w:ilvl="0" w:tentative="0">
      <w:start w:val="1"/>
      <w:numFmt w:val="decimal"/>
      <w:lvlText w:val="%1"/>
      <w:lvlJc w:val="left"/>
      <w:pPr>
        <w:ind w:left="573" w:hanging="274"/>
        <w:jc w:val="left"/>
      </w:pPr>
      <w:rPr>
        <w:rFonts w:hint="default" w:ascii="宋体" w:hAnsi="宋体" w:eastAsia="宋体" w:cs="宋体"/>
        <w:w w:val="100"/>
        <w:sz w:val="21"/>
        <w:szCs w:val="21"/>
        <w:lang w:val="fr-FR" w:eastAsia="en-US" w:bidi="ar-SA"/>
      </w:rPr>
    </w:lvl>
    <w:lvl w:ilvl="1" w:tentative="0">
      <w:start w:val="1"/>
      <w:numFmt w:val="decimal"/>
      <w:lvlText w:val="%1.%2"/>
      <w:lvlJc w:val="left"/>
      <w:pPr>
        <w:tabs>
          <w:tab w:val="left" w:pos="420"/>
        </w:tabs>
        <w:ind w:left="1113" w:hanging="634"/>
        <w:jc w:val="left"/>
      </w:pPr>
      <w:rPr>
        <w:rFonts w:hint="default" w:ascii="宋体" w:hAnsi="宋体" w:eastAsia="宋体" w:cs="宋体"/>
        <w:snapToGrid w:val="0"/>
        <w:spacing w:val="0"/>
        <w:w w:val="100"/>
        <w:sz w:val="21"/>
        <w:szCs w:val="21"/>
        <w:lang w:val="fr-FR" w:eastAsia="en-US" w:bidi="ar-SA"/>
      </w:rPr>
    </w:lvl>
    <w:lvl w:ilvl="2" w:tentative="0">
      <w:start w:val="0"/>
      <w:numFmt w:val="bullet"/>
      <w:lvlText w:val="•"/>
      <w:lvlJc w:val="left"/>
      <w:pPr>
        <w:ind w:left="1140" w:hanging="634"/>
      </w:pPr>
      <w:rPr>
        <w:rFonts w:hint="default"/>
        <w:lang w:val="fr-FR" w:eastAsia="en-US" w:bidi="ar-SA"/>
      </w:rPr>
    </w:lvl>
    <w:lvl w:ilvl="3" w:tentative="0">
      <w:start w:val="0"/>
      <w:numFmt w:val="bullet"/>
      <w:lvlText w:val="•"/>
      <w:lvlJc w:val="left"/>
      <w:pPr>
        <w:ind w:left="2270" w:hanging="634"/>
      </w:pPr>
      <w:rPr>
        <w:rFonts w:hint="default"/>
        <w:lang w:val="fr-FR" w:eastAsia="en-US" w:bidi="ar-SA"/>
      </w:rPr>
    </w:lvl>
    <w:lvl w:ilvl="4" w:tentative="0">
      <w:start w:val="0"/>
      <w:numFmt w:val="bullet"/>
      <w:lvlText w:val="•"/>
      <w:lvlJc w:val="left"/>
      <w:pPr>
        <w:ind w:left="3401" w:hanging="634"/>
      </w:pPr>
      <w:rPr>
        <w:rFonts w:hint="default"/>
        <w:lang w:val="fr-FR" w:eastAsia="en-US" w:bidi="ar-SA"/>
      </w:rPr>
    </w:lvl>
    <w:lvl w:ilvl="5" w:tentative="0">
      <w:start w:val="0"/>
      <w:numFmt w:val="bullet"/>
      <w:lvlText w:val="•"/>
      <w:lvlJc w:val="left"/>
      <w:pPr>
        <w:ind w:left="4532" w:hanging="634"/>
      </w:pPr>
      <w:rPr>
        <w:rFonts w:hint="default"/>
        <w:lang w:val="fr-FR" w:eastAsia="en-US" w:bidi="ar-SA"/>
      </w:rPr>
    </w:lvl>
    <w:lvl w:ilvl="6" w:tentative="0">
      <w:start w:val="0"/>
      <w:numFmt w:val="bullet"/>
      <w:lvlText w:val="•"/>
      <w:lvlJc w:val="left"/>
      <w:pPr>
        <w:ind w:left="5663" w:hanging="634"/>
      </w:pPr>
      <w:rPr>
        <w:rFonts w:hint="default"/>
        <w:lang w:val="fr-FR" w:eastAsia="en-US" w:bidi="ar-SA"/>
      </w:rPr>
    </w:lvl>
    <w:lvl w:ilvl="7" w:tentative="0">
      <w:start w:val="0"/>
      <w:numFmt w:val="bullet"/>
      <w:lvlText w:val="•"/>
      <w:lvlJc w:val="left"/>
      <w:pPr>
        <w:ind w:left="6794" w:hanging="634"/>
      </w:pPr>
      <w:rPr>
        <w:rFonts w:hint="default"/>
        <w:lang w:val="fr-FR" w:eastAsia="en-US" w:bidi="ar-SA"/>
      </w:rPr>
    </w:lvl>
    <w:lvl w:ilvl="8" w:tentative="0">
      <w:start w:val="0"/>
      <w:numFmt w:val="bullet"/>
      <w:lvlText w:val="•"/>
      <w:lvlJc w:val="left"/>
      <w:pPr>
        <w:ind w:left="7924" w:hanging="634"/>
      </w:pPr>
      <w:rPr>
        <w:rFonts w:hint="default"/>
        <w:lang w:val="fr-FR" w:eastAsia="en-US" w:bidi="ar-SA"/>
      </w:rPr>
    </w:lvl>
  </w:abstractNum>
  <w:abstractNum w:abstractNumId="9">
    <w:nsid w:val="B40BEA0D"/>
    <w:multiLevelType w:val="multilevel"/>
    <w:tmpl w:val="B40BEA0D"/>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10">
    <w:nsid w:val="B77A6B09"/>
    <w:multiLevelType w:val="multilevel"/>
    <w:tmpl w:val="B77A6B09"/>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11">
    <w:nsid w:val="B8ECD3EB"/>
    <w:multiLevelType w:val="multilevel"/>
    <w:tmpl w:val="B8ECD3EB"/>
    <w:lvl w:ilvl="0" w:tentative="0">
      <w:start w:val="1"/>
      <w:numFmt w:val="decimal"/>
      <w:lvlText w:val="%1"/>
      <w:lvlJc w:val="left"/>
      <w:pPr>
        <w:ind w:left="0" w:leftChars="0" w:firstLine="0" w:firstLineChars="0"/>
        <w:jc w:val="left"/>
      </w:pPr>
      <w:rPr>
        <w:rFonts w:hint="default" w:ascii="宋体" w:hAnsi="宋体" w:eastAsia="宋体" w:cs="宋体"/>
        <w:snapToGrid w:val="0"/>
        <w:w w:val="100"/>
        <w:sz w:val="21"/>
        <w:szCs w:val="21"/>
        <w:lang w:val="fr-FR" w:eastAsia="en-US" w:bidi="ar-SA"/>
      </w:rPr>
    </w:lvl>
    <w:lvl w:ilvl="1" w:tentative="0">
      <w:start w:val="1"/>
      <w:numFmt w:val="decimal"/>
      <w:lvlText w:val="%1.%2"/>
      <w:lvlJc w:val="left"/>
      <w:pPr>
        <w:ind w:left="1113" w:hanging="634"/>
        <w:jc w:val="left"/>
      </w:pPr>
      <w:rPr>
        <w:rFonts w:hint="default" w:ascii="宋体" w:hAnsi="宋体" w:eastAsia="宋体" w:cs="宋体"/>
        <w:spacing w:val="0"/>
        <w:w w:val="100"/>
        <w:sz w:val="21"/>
        <w:szCs w:val="21"/>
        <w:lang w:val="fr-FR" w:eastAsia="en-US" w:bidi="ar-SA"/>
      </w:rPr>
    </w:lvl>
    <w:lvl w:ilvl="2" w:tentative="0">
      <w:start w:val="0"/>
      <w:numFmt w:val="bullet"/>
      <w:lvlText w:val="•"/>
      <w:lvlJc w:val="left"/>
      <w:pPr>
        <w:ind w:left="1140" w:hanging="634"/>
      </w:pPr>
      <w:rPr>
        <w:rFonts w:hint="default"/>
        <w:lang w:val="fr-FR" w:eastAsia="en-US" w:bidi="ar-SA"/>
      </w:rPr>
    </w:lvl>
    <w:lvl w:ilvl="3" w:tentative="0">
      <w:start w:val="0"/>
      <w:numFmt w:val="bullet"/>
      <w:lvlText w:val="•"/>
      <w:lvlJc w:val="left"/>
      <w:pPr>
        <w:ind w:left="2270" w:hanging="634"/>
      </w:pPr>
      <w:rPr>
        <w:rFonts w:hint="default"/>
        <w:lang w:val="fr-FR" w:eastAsia="en-US" w:bidi="ar-SA"/>
      </w:rPr>
    </w:lvl>
    <w:lvl w:ilvl="4" w:tentative="0">
      <w:start w:val="0"/>
      <w:numFmt w:val="bullet"/>
      <w:lvlText w:val="•"/>
      <w:lvlJc w:val="left"/>
      <w:pPr>
        <w:ind w:left="3401" w:hanging="634"/>
      </w:pPr>
      <w:rPr>
        <w:rFonts w:hint="default"/>
        <w:lang w:val="fr-FR" w:eastAsia="en-US" w:bidi="ar-SA"/>
      </w:rPr>
    </w:lvl>
    <w:lvl w:ilvl="5" w:tentative="0">
      <w:start w:val="0"/>
      <w:numFmt w:val="bullet"/>
      <w:lvlText w:val="•"/>
      <w:lvlJc w:val="left"/>
      <w:pPr>
        <w:ind w:left="4532" w:hanging="634"/>
      </w:pPr>
      <w:rPr>
        <w:rFonts w:hint="default"/>
        <w:lang w:val="fr-FR" w:eastAsia="en-US" w:bidi="ar-SA"/>
      </w:rPr>
    </w:lvl>
    <w:lvl w:ilvl="6" w:tentative="0">
      <w:start w:val="0"/>
      <w:numFmt w:val="bullet"/>
      <w:lvlText w:val="•"/>
      <w:lvlJc w:val="left"/>
      <w:pPr>
        <w:ind w:left="5663" w:hanging="634"/>
      </w:pPr>
      <w:rPr>
        <w:rFonts w:hint="default"/>
        <w:lang w:val="fr-FR" w:eastAsia="en-US" w:bidi="ar-SA"/>
      </w:rPr>
    </w:lvl>
    <w:lvl w:ilvl="7" w:tentative="0">
      <w:start w:val="0"/>
      <w:numFmt w:val="bullet"/>
      <w:lvlText w:val="•"/>
      <w:lvlJc w:val="left"/>
      <w:pPr>
        <w:ind w:left="6794" w:hanging="634"/>
      </w:pPr>
      <w:rPr>
        <w:rFonts w:hint="default"/>
        <w:lang w:val="fr-FR" w:eastAsia="en-US" w:bidi="ar-SA"/>
      </w:rPr>
    </w:lvl>
    <w:lvl w:ilvl="8" w:tentative="0">
      <w:start w:val="0"/>
      <w:numFmt w:val="bullet"/>
      <w:lvlText w:val="•"/>
      <w:lvlJc w:val="left"/>
      <w:pPr>
        <w:ind w:left="7924" w:hanging="634"/>
      </w:pPr>
      <w:rPr>
        <w:rFonts w:hint="default"/>
        <w:lang w:val="fr-FR" w:eastAsia="en-US" w:bidi="ar-SA"/>
      </w:rPr>
    </w:lvl>
  </w:abstractNum>
  <w:abstractNum w:abstractNumId="12">
    <w:nsid w:val="BE923771"/>
    <w:multiLevelType w:val="multilevel"/>
    <w:tmpl w:val="BE923771"/>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13">
    <w:nsid w:val="C3503047"/>
    <w:multiLevelType w:val="singleLevel"/>
    <w:tmpl w:val="C3503047"/>
    <w:lvl w:ilvl="0" w:tentative="0">
      <w:start w:val="1"/>
      <w:numFmt w:val="lowerLetter"/>
      <w:suff w:val="space"/>
      <w:lvlText w:val="%1)"/>
      <w:lvlJc w:val="left"/>
    </w:lvl>
  </w:abstractNum>
  <w:abstractNum w:abstractNumId="14">
    <w:nsid w:val="C9408C80"/>
    <w:multiLevelType w:val="multilevel"/>
    <w:tmpl w:val="C9408C80"/>
    <w:lvl w:ilvl="0" w:tentative="0">
      <w:start w:val="1"/>
      <w:numFmt w:val="decimal"/>
      <w:lvlText w:val="%1"/>
      <w:lvlJc w:val="left"/>
      <w:pPr>
        <w:ind w:left="0" w:leftChars="0" w:firstLine="0" w:firstLineChars="0"/>
        <w:jc w:val="left"/>
      </w:pPr>
      <w:rPr>
        <w:rFonts w:hint="default" w:ascii="宋体" w:hAnsi="宋体" w:eastAsia="宋体" w:cs="宋体"/>
        <w:snapToGrid w:val="0"/>
        <w:w w:val="100"/>
        <w:sz w:val="21"/>
        <w:szCs w:val="21"/>
        <w:lang w:val="fr-FR" w:eastAsia="en-US" w:bidi="ar-SA"/>
      </w:rPr>
    </w:lvl>
    <w:lvl w:ilvl="1" w:tentative="0">
      <w:start w:val="1"/>
      <w:numFmt w:val="decimal"/>
      <w:lvlText w:val="%1.%2"/>
      <w:lvlJc w:val="left"/>
      <w:pPr>
        <w:ind w:left="1113" w:hanging="634"/>
        <w:jc w:val="left"/>
      </w:pPr>
      <w:rPr>
        <w:rFonts w:hint="default" w:ascii="宋体" w:hAnsi="宋体" w:eastAsia="宋体" w:cs="宋体"/>
        <w:spacing w:val="0"/>
        <w:w w:val="100"/>
        <w:sz w:val="21"/>
        <w:szCs w:val="21"/>
        <w:lang w:val="fr-FR" w:eastAsia="en-US" w:bidi="ar-SA"/>
      </w:rPr>
    </w:lvl>
    <w:lvl w:ilvl="2" w:tentative="0">
      <w:start w:val="0"/>
      <w:numFmt w:val="bullet"/>
      <w:lvlText w:val="•"/>
      <w:lvlJc w:val="left"/>
      <w:pPr>
        <w:ind w:left="1140" w:hanging="634"/>
      </w:pPr>
      <w:rPr>
        <w:rFonts w:hint="default"/>
        <w:lang w:val="fr-FR" w:eastAsia="en-US" w:bidi="ar-SA"/>
      </w:rPr>
    </w:lvl>
    <w:lvl w:ilvl="3" w:tentative="0">
      <w:start w:val="0"/>
      <w:numFmt w:val="bullet"/>
      <w:lvlText w:val="•"/>
      <w:lvlJc w:val="left"/>
      <w:pPr>
        <w:ind w:left="2270" w:hanging="634"/>
      </w:pPr>
      <w:rPr>
        <w:rFonts w:hint="default"/>
        <w:lang w:val="fr-FR" w:eastAsia="en-US" w:bidi="ar-SA"/>
      </w:rPr>
    </w:lvl>
    <w:lvl w:ilvl="4" w:tentative="0">
      <w:start w:val="0"/>
      <w:numFmt w:val="bullet"/>
      <w:lvlText w:val="•"/>
      <w:lvlJc w:val="left"/>
      <w:pPr>
        <w:ind w:left="3401" w:hanging="634"/>
      </w:pPr>
      <w:rPr>
        <w:rFonts w:hint="default"/>
        <w:lang w:val="fr-FR" w:eastAsia="en-US" w:bidi="ar-SA"/>
      </w:rPr>
    </w:lvl>
    <w:lvl w:ilvl="5" w:tentative="0">
      <w:start w:val="0"/>
      <w:numFmt w:val="bullet"/>
      <w:lvlText w:val="•"/>
      <w:lvlJc w:val="left"/>
      <w:pPr>
        <w:ind w:left="4532" w:hanging="634"/>
      </w:pPr>
      <w:rPr>
        <w:rFonts w:hint="default"/>
        <w:lang w:val="fr-FR" w:eastAsia="en-US" w:bidi="ar-SA"/>
      </w:rPr>
    </w:lvl>
    <w:lvl w:ilvl="6" w:tentative="0">
      <w:start w:val="0"/>
      <w:numFmt w:val="bullet"/>
      <w:lvlText w:val="•"/>
      <w:lvlJc w:val="left"/>
      <w:pPr>
        <w:ind w:left="5663" w:hanging="634"/>
      </w:pPr>
      <w:rPr>
        <w:rFonts w:hint="default"/>
        <w:lang w:val="fr-FR" w:eastAsia="en-US" w:bidi="ar-SA"/>
      </w:rPr>
    </w:lvl>
    <w:lvl w:ilvl="7" w:tentative="0">
      <w:start w:val="0"/>
      <w:numFmt w:val="bullet"/>
      <w:lvlText w:val="•"/>
      <w:lvlJc w:val="left"/>
      <w:pPr>
        <w:ind w:left="6794" w:hanging="634"/>
      </w:pPr>
      <w:rPr>
        <w:rFonts w:hint="default"/>
        <w:lang w:val="fr-FR" w:eastAsia="en-US" w:bidi="ar-SA"/>
      </w:rPr>
    </w:lvl>
    <w:lvl w:ilvl="8" w:tentative="0">
      <w:start w:val="0"/>
      <w:numFmt w:val="bullet"/>
      <w:lvlText w:val="•"/>
      <w:lvlJc w:val="left"/>
      <w:pPr>
        <w:ind w:left="7924" w:hanging="634"/>
      </w:pPr>
      <w:rPr>
        <w:rFonts w:hint="default"/>
        <w:lang w:val="fr-FR" w:eastAsia="en-US" w:bidi="ar-SA"/>
      </w:rPr>
    </w:lvl>
  </w:abstractNum>
  <w:abstractNum w:abstractNumId="15">
    <w:nsid w:val="CC5C3CA1"/>
    <w:multiLevelType w:val="multilevel"/>
    <w:tmpl w:val="CC5C3CA1"/>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16">
    <w:nsid w:val="DDD5A465"/>
    <w:multiLevelType w:val="multilevel"/>
    <w:tmpl w:val="DDD5A465"/>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17">
    <w:nsid w:val="F6A05D48"/>
    <w:multiLevelType w:val="singleLevel"/>
    <w:tmpl w:val="F6A05D48"/>
    <w:lvl w:ilvl="0" w:tentative="0">
      <w:start w:val="14"/>
      <w:numFmt w:val="decimal"/>
      <w:suff w:val="nothing"/>
      <w:lvlText w:val="（%1）"/>
      <w:lvlJc w:val="left"/>
    </w:lvl>
  </w:abstractNum>
  <w:abstractNum w:abstractNumId="18">
    <w:nsid w:val="FD4624A2"/>
    <w:multiLevelType w:val="multilevel"/>
    <w:tmpl w:val="FD4624A2"/>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19">
    <w:nsid w:val="FDD848A0"/>
    <w:multiLevelType w:val="multilevel"/>
    <w:tmpl w:val="FDD848A0"/>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20">
    <w:nsid w:val="FFAB2188"/>
    <w:multiLevelType w:val="multilevel"/>
    <w:tmpl w:val="FFAB2188"/>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21">
    <w:nsid w:val="0A9D6BCF"/>
    <w:multiLevelType w:val="multilevel"/>
    <w:tmpl w:val="0A9D6BCF"/>
    <w:lvl w:ilvl="0" w:tentative="0">
      <w:start w:val="8"/>
      <w:numFmt w:val="decimal"/>
      <w:lvlText w:val="%1"/>
      <w:lvlJc w:val="left"/>
      <w:pPr>
        <w:ind w:left="525" w:hanging="525"/>
      </w:pPr>
      <w:rPr>
        <w:rFonts w:hint="default"/>
      </w:rPr>
    </w:lvl>
    <w:lvl w:ilvl="1" w:tentative="0">
      <w:start w:val="4"/>
      <w:numFmt w:val="decimal"/>
      <w:lvlText w:val="%1.%2"/>
      <w:lvlJc w:val="left"/>
      <w:pPr>
        <w:ind w:left="525" w:hanging="525"/>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2">
    <w:nsid w:val="0E640482"/>
    <w:multiLevelType w:val="multilevel"/>
    <w:tmpl w:val="0E640482"/>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23">
    <w:nsid w:val="14AD8261"/>
    <w:multiLevelType w:val="multilevel"/>
    <w:tmpl w:val="14AD8261"/>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24">
    <w:nsid w:val="15357D1D"/>
    <w:multiLevelType w:val="multilevel"/>
    <w:tmpl w:val="15357D1D"/>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25">
    <w:nsid w:val="1584223E"/>
    <w:multiLevelType w:val="multilevel"/>
    <w:tmpl w:val="1584223E"/>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26">
    <w:nsid w:val="186104BF"/>
    <w:multiLevelType w:val="multilevel"/>
    <w:tmpl w:val="186104BF"/>
    <w:lvl w:ilvl="0" w:tentative="0">
      <w:start w:val="8"/>
      <w:numFmt w:val="decimal"/>
      <w:lvlText w:val="%1"/>
      <w:lvlJc w:val="left"/>
      <w:pPr>
        <w:ind w:left="770" w:hanging="770"/>
      </w:pPr>
      <w:rPr>
        <w:rFonts w:hint="default"/>
      </w:rPr>
    </w:lvl>
    <w:lvl w:ilvl="1" w:tentative="0">
      <w:start w:val="4"/>
      <w:numFmt w:val="decimal"/>
      <w:lvlText w:val="%1.%2"/>
      <w:lvlJc w:val="left"/>
      <w:pPr>
        <w:ind w:left="770" w:hanging="770"/>
      </w:pPr>
      <w:rPr>
        <w:rFonts w:hint="default"/>
      </w:rPr>
    </w:lvl>
    <w:lvl w:ilvl="2" w:tentative="0">
      <w:start w:val="4"/>
      <w:numFmt w:val="decimal"/>
      <w:lvlText w:val="%1.%2.%3"/>
      <w:lvlJc w:val="left"/>
      <w:pPr>
        <w:ind w:left="770" w:hanging="77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7">
    <w:nsid w:val="18798D85"/>
    <w:multiLevelType w:val="multilevel"/>
    <w:tmpl w:val="18798D85"/>
    <w:lvl w:ilvl="0" w:tentative="0">
      <w:start w:val="1"/>
      <w:numFmt w:val="decimal"/>
      <w:suff w:val="space"/>
      <w:lvlText w:val="%1"/>
      <w:lvlJc w:val="left"/>
      <w:pPr>
        <w:tabs>
          <w:tab w:val="left" w:pos="0"/>
        </w:tabs>
        <w:ind w:left="0" w:firstLine="0"/>
      </w:pPr>
      <w:rPr>
        <w:rFonts w:hint="default" w:ascii="Times New Roman" w:hAnsi="Times New Roman" w:eastAsia="宋体" w:cs="Times New Roman"/>
      </w:rPr>
    </w:lvl>
    <w:lvl w:ilvl="1" w:tentative="0">
      <w:start w:val="1"/>
      <w:numFmt w:val="decimal"/>
      <w:suff w:val="space"/>
      <w:lvlText w:val="%1.%2"/>
      <w:lvlJc w:val="left"/>
      <w:pPr>
        <w:tabs>
          <w:tab w:val="left" w:pos="420"/>
        </w:tabs>
        <w:ind w:left="0" w:firstLine="0"/>
      </w:pPr>
      <w:rPr>
        <w:rFonts w:hint="default" w:ascii="Times New Roman" w:hAnsi="Times New Roman" w:eastAsia="宋体" w:cs="Times New Roman"/>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64" w:hanging="864"/>
      </w:pPr>
      <w:rPr>
        <w:rFonts w:hint="default" w:ascii="宋体" w:hAnsi="宋体"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8">
    <w:nsid w:val="2CAB11E3"/>
    <w:multiLevelType w:val="singleLevel"/>
    <w:tmpl w:val="2CAB11E3"/>
    <w:lvl w:ilvl="0" w:tentative="0">
      <w:start w:val="3"/>
      <w:numFmt w:val="decimal"/>
      <w:lvlText w:val="%1."/>
      <w:lvlJc w:val="left"/>
      <w:pPr>
        <w:tabs>
          <w:tab w:val="left" w:pos="312"/>
        </w:tabs>
      </w:pPr>
    </w:lvl>
  </w:abstractNum>
  <w:abstractNum w:abstractNumId="29">
    <w:nsid w:val="31E674AF"/>
    <w:multiLevelType w:val="multilevel"/>
    <w:tmpl w:val="31E674AF"/>
    <w:lvl w:ilvl="0" w:tentative="0">
      <w:start w:val="7"/>
      <w:numFmt w:val="decimal"/>
      <w:lvlText w:val="%1"/>
      <w:lvlJc w:val="left"/>
      <w:pPr>
        <w:ind w:left="525" w:hanging="525"/>
      </w:pPr>
      <w:rPr>
        <w:rFonts w:hint="default"/>
      </w:rPr>
    </w:lvl>
    <w:lvl w:ilvl="1" w:tentative="0">
      <w:start w:val="3"/>
      <w:numFmt w:val="decimal"/>
      <w:lvlText w:val="%1.%2"/>
      <w:lvlJc w:val="left"/>
      <w:pPr>
        <w:ind w:left="667" w:hanging="525"/>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30">
    <w:nsid w:val="3E16296D"/>
    <w:multiLevelType w:val="multilevel"/>
    <w:tmpl w:val="3E16296D"/>
    <w:lvl w:ilvl="0" w:tentative="0">
      <w:start w:val="1"/>
      <w:numFmt w:val="lowerLetter"/>
      <w:lvlText w:val="%1)"/>
      <w:lvlJc w:val="left"/>
      <w:pPr>
        <w:ind w:left="114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31">
    <w:nsid w:val="3E90F063"/>
    <w:multiLevelType w:val="singleLevel"/>
    <w:tmpl w:val="3E90F063"/>
    <w:lvl w:ilvl="0" w:tentative="0">
      <w:start w:val="1"/>
      <w:numFmt w:val="decimal"/>
      <w:suff w:val="space"/>
      <w:lvlText w:val="%1."/>
      <w:lvlJc w:val="left"/>
      <w:pPr>
        <w:ind w:left="425" w:hanging="425"/>
      </w:pPr>
      <w:rPr>
        <w:rFonts w:hint="default"/>
      </w:rPr>
    </w:lvl>
  </w:abstractNum>
  <w:abstractNum w:abstractNumId="32">
    <w:nsid w:val="432AD61A"/>
    <w:multiLevelType w:val="multilevel"/>
    <w:tmpl w:val="432AD61A"/>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33">
    <w:nsid w:val="44249512"/>
    <w:multiLevelType w:val="singleLevel"/>
    <w:tmpl w:val="44249512"/>
    <w:lvl w:ilvl="0" w:tentative="0">
      <w:start w:val="1"/>
      <w:numFmt w:val="decimal"/>
      <w:suff w:val="space"/>
      <w:lvlText w:val="%1)"/>
      <w:lvlJc w:val="left"/>
    </w:lvl>
  </w:abstractNum>
  <w:abstractNum w:abstractNumId="34">
    <w:nsid w:val="45ED5744"/>
    <w:multiLevelType w:val="multilevel"/>
    <w:tmpl w:val="45ED5744"/>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35">
    <w:nsid w:val="46FC5E40"/>
    <w:multiLevelType w:val="multilevel"/>
    <w:tmpl w:val="46FC5E40"/>
    <w:lvl w:ilvl="0" w:tentative="0">
      <w:start w:val="1"/>
      <w:numFmt w:val="decimal"/>
      <w:lvlText w:val="%1"/>
      <w:lvlJc w:val="left"/>
      <w:pPr>
        <w:tabs>
          <w:tab w:val="left" w:pos="0"/>
        </w:tabs>
        <w:ind w:left="0" w:leftChars="0" w:firstLine="420" w:firstLineChars="0"/>
        <w:jc w:val="left"/>
      </w:pPr>
      <w:rPr>
        <w:rFonts w:hint="default" w:ascii="黑体" w:hAnsi="黑体" w:eastAsia="黑体" w:cs="黑体"/>
        <w:b w:val="0"/>
        <w:bCs w:val="0"/>
        <w:snapToGrid w:val="0"/>
        <w:w w:val="100"/>
        <w:sz w:val="21"/>
        <w:szCs w:val="21"/>
        <w:lang w:val="fr-FR" w:eastAsia="en-US" w:bidi="ar-SA"/>
      </w:rPr>
    </w:lvl>
    <w:lvl w:ilvl="1" w:tentative="0">
      <w:start w:val="1"/>
      <w:numFmt w:val="decimal"/>
      <w:lvlText w:val="%1.%2"/>
      <w:lvlJc w:val="left"/>
      <w:pPr>
        <w:tabs>
          <w:tab w:val="left" w:pos="840"/>
        </w:tabs>
        <w:ind w:left="420" w:firstLine="0"/>
        <w:jc w:val="left"/>
      </w:pPr>
      <w:rPr>
        <w:rFonts w:hint="default" w:ascii="黑体" w:hAnsi="黑体" w:eastAsia="黑体" w:cs="黑体"/>
        <w:w w:val="100"/>
        <w:sz w:val="21"/>
        <w:szCs w:val="21"/>
        <w:lang w:val="fr-FR" w:eastAsia="en-US" w:bidi="ar-SA"/>
      </w:rPr>
    </w:lvl>
    <w:lvl w:ilvl="2" w:tentative="0">
      <w:start w:val="1"/>
      <w:numFmt w:val="decimal"/>
      <w:lvlText w:val="%1.%2.%3"/>
      <w:lvlJc w:val="left"/>
      <w:pPr>
        <w:tabs>
          <w:tab w:val="left" w:pos="420"/>
        </w:tabs>
        <w:ind w:left="420" w:firstLine="0"/>
        <w:jc w:val="left"/>
      </w:pPr>
      <w:rPr>
        <w:rFonts w:hint="default" w:ascii="黑体" w:hAnsi="黑体" w:eastAsia="黑体" w:cs="黑体"/>
        <w:w w:val="100"/>
        <w:sz w:val="21"/>
        <w:szCs w:val="21"/>
        <w:lang w:val="fr-FR" w:eastAsia="en-US" w:bidi="ar-SA"/>
      </w:rPr>
    </w:lvl>
    <w:lvl w:ilvl="3" w:tentative="0">
      <w:start w:val="1"/>
      <w:numFmt w:val="decimal"/>
      <w:lvlText w:val="%1.%2.%3.%4"/>
      <w:lvlJc w:val="left"/>
      <w:pPr>
        <w:tabs>
          <w:tab w:val="left" w:pos="420"/>
        </w:tabs>
        <w:ind w:left="719" w:hanging="946"/>
        <w:jc w:val="left"/>
      </w:pPr>
      <w:rPr>
        <w:rFonts w:hint="default" w:ascii="黑体" w:hAnsi="黑体" w:eastAsia="黑体" w:cs="黑体"/>
        <w:b w:val="0"/>
        <w:bCs w:val="0"/>
        <w:spacing w:val="-3"/>
        <w:w w:val="100"/>
        <w:sz w:val="21"/>
        <w:szCs w:val="21"/>
        <w:lang w:val="fr-FR" w:eastAsia="en-US" w:bidi="ar-SA"/>
      </w:rPr>
    </w:lvl>
    <w:lvl w:ilvl="4" w:tentative="0">
      <w:start w:val="1"/>
      <w:numFmt w:val="decimal"/>
      <w:lvlText w:val="%1.%2.%3.%4.%5"/>
      <w:lvlJc w:val="left"/>
      <w:pPr>
        <w:tabs>
          <w:tab w:val="left" w:pos="420"/>
        </w:tabs>
        <w:ind w:left="1874" w:hanging="1155"/>
        <w:jc w:val="left"/>
      </w:pPr>
      <w:rPr>
        <w:rFonts w:hint="default" w:ascii="黑体" w:hAnsi="黑体" w:eastAsia="黑体" w:cs="黑体"/>
        <w:spacing w:val="-3"/>
        <w:w w:val="100"/>
        <w:sz w:val="21"/>
        <w:szCs w:val="21"/>
        <w:lang w:val="fr-FR" w:eastAsia="en-US" w:bidi="ar-SA"/>
      </w:rPr>
    </w:lvl>
    <w:lvl w:ilvl="5" w:tentative="0">
      <w:start w:val="1"/>
      <w:numFmt w:val="lowerLetter"/>
      <w:lvlText w:val="%6)"/>
      <w:lvlJc w:val="left"/>
      <w:pPr>
        <w:tabs>
          <w:tab w:val="left" w:pos="420"/>
        </w:tabs>
        <w:ind w:left="1559" w:hanging="420"/>
        <w:jc w:val="left"/>
      </w:pPr>
      <w:rPr>
        <w:rFonts w:hint="default" w:ascii="宋体" w:hAnsi="宋体" w:eastAsia="宋体" w:cs="宋体"/>
        <w:w w:val="100"/>
        <w:sz w:val="21"/>
        <w:szCs w:val="21"/>
        <w:lang w:val="fr-FR" w:eastAsia="en-US" w:bidi="ar-SA"/>
      </w:rPr>
    </w:lvl>
    <w:lvl w:ilvl="6" w:tentative="0">
      <w:start w:val="0"/>
      <w:numFmt w:val="bullet"/>
      <w:lvlText w:val="•"/>
      <w:lvlJc w:val="left"/>
      <w:pPr>
        <w:tabs>
          <w:tab w:val="left" w:pos="420"/>
        </w:tabs>
        <w:ind w:left="1880" w:hanging="420"/>
      </w:pPr>
      <w:rPr>
        <w:rFonts w:hint="default"/>
        <w:lang w:val="fr-FR" w:eastAsia="en-US" w:bidi="ar-SA"/>
      </w:rPr>
    </w:lvl>
    <w:lvl w:ilvl="7" w:tentative="0">
      <w:start w:val="0"/>
      <w:numFmt w:val="bullet"/>
      <w:lvlText w:val="•"/>
      <w:lvlJc w:val="left"/>
      <w:pPr>
        <w:tabs>
          <w:tab w:val="left" w:pos="420"/>
        </w:tabs>
        <w:ind w:left="4061" w:hanging="420"/>
      </w:pPr>
      <w:rPr>
        <w:rFonts w:hint="default"/>
        <w:lang w:val="fr-FR" w:eastAsia="en-US" w:bidi="ar-SA"/>
      </w:rPr>
    </w:lvl>
    <w:lvl w:ilvl="8" w:tentative="0">
      <w:start w:val="0"/>
      <w:numFmt w:val="bullet"/>
      <w:lvlText w:val="•"/>
      <w:lvlJc w:val="left"/>
      <w:pPr>
        <w:tabs>
          <w:tab w:val="left" w:pos="420"/>
        </w:tabs>
        <w:ind w:left="6243" w:hanging="420"/>
      </w:pPr>
      <w:rPr>
        <w:rFonts w:hint="default"/>
        <w:lang w:val="fr-FR" w:eastAsia="en-US" w:bidi="ar-SA"/>
      </w:rPr>
    </w:lvl>
  </w:abstractNum>
  <w:abstractNum w:abstractNumId="36">
    <w:nsid w:val="46FF6256"/>
    <w:multiLevelType w:val="multilevel"/>
    <w:tmpl w:val="46FF6256"/>
    <w:lvl w:ilvl="0" w:tentative="0">
      <w:start w:val="7"/>
      <w:numFmt w:val="decimal"/>
      <w:suff w:val="space"/>
      <w:lvlText w:val="%1"/>
      <w:lvlJc w:val="left"/>
      <w:pPr>
        <w:ind w:left="525" w:hanging="525"/>
      </w:pPr>
      <w:rPr>
        <w:rFonts w:hint="default"/>
      </w:rPr>
    </w:lvl>
    <w:lvl w:ilvl="1" w:tentative="0">
      <w:start w:val="3"/>
      <w:numFmt w:val="decimal"/>
      <w:lvlText w:val="%1.%2"/>
      <w:lvlJc w:val="left"/>
      <w:pPr>
        <w:ind w:left="525" w:hanging="525"/>
      </w:pPr>
      <w:rPr>
        <w:rFonts w:hint="default"/>
      </w:rPr>
    </w:lvl>
    <w:lvl w:ilvl="2" w:tentative="0">
      <w:start w:val="4"/>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37">
    <w:nsid w:val="47681694"/>
    <w:multiLevelType w:val="multilevel"/>
    <w:tmpl w:val="47681694"/>
    <w:lvl w:ilvl="0" w:tentative="0">
      <w:start w:val="7"/>
      <w:numFmt w:val="decimal"/>
      <w:lvlText w:val="%1"/>
      <w:lvlJc w:val="left"/>
      <w:pPr>
        <w:ind w:left="1041" w:hanging="526"/>
      </w:pPr>
      <w:rPr>
        <w:rFonts w:hint="default"/>
      </w:rPr>
    </w:lvl>
    <w:lvl w:ilvl="1" w:tentative="0">
      <w:start w:val="2"/>
      <w:numFmt w:val="decimal"/>
      <w:lvlText w:val="%1.%2"/>
      <w:lvlJc w:val="left"/>
      <w:pPr>
        <w:ind w:left="1041" w:hanging="526"/>
      </w:pPr>
      <w:rPr>
        <w:rFonts w:hint="default" w:ascii="黑体" w:hAnsi="黑体" w:eastAsia="黑体" w:cs="黑体"/>
        <w:spacing w:val="0"/>
        <w:w w:val="99"/>
        <w:sz w:val="21"/>
        <w:szCs w:val="21"/>
      </w:rPr>
    </w:lvl>
    <w:lvl w:ilvl="2" w:tentative="0">
      <w:start w:val="1"/>
      <w:numFmt w:val="decimal"/>
      <w:suff w:val="space"/>
      <w:lvlText w:val="%1.%2.%3"/>
      <w:lvlJc w:val="left"/>
      <w:pPr>
        <w:ind w:left="735" w:hanging="735"/>
      </w:pPr>
      <w:rPr>
        <w:rFonts w:hint="default" w:ascii="黑体" w:hAnsi="黑体" w:eastAsia="黑体" w:cs="黑体"/>
        <w:spacing w:val="-2"/>
        <w:w w:val="99"/>
        <w:sz w:val="21"/>
        <w:szCs w:val="21"/>
      </w:rPr>
    </w:lvl>
    <w:lvl w:ilvl="3" w:tentative="0">
      <w:start w:val="0"/>
      <w:numFmt w:val="bullet"/>
      <w:lvlText w:val="•"/>
      <w:lvlJc w:val="left"/>
      <w:pPr>
        <w:ind w:left="3072" w:hanging="735"/>
      </w:pPr>
      <w:rPr>
        <w:rFonts w:hint="default"/>
      </w:rPr>
    </w:lvl>
    <w:lvl w:ilvl="4" w:tentative="0">
      <w:start w:val="0"/>
      <w:numFmt w:val="bullet"/>
      <w:lvlText w:val="•"/>
      <w:lvlJc w:val="left"/>
      <w:pPr>
        <w:ind w:left="4089" w:hanging="735"/>
      </w:pPr>
      <w:rPr>
        <w:rFonts w:hint="default"/>
      </w:rPr>
    </w:lvl>
    <w:lvl w:ilvl="5" w:tentative="0">
      <w:start w:val="0"/>
      <w:numFmt w:val="bullet"/>
      <w:lvlText w:val="•"/>
      <w:lvlJc w:val="left"/>
      <w:pPr>
        <w:ind w:left="5105" w:hanging="735"/>
      </w:pPr>
      <w:rPr>
        <w:rFonts w:hint="default"/>
      </w:rPr>
    </w:lvl>
    <w:lvl w:ilvl="6" w:tentative="0">
      <w:start w:val="0"/>
      <w:numFmt w:val="bullet"/>
      <w:lvlText w:val="•"/>
      <w:lvlJc w:val="left"/>
      <w:pPr>
        <w:ind w:left="6121" w:hanging="735"/>
      </w:pPr>
      <w:rPr>
        <w:rFonts w:hint="default"/>
      </w:rPr>
    </w:lvl>
    <w:lvl w:ilvl="7" w:tentative="0">
      <w:start w:val="0"/>
      <w:numFmt w:val="bullet"/>
      <w:lvlText w:val="•"/>
      <w:lvlJc w:val="left"/>
      <w:pPr>
        <w:ind w:left="7138" w:hanging="735"/>
      </w:pPr>
      <w:rPr>
        <w:rFonts w:hint="default"/>
      </w:rPr>
    </w:lvl>
    <w:lvl w:ilvl="8" w:tentative="0">
      <w:start w:val="0"/>
      <w:numFmt w:val="bullet"/>
      <w:lvlText w:val="•"/>
      <w:lvlJc w:val="left"/>
      <w:pPr>
        <w:ind w:left="8154" w:hanging="735"/>
      </w:pPr>
      <w:rPr>
        <w:rFonts w:hint="default"/>
      </w:rPr>
    </w:lvl>
  </w:abstractNum>
  <w:abstractNum w:abstractNumId="38">
    <w:nsid w:val="480C3B8B"/>
    <w:multiLevelType w:val="multilevel"/>
    <w:tmpl w:val="480C3B8B"/>
    <w:lvl w:ilvl="0" w:tentative="0">
      <w:start w:val="8"/>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39">
    <w:nsid w:val="48A5F9AD"/>
    <w:multiLevelType w:val="multilevel"/>
    <w:tmpl w:val="48A5F9AD"/>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40">
    <w:nsid w:val="4C1BAE26"/>
    <w:multiLevelType w:val="multilevel"/>
    <w:tmpl w:val="4C1BAE26"/>
    <w:lvl w:ilvl="0" w:tentative="0">
      <w:start w:val="1"/>
      <w:numFmt w:val="lowerLetter"/>
      <w:lvlText w:val="%1)"/>
      <w:lvlJc w:val="left"/>
      <w:pPr>
        <w:tabs>
          <w:tab w:val="left" w:pos="420"/>
        </w:tabs>
        <w:ind w:left="156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tabs>
          <w:tab w:val="left" w:pos="420"/>
        </w:tabs>
        <w:ind w:left="2464" w:hanging="420"/>
      </w:pPr>
      <w:rPr>
        <w:rFonts w:hint="default"/>
        <w:lang w:val="fr-FR" w:eastAsia="en-US" w:bidi="ar-SA"/>
      </w:rPr>
    </w:lvl>
    <w:lvl w:ilvl="2" w:tentative="0">
      <w:start w:val="0"/>
      <w:numFmt w:val="bullet"/>
      <w:lvlText w:val="•"/>
      <w:lvlJc w:val="left"/>
      <w:pPr>
        <w:tabs>
          <w:tab w:val="left" w:pos="420"/>
        </w:tabs>
        <w:ind w:left="3369" w:hanging="420"/>
      </w:pPr>
      <w:rPr>
        <w:rFonts w:hint="default"/>
        <w:lang w:val="fr-FR" w:eastAsia="en-US" w:bidi="ar-SA"/>
      </w:rPr>
    </w:lvl>
    <w:lvl w:ilvl="3" w:tentative="0">
      <w:start w:val="0"/>
      <w:numFmt w:val="bullet"/>
      <w:lvlText w:val="•"/>
      <w:lvlJc w:val="left"/>
      <w:pPr>
        <w:tabs>
          <w:tab w:val="left" w:pos="420"/>
        </w:tabs>
        <w:ind w:left="4273" w:hanging="420"/>
      </w:pPr>
      <w:rPr>
        <w:rFonts w:hint="default"/>
        <w:lang w:val="fr-FR" w:eastAsia="en-US" w:bidi="ar-SA"/>
      </w:rPr>
    </w:lvl>
    <w:lvl w:ilvl="4" w:tentative="0">
      <w:start w:val="0"/>
      <w:numFmt w:val="bullet"/>
      <w:lvlText w:val="•"/>
      <w:lvlJc w:val="left"/>
      <w:pPr>
        <w:tabs>
          <w:tab w:val="left" w:pos="420"/>
        </w:tabs>
        <w:ind w:left="5178" w:hanging="420"/>
      </w:pPr>
      <w:rPr>
        <w:rFonts w:hint="default"/>
        <w:lang w:val="fr-FR" w:eastAsia="en-US" w:bidi="ar-SA"/>
      </w:rPr>
    </w:lvl>
    <w:lvl w:ilvl="5" w:tentative="0">
      <w:start w:val="0"/>
      <w:numFmt w:val="bullet"/>
      <w:lvlText w:val="•"/>
      <w:lvlJc w:val="left"/>
      <w:pPr>
        <w:tabs>
          <w:tab w:val="left" w:pos="420"/>
        </w:tabs>
        <w:ind w:left="6083" w:hanging="420"/>
      </w:pPr>
      <w:rPr>
        <w:rFonts w:hint="default"/>
        <w:lang w:val="fr-FR" w:eastAsia="en-US" w:bidi="ar-SA"/>
      </w:rPr>
    </w:lvl>
    <w:lvl w:ilvl="6" w:tentative="0">
      <w:start w:val="0"/>
      <w:numFmt w:val="bullet"/>
      <w:lvlText w:val="•"/>
      <w:lvlJc w:val="left"/>
      <w:pPr>
        <w:tabs>
          <w:tab w:val="left" w:pos="420"/>
        </w:tabs>
        <w:ind w:left="6987" w:hanging="420"/>
      </w:pPr>
      <w:rPr>
        <w:rFonts w:hint="default"/>
        <w:lang w:val="fr-FR" w:eastAsia="en-US" w:bidi="ar-SA"/>
      </w:rPr>
    </w:lvl>
    <w:lvl w:ilvl="7" w:tentative="0">
      <w:start w:val="0"/>
      <w:numFmt w:val="bullet"/>
      <w:lvlText w:val="•"/>
      <w:lvlJc w:val="left"/>
      <w:pPr>
        <w:tabs>
          <w:tab w:val="left" w:pos="420"/>
        </w:tabs>
        <w:ind w:left="7892" w:hanging="420"/>
      </w:pPr>
      <w:rPr>
        <w:rFonts w:hint="default"/>
        <w:lang w:val="fr-FR" w:eastAsia="en-US" w:bidi="ar-SA"/>
      </w:rPr>
    </w:lvl>
    <w:lvl w:ilvl="8" w:tentative="0">
      <w:start w:val="0"/>
      <w:numFmt w:val="bullet"/>
      <w:lvlText w:val="•"/>
      <w:lvlJc w:val="left"/>
      <w:pPr>
        <w:tabs>
          <w:tab w:val="left" w:pos="420"/>
        </w:tabs>
        <w:ind w:left="8797" w:hanging="420"/>
      </w:pPr>
      <w:rPr>
        <w:rFonts w:hint="default"/>
        <w:lang w:val="fr-FR" w:eastAsia="en-US" w:bidi="ar-SA"/>
      </w:rPr>
    </w:lvl>
  </w:abstractNum>
  <w:abstractNum w:abstractNumId="41">
    <w:nsid w:val="4E42075D"/>
    <w:multiLevelType w:val="multilevel"/>
    <w:tmpl w:val="4E42075D"/>
    <w:lvl w:ilvl="0" w:tentative="0">
      <w:start w:val="6"/>
      <w:numFmt w:val="decimal"/>
      <w:lvlText w:val="%1"/>
      <w:lvlJc w:val="left"/>
      <w:pPr>
        <w:ind w:left="758" w:hanging="526"/>
        <w:jc w:val="right"/>
      </w:pPr>
      <w:rPr>
        <w:rFonts w:hint="default"/>
      </w:rPr>
    </w:lvl>
    <w:lvl w:ilvl="1" w:tentative="0">
      <w:start w:val="5"/>
      <w:numFmt w:val="decimal"/>
      <w:lvlText w:val="%1.%2"/>
      <w:lvlJc w:val="left"/>
      <w:pPr>
        <w:ind w:left="758" w:hanging="526"/>
      </w:pPr>
      <w:rPr>
        <w:rFonts w:hint="default" w:ascii="黑体" w:hAnsi="黑体" w:eastAsia="黑体" w:cs="黑体"/>
        <w:spacing w:val="0"/>
        <w:w w:val="99"/>
        <w:sz w:val="21"/>
        <w:szCs w:val="21"/>
      </w:rPr>
    </w:lvl>
    <w:lvl w:ilvl="2" w:tentative="0">
      <w:start w:val="1"/>
      <w:numFmt w:val="decimal"/>
      <w:lvlText w:val="%1.%2.%3"/>
      <w:lvlJc w:val="left"/>
      <w:pPr>
        <w:ind w:left="969" w:hanging="737"/>
        <w:jc w:val="right"/>
      </w:pPr>
      <w:rPr>
        <w:rFonts w:hint="default" w:ascii="黑体" w:hAnsi="黑体" w:eastAsia="黑体" w:cs="黑体"/>
        <w:spacing w:val="-2"/>
        <w:w w:val="99"/>
        <w:sz w:val="21"/>
        <w:szCs w:val="21"/>
      </w:rPr>
    </w:lvl>
    <w:lvl w:ilvl="3" w:tentative="0">
      <w:start w:val="1"/>
      <w:numFmt w:val="lowerLetter"/>
      <w:lvlText w:val="%4）"/>
      <w:lvlJc w:val="left"/>
      <w:pPr>
        <w:ind w:left="1466" w:hanging="526"/>
      </w:pPr>
      <w:rPr>
        <w:rFonts w:hint="default" w:ascii="宋体" w:hAnsi="宋体" w:eastAsia="宋体" w:cs="宋体"/>
        <w:spacing w:val="0"/>
        <w:w w:val="99"/>
        <w:sz w:val="21"/>
        <w:szCs w:val="21"/>
      </w:rPr>
    </w:lvl>
    <w:lvl w:ilvl="4" w:tentative="0">
      <w:start w:val="0"/>
      <w:numFmt w:val="bullet"/>
      <w:lvlText w:val="•"/>
      <w:lvlJc w:val="left"/>
      <w:pPr>
        <w:ind w:left="3641" w:hanging="526"/>
      </w:pPr>
      <w:rPr>
        <w:rFonts w:hint="default"/>
      </w:rPr>
    </w:lvl>
    <w:lvl w:ilvl="5" w:tentative="0">
      <w:start w:val="0"/>
      <w:numFmt w:val="bullet"/>
      <w:lvlText w:val="•"/>
      <w:lvlJc w:val="left"/>
      <w:pPr>
        <w:ind w:left="4732" w:hanging="526"/>
      </w:pPr>
      <w:rPr>
        <w:rFonts w:hint="default"/>
      </w:rPr>
    </w:lvl>
    <w:lvl w:ilvl="6" w:tentative="0">
      <w:start w:val="0"/>
      <w:numFmt w:val="bullet"/>
      <w:lvlText w:val="•"/>
      <w:lvlJc w:val="left"/>
      <w:pPr>
        <w:ind w:left="5823" w:hanging="526"/>
      </w:pPr>
      <w:rPr>
        <w:rFonts w:hint="default"/>
      </w:rPr>
    </w:lvl>
    <w:lvl w:ilvl="7" w:tentative="0">
      <w:start w:val="0"/>
      <w:numFmt w:val="bullet"/>
      <w:lvlText w:val="•"/>
      <w:lvlJc w:val="left"/>
      <w:pPr>
        <w:ind w:left="6914" w:hanging="526"/>
      </w:pPr>
      <w:rPr>
        <w:rFonts w:hint="default"/>
      </w:rPr>
    </w:lvl>
    <w:lvl w:ilvl="8" w:tentative="0">
      <w:start w:val="0"/>
      <w:numFmt w:val="bullet"/>
      <w:lvlText w:val="•"/>
      <w:lvlJc w:val="left"/>
      <w:pPr>
        <w:ind w:left="8005" w:hanging="526"/>
      </w:pPr>
      <w:rPr>
        <w:rFonts w:hint="default"/>
      </w:rPr>
    </w:lvl>
  </w:abstractNum>
  <w:abstractNum w:abstractNumId="42">
    <w:nsid w:val="550B578B"/>
    <w:multiLevelType w:val="multilevel"/>
    <w:tmpl w:val="550B578B"/>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555F5335"/>
    <w:multiLevelType w:val="multilevel"/>
    <w:tmpl w:val="555F5335"/>
    <w:lvl w:ilvl="0" w:tentative="0">
      <w:start w:val="9"/>
      <w:numFmt w:val="decimal"/>
      <w:lvlText w:val="%1"/>
      <w:lvlJc w:val="left"/>
      <w:pPr>
        <w:ind w:left="516" w:hanging="526"/>
      </w:pPr>
      <w:rPr>
        <w:rFonts w:hint="default"/>
      </w:rPr>
    </w:lvl>
    <w:lvl w:ilvl="1" w:tentative="0">
      <w:start w:val="1"/>
      <w:numFmt w:val="decimal"/>
      <w:suff w:val="space"/>
      <w:lvlText w:val="%1.%2"/>
      <w:lvlJc w:val="left"/>
      <w:pPr>
        <w:ind w:left="516" w:hanging="526"/>
      </w:pPr>
      <w:rPr>
        <w:rFonts w:hint="default" w:ascii="黑体" w:hAnsi="黑体" w:eastAsia="黑体" w:cs="黑体"/>
        <w:spacing w:val="0"/>
        <w:w w:val="99"/>
        <w:sz w:val="21"/>
        <w:szCs w:val="21"/>
      </w:rPr>
    </w:lvl>
    <w:lvl w:ilvl="2" w:tentative="0">
      <w:start w:val="1"/>
      <w:numFmt w:val="lowerLetter"/>
      <w:suff w:val="space"/>
      <w:lvlText w:val="%3）"/>
      <w:lvlJc w:val="left"/>
      <w:pPr>
        <w:ind w:left="1456" w:hanging="526"/>
      </w:pPr>
      <w:rPr>
        <w:rFonts w:hint="default" w:ascii="宋体" w:hAnsi="宋体" w:eastAsia="宋体" w:cs="宋体"/>
        <w:spacing w:val="0"/>
        <w:w w:val="99"/>
        <w:sz w:val="21"/>
        <w:szCs w:val="21"/>
      </w:rPr>
    </w:lvl>
    <w:lvl w:ilvl="3" w:tentative="0">
      <w:start w:val="0"/>
      <w:numFmt w:val="bullet"/>
      <w:lvlText w:val="•"/>
      <w:lvlJc w:val="left"/>
      <w:pPr>
        <w:ind w:left="3399" w:hanging="526"/>
      </w:pPr>
      <w:rPr>
        <w:rFonts w:hint="default"/>
      </w:rPr>
    </w:lvl>
    <w:lvl w:ilvl="4" w:tentative="0">
      <w:start w:val="0"/>
      <w:numFmt w:val="bullet"/>
      <w:lvlText w:val="•"/>
      <w:lvlJc w:val="left"/>
      <w:pPr>
        <w:ind w:left="4369" w:hanging="526"/>
      </w:pPr>
      <w:rPr>
        <w:rFonts w:hint="default"/>
      </w:rPr>
    </w:lvl>
    <w:lvl w:ilvl="5" w:tentative="0">
      <w:start w:val="0"/>
      <w:numFmt w:val="bullet"/>
      <w:lvlText w:val="•"/>
      <w:lvlJc w:val="left"/>
      <w:pPr>
        <w:ind w:left="5338" w:hanging="526"/>
      </w:pPr>
      <w:rPr>
        <w:rFonts w:hint="default"/>
      </w:rPr>
    </w:lvl>
    <w:lvl w:ilvl="6" w:tentative="0">
      <w:start w:val="0"/>
      <w:numFmt w:val="bullet"/>
      <w:lvlText w:val="•"/>
      <w:lvlJc w:val="left"/>
      <w:pPr>
        <w:ind w:left="6308" w:hanging="526"/>
      </w:pPr>
      <w:rPr>
        <w:rFonts w:hint="default"/>
      </w:rPr>
    </w:lvl>
    <w:lvl w:ilvl="7" w:tentative="0">
      <w:start w:val="0"/>
      <w:numFmt w:val="bullet"/>
      <w:lvlText w:val="•"/>
      <w:lvlJc w:val="left"/>
      <w:pPr>
        <w:ind w:left="7278" w:hanging="526"/>
      </w:pPr>
      <w:rPr>
        <w:rFonts w:hint="default"/>
      </w:rPr>
    </w:lvl>
    <w:lvl w:ilvl="8" w:tentative="0">
      <w:start w:val="0"/>
      <w:numFmt w:val="bullet"/>
      <w:lvlText w:val="•"/>
      <w:lvlJc w:val="left"/>
      <w:pPr>
        <w:ind w:left="8247" w:hanging="526"/>
      </w:pPr>
      <w:rPr>
        <w:rFonts w:hint="default"/>
      </w:rPr>
    </w:lvl>
  </w:abstractNum>
  <w:abstractNum w:abstractNumId="44">
    <w:nsid w:val="5E4843DF"/>
    <w:multiLevelType w:val="multilevel"/>
    <w:tmpl w:val="5E4843DF"/>
    <w:lvl w:ilvl="0" w:tentative="0">
      <w:start w:val="7"/>
      <w:numFmt w:val="decimal"/>
      <w:lvlText w:val="%1"/>
      <w:lvlJc w:val="left"/>
      <w:pPr>
        <w:ind w:left="758" w:hanging="526"/>
      </w:pPr>
      <w:rPr>
        <w:rFonts w:hint="default"/>
      </w:rPr>
    </w:lvl>
    <w:lvl w:ilvl="1" w:tentative="0">
      <w:start w:val="3"/>
      <w:numFmt w:val="decimal"/>
      <w:lvlText w:val="%1.%2"/>
      <w:lvlJc w:val="left"/>
      <w:pPr>
        <w:ind w:left="758" w:hanging="526"/>
      </w:pPr>
      <w:rPr>
        <w:rFonts w:hint="default" w:ascii="黑体" w:hAnsi="黑体" w:eastAsia="黑体" w:cs="黑体"/>
        <w:spacing w:val="0"/>
        <w:w w:val="99"/>
        <w:sz w:val="21"/>
        <w:szCs w:val="21"/>
      </w:rPr>
    </w:lvl>
    <w:lvl w:ilvl="2" w:tentative="0">
      <w:start w:val="1"/>
      <w:numFmt w:val="none"/>
      <w:suff w:val="nothing"/>
      <w:lvlText w:val="7.3.1"/>
      <w:lvlJc w:val="left"/>
      <w:pPr>
        <w:ind w:left="2296" w:hanging="737"/>
      </w:pPr>
      <w:rPr>
        <w:rFonts w:hint="default" w:ascii="黑体" w:hAnsi="黑体" w:eastAsia="黑体" w:cs="黑体"/>
        <w:spacing w:val="-2"/>
        <w:w w:val="99"/>
        <w:sz w:val="21"/>
        <w:szCs w:val="21"/>
      </w:rPr>
    </w:lvl>
    <w:lvl w:ilvl="3" w:tentative="0">
      <w:start w:val="0"/>
      <w:numFmt w:val="bullet"/>
      <w:lvlText w:val="•"/>
      <w:lvlJc w:val="left"/>
      <w:pPr>
        <w:ind w:left="3010" w:hanging="737"/>
      </w:pPr>
      <w:rPr>
        <w:rFonts w:hint="default"/>
      </w:rPr>
    </w:lvl>
    <w:lvl w:ilvl="4" w:tentative="0">
      <w:start w:val="0"/>
      <w:numFmt w:val="bullet"/>
      <w:lvlText w:val="•"/>
      <w:lvlJc w:val="left"/>
      <w:pPr>
        <w:ind w:left="4035" w:hanging="737"/>
      </w:pPr>
      <w:rPr>
        <w:rFonts w:hint="default"/>
      </w:rPr>
    </w:lvl>
    <w:lvl w:ilvl="5" w:tentative="0">
      <w:start w:val="0"/>
      <w:numFmt w:val="bullet"/>
      <w:lvlText w:val="•"/>
      <w:lvlJc w:val="left"/>
      <w:pPr>
        <w:ind w:left="5060" w:hanging="737"/>
      </w:pPr>
      <w:rPr>
        <w:rFonts w:hint="default"/>
      </w:rPr>
    </w:lvl>
    <w:lvl w:ilvl="6" w:tentative="0">
      <w:start w:val="0"/>
      <w:numFmt w:val="bullet"/>
      <w:lvlText w:val="•"/>
      <w:lvlJc w:val="left"/>
      <w:pPr>
        <w:ind w:left="6086" w:hanging="737"/>
      </w:pPr>
      <w:rPr>
        <w:rFonts w:hint="default"/>
      </w:rPr>
    </w:lvl>
    <w:lvl w:ilvl="7" w:tentative="0">
      <w:start w:val="0"/>
      <w:numFmt w:val="bullet"/>
      <w:lvlText w:val="•"/>
      <w:lvlJc w:val="left"/>
      <w:pPr>
        <w:ind w:left="7111" w:hanging="737"/>
      </w:pPr>
      <w:rPr>
        <w:rFonts w:hint="default"/>
      </w:rPr>
    </w:lvl>
    <w:lvl w:ilvl="8" w:tentative="0">
      <w:start w:val="0"/>
      <w:numFmt w:val="bullet"/>
      <w:lvlText w:val="•"/>
      <w:lvlJc w:val="left"/>
      <w:pPr>
        <w:ind w:left="8136" w:hanging="737"/>
      </w:pPr>
      <w:rPr>
        <w:rFonts w:hint="default"/>
      </w:rPr>
    </w:lvl>
  </w:abstractNum>
  <w:abstractNum w:abstractNumId="45">
    <w:nsid w:val="60382F6E"/>
    <w:multiLevelType w:val="multilevel"/>
    <w:tmpl w:val="60382F6E"/>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46">
    <w:nsid w:val="66EB8BA7"/>
    <w:multiLevelType w:val="multilevel"/>
    <w:tmpl w:val="66EB8BA7"/>
    <w:lvl w:ilvl="0" w:tentative="0">
      <w:start w:val="1"/>
      <w:numFmt w:val="decimal"/>
      <w:lvlText w:val="%1"/>
      <w:lvlJc w:val="left"/>
      <w:pPr>
        <w:ind w:left="0" w:leftChars="0" w:firstLine="0" w:firstLineChars="0"/>
        <w:jc w:val="left"/>
      </w:pPr>
      <w:rPr>
        <w:rFonts w:hint="default" w:ascii="宋体" w:hAnsi="宋体" w:eastAsia="宋体" w:cs="宋体"/>
        <w:snapToGrid w:val="0"/>
        <w:w w:val="100"/>
        <w:sz w:val="21"/>
        <w:szCs w:val="21"/>
        <w:lang w:val="fr-FR" w:eastAsia="en-US" w:bidi="ar-SA"/>
      </w:rPr>
    </w:lvl>
    <w:lvl w:ilvl="1" w:tentative="0">
      <w:start w:val="1"/>
      <w:numFmt w:val="decimal"/>
      <w:lvlText w:val="%1.%2"/>
      <w:lvlJc w:val="left"/>
      <w:pPr>
        <w:ind w:left="1113" w:hanging="634"/>
        <w:jc w:val="left"/>
      </w:pPr>
      <w:rPr>
        <w:rFonts w:hint="default" w:ascii="宋体" w:hAnsi="宋体" w:eastAsia="宋体" w:cs="宋体"/>
        <w:spacing w:val="0"/>
        <w:w w:val="100"/>
        <w:sz w:val="21"/>
        <w:szCs w:val="21"/>
        <w:lang w:val="fr-FR" w:eastAsia="en-US" w:bidi="ar-SA"/>
      </w:rPr>
    </w:lvl>
    <w:lvl w:ilvl="2" w:tentative="0">
      <w:start w:val="0"/>
      <w:numFmt w:val="bullet"/>
      <w:lvlText w:val="•"/>
      <w:lvlJc w:val="left"/>
      <w:pPr>
        <w:ind w:left="1140" w:hanging="634"/>
      </w:pPr>
      <w:rPr>
        <w:rFonts w:hint="default"/>
        <w:lang w:val="fr-FR" w:eastAsia="en-US" w:bidi="ar-SA"/>
      </w:rPr>
    </w:lvl>
    <w:lvl w:ilvl="3" w:tentative="0">
      <w:start w:val="0"/>
      <w:numFmt w:val="bullet"/>
      <w:lvlText w:val="•"/>
      <w:lvlJc w:val="left"/>
      <w:pPr>
        <w:ind w:left="2270" w:hanging="634"/>
      </w:pPr>
      <w:rPr>
        <w:rFonts w:hint="default"/>
        <w:lang w:val="fr-FR" w:eastAsia="en-US" w:bidi="ar-SA"/>
      </w:rPr>
    </w:lvl>
    <w:lvl w:ilvl="4" w:tentative="0">
      <w:start w:val="0"/>
      <w:numFmt w:val="bullet"/>
      <w:lvlText w:val="•"/>
      <w:lvlJc w:val="left"/>
      <w:pPr>
        <w:ind w:left="3401" w:hanging="634"/>
      </w:pPr>
      <w:rPr>
        <w:rFonts w:hint="default"/>
        <w:lang w:val="fr-FR" w:eastAsia="en-US" w:bidi="ar-SA"/>
      </w:rPr>
    </w:lvl>
    <w:lvl w:ilvl="5" w:tentative="0">
      <w:start w:val="0"/>
      <w:numFmt w:val="bullet"/>
      <w:lvlText w:val="•"/>
      <w:lvlJc w:val="left"/>
      <w:pPr>
        <w:ind w:left="4532" w:hanging="634"/>
      </w:pPr>
      <w:rPr>
        <w:rFonts w:hint="default"/>
        <w:lang w:val="fr-FR" w:eastAsia="en-US" w:bidi="ar-SA"/>
      </w:rPr>
    </w:lvl>
    <w:lvl w:ilvl="6" w:tentative="0">
      <w:start w:val="0"/>
      <w:numFmt w:val="bullet"/>
      <w:lvlText w:val="•"/>
      <w:lvlJc w:val="left"/>
      <w:pPr>
        <w:ind w:left="5663" w:hanging="634"/>
      </w:pPr>
      <w:rPr>
        <w:rFonts w:hint="default"/>
        <w:lang w:val="fr-FR" w:eastAsia="en-US" w:bidi="ar-SA"/>
      </w:rPr>
    </w:lvl>
    <w:lvl w:ilvl="7" w:tentative="0">
      <w:start w:val="0"/>
      <w:numFmt w:val="bullet"/>
      <w:lvlText w:val="•"/>
      <w:lvlJc w:val="left"/>
      <w:pPr>
        <w:ind w:left="6794" w:hanging="634"/>
      </w:pPr>
      <w:rPr>
        <w:rFonts w:hint="default"/>
        <w:lang w:val="fr-FR" w:eastAsia="en-US" w:bidi="ar-SA"/>
      </w:rPr>
    </w:lvl>
    <w:lvl w:ilvl="8" w:tentative="0">
      <w:start w:val="0"/>
      <w:numFmt w:val="bullet"/>
      <w:lvlText w:val="•"/>
      <w:lvlJc w:val="left"/>
      <w:pPr>
        <w:ind w:left="7924" w:hanging="634"/>
      </w:pPr>
      <w:rPr>
        <w:rFonts w:hint="default"/>
        <w:lang w:val="fr-FR" w:eastAsia="en-US" w:bidi="ar-SA"/>
      </w:rPr>
    </w:lvl>
  </w:abstractNum>
  <w:abstractNum w:abstractNumId="47">
    <w:nsid w:val="6945A2EA"/>
    <w:multiLevelType w:val="multilevel"/>
    <w:tmpl w:val="6945A2EA"/>
    <w:lvl w:ilvl="0" w:tentative="0">
      <w:start w:val="1"/>
      <w:numFmt w:val="decimal"/>
      <w:lvlText w:val="%1"/>
      <w:lvlJc w:val="left"/>
      <w:pPr>
        <w:ind w:left="573" w:hanging="274"/>
        <w:jc w:val="left"/>
      </w:pPr>
      <w:rPr>
        <w:rFonts w:hint="default" w:ascii="宋体" w:hAnsi="宋体" w:eastAsia="宋体" w:cs="宋体"/>
        <w:w w:val="100"/>
        <w:sz w:val="21"/>
        <w:szCs w:val="21"/>
        <w:lang w:val="fr-FR" w:eastAsia="en-US" w:bidi="ar-SA"/>
      </w:rPr>
    </w:lvl>
    <w:lvl w:ilvl="1" w:tentative="0">
      <w:start w:val="1"/>
      <w:numFmt w:val="decimal"/>
      <w:lvlText w:val="%1.%2"/>
      <w:lvlJc w:val="left"/>
      <w:pPr>
        <w:tabs>
          <w:tab w:val="left" w:pos="420"/>
        </w:tabs>
        <w:ind w:left="1113" w:hanging="634"/>
        <w:jc w:val="left"/>
      </w:pPr>
      <w:rPr>
        <w:rFonts w:hint="default" w:ascii="宋体" w:hAnsi="宋体" w:eastAsia="宋体" w:cs="宋体"/>
        <w:snapToGrid w:val="0"/>
        <w:spacing w:val="0"/>
        <w:w w:val="100"/>
        <w:sz w:val="21"/>
        <w:szCs w:val="21"/>
        <w:lang w:val="fr-FR" w:eastAsia="en-US" w:bidi="ar-SA"/>
      </w:rPr>
    </w:lvl>
    <w:lvl w:ilvl="2" w:tentative="0">
      <w:start w:val="0"/>
      <w:numFmt w:val="bullet"/>
      <w:lvlText w:val="•"/>
      <w:lvlJc w:val="left"/>
      <w:pPr>
        <w:ind w:left="1140" w:hanging="634"/>
      </w:pPr>
      <w:rPr>
        <w:rFonts w:hint="default"/>
        <w:lang w:val="fr-FR" w:eastAsia="en-US" w:bidi="ar-SA"/>
      </w:rPr>
    </w:lvl>
    <w:lvl w:ilvl="3" w:tentative="0">
      <w:start w:val="0"/>
      <w:numFmt w:val="bullet"/>
      <w:lvlText w:val="•"/>
      <w:lvlJc w:val="left"/>
      <w:pPr>
        <w:ind w:left="2270" w:hanging="634"/>
      </w:pPr>
      <w:rPr>
        <w:rFonts w:hint="default"/>
        <w:lang w:val="fr-FR" w:eastAsia="en-US" w:bidi="ar-SA"/>
      </w:rPr>
    </w:lvl>
    <w:lvl w:ilvl="4" w:tentative="0">
      <w:start w:val="0"/>
      <w:numFmt w:val="bullet"/>
      <w:lvlText w:val="•"/>
      <w:lvlJc w:val="left"/>
      <w:pPr>
        <w:ind w:left="3401" w:hanging="634"/>
      </w:pPr>
      <w:rPr>
        <w:rFonts w:hint="default"/>
        <w:lang w:val="fr-FR" w:eastAsia="en-US" w:bidi="ar-SA"/>
      </w:rPr>
    </w:lvl>
    <w:lvl w:ilvl="5" w:tentative="0">
      <w:start w:val="0"/>
      <w:numFmt w:val="bullet"/>
      <w:lvlText w:val="•"/>
      <w:lvlJc w:val="left"/>
      <w:pPr>
        <w:ind w:left="4532" w:hanging="634"/>
      </w:pPr>
      <w:rPr>
        <w:rFonts w:hint="default"/>
        <w:lang w:val="fr-FR" w:eastAsia="en-US" w:bidi="ar-SA"/>
      </w:rPr>
    </w:lvl>
    <w:lvl w:ilvl="6" w:tentative="0">
      <w:start w:val="0"/>
      <w:numFmt w:val="bullet"/>
      <w:lvlText w:val="•"/>
      <w:lvlJc w:val="left"/>
      <w:pPr>
        <w:ind w:left="5663" w:hanging="634"/>
      </w:pPr>
      <w:rPr>
        <w:rFonts w:hint="default"/>
        <w:lang w:val="fr-FR" w:eastAsia="en-US" w:bidi="ar-SA"/>
      </w:rPr>
    </w:lvl>
    <w:lvl w:ilvl="7" w:tentative="0">
      <w:start w:val="0"/>
      <w:numFmt w:val="bullet"/>
      <w:lvlText w:val="•"/>
      <w:lvlJc w:val="left"/>
      <w:pPr>
        <w:ind w:left="6794" w:hanging="634"/>
      </w:pPr>
      <w:rPr>
        <w:rFonts w:hint="default"/>
        <w:lang w:val="fr-FR" w:eastAsia="en-US" w:bidi="ar-SA"/>
      </w:rPr>
    </w:lvl>
    <w:lvl w:ilvl="8" w:tentative="0">
      <w:start w:val="0"/>
      <w:numFmt w:val="bullet"/>
      <w:lvlText w:val="•"/>
      <w:lvlJc w:val="left"/>
      <w:pPr>
        <w:ind w:left="7924" w:hanging="634"/>
      </w:pPr>
      <w:rPr>
        <w:rFonts w:hint="default"/>
        <w:lang w:val="fr-FR" w:eastAsia="en-US" w:bidi="ar-SA"/>
      </w:rPr>
    </w:lvl>
  </w:abstractNum>
  <w:abstractNum w:abstractNumId="48">
    <w:nsid w:val="6E3C30AD"/>
    <w:multiLevelType w:val="multilevel"/>
    <w:tmpl w:val="6E3C30AD"/>
    <w:lvl w:ilvl="0" w:tentative="0">
      <w:start w:val="6"/>
      <w:numFmt w:val="decimal"/>
      <w:lvlText w:val="%1"/>
      <w:lvlJc w:val="left"/>
      <w:pPr>
        <w:ind w:left="1041" w:hanging="526"/>
      </w:pPr>
      <w:rPr>
        <w:rFonts w:hint="default"/>
      </w:rPr>
    </w:lvl>
    <w:lvl w:ilvl="1" w:tentative="0">
      <w:start w:val="1"/>
      <w:numFmt w:val="decimal"/>
      <w:lvlText w:val="%1.%2"/>
      <w:lvlJc w:val="left"/>
      <w:pPr>
        <w:ind w:left="1041" w:hanging="526"/>
      </w:pPr>
      <w:rPr>
        <w:rFonts w:hint="default" w:ascii="黑体" w:hAnsi="黑体" w:eastAsia="黑体" w:cs="黑体"/>
        <w:spacing w:val="0"/>
        <w:w w:val="99"/>
        <w:sz w:val="21"/>
        <w:szCs w:val="21"/>
      </w:rPr>
    </w:lvl>
    <w:lvl w:ilvl="2" w:tentative="0">
      <w:start w:val="1"/>
      <w:numFmt w:val="decimal"/>
      <w:suff w:val="space"/>
      <w:lvlText w:val="%1.3.%3"/>
      <w:lvlJc w:val="left"/>
      <w:pPr>
        <w:ind w:left="232" w:hanging="735"/>
      </w:pPr>
      <w:rPr>
        <w:rFonts w:hint="default" w:ascii="黑体" w:hAnsi="黑体" w:eastAsia="黑体" w:cs="黑体"/>
        <w:spacing w:val="-2"/>
        <w:w w:val="99"/>
        <w:sz w:val="21"/>
        <w:szCs w:val="21"/>
      </w:rPr>
    </w:lvl>
    <w:lvl w:ilvl="3" w:tentative="0">
      <w:start w:val="0"/>
      <w:numFmt w:val="bullet"/>
      <w:lvlText w:val="•"/>
      <w:lvlJc w:val="left"/>
      <w:pPr>
        <w:ind w:left="3072" w:hanging="735"/>
      </w:pPr>
      <w:rPr>
        <w:rFonts w:hint="default"/>
      </w:rPr>
    </w:lvl>
    <w:lvl w:ilvl="4" w:tentative="0">
      <w:start w:val="0"/>
      <w:numFmt w:val="bullet"/>
      <w:lvlText w:val="•"/>
      <w:lvlJc w:val="left"/>
      <w:pPr>
        <w:ind w:left="4089" w:hanging="735"/>
      </w:pPr>
      <w:rPr>
        <w:rFonts w:hint="default"/>
      </w:rPr>
    </w:lvl>
    <w:lvl w:ilvl="5" w:tentative="0">
      <w:start w:val="0"/>
      <w:numFmt w:val="bullet"/>
      <w:lvlText w:val="•"/>
      <w:lvlJc w:val="left"/>
      <w:pPr>
        <w:ind w:left="5105" w:hanging="735"/>
      </w:pPr>
      <w:rPr>
        <w:rFonts w:hint="default"/>
      </w:rPr>
    </w:lvl>
    <w:lvl w:ilvl="6" w:tentative="0">
      <w:start w:val="0"/>
      <w:numFmt w:val="bullet"/>
      <w:lvlText w:val="•"/>
      <w:lvlJc w:val="left"/>
      <w:pPr>
        <w:ind w:left="6121" w:hanging="735"/>
      </w:pPr>
      <w:rPr>
        <w:rFonts w:hint="default"/>
      </w:rPr>
    </w:lvl>
    <w:lvl w:ilvl="7" w:tentative="0">
      <w:start w:val="0"/>
      <w:numFmt w:val="bullet"/>
      <w:lvlText w:val="•"/>
      <w:lvlJc w:val="left"/>
      <w:pPr>
        <w:ind w:left="7138" w:hanging="735"/>
      </w:pPr>
      <w:rPr>
        <w:rFonts w:hint="default"/>
      </w:rPr>
    </w:lvl>
    <w:lvl w:ilvl="8" w:tentative="0">
      <w:start w:val="0"/>
      <w:numFmt w:val="bullet"/>
      <w:lvlText w:val="•"/>
      <w:lvlJc w:val="left"/>
      <w:pPr>
        <w:ind w:left="8154" w:hanging="735"/>
      </w:pPr>
      <w:rPr>
        <w:rFonts w:hint="default"/>
      </w:rPr>
    </w:lvl>
  </w:abstractNum>
  <w:abstractNum w:abstractNumId="49">
    <w:nsid w:val="74547E84"/>
    <w:multiLevelType w:val="multilevel"/>
    <w:tmpl w:val="74547E84"/>
    <w:lvl w:ilvl="0" w:tentative="0">
      <w:start w:val="6"/>
      <w:numFmt w:val="decimal"/>
      <w:lvlText w:val="%1"/>
      <w:lvlJc w:val="left"/>
      <w:pPr>
        <w:ind w:left="758" w:hanging="526"/>
      </w:pPr>
      <w:rPr>
        <w:rFonts w:hint="default"/>
      </w:rPr>
    </w:lvl>
    <w:lvl w:ilvl="1" w:tentative="0">
      <w:start w:val="4"/>
      <w:numFmt w:val="decimal"/>
      <w:lvlText w:val="%1.%2"/>
      <w:lvlJc w:val="left"/>
      <w:pPr>
        <w:ind w:left="758" w:hanging="526"/>
      </w:pPr>
      <w:rPr>
        <w:rFonts w:hint="default" w:ascii="黑体" w:hAnsi="黑体" w:eastAsia="黑体" w:cs="黑体"/>
        <w:spacing w:val="0"/>
        <w:w w:val="99"/>
        <w:sz w:val="21"/>
        <w:szCs w:val="21"/>
      </w:rPr>
    </w:lvl>
    <w:lvl w:ilvl="2" w:tentative="0">
      <w:start w:val="1"/>
      <w:numFmt w:val="decimal"/>
      <w:lvlText w:val="%1.%2.%3"/>
      <w:lvlJc w:val="left"/>
      <w:pPr>
        <w:ind w:left="969" w:hanging="737"/>
      </w:pPr>
      <w:rPr>
        <w:rFonts w:hint="default" w:ascii="黑体" w:hAnsi="黑体" w:eastAsia="黑体" w:cs="黑体"/>
        <w:spacing w:val="-2"/>
        <w:w w:val="99"/>
        <w:sz w:val="21"/>
        <w:szCs w:val="21"/>
      </w:rPr>
    </w:lvl>
    <w:lvl w:ilvl="3" w:tentative="0">
      <w:start w:val="0"/>
      <w:numFmt w:val="bullet"/>
      <w:lvlText w:val="•"/>
      <w:lvlJc w:val="left"/>
      <w:pPr>
        <w:ind w:left="3010" w:hanging="737"/>
      </w:pPr>
      <w:rPr>
        <w:rFonts w:hint="default"/>
      </w:rPr>
    </w:lvl>
    <w:lvl w:ilvl="4" w:tentative="0">
      <w:start w:val="0"/>
      <w:numFmt w:val="bullet"/>
      <w:lvlText w:val="•"/>
      <w:lvlJc w:val="left"/>
      <w:pPr>
        <w:ind w:left="4035" w:hanging="737"/>
      </w:pPr>
      <w:rPr>
        <w:rFonts w:hint="default"/>
      </w:rPr>
    </w:lvl>
    <w:lvl w:ilvl="5" w:tentative="0">
      <w:start w:val="0"/>
      <w:numFmt w:val="bullet"/>
      <w:lvlText w:val="•"/>
      <w:lvlJc w:val="left"/>
      <w:pPr>
        <w:ind w:left="5060" w:hanging="737"/>
      </w:pPr>
      <w:rPr>
        <w:rFonts w:hint="default"/>
      </w:rPr>
    </w:lvl>
    <w:lvl w:ilvl="6" w:tentative="0">
      <w:start w:val="0"/>
      <w:numFmt w:val="bullet"/>
      <w:lvlText w:val="•"/>
      <w:lvlJc w:val="left"/>
      <w:pPr>
        <w:ind w:left="6086" w:hanging="737"/>
      </w:pPr>
      <w:rPr>
        <w:rFonts w:hint="default"/>
      </w:rPr>
    </w:lvl>
    <w:lvl w:ilvl="7" w:tentative="0">
      <w:start w:val="0"/>
      <w:numFmt w:val="bullet"/>
      <w:lvlText w:val="•"/>
      <w:lvlJc w:val="left"/>
      <w:pPr>
        <w:ind w:left="7111" w:hanging="737"/>
      </w:pPr>
      <w:rPr>
        <w:rFonts w:hint="default"/>
      </w:rPr>
    </w:lvl>
    <w:lvl w:ilvl="8" w:tentative="0">
      <w:start w:val="0"/>
      <w:numFmt w:val="bullet"/>
      <w:lvlText w:val="•"/>
      <w:lvlJc w:val="left"/>
      <w:pPr>
        <w:ind w:left="8136" w:hanging="737"/>
      </w:pPr>
      <w:rPr>
        <w:rFonts w:hint="default"/>
      </w:rPr>
    </w:lvl>
  </w:abstractNum>
  <w:abstractNum w:abstractNumId="50">
    <w:nsid w:val="769D3D7B"/>
    <w:multiLevelType w:val="multilevel"/>
    <w:tmpl w:val="769D3D7B"/>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abstractNum w:abstractNumId="51">
    <w:nsid w:val="7B3881E5"/>
    <w:multiLevelType w:val="multilevel"/>
    <w:tmpl w:val="7B3881E5"/>
    <w:lvl w:ilvl="0" w:tentative="0">
      <w:start w:val="1"/>
      <w:numFmt w:val="lowerLetter"/>
      <w:lvlText w:val="%1)"/>
      <w:lvlJc w:val="left"/>
      <w:pPr>
        <w:ind w:left="1139" w:hanging="420"/>
        <w:jc w:val="left"/>
      </w:pPr>
      <w:rPr>
        <w:rFonts w:hint="default" w:ascii="宋体" w:hAnsi="宋体" w:eastAsia="宋体" w:cs="宋体"/>
        <w:w w:val="100"/>
        <w:sz w:val="21"/>
        <w:szCs w:val="21"/>
        <w:lang w:val="fr-FR" w:eastAsia="en-US" w:bidi="ar-SA"/>
      </w:rPr>
    </w:lvl>
    <w:lvl w:ilvl="1" w:tentative="0">
      <w:start w:val="0"/>
      <w:numFmt w:val="bullet"/>
      <w:lvlText w:val="•"/>
      <w:lvlJc w:val="left"/>
      <w:pPr>
        <w:ind w:left="2044" w:hanging="420"/>
      </w:pPr>
      <w:rPr>
        <w:rFonts w:hint="default"/>
        <w:lang w:val="fr-FR" w:eastAsia="en-US" w:bidi="ar-SA"/>
      </w:rPr>
    </w:lvl>
    <w:lvl w:ilvl="2" w:tentative="0">
      <w:start w:val="0"/>
      <w:numFmt w:val="bullet"/>
      <w:lvlText w:val="•"/>
      <w:lvlJc w:val="left"/>
      <w:pPr>
        <w:ind w:left="2949" w:hanging="420"/>
      </w:pPr>
      <w:rPr>
        <w:rFonts w:hint="default"/>
        <w:lang w:val="fr-FR" w:eastAsia="en-US" w:bidi="ar-SA"/>
      </w:rPr>
    </w:lvl>
    <w:lvl w:ilvl="3" w:tentative="0">
      <w:start w:val="0"/>
      <w:numFmt w:val="bullet"/>
      <w:lvlText w:val="•"/>
      <w:lvlJc w:val="left"/>
      <w:pPr>
        <w:ind w:left="3853" w:hanging="420"/>
      </w:pPr>
      <w:rPr>
        <w:rFonts w:hint="default"/>
        <w:lang w:val="fr-FR" w:eastAsia="en-US" w:bidi="ar-SA"/>
      </w:rPr>
    </w:lvl>
    <w:lvl w:ilvl="4" w:tentative="0">
      <w:start w:val="0"/>
      <w:numFmt w:val="bullet"/>
      <w:lvlText w:val="•"/>
      <w:lvlJc w:val="left"/>
      <w:pPr>
        <w:ind w:left="4758" w:hanging="420"/>
      </w:pPr>
      <w:rPr>
        <w:rFonts w:hint="default"/>
        <w:lang w:val="fr-FR" w:eastAsia="en-US" w:bidi="ar-SA"/>
      </w:rPr>
    </w:lvl>
    <w:lvl w:ilvl="5" w:tentative="0">
      <w:start w:val="0"/>
      <w:numFmt w:val="bullet"/>
      <w:lvlText w:val="•"/>
      <w:lvlJc w:val="left"/>
      <w:pPr>
        <w:ind w:left="5663" w:hanging="420"/>
      </w:pPr>
      <w:rPr>
        <w:rFonts w:hint="default"/>
        <w:lang w:val="fr-FR" w:eastAsia="en-US" w:bidi="ar-SA"/>
      </w:rPr>
    </w:lvl>
    <w:lvl w:ilvl="6" w:tentative="0">
      <w:start w:val="0"/>
      <w:numFmt w:val="bullet"/>
      <w:lvlText w:val="•"/>
      <w:lvlJc w:val="left"/>
      <w:pPr>
        <w:ind w:left="6567" w:hanging="420"/>
      </w:pPr>
      <w:rPr>
        <w:rFonts w:hint="default"/>
        <w:lang w:val="fr-FR" w:eastAsia="en-US" w:bidi="ar-SA"/>
      </w:rPr>
    </w:lvl>
    <w:lvl w:ilvl="7" w:tentative="0">
      <w:start w:val="0"/>
      <w:numFmt w:val="bullet"/>
      <w:lvlText w:val="•"/>
      <w:lvlJc w:val="left"/>
      <w:pPr>
        <w:ind w:left="7472" w:hanging="420"/>
      </w:pPr>
      <w:rPr>
        <w:rFonts w:hint="default"/>
        <w:lang w:val="fr-FR" w:eastAsia="en-US" w:bidi="ar-SA"/>
      </w:rPr>
    </w:lvl>
    <w:lvl w:ilvl="8" w:tentative="0">
      <w:start w:val="0"/>
      <w:numFmt w:val="bullet"/>
      <w:lvlText w:val="•"/>
      <w:lvlJc w:val="left"/>
      <w:pPr>
        <w:ind w:left="8377" w:hanging="420"/>
      </w:pPr>
      <w:rPr>
        <w:rFonts w:hint="default"/>
        <w:lang w:val="fr-FR" w:eastAsia="en-US" w:bidi="ar-SA"/>
      </w:rPr>
    </w:lvl>
  </w:abstractNum>
  <w:num w:numId="1">
    <w:abstractNumId w:val="35"/>
  </w:num>
  <w:num w:numId="2">
    <w:abstractNumId w:val="40"/>
  </w:num>
  <w:num w:numId="3">
    <w:abstractNumId w:val="23"/>
  </w:num>
  <w:num w:numId="4">
    <w:abstractNumId w:val="30"/>
  </w:num>
  <w:num w:numId="5">
    <w:abstractNumId w:val="25"/>
  </w:num>
  <w:num w:numId="6">
    <w:abstractNumId w:val="2"/>
  </w:num>
  <w:num w:numId="7">
    <w:abstractNumId w:val="45"/>
  </w:num>
  <w:num w:numId="8">
    <w:abstractNumId w:val="24"/>
  </w:num>
  <w:num w:numId="9">
    <w:abstractNumId w:val="9"/>
  </w:num>
  <w:num w:numId="10">
    <w:abstractNumId w:val="22"/>
  </w:num>
  <w:num w:numId="11">
    <w:abstractNumId w:val="34"/>
  </w:num>
  <w:num w:numId="12">
    <w:abstractNumId w:val="20"/>
  </w:num>
  <w:num w:numId="13">
    <w:abstractNumId w:val="15"/>
  </w:num>
  <w:num w:numId="14">
    <w:abstractNumId w:val="0"/>
  </w:num>
  <w:num w:numId="15">
    <w:abstractNumId w:val="51"/>
  </w:num>
  <w:num w:numId="16">
    <w:abstractNumId w:val="3"/>
  </w:num>
  <w:num w:numId="17">
    <w:abstractNumId w:val="32"/>
  </w:num>
  <w:num w:numId="18">
    <w:abstractNumId w:val="39"/>
  </w:num>
  <w:num w:numId="19">
    <w:abstractNumId w:val="50"/>
  </w:num>
  <w:num w:numId="20">
    <w:abstractNumId w:val="1"/>
  </w:num>
  <w:num w:numId="21">
    <w:abstractNumId w:val="18"/>
  </w:num>
  <w:num w:numId="22">
    <w:abstractNumId w:val="10"/>
  </w:num>
  <w:num w:numId="23">
    <w:abstractNumId w:val="16"/>
  </w:num>
  <w:num w:numId="24">
    <w:abstractNumId w:val="12"/>
  </w:num>
  <w:num w:numId="25">
    <w:abstractNumId w:val="19"/>
  </w:num>
  <w:num w:numId="26">
    <w:abstractNumId w:val="5"/>
  </w:num>
  <w:num w:numId="27">
    <w:abstractNumId w:val="17"/>
  </w:num>
  <w:num w:numId="28">
    <w:abstractNumId w:val="14"/>
  </w:num>
  <w:num w:numId="29">
    <w:abstractNumId w:val="47"/>
  </w:num>
  <w:num w:numId="30">
    <w:abstractNumId w:val="11"/>
  </w:num>
  <w:num w:numId="31">
    <w:abstractNumId w:val="6"/>
  </w:num>
  <w:num w:numId="32">
    <w:abstractNumId w:val="46"/>
  </w:num>
  <w:num w:numId="33">
    <w:abstractNumId w:val="8"/>
  </w:num>
  <w:num w:numId="34">
    <w:abstractNumId w:val="7"/>
  </w:num>
  <w:num w:numId="35">
    <w:abstractNumId w:val="42"/>
  </w:num>
  <w:num w:numId="36">
    <w:abstractNumId w:val="48"/>
  </w:num>
  <w:num w:numId="37">
    <w:abstractNumId w:val="49"/>
  </w:num>
  <w:num w:numId="38">
    <w:abstractNumId w:val="41"/>
  </w:num>
  <w:num w:numId="39">
    <w:abstractNumId w:val="37"/>
  </w:num>
  <w:num w:numId="40">
    <w:abstractNumId w:val="44"/>
  </w:num>
  <w:num w:numId="41">
    <w:abstractNumId w:val="29"/>
  </w:num>
  <w:num w:numId="42">
    <w:abstractNumId w:val="36"/>
  </w:num>
  <w:num w:numId="43">
    <w:abstractNumId w:val="38"/>
  </w:num>
  <w:num w:numId="44">
    <w:abstractNumId w:val="21"/>
  </w:num>
  <w:num w:numId="45">
    <w:abstractNumId w:val="26"/>
  </w:num>
  <w:num w:numId="46">
    <w:abstractNumId w:val="43"/>
  </w:num>
  <w:num w:numId="47">
    <w:abstractNumId w:val="28"/>
  </w:num>
  <w:num w:numId="48">
    <w:abstractNumId w:val="31"/>
  </w:num>
  <w:num w:numId="49">
    <w:abstractNumId w:val="4"/>
  </w:num>
  <w:num w:numId="50">
    <w:abstractNumId w:val="13"/>
  </w:num>
  <w:num w:numId="51">
    <w:abstractNumId w:val="33"/>
  </w:num>
  <w:num w:numId="5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2OTZiNGJhMDNlMjhjM2NhZTdhNWY1NGRlZDlhZjMifQ=="/>
  </w:docVars>
  <w:rsids>
    <w:rsidRoot w:val="00C37D77"/>
    <w:rsid w:val="00006FDF"/>
    <w:rsid w:val="001315D9"/>
    <w:rsid w:val="00C37D77"/>
    <w:rsid w:val="00C61B48"/>
    <w:rsid w:val="01203071"/>
    <w:rsid w:val="013048A9"/>
    <w:rsid w:val="013C690E"/>
    <w:rsid w:val="02181129"/>
    <w:rsid w:val="027345B1"/>
    <w:rsid w:val="03F90AE6"/>
    <w:rsid w:val="049368E6"/>
    <w:rsid w:val="04F27A0F"/>
    <w:rsid w:val="06D35191"/>
    <w:rsid w:val="08884D85"/>
    <w:rsid w:val="08A437ED"/>
    <w:rsid w:val="08A81E50"/>
    <w:rsid w:val="08C711B3"/>
    <w:rsid w:val="091A12E3"/>
    <w:rsid w:val="0AB16A13"/>
    <w:rsid w:val="0ACF4781"/>
    <w:rsid w:val="0B2E5519"/>
    <w:rsid w:val="0B4C599F"/>
    <w:rsid w:val="0BF62499"/>
    <w:rsid w:val="0C1C1816"/>
    <w:rsid w:val="0CD07C62"/>
    <w:rsid w:val="0D692839"/>
    <w:rsid w:val="105E41AB"/>
    <w:rsid w:val="11067B0D"/>
    <w:rsid w:val="110805BA"/>
    <w:rsid w:val="1122080A"/>
    <w:rsid w:val="11E81147"/>
    <w:rsid w:val="12F928B1"/>
    <w:rsid w:val="12FD15EB"/>
    <w:rsid w:val="134B17E0"/>
    <w:rsid w:val="14493449"/>
    <w:rsid w:val="14611BBB"/>
    <w:rsid w:val="16077093"/>
    <w:rsid w:val="161F43DC"/>
    <w:rsid w:val="16781D3E"/>
    <w:rsid w:val="16C84A74"/>
    <w:rsid w:val="176B1001"/>
    <w:rsid w:val="18334C8B"/>
    <w:rsid w:val="18335F1D"/>
    <w:rsid w:val="185D11EC"/>
    <w:rsid w:val="186E51A7"/>
    <w:rsid w:val="192B3098"/>
    <w:rsid w:val="198C6648"/>
    <w:rsid w:val="19D84FCE"/>
    <w:rsid w:val="1BE0016A"/>
    <w:rsid w:val="1C365FDC"/>
    <w:rsid w:val="1C873AE4"/>
    <w:rsid w:val="1CBF6A46"/>
    <w:rsid w:val="1D0E0D07"/>
    <w:rsid w:val="1EAE3655"/>
    <w:rsid w:val="1EBF49AE"/>
    <w:rsid w:val="1EC671B0"/>
    <w:rsid w:val="1F647304"/>
    <w:rsid w:val="1FE254EC"/>
    <w:rsid w:val="20115337"/>
    <w:rsid w:val="213276BA"/>
    <w:rsid w:val="219A0DBB"/>
    <w:rsid w:val="21B300CF"/>
    <w:rsid w:val="220D0A96"/>
    <w:rsid w:val="227C04F3"/>
    <w:rsid w:val="22F664C5"/>
    <w:rsid w:val="233045EE"/>
    <w:rsid w:val="235356C5"/>
    <w:rsid w:val="23BE0FA1"/>
    <w:rsid w:val="23DF164F"/>
    <w:rsid w:val="243E6375"/>
    <w:rsid w:val="24EA2C30"/>
    <w:rsid w:val="25793541"/>
    <w:rsid w:val="26C40BDF"/>
    <w:rsid w:val="26DE44CA"/>
    <w:rsid w:val="270216C1"/>
    <w:rsid w:val="27076EF2"/>
    <w:rsid w:val="2756636D"/>
    <w:rsid w:val="27A71DA1"/>
    <w:rsid w:val="27F82CDF"/>
    <w:rsid w:val="28506677"/>
    <w:rsid w:val="28AA3FD9"/>
    <w:rsid w:val="290A4A78"/>
    <w:rsid w:val="29567CBD"/>
    <w:rsid w:val="29D56180"/>
    <w:rsid w:val="29E5576E"/>
    <w:rsid w:val="29F47D43"/>
    <w:rsid w:val="2A0761AD"/>
    <w:rsid w:val="2A225799"/>
    <w:rsid w:val="2B7638B1"/>
    <w:rsid w:val="2C1B08C7"/>
    <w:rsid w:val="2C876DF2"/>
    <w:rsid w:val="2CB424B1"/>
    <w:rsid w:val="2CEA709A"/>
    <w:rsid w:val="2D142369"/>
    <w:rsid w:val="2D3C0C59"/>
    <w:rsid w:val="2DAC25A2"/>
    <w:rsid w:val="2DEA7ADC"/>
    <w:rsid w:val="2F464EC1"/>
    <w:rsid w:val="2F7E0CFF"/>
    <w:rsid w:val="2FB43990"/>
    <w:rsid w:val="2FCD1DB8"/>
    <w:rsid w:val="307C099F"/>
    <w:rsid w:val="312D39F9"/>
    <w:rsid w:val="32A26042"/>
    <w:rsid w:val="331D184C"/>
    <w:rsid w:val="336F654B"/>
    <w:rsid w:val="33977850"/>
    <w:rsid w:val="33A855B9"/>
    <w:rsid w:val="34594B05"/>
    <w:rsid w:val="34D0301A"/>
    <w:rsid w:val="35BD08AE"/>
    <w:rsid w:val="36D6789E"/>
    <w:rsid w:val="373553B6"/>
    <w:rsid w:val="37C130EE"/>
    <w:rsid w:val="38180BB7"/>
    <w:rsid w:val="384635F3"/>
    <w:rsid w:val="38FB262F"/>
    <w:rsid w:val="39331EE0"/>
    <w:rsid w:val="3A1A78CD"/>
    <w:rsid w:val="3A2E433E"/>
    <w:rsid w:val="3A396F6B"/>
    <w:rsid w:val="3B0E664A"/>
    <w:rsid w:val="3CC176EC"/>
    <w:rsid w:val="3D26492B"/>
    <w:rsid w:val="3D271561"/>
    <w:rsid w:val="3D8A73BA"/>
    <w:rsid w:val="3DE64C55"/>
    <w:rsid w:val="3F00274D"/>
    <w:rsid w:val="3F79605C"/>
    <w:rsid w:val="3FB90447"/>
    <w:rsid w:val="3FE060DB"/>
    <w:rsid w:val="40330901"/>
    <w:rsid w:val="408342D0"/>
    <w:rsid w:val="40C32C93"/>
    <w:rsid w:val="40E1460B"/>
    <w:rsid w:val="412E090F"/>
    <w:rsid w:val="41760102"/>
    <w:rsid w:val="41D43A1D"/>
    <w:rsid w:val="42B31885"/>
    <w:rsid w:val="43253A06"/>
    <w:rsid w:val="43727992"/>
    <w:rsid w:val="437F257F"/>
    <w:rsid w:val="43E93E74"/>
    <w:rsid w:val="44E406A6"/>
    <w:rsid w:val="450B3BFA"/>
    <w:rsid w:val="457F49CD"/>
    <w:rsid w:val="461B1C1B"/>
    <w:rsid w:val="463133CC"/>
    <w:rsid w:val="463E3B5B"/>
    <w:rsid w:val="46B53E1D"/>
    <w:rsid w:val="46BB0BF6"/>
    <w:rsid w:val="47176997"/>
    <w:rsid w:val="475C073D"/>
    <w:rsid w:val="47C85DD2"/>
    <w:rsid w:val="491815D5"/>
    <w:rsid w:val="49374FBE"/>
    <w:rsid w:val="49E36EF3"/>
    <w:rsid w:val="4A2604A3"/>
    <w:rsid w:val="4B663938"/>
    <w:rsid w:val="4B7E5C76"/>
    <w:rsid w:val="4BB072A9"/>
    <w:rsid w:val="4D4822F8"/>
    <w:rsid w:val="4E465DE4"/>
    <w:rsid w:val="4E7B3B9E"/>
    <w:rsid w:val="4EE74D90"/>
    <w:rsid w:val="4EFB714D"/>
    <w:rsid w:val="4F253B0A"/>
    <w:rsid w:val="4F626B0C"/>
    <w:rsid w:val="500B0F52"/>
    <w:rsid w:val="50817C57"/>
    <w:rsid w:val="522B4F1F"/>
    <w:rsid w:val="52EF06B7"/>
    <w:rsid w:val="52F61A46"/>
    <w:rsid w:val="53A414A2"/>
    <w:rsid w:val="54FB1595"/>
    <w:rsid w:val="5541617F"/>
    <w:rsid w:val="56DA7B56"/>
    <w:rsid w:val="56EC75E2"/>
    <w:rsid w:val="575E405D"/>
    <w:rsid w:val="57E50066"/>
    <w:rsid w:val="58362703"/>
    <w:rsid w:val="583B614D"/>
    <w:rsid w:val="587658CB"/>
    <w:rsid w:val="588C0756"/>
    <w:rsid w:val="58AB797F"/>
    <w:rsid w:val="58E80D86"/>
    <w:rsid w:val="58EA1FD3"/>
    <w:rsid w:val="5A026F22"/>
    <w:rsid w:val="5A0626FA"/>
    <w:rsid w:val="5AC93EE4"/>
    <w:rsid w:val="5CA42512"/>
    <w:rsid w:val="5D2E44D2"/>
    <w:rsid w:val="5FBF5B4F"/>
    <w:rsid w:val="5FE61B61"/>
    <w:rsid w:val="607B7A2E"/>
    <w:rsid w:val="61317B79"/>
    <w:rsid w:val="61842584"/>
    <w:rsid w:val="61E41603"/>
    <w:rsid w:val="62116225"/>
    <w:rsid w:val="63312626"/>
    <w:rsid w:val="63596739"/>
    <w:rsid w:val="63CB1B0C"/>
    <w:rsid w:val="649726F7"/>
    <w:rsid w:val="64F47DAF"/>
    <w:rsid w:val="650616A4"/>
    <w:rsid w:val="65AF62ED"/>
    <w:rsid w:val="6757603E"/>
    <w:rsid w:val="6779459B"/>
    <w:rsid w:val="6874548F"/>
    <w:rsid w:val="690C3919"/>
    <w:rsid w:val="694F6D15"/>
    <w:rsid w:val="69D1193E"/>
    <w:rsid w:val="6B8C2AEF"/>
    <w:rsid w:val="6C5973F9"/>
    <w:rsid w:val="6C8154C6"/>
    <w:rsid w:val="6CEF5734"/>
    <w:rsid w:val="6D513FA2"/>
    <w:rsid w:val="6E8B3532"/>
    <w:rsid w:val="6EE314B3"/>
    <w:rsid w:val="6F7B6244"/>
    <w:rsid w:val="6F975459"/>
    <w:rsid w:val="71893DC4"/>
    <w:rsid w:val="71E116BB"/>
    <w:rsid w:val="73871051"/>
    <w:rsid w:val="73B7298B"/>
    <w:rsid w:val="73C51294"/>
    <w:rsid w:val="73D37457"/>
    <w:rsid w:val="74007AE4"/>
    <w:rsid w:val="74723FAF"/>
    <w:rsid w:val="755F3023"/>
    <w:rsid w:val="75AD3381"/>
    <w:rsid w:val="75BA64AB"/>
    <w:rsid w:val="75CA2B92"/>
    <w:rsid w:val="76171B4F"/>
    <w:rsid w:val="761958C7"/>
    <w:rsid w:val="762A3631"/>
    <w:rsid w:val="76607052"/>
    <w:rsid w:val="76EF32FC"/>
    <w:rsid w:val="774E487B"/>
    <w:rsid w:val="77811976"/>
    <w:rsid w:val="78047EB1"/>
    <w:rsid w:val="79AA6A9C"/>
    <w:rsid w:val="79E41D48"/>
    <w:rsid w:val="79E73428"/>
    <w:rsid w:val="7A016D9E"/>
    <w:rsid w:val="7A286917"/>
    <w:rsid w:val="7A506DD9"/>
    <w:rsid w:val="7B045647"/>
    <w:rsid w:val="7BF071E2"/>
    <w:rsid w:val="7C6B6751"/>
    <w:rsid w:val="7E573431"/>
    <w:rsid w:val="7E681F5F"/>
    <w:rsid w:val="7F5D4A77"/>
    <w:rsid w:val="7F941B43"/>
    <w:rsid w:val="7FA168D4"/>
    <w:rsid w:val="7FC93EBA"/>
    <w:rsid w:val="7FF44CF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next w:val="1"/>
    <w:unhideWhenUsed/>
    <w:qFormat/>
    <w:uiPriority w:val="0"/>
    <w:pPr>
      <w:keepNext/>
      <w:keepLines/>
      <w:widowControl w:val="0"/>
      <w:spacing w:before="260" w:beforeLines="0" w:beforeAutospacing="0" w:after="260" w:afterLines="0" w:afterAutospacing="0" w:line="413" w:lineRule="auto"/>
      <w:jc w:val="both"/>
      <w:outlineLvl w:val="1"/>
    </w:pPr>
    <w:rPr>
      <w:rFonts w:ascii="Arial" w:hAnsi="Arial" w:eastAsia="黑体" w:cs="Times New Roman"/>
      <w:b/>
      <w:kern w:val="2"/>
      <w:sz w:val="32"/>
      <w:szCs w:val="24"/>
      <w:lang w:val="en-US" w:eastAsia="zh-CN" w:bidi="ar-SA"/>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uiPriority w:val="0"/>
    <w:pPr>
      <w:jc w:val="left"/>
    </w:pPr>
  </w:style>
  <w:style w:type="paragraph" w:styleId="5">
    <w:name w:val="Body Text"/>
    <w:basedOn w:val="1"/>
    <w:qFormat/>
    <w:uiPriority w:val="1"/>
    <w:rPr>
      <w:sz w:val="21"/>
      <w:szCs w:val="21"/>
    </w:rPr>
  </w:style>
  <w:style w:type="paragraph" w:styleId="6">
    <w:name w:val="footer"/>
    <w:basedOn w:val="1"/>
    <w:link w:val="12"/>
    <w:uiPriority w:val="0"/>
    <w:pPr>
      <w:tabs>
        <w:tab w:val="center" w:pos="4153"/>
        <w:tab w:val="right" w:pos="8306"/>
      </w:tabs>
      <w:snapToGrid w:val="0"/>
      <w:jc w:val="left"/>
    </w:pPr>
    <w:rPr>
      <w:sz w:val="18"/>
      <w:szCs w:val="18"/>
    </w:rPr>
  </w:style>
  <w:style w:type="paragraph" w:styleId="7">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8">
    <w:name w:val="Normal (Web)"/>
    <w:unhideWhenUsed/>
    <w:qFormat/>
    <w:uiPriority w:val="0"/>
    <w:pPr>
      <w:widowControl/>
      <w:spacing w:before="100" w:beforeAutospacing="1" w:after="100" w:afterAutospacing="1"/>
      <w:jc w:val="left"/>
    </w:pPr>
    <w:rPr>
      <w:rFonts w:ascii="宋体" w:hAnsi="宋体" w:eastAsia="宋体" w:cs="宋体"/>
      <w:kern w:val="0"/>
      <w:sz w:val="24"/>
      <w:szCs w:val="24"/>
      <w:lang w:val="en-US" w:eastAsia="zh-CN" w:bidi="ar-SA"/>
    </w:rPr>
  </w:style>
  <w:style w:type="table" w:styleId="10">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脚 Char"/>
    <w:basedOn w:val="11"/>
    <w:link w:val="6"/>
    <w:uiPriority w:val="0"/>
    <w:rPr>
      <w:rFonts w:ascii="Calibri" w:hAnsi="Calibri"/>
      <w:kern w:val="2"/>
      <w:sz w:val="18"/>
      <w:szCs w:val="18"/>
    </w:rPr>
  </w:style>
  <w:style w:type="character" w:customStyle="1" w:styleId="13">
    <w:name w:val="页眉 Char"/>
    <w:basedOn w:val="11"/>
    <w:link w:val="7"/>
    <w:uiPriority w:val="0"/>
    <w:rPr>
      <w:rFonts w:ascii="Calibri" w:hAnsi="Calibri"/>
      <w:kern w:val="2"/>
      <w:sz w:val="18"/>
      <w:szCs w:val="18"/>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customStyle="1" w:styleId="15">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6">
    <w:name w:val="其他标准标志"/>
    <w:basedOn w:val="17"/>
    <w:qFormat/>
    <w:uiPriority w:val="0"/>
    <w:pPr>
      <w:framePr w:w="6101" w:wrap="around" w:vAnchor="page" w:hAnchor="page" w:x="4673" w:y="942"/>
    </w:pPr>
    <w:rPr>
      <w:w w:val="130"/>
    </w:rPr>
  </w:style>
  <w:style w:type="paragraph" w:customStyle="1" w:styleId="17">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20">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21">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2">
    <w:name w:val="封面标准英文名称"/>
    <w:basedOn w:val="21"/>
    <w:qFormat/>
    <w:uiPriority w:val="0"/>
    <w:pPr>
      <w:framePr w:wrap="around"/>
      <w:spacing w:before="370" w:line="400" w:lineRule="exact"/>
    </w:pPr>
    <w:rPr>
      <w:rFonts w:ascii="Times New Roman"/>
      <w:sz w:val="28"/>
      <w:szCs w:val="28"/>
    </w:rPr>
  </w:style>
  <w:style w:type="paragraph" w:customStyle="1" w:styleId="23">
    <w:name w:val="封面一致性程度标识"/>
    <w:basedOn w:val="22"/>
    <w:qFormat/>
    <w:uiPriority w:val="0"/>
    <w:pPr>
      <w:framePr w:wrap="around"/>
      <w:spacing w:before="440"/>
    </w:pPr>
    <w:rPr>
      <w:rFonts w:ascii="宋体" w:eastAsia="宋体"/>
    </w:rPr>
  </w:style>
  <w:style w:type="paragraph" w:customStyle="1" w:styleId="24">
    <w:name w:val="封面标准文稿类别"/>
    <w:basedOn w:val="23"/>
    <w:qFormat/>
    <w:uiPriority w:val="0"/>
    <w:pPr>
      <w:framePr w:wrap="around"/>
      <w:spacing w:after="160" w:line="240" w:lineRule="auto"/>
    </w:pPr>
    <w:rPr>
      <w:sz w:val="24"/>
    </w:rPr>
  </w:style>
  <w:style w:type="paragraph" w:customStyle="1" w:styleId="25">
    <w:name w:val="封面标准文稿编辑信息"/>
    <w:basedOn w:val="24"/>
    <w:qFormat/>
    <w:uiPriority w:val="0"/>
    <w:pPr>
      <w:framePr w:wrap="around"/>
      <w:spacing w:before="180" w:line="180" w:lineRule="exact"/>
    </w:pPr>
    <w:rPr>
      <w:sz w:val="21"/>
    </w:rPr>
  </w:style>
  <w:style w:type="paragraph" w:customStyle="1" w:styleId="26">
    <w:name w:val="其他发布日期"/>
    <w:basedOn w:val="27"/>
    <w:qFormat/>
    <w:uiPriority w:val="0"/>
    <w:pPr>
      <w:framePr w:wrap="around" w:vAnchor="page" w:hAnchor="text" w:x="1419"/>
    </w:pPr>
  </w:style>
  <w:style w:type="paragraph" w:customStyle="1" w:styleId="27">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28">
    <w:name w:val="其他实施日期"/>
    <w:basedOn w:val="29"/>
    <w:qFormat/>
    <w:uiPriority w:val="0"/>
    <w:pPr>
      <w:framePr w:wrap="around"/>
    </w:pPr>
  </w:style>
  <w:style w:type="paragraph" w:customStyle="1" w:styleId="29">
    <w:name w:val="实施日期"/>
    <w:basedOn w:val="27"/>
    <w:qFormat/>
    <w:uiPriority w:val="0"/>
    <w:pPr>
      <w:framePr w:wrap="around" w:vAnchor="page" w:hAnchor="text"/>
      <w:jc w:val="right"/>
    </w:pPr>
  </w:style>
  <w:style w:type="paragraph" w:customStyle="1" w:styleId="30">
    <w:name w:val="其他发布部门"/>
    <w:basedOn w:val="31"/>
    <w:qFormat/>
    <w:uiPriority w:val="0"/>
    <w:pPr>
      <w:framePr w:wrap="around" w:y="15310"/>
      <w:spacing w:line="0" w:lineRule="atLeast"/>
    </w:pPr>
    <w:rPr>
      <w:rFonts w:ascii="黑体" w:eastAsia="黑体"/>
    </w:rPr>
  </w:style>
  <w:style w:type="paragraph" w:customStyle="1" w:styleId="31">
    <w:name w:val="发布部门"/>
    <w:next w:val="32"/>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3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3">
    <w:name w:val="发布"/>
    <w:basedOn w:val="11"/>
    <w:qFormat/>
    <w:uiPriority w:val="0"/>
    <w:rPr>
      <w:rFonts w:ascii="黑体" w:eastAsia="黑体"/>
      <w:spacing w:val="85"/>
      <w:w w:val="100"/>
      <w:position w:val="3"/>
      <w:sz w:val="28"/>
      <w:szCs w:val="28"/>
    </w:rPr>
  </w:style>
  <w:style w:type="paragraph" w:styleId="34">
    <w:name w:val="List Paragraph"/>
    <w:qFormat/>
    <w:uiPriority w:val="1"/>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35">
    <w:name w:val="一级条标题"/>
    <w:next w:val="1"/>
    <w:uiPriority w:val="0"/>
    <w:pPr>
      <w:spacing w:before="156" w:beforeLines="50" w:after="156" w:afterLines="50" w:line="0" w:lineRule="atLeast"/>
      <w:jc w:val="distribute"/>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header" Target="header5.xml"/><Relationship Id="rId79" Type="http://schemas.openxmlformats.org/officeDocument/2006/relationships/customXml" Target="../customXml/item1.xml"/><Relationship Id="rId78" Type="http://schemas.openxmlformats.org/officeDocument/2006/relationships/oleObject" Target="embeddings/oleObject2.bin"/><Relationship Id="rId77" Type="http://schemas.openxmlformats.org/officeDocument/2006/relationships/image" Target="media/image2.png"/><Relationship Id="rId76" Type="http://schemas.openxmlformats.org/officeDocument/2006/relationships/image" Target="media/image1.emf"/><Relationship Id="rId75" Type="http://schemas.openxmlformats.org/officeDocument/2006/relationships/oleObject" Target="embeddings/oleObject1.bin"/><Relationship Id="rId74" Type="http://schemas.openxmlformats.org/officeDocument/2006/relationships/theme" Target="theme/theme1.xml"/><Relationship Id="rId73" Type="http://schemas.openxmlformats.org/officeDocument/2006/relationships/footer" Target="footer40.xml"/><Relationship Id="rId72" Type="http://schemas.openxmlformats.org/officeDocument/2006/relationships/footer" Target="footer39.xml"/><Relationship Id="rId71" Type="http://schemas.openxmlformats.org/officeDocument/2006/relationships/footer" Target="footer38.xml"/><Relationship Id="rId70" Type="http://schemas.openxmlformats.org/officeDocument/2006/relationships/footer" Target="footer37.xml"/><Relationship Id="rId7" Type="http://schemas.openxmlformats.org/officeDocument/2006/relationships/header" Target="header4.xml"/><Relationship Id="rId69" Type="http://schemas.openxmlformats.org/officeDocument/2006/relationships/footer" Target="footer36.xml"/><Relationship Id="rId68" Type="http://schemas.openxmlformats.org/officeDocument/2006/relationships/footer" Target="footer35.xml"/><Relationship Id="rId67" Type="http://schemas.openxmlformats.org/officeDocument/2006/relationships/header" Target="header31.xml"/><Relationship Id="rId66" Type="http://schemas.openxmlformats.org/officeDocument/2006/relationships/header" Target="header30.xml"/><Relationship Id="rId65" Type="http://schemas.openxmlformats.org/officeDocument/2006/relationships/header" Target="header29.xml"/><Relationship Id="rId64" Type="http://schemas.openxmlformats.org/officeDocument/2006/relationships/footer" Target="footer34.xml"/><Relationship Id="rId63" Type="http://schemas.openxmlformats.org/officeDocument/2006/relationships/footer" Target="footer33.xml"/><Relationship Id="rId62" Type="http://schemas.openxmlformats.org/officeDocument/2006/relationships/header" Target="header28.xml"/><Relationship Id="rId61" Type="http://schemas.openxmlformats.org/officeDocument/2006/relationships/footer" Target="footer32.xml"/><Relationship Id="rId60" Type="http://schemas.openxmlformats.org/officeDocument/2006/relationships/header" Target="header27.xml"/><Relationship Id="rId6" Type="http://schemas.openxmlformats.org/officeDocument/2006/relationships/footer" Target="footer1.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footer" Target="footer22.xml"/><Relationship Id="rId5" Type="http://schemas.openxmlformats.org/officeDocument/2006/relationships/header" Target="header3.xml"/><Relationship Id="rId49" Type="http://schemas.openxmlformats.org/officeDocument/2006/relationships/header" Target="header26.xml"/><Relationship Id="rId48" Type="http://schemas.openxmlformats.org/officeDocument/2006/relationships/header" Target="header25.xml"/><Relationship Id="rId47" Type="http://schemas.openxmlformats.org/officeDocument/2006/relationships/footer" Target="footer21.xml"/><Relationship Id="rId46" Type="http://schemas.openxmlformats.org/officeDocument/2006/relationships/footer" Target="footer20.xml"/><Relationship Id="rId45" Type="http://schemas.openxmlformats.org/officeDocument/2006/relationships/header" Target="header24.xml"/><Relationship Id="rId44" Type="http://schemas.openxmlformats.org/officeDocument/2006/relationships/header" Target="header23.xml"/><Relationship Id="rId43" Type="http://schemas.openxmlformats.org/officeDocument/2006/relationships/footer" Target="footer19.xml"/><Relationship Id="rId42" Type="http://schemas.openxmlformats.org/officeDocument/2006/relationships/header" Target="header22.xml"/><Relationship Id="rId41" Type="http://schemas.openxmlformats.org/officeDocument/2006/relationships/header" Target="header21.xml"/><Relationship Id="rId40" Type="http://schemas.openxmlformats.org/officeDocument/2006/relationships/footer" Target="footer18.xml"/><Relationship Id="rId4" Type="http://schemas.openxmlformats.org/officeDocument/2006/relationships/header" Target="header2.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header" Target="header19.xml"/><Relationship Id="rId36" Type="http://schemas.openxmlformats.org/officeDocument/2006/relationships/footer" Target="footer16.xml"/><Relationship Id="rId35" Type="http://schemas.openxmlformats.org/officeDocument/2006/relationships/footer" Target="footer15.xml"/><Relationship Id="rId34" Type="http://schemas.openxmlformats.org/officeDocument/2006/relationships/footer" Target="footer14.xml"/><Relationship Id="rId33" Type="http://schemas.openxmlformats.org/officeDocument/2006/relationships/footer" Target="footer13.xml"/><Relationship Id="rId32" Type="http://schemas.openxmlformats.org/officeDocument/2006/relationships/footer" Target="footer12.xml"/><Relationship Id="rId31" Type="http://schemas.openxmlformats.org/officeDocument/2006/relationships/footer" Target="footer11.xml"/><Relationship Id="rId30" Type="http://schemas.openxmlformats.org/officeDocument/2006/relationships/header" Target="header18.xml"/><Relationship Id="rId3" Type="http://schemas.openxmlformats.org/officeDocument/2006/relationships/header" Target="header1.xml"/><Relationship Id="rId29" Type="http://schemas.openxmlformats.org/officeDocument/2006/relationships/header" Target="header17.xml"/><Relationship Id="rId28" Type="http://schemas.openxmlformats.org/officeDocument/2006/relationships/footer" Target="footer10.xml"/><Relationship Id="rId27" Type="http://schemas.openxmlformats.org/officeDocument/2006/relationships/header" Target="header16.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113</Pages>
  <Words>67104</Words>
  <Characters>71967</Characters>
  <Lines>1</Lines>
  <Paragraphs>1</Paragraphs>
  <TotalTime>11</TotalTime>
  <ScaleCrop>false</ScaleCrop>
  <LinksUpToDate>false</LinksUpToDate>
  <CharactersWithSpaces>74446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2024-05-29T09:04:00Z</dcterms:created>
  <dc:creator>LEN</dc:creator>
  <cp:lastModifiedBy>Shadow</cp:lastModifiedBy>
  <dcterms:modified xsi:type="dcterms:W3CDTF">2024-07-02T00:58:26Z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21637387F000434084F701AAD6BF0D8A_13</vt:lpwstr>
  </property>
</Properties>
</file>