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272D0">
      <w:pPr>
        <w:pStyle w:val="7"/>
        <w:framePr w:wrap="around"/>
      </w:pPr>
      <w:r>
        <w:t>团体标准</w:t>
      </w:r>
    </w:p>
    <w:p w14:paraId="6DBFCA99">
      <w:pPr>
        <w:pStyle w:val="8"/>
        <w:framePr w:wrap="around"/>
        <w:rPr>
          <w:rFonts w:hAnsi="黑体"/>
        </w:rPr>
      </w:pPr>
      <w:r>
        <w:rPr>
          <w:rFonts w:hAnsi="黑体"/>
        </w:rPr>
        <w:t>T/CAFFCI XXXX-XXXX</w:t>
      </w:r>
    </w:p>
    <w:p w14:paraId="30E952FF">
      <w:pPr>
        <w:pStyle w:val="8"/>
        <w:framePr w:wrap="around"/>
        <w:spacing w:before="117" w:after="40"/>
        <w:rPr>
          <w:rFonts w:hAnsi="黑体"/>
        </w:rPr>
      </w:pPr>
      <w:r>
        <w:rPr>
          <w:rFonts w:hint="eastAsia" w:hAnsi="黑体"/>
        </w:rPr>
        <w:t>代替 T/CAFFCI 46-2021</w:t>
      </w:r>
    </w:p>
    <w:tbl>
      <w:tblPr>
        <w:tblStyle w:val="5"/>
        <w:tblW w:w="9356"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56"/>
      </w:tblGrid>
      <w:tr w14:paraId="2D7A0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14:paraId="0F8191DF">
            <w:pPr>
              <w:pStyle w:val="9"/>
              <w:framePr w:wrap="around"/>
              <w:rPr>
                <w:rFonts w:ascii="Times New Roman" w:hAnsi="Times New Roman"/>
              </w:rPr>
            </w:pPr>
          </w:p>
        </w:tc>
      </w:tr>
    </w:tbl>
    <w:p w14:paraId="65256EBD">
      <w:pPr>
        <w:pStyle w:val="8"/>
        <w:framePr w:wrap="around"/>
        <w:rPr>
          <w:rFonts w:ascii="Times New Roman" w:hAnsi="Times New Roman"/>
        </w:rPr>
      </w:pPr>
    </w:p>
    <w:p w14:paraId="1E0F96EC">
      <w:pPr>
        <w:pStyle w:val="8"/>
        <w:framePr w:wrap="around"/>
        <w:rPr>
          <w:rFonts w:ascii="Times New Roman" w:hAnsi="Times New Roman"/>
        </w:rPr>
      </w:pPr>
    </w:p>
    <w:p w14:paraId="03DE8940">
      <w:pPr>
        <w:pStyle w:val="10"/>
        <w:framePr w:wrap="around" w:x="1373" w:y="5605"/>
        <w:rPr>
          <w:rFonts w:hAnsi="黑体"/>
        </w:rPr>
      </w:pPr>
      <w:r>
        <w:rPr>
          <w:rFonts w:hAnsi="黑体"/>
        </w:rPr>
        <w:t>化妆品微生物检验方法</w:t>
      </w:r>
      <w:r>
        <w:rPr>
          <w:rFonts w:hint="eastAsia" w:hAnsi="黑体"/>
        </w:rPr>
        <w:t>（定性）</w:t>
      </w:r>
    </w:p>
    <w:p w14:paraId="1FA00768">
      <w:pPr>
        <w:pStyle w:val="10"/>
        <w:framePr w:wrap="around" w:x="1373" w:y="5605"/>
        <w:rPr>
          <w:rFonts w:hAnsi="黑体"/>
        </w:rPr>
      </w:pPr>
      <w:r>
        <w:rPr>
          <w:rFonts w:hAnsi="黑体"/>
        </w:rPr>
        <w:t>ATP生物荧光增幅法</w:t>
      </w:r>
    </w:p>
    <w:p w14:paraId="68206C64">
      <w:pPr>
        <w:pStyle w:val="11"/>
        <w:framePr w:wrap="around" w:x="1373" w:y="5605"/>
        <w:rPr>
          <w:rFonts w:ascii="黑体" w:hAnsi="黑体"/>
        </w:rPr>
      </w:pPr>
      <w:bookmarkStart w:id="0" w:name="YZBS"/>
      <w:r>
        <w:rPr>
          <w:rFonts w:ascii="黑体" w:hAnsi="黑体"/>
        </w:rPr>
        <w:t xml:space="preserve"> </w:t>
      </w:r>
      <w:bookmarkEnd w:id="0"/>
      <w:r>
        <w:rPr>
          <w:rFonts w:ascii="黑体" w:hAnsi="黑体"/>
        </w:rPr>
        <w:t>Q</w:t>
      </w:r>
      <w:r>
        <w:rPr>
          <w:rFonts w:hint="eastAsia" w:ascii="黑体" w:hAnsi="黑体"/>
        </w:rPr>
        <w:t>uali</w:t>
      </w:r>
      <w:r>
        <w:rPr>
          <w:rFonts w:ascii="黑体" w:hAnsi="黑体"/>
        </w:rPr>
        <w:t>tative</w:t>
      </w:r>
      <w:r>
        <w:rPr>
          <w:rFonts w:hAnsi="Times New Roman"/>
        </w:rPr>
        <w:t xml:space="preserve"> </w:t>
      </w:r>
      <w:r>
        <w:rPr>
          <w:rFonts w:ascii="黑体" w:hAnsi="黑体"/>
        </w:rPr>
        <w:t xml:space="preserve">Detection of microorganisms in cosmetics </w:t>
      </w:r>
    </w:p>
    <w:p w14:paraId="4B2A460C">
      <w:pPr>
        <w:pStyle w:val="11"/>
        <w:framePr w:wrap="around" w:x="1373" w:y="5605"/>
        <w:spacing w:before="130" w:after="40"/>
        <w:rPr>
          <w:rFonts w:ascii="黑体" w:hAnsi="黑体"/>
        </w:rPr>
      </w:pPr>
      <w:r>
        <w:rPr>
          <w:rFonts w:ascii="黑体" w:hAnsi="黑体"/>
        </w:rPr>
        <w:t>Amplified ATP bioluminescence method</w:t>
      </w:r>
    </w:p>
    <w:p w14:paraId="62FAFF74">
      <w:pPr>
        <w:pStyle w:val="11"/>
        <w:framePr w:wrap="around" w:x="1373" w:y="5605"/>
        <w:rPr>
          <w:rFonts w:ascii="黑体" w:hAnsi="黑体"/>
        </w:rPr>
      </w:pPr>
      <w:r>
        <w:rPr>
          <w:rFonts w:hint="eastAsia" w:ascii="黑体" w:hAnsi="黑体"/>
        </w:rPr>
        <w:t>（征求意见稿）</w:t>
      </w:r>
    </w:p>
    <w:tbl>
      <w:tblPr>
        <w:tblStyle w:val="5"/>
        <w:tblW w:w="985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855"/>
      </w:tblGrid>
      <w:tr w14:paraId="2A8BC9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c>
          <w:tcPr>
            <w:tcW w:w="9855" w:type="dxa"/>
            <w:tcBorders>
              <w:top w:val="nil"/>
              <w:left w:val="nil"/>
              <w:bottom w:val="nil"/>
              <w:right w:val="nil"/>
            </w:tcBorders>
          </w:tcPr>
          <w:p w14:paraId="7325FCE2">
            <w:pPr>
              <w:pStyle w:val="12"/>
              <w:framePr w:wrap="around" w:x="1373" w:y="5605"/>
              <w:rPr>
                <w:rFonts w:ascii="Times New Roman" w:hAnsi="Times New Roman"/>
              </w:rPr>
            </w:pPr>
            <w:r>
              <w:rPr>
                <w:rFonts w:hint="eastAsia"/>
                <w:sz w:val="24"/>
                <w:szCs w:val="24"/>
                <w:highlight w:val="none"/>
              </w:rPr>
              <w:t>在提交反馈意见时，请将您知道的相关专利连同支持性文件一并附上。</w:t>
            </w:r>
          </w:p>
        </w:tc>
      </w:tr>
      <w:tr w14:paraId="31835A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14:paraId="0DC09E45">
            <w:pPr>
              <w:pStyle w:val="12"/>
              <w:framePr w:wrap="around" w:x="1373" w:y="5605"/>
              <w:rPr>
                <w:rFonts w:ascii="Times New Roman" w:hAnsi="Times New Roman"/>
              </w:rPr>
            </w:pPr>
          </w:p>
        </w:tc>
      </w:tr>
    </w:tbl>
    <w:p w14:paraId="731FDE6E">
      <w:pPr>
        <w:pStyle w:val="15"/>
        <w:framePr w:wrap="around" w:vAnchor="text" w:hAnchor="page" w:x="1431" w:y="13497"/>
        <w:rPr>
          <w:rFonts w:ascii="黑体" w:hAnsi="黑体"/>
        </w:rPr>
      </w:pPr>
      <w:r>
        <w:rPr>
          <w:rFonts w:ascii="黑体" w:hAnsi="黑体"/>
        </w:rPr>
        <w:t>XXXX-XX-XX发布</w:t>
      </w:r>
      <w:r>
        <w:rPr>
          <w:rFonts w:ascii="黑体" w:hAnsi="黑体"/>
        </w:rPr>
        <mc:AlternateContent>
          <mc:Choice Requires="wps">
            <w:drawing>
              <wp:anchor distT="0" distB="0" distL="114300" distR="114300" simplePos="0" relativeHeight="251661312" behindDoc="0" locked="1" layoutInCell="1" allowOverlap="1">
                <wp:simplePos x="0" y="0"/>
                <wp:positionH relativeFrom="column">
                  <wp:posOffset>-635</wp:posOffset>
                </wp:positionH>
                <wp:positionV relativeFrom="page">
                  <wp:posOffset>9251950</wp:posOffset>
                </wp:positionV>
                <wp:extent cx="612013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05pt;margin-top:728.5pt;height:0pt;width:481.9pt;mso-position-vertical-relative:page;z-index:251661312;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lh2s81gAAAAsBAAAPAAAAAAAAAAEAIAAAACIAAABkcnMvZG93bnJldi54bWxQSwECFAAUAAAA&#10;CACHTuJAgeHJ4fABAADmAwAADgAAAAAAAAABACAAAAAlAQAAZHJzL2Uyb0RvYy54bWxQSwUGAAAA&#10;AAYABgBZAQAAhwUAAAAA&#10;">
                <v:fill on="f" focussize="0,0"/>
                <v:stroke color="#000000" joinstyle="round"/>
                <v:imagedata o:title=""/>
                <o:lock v:ext="edit" aspectratio="f"/>
                <w10:anchorlock/>
              </v:line>
            </w:pict>
          </mc:Fallback>
        </mc:AlternateContent>
      </w:r>
    </w:p>
    <w:p w14:paraId="487776CC">
      <w:pPr>
        <w:pStyle w:val="17"/>
        <w:framePr w:wrap="around" w:vAnchor="text" w:hAnchor="page" w:x="7066" w:y="13497"/>
        <w:rPr>
          <w:rFonts w:ascii="黑体" w:hAnsi="黑体"/>
        </w:rPr>
      </w:pPr>
      <w:r>
        <w:rPr>
          <w:rFonts w:ascii="黑体" w:hAnsi="黑体"/>
        </w:rPr>
        <w:t>XXXX-XX-XX实施</w:t>
      </w:r>
    </w:p>
    <w:p w14:paraId="5F995079">
      <w:pPr>
        <w:pStyle w:val="19"/>
        <w:framePr w:wrap="around"/>
        <w:rPr>
          <w:rFonts w:ascii="Times New Roman" w:hAnsi="Times New Roman"/>
        </w:rPr>
      </w:pPr>
      <w:r>
        <w:rPr>
          <w:rFonts w:ascii="Times New Roman" w:hAnsi="Times New Roman"/>
          <w:w w:val="100"/>
        </w:rPr>
        <mc:AlternateContent>
          <mc:Choice Requires="wps">
            <w:drawing>
              <wp:anchor distT="0" distB="0" distL="114300" distR="114300" simplePos="0" relativeHeight="251660288" behindDoc="1" locked="0" layoutInCell="1" allowOverlap="1">
                <wp:simplePos x="0" y="0"/>
                <wp:positionH relativeFrom="column">
                  <wp:posOffset>1810385</wp:posOffset>
                </wp:positionH>
                <wp:positionV relativeFrom="paragraph">
                  <wp:posOffset>-3942715</wp:posOffset>
                </wp:positionV>
                <wp:extent cx="1270000" cy="304800"/>
                <wp:effectExtent l="0" t="0" r="0" b="0"/>
                <wp:wrapNone/>
                <wp:docPr id="3" name="矩形 3"/>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w="9525">
                          <a:noFill/>
                        </a:ln>
                        <a:effectLst/>
                      </wps:spPr>
                      <wps:txbx>
                        <w:txbxContent>
                          <w:p w14:paraId="0D2A3459">
                            <w:pPr>
                              <w:jc w:val="center"/>
                            </w:pPr>
                          </w:p>
                        </w:txbxContent>
                      </wps:txbx>
                      <wps:bodyPr wrap="square" upright="1"/>
                    </wps:wsp>
                  </a:graphicData>
                </a:graphic>
              </wp:anchor>
            </w:drawing>
          </mc:Choice>
          <mc:Fallback>
            <w:pict>
              <v:rect id="_x0000_s1026" o:spid="_x0000_s1026" o:spt="1" style="position:absolute;left:0pt;margin-left:142.55pt;margin-top:-310.45pt;height:24pt;width:100pt;z-index:-251656192;mso-width-relative:page;mso-height-relative:page;" fillcolor="#FFFFFF" filled="t" stroked="f" coordsize="21600,21600" o:gfxdata="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bXu1tkAAAANAQAADwAAAAAAAAABACAAAAAiAAAAZHJz&#10;L2Rvd25yZXYueG1sUEsBAhQAFAAAAAgAh07iQAePTD3KAQAAjwMAAA4AAAAAAAAAAQAgAAAAKAEA&#10;AGRycy9lMm9Eb2MueG1sUEsFBgAAAAAGAAYAWQEAAGQFAAAAAA==&#10;">
                <v:fill on="t" focussize="0,0"/>
                <v:stroke on="f"/>
                <v:imagedata o:title=""/>
                <o:lock v:ext="edit" aspectratio="f"/>
                <v:textbox>
                  <w:txbxContent>
                    <w:p w14:paraId="0D2A3459">
                      <w:pPr>
                        <w:jc w:val="center"/>
                      </w:pPr>
                    </w:p>
                  </w:txbxContent>
                </v:textbox>
              </v:rect>
            </w:pict>
          </mc:Fallback>
        </mc:AlternateContent>
      </w:r>
      <w:r>
        <w:rPr>
          <w:rFonts w:ascii="Times New Roman" w:hAnsi="Times New Roman"/>
          <w:w w:val="100"/>
        </w:rPr>
        <mc:AlternateContent>
          <mc:Choice Requires="wps">
            <w:drawing>
              <wp:anchor distT="0" distB="0" distL="114300" distR="114300" simplePos="0" relativeHeight="251659264" behindDoc="1" locked="0" layoutInCell="1" allowOverlap="1">
                <wp:simplePos x="0" y="0"/>
                <wp:positionH relativeFrom="column">
                  <wp:posOffset>4413885</wp:posOffset>
                </wp:positionH>
                <wp:positionV relativeFrom="paragraph">
                  <wp:posOffset>-7435215</wp:posOffset>
                </wp:positionV>
                <wp:extent cx="1143000" cy="228600"/>
                <wp:effectExtent l="0" t="0" r="0" b="0"/>
                <wp:wrapNone/>
                <wp:docPr id="4" name="矩形 4"/>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w="9525">
                          <a:noFill/>
                        </a:ln>
                        <a:effectLst/>
                      </wps:spPr>
                      <wps:txbx>
                        <w:txbxContent>
                          <w:p w14:paraId="60D41139">
                            <w:pPr>
                              <w:jc w:val="center"/>
                            </w:pPr>
                          </w:p>
                        </w:txbxContent>
                      </wps:txbx>
                      <wps:bodyPr wrap="square" upright="1"/>
                    </wps:wsp>
                  </a:graphicData>
                </a:graphic>
              </wp:anchor>
            </w:drawing>
          </mc:Choice>
          <mc:Fallback>
            <w:pict>
              <v:rect id="_x0000_s1026" o:spid="_x0000_s1026" o:spt="1" style="position:absolute;left:0pt;margin-left:347.55pt;margin-top:-585.45pt;height:18pt;width:90pt;z-index:-251657216;mso-width-relative:page;mso-height-relative:page;" fillcolor="#FFFFFF" filled="t" stroked="f" coordsize="21600,21600" o:gfxdata="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fyYoR2gAAAA8BAAAPAAAAAAAAAAEAIAAAACIAAABk&#10;cnMvZG93bnJldi54bWxQSwECFAAUAAAACACHTuJA/hEnLcsBAACPAwAADgAAAAAAAAABACAAAAAp&#10;AQAAZHJzL2Uyb0RvYy54bWxQSwUGAAAAAAYABgBZAQAAZgUAAAAA&#10;">
                <v:fill on="t" focussize="0,0"/>
                <v:stroke on="f"/>
                <v:imagedata o:title=""/>
                <o:lock v:ext="edit" aspectratio="f"/>
                <v:textbox>
                  <w:txbxContent>
                    <w:p w14:paraId="60D41139">
                      <w:pPr>
                        <w:jc w:val="center"/>
                      </w:pPr>
                    </w:p>
                  </w:txbxContent>
                </v:textbox>
              </v:rect>
            </w:pict>
          </mc:Fallback>
        </mc:AlternateContent>
      </w:r>
      <w:r>
        <w:rPr>
          <w:rFonts w:ascii="Times New Roman" w:hAnsi="Times New Roman"/>
          <w:w w:val="100"/>
        </w:rPr>
        <mc:AlternateContent>
          <mc:Choice Requires="wps">
            <w:drawing>
              <wp:anchor distT="0" distB="0" distL="114300" distR="114300" simplePos="0" relativeHeight="251662336" behindDoc="0" locked="0" layoutInCell="1" allowOverlap="1">
                <wp:simplePos x="0" y="0"/>
                <wp:positionH relativeFrom="column">
                  <wp:posOffset>-464820</wp:posOffset>
                </wp:positionH>
                <wp:positionV relativeFrom="paragraph">
                  <wp:posOffset>-7021195</wp:posOffset>
                </wp:positionV>
                <wp:extent cx="6120130" cy="0"/>
                <wp:effectExtent l="0" t="4445" r="0" b="5080"/>
                <wp:wrapNone/>
                <wp:docPr id="5" name="直接连接符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36.6pt;margin-top:-552.85pt;height:0pt;width:481.9pt;z-index:251662336;mso-width-relative:page;mso-height-relative:page;" filled="f" stroked="t" coordsize="21600,21600" o:gfxdata="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slkaDYAAAADwEAAA8AAAAAAAAAAQAgAAAAIgAAAGRycy9kb3ducmV2LnhtbFBLAQIUABQA&#10;AAAIAIdO4kB/LAbr8AEAAOYDAAAOAAAAAAAAAAEAIAAAACcBAABkcnMvZTJvRG9jLnhtbFBLBQYA&#10;AAAABgAGAFkBAACJBQAAAAA=&#10;">
                <v:fill on="f" focussize="0,0"/>
                <v:stroke color="#000000" joinstyle="round"/>
                <v:imagedata o:title=""/>
                <o:lock v:ext="edit" aspectratio="f"/>
              </v:line>
            </w:pict>
          </mc:Fallback>
        </mc:AlternateContent>
      </w:r>
      <w:r>
        <w:rPr>
          <w:rFonts w:ascii="Times New Roman" w:hAnsi="Times New Roman"/>
          <w:szCs w:val="28"/>
        </w:rPr>
        <w:t>中国香料香精化妆品工业协会</w:t>
      </w:r>
      <w:r>
        <w:rPr>
          <w:rFonts w:ascii="Times New Roman" w:hAnsi="Times New Roman"/>
        </w:rPr>
        <w:t>   </w:t>
      </w:r>
      <w:r>
        <w:rPr>
          <w:rStyle w:val="22"/>
          <w:rFonts w:ascii="Times New Roman" w:hAnsi="Times New Roman"/>
        </w:rPr>
        <w:t>发布</w:t>
      </w:r>
    </w:p>
    <w:p w14:paraId="4B7EC8B5">
      <w:pPr>
        <w:pStyle w:val="23"/>
        <w:framePr w:wrap="around"/>
        <w:rPr>
          <w:rFonts w:hAnsi="黑体" w:cs="黑体"/>
        </w:rPr>
      </w:pPr>
      <w:r>
        <w:rPr>
          <w:rFonts w:hint="eastAsia" w:hAnsi="黑体" w:cs="黑体"/>
        </w:rPr>
        <w:t>ICS 71.100.70</w:t>
      </w:r>
    </w:p>
    <w:p w14:paraId="2C35B7A0">
      <w:pPr>
        <w:pStyle w:val="23"/>
        <w:framePr w:wrap="around"/>
        <w:rPr>
          <w:rFonts w:hAnsi="黑体" w:cs="黑体"/>
        </w:rPr>
      </w:pPr>
      <w:r>
        <w:rPr>
          <w:rFonts w:hint="eastAsia" w:hAnsi="黑体" w:cs="黑体"/>
        </w:rPr>
        <w:t>CCS Y42</w:t>
      </w:r>
    </w:p>
    <w:p w14:paraId="3AA73D15">
      <w:pPr>
        <w:pStyle w:val="21"/>
        <w:rPr>
          <w:rFonts w:ascii="Times New Roman" w:hAnsi="Times New Roman"/>
        </w:rPr>
        <w:sectPr>
          <w:headerReference r:id="rId6" w:type="first"/>
          <w:headerReference r:id="rId5" w:type="default"/>
          <w:footerReference r:id="rId7" w:type="default"/>
          <w:pgSz w:w="11906" w:h="16838"/>
          <w:pgMar w:top="567" w:right="850" w:bottom="1134" w:left="1418" w:header="0" w:footer="0" w:gutter="0"/>
          <w:pgNumType w:start="1"/>
          <w:cols w:space="720" w:num="1"/>
          <w:titlePg/>
          <w:docGrid w:type="lines" w:linePitch="312" w:charSpace="0"/>
        </w:sectPr>
      </w:pPr>
    </w:p>
    <w:p w14:paraId="632E71E6">
      <w:pPr>
        <w:pStyle w:val="24"/>
        <w:rPr>
          <w:rFonts w:ascii="Times New Roman" w:hAnsi="Times New Roman"/>
        </w:rPr>
      </w:pPr>
      <w:r>
        <w:rPr>
          <w:rFonts w:ascii="Times New Roman" w:hAnsi="Times New Roman"/>
        </w:rPr>
        <w:t>前  言</w:t>
      </w:r>
    </w:p>
    <w:p w14:paraId="32E2856A">
      <w:pPr>
        <w:pStyle w:val="21"/>
        <w:spacing w:after="0" w:line="240" w:lineRule="auto"/>
        <w:rPr>
          <w:rFonts w:ascii="Times New Roman" w:hAnsi="Times New Roman"/>
          <w:color w:val="000000"/>
          <w:szCs w:val="21"/>
        </w:rPr>
      </w:pPr>
      <w:r>
        <w:rPr>
          <w:rFonts w:ascii="Times New Roman" w:hAnsi="Times New Roman"/>
        </w:rPr>
        <w:t>本</w:t>
      </w:r>
      <w:r>
        <w:rPr>
          <w:rFonts w:hint="eastAsia" w:ascii="Times New Roman" w:hAnsi="Times New Roman"/>
        </w:rPr>
        <w:t>文件</w:t>
      </w:r>
      <w:r>
        <w:rPr>
          <w:rFonts w:ascii="Times New Roman" w:hAnsi="Times New Roman"/>
          <w:szCs w:val="21"/>
          <w:lang w:val="zh-CN"/>
        </w:rPr>
        <w:t>按照</w:t>
      </w:r>
      <w:r>
        <w:rPr>
          <w:rFonts w:ascii="Times New Roman" w:hAnsi="Times New Roman"/>
          <w:szCs w:val="21"/>
        </w:rPr>
        <w:t>GB/T 1.1-2020</w:t>
      </w:r>
      <w:r>
        <w:rPr>
          <w:rFonts w:hint="eastAsia" w:ascii="Times New Roman" w:hAnsi="Times New Roman"/>
          <w:szCs w:val="21"/>
        </w:rPr>
        <w:t>《标准化工作导则 第1部分：标准化文件的结构和起草规则》</w:t>
      </w:r>
      <w:r>
        <w:rPr>
          <w:rFonts w:ascii="Times New Roman" w:hAnsi="Times New Roman"/>
          <w:szCs w:val="21"/>
          <w:lang w:val="zh-CN"/>
        </w:rPr>
        <w:t>的规</w:t>
      </w:r>
      <w:r>
        <w:rPr>
          <w:rFonts w:hint="eastAsia" w:ascii="Times New Roman" w:hAnsi="Times New Roman"/>
          <w:szCs w:val="21"/>
          <w:lang w:val="zh-CN"/>
        </w:rPr>
        <w:t>定</w:t>
      </w:r>
      <w:r>
        <w:rPr>
          <w:rFonts w:ascii="Times New Roman" w:hAnsi="Times New Roman"/>
          <w:szCs w:val="21"/>
          <w:lang w:val="zh-CN"/>
        </w:rPr>
        <w:t>起草</w:t>
      </w:r>
      <w:r>
        <w:rPr>
          <w:rFonts w:ascii="Times New Roman" w:hAnsi="Times New Roman"/>
          <w:color w:val="000000"/>
          <w:szCs w:val="21"/>
        </w:rPr>
        <w:t>。</w:t>
      </w:r>
    </w:p>
    <w:p w14:paraId="23E987AD">
      <w:pPr>
        <w:pStyle w:val="21"/>
        <w:spacing w:after="0" w:line="240" w:lineRule="auto"/>
        <w:rPr>
          <w:rFonts w:ascii="Times New Roman" w:hAnsi="Times New Roman"/>
          <w:color w:val="000000"/>
          <w:szCs w:val="21"/>
        </w:rPr>
      </w:pPr>
      <w:r>
        <w:rPr>
          <w:rFonts w:hint="eastAsia" w:ascii="Times New Roman" w:hAnsi="Times New Roman"/>
          <w:color w:val="000000"/>
          <w:szCs w:val="21"/>
        </w:rPr>
        <w:t>本</w:t>
      </w:r>
      <w:r>
        <w:rPr>
          <w:rFonts w:hint="eastAsia" w:ascii="Times New Roman" w:hAnsi="Times New Roman"/>
        </w:rPr>
        <w:t>文件</w:t>
      </w:r>
      <w:r>
        <w:rPr>
          <w:rFonts w:hint="eastAsia" w:ascii="Times New Roman" w:hAnsi="Times New Roman"/>
          <w:color w:val="000000"/>
          <w:szCs w:val="21"/>
        </w:rPr>
        <w:t>代替T/CAFFCI 46-2021《化妆品微生物检验方法（定性）ATP生物荧光增幅法》，与T/CAFFCI 46-2021相比，除结构调整和编辑性改动外，主要技术变化如下：</w:t>
      </w:r>
    </w:p>
    <w:p w14:paraId="0C9A0A8E">
      <w:pPr>
        <w:pStyle w:val="21"/>
        <w:spacing w:after="0" w:line="240" w:lineRule="auto"/>
        <w:rPr>
          <w:rFonts w:ascii="Times New Roman" w:hAnsi="Times New Roman"/>
        </w:rPr>
      </w:pPr>
      <w:r>
        <w:rPr>
          <w:rFonts w:hint="eastAsia" w:ascii="Times New Roman" w:hAnsi="Times New Roman"/>
        </w:rPr>
        <w:t>——增加了“第二法 双培养体系法”（见第8章）；</w:t>
      </w:r>
    </w:p>
    <w:p w14:paraId="62B1D83D">
      <w:pPr>
        <w:pStyle w:val="21"/>
        <w:spacing w:after="0" w:line="240" w:lineRule="auto"/>
        <w:rPr>
          <w:rFonts w:ascii="Times New Roman" w:hAnsi="Times New Roman"/>
        </w:rPr>
      </w:pPr>
      <w:r>
        <w:rPr>
          <w:rFonts w:hint="eastAsia" w:ascii="Times New Roman" w:hAnsi="Times New Roman"/>
        </w:rPr>
        <w:t>——更改了原产品影响测试步骤为第一法“单培养体系法”产品影响测试步骤（见第7章，2021年版的附录A）；</w:t>
      </w:r>
    </w:p>
    <w:p w14:paraId="771C15F2">
      <w:pPr>
        <w:pStyle w:val="21"/>
        <w:spacing w:after="0" w:line="240" w:lineRule="auto"/>
        <w:rPr>
          <w:rFonts w:ascii="Times New Roman" w:hAnsi="Times New Roman"/>
        </w:rPr>
      </w:pPr>
      <w:r>
        <w:rPr>
          <w:rFonts w:hint="eastAsia" w:ascii="Times New Roman" w:hAnsi="Times New Roman"/>
        </w:rPr>
        <w:t>——调整培养基和试剂具体成分及配制方法至附录B，并增加了TLE培养基（见附录B）。</w:t>
      </w:r>
    </w:p>
    <w:p w14:paraId="0017A412">
      <w:pPr>
        <w:pStyle w:val="21"/>
        <w:spacing w:after="0" w:line="240" w:lineRule="auto"/>
        <w:rPr>
          <w:rFonts w:ascii="Times New Roman" w:hAnsi="Times New Roman"/>
        </w:rPr>
      </w:pPr>
      <w:r>
        <w:rPr>
          <w:rFonts w:hint="eastAsia"/>
        </w:rPr>
        <w:t>请注意本文件的某些内容可能涉及专利。本文件的发布机构不承担识别专利的责任。</w:t>
      </w:r>
    </w:p>
    <w:p w14:paraId="52BD9814">
      <w:pPr>
        <w:pStyle w:val="21"/>
        <w:spacing w:after="0" w:line="240" w:lineRule="auto"/>
        <w:rPr>
          <w:rFonts w:ascii="Times New Roman" w:hAnsi="Times New Roman"/>
        </w:rPr>
      </w:pPr>
      <w:r>
        <w:rPr>
          <w:rFonts w:ascii="Times New Roman" w:hAnsi="Times New Roman"/>
        </w:rPr>
        <w:t>本</w:t>
      </w:r>
      <w:r>
        <w:rPr>
          <w:rFonts w:hint="eastAsia" w:ascii="Times New Roman" w:hAnsi="Times New Roman"/>
        </w:rPr>
        <w:t>文件</w:t>
      </w:r>
      <w:r>
        <w:rPr>
          <w:rFonts w:ascii="Times New Roman" w:hAnsi="Times New Roman"/>
        </w:rPr>
        <w:t>由</w:t>
      </w:r>
      <w:r>
        <w:rPr>
          <w:rFonts w:hint="eastAsia" w:ascii="Times New Roman" w:hAnsi="Times New Roman"/>
        </w:rPr>
        <w:t>中国香料香精化妆品工业协会</w:t>
      </w:r>
      <w:r>
        <w:rPr>
          <w:rFonts w:ascii="Times New Roman" w:hAnsi="Times New Roman"/>
        </w:rPr>
        <w:t>提出</w:t>
      </w:r>
      <w:r>
        <w:rPr>
          <w:rFonts w:hint="eastAsia" w:ascii="Times New Roman" w:hAnsi="Times New Roman"/>
        </w:rPr>
        <w:t>并</w:t>
      </w:r>
      <w:r>
        <w:rPr>
          <w:rFonts w:ascii="Times New Roman" w:hAnsi="Times New Roman"/>
        </w:rPr>
        <w:t>归口。</w:t>
      </w:r>
    </w:p>
    <w:p w14:paraId="4BF16DAB">
      <w:pPr>
        <w:pStyle w:val="21"/>
        <w:spacing w:after="0" w:line="240" w:lineRule="auto"/>
        <w:rPr>
          <w:rFonts w:ascii="Times New Roman" w:hAnsi="Times New Roman"/>
        </w:rPr>
      </w:pPr>
      <w:r>
        <w:rPr>
          <w:rFonts w:ascii="Times New Roman" w:hAnsi="Times New Roman"/>
        </w:rPr>
        <w:t>本</w:t>
      </w:r>
      <w:r>
        <w:rPr>
          <w:rFonts w:hint="eastAsia" w:ascii="Times New Roman" w:hAnsi="Times New Roman"/>
        </w:rPr>
        <w:t>文件</w:t>
      </w:r>
      <w:r>
        <w:rPr>
          <w:rFonts w:ascii="Times New Roman" w:hAnsi="Times New Roman"/>
        </w:rPr>
        <w:t xml:space="preserve">起草单位： </w:t>
      </w:r>
    </w:p>
    <w:p w14:paraId="02191EBF">
      <w:pPr>
        <w:pStyle w:val="21"/>
        <w:spacing w:after="0" w:line="240" w:lineRule="auto"/>
        <w:rPr>
          <w:rFonts w:ascii="Times New Roman" w:hAnsi="Times New Roman"/>
        </w:rPr>
      </w:pPr>
      <w:r>
        <w:rPr>
          <w:rFonts w:ascii="Times New Roman" w:hAnsi="Times New Roman"/>
        </w:rPr>
        <w:t>本</w:t>
      </w:r>
      <w:r>
        <w:rPr>
          <w:rFonts w:hint="eastAsia" w:ascii="Times New Roman" w:hAnsi="Times New Roman"/>
        </w:rPr>
        <w:t>文件</w:t>
      </w:r>
      <w:r>
        <w:rPr>
          <w:rFonts w:ascii="Times New Roman" w:hAnsi="Times New Roman"/>
        </w:rPr>
        <w:t>主要起草人：</w:t>
      </w:r>
    </w:p>
    <w:p w14:paraId="1EAA4743">
      <w:pPr>
        <w:pStyle w:val="21"/>
        <w:spacing w:after="0" w:line="240" w:lineRule="auto"/>
        <w:rPr>
          <w:rFonts w:ascii="Times New Roman" w:hAnsi="Times New Roman"/>
        </w:rPr>
      </w:pPr>
      <w:r>
        <w:rPr>
          <w:rFonts w:hint="eastAsia" w:ascii="Times New Roman" w:hAnsi="Times New Roman"/>
        </w:rPr>
        <w:t>本文件及其所代替文件的历次版本发布情况为：</w:t>
      </w:r>
    </w:p>
    <w:p w14:paraId="5BED9326">
      <w:pPr>
        <w:pStyle w:val="21"/>
        <w:spacing w:after="0" w:line="240" w:lineRule="auto"/>
        <w:rPr>
          <w:rFonts w:ascii="Times New Roman" w:hAnsi="Times New Roman"/>
          <w:color w:val="000000"/>
          <w:szCs w:val="21"/>
        </w:rPr>
      </w:pPr>
      <w:r>
        <w:rPr>
          <w:rFonts w:hint="eastAsia" w:ascii="Times New Roman" w:hAnsi="Times New Roman"/>
        </w:rPr>
        <w:t>——2021年首次发布为</w:t>
      </w:r>
      <w:r>
        <w:rPr>
          <w:rFonts w:hint="eastAsia" w:ascii="Times New Roman" w:hAnsi="Times New Roman"/>
          <w:color w:val="000000"/>
          <w:szCs w:val="21"/>
        </w:rPr>
        <w:t>T/CAFFCI 46-2021；</w:t>
      </w:r>
    </w:p>
    <w:p w14:paraId="1FEF881D">
      <w:pPr>
        <w:pStyle w:val="21"/>
        <w:spacing w:after="0" w:line="240" w:lineRule="auto"/>
        <w:rPr>
          <w:rFonts w:ascii="Times New Roman" w:hAnsi="Times New Roman"/>
          <w:color w:val="000000"/>
          <w:szCs w:val="21"/>
        </w:rPr>
      </w:pPr>
      <w:r>
        <w:rPr>
          <w:rFonts w:hint="eastAsia" w:ascii="Times New Roman" w:hAnsi="Times New Roman"/>
          <w:color w:val="000000"/>
          <w:szCs w:val="21"/>
        </w:rPr>
        <w:t>——本次为第一次修订。</w:t>
      </w:r>
    </w:p>
    <w:p w14:paraId="024DF442">
      <w:pPr>
        <w:pStyle w:val="21"/>
        <w:spacing w:after="0" w:line="240" w:lineRule="auto"/>
        <w:rPr>
          <w:rFonts w:ascii="Times New Roman" w:hAnsi="Times New Roman"/>
        </w:rPr>
      </w:pPr>
    </w:p>
    <w:p w14:paraId="0632A91D">
      <w:pPr>
        <w:pStyle w:val="21"/>
        <w:spacing w:after="0" w:line="240" w:lineRule="auto"/>
        <w:rPr>
          <w:rFonts w:ascii="Times New Roman" w:hAnsi="Times New Roman"/>
        </w:rPr>
      </w:pPr>
    </w:p>
    <w:p w14:paraId="2F451DE5">
      <w:pPr>
        <w:spacing w:before="468" w:beforeLines="150"/>
        <w:ind w:right="260"/>
        <w:rPr>
          <w:rFonts w:ascii="宋体" w:hAnsi="宋体"/>
        </w:rPr>
      </w:pPr>
      <w:r>
        <w:rPr>
          <w:rFonts w:ascii="宋体" w:hAnsi="宋体"/>
        </w:rPr>
        <w:br w:type="page"/>
      </w:r>
      <w:bookmarkStart w:id="10" w:name="_GoBack"/>
      <w:bookmarkEnd w:id="10"/>
    </w:p>
    <w:p w14:paraId="6C736D30"/>
    <w:p w14:paraId="336D20C9">
      <w:pPr>
        <w:pStyle w:val="25"/>
        <w:spacing w:before="374" w:beforeLines="120"/>
        <w:jc w:val="center"/>
        <w:rPr>
          <w:rFonts w:ascii="Times New Roman" w:hAnsi="Times New Roman"/>
          <w:kern w:val="2"/>
          <w:sz w:val="32"/>
          <w:szCs w:val="32"/>
        </w:rPr>
      </w:pPr>
      <w:r>
        <w:rPr>
          <w:rFonts w:ascii="Times New Roman" w:hAnsi="Times New Roman"/>
          <w:kern w:val="2"/>
          <w:sz w:val="32"/>
          <w:szCs w:val="32"/>
        </w:rPr>
        <w:t>化妆品微生物检验方法</w:t>
      </w:r>
      <w:r>
        <w:rPr>
          <w:rFonts w:hint="eastAsia" w:ascii="Times New Roman" w:hAnsi="Times New Roman"/>
          <w:kern w:val="2"/>
          <w:sz w:val="32"/>
          <w:szCs w:val="32"/>
        </w:rPr>
        <w:t>（定性）</w:t>
      </w:r>
      <w:r>
        <w:rPr>
          <w:rFonts w:hAnsi="黑体"/>
          <w:kern w:val="2"/>
          <w:sz w:val="32"/>
          <w:szCs w:val="32"/>
        </w:rPr>
        <w:t>ATP</w:t>
      </w:r>
      <w:r>
        <w:rPr>
          <w:rFonts w:ascii="Times New Roman" w:hAnsi="Times New Roman"/>
          <w:kern w:val="2"/>
          <w:sz w:val="32"/>
          <w:szCs w:val="32"/>
        </w:rPr>
        <w:t>生物荧光增幅法</w:t>
      </w:r>
    </w:p>
    <w:p w14:paraId="706BBA5E">
      <w:pPr>
        <w:pStyle w:val="25"/>
        <w:numPr>
          <w:ilvl w:val="0"/>
          <w:numId w:val="1"/>
        </w:numPr>
        <w:spacing w:before="156" w:beforeLines="50" w:after="156" w:afterLines="50" w:line="360" w:lineRule="auto"/>
        <w:ind w:left="0" w:firstLine="0"/>
        <w:rPr>
          <w:rFonts w:ascii="Times New Roman" w:hAnsi="Times New Roman"/>
        </w:rPr>
      </w:pPr>
      <w:r>
        <w:rPr>
          <w:rFonts w:ascii="Times New Roman" w:hAnsi="Times New Roman"/>
        </w:rPr>
        <w:t>范围</w:t>
      </w:r>
    </w:p>
    <w:p w14:paraId="0D7DE9A4">
      <w:pPr>
        <w:spacing w:after="0" w:line="320" w:lineRule="exact"/>
        <w:ind w:firstLine="420" w:firstLineChars="200"/>
        <w:rPr>
          <w:rFonts w:ascii="宋体" w:hAnsi="宋体"/>
          <w:kern w:val="0"/>
          <w:szCs w:val="22"/>
        </w:rPr>
      </w:pPr>
      <w:r>
        <w:rPr>
          <w:rFonts w:ascii="Times New Roman" w:hAnsi="Times New Roman"/>
          <w:kern w:val="0"/>
          <w:szCs w:val="22"/>
        </w:rPr>
        <w:t>本</w:t>
      </w:r>
      <w:r>
        <w:rPr>
          <w:rFonts w:hint="eastAsia" w:ascii="Times New Roman" w:hAnsi="Times New Roman"/>
          <w:kern w:val="0"/>
          <w:szCs w:val="22"/>
        </w:rPr>
        <w:t>文件描述</w:t>
      </w:r>
      <w:r>
        <w:rPr>
          <w:rFonts w:ascii="Times New Roman" w:hAnsi="Times New Roman"/>
          <w:kern w:val="0"/>
          <w:szCs w:val="22"/>
        </w:rPr>
        <w:t>了化妆品中微生物（定性）ATP生物荧光</w:t>
      </w:r>
      <w:r>
        <w:rPr>
          <w:rFonts w:ascii="宋体" w:hAnsi="宋体"/>
          <w:kern w:val="0"/>
          <w:szCs w:val="22"/>
        </w:rPr>
        <w:t>增幅</w:t>
      </w:r>
      <w:r>
        <w:rPr>
          <w:rFonts w:hint="eastAsia" w:ascii="宋体" w:hAnsi="宋体"/>
          <w:kern w:val="0"/>
          <w:szCs w:val="22"/>
        </w:rPr>
        <w:t>的</w:t>
      </w:r>
      <w:r>
        <w:rPr>
          <w:rFonts w:ascii="Times New Roman" w:hAnsi="Times New Roman"/>
          <w:kern w:val="0"/>
          <w:szCs w:val="22"/>
        </w:rPr>
        <w:t>检验方法</w:t>
      </w:r>
      <w:r>
        <w:rPr>
          <w:rFonts w:ascii="宋体" w:hAnsi="宋体"/>
          <w:kern w:val="0"/>
          <w:szCs w:val="22"/>
        </w:rPr>
        <w:t>。</w:t>
      </w:r>
    </w:p>
    <w:p w14:paraId="3C92A9AF">
      <w:pPr>
        <w:spacing w:after="0" w:line="320" w:lineRule="exact"/>
        <w:ind w:firstLine="420" w:firstLineChars="200"/>
        <w:rPr>
          <w:rFonts w:ascii="宋体" w:hAnsi="宋体"/>
          <w:szCs w:val="22"/>
        </w:rPr>
      </w:pPr>
      <w:r>
        <w:rPr>
          <w:rFonts w:hint="eastAsia" w:ascii="宋体" w:hAnsi="宋体"/>
          <w:szCs w:val="22"/>
        </w:rPr>
        <w:t>本文件适用于化妆品中微生物的检验。</w:t>
      </w:r>
    </w:p>
    <w:p w14:paraId="73E4A467">
      <w:pPr>
        <w:pStyle w:val="25"/>
        <w:numPr>
          <w:ilvl w:val="0"/>
          <w:numId w:val="1"/>
        </w:numPr>
        <w:spacing w:before="156" w:beforeLines="50" w:after="156" w:afterLines="50" w:line="360" w:lineRule="auto"/>
        <w:ind w:left="0" w:firstLine="0"/>
        <w:rPr>
          <w:rFonts w:ascii="Times New Roman" w:hAnsi="Times New Roman"/>
        </w:rPr>
      </w:pPr>
      <w:r>
        <w:rPr>
          <w:rFonts w:ascii="Times New Roman" w:hAnsi="Times New Roman"/>
        </w:rPr>
        <w:t>规范性引用文件</w:t>
      </w:r>
    </w:p>
    <w:p w14:paraId="2A5555E6">
      <w:pPr>
        <w:spacing w:after="0" w:line="320" w:lineRule="atLeast"/>
        <w:ind w:firstLine="420" w:firstLineChars="200"/>
        <w:rPr>
          <w:rFonts w:ascii="宋体" w:hAnsi="宋体"/>
        </w:rPr>
      </w:pPr>
      <w:r>
        <w:rPr>
          <w:rFonts w:ascii="宋体" w:hAnsi="宋体"/>
        </w:rPr>
        <w:t>下列文件</w:t>
      </w:r>
      <w:r>
        <w:rPr>
          <w:rFonts w:hint="eastAsia" w:ascii="宋体" w:hAnsi="宋体"/>
        </w:rPr>
        <w:t>中的内容通过文中的规范性引用而构成本文件必不可少的条款。其中，注日期的引用文件，仅该日期对应的版本适用于本文件；不注日期的引用文件，</w:t>
      </w:r>
      <w:r>
        <w:rPr>
          <w:rFonts w:ascii="宋体" w:hAnsi="宋体"/>
        </w:rPr>
        <w:t>其最新版本（包括所有的修改单）适用于本文件。</w:t>
      </w:r>
    </w:p>
    <w:p w14:paraId="4B5EC420">
      <w:pPr>
        <w:spacing w:after="0" w:line="320" w:lineRule="atLeast"/>
        <w:ind w:firstLine="420" w:firstLineChars="200"/>
        <w:rPr>
          <w:rFonts w:ascii="宋体" w:hAnsi="宋体"/>
        </w:rPr>
      </w:pPr>
      <w:r>
        <w:rPr>
          <w:rFonts w:ascii="Times New Roman" w:hAnsi="Times New Roman"/>
        </w:rPr>
        <w:t>GB/T 6682 分析</w:t>
      </w:r>
      <w:r>
        <w:rPr>
          <w:rFonts w:hint="eastAsia" w:ascii="宋体" w:hAnsi="宋体"/>
        </w:rPr>
        <w:t>实验室用水规格和试验方法</w:t>
      </w:r>
    </w:p>
    <w:p w14:paraId="59A820E0">
      <w:pPr>
        <w:pStyle w:val="25"/>
        <w:numPr>
          <w:ilvl w:val="0"/>
          <w:numId w:val="1"/>
        </w:numPr>
        <w:spacing w:before="156" w:beforeLines="50" w:after="156" w:afterLines="50" w:line="360" w:lineRule="auto"/>
        <w:ind w:left="0" w:firstLine="0"/>
        <w:rPr>
          <w:rFonts w:ascii="Times New Roman" w:hAnsi="Times New Roman"/>
        </w:rPr>
      </w:pPr>
      <w:bookmarkStart w:id="1" w:name="_Hlk45301151"/>
      <w:r>
        <w:rPr>
          <w:rFonts w:ascii="Times New Roman" w:hAnsi="Times New Roman"/>
        </w:rPr>
        <w:t>缩略语</w:t>
      </w:r>
    </w:p>
    <w:p w14:paraId="60DAD7CD">
      <w:pPr>
        <w:spacing w:after="0" w:line="320" w:lineRule="exact"/>
        <w:ind w:firstLine="420" w:firstLineChars="200"/>
        <w:rPr>
          <w:rFonts w:ascii="Times New Roman" w:hAnsi="Times New Roman"/>
        </w:rPr>
      </w:pPr>
      <w:r>
        <w:rPr>
          <w:rFonts w:ascii="Times New Roman" w:hAnsi="Times New Roman"/>
        </w:rPr>
        <w:t>下列缩略语适用于本文件。</w:t>
      </w:r>
    </w:p>
    <w:p w14:paraId="5C5C19D6">
      <w:pPr>
        <w:pStyle w:val="21"/>
        <w:spacing w:after="0" w:line="320" w:lineRule="exact"/>
        <w:rPr>
          <w:rFonts w:ascii="Times New Roman" w:hAnsi="Times New Roman"/>
        </w:rPr>
      </w:pPr>
      <w:r>
        <w:rPr>
          <w:rFonts w:ascii="Times New Roman" w:hAnsi="Times New Roman"/>
        </w:rPr>
        <w:t>ADP</w:t>
      </w:r>
      <w:r>
        <w:rPr>
          <w:rFonts w:hint="eastAsia" w:ascii="Times New Roman" w:hAnsi="Times New Roman"/>
          <w:lang w:val="en-US" w:eastAsia="zh-CN"/>
        </w:rPr>
        <w:t xml:space="preserve"> </w:t>
      </w:r>
      <w:r>
        <w:rPr>
          <w:rFonts w:ascii="Times New Roman" w:hAnsi="Times New Roman"/>
        </w:rPr>
        <w:t>二磷酸腺苷（adenosine diphosphate）</w:t>
      </w:r>
    </w:p>
    <w:p w14:paraId="0FCD08FB">
      <w:pPr>
        <w:pStyle w:val="21"/>
        <w:spacing w:after="0" w:line="320" w:lineRule="exact"/>
        <w:rPr>
          <w:rFonts w:ascii="Times New Roman" w:hAnsi="Times New Roman"/>
        </w:rPr>
      </w:pPr>
      <w:r>
        <w:rPr>
          <w:rFonts w:ascii="Times New Roman" w:hAnsi="Times New Roman"/>
        </w:rPr>
        <w:t>AK</w:t>
      </w:r>
      <w:r>
        <w:rPr>
          <w:rFonts w:hint="eastAsia" w:ascii="Times New Roman" w:hAnsi="Times New Roman"/>
          <w:lang w:val="en-US" w:eastAsia="zh-CN"/>
        </w:rPr>
        <w:t xml:space="preserve"> </w:t>
      </w:r>
      <w:r>
        <w:rPr>
          <w:rFonts w:ascii="Times New Roman" w:hAnsi="Times New Roman"/>
        </w:rPr>
        <w:t xml:space="preserve">腺苷酸激酶（adenylate kinase） </w:t>
      </w:r>
    </w:p>
    <w:p w14:paraId="0B3AC626">
      <w:pPr>
        <w:pStyle w:val="21"/>
        <w:spacing w:after="0" w:line="320" w:lineRule="exact"/>
        <w:rPr>
          <w:rFonts w:ascii="Times New Roman" w:hAnsi="Times New Roman"/>
          <w:szCs w:val="22"/>
        </w:rPr>
      </w:pPr>
      <w:r>
        <w:rPr>
          <w:rFonts w:ascii="Times New Roman" w:hAnsi="Times New Roman"/>
          <w:szCs w:val="22"/>
        </w:rPr>
        <w:t>ATP</w:t>
      </w:r>
      <w:r>
        <w:rPr>
          <w:rFonts w:hint="eastAsia" w:ascii="Times New Roman" w:hAnsi="Times New Roman"/>
          <w:szCs w:val="22"/>
          <w:lang w:val="en-US" w:eastAsia="zh-CN"/>
        </w:rPr>
        <w:t xml:space="preserve"> </w:t>
      </w:r>
      <w:r>
        <w:rPr>
          <w:rFonts w:ascii="Times New Roman" w:hAnsi="Times New Roman"/>
          <w:szCs w:val="22"/>
        </w:rPr>
        <w:t>三磷酸腺苷（adenosine triphosphate）</w:t>
      </w:r>
    </w:p>
    <w:p w14:paraId="05E67059">
      <w:pPr>
        <w:pStyle w:val="21"/>
        <w:spacing w:after="0" w:line="320" w:lineRule="exact"/>
        <w:rPr>
          <w:rFonts w:ascii="Times New Roman" w:hAnsi="Times New Roman"/>
        </w:rPr>
      </w:pPr>
      <w:r>
        <w:rPr>
          <w:rFonts w:ascii="Times New Roman" w:hAnsi="Times New Roman"/>
        </w:rPr>
        <w:t>MTAT</w:t>
      </w:r>
      <w:r>
        <w:rPr>
          <w:rFonts w:hint="eastAsia" w:ascii="Times New Roman" w:hAnsi="Times New Roman"/>
          <w:lang w:val="en-US" w:eastAsia="zh-CN"/>
        </w:rPr>
        <w:t xml:space="preserve"> </w:t>
      </w:r>
      <w:r>
        <w:rPr>
          <w:rFonts w:ascii="Times New Roman" w:hAnsi="Times New Roman"/>
        </w:rPr>
        <w:t>改良胰酪胨卵磷脂吐温肉汤（modified trypticase azolectin tween）</w:t>
      </w:r>
    </w:p>
    <w:p w14:paraId="5319057D">
      <w:pPr>
        <w:pStyle w:val="21"/>
        <w:spacing w:after="0" w:line="320" w:lineRule="exact"/>
        <w:rPr>
          <w:rFonts w:ascii="Times New Roman" w:hAnsi="Times New Roman"/>
        </w:rPr>
      </w:pPr>
      <w:bookmarkStart w:id="2" w:name="OLE_LINK1"/>
      <w:r>
        <w:rPr>
          <w:rFonts w:ascii="Times New Roman" w:hAnsi="Times New Roman"/>
        </w:rPr>
        <w:t>TAT</w:t>
      </w:r>
      <w:bookmarkEnd w:id="2"/>
      <w:r>
        <w:rPr>
          <w:rFonts w:hint="eastAsia" w:ascii="Times New Roman" w:hAnsi="Times New Roman"/>
          <w:lang w:val="en-US" w:eastAsia="zh-CN"/>
        </w:rPr>
        <w:t xml:space="preserve"> </w:t>
      </w:r>
      <w:r>
        <w:rPr>
          <w:rFonts w:ascii="Times New Roman" w:hAnsi="Times New Roman"/>
        </w:rPr>
        <w:t>胰酪胨卵磷脂吐温肉汤（trypticase azolectin tween）</w:t>
      </w:r>
      <w:bookmarkEnd w:id="1"/>
    </w:p>
    <w:p w14:paraId="289B5657">
      <w:pPr>
        <w:pStyle w:val="21"/>
        <w:spacing w:after="0" w:line="320" w:lineRule="exact"/>
        <w:rPr>
          <w:rFonts w:ascii="Times New Roman" w:hAnsi="Times New Roman"/>
        </w:rPr>
      </w:pPr>
      <w:r>
        <w:rPr>
          <w:rFonts w:ascii="Times New Roman" w:hAnsi="Times New Roman"/>
        </w:rPr>
        <w:t>TLE</w:t>
      </w:r>
      <w:r>
        <w:rPr>
          <w:rFonts w:hint="eastAsia" w:ascii="Times New Roman" w:hAnsi="Times New Roman"/>
          <w:lang w:val="en-US" w:eastAsia="zh-CN"/>
        </w:rPr>
        <w:t xml:space="preserve"> </w:t>
      </w:r>
      <w:r>
        <w:rPr>
          <w:rFonts w:hint="eastAsia" w:ascii="Times New Roman" w:hAnsi="Times New Roman"/>
        </w:rPr>
        <w:t>吐温80-卵磷脂-正二十烷肉汤（t</w:t>
      </w:r>
      <w:r>
        <w:rPr>
          <w:rFonts w:ascii="Times New Roman" w:hAnsi="Times New Roman"/>
        </w:rPr>
        <w:t>ween 80-</w:t>
      </w:r>
      <w:r>
        <w:rPr>
          <w:rFonts w:hint="eastAsia" w:ascii="Times New Roman" w:hAnsi="Times New Roman"/>
        </w:rPr>
        <w:t>l</w:t>
      </w:r>
      <w:r>
        <w:rPr>
          <w:rFonts w:ascii="Times New Roman" w:hAnsi="Times New Roman"/>
        </w:rPr>
        <w:t>ecithin-</w:t>
      </w:r>
      <w:r>
        <w:rPr>
          <w:rFonts w:hint="eastAsia" w:ascii="Times New Roman" w:hAnsi="Times New Roman"/>
        </w:rPr>
        <w:t>e</w:t>
      </w:r>
      <w:r>
        <w:rPr>
          <w:rFonts w:ascii="Times New Roman" w:hAnsi="Times New Roman"/>
        </w:rPr>
        <w:t>icosane</w:t>
      </w:r>
      <w:r>
        <w:rPr>
          <w:rFonts w:hint="eastAsia" w:ascii="Times New Roman" w:hAnsi="Times New Roman"/>
        </w:rPr>
        <w:t>）</w:t>
      </w:r>
    </w:p>
    <w:p w14:paraId="72E18761">
      <w:pPr>
        <w:pStyle w:val="25"/>
        <w:numPr>
          <w:ilvl w:val="0"/>
          <w:numId w:val="1"/>
        </w:numPr>
        <w:spacing w:before="156" w:beforeLines="50" w:after="156" w:afterLines="50" w:line="360" w:lineRule="auto"/>
        <w:ind w:left="0" w:firstLine="0"/>
        <w:rPr>
          <w:rFonts w:ascii="Times New Roman" w:hAnsi="Times New Roman"/>
        </w:rPr>
      </w:pPr>
      <w:r>
        <w:rPr>
          <w:rFonts w:hint="eastAsia" w:ascii="Times New Roman" w:hAnsi="Times New Roman"/>
        </w:rPr>
        <w:t>方法原理</w:t>
      </w:r>
    </w:p>
    <w:p w14:paraId="420FF7B2">
      <w:pPr>
        <w:spacing w:after="0" w:line="320" w:lineRule="exact"/>
        <w:ind w:firstLine="420" w:firstLineChars="200"/>
        <w:rPr>
          <w:rFonts w:ascii="宋体" w:hAnsi="宋体"/>
        </w:rPr>
      </w:pPr>
      <w:r>
        <w:rPr>
          <w:rFonts w:hint="eastAsia" w:ascii="宋体" w:hAnsi="宋体"/>
        </w:rPr>
        <w:t>样品稀释制成检</w:t>
      </w:r>
      <w:r>
        <w:rPr>
          <w:rFonts w:ascii="Times New Roman" w:hAnsi="Times New Roman"/>
        </w:rPr>
        <w:t>液，经MTAT或</w:t>
      </w:r>
      <w:r>
        <w:rPr>
          <w:rFonts w:hint="eastAsia" w:ascii="Times New Roman" w:hAnsi="Times New Roman"/>
        </w:rPr>
        <w:t>TLE</w:t>
      </w:r>
      <w:r>
        <w:rPr>
          <w:rFonts w:ascii="Times New Roman" w:hAnsi="Times New Roman"/>
        </w:rPr>
        <w:t>富集培养后，利用微生物体内的AK，催化外源添加的ADP底物生成ATP，实现ATP增幅；通过添加荧光素酶和荧光素，将ATP高能键在断裂过程中产生的能量转化为生物荧光信号；采用全自动荧光光度仪检测，根据生物荧光信号强度判断样品中是否含有微</w:t>
      </w:r>
      <w:r>
        <w:rPr>
          <w:rFonts w:hint="eastAsia" w:ascii="宋体" w:hAnsi="宋体"/>
        </w:rPr>
        <w:t>生物。</w:t>
      </w:r>
    </w:p>
    <w:p w14:paraId="1A99CAE8">
      <w:pPr>
        <w:pStyle w:val="25"/>
        <w:spacing w:before="156" w:beforeLines="50" w:after="156" w:afterLines="50" w:line="360" w:lineRule="auto"/>
        <w:rPr>
          <w:rFonts w:ascii="Times New Roman" w:hAnsi="Times New Roman"/>
        </w:rPr>
      </w:pPr>
      <w:r>
        <w:rPr>
          <w:rFonts w:hAnsi="黑体"/>
        </w:rPr>
        <w:t xml:space="preserve">5   </w:t>
      </w:r>
      <w:r>
        <w:rPr>
          <w:rFonts w:ascii="Times New Roman" w:hAnsi="Times New Roman"/>
        </w:rPr>
        <w:t>仪器设备</w:t>
      </w:r>
    </w:p>
    <w:p w14:paraId="42CF3C18">
      <w:pPr>
        <w:pStyle w:val="25"/>
        <w:spacing w:before="0" w:beforeLines="0" w:after="0" w:afterLines="0" w:line="320" w:lineRule="exact"/>
        <w:outlineLvl w:val="2"/>
        <w:rPr>
          <w:rFonts w:ascii="宋体" w:hAnsi="宋体" w:eastAsia="宋体"/>
          <w:szCs w:val="22"/>
        </w:rPr>
      </w:pPr>
      <w:bookmarkStart w:id="3" w:name="OLE_LINK10"/>
      <w:bookmarkStart w:id="4" w:name="OLE_LINK11"/>
      <w:r>
        <w:rPr>
          <w:rFonts w:hAnsi="黑体"/>
          <w:szCs w:val="22"/>
        </w:rPr>
        <w:t>5.1</w:t>
      </w:r>
      <w:r>
        <w:rPr>
          <w:rFonts w:ascii="宋体" w:hAnsi="宋体" w:eastAsia="宋体"/>
          <w:szCs w:val="22"/>
        </w:rPr>
        <w:t xml:space="preserve"> 全自动荧光光度仪</w:t>
      </w:r>
      <w:bookmarkEnd w:id="3"/>
      <w:bookmarkEnd w:id="4"/>
      <w:r>
        <w:rPr>
          <w:rFonts w:ascii="宋体" w:hAnsi="宋体" w:eastAsia="宋体"/>
          <w:szCs w:val="22"/>
        </w:rPr>
        <w:t>：需具备试剂添加、计时、读取荧光强度等功能</w:t>
      </w:r>
      <w:r>
        <w:rPr>
          <w:rFonts w:ascii="宋体" w:hAnsi="宋体" w:eastAsia="宋体"/>
          <w:szCs w:val="22"/>
          <w:vertAlign w:val="superscript"/>
        </w:rPr>
        <w:t>1）</w:t>
      </w:r>
      <w:r>
        <w:rPr>
          <w:rFonts w:hint="eastAsia" w:ascii="宋体" w:hAnsi="宋体" w:eastAsia="宋体"/>
          <w:szCs w:val="22"/>
        </w:rPr>
        <w:t>。</w:t>
      </w:r>
    </w:p>
    <w:p w14:paraId="3AB31CBB">
      <w:pPr>
        <w:pStyle w:val="25"/>
        <w:spacing w:before="0" w:beforeLines="0" w:after="0" w:afterLines="0" w:line="320" w:lineRule="exact"/>
        <w:outlineLvl w:val="2"/>
        <w:rPr>
          <w:rFonts w:ascii="Times New Roman" w:hAnsi="Times New Roman" w:eastAsia="宋体"/>
          <w:szCs w:val="22"/>
        </w:rPr>
      </w:pPr>
      <w:r>
        <w:rPr>
          <w:rFonts w:hint="eastAsia" w:hAnsi="黑体"/>
          <w:szCs w:val="22"/>
        </w:rPr>
        <w:t>5</w:t>
      </w:r>
      <w:r>
        <w:rPr>
          <w:rFonts w:hAnsi="黑体"/>
          <w:szCs w:val="22"/>
        </w:rPr>
        <w:t xml:space="preserve">.2 </w:t>
      </w:r>
      <w:r>
        <w:rPr>
          <w:rFonts w:ascii="Times New Roman" w:hAnsi="Times New Roman" w:eastAsia="宋体"/>
          <w:szCs w:val="22"/>
        </w:rPr>
        <w:t>摇床培养箱：</w:t>
      </w:r>
      <w:r>
        <w:rPr>
          <w:rFonts w:hint="eastAsia" w:ascii="Times New Roman" w:hAnsi="Times New Roman" w:eastAsia="宋体"/>
          <w:szCs w:val="22"/>
        </w:rPr>
        <w:t xml:space="preserve">25 </w:t>
      </w:r>
      <w:r>
        <w:rPr>
          <w:rFonts w:ascii="Times New Roman" w:hAnsi="Times New Roman" w:eastAsia="宋体"/>
          <w:szCs w:val="22"/>
        </w:rPr>
        <w:t>℃</w:t>
      </w:r>
      <w:r>
        <w:rPr>
          <w:rFonts w:hint="default" w:ascii="Times New Roman" w:hAnsi="Times New Roman" w:eastAsia="宋体"/>
          <w:szCs w:val="22"/>
        </w:rPr>
        <w:t>±</w:t>
      </w:r>
      <w:r>
        <w:rPr>
          <w:rFonts w:hint="eastAsia" w:ascii="Times New Roman" w:hAnsi="Times New Roman" w:eastAsia="宋体"/>
          <w:szCs w:val="22"/>
        </w:rPr>
        <w:t xml:space="preserve">2 </w:t>
      </w:r>
      <w:r>
        <w:rPr>
          <w:rFonts w:ascii="Times New Roman" w:hAnsi="Times New Roman" w:eastAsia="宋体"/>
          <w:szCs w:val="22"/>
        </w:rPr>
        <w:t>℃</w:t>
      </w:r>
      <w:r>
        <w:rPr>
          <w:rFonts w:hint="eastAsia" w:ascii="Times New Roman" w:hAnsi="Times New Roman" w:eastAsia="宋体"/>
          <w:szCs w:val="22"/>
        </w:rPr>
        <w:t>、</w:t>
      </w:r>
      <w:r>
        <w:rPr>
          <w:rFonts w:ascii="Times New Roman" w:hAnsi="Times New Roman" w:eastAsia="宋体"/>
          <w:szCs w:val="22"/>
        </w:rPr>
        <w:t xml:space="preserve">30 </w:t>
      </w:r>
      <w:bookmarkStart w:id="5" w:name="_Hlk66971063"/>
      <w:r>
        <w:rPr>
          <w:rFonts w:ascii="Times New Roman" w:hAnsi="Times New Roman" w:eastAsia="宋体"/>
          <w:szCs w:val="22"/>
        </w:rPr>
        <w:t>℃</w:t>
      </w:r>
      <w:bookmarkEnd w:id="5"/>
      <w:r>
        <w:rPr>
          <w:rFonts w:hint="default" w:ascii="Times New Roman" w:hAnsi="Times New Roman" w:eastAsiaTheme="minorEastAsia"/>
          <w:szCs w:val="22"/>
        </w:rPr>
        <w:t>±</w:t>
      </w:r>
      <w:r>
        <w:rPr>
          <w:rFonts w:ascii="Times New Roman" w:hAnsi="Times New Roman" w:eastAsia="宋体"/>
          <w:szCs w:val="22"/>
        </w:rPr>
        <w:t>2 ℃</w:t>
      </w:r>
      <w:r>
        <w:rPr>
          <w:rFonts w:hint="eastAsia" w:ascii="Times New Roman" w:hAnsi="Times New Roman" w:eastAsia="宋体"/>
          <w:szCs w:val="22"/>
        </w:rPr>
        <w:t xml:space="preserve">、32.5 </w:t>
      </w:r>
      <w:r>
        <w:rPr>
          <w:rFonts w:ascii="Times New Roman" w:hAnsi="Times New Roman" w:eastAsia="宋体"/>
          <w:szCs w:val="22"/>
        </w:rPr>
        <w:t>℃</w:t>
      </w:r>
      <w:r>
        <w:rPr>
          <w:rFonts w:hint="default" w:ascii="Times New Roman" w:hAnsi="Times New Roman" w:eastAsia="宋体"/>
          <w:szCs w:val="22"/>
        </w:rPr>
        <w:t>±</w:t>
      </w:r>
      <w:r>
        <w:rPr>
          <w:rFonts w:hint="eastAsia" w:ascii="Times New Roman" w:hAnsi="Times New Roman" w:eastAsia="宋体"/>
          <w:szCs w:val="22"/>
        </w:rPr>
        <w:t xml:space="preserve">2 </w:t>
      </w:r>
      <w:r>
        <w:rPr>
          <w:rFonts w:ascii="Times New Roman" w:hAnsi="Times New Roman" w:eastAsia="宋体"/>
          <w:szCs w:val="22"/>
        </w:rPr>
        <w:t>℃，圆周式震荡，</w:t>
      </w:r>
      <w:r>
        <w:rPr>
          <w:rFonts w:ascii="Times New Roman" w:hAnsi="Times New Roman" w:eastAsia="宋体"/>
          <w:szCs w:val="21"/>
        </w:rPr>
        <w:t>200 r/min</w:t>
      </w:r>
      <w:r>
        <w:rPr>
          <w:rFonts w:hint="eastAsia" w:ascii="微软雅黑" w:hAnsi="微软雅黑" w:eastAsia="微软雅黑" w:cs="微软雅黑"/>
        </w:rPr>
        <w:t>～</w:t>
      </w:r>
      <w:r>
        <w:rPr>
          <w:rFonts w:ascii="Times New Roman" w:hAnsi="Times New Roman" w:eastAsia="宋体"/>
          <w:szCs w:val="21"/>
        </w:rPr>
        <w:t>250 r/min</w:t>
      </w:r>
      <w:r>
        <w:rPr>
          <w:rFonts w:ascii="Times New Roman" w:hAnsi="Times New Roman" w:eastAsia="宋体"/>
          <w:szCs w:val="22"/>
        </w:rPr>
        <w:t>。</w:t>
      </w:r>
    </w:p>
    <w:p w14:paraId="6CCE871B">
      <w:pPr>
        <w:pStyle w:val="25"/>
        <w:spacing w:before="0" w:beforeLines="0" w:after="0" w:afterLines="0" w:line="320" w:lineRule="exact"/>
        <w:outlineLvl w:val="2"/>
        <w:rPr>
          <w:rFonts w:ascii="Times New Roman" w:hAnsi="Times New Roman" w:eastAsia="宋体"/>
          <w:szCs w:val="22"/>
        </w:rPr>
      </w:pPr>
      <w:r>
        <w:rPr>
          <w:rFonts w:hAnsi="黑体"/>
          <w:szCs w:val="22"/>
        </w:rPr>
        <w:t>5.3</w:t>
      </w:r>
      <w:r>
        <w:rPr>
          <w:rFonts w:ascii="Times New Roman" w:hAnsi="Times New Roman" w:eastAsia="宋体"/>
          <w:szCs w:val="22"/>
        </w:rPr>
        <w:t xml:space="preserve"> 轨道式往复式摇床：振幅 3.81 cm，280 r/min，或经验证具有同等破壁效果的摇床。</w:t>
      </w:r>
    </w:p>
    <w:p w14:paraId="371444D4">
      <w:pPr>
        <w:pStyle w:val="25"/>
        <w:spacing w:before="0" w:beforeLines="0" w:after="0" w:afterLines="0" w:line="320" w:lineRule="exact"/>
        <w:outlineLvl w:val="2"/>
        <w:rPr>
          <w:rFonts w:ascii="Times New Roman" w:hAnsi="Times New Roman" w:eastAsia="宋体"/>
          <w:szCs w:val="22"/>
        </w:rPr>
      </w:pPr>
      <w:r>
        <w:rPr>
          <w:rFonts w:hAnsi="黑体"/>
          <w:szCs w:val="22"/>
        </w:rPr>
        <w:t>5.4</w:t>
      </w:r>
      <w:r>
        <w:rPr>
          <w:rFonts w:ascii="Times New Roman" w:hAnsi="Times New Roman"/>
          <w:szCs w:val="22"/>
        </w:rPr>
        <w:t xml:space="preserve"> </w:t>
      </w:r>
      <w:r>
        <w:rPr>
          <w:rFonts w:ascii="Times New Roman" w:hAnsi="Times New Roman" w:eastAsia="宋体"/>
          <w:szCs w:val="22"/>
        </w:rPr>
        <w:t>生物安全柜。</w:t>
      </w:r>
    </w:p>
    <w:p w14:paraId="0248A4F3">
      <w:pPr>
        <w:pStyle w:val="25"/>
        <w:spacing w:before="0" w:beforeLines="0" w:after="0" w:afterLines="0" w:line="320" w:lineRule="exact"/>
        <w:outlineLvl w:val="2"/>
        <w:rPr>
          <w:rFonts w:ascii="Times New Roman" w:hAnsi="Times New Roman" w:eastAsia="宋体"/>
          <w:szCs w:val="22"/>
        </w:rPr>
      </w:pPr>
      <w:r>
        <w:rPr>
          <w:rFonts w:hAnsi="黑体"/>
          <w:szCs w:val="22"/>
        </w:rPr>
        <w:t>5.5</w:t>
      </w:r>
      <w:r>
        <w:rPr>
          <w:rFonts w:ascii="Times New Roman" w:hAnsi="Times New Roman" w:eastAsia="宋体"/>
          <w:szCs w:val="22"/>
        </w:rPr>
        <w:t xml:space="preserve"> 漩涡混合器: 0</w:t>
      </w:r>
      <w:r>
        <w:rPr>
          <w:rFonts w:ascii="Times New Roman" w:hAnsi="Times New Roman" w:eastAsia="宋体"/>
          <w:szCs w:val="21"/>
        </w:rPr>
        <w:t xml:space="preserve"> r/min</w:t>
      </w:r>
      <w:r>
        <w:rPr>
          <w:rFonts w:hint="eastAsia" w:ascii="微软雅黑" w:hAnsi="微软雅黑" w:eastAsia="微软雅黑" w:cs="微软雅黑"/>
        </w:rPr>
        <w:t>～</w:t>
      </w:r>
      <w:r>
        <w:rPr>
          <w:rFonts w:ascii="Times New Roman" w:hAnsi="Times New Roman" w:eastAsia="宋体"/>
          <w:szCs w:val="22"/>
        </w:rPr>
        <w:t>2500 r/min</w:t>
      </w:r>
      <w:r>
        <w:rPr>
          <w:rFonts w:ascii="Times New Roman" w:hAnsi="Times New Roman"/>
          <w:szCs w:val="22"/>
        </w:rPr>
        <w:t>。</w:t>
      </w:r>
    </w:p>
    <w:p w14:paraId="6590D9FB">
      <w:pPr>
        <w:pStyle w:val="25"/>
        <w:spacing w:before="0" w:beforeLines="0" w:after="0" w:afterLines="0" w:line="320" w:lineRule="exact"/>
        <w:outlineLvl w:val="2"/>
        <w:rPr>
          <w:rFonts w:ascii="Times New Roman" w:hAnsi="Times New Roman" w:eastAsia="宋体"/>
          <w:szCs w:val="22"/>
        </w:rPr>
      </w:pPr>
      <w:r>
        <w:rPr>
          <w:rFonts w:hAnsi="黑体"/>
          <w:szCs w:val="22"/>
        </w:rPr>
        <w:t>5.6</w:t>
      </w:r>
      <w:r>
        <w:rPr>
          <w:rFonts w:ascii="Times New Roman" w:hAnsi="Times New Roman" w:eastAsia="宋体"/>
          <w:szCs w:val="22"/>
        </w:rPr>
        <w:t xml:space="preserve"> 高压灭菌器</w:t>
      </w:r>
      <w:r>
        <w:rPr>
          <w:rFonts w:ascii="Times New Roman" w:hAnsi="Times New Roman"/>
          <w:szCs w:val="22"/>
        </w:rPr>
        <w:t>。</w:t>
      </w:r>
    </w:p>
    <w:p w14:paraId="72D5C5A8">
      <w:pPr>
        <w:pStyle w:val="25"/>
        <w:spacing w:before="0" w:beforeLines="0" w:after="0" w:afterLines="0" w:line="320" w:lineRule="exact"/>
        <w:outlineLvl w:val="2"/>
        <w:rPr>
          <w:rFonts w:ascii="Times New Roman" w:hAnsi="Times New Roman" w:eastAsia="宋体"/>
          <w:szCs w:val="22"/>
        </w:rPr>
      </w:pPr>
      <w:r>
        <w:rPr>
          <w:rFonts w:hAnsi="黑体"/>
          <w:szCs w:val="22"/>
        </w:rPr>
        <w:t xml:space="preserve">5.7 </w:t>
      </w:r>
      <w:r>
        <w:rPr>
          <w:rFonts w:ascii="Times New Roman" w:hAnsi="Times New Roman" w:eastAsia="宋体"/>
          <w:szCs w:val="22"/>
        </w:rPr>
        <w:t>电子天平：量程0 g</w:t>
      </w:r>
      <w:r>
        <w:rPr>
          <w:rFonts w:hint="eastAsia" w:ascii="微软雅黑" w:hAnsi="微软雅黑" w:eastAsia="微软雅黑" w:cs="微软雅黑"/>
          <w:szCs w:val="22"/>
        </w:rPr>
        <w:t>~</w:t>
      </w:r>
      <w:r>
        <w:rPr>
          <w:rFonts w:ascii="Times New Roman" w:hAnsi="Times New Roman" w:eastAsia="宋体"/>
          <w:szCs w:val="22"/>
        </w:rPr>
        <w:t>200 g，精确至0.1 g</w:t>
      </w:r>
      <w:r>
        <w:rPr>
          <w:rFonts w:ascii="Times New Roman" w:hAnsi="Times New Roman"/>
          <w:szCs w:val="22"/>
        </w:rPr>
        <w:t>。</w:t>
      </w:r>
    </w:p>
    <w:p w14:paraId="6F509B77">
      <w:pPr>
        <w:pStyle w:val="25"/>
        <w:spacing w:before="0" w:beforeLines="0" w:after="0" w:afterLines="0" w:line="320" w:lineRule="exact"/>
        <w:outlineLvl w:val="2"/>
        <w:rPr>
          <w:rFonts w:ascii="Times New Roman" w:hAnsi="Times New Roman" w:eastAsia="宋体"/>
          <w:szCs w:val="22"/>
        </w:rPr>
      </w:pPr>
      <w:r>
        <w:rPr>
          <w:rFonts w:hAnsi="黑体"/>
          <w:szCs w:val="22"/>
        </w:rPr>
        <w:t>5.8</w:t>
      </w:r>
      <w:r>
        <w:rPr>
          <w:rFonts w:ascii="Times New Roman" w:hAnsi="Times New Roman" w:eastAsia="宋体"/>
          <w:szCs w:val="22"/>
        </w:rPr>
        <w:t xml:space="preserve"> 移液器：50 μL、100 μL、1 mL、5 mL</w:t>
      </w:r>
      <w:r>
        <w:rPr>
          <w:rFonts w:ascii="Times New Roman" w:hAnsi="Times New Roman"/>
          <w:szCs w:val="22"/>
        </w:rPr>
        <w:t>。</w:t>
      </w:r>
    </w:p>
    <w:p w14:paraId="0DBD1AA8">
      <w:pPr>
        <w:pStyle w:val="25"/>
        <w:spacing w:before="0" w:beforeLines="0" w:after="0" w:afterLines="0" w:line="320" w:lineRule="exact"/>
        <w:outlineLvl w:val="2"/>
        <w:rPr>
          <w:rFonts w:ascii="Times New Roman" w:hAnsi="Times New Roman" w:eastAsia="宋体"/>
          <w:szCs w:val="22"/>
        </w:rPr>
      </w:pPr>
      <w:r>
        <w:rPr>
          <w:rFonts w:hAnsi="黑体"/>
          <w:szCs w:val="22"/>
        </w:rPr>
        <w:t>5.9</w:t>
      </w:r>
      <w:r>
        <w:rPr>
          <w:rFonts w:ascii="Times New Roman" w:hAnsi="Times New Roman" w:eastAsia="宋体"/>
          <w:szCs w:val="22"/>
        </w:rPr>
        <w:t xml:space="preserve"> 玻璃珠：直径0.5 mm，或等效的其他材料或大小的珠、砂，如氧化锆珠</w:t>
      </w:r>
      <w:r>
        <w:rPr>
          <w:rFonts w:ascii="Times New Roman" w:hAnsi="Times New Roman"/>
          <w:szCs w:val="22"/>
        </w:rPr>
        <w:t>。</w:t>
      </w:r>
    </w:p>
    <w:p w14:paraId="48EBFE15">
      <w:pPr>
        <w:pStyle w:val="21"/>
        <w:spacing w:after="0" w:line="320" w:lineRule="exact"/>
        <w:ind w:firstLine="0" w:firstLineChars="0"/>
        <w:rPr>
          <w:rFonts w:ascii="Times New Roman" w:hAnsi="Times New Roman"/>
          <w:szCs w:val="22"/>
        </w:rPr>
      </w:pPr>
      <w:r>
        <w:rPr>
          <w:rFonts w:ascii="黑体" w:hAnsi="黑体" w:eastAsia="黑体"/>
          <w:szCs w:val="22"/>
        </w:rPr>
        <w:t>5.10</w:t>
      </w:r>
      <w:r>
        <w:rPr>
          <w:rFonts w:ascii="Times New Roman" w:hAnsi="Times New Roman"/>
          <w:szCs w:val="22"/>
        </w:rPr>
        <w:t xml:space="preserve"> 旋盖玻璃瓶：250 mL，或其他无菌/可灭菌容器。</w:t>
      </w:r>
    </w:p>
    <w:p w14:paraId="20261FC4">
      <w:pPr>
        <w:pStyle w:val="21"/>
        <w:spacing w:after="0" w:line="320" w:lineRule="exact"/>
        <w:ind w:firstLine="0" w:firstLineChars="0"/>
        <w:rPr>
          <w:rFonts w:ascii="Times New Roman" w:hAnsi="Times New Roman"/>
          <w:szCs w:val="22"/>
        </w:rPr>
      </w:pPr>
      <w:r>
        <w:rPr>
          <w:rFonts w:ascii="黑体" w:hAnsi="黑体" w:eastAsia="黑体"/>
          <w:szCs w:val="22"/>
        </w:rPr>
        <w:t>5.11</w:t>
      </w:r>
      <w:r>
        <w:rPr>
          <w:rFonts w:ascii="Times New Roman" w:hAnsi="Times New Roman"/>
          <w:szCs w:val="22"/>
        </w:rPr>
        <w:t xml:space="preserve"> 量筒：1000 mL。</w:t>
      </w:r>
    </w:p>
    <w:p w14:paraId="5A2289D8">
      <w:pPr>
        <w:pStyle w:val="21"/>
        <w:spacing w:after="0" w:line="320" w:lineRule="exact"/>
        <w:ind w:firstLine="0" w:firstLineChars="0"/>
        <w:rPr>
          <w:rFonts w:ascii="Times New Roman" w:hAnsi="Times New Roman"/>
          <w:szCs w:val="22"/>
        </w:rPr>
      </w:pPr>
      <w:r>
        <w:rPr>
          <w:rFonts w:ascii="黑体" w:hAnsi="黑体" w:eastAsia="黑体"/>
          <w:szCs w:val="22"/>
        </w:rPr>
        <w:t xml:space="preserve">5.12 </w:t>
      </w:r>
      <w:r>
        <w:rPr>
          <w:rFonts w:ascii="Times New Roman" w:hAnsi="Times New Roman"/>
          <w:szCs w:val="22"/>
        </w:rPr>
        <w:t>烧杯：2000 mL。</w:t>
      </w:r>
    </w:p>
    <w:p w14:paraId="5C81D0F9">
      <w:pPr>
        <w:pStyle w:val="21"/>
        <w:spacing w:after="0" w:line="320" w:lineRule="exact"/>
        <w:ind w:firstLine="0" w:firstLineChars="0"/>
        <w:rPr>
          <w:rFonts w:ascii="Times New Roman" w:hAnsi="Times New Roman"/>
          <w:szCs w:val="22"/>
        </w:rPr>
      </w:pPr>
      <w:r>
        <w:rPr>
          <w:rFonts w:ascii="黑体" w:hAnsi="黑体" w:eastAsia="黑体"/>
          <w:szCs w:val="22"/>
        </w:rPr>
        <w:t xml:space="preserve">5.13 </w:t>
      </w:r>
      <w:r>
        <w:rPr>
          <w:rFonts w:ascii="Times New Roman" w:hAnsi="Times New Roman"/>
          <w:szCs w:val="22"/>
        </w:rPr>
        <w:t>pH计。</w:t>
      </w:r>
    </w:p>
    <w:p w14:paraId="559B9707">
      <w:pPr>
        <w:pStyle w:val="25"/>
        <w:spacing w:before="156" w:beforeLines="50" w:after="156" w:afterLines="50" w:line="360" w:lineRule="auto"/>
        <w:rPr>
          <w:rFonts w:ascii="Times New Roman" w:hAnsi="Times New Roman"/>
        </w:rPr>
      </w:pPr>
      <w:r>
        <w:rPr>
          <w:rFonts w:hAnsi="黑体"/>
        </w:rPr>
        <w:t>6</w:t>
      </w:r>
      <w:r>
        <w:rPr>
          <w:rFonts w:hint="eastAsia" w:hAnsi="黑体"/>
        </w:rPr>
        <w:t xml:space="preserve"> </w:t>
      </w:r>
      <w:r>
        <w:rPr>
          <w:rFonts w:ascii="Times New Roman" w:hAnsi="Times New Roman"/>
        </w:rPr>
        <w:t>培养基和试剂</w:t>
      </w:r>
    </w:p>
    <w:p w14:paraId="2FF3C395">
      <w:pPr>
        <w:pStyle w:val="21"/>
        <w:spacing w:after="0" w:line="320" w:lineRule="exact"/>
        <w:rPr>
          <w:rFonts w:hAnsi="宋体"/>
        </w:rPr>
      </w:pPr>
      <w:r>
        <w:rPr>
          <w:rFonts w:hint="eastAsia" w:hAnsi="宋体"/>
        </w:rPr>
        <w:t>除特别说明外，本文件需使用分析纯试剂和</w:t>
      </w:r>
      <w:r>
        <w:rPr>
          <w:rFonts w:ascii="Times New Roman" w:hAnsi="Times New Roman"/>
        </w:rPr>
        <w:t>符合GB/T 6682规定的一级</w:t>
      </w:r>
      <w:r>
        <w:rPr>
          <w:rFonts w:hint="eastAsia" w:hAnsi="宋体"/>
        </w:rPr>
        <w:t>水。</w:t>
      </w:r>
    </w:p>
    <w:p w14:paraId="3A342294">
      <w:pPr>
        <w:pStyle w:val="25"/>
        <w:spacing w:before="0" w:beforeLines="0" w:after="0" w:afterLines="0" w:line="320" w:lineRule="exact"/>
        <w:outlineLvl w:val="2"/>
        <w:rPr>
          <w:rFonts w:ascii="Times New Roman" w:hAnsi="Times New Roman" w:eastAsia="宋体"/>
        </w:rPr>
      </w:pPr>
      <w:r>
        <w:rPr>
          <w:rFonts w:hAnsi="黑体"/>
        </w:rPr>
        <w:t xml:space="preserve">6.1 </w:t>
      </w:r>
      <w:r>
        <w:rPr>
          <w:rFonts w:hint="eastAsia" w:ascii="Times New Roman" w:hAnsi="Times New Roman" w:eastAsia="宋体"/>
        </w:rPr>
        <w:t>T</w:t>
      </w:r>
      <w:r>
        <w:rPr>
          <w:rFonts w:ascii="Times New Roman" w:hAnsi="Times New Roman" w:eastAsia="宋体"/>
        </w:rPr>
        <w:t>AT</w:t>
      </w:r>
      <w:r>
        <w:rPr>
          <w:rFonts w:hint="eastAsia" w:ascii="Times New Roman" w:hAnsi="Times New Roman" w:eastAsia="宋体"/>
        </w:rPr>
        <w:t>基础培养基</w:t>
      </w:r>
      <w:r>
        <w:rPr>
          <w:rFonts w:ascii="宋体" w:hAnsi="宋体" w:eastAsia="宋体"/>
          <w:szCs w:val="22"/>
          <w:vertAlign w:val="superscript"/>
        </w:rPr>
        <w:t>2）</w:t>
      </w:r>
      <w:r>
        <w:rPr>
          <w:rFonts w:hint="eastAsia" w:ascii="Times New Roman" w:hAnsi="Times New Roman" w:eastAsia="宋体"/>
        </w:rPr>
        <w:t>：见附录B中B.</w:t>
      </w:r>
      <w:r>
        <w:rPr>
          <w:rFonts w:ascii="Times New Roman" w:hAnsi="Times New Roman" w:eastAsia="宋体"/>
        </w:rPr>
        <w:t>1</w:t>
      </w:r>
      <w:r>
        <w:rPr>
          <w:rFonts w:hint="eastAsia" w:ascii="Times New Roman" w:hAnsi="Times New Roman" w:eastAsia="宋体"/>
        </w:rPr>
        <w:t>。</w:t>
      </w:r>
    </w:p>
    <w:p w14:paraId="42AAE457">
      <w:pPr>
        <w:pStyle w:val="25"/>
        <w:spacing w:before="0" w:beforeLines="0" w:after="0" w:afterLines="0" w:line="320" w:lineRule="exact"/>
        <w:outlineLvl w:val="2"/>
        <w:rPr>
          <w:rFonts w:ascii="宋体" w:hAnsi="宋体" w:eastAsia="宋体"/>
          <w:szCs w:val="22"/>
        </w:rPr>
      </w:pPr>
      <w:r>
        <w:rPr>
          <w:rFonts w:hAnsi="黑体"/>
        </w:rPr>
        <w:t>6.2</w:t>
      </w:r>
      <w:r>
        <w:rPr>
          <w:rFonts w:hint="eastAsia" w:hAnsi="黑体" w:cs="黑体"/>
        </w:rPr>
        <w:t xml:space="preserve"> </w:t>
      </w:r>
      <w:r>
        <w:rPr>
          <w:rFonts w:hint="eastAsia" w:ascii="Times New Roman" w:hAnsi="Times New Roman" w:eastAsia="宋体"/>
        </w:rPr>
        <w:t>MTAT培养基：见B.</w:t>
      </w:r>
      <w:r>
        <w:rPr>
          <w:rFonts w:ascii="Times New Roman" w:hAnsi="Times New Roman" w:eastAsia="宋体"/>
        </w:rPr>
        <w:t>2</w:t>
      </w:r>
      <w:r>
        <w:rPr>
          <w:rFonts w:hint="eastAsia" w:ascii="Times New Roman" w:hAnsi="Times New Roman" w:eastAsia="宋体"/>
        </w:rPr>
        <w:t>。</w:t>
      </w:r>
    </w:p>
    <w:p w14:paraId="5871BE35">
      <w:pPr>
        <w:pStyle w:val="25"/>
        <w:spacing w:before="0" w:beforeLines="0" w:after="0" w:afterLines="0" w:line="320" w:lineRule="exact"/>
        <w:outlineLvl w:val="2"/>
        <w:rPr>
          <w:rFonts w:ascii="宋体" w:hAnsi="宋体" w:eastAsia="宋体"/>
          <w:szCs w:val="22"/>
        </w:rPr>
      </w:pPr>
      <w:r>
        <w:rPr>
          <w:rFonts w:hAnsi="黑体"/>
        </w:rPr>
        <w:t>6.3</w:t>
      </w:r>
      <w:r>
        <w:rPr>
          <w:rFonts w:hint="eastAsia" w:hAnsi="黑体" w:cs="黑体"/>
        </w:rPr>
        <w:t xml:space="preserve"> </w:t>
      </w:r>
      <w:r>
        <w:rPr>
          <w:rFonts w:ascii="Times New Roman" w:hAnsi="Times New Roman" w:eastAsia="宋体"/>
        </w:rPr>
        <w:t>TLE</w:t>
      </w:r>
      <w:r>
        <w:rPr>
          <w:rFonts w:hint="eastAsia" w:ascii="Times New Roman" w:hAnsi="Times New Roman" w:eastAsia="宋体"/>
        </w:rPr>
        <w:t>培养基：见B.3。</w:t>
      </w:r>
    </w:p>
    <w:p w14:paraId="557C72C9">
      <w:pPr>
        <w:pStyle w:val="21"/>
        <w:spacing w:after="0" w:line="320" w:lineRule="exact"/>
        <w:ind w:firstLine="0" w:firstLineChars="0"/>
        <w:rPr>
          <w:rFonts w:ascii="黑体" w:hAnsi="黑体" w:eastAsia="黑体"/>
        </w:rPr>
      </w:pPr>
      <w:r>
        <w:rPr>
          <w:rFonts w:hint="eastAsia" w:ascii="黑体" w:hAnsi="黑体" w:eastAsia="黑体"/>
        </w:rPr>
        <w:t>6</w:t>
      </w:r>
      <w:r>
        <w:rPr>
          <w:rFonts w:ascii="黑体" w:hAnsi="黑体" w:eastAsia="黑体"/>
        </w:rPr>
        <w:t xml:space="preserve">.4 </w:t>
      </w:r>
      <w:r>
        <w:rPr>
          <w:rFonts w:hint="eastAsia" w:ascii="Times New Roman" w:hAnsi="Times New Roman"/>
        </w:rPr>
        <w:t>消泡剂：见B.4。</w:t>
      </w:r>
    </w:p>
    <w:p w14:paraId="30814210">
      <w:pPr>
        <w:pStyle w:val="25"/>
        <w:spacing w:before="0" w:beforeLines="0" w:after="0" w:afterLines="0" w:line="320" w:lineRule="exact"/>
        <w:outlineLvl w:val="2"/>
        <w:rPr>
          <w:rFonts w:ascii="Times New Roman" w:hAnsi="Times New Roman" w:eastAsia="宋体"/>
        </w:rPr>
      </w:pPr>
      <w:r>
        <w:rPr>
          <w:rFonts w:hint="eastAsia" w:hAnsi="黑体"/>
        </w:rPr>
        <w:t>6</w:t>
      </w:r>
      <w:r>
        <w:rPr>
          <w:rFonts w:hAnsi="黑体"/>
        </w:rPr>
        <w:t xml:space="preserve">.5 </w:t>
      </w:r>
      <w:r>
        <w:rPr>
          <w:rFonts w:ascii="Times New Roman" w:hAnsi="Times New Roman" w:eastAsia="宋体"/>
        </w:rPr>
        <w:t>ATP 生物荧光增幅法试剂盒</w:t>
      </w:r>
      <w:r>
        <w:rPr>
          <w:rFonts w:ascii="Times New Roman" w:hAnsi="Times New Roman" w:eastAsia="宋体"/>
          <w:vertAlign w:val="superscript"/>
        </w:rPr>
        <w:t>3）</w:t>
      </w:r>
      <w:r>
        <w:rPr>
          <w:rFonts w:ascii="Times New Roman" w:hAnsi="Times New Roman" w:eastAsia="宋体"/>
        </w:rPr>
        <w:t>或其他等效产品：见B.5。</w:t>
      </w:r>
    </w:p>
    <w:p w14:paraId="30235E5B">
      <w:pPr>
        <w:pStyle w:val="25"/>
        <w:spacing w:before="156" w:beforeLines="50" w:after="156" w:afterLines="50" w:line="360" w:lineRule="auto"/>
        <w:jc w:val="left"/>
        <w:rPr>
          <w:rFonts w:hAnsi="黑体"/>
        </w:rPr>
      </w:pPr>
      <w:r>
        <w:rPr>
          <w:rFonts w:hAnsi="黑体"/>
        </w:rPr>
        <w:t>7</w:t>
      </w:r>
      <w:r>
        <w:rPr>
          <w:rFonts w:hint="eastAsia" w:hAnsi="黑体"/>
        </w:rPr>
        <w:t xml:space="preserve"> </w:t>
      </w:r>
      <w:r>
        <w:rPr>
          <w:rFonts w:hAnsi="黑体"/>
        </w:rPr>
        <w:t xml:space="preserve"> 单培养体系法</w:t>
      </w:r>
      <w:r>
        <w:rPr>
          <w:rFonts w:hint="eastAsia" w:hAnsi="黑体"/>
        </w:rPr>
        <w:t>（</w:t>
      </w:r>
      <w:r>
        <w:rPr>
          <w:rFonts w:hAnsi="黑体"/>
        </w:rPr>
        <w:t>第一法</w:t>
      </w:r>
      <w:r>
        <w:rPr>
          <w:rFonts w:hint="eastAsia" w:hAnsi="黑体"/>
        </w:rPr>
        <w:t>）</w:t>
      </w:r>
    </w:p>
    <w:p w14:paraId="4D765249">
      <w:pPr>
        <w:pStyle w:val="25"/>
        <w:spacing w:before="156" w:beforeLines="50" w:after="156" w:afterLines="50" w:line="240" w:lineRule="auto"/>
        <w:outlineLvl w:val="2"/>
      </w:pPr>
      <w:r>
        <w:t>7.</w:t>
      </w:r>
      <w:r>
        <w:rPr>
          <w:rFonts w:hint="eastAsia"/>
        </w:rPr>
        <w:t>1</w:t>
      </w:r>
      <w:r>
        <w:t xml:space="preserve"> </w:t>
      </w:r>
      <w:r>
        <w:rPr>
          <w:rFonts w:hint="eastAsia"/>
        </w:rPr>
        <w:t>通用要求</w:t>
      </w:r>
    </w:p>
    <w:p w14:paraId="3803045A">
      <w:pPr>
        <w:pStyle w:val="21"/>
        <w:spacing w:after="0" w:line="320" w:lineRule="exact"/>
      </w:pPr>
      <w:r>
        <w:rPr>
          <w:rFonts w:hint="eastAsia" w:ascii="Times New Roman" w:hAnsi="Times New Roman"/>
        </w:rPr>
        <w:t>产品第一次使用本方法或发生变化可能影响检验结果时，</w:t>
      </w:r>
      <w:r>
        <w:rPr>
          <w:rFonts w:hint="eastAsia"/>
        </w:rPr>
        <w:t>首先应通过产品影响测试，</w:t>
      </w:r>
      <w:r>
        <w:rPr>
          <w:rFonts w:hint="eastAsia" w:ascii="Times New Roman" w:hAnsi="Times New Roman"/>
        </w:rPr>
        <w:t>产品影响测试</w:t>
      </w:r>
      <w:r>
        <w:rPr>
          <w:rFonts w:hint="eastAsia"/>
        </w:rPr>
        <w:t>试验步骤按</w:t>
      </w:r>
      <w:r>
        <w:rPr>
          <w:rFonts w:hint="eastAsia" w:ascii="Times New Roman" w:hAnsi="Times New Roman"/>
        </w:rPr>
        <w:t>附录A。</w:t>
      </w:r>
      <w:r>
        <w:rPr>
          <w:rFonts w:hint="eastAsia"/>
        </w:rPr>
        <w:t>符合产品影响测试要求的样品可按照以下步骤进行检验。</w:t>
      </w:r>
    </w:p>
    <w:p w14:paraId="1025EFD9">
      <w:pPr>
        <w:pStyle w:val="25"/>
        <w:spacing w:before="156" w:beforeLines="50" w:after="156" w:afterLines="50" w:line="360" w:lineRule="auto"/>
        <w:rPr>
          <w:rFonts w:ascii="Times New Roman" w:hAnsi="Times New Roman"/>
        </w:rPr>
      </w:pPr>
      <w:r>
        <w:rPr>
          <w:rFonts w:hAnsi="黑体"/>
        </w:rPr>
        <w:t>7</w:t>
      </w:r>
      <w:r>
        <w:t>.</w:t>
      </w:r>
      <w:r>
        <w:rPr>
          <w:rFonts w:hint="eastAsia"/>
        </w:rPr>
        <w:t xml:space="preserve">2 </w:t>
      </w:r>
      <w:r>
        <w:rPr>
          <w:rFonts w:ascii="Times New Roman" w:hAnsi="Times New Roman"/>
        </w:rPr>
        <w:t>操作步骤</w:t>
      </w:r>
    </w:p>
    <w:p w14:paraId="509047EF">
      <w:pPr>
        <w:pStyle w:val="25"/>
        <w:spacing w:before="156" w:beforeLines="50" w:after="156" w:afterLines="50" w:line="240" w:lineRule="auto"/>
        <w:outlineLvl w:val="2"/>
      </w:pPr>
      <w:r>
        <w:t>7</w:t>
      </w:r>
      <w:r>
        <w:rPr>
          <w:rFonts w:hint="eastAsia"/>
        </w:rPr>
        <w:t>.</w:t>
      </w:r>
      <w:r>
        <w:t>2</w:t>
      </w:r>
      <w:r>
        <w:rPr>
          <w:rFonts w:hint="eastAsia"/>
        </w:rPr>
        <w:t>.1 检液</w:t>
      </w:r>
      <w:r>
        <w:t>制备</w:t>
      </w:r>
    </w:p>
    <w:p w14:paraId="7F3DCC99">
      <w:pPr>
        <w:spacing w:after="0" w:line="320" w:lineRule="exact"/>
        <w:ind w:firstLine="420" w:firstLineChars="200"/>
        <w:rPr>
          <w:rFonts w:ascii="Times New Roman" w:hAnsi="Times New Roman"/>
          <w:kern w:val="0"/>
          <w:szCs w:val="20"/>
        </w:rPr>
      </w:pPr>
      <w:r>
        <w:rPr>
          <w:rFonts w:hint="eastAsia" w:ascii="宋体" w:hAnsi="宋体"/>
          <w:kern w:val="0"/>
          <w:szCs w:val="20"/>
        </w:rPr>
        <w:t>按照</w:t>
      </w:r>
      <w:r>
        <w:rPr>
          <w:rFonts w:ascii="宋体" w:hAnsi="宋体"/>
        </w:rPr>
        <w:t>《化</w:t>
      </w:r>
      <w:r>
        <w:rPr>
          <w:rFonts w:hint="eastAsia" w:ascii="Times New Roman" w:hAnsi="Times New Roman"/>
        </w:rPr>
        <w:t>妆品安全技术规范》</w:t>
      </w:r>
      <w:r>
        <w:rPr>
          <w:rFonts w:hint="eastAsia" w:ascii="Times New Roman" w:hAnsi="Times New Roman"/>
          <w:lang w:eastAsia="zh-CN"/>
        </w:rPr>
        <w:t>（</w:t>
      </w:r>
      <w:r>
        <w:rPr>
          <w:rFonts w:hint="eastAsia" w:ascii="Times New Roman" w:hAnsi="Times New Roman"/>
          <w:lang w:val="en-US" w:eastAsia="zh-CN"/>
        </w:rPr>
        <w:t>2015版</w:t>
      </w:r>
      <w:r>
        <w:rPr>
          <w:rFonts w:hint="eastAsia" w:ascii="Times New Roman" w:hAnsi="Times New Roman"/>
          <w:lang w:eastAsia="zh-CN"/>
        </w:rPr>
        <w:t>）</w:t>
      </w:r>
      <w:r>
        <w:rPr>
          <w:rFonts w:ascii="Times New Roman" w:hAnsi="Times New Roman"/>
        </w:rPr>
        <w:t>第五章微生物检验方法规定的供试样品制备方法，制成1:10稀释的检液，制备中使用MTAT或其他经验证的适宜中和剂作为稀释液。</w:t>
      </w:r>
    </w:p>
    <w:p w14:paraId="24B58705">
      <w:pPr>
        <w:pStyle w:val="25"/>
        <w:spacing w:before="156" w:beforeLines="50" w:after="156" w:afterLines="50" w:line="240" w:lineRule="auto"/>
        <w:outlineLvl w:val="2"/>
      </w:pPr>
      <w:r>
        <w:t>7</w:t>
      </w:r>
      <w:r>
        <w:rPr>
          <w:rFonts w:hint="eastAsia"/>
        </w:rPr>
        <w:t xml:space="preserve">.2.2 </w:t>
      </w:r>
      <w:r>
        <w:t>增菌</w:t>
      </w:r>
    </w:p>
    <w:p w14:paraId="5601EC32">
      <w:pPr>
        <w:tabs>
          <w:tab w:val="left" w:pos="450"/>
        </w:tabs>
        <w:spacing w:after="0" w:line="320" w:lineRule="exact"/>
        <w:ind w:firstLine="420" w:firstLineChars="200"/>
        <w:rPr>
          <w:rFonts w:ascii="Times New Roman" w:hAnsi="Times New Roman"/>
          <w:kern w:val="0"/>
          <w:szCs w:val="20"/>
        </w:rPr>
      </w:pPr>
      <w:r>
        <w:rPr>
          <w:rFonts w:ascii="宋体" w:hAnsi="宋体"/>
        </w:rPr>
        <w:tab/>
      </w:r>
      <w:r>
        <w:rPr>
          <w:rFonts w:ascii="Times New Roman" w:hAnsi="Times New Roman"/>
        </w:rPr>
        <w:t>取10 mL 1:10稀释的检液，加入90 mL MTAT或其他经过验证等效的培养基中，制备成产品试样，如产品抑菌性较强，可采用增加培养基用量、添加中和剂或薄膜过滤等方法，消除产品抑菌作用。将培养基</w:t>
      </w:r>
      <w:r>
        <w:rPr>
          <w:rFonts w:ascii="Times New Roman" w:hAnsi="Times New Roman"/>
          <w:kern w:val="0"/>
          <w:szCs w:val="20"/>
        </w:rPr>
        <w:t>置于</w:t>
      </w:r>
      <w:r>
        <w:rPr>
          <w:rFonts w:ascii="Times New Roman" w:hAnsi="Times New Roman"/>
        </w:rPr>
        <w:t xml:space="preserve">摇床培养箱中于30 </w:t>
      </w:r>
      <w:r>
        <w:rPr>
          <w:rFonts w:ascii="Times New Roman" w:hAnsi="Times New Roman"/>
          <w:szCs w:val="22"/>
        </w:rPr>
        <w:t>℃</w:t>
      </w:r>
      <w:r>
        <w:rPr>
          <w:rFonts w:ascii="Times New Roman" w:hAnsi="Times New Roman"/>
        </w:rPr>
        <w:t xml:space="preserve">±2 </w:t>
      </w:r>
      <w:r>
        <w:rPr>
          <w:rFonts w:ascii="Times New Roman" w:hAnsi="Times New Roman"/>
          <w:szCs w:val="22"/>
        </w:rPr>
        <w:t>℃</w:t>
      </w:r>
      <w:r>
        <w:rPr>
          <w:rFonts w:ascii="Times New Roman" w:hAnsi="Times New Roman"/>
        </w:rPr>
        <w:t>，200 r/min</w:t>
      </w:r>
      <w:r>
        <w:rPr>
          <w:rFonts w:hint="eastAsia" w:ascii="微软雅黑" w:hAnsi="微软雅黑" w:eastAsia="微软雅黑" w:cs="微软雅黑"/>
        </w:rPr>
        <w:t>～</w:t>
      </w:r>
      <w:r>
        <w:rPr>
          <w:rFonts w:ascii="Times New Roman" w:hAnsi="Times New Roman"/>
        </w:rPr>
        <w:t>250 r/min振荡培养48</w:t>
      </w:r>
      <w:r>
        <w:rPr>
          <w:rFonts w:hint="eastAsia" w:ascii="Times New Roman" w:hAnsi="Times New Roman"/>
        </w:rPr>
        <w:t>h</w:t>
      </w:r>
      <w:r>
        <w:rPr>
          <w:rFonts w:ascii="Times New Roman" w:hAnsi="Times New Roman"/>
        </w:rPr>
        <w:t>±</w:t>
      </w:r>
      <w:r>
        <w:rPr>
          <w:rFonts w:hint="eastAsia" w:ascii="Times New Roman" w:hAnsi="Times New Roman"/>
        </w:rPr>
        <w:t>2</w:t>
      </w:r>
      <w:r>
        <w:rPr>
          <w:rFonts w:ascii="Times New Roman" w:hAnsi="Times New Roman"/>
        </w:rPr>
        <w:t>h。</w:t>
      </w:r>
      <w:r>
        <w:rPr>
          <w:rFonts w:ascii="Times New Roman" w:hAnsi="Times New Roman"/>
          <w:kern w:val="0"/>
          <w:szCs w:val="20"/>
        </w:rPr>
        <w:t xml:space="preserve">另取100 mL </w:t>
      </w:r>
      <w:r>
        <w:rPr>
          <w:rFonts w:ascii="Times New Roman" w:hAnsi="Times New Roman"/>
        </w:rPr>
        <w:t>MTAT</w:t>
      </w:r>
      <w:r>
        <w:rPr>
          <w:rFonts w:ascii="Times New Roman" w:hAnsi="Times New Roman"/>
          <w:kern w:val="0"/>
          <w:szCs w:val="20"/>
        </w:rPr>
        <w:t>作为培养基空白按上述方法一同培养。</w:t>
      </w:r>
    </w:p>
    <w:p w14:paraId="1317EE42">
      <w:pPr>
        <w:pStyle w:val="25"/>
        <w:spacing w:before="156" w:beforeLines="50" w:after="156" w:afterLines="50" w:line="240" w:lineRule="auto"/>
        <w:outlineLvl w:val="2"/>
      </w:pPr>
      <w:r>
        <w:t>7</w:t>
      </w:r>
      <w:r>
        <w:rPr>
          <w:rFonts w:hint="eastAsia"/>
        </w:rPr>
        <w:t xml:space="preserve">.2.3 </w:t>
      </w:r>
      <w:r>
        <w:t>上机检测</w:t>
      </w:r>
    </w:p>
    <w:p w14:paraId="51DC8909">
      <w:pPr>
        <w:pStyle w:val="21"/>
        <w:spacing w:after="0" w:line="320" w:lineRule="exact"/>
        <w:rPr>
          <w:rFonts w:ascii="Times New Roman" w:hAnsi="Times New Roman"/>
        </w:rPr>
      </w:pPr>
      <w:r>
        <w:rPr>
          <w:rFonts w:ascii="Times New Roman" w:hAnsi="Times New Roman"/>
        </w:rPr>
        <w:t>在100 mL产品试样中加入15 g玻璃珠和0.1 mL消泡剂</w:t>
      </w:r>
      <w:r>
        <w:rPr>
          <w:rFonts w:hint="eastAsia" w:ascii="Times New Roman" w:hAnsi="Times New Roman"/>
        </w:rPr>
        <w:t>（可选）</w:t>
      </w:r>
      <w:r>
        <w:rPr>
          <w:rFonts w:ascii="Times New Roman" w:hAnsi="Times New Roman"/>
        </w:rPr>
        <w:t>，置往复式摇床上280 r/min振荡处理30min。</w:t>
      </w:r>
    </w:p>
    <w:p w14:paraId="36C5079F">
      <w:pPr>
        <w:spacing w:after="0" w:line="320" w:lineRule="exact"/>
        <w:ind w:firstLine="420" w:firstLineChars="200"/>
        <w:rPr>
          <w:rFonts w:ascii="Times New Roman" w:hAnsi="Times New Roman"/>
        </w:rPr>
      </w:pPr>
      <w:bookmarkStart w:id="6" w:name="_Hlk43823009"/>
      <w:r>
        <w:rPr>
          <w:rFonts w:ascii="Times New Roman" w:hAnsi="Times New Roman"/>
        </w:rPr>
        <w:t>取破壁</w:t>
      </w:r>
      <w:bookmarkEnd w:id="6"/>
      <w:r>
        <w:rPr>
          <w:rFonts w:ascii="Times New Roman" w:hAnsi="Times New Roman"/>
        </w:rPr>
        <w:t>处理后的产品试样50 μL上机检测，按照仪器和试剂使用说明书进行操作，完成</w:t>
      </w:r>
      <w:r>
        <w:rPr>
          <w:rFonts w:hint="eastAsia" w:ascii="Times New Roman" w:hAnsi="Times New Roman"/>
        </w:rPr>
        <w:t xml:space="preserve">ATP生物荧光增幅法检测。同时取培养基空白50 </w:t>
      </w:r>
      <w:r>
        <w:rPr>
          <w:rFonts w:ascii="Times New Roman" w:hAnsi="Times New Roman"/>
        </w:rPr>
        <w:t>μ</w:t>
      </w:r>
      <w:r>
        <w:rPr>
          <w:rFonts w:hint="eastAsia" w:ascii="Times New Roman" w:hAnsi="Times New Roman"/>
        </w:rPr>
        <w:t>L两平行以同样方法上机检测。</w:t>
      </w:r>
    </w:p>
    <w:p w14:paraId="23D63470">
      <w:pPr>
        <w:tabs>
          <w:tab w:val="left" w:pos="450"/>
        </w:tabs>
        <w:spacing w:after="0" w:line="320" w:lineRule="exact"/>
        <w:ind w:firstLine="420" w:firstLineChars="200"/>
        <w:rPr>
          <w:rFonts w:ascii="Times New Roman" w:hAnsi="Times New Roman"/>
        </w:rPr>
      </w:pPr>
      <w:r>
        <w:rPr>
          <w:rFonts w:ascii="Times New Roman" w:hAnsi="Times New Roman"/>
        </w:rPr>
        <w:t>上机检测方法如下：</w:t>
      </w:r>
    </w:p>
    <w:p w14:paraId="13441BC2">
      <w:pPr>
        <w:pStyle w:val="26"/>
        <w:spacing w:before="0" w:beforeLines="0" w:after="0" w:afterLines="0" w:line="320" w:lineRule="exact"/>
        <w:ind w:firstLine="420" w:firstLineChars="200"/>
        <w:outlineLvl w:val="3"/>
        <w:rPr>
          <w:rFonts w:ascii="Times New Roman" w:hAnsi="Times New Roman" w:eastAsia="宋体"/>
        </w:rPr>
      </w:pPr>
      <w:r>
        <w:rPr>
          <w:rFonts w:ascii="Times New Roman" w:hAnsi="Times New Roman" w:eastAsia="宋体"/>
        </w:rPr>
        <w:t>向50 μL产品试样中加入细胞裂解剂和ADP底物试剂各100 μL，以裂解微生物细胞并开始ATP增幅反应；</w:t>
      </w:r>
    </w:p>
    <w:p w14:paraId="7FF7A709">
      <w:pPr>
        <w:pStyle w:val="26"/>
        <w:spacing w:before="0" w:beforeLines="0" w:after="0" w:afterLines="0" w:line="320" w:lineRule="exact"/>
        <w:ind w:firstLine="420" w:firstLineChars="200"/>
        <w:outlineLvl w:val="3"/>
        <w:rPr>
          <w:rFonts w:ascii="Times New Roman" w:hAnsi="Times New Roman" w:eastAsia="宋体"/>
        </w:rPr>
      </w:pPr>
      <w:r>
        <w:rPr>
          <w:rFonts w:ascii="Times New Roman" w:hAnsi="Times New Roman" w:eastAsia="宋体"/>
        </w:rPr>
        <w:t>向产品试样中加入荧光素酶试剂100 μL开始荧光反应，由全自动荧光光度计读取相对荧光强度值（RLU）。</w:t>
      </w:r>
    </w:p>
    <w:p w14:paraId="7C474378">
      <w:pPr>
        <w:pStyle w:val="25"/>
        <w:numPr>
          <w:ilvl w:val="255"/>
          <w:numId w:val="0"/>
        </w:numPr>
        <w:spacing w:before="156" w:beforeLines="50" w:after="156" w:afterLines="50" w:line="240" w:lineRule="auto"/>
        <w:outlineLvl w:val="2"/>
        <w:rPr>
          <w:rFonts w:ascii="Times New Roman" w:hAnsi="Times New Roman"/>
        </w:rPr>
        <w:sectPr>
          <w:headerReference r:id="rId10" w:type="first"/>
          <w:footerReference r:id="rId13" w:type="first"/>
          <w:headerReference r:id="rId8" w:type="default"/>
          <w:footerReference r:id="rId11" w:type="default"/>
          <w:headerReference r:id="rId9" w:type="even"/>
          <w:footerReference r:id="rId12" w:type="even"/>
          <w:pgSz w:w="11906" w:h="16838"/>
          <w:pgMar w:top="1134" w:right="1134" w:bottom="850" w:left="1418" w:header="1417" w:footer="454" w:gutter="0"/>
          <w:cols w:space="720" w:num="1"/>
          <w:formProt w:val="0"/>
          <w:titlePg/>
          <w:docGrid w:type="lines" w:linePitch="312" w:charSpace="0"/>
        </w:sectPr>
      </w:pPr>
    </w:p>
    <w:p w14:paraId="7C7183E6">
      <w:pPr>
        <w:pStyle w:val="25"/>
        <w:numPr>
          <w:ilvl w:val="255"/>
          <w:numId w:val="0"/>
        </w:numPr>
        <w:spacing w:before="156" w:beforeLines="50" w:after="156" w:afterLines="50" w:line="240" w:lineRule="auto"/>
        <w:outlineLvl w:val="2"/>
      </w:pPr>
      <w:r>
        <w:rPr>
          <w:rFonts w:hint="eastAsia"/>
        </w:rPr>
        <w:t>7.2.4 结果判读</w:t>
      </w:r>
    </w:p>
    <w:p w14:paraId="08369958">
      <w:pPr>
        <w:pStyle w:val="25"/>
        <w:numPr>
          <w:ilvl w:val="255"/>
          <w:numId w:val="0"/>
        </w:numPr>
        <w:spacing w:before="156" w:beforeLines="50" w:after="156" w:afterLines="50" w:line="240" w:lineRule="auto"/>
        <w:outlineLvl w:val="2"/>
        <w:rPr>
          <w:rFonts w:ascii="Times New Roman" w:hAnsi="Times New Roman" w:eastAsia="宋体"/>
          <w:kern w:val="2"/>
          <w:szCs w:val="24"/>
        </w:rPr>
      </w:pPr>
      <w:r>
        <w:rPr>
          <w:rFonts w:hint="eastAsia"/>
        </w:rPr>
        <w:tab/>
      </w:r>
      <w:r>
        <w:rPr>
          <w:rFonts w:hint="eastAsia" w:ascii="Times New Roman" w:hAnsi="Times New Roman" w:eastAsia="宋体"/>
          <w:kern w:val="2"/>
          <w:szCs w:val="24"/>
        </w:rPr>
        <w:t>检测完成后使用软件进行数据处理和结果判读。</w:t>
      </w:r>
    </w:p>
    <w:p w14:paraId="6B806B6C">
      <w:pPr>
        <w:pStyle w:val="25"/>
        <w:numPr>
          <w:ilvl w:val="255"/>
          <w:numId w:val="0"/>
        </w:numPr>
        <w:spacing w:before="156" w:beforeLines="50" w:after="156" w:afterLines="50" w:line="240" w:lineRule="auto"/>
        <w:outlineLvl w:val="2"/>
        <w:rPr>
          <w:rFonts w:ascii="Times New Roman" w:hAnsi="Times New Roman"/>
        </w:rPr>
      </w:pPr>
      <w:r>
        <w:t>7</w:t>
      </w:r>
      <w:r>
        <w:rPr>
          <w:rFonts w:hint="eastAsia"/>
        </w:rPr>
        <w:t xml:space="preserve">.3 </w:t>
      </w:r>
      <w:r>
        <w:rPr>
          <w:rFonts w:hAnsi="黑体"/>
        </w:rPr>
        <w:t>结</w:t>
      </w:r>
      <w:r>
        <w:rPr>
          <w:rFonts w:ascii="Times New Roman" w:hAnsi="Times New Roman"/>
        </w:rPr>
        <w:t>果判读标准</w:t>
      </w:r>
    </w:p>
    <w:p w14:paraId="05C75750">
      <w:pPr>
        <w:tabs>
          <w:tab w:val="left" w:pos="450"/>
        </w:tabs>
        <w:spacing w:after="0" w:line="320" w:lineRule="exact"/>
        <w:ind w:firstLine="420" w:firstLineChars="200"/>
        <w:rPr>
          <w:rFonts w:ascii="Times New Roman" w:hAnsi="Times New Roman"/>
        </w:rPr>
      </w:pPr>
      <w:r>
        <w:rPr>
          <w:rFonts w:ascii="Times New Roman" w:hAnsi="Times New Roman"/>
        </w:rPr>
        <w:t>以未加产品试样的MTAT检测所得荧光信号均值（RLU）为培养基空白荧光值，通常情况下按下列公式计算阳性阈值：</w:t>
      </w:r>
    </w:p>
    <w:p w14:paraId="41FC9FD9">
      <w:pPr>
        <w:pStyle w:val="26"/>
        <w:spacing w:before="0" w:beforeLines="0" w:after="0" w:afterLines="0" w:line="320" w:lineRule="exact"/>
        <w:ind w:firstLine="420" w:firstLineChars="200"/>
        <w:jc w:val="center"/>
        <w:outlineLvl w:val="9"/>
        <w:rPr>
          <w:rFonts w:ascii="Times New Roman" w:hAnsi="Times New Roman" w:eastAsia="宋体"/>
        </w:rPr>
      </w:pPr>
      <w:r>
        <w:rPr>
          <w:rFonts w:ascii="Times New Roman" w:hAnsi="Times New Roman" w:eastAsia="宋体"/>
        </w:rPr>
        <w:t>阳性阈值 = 3 × 培养基空白荧光值</w:t>
      </w:r>
    </w:p>
    <w:p w14:paraId="45D334BE">
      <w:pPr>
        <w:pStyle w:val="26"/>
        <w:spacing w:before="0" w:beforeLines="0" w:after="0" w:afterLines="0" w:line="320" w:lineRule="exact"/>
        <w:ind w:firstLine="420" w:firstLineChars="200"/>
        <w:outlineLvl w:val="9"/>
        <w:rPr>
          <w:rFonts w:ascii="Times New Roman" w:hAnsi="Times New Roman" w:eastAsia="宋体"/>
        </w:rPr>
      </w:pPr>
      <w:r>
        <w:rPr>
          <w:rFonts w:ascii="Times New Roman" w:hAnsi="Times New Roman" w:eastAsia="宋体"/>
        </w:rPr>
        <w:t>产品试样RLU值 ≥ 阳性阈值，判定为阳性；</w:t>
      </w:r>
    </w:p>
    <w:p w14:paraId="3C021089">
      <w:pPr>
        <w:pStyle w:val="26"/>
        <w:spacing w:before="0" w:beforeLines="0" w:after="0" w:afterLines="0" w:line="320" w:lineRule="exact"/>
        <w:ind w:firstLine="420" w:firstLineChars="200"/>
        <w:outlineLvl w:val="9"/>
        <w:rPr>
          <w:rFonts w:ascii="宋体" w:hAnsi="宋体" w:eastAsia="宋体"/>
        </w:rPr>
      </w:pPr>
      <w:r>
        <w:rPr>
          <w:rFonts w:ascii="Times New Roman" w:hAnsi="Times New Roman" w:eastAsia="宋体"/>
        </w:rPr>
        <w:t>产品试样RLU值 &lt; 阳性阈值，判定为阴性。</w:t>
      </w:r>
    </w:p>
    <w:p w14:paraId="7FE1228C">
      <w:pPr>
        <w:pStyle w:val="25"/>
        <w:numPr>
          <w:ilvl w:val="255"/>
          <w:numId w:val="0"/>
        </w:numPr>
        <w:spacing w:before="156" w:beforeLines="50" w:after="156" w:afterLines="50" w:line="240" w:lineRule="auto"/>
        <w:outlineLvl w:val="2"/>
        <w:rPr>
          <w:rFonts w:ascii="Times New Roman" w:hAnsi="Times New Roman"/>
        </w:rPr>
      </w:pPr>
      <w:r>
        <w:t>7</w:t>
      </w:r>
      <w:r>
        <w:rPr>
          <w:rFonts w:hint="eastAsia"/>
        </w:rPr>
        <w:t xml:space="preserve">.4 </w:t>
      </w:r>
      <w:r>
        <w:rPr>
          <w:rFonts w:ascii="Times New Roman" w:hAnsi="Times New Roman"/>
        </w:rPr>
        <w:t>结果报告</w:t>
      </w:r>
    </w:p>
    <w:p w14:paraId="37C54AE3">
      <w:pPr>
        <w:spacing w:after="0" w:line="320" w:lineRule="exact"/>
        <w:ind w:firstLine="420" w:firstLineChars="200"/>
        <w:rPr>
          <w:rFonts w:ascii="Times New Roman" w:hAnsi="Times New Roman"/>
        </w:rPr>
      </w:pPr>
      <w:r>
        <w:rPr>
          <w:rFonts w:ascii="Times New Roman" w:hAnsi="Times New Roman"/>
        </w:rPr>
        <w:t>结果为阴性者，表明在该检验条件下被检样品未检出微生物</w:t>
      </w:r>
      <w:r>
        <w:rPr>
          <w:rFonts w:hint="eastAsia" w:ascii="Times New Roman" w:hAnsi="Times New Roman"/>
        </w:rPr>
        <w:t>。</w:t>
      </w:r>
    </w:p>
    <w:p w14:paraId="52BF6402">
      <w:pPr>
        <w:tabs>
          <w:tab w:val="left" w:pos="450"/>
        </w:tabs>
        <w:spacing w:after="0" w:line="320" w:lineRule="exact"/>
        <w:ind w:firstLine="420" w:firstLineChars="200"/>
        <w:rPr>
          <w:rFonts w:ascii="Times New Roman" w:hAnsi="Times New Roman"/>
        </w:rPr>
      </w:pPr>
      <w:r>
        <w:rPr>
          <w:rFonts w:ascii="Times New Roman" w:hAnsi="Times New Roman"/>
        </w:rPr>
        <w:t>结果为阳性者，按《化妆品安全技术规范》</w:t>
      </w:r>
      <w:r>
        <w:rPr>
          <w:rFonts w:hint="eastAsia" w:ascii="Times New Roman" w:hAnsi="Times New Roman"/>
          <w:lang w:eastAsia="zh-CN"/>
        </w:rPr>
        <w:t>（</w:t>
      </w:r>
      <w:r>
        <w:rPr>
          <w:rFonts w:hint="eastAsia" w:ascii="Times New Roman" w:hAnsi="Times New Roman"/>
          <w:lang w:val="en-US" w:eastAsia="zh-CN"/>
        </w:rPr>
        <w:t>2015版</w:t>
      </w:r>
      <w:r>
        <w:rPr>
          <w:rFonts w:hint="eastAsia" w:ascii="Times New Roman" w:hAnsi="Times New Roman"/>
          <w:lang w:eastAsia="zh-CN"/>
        </w:rPr>
        <w:t>）</w:t>
      </w:r>
      <w:r>
        <w:rPr>
          <w:rFonts w:ascii="Times New Roman" w:hAnsi="Times New Roman"/>
        </w:rPr>
        <w:t>第五章微生物检验方法进行确证</w:t>
      </w:r>
      <w:r>
        <w:rPr>
          <w:rFonts w:hint="eastAsia" w:ascii="Times New Roman" w:hAnsi="Times New Roman"/>
        </w:rPr>
        <w:t>。</w:t>
      </w:r>
    </w:p>
    <w:p w14:paraId="4CFEAEDC">
      <w:pPr>
        <w:pStyle w:val="25"/>
        <w:spacing w:before="156" w:beforeLines="50" w:after="156" w:afterLines="50" w:line="360" w:lineRule="auto"/>
        <w:jc w:val="left"/>
        <w:rPr>
          <w:rFonts w:hAnsi="黑体"/>
        </w:rPr>
      </w:pPr>
      <w:r>
        <w:rPr>
          <w:rFonts w:hint="eastAsia" w:hAnsi="黑体"/>
        </w:rPr>
        <w:t xml:space="preserve">8 </w:t>
      </w:r>
      <w:r>
        <w:rPr>
          <w:rFonts w:hAnsi="黑体"/>
        </w:rPr>
        <w:t xml:space="preserve"> 双培养体系法</w:t>
      </w:r>
      <w:r>
        <w:rPr>
          <w:rFonts w:hint="eastAsia" w:hAnsi="黑体"/>
        </w:rPr>
        <w:t>（</w:t>
      </w:r>
      <w:r>
        <w:rPr>
          <w:rFonts w:hAnsi="黑体"/>
        </w:rPr>
        <w:t>第二法</w:t>
      </w:r>
      <w:r>
        <w:rPr>
          <w:rFonts w:hint="eastAsia" w:hAnsi="黑体"/>
        </w:rPr>
        <w:t>）</w:t>
      </w:r>
    </w:p>
    <w:p w14:paraId="6FCF265D">
      <w:pPr>
        <w:spacing w:before="156" w:beforeLines="50" w:after="156" w:afterLines="50" w:line="240" w:lineRule="auto"/>
        <w:rPr>
          <w:rFonts w:ascii="黑体" w:hAnsi="黑体" w:eastAsia="黑体"/>
        </w:rPr>
      </w:pPr>
      <w:r>
        <w:rPr>
          <w:rFonts w:hint="eastAsia" w:ascii="黑体" w:hAnsi="黑体" w:eastAsia="黑体"/>
        </w:rPr>
        <w:t>8</w:t>
      </w:r>
      <w:r>
        <w:rPr>
          <w:rFonts w:ascii="黑体" w:hAnsi="黑体" w:eastAsia="黑体"/>
        </w:rPr>
        <w:t xml:space="preserve">.1  </w:t>
      </w:r>
      <w:r>
        <w:rPr>
          <w:rFonts w:hint="eastAsia" w:ascii="黑体" w:hAnsi="黑体" w:eastAsia="黑体"/>
        </w:rPr>
        <w:t>通用要求</w:t>
      </w:r>
    </w:p>
    <w:p w14:paraId="76A6157B">
      <w:pPr>
        <w:spacing w:after="0" w:line="320" w:lineRule="exact"/>
        <w:ind w:firstLine="420" w:firstLineChars="200"/>
        <w:rPr>
          <w:rFonts w:ascii="Times New Roman" w:hAnsi="Times New Roman"/>
          <w:szCs w:val="21"/>
        </w:rPr>
      </w:pPr>
      <w:r>
        <w:rPr>
          <w:rFonts w:hint="eastAsia" w:ascii="Times New Roman" w:hAnsi="Times New Roman"/>
          <w:szCs w:val="21"/>
        </w:rPr>
        <w:t>同</w:t>
      </w:r>
      <w:r>
        <w:rPr>
          <w:rFonts w:ascii="Times New Roman" w:hAnsi="Times New Roman"/>
          <w:szCs w:val="21"/>
        </w:rPr>
        <w:t>7.1。</w:t>
      </w:r>
    </w:p>
    <w:p w14:paraId="2D5AC9B6">
      <w:pPr>
        <w:spacing w:before="156" w:beforeLines="50" w:after="156" w:afterLines="50" w:line="360" w:lineRule="auto"/>
        <w:rPr>
          <w:rFonts w:ascii="黑体" w:hAnsi="黑体" w:eastAsia="黑体"/>
          <w:szCs w:val="21"/>
        </w:rPr>
      </w:pPr>
      <w:r>
        <w:rPr>
          <w:rFonts w:hint="eastAsia" w:ascii="黑体" w:hAnsi="黑体" w:eastAsia="黑体"/>
          <w:szCs w:val="21"/>
        </w:rPr>
        <w:t>8</w:t>
      </w:r>
      <w:r>
        <w:rPr>
          <w:rFonts w:ascii="黑体" w:hAnsi="黑体" w:eastAsia="黑体"/>
        </w:rPr>
        <w:t>.</w:t>
      </w:r>
      <w:r>
        <w:rPr>
          <w:rFonts w:hint="eastAsia" w:ascii="黑体" w:hAnsi="黑体" w:eastAsia="黑体"/>
        </w:rPr>
        <w:t>2</w:t>
      </w:r>
      <w:r>
        <w:rPr>
          <w:rFonts w:ascii="黑体" w:hAnsi="黑体" w:eastAsia="黑体"/>
          <w:szCs w:val="21"/>
        </w:rPr>
        <w:t xml:space="preserve">  </w:t>
      </w:r>
      <w:r>
        <w:rPr>
          <w:rFonts w:hint="eastAsia" w:ascii="黑体" w:hAnsi="黑体" w:eastAsia="黑体"/>
          <w:szCs w:val="21"/>
        </w:rPr>
        <w:t>操作步骤</w:t>
      </w:r>
    </w:p>
    <w:p w14:paraId="3394EECD">
      <w:pPr>
        <w:spacing w:before="156" w:beforeLines="50" w:after="156" w:afterLines="50" w:line="240" w:lineRule="auto"/>
        <w:rPr>
          <w:rFonts w:ascii="黑体" w:hAnsi="黑体" w:eastAsia="黑体"/>
        </w:rPr>
      </w:pPr>
      <w:r>
        <w:rPr>
          <w:rFonts w:hint="eastAsia" w:ascii="黑体" w:hAnsi="黑体" w:eastAsia="黑体"/>
        </w:rPr>
        <w:t>8</w:t>
      </w:r>
      <w:r>
        <w:rPr>
          <w:rFonts w:ascii="黑体" w:hAnsi="黑体" w:eastAsia="黑体"/>
        </w:rPr>
        <w:t xml:space="preserve">.2.1   </w:t>
      </w:r>
      <w:r>
        <w:rPr>
          <w:rFonts w:hint="eastAsia" w:ascii="黑体" w:hAnsi="黑体" w:eastAsia="黑体"/>
        </w:rPr>
        <w:t>检液制备</w:t>
      </w:r>
    </w:p>
    <w:p w14:paraId="165956AB">
      <w:pPr>
        <w:spacing w:after="0" w:line="320" w:lineRule="exact"/>
        <w:ind w:firstLine="420" w:firstLineChars="200"/>
        <w:rPr>
          <w:rFonts w:ascii="Times New Roman" w:hAnsi="Times New Roman"/>
          <w:szCs w:val="21"/>
        </w:rPr>
      </w:pPr>
      <w:r>
        <w:rPr>
          <w:rFonts w:hint="eastAsia" w:ascii="Times New Roman" w:hAnsi="Times New Roman"/>
          <w:szCs w:val="21"/>
        </w:rPr>
        <w:t>同</w:t>
      </w:r>
      <w:r>
        <w:rPr>
          <w:rFonts w:ascii="Times New Roman" w:hAnsi="Times New Roman"/>
          <w:szCs w:val="21"/>
        </w:rPr>
        <w:t>7.2</w:t>
      </w:r>
      <w:r>
        <w:rPr>
          <w:rFonts w:hint="eastAsia" w:ascii="Times New Roman" w:hAnsi="Times New Roman"/>
          <w:szCs w:val="21"/>
        </w:rPr>
        <w:t>.1</w:t>
      </w:r>
      <w:r>
        <w:rPr>
          <w:rFonts w:ascii="Times New Roman" w:hAnsi="Times New Roman"/>
          <w:szCs w:val="21"/>
        </w:rPr>
        <w:t>。</w:t>
      </w:r>
    </w:p>
    <w:p w14:paraId="1EB34056">
      <w:pPr>
        <w:spacing w:before="156" w:beforeLines="50" w:after="156" w:afterLines="50" w:line="240" w:lineRule="auto"/>
        <w:rPr>
          <w:rFonts w:ascii="黑体" w:hAnsi="黑体" w:eastAsia="黑体"/>
        </w:rPr>
      </w:pPr>
      <w:r>
        <w:rPr>
          <w:rFonts w:hint="eastAsia" w:ascii="黑体" w:hAnsi="黑体" w:eastAsia="黑体"/>
        </w:rPr>
        <w:t>8</w:t>
      </w:r>
      <w:r>
        <w:rPr>
          <w:rFonts w:ascii="黑体" w:hAnsi="黑体" w:eastAsia="黑体"/>
        </w:rPr>
        <w:t>.</w:t>
      </w:r>
      <w:r>
        <w:rPr>
          <w:rFonts w:hint="eastAsia" w:ascii="黑体" w:hAnsi="黑体" w:eastAsia="黑体"/>
        </w:rPr>
        <w:t>2</w:t>
      </w:r>
      <w:r>
        <w:rPr>
          <w:rFonts w:ascii="黑体" w:hAnsi="黑体" w:eastAsia="黑体"/>
        </w:rPr>
        <w:t>.</w:t>
      </w:r>
      <w:r>
        <w:rPr>
          <w:rFonts w:hint="eastAsia" w:ascii="黑体" w:hAnsi="黑体" w:eastAsia="黑体"/>
        </w:rPr>
        <w:t>2</w:t>
      </w:r>
      <w:r>
        <w:rPr>
          <w:rFonts w:ascii="黑体" w:hAnsi="黑体" w:eastAsia="黑体"/>
        </w:rPr>
        <w:t xml:space="preserve">  </w:t>
      </w:r>
      <w:r>
        <w:rPr>
          <w:rFonts w:hint="eastAsia" w:ascii="黑体" w:hAnsi="黑体" w:eastAsia="黑体"/>
        </w:rPr>
        <w:t>增菌</w:t>
      </w:r>
    </w:p>
    <w:p w14:paraId="27E12A44">
      <w:pPr>
        <w:spacing w:after="0" w:line="320" w:lineRule="exact"/>
        <w:ind w:firstLine="420" w:firstLineChars="200"/>
        <w:rPr>
          <w:rFonts w:ascii="Times New Roman" w:hAnsi="Times New Roman"/>
        </w:rPr>
      </w:pPr>
      <w:r>
        <w:rPr>
          <w:rFonts w:ascii="Times New Roman" w:hAnsi="Times New Roman"/>
        </w:rPr>
        <w:t>各取10 mL 1:10稀释的检液，分别加入90 mL MTAT培养基和90 mL</w:t>
      </w:r>
      <w:r>
        <w:rPr>
          <w:rFonts w:hint="eastAsia" w:ascii="Times New Roman" w:hAnsi="Times New Roman"/>
        </w:rPr>
        <w:t xml:space="preserve"> TLE</w:t>
      </w:r>
      <w:r>
        <w:rPr>
          <w:rFonts w:ascii="Times New Roman" w:hAnsi="Times New Roman"/>
        </w:rPr>
        <w:t>培养基</w:t>
      </w:r>
      <w:r>
        <w:rPr>
          <w:rFonts w:hint="eastAsia" w:ascii="Times New Roman" w:hAnsi="Times New Roman"/>
        </w:rPr>
        <w:t>，</w:t>
      </w:r>
      <w:r>
        <w:rPr>
          <w:rFonts w:ascii="Times New Roman" w:hAnsi="Times New Roman"/>
        </w:rPr>
        <w:t>或其它经过验证等效的培养基中，制备成产品试样，如产品抑菌性较强，可采用增加培养基用量、添加中和剂或薄膜过滤等方法，消除产品抑菌作用。将MTAT培养基</w:t>
      </w:r>
      <w:r>
        <w:rPr>
          <w:rFonts w:hint="eastAsia" w:ascii="Times New Roman" w:hAnsi="Times New Roman"/>
        </w:rPr>
        <w:t>产品试样</w:t>
      </w:r>
      <w:r>
        <w:rPr>
          <w:rFonts w:ascii="Times New Roman" w:hAnsi="Times New Roman"/>
        </w:rPr>
        <w:t>置于摇床培养箱中于32.5 ℃±2 ℃</w:t>
      </w:r>
      <w:r>
        <w:rPr>
          <w:rFonts w:hint="eastAsia" w:ascii="Times New Roman" w:hAnsi="Times New Roman"/>
        </w:rPr>
        <w:t>、TLE</w:t>
      </w:r>
      <w:r>
        <w:rPr>
          <w:rFonts w:ascii="Times New Roman" w:hAnsi="Times New Roman"/>
        </w:rPr>
        <w:t>培养基</w:t>
      </w:r>
      <w:r>
        <w:rPr>
          <w:rFonts w:hint="eastAsia" w:ascii="Times New Roman" w:hAnsi="Times New Roman"/>
        </w:rPr>
        <w:t>产品试样</w:t>
      </w:r>
      <w:r>
        <w:rPr>
          <w:rFonts w:ascii="Times New Roman" w:hAnsi="Times New Roman"/>
        </w:rPr>
        <w:t>置于摇床培养箱中于25 ℃±2 ℃</w:t>
      </w:r>
      <w:r>
        <w:rPr>
          <w:rFonts w:hint="eastAsia" w:ascii="Times New Roman" w:hAnsi="Times New Roman"/>
        </w:rPr>
        <w:t>，</w:t>
      </w:r>
      <w:r>
        <w:rPr>
          <w:rFonts w:ascii="Times New Roman" w:hAnsi="Times New Roman"/>
        </w:rPr>
        <w:t>200 r/min</w:t>
      </w:r>
      <w:r>
        <w:rPr>
          <w:rFonts w:hint="eastAsia" w:ascii="微软雅黑" w:hAnsi="微软雅黑" w:eastAsia="微软雅黑" w:cs="微软雅黑"/>
        </w:rPr>
        <w:t>～</w:t>
      </w:r>
      <w:r>
        <w:rPr>
          <w:rFonts w:ascii="Times New Roman" w:hAnsi="Times New Roman"/>
        </w:rPr>
        <w:t>250 r/min振荡培养24</w:t>
      </w:r>
      <w:r>
        <w:rPr>
          <w:rFonts w:hint="eastAsia" w:ascii="Times New Roman" w:hAnsi="Times New Roman"/>
        </w:rPr>
        <w:t>h</w:t>
      </w:r>
      <w:r>
        <w:rPr>
          <w:rFonts w:ascii="Times New Roman" w:hAnsi="Times New Roman"/>
        </w:rPr>
        <w:t>±</w:t>
      </w:r>
      <w:r>
        <w:rPr>
          <w:rFonts w:hint="eastAsia" w:ascii="Times New Roman" w:hAnsi="Times New Roman"/>
        </w:rPr>
        <w:t>2</w:t>
      </w:r>
      <w:r>
        <w:rPr>
          <w:rFonts w:ascii="Times New Roman" w:hAnsi="Times New Roman"/>
        </w:rPr>
        <w:t xml:space="preserve">h。另取100 mL MTAT和100 mL </w:t>
      </w:r>
      <w:r>
        <w:rPr>
          <w:rFonts w:hint="eastAsia" w:ascii="Times New Roman" w:hAnsi="Times New Roman"/>
        </w:rPr>
        <w:t>TLE</w:t>
      </w:r>
      <w:r>
        <w:rPr>
          <w:rFonts w:ascii="Times New Roman" w:hAnsi="Times New Roman"/>
        </w:rPr>
        <w:t>作为培养基空白按上述方法一同培养。</w:t>
      </w:r>
    </w:p>
    <w:p w14:paraId="03BDF677">
      <w:pPr>
        <w:spacing w:before="156" w:beforeLines="50" w:after="156" w:afterLines="50" w:line="240" w:lineRule="auto"/>
        <w:rPr>
          <w:rFonts w:ascii="宋体" w:hAnsi="宋体"/>
          <w:szCs w:val="21"/>
        </w:rPr>
      </w:pPr>
      <w:r>
        <w:rPr>
          <w:rFonts w:hint="eastAsia" w:ascii="黑体" w:hAnsi="黑体" w:eastAsia="黑体"/>
          <w:szCs w:val="21"/>
        </w:rPr>
        <w:t>8</w:t>
      </w:r>
      <w:r>
        <w:rPr>
          <w:rFonts w:ascii="黑体" w:hAnsi="黑体" w:eastAsia="黑体"/>
          <w:szCs w:val="21"/>
        </w:rPr>
        <w:t>.</w:t>
      </w:r>
      <w:r>
        <w:rPr>
          <w:rFonts w:hint="eastAsia" w:ascii="黑体" w:hAnsi="黑体" w:eastAsia="黑体"/>
          <w:szCs w:val="21"/>
        </w:rPr>
        <w:t>2</w:t>
      </w:r>
      <w:r>
        <w:rPr>
          <w:rFonts w:ascii="黑体" w:hAnsi="黑体" w:eastAsia="黑体"/>
          <w:szCs w:val="21"/>
        </w:rPr>
        <w:t>.</w:t>
      </w:r>
      <w:r>
        <w:rPr>
          <w:rFonts w:hint="eastAsia" w:ascii="黑体" w:hAnsi="黑体" w:eastAsia="黑体"/>
          <w:szCs w:val="21"/>
        </w:rPr>
        <w:t>3</w:t>
      </w:r>
      <w:r>
        <w:rPr>
          <w:rFonts w:ascii="宋体" w:hAnsi="宋体"/>
          <w:szCs w:val="21"/>
        </w:rPr>
        <w:t xml:space="preserve"> </w:t>
      </w:r>
      <w:r>
        <w:rPr>
          <w:rFonts w:hint="eastAsia" w:ascii="黑体" w:hAnsi="黑体" w:eastAsia="黑体"/>
          <w:szCs w:val="21"/>
        </w:rPr>
        <w:t>上机检测</w:t>
      </w:r>
    </w:p>
    <w:p w14:paraId="25375F5C">
      <w:pPr>
        <w:spacing w:after="0" w:line="320" w:lineRule="exact"/>
        <w:ind w:firstLine="420" w:firstLineChars="200"/>
        <w:jc w:val="left"/>
        <w:rPr>
          <w:rFonts w:ascii="Times New Roman" w:hAnsi="Times New Roman"/>
        </w:rPr>
      </w:pPr>
      <w:r>
        <w:rPr>
          <w:rFonts w:ascii="Times New Roman" w:hAnsi="Times New Roman"/>
        </w:rPr>
        <w:t>在MTAT和</w:t>
      </w:r>
      <w:r>
        <w:rPr>
          <w:rFonts w:hint="eastAsia" w:ascii="Times New Roman" w:hAnsi="Times New Roman"/>
        </w:rPr>
        <w:t>TLE</w:t>
      </w:r>
      <w:r>
        <w:rPr>
          <w:rFonts w:ascii="Times New Roman" w:hAnsi="Times New Roman"/>
        </w:rPr>
        <w:t>两种富集体系培养液中分别加入15 g玻璃珠和0.1 mL消泡剂</w:t>
      </w:r>
      <w:r>
        <w:rPr>
          <w:rFonts w:hint="eastAsia" w:ascii="Times New Roman" w:hAnsi="Times New Roman"/>
        </w:rPr>
        <w:t>（可选）</w:t>
      </w:r>
      <w:r>
        <w:rPr>
          <w:rFonts w:ascii="Times New Roman" w:hAnsi="Times New Roman"/>
        </w:rPr>
        <w:t>，置于往复式摇床280 r/min振荡30min。</w:t>
      </w:r>
    </w:p>
    <w:p w14:paraId="26126060">
      <w:pPr>
        <w:spacing w:after="0" w:line="320" w:lineRule="exact"/>
        <w:ind w:firstLine="420" w:firstLineChars="200"/>
        <w:rPr>
          <w:rFonts w:ascii="Times New Roman" w:hAnsi="Times New Roman"/>
        </w:rPr>
      </w:pPr>
      <w:r>
        <w:rPr>
          <w:rFonts w:ascii="Times New Roman" w:hAnsi="Times New Roman"/>
        </w:rPr>
        <w:t>吸取破壁后的MTAT培养产品试样和</w:t>
      </w:r>
      <w:r>
        <w:rPr>
          <w:rFonts w:hint="eastAsia" w:ascii="Times New Roman" w:hAnsi="Times New Roman"/>
        </w:rPr>
        <w:t>TLE</w:t>
      </w:r>
      <w:r>
        <w:rPr>
          <w:rFonts w:ascii="Times New Roman" w:hAnsi="Times New Roman"/>
        </w:rPr>
        <w:t>培养产品试样各25 μL，混合，上机检测。按照仪器和试剂使用说明书进行操作，完成 ATP 生物荧光增幅法检测。同时取培养基空白各25 μL</w:t>
      </w:r>
      <w:r>
        <w:rPr>
          <w:rFonts w:hint="eastAsia" w:ascii="Times New Roman" w:hAnsi="Times New Roman"/>
        </w:rPr>
        <w:t>，混合均匀，</w:t>
      </w:r>
      <w:r>
        <w:rPr>
          <w:rFonts w:ascii="Times New Roman" w:hAnsi="Times New Roman"/>
        </w:rPr>
        <w:t>以同样方法上机检测。</w:t>
      </w:r>
    </w:p>
    <w:p w14:paraId="78BC95B2">
      <w:pPr>
        <w:spacing w:after="0" w:line="320" w:lineRule="exact"/>
        <w:ind w:firstLine="420" w:firstLineChars="200"/>
        <w:rPr>
          <w:rFonts w:ascii="Times New Roman" w:hAnsi="Times New Roman"/>
        </w:rPr>
      </w:pPr>
      <w:r>
        <w:rPr>
          <w:rFonts w:hint="eastAsia" w:ascii="Times New Roman" w:hAnsi="Times New Roman"/>
        </w:rPr>
        <w:t>上机检测方法同</w:t>
      </w:r>
      <w:r>
        <w:rPr>
          <w:rFonts w:ascii="Times New Roman" w:hAnsi="Times New Roman"/>
          <w:szCs w:val="21"/>
        </w:rPr>
        <w:t>7.2</w:t>
      </w:r>
      <w:r>
        <w:rPr>
          <w:rFonts w:hint="eastAsia" w:ascii="Times New Roman" w:hAnsi="Times New Roman"/>
          <w:szCs w:val="21"/>
        </w:rPr>
        <w:t>.3</w:t>
      </w:r>
      <w:r>
        <w:rPr>
          <w:rFonts w:ascii="Times New Roman" w:hAnsi="Times New Roman"/>
        </w:rPr>
        <w:t>。</w:t>
      </w:r>
    </w:p>
    <w:p w14:paraId="2DC4D39F">
      <w:pPr>
        <w:pStyle w:val="29"/>
        <w:widowControl w:val="0"/>
        <w:numPr>
          <w:ilvl w:val="255"/>
          <w:numId w:val="0"/>
        </w:numPr>
        <w:spacing w:before="156" w:beforeLines="50" w:after="156" w:afterLines="50" w:line="240" w:lineRule="auto"/>
        <w:rPr>
          <w:rFonts w:ascii="黑体" w:hAnsi="黑体" w:eastAsia="黑体"/>
          <w:lang w:eastAsia="zh-CN"/>
        </w:rPr>
      </w:pPr>
      <w:r>
        <w:rPr>
          <w:rFonts w:hint="eastAsia" w:ascii="黑体" w:hAnsi="黑体" w:eastAsia="黑体"/>
          <w:szCs w:val="21"/>
          <w:lang w:eastAsia="zh-CN"/>
        </w:rPr>
        <w:t>8</w:t>
      </w:r>
      <w:r>
        <w:rPr>
          <w:rFonts w:ascii="黑体" w:hAnsi="黑体" w:eastAsia="黑体"/>
          <w:szCs w:val="21"/>
          <w:lang w:eastAsia="zh-CN"/>
        </w:rPr>
        <w:t>.</w:t>
      </w:r>
      <w:r>
        <w:rPr>
          <w:rFonts w:hint="eastAsia" w:ascii="黑体" w:hAnsi="黑体" w:eastAsia="黑体"/>
          <w:szCs w:val="21"/>
          <w:lang w:eastAsia="zh-CN"/>
        </w:rPr>
        <w:t>2</w:t>
      </w:r>
      <w:r>
        <w:rPr>
          <w:rFonts w:ascii="黑体" w:hAnsi="黑体" w:eastAsia="黑体"/>
          <w:szCs w:val="21"/>
          <w:lang w:eastAsia="zh-CN"/>
        </w:rPr>
        <w:t>.</w:t>
      </w:r>
      <w:r>
        <w:rPr>
          <w:rFonts w:hint="eastAsia" w:ascii="黑体" w:hAnsi="黑体" w:eastAsia="黑体"/>
          <w:szCs w:val="21"/>
          <w:lang w:eastAsia="zh-CN"/>
        </w:rPr>
        <w:t xml:space="preserve">4  </w:t>
      </w:r>
      <w:r>
        <w:rPr>
          <w:rFonts w:hint="eastAsia" w:ascii="黑体" w:hAnsi="黑体" w:eastAsia="黑体"/>
          <w:sz w:val="21"/>
          <w:szCs w:val="21"/>
          <w:lang w:eastAsia="zh-CN"/>
        </w:rPr>
        <w:t>结果判读</w:t>
      </w:r>
    </w:p>
    <w:p w14:paraId="25EFA63F">
      <w:pPr>
        <w:spacing w:after="0" w:line="320" w:lineRule="exact"/>
        <w:ind w:firstLine="420" w:firstLineChars="200"/>
        <w:rPr>
          <w:rFonts w:ascii="Times New Roman" w:hAnsi="Times New Roman"/>
        </w:rPr>
      </w:pPr>
      <w:r>
        <w:rPr>
          <w:rFonts w:hint="eastAsia" w:ascii="Times New Roman" w:hAnsi="Times New Roman"/>
        </w:rPr>
        <w:t>同</w:t>
      </w:r>
      <w:r>
        <w:rPr>
          <w:rFonts w:ascii="Times New Roman" w:hAnsi="Times New Roman"/>
          <w:szCs w:val="21"/>
        </w:rPr>
        <w:t>7.2</w:t>
      </w:r>
      <w:r>
        <w:rPr>
          <w:rFonts w:hint="eastAsia" w:ascii="Times New Roman" w:hAnsi="Times New Roman"/>
          <w:szCs w:val="21"/>
        </w:rPr>
        <w:t>.4</w:t>
      </w:r>
      <w:r>
        <w:rPr>
          <w:rFonts w:hint="eastAsia" w:ascii="Times New Roman" w:hAnsi="Times New Roman"/>
        </w:rPr>
        <w:t>。</w:t>
      </w:r>
    </w:p>
    <w:p w14:paraId="03D602A6">
      <w:pPr>
        <w:widowControl/>
        <w:spacing w:after="0" w:line="240" w:lineRule="auto"/>
        <w:jc w:val="left"/>
        <w:rPr>
          <w:rFonts w:ascii="Times New Roman" w:hAnsi="Times New Roman"/>
        </w:rPr>
      </w:pPr>
      <w:r>
        <w:rPr>
          <w:rFonts w:ascii="Times New Roman" w:hAnsi="Times New Roman"/>
        </w:rPr>
        <w:br w:type="page"/>
      </w:r>
    </w:p>
    <w:p w14:paraId="27F6552D">
      <w:pPr>
        <w:spacing w:after="0" w:line="320" w:lineRule="exact"/>
        <w:ind w:firstLine="420" w:firstLineChars="200"/>
        <w:rPr>
          <w:rFonts w:ascii="Times New Roman" w:hAnsi="Times New Roman"/>
        </w:rPr>
        <w:sectPr>
          <w:footerReference r:id="rId14" w:type="first"/>
          <w:pgSz w:w="11906" w:h="16838"/>
          <w:pgMar w:top="1134" w:right="1134" w:bottom="850" w:left="1418" w:header="1417" w:footer="454" w:gutter="0"/>
          <w:cols w:space="720" w:num="1"/>
          <w:formProt w:val="0"/>
          <w:titlePg/>
          <w:docGrid w:type="lines" w:linePitch="312" w:charSpace="0"/>
        </w:sectPr>
      </w:pPr>
    </w:p>
    <w:p w14:paraId="163FFA11">
      <w:pPr>
        <w:spacing w:after="0" w:line="240" w:lineRule="auto"/>
        <w:jc w:val="center"/>
        <w:outlineLvl w:val="1"/>
        <w:rPr>
          <w:rFonts w:ascii="黑体" w:hAnsi="黑体" w:eastAsia="黑体" w:cs="黑体"/>
        </w:rPr>
      </w:pPr>
      <w:r>
        <w:rPr>
          <w:rFonts w:hint="eastAsia" w:ascii="黑体" w:hAnsi="黑体" w:eastAsia="黑体" w:cs="黑体"/>
        </w:rPr>
        <w:t>附录A</w:t>
      </w:r>
    </w:p>
    <w:p w14:paraId="359EE744">
      <w:pPr>
        <w:spacing w:after="0" w:line="240" w:lineRule="auto"/>
        <w:jc w:val="center"/>
        <w:outlineLvl w:val="1"/>
        <w:rPr>
          <w:rFonts w:ascii="黑体" w:hAnsi="黑体" w:eastAsia="黑体" w:cs="黑体"/>
        </w:rPr>
      </w:pPr>
      <w:r>
        <w:rPr>
          <w:rFonts w:hint="eastAsia" w:ascii="黑体" w:hAnsi="黑体" w:eastAsia="黑体" w:cs="黑体"/>
        </w:rPr>
        <w:t xml:space="preserve"> （规范性）</w:t>
      </w:r>
    </w:p>
    <w:p w14:paraId="6A5C9FD3">
      <w:pPr>
        <w:spacing w:after="0" w:line="240" w:lineRule="auto"/>
        <w:jc w:val="center"/>
        <w:outlineLvl w:val="1"/>
        <w:rPr>
          <w:rFonts w:ascii="黑体" w:hAnsi="黑体" w:eastAsia="黑体" w:cs="黑体"/>
        </w:rPr>
      </w:pPr>
      <w:r>
        <w:rPr>
          <w:rFonts w:hint="eastAsia" w:ascii="黑体" w:hAnsi="黑体" w:eastAsia="黑体" w:cs="黑体"/>
        </w:rPr>
        <w:t>产品影响测试</w:t>
      </w:r>
    </w:p>
    <w:p w14:paraId="21D0AC01">
      <w:pPr>
        <w:pStyle w:val="29"/>
        <w:tabs>
          <w:tab w:val="left" w:pos="450"/>
        </w:tabs>
        <w:spacing w:before="156" w:beforeLines="50" w:after="156" w:afterLines="50" w:line="240" w:lineRule="auto"/>
        <w:ind w:firstLine="0" w:firstLineChars="0"/>
        <w:jc w:val="both"/>
        <w:rPr>
          <w:rFonts w:ascii="黑体" w:hAnsi="黑体" w:eastAsia="黑体"/>
          <w:sz w:val="21"/>
          <w:szCs w:val="21"/>
          <w:lang w:eastAsia="zh-CN"/>
        </w:rPr>
      </w:pPr>
      <w:r>
        <w:rPr>
          <w:rFonts w:hint="eastAsia" w:ascii="黑体" w:hAnsi="黑体" w:eastAsia="黑体"/>
          <w:sz w:val="21"/>
          <w:szCs w:val="21"/>
          <w:lang w:eastAsia="zh-CN"/>
        </w:rPr>
        <w:t>A</w:t>
      </w:r>
      <w:r>
        <w:rPr>
          <w:rFonts w:ascii="黑体" w:hAnsi="黑体" w:eastAsia="黑体"/>
          <w:sz w:val="21"/>
          <w:szCs w:val="21"/>
          <w:lang w:eastAsia="zh-CN"/>
        </w:rPr>
        <w:t>.1 产品影响测试步骤</w:t>
      </w:r>
    </w:p>
    <w:p w14:paraId="5996B061">
      <w:pPr>
        <w:pStyle w:val="29"/>
        <w:tabs>
          <w:tab w:val="left" w:pos="450"/>
        </w:tabs>
        <w:spacing w:before="156" w:beforeLines="50" w:after="156" w:afterLines="50" w:line="240" w:lineRule="auto"/>
        <w:ind w:firstLine="0" w:firstLineChars="0"/>
        <w:jc w:val="both"/>
        <w:rPr>
          <w:rFonts w:ascii="黑体" w:hAnsi="黑体" w:eastAsia="黑体"/>
          <w:sz w:val="21"/>
          <w:szCs w:val="21"/>
          <w:lang w:eastAsia="zh-CN"/>
        </w:rPr>
      </w:pPr>
      <w:r>
        <w:rPr>
          <w:rFonts w:hint="eastAsia" w:ascii="黑体" w:hAnsi="黑体" w:eastAsia="黑体"/>
          <w:sz w:val="21"/>
          <w:szCs w:val="21"/>
          <w:lang w:eastAsia="zh-CN"/>
        </w:rPr>
        <w:t>A.1.1单培养体系法</w:t>
      </w:r>
    </w:p>
    <w:p w14:paraId="79C100AB">
      <w:pPr>
        <w:pStyle w:val="29"/>
        <w:spacing w:after="0" w:line="320" w:lineRule="exact"/>
        <w:ind w:firstLine="0" w:firstLineChars="0"/>
        <w:jc w:val="both"/>
        <w:outlineLvl w:val="3"/>
        <w:rPr>
          <w:rFonts w:ascii="Times New Roman" w:hAnsi="Times New Roman"/>
          <w:sz w:val="21"/>
          <w:szCs w:val="21"/>
          <w:lang w:eastAsia="zh-CN"/>
        </w:rPr>
      </w:pPr>
      <w:r>
        <w:rPr>
          <w:rFonts w:ascii="黑体" w:hAnsi="黑体" w:eastAsia="黑体"/>
          <w:sz w:val="21"/>
          <w:szCs w:val="21"/>
          <w:lang w:eastAsia="zh-CN"/>
        </w:rPr>
        <w:t>A.1.1.1</w:t>
      </w:r>
      <w:r>
        <w:rPr>
          <w:rFonts w:ascii="Times New Roman" w:hAnsi="Times New Roman"/>
          <w:sz w:val="21"/>
          <w:szCs w:val="21"/>
          <w:lang w:eastAsia="zh-CN"/>
        </w:rPr>
        <w:t xml:space="preserve"> 将10-100 CFU 洋葱伯克霍尔德氏菌（</w:t>
      </w:r>
      <w:r>
        <w:rPr>
          <w:rFonts w:ascii="Times New Roman" w:hAnsi="Times New Roman"/>
          <w:i/>
          <w:sz w:val="21"/>
          <w:szCs w:val="21"/>
          <w:lang w:eastAsia="zh-CN"/>
        </w:rPr>
        <w:t>Burkholderia cepacia</w:t>
      </w:r>
      <w:r>
        <w:rPr>
          <w:rFonts w:ascii="Times New Roman" w:hAnsi="Times New Roman"/>
          <w:sz w:val="21"/>
          <w:szCs w:val="21"/>
          <w:lang w:eastAsia="zh-CN"/>
        </w:rPr>
        <w:t>）CICC 21926或铜绿假单胞菌（</w:t>
      </w:r>
      <w:r>
        <w:rPr>
          <w:rFonts w:ascii="Times New Roman" w:hAnsi="Times New Roman"/>
          <w:i/>
          <w:iCs/>
          <w:sz w:val="21"/>
          <w:szCs w:val="21"/>
          <w:lang w:eastAsia="zh-CN"/>
        </w:rPr>
        <w:t>Pseudomonas aeruginosa</w:t>
      </w:r>
      <w:r>
        <w:rPr>
          <w:rFonts w:ascii="Times New Roman" w:hAnsi="Times New Roman"/>
          <w:sz w:val="21"/>
          <w:szCs w:val="21"/>
          <w:lang w:eastAsia="zh-CN"/>
        </w:rPr>
        <w:t>）CICC 10419等其他</w:t>
      </w:r>
      <w:r>
        <w:rPr>
          <w:rFonts w:hint="eastAsia" w:ascii="Times New Roman" w:hAnsi="Times New Roman"/>
          <w:sz w:val="21"/>
          <w:szCs w:val="21"/>
          <w:lang w:val="en-US" w:eastAsia="zh-CN"/>
        </w:rPr>
        <w:t>经验证</w:t>
      </w:r>
      <w:r>
        <w:rPr>
          <w:rFonts w:ascii="Times New Roman" w:hAnsi="Times New Roman"/>
          <w:sz w:val="21"/>
          <w:szCs w:val="21"/>
          <w:lang w:eastAsia="zh-CN"/>
        </w:rPr>
        <w:t>适用菌种接入10 mL MTAT中，制成菌悬液</w:t>
      </w:r>
      <w:r>
        <w:rPr>
          <w:rFonts w:hint="eastAsia" w:ascii="Times New Roman" w:hAnsi="Times New Roman"/>
          <w:sz w:val="21"/>
          <w:szCs w:val="21"/>
          <w:lang w:eastAsia="zh-CN"/>
        </w:rPr>
        <w:t>。</w:t>
      </w:r>
    </w:p>
    <w:p w14:paraId="10BFA18D">
      <w:pPr>
        <w:pStyle w:val="29"/>
        <w:spacing w:after="0" w:line="320" w:lineRule="exact"/>
        <w:ind w:firstLine="0" w:firstLineChars="0"/>
        <w:jc w:val="both"/>
        <w:outlineLvl w:val="3"/>
        <w:rPr>
          <w:rFonts w:ascii="Times New Roman" w:hAnsi="Times New Roman"/>
          <w:sz w:val="21"/>
          <w:szCs w:val="21"/>
          <w:lang w:eastAsia="zh-CN"/>
        </w:rPr>
      </w:pPr>
      <w:r>
        <w:rPr>
          <w:rFonts w:ascii="黑体" w:hAnsi="黑体" w:eastAsia="黑体"/>
          <w:sz w:val="21"/>
          <w:szCs w:val="21"/>
          <w:lang w:eastAsia="zh-CN"/>
        </w:rPr>
        <w:t>A.1.1.2</w:t>
      </w:r>
      <w:r>
        <w:rPr>
          <w:rFonts w:ascii="Times New Roman" w:hAnsi="Times New Roman"/>
          <w:sz w:val="21"/>
          <w:szCs w:val="21"/>
          <w:lang w:eastAsia="zh-CN"/>
        </w:rPr>
        <w:t xml:space="preserve"> 按检液制备要求（见7.2</w:t>
      </w:r>
      <w:r>
        <w:rPr>
          <w:rFonts w:hint="eastAsia" w:ascii="Times New Roman" w:hAnsi="Times New Roman"/>
          <w:sz w:val="21"/>
          <w:szCs w:val="21"/>
          <w:lang w:eastAsia="zh-CN"/>
        </w:rPr>
        <w:t>.1</w:t>
      </w:r>
      <w:r>
        <w:rPr>
          <w:rFonts w:ascii="Times New Roman" w:hAnsi="Times New Roman"/>
          <w:sz w:val="21"/>
          <w:szCs w:val="21"/>
          <w:lang w:eastAsia="zh-CN"/>
        </w:rPr>
        <w:t>）制备1:10稀释的检液。取10 mL 1:10稀释的检液加入90 mL MTAT中，制备成产品试样，同时取100 mL MTAT作为培养基空白</w:t>
      </w:r>
      <w:r>
        <w:rPr>
          <w:rFonts w:hint="eastAsia" w:ascii="Times New Roman" w:hAnsi="Times New Roman"/>
          <w:sz w:val="21"/>
          <w:szCs w:val="21"/>
          <w:lang w:eastAsia="zh-CN"/>
        </w:rPr>
        <w:t>。</w:t>
      </w:r>
    </w:p>
    <w:p w14:paraId="3F58F173">
      <w:pPr>
        <w:pStyle w:val="29"/>
        <w:spacing w:after="0" w:line="320" w:lineRule="exact"/>
        <w:ind w:firstLine="0" w:firstLineChars="0"/>
        <w:jc w:val="both"/>
        <w:outlineLvl w:val="3"/>
        <w:rPr>
          <w:rFonts w:ascii="Times New Roman" w:hAnsi="Times New Roman"/>
          <w:sz w:val="21"/>
          <w:szCs w:val="21"/>
          <w:lang w:eastAsia="zh-CN"/>
        </w:rPr>
      </w:pPr>
      <w:r>
        <w:rPr>
          <w:rFonts w:ascii="黑体" w:hAnsi="黑体" w:eastAsia="黑体"/>
          <w:sz w:val="21"/>
          <w:szCs w:val="21"/>
          <w:lang w:eastAsia="zh-CN"/>
        </w:rPr>
        <w:t>A.1.1.3</w:t>
      </w:r>
      <w:r>
        <w:rPr>
          <w:rFonts w:ascii="Times New Roman" w:hAnsi="Times New Roman"/>
          <w:sz w:val="21"/>
          <w:szCs w:val="21"/>
          <w:lang w:eastAsia="zh-CN"/>
        </w:rPr>
        <w:t xml:space="preserve"> 将以上制备的菌悬液、产品试样和培养基空白置摇床培养箱中于30 </w:t>
      </w:r>
      <w:r>
        <w:rPr>
          <w:rFonts w:ascii="Times New Roman" w:hAnsi="Times New Roman"/>
          <w:szCs w:val="22"/>
          <w:lang w:eastAsia="zh-CN"/>
        </w:rPr>
        <w:t>℃</w:t>
      </w:r>
      <w:r>
        <w:rPr>
          <w:rFonts w:ascii="Times New Roman" w:hAnsi="Times New Roman"/>
          <w:sz w:val="21"/>
          <w:szCs w:val="21"/>
          <w:lang w:eastAsia="zh-CN"/>
        </w:rPr>
        <w:t xml:space="preserve"> ± 2 </w:t>
      </w:r>
      <w:r>
        <w:rPr>
          <w:rFonts w:ascii="Times New Roman" w:hAnsi="Times New Roman"/>
          <w:szCs w:val="22"/>
          <w:lang w:eastAsia="zh-CN"/>
        </w:rPr>
        <w:t>℃</w:t>
      </w:r>
      <w:r>
        <w:rPr>
          <w:rFonts w:ascii="Times New Roman" w:hAnsi="Times New Roman"/>
          <w:sz w:val="21"/>
          <w:szCs w:val="21"/>
          <w:lang w:eastAsia="zh-CN"/>
        </w:rPr>
        <w:t>，200 r/min</w:t>
      </w:r>
      <w:r>
        <w:rPr>
          <w:rFonts w:hint="eastAsia" w:ascii="微软雅黑" w:hAnsi="微软雅黑" w:eastAsia="微软雅黑" w:cs="微软雅黑"/>
          <w:lang w:eastAsia="zh-CN"/>
        </w:rPr>
        <w:t>～</w:t>
      </w:r>
      <w:r>
        <w:rPr>
          <w:rFonts w:ascii="Times New Roman" w:hAnsi="Times New Roman"/>
          <w:sz w:val="21"/>
          <w:szCs w:val="21"/>
          <w:lang w:eastAsia="zh-CN"/>
        </w:rPr>
        <w:t>250 r/min振荡培养48h±2h</w:t>
      </w:r>
      <w:r>
        <w:rPr>
          <w:rFonts w:hint="eastAsia" w:ascii="Times New Roman" w:hAnsi="Times New Roman"/>
          <w:sz w:val="21"/>
          <w:szCs w:val="21"/>
          <w:lang w:eastAsia="zh-CN"/>
        </w:rPr>
        <w:t>。</w:t>
      </w:r>
    </w:p>
    <w:p w14:paraId="6E22C2A1">
      <w:pPr>
        <w:pStyle w:val="29"/>
        <w:spacing w:after="0" w:line="320" w:lineRule="exact"/>
        <w:ind w:firstLine="0" w:firstLineChars="0"/>
        <w:jc w:val="both"/>
        <w:outlineLvl w:val="3"/>
        <w:rPr>
          <w:rFonts w:ascii="Times New Roman" w:hAnsi="Times New Roman"/>
          <w:sz w:val="21"/>
          <w:szCs w:val="21"/>
          <w:lang w:eastAsia="zh-CN"/>
        </w:rPr>
      </w:pPr>
      <w:r>
        <w:rPr>
          <w:rFonts w:ascii="黑体" w:hAnsi="黑体" w:eastAsia="黑体"/>
          <w:sz w:val="21"/>
          <w:szCs w:val="21"/>
          <w:lang w:eastAsia="zh-CN"/>
        </w:rPr>
        <w:t>A.1.1.4</w:t>
      </w:r>
      <w:r>
        <w:rPr>
          <w:rFonts w:ascii="Times New Roman" w:hAnsi="Times New Roman"/>
          <w:sz w:val="21"/>
          <w:szCs w:val="21"/>
          <w:lang w:eastAsia="zh-CN"/>
        </w:rPr>
        <w:t xml:space="preserve"> 对培养后的产品试样和培养基空白按上机检测要求（见</w:t>
      </w:r>
      <w:r>
        <w:rPr>
          <w:rFonts w:hint="eastAsia" w:ascii="Times New Roman" w:hAnsi="Times New Roman"/>
          <w:sz w:val="21"/>
          <w:szCs w:val="21"/>
          <w:lang w:eastAsia="zh-CN"/>
        </w:rPr>
        <w:t>7</w:t>
      </w:r>
      <w:r>
        <w:rPr>
          <w:rFonts w:ascii="Times New Roman" w:hAnsi="Times New Roman"/>
          <w:sz w:val="21"/>
          <w:szCs w:val="21"/>
          <w:lang w:eastAsia="zh-CN"/>
        </w:rPr>
        <w:t>.</w:t>
      </w:r>
      <w:r>
        <w:rPr>
          <w:rFonts w:hint="eastAsia" w:ascii="Times New Roman" w:hAnsi="Times New Roman"/>
          <w:sz w:val="21"/>
          <w:szCs w:val="21"/>
          <w:lang w:eastAsia="zh-CN"/>
        </w:rPr>
        <w:t>2.3</w:t>
      </w:r>
      <w:r>
        <w:rPr>
          <w:rFonts w:ascii="Times New Roman" w:hAnsi="Times New Roman"/>
          <w:sz w:val="21"/>
          <w:szCs w:val="21"/>
          <w:lang w:eastAsia="zh-CN"/>
        </w:rPr>
        <w:t>）进行ATP生物荧光增幅法检测。若产品试样检测结果为阴性，可继续进行以下试验；若结果为阳性，则需将产品试样划线或涂布至卵磷脂吐温80-营养琼脂培养基和虎红培养基以确认产品中是否含有微生物污染或非微生物来源ATP干扰</w:t>
      </w:r>
      <w:r>
        <w:rPr>
          <w:rFonts w:hint="eastAsia" w:ascii="Times New Roman" w:hAnsi="Times New Roman"/>
          <w:sz w:val="21"/>
          <w:szCs w:val="21"/>
          <w:lang w:eastAsia="zh-CN"/>
        </w:rPr>
        <w:t>。</w:t>
      </w:r>
    </w:p>
    <w:p w14:paraId="2B8871BB">
      <w:pPr>
        <w:pStyle w:val="29"/>
        <w:spacing w:after="0" w:line="320" w:lineRule="exact"/>
        <w:ind w:firstLine="0" w:firstLineChars="0"/>
        <w:jc w:val="both"/>
        <w:outlineLvl w:val="3"/>
        <w:rPr>
          <w:rFonts w:ascii="Times New Roman" w:hAnsi="Times New Roman"/>
          <w:sz w:val="21"/>
          <w:szCs w:val="21"/>
          <w:lang w:eastAsia="zh-CN"/>
        </w:rPr>
      </w:pPr>
      <w:r>
        <w:rPr>
          <w:rFonts w:ascii="黑体" w:hAnsi="黑体" w:eastAsia="黑体"/>
          <w:sz w:val="21"/>
          <w:szCs w:val="21"/>
          <w:lang w:eastAsia="zh-CN"/>
        </w:rPr>
        <w:t>A.1.1.5</w:t>
      </w:r>
      <w:r>
        <w:rPr>
          <w:rFonts w:ascii="Times New Roman" w:hAnsi="Times New Roman"/>
          <w:sz w:val="21"/>
          <w:szCs w:val="21"/>
          <w:lang w:eastAsia="zh-CN"/>
        </w:rPr>
        <w:t xml:space="preserve"> </w:t>
      </w:r>
      <w:r>
        <w:rPr>
          <w:rFonts w:hint="eastAsia" w:ascii="Times New Roman" w:hAnsi="Times New Roman"/>
          <w:sz w:val="21"/>
          <w:szCs w:val="21"/>
          <w:lang w:eastAsia="zh-CN"/>
        </w:rPr>
        <w:t xml:space="preserve"> </w:t>
      </w:r>
      <w:r>
        <w:rPr>
          <w:rFonts w:ascii="Times New Roman" w:hAnsi="Times New Roman"/>
          <w:sz w:val="21"/>
          <w:szCs w:val="21"/>
          <w:lang w:eastAsia="zh-CN"/>
        </w:rPr>
        <w:t>将菌悬液用MTAT稀释100倍待用</w:t>
      </w:r>
      <w:r>
        <w:rPr>
          <w:rFonts w:hint="eastAsia" w:ascii="Times New Roman" w:hAnsi="Times New Roman"/>
          <w:sz w:val="21"/>
          <w:szCs w:val="21"/>
          <w:lang w:eastAsia="zh-CN"/>
        </w:rPr>
        <w:t>。</w:t>
      </w:r>
    </w:p>
    <w:p w14:paraId="427B7EBC">
      <w:pPr>
        <w:pStyle w:val="29"/>
        <w:spacing w:after="0" w:line="320" w:lineRule="exact"/>
        <w:ind w:firstLine="0" w:firstLineChars="0"/>
        <w:jc w:val="both"/>
        <w:outlineLvl w:val="3"/>
        <w:rPr>
          <w:rFonts w:ascii="Times New Roman" w:hAnsi="Times New Roman"/>
          <w:sz w:val="21"/>
          <w:szCs w:val="21"/>
          <w:lang w:eastAsia="zh-CN"/>
        </w:rPr>
      </w:pPr>
      <w:r>
        <w:rPr>
          <w:rFonts w:ascii="黑体" w:hAnsi="黑体" w:eastAsia="黑体"/>
          <w:sz w:val="21"/>
          <w:szCs w:val="21"/>
          <w:lang w:eastAsia="zh-CN"/>
        </w:rPr>
        <w:t>A.1.1.</w:t>
      </w:r>
      <w:r>
        <w:rPr>
          <w:rFonts w:hint="eastAsia" w:ascii="黑体" w:hAnsi="黑体" w:eastAsia="黑体" w:cs="黑体"/>
          <w:sz w:val="21"/>
          <w:szCs w:val="21"/>
          <w:lang w:eastAsia="zh-CN"/>
        </w:rPr>
        <w:t xml:space="preserve">6 </w:t>
      </w:r>
      <w:r>
        <w:rPr>
          <w:rFonts w:ascii="Times New Roman" w:hAnsi="Times New Roman"/>
          <w:sz w:val="21"/>
          <w:szCs w:val="21"/>
          <w:lang w:eastAsia="zh-CN"/>
        </w:rPr>
        <w:t xml:space="preserve"> 900 µL MTAT中加入100 µL ATP阳性对照标品，混合均匀，为ATP培养基对照</w:t>
      </w:r>
      <w:r>
        <w:rPr>
          <w:rFonts w:hint="eastAsia" w:ascii="Times New Roman" w:hAnsi="Times New Roman"/>
          <w:sz w:val="21"/>
          <w:szCs w:val="21"/>
          <w:lang w:eastAsia="zh-CN"/>
        </w:rPr>
        <w:t>。</w:t>
      </w:r>
    </w:p>
    <w:p w14:paraId="17D413CA">
      <w:pPr>
        <w:pStyle w:val="29"/>
        <w:spacing w:after="0" w:line="320" w:lineRule="exact"/>
        <w:ind w:firstLine="0" w:firstLineChars="0"/>
        <w:jc w:val="both"/>
        <w:outlineLvl w:val="3"/>
        <w:rPr>
          <w:rFonts w:ascii="Times New Roman" w:hAnsi="Times New Roman"/>
          <w:sz w:val="21"/>
          <w:szCs w:val="21"/>
          <w:lang w:eastAsia="zh-CN"/>
        </w:rPr>
      </w:pPr>
      <w:r>
        <w:rPr>
          <w:rFonts w:ascii="黑体" w:hAnsi="黑体" w:eastAsia="黑体"/>
          <w:sz w:val="21"/>
          <w:szCs w:val="21"/>
          <w:lang w:eastAsia="zh-CN"/>
        </w:rPr>
        <w:t>A.1.1.</w:t>
      </w:r>
      <w:r>
        <w:rPr>
          <w:rFonts w:hint="eastAsia" w:ascii="黑体" w:hAnsi="黑体" w:eastAsia="黑体" w:cs="黑体"/>
          <w:sz w:val="21"/>
          <w:szCs w:val="21"/>
          <w:lang w:eastAsia="zh-CN"/>
        </w:rPr>
        <w:t>7</w:t>
      </w:r>
      <w:r>
        <w:rPr>
          <w:rFonts w:ascii="Times New Roman" w:hAnsi="Times New Roman"/>
          <w:sz w:val="21"/>
          <w:szCs w:val="21"/>
          <w:lang w:eastAsia="zh-CN"/>
        </w:rPr>
        <w:t xml:space="preserve"> </w:t>
      </w:r>
      <w:r>
        <w:rPr>
          <w:rFonts w:hint="eastAsia" w:ascii="Times New Roman" w:hAnsi="Times New Roman"/>
          <w:sz w:val="21"/>
          <w:szCs w:val="21"/>
          <w:lang w:eastAsia="zh-CN"/>
        </w:rPr>
        <w:t xml:space="preserve"> </w:t>
      </w:r>
      <w:r>
        <w:rPr>
          <w:rFonts w:ascii="Times New Roman" w:hAnsi="Times New Roman"/>
          <w:sz w:val="21"/>
          <w:szCs w:val="21"/>
          <w:lang w:eastAsia="zh-CN"/>
        </w:rPr>
        <w:t>900 µL MTAT中加入100 µL 100倍稀释的菌悬液，混合均匀，为微生物对照</w:t>
      </w:r>
      <w:r>
        <w:rPr>
          <w:rFonts w:hint="eastAsia" w:ascii="Times New Roman" w:hAnsi="Times New Roman"/>
          <w:sz w:val="21"/>
          <w:szCs w:val="21"/>
          <w:lang w:eastAsia="zh-CN"/>
        </w:rPr>
        <w:t>。</w:t>
      </w:r>
    </w:p>
    <w:p w14:paraId="06FC32A8">
      <w:pPr>
        <w:pStyle w:val="29"/>
        <w:spacing w:after="0" w:line="320" w:lineRule="exact"/>
        <w:ind w:firstLine="0" w:firstLineChars="0"/>
        <w:jc w:val="both"/>
        <w:outlineLvl w:val="3"/>
        <w:rPr>
          <w:rFonts w:ascii="Times New Roman" w:hAnsi="Times New Roman"/>
          <w:sz w:val="21"/>
          <w:szCs w:val="21"/>
          <w:lang w:eastAsia="zh-CN"/>
        </w:rPr>
      </w:pPr>
      <w:r>
        <w:rPr>
          <w:rFonts w:ascii="黑体" w:hAnsi="黑体" w:eastAsia="黑体"/>
          <w:sz w:val="21"/>
          <w:szCs w:val="21"/>
          <w:lang w:eastAsia="zh-CN"/>
        </w:rPr>
        <w:t>A.1.1.8</w:t>
      </w:r>
      <w:r>
        <w:rPr>
          <w:rFonts w:ascii="Times New Roman" w:hAnsi="Times New Roman"/>
          <w:sz w:val="21"/>
          <w:szCs w:val="21"/>
          <w:lang w:eastAsia="zh-CN"/>
        </w:rPr>
        <w:t xml:space="preserve"> </w:t>
      </w:r>
      <w:r>
        <w:rPr>
          <w:rFonts w:hint="eastAsia" w:ascii="Times New Roman" w:hAnsi="Times New Roman"/>
          <w:sz w:val="21"/>
          <w:szCs w:val="21"/>
          <w:lang w:eastAsia="zh-CN"/>
        </w:rPr>
        <w:t xml:space="preserve"> </w:t>
      </w:r>
      <w:r>
        <w:rPr>
          <w:rFonts w:ascii="Times New Roman" w:hAnsi="Times New Roman"/>
          <w:sz w:val="21"/>
          <w:szCs w:val="21"/>
          <w:lang w:eastAsia="zh-CN"/>
        </w:rPr>
        <w:t>900 µL 产品试样中加入100 µL ATP阳性对照标品，混合均匀，为ATP试样</w:t>
      </w:r>
      <w:r>
        <w:rPr>
          <w:rFonts w:hint="eastAsia" w:ascii="Times New Roman" w:hAnsi="Times New Roman"/>
          <w:sz w:val="21"/>
          <w:szCs w:val="21"/>
          <w:lang w:eastAsia="zh-CN"/>
        </w:rPr>
        <w:t>。</w:t>
      </w:r>
    </w:p>
    <w:p w14:paraId="2D28E3CE">
      <w:pPr>
        <w:pStyle w:val="29"/>
        <w:spacing w:after="0" w:line="320" w:lineRule="exact"/>
        <w:ind w:firstLine="0" w:firstLineChars="0"/>
        <w:jc w:val="both"/>
        <w:outlineLvl w:val="3"/>
        <w:rPr>
          <w:rFonts w:ascii="Times New Roman" w:hAnsi="Times New Roman"/>
          <w:sz w:val="21"/>
          <w:szCs w:val="21"/>
          <w:lang w:eastAsia="zh-CN"/>
        </w:rPr>
      </w:pPr>
      <w:r>
        <w:rPr>
          <w:rFonts w:ascii="黑体" w:hAnsi="黑体" w:eastAsia="黑体"/>
          <w:sz w:val="21"/>
          <w:szCs w:val="21"/>
          <w:lang w:eastAsia="zh-CN"/>
        </w:rPr>
        <w:t>A.1.1.9</w:t>
      </w:r>
      <w:r>
        <w:rPr>
          <w:rFonts w:ascii="Times New Roman" w:hAnsi="Times New Roman"/>
          <w:sz w:val="21"/>
          <w:szCs w:val="21"/>
          <w:lang w:eastAsia="zh-CN"/>
        </w:rPr>
        <w:t xml:space="preserve"> </w:t>
      </w:r>
      <w:r>
        <w:rPr>
          <w:rFonts w:hint="eastAsia" w:ascii="Times New Roman" w:hAnsi="Times New Roman"/>
          <w:sz w:val="21"/>
          <w:szCs w:val="21"/>
          <w:lang w:eastAsia="zh-CN"/>
        </w:rPr>
        <w:t xml:space="preserve"> </w:t>
      </w:r>
      <w:r>
        <w:rPr>
          <w:rFonts w:ascii="Times New Roman" w:hAnsi="Times New Roman"/>
          <w:sz w:val="21"/>
          <w:szCs w:val="21"/>
          <w:lang w:eastAsia="zh-CN"/>
        </w:rPr>
        <w:t>900 µL 产品试样中加入100 µL 100倍稀释的菌悬液，混合均匀，为微生物试样</w:t>
      </w:r>
      <w:r>
        <w:rPr>
          <w:rFonts w:hint="eastAsia" w:ascii="Times New Roman" w:hAnsi="Times New Roman"/>
          <w:sz w:val="21"/>
          <w:szCs w:val="21"/>
          <w:lang w:eastAsia="zh-CN"/>
        </w:rPr>
        <w:t>。</w:t>
      </w:r>
    </w:p>
    <w:p w14:paraId="46DBC016">
      <w:pPr>
        <w:pStyle w:val="29"/>
        <w:spacing w:after="0" w:line="320" w:lineRule="exact"/>
        <w:ind w:firstLine="0" w:firstLineChars="0"/>
        <w:jc w:val="both"/>
        <w:outlineLvl w:val="3"/>
        <w:rPr>
          <w:rFonts w:ascii="Times New Roman" w:hAnsi="Times New Roman"/>
          <w:sz w:val="21"/>
          <w:szCs w:val="21"/>
          <w:lang w:eastAsia="zh-CN"/>
        </w:rPr>
      </w:pPr>
      <w:r>
        <w:rPr>
          <w:rFonts w:ascii="黑体" w:hAnsi="黑体" w:eastAsia="黑体"/>
          <w:sz w:val="21"/>
          <w:szCs w:val="21"/>
          <w:lang w:eastAsia="zh-CN"/>
        </w:rPr>
        <w:t>A.1.1</w:t>
      </w:r>
      <w:r>
        <w:rPr>
          <w:rFonts w:hint="eastAsia" w:ascii="黑体" w:hAnsi="黑体" w:eastAsia="黑体" w:cs="黑体"/>
          <w:sz w:val="21"/>
          <w:szCs w:val="21"/>
          <w:lang w:eastAsia="zh-CN"/>
        </w:rPr>
        <w:t>.10</w:t>
      </w:r>
      <w:r>
        <w:rPr>
          <w:rFonts w:ascii="Times New Roman" w:hAnsi="Times New Roman"/>
          <w:sz w:val="21"/>
          <w:szCs w:val="21"/>
          <w:lang w:eastAsia="zh-CN"/>
        </w:rPr>
        <w:t xml:space="preserve"> 将上述制备的ATP培养基对照、微生物对照、ATP试样和微生物试样按上机检测要求（见</w:t>
      </w:r>
      <w:bookmarkStart w:id="7" w:name="OLE_LINK2"/>
      <w:r>
        <w:rPr>
          <w:rFonts w:hint="eastAsia" w:ascii="Times New Roman" w:hAnsi="Times New Roman"/>
          <w:sz w:val="21"/>
          <w:szCs w:val="21"/>
          <w:lang w:eastAsia="zh-CN"/>
        </w:rPr>
        <w:t>7</w:t>
      </w:r>
      <w:r>
        <w:rPr>
          <w:rFonts w:ascii="Times New Roman" w:hAnsi="Times New Roman"/>
          <w:sz w:val="21"/>
          <w:szCs w:val="21"/>
          <w:lang w:eastAsia="zh-CN"/>
        </w:rPr>
        <w:t>.</w:t>
      </w:r>
      <w:r>
        <w:rPr>
          <w:rFonts w:hint="eastAsia" w:ascii="Times New Roman" w:hAnsi="Times New Roman"/>
          <w:sz w:val="21"/>
          <w:szCs w:val="21"/>
          <w:lang w:eastAsia="zh-CN"/>
        </w:rPr>
        <w:t>2.3</w:t>
      </w:r>
      <w:bookmarkEnd w:id="7"/>
      <w:r>
        <w:rPr>
          <w:rFonts w:ascii="Times New Roman" w:hAnsi="Times New Roman"/>
          <w:sz w:val="21"/>
          <w:szCs w:val="21"/>
          <w:lang w:eastAsia="zh-CN"/>
        </w:rPr>
        <w:t>）进行ATP</w:t>
      </w:r>
      <w:r>
        <w:rPr>
          <w:rFonts w:hint="eastAsia" w:ascii="Times New Roman" w:hAnsi="Times New Roman"/>
          <w:sz w:val="21"/>
          <w:szCs w:val="21"/>
          <w:lang w:eastAsia="zh-CN"/>
        </w:rPr>
        <w:t>生物荧光增幅法</w:t>
      </w:r>
      <w:r>
        <w:rPr>
          <w:rFonts w:ascii="Times New Roman" w:hAnsi="Times New Roman"/>
          <w:sz w:val="21"/>
          <w:szCs w:val="21"/>
          <w:lang w:eastAsia="zh-CN"/>
        </w:rPr>
        <w:t>检测。</w:t>
      </w:r>
    </w:p>
    <w:p w14:paraId="23E1F0FB">
      <w:pPr>
        <w:pStyle w:val="29"/>
        <w:tabs>
          <w:tab w:val="left" w:pos="450"/>
        </w:tabs>
        <w:spacing w:before="156" w:beforeLines="50" w:after="156" w:afterLines="50" w:line="240" w:lineRule="auto"/>
        <w:ind w:firstLine="0" w:firstLineChars="0"/>
        <w:jc w:val="both"/>
        <w:rPr>
          <w:rFonts w:ascii="黑体" w:hAnsi="黑体" w:eastAsia="黑体"/>
          <w:sz w:val="21"/>
          <w:szCs w:val="21"/>
          <w:lang w:eastAsia="zh-CN"/>
        </w:rPr>
      </w:pPr>
      <w:r>
        <w:rPr>
          <w:rFonts w:hint="eastAsia" w:ascii="黑体" w:hAnsi="黑体" w:eastAsia="黑体"/>
          <w:sz w:val="21"/>
          <w:szCs w:val="21"/>
          <w:lang w:eastAsia="zh-CN"/>
        </w:rPr>
        <w:t>A.1.2双培养体系法</w:t>
      </w:r>
    </w:p>
    <w:p w14:paraId="5D0828D4">
      <w:pPr>
        <w:spacing w:after="0" w:line="320" w:lineRule="exact"/>
        <w:rPr>
          <w:rFonts w:ascii="Times New Roman" w:hAnsi="Times New Roman"/>
          <w:szCs w:val="21"/>
        </w:rPr>
      </w:pPr>
      <w:r>
        <w:rPr>
          <w:rFonts w:ascii="黑体" w:hAnsi="黑体" w:eastAsia="黑体"/>
          <w:kern w:val="0"/>
          <w:szCs w:val="21"/>
        </w:rPr>
        <w:t>A.1.2.1</w:t>
      </w:r>
      <w:r>
        <w:rPr>
          <w:rFonts w:ascii="Times New Roman" w:hAnsi="Times New Roman"/>
          <w:spacing w:val="8"/>
          <w:szCs w:val="21"/>
        </w:rPr>
        <w:t xml:space="preserve"> </w:t>
      </w:r>
      <w:r>
        <w:rPr>
          <w:rFonts w:ascii="Times New Roman" w:hAnsi="Times New Roman"/>
          <w:szCs w:val="21"/>
        </w:rPr>
        <w:t>将</w:t>
      </w:r>
      <w:r>
        <w:rPr>
          <w:rFonts w:ascii="Times New Roman" w:hAnsi="Times New Roman"/>
          <w:spacing w:val="-55"/>
          <w:szCs w:val="21"/>
        </w:rPr>
        <w:t xml:space="preserve"> </w:t>
      </w:r>
      <w:r>
        <w:rPr>
          <w:rFonts w:ascii="Times New Roman" w:hAnsi="Times New Roman"/>
          <w:spacing w:val="1"/>
          <w:szCs w:val="21"/>
        </w:rPr>
        <w:t>10</w:t>
      </w:r>
      <w:r>
        <w:rPr>
          <w:rFonts w:ascii="Times New Roman" w:hAnsi="Times New Roman"/>
          <w:spacing w:val="-2"/>
          <w:szCs w:val="21"/>
        </w:rPr>
        <w:t>-</w:t>
      </w:r>
      <w:r>
        <w:rPr>
          <w:rFonts w:ascii="Times New Roman" w:hAnsi="Times New Roman"/>
          <w:spacing w:val="1"/>
          <w:szCs w:val="21"/>
        </w:rPr>
        <w:t>10</w:t>
      </w:r>
      <w:r>
        <w:rPr>
          <w:rFonts w:ascii="Times New Roman" w:hAnsi="Times New Roman"/>
          <w:szCs w:val="21"/>
        </w:rPr>
        <w:t>0</w:t>
      </w:r>
      <w:r>
        <w:rPr>
          <w:rFonts w:ascii="Times New Roman" w:hAnsi="Times New Roman"/>
          <w:spacing w:val="-14"/>
          <w:szCs w:val="21"/>
        </w:rPr>
        <w:t xml:space="preserve"> </w:t>
      </w:r>
      <w:r>
        <w:rPr>
          <w:rFonts w:ascii="Times New Roman" w:hAnsi="Times New Roman"/>
          <w:spacing w:val="1"/>
          <w:szCs w:val="21"/>
        </w:rPr>
        <w:t>CF</w:t>
      </w:r>
      <w:r>
        <w:rPr>
          <w:rFonts w:ascii="Times New Roman" w:hAnsi="Times New Roman"/>
          <w:szCs w:val="21"/>
        </w:rPr>
        <w:t>U</w:t>
      </w:r>
      <w:r>
        <w:rPr>
          <w:rFonts w:ascii="Times New Roman" w:hAnsi="Times New Roman"/>
          <w:spacing w:val="-15"/>
          <w:szCs w:val="21"/>
        </w:rPr>
        <w:t xml:space="preserve"> </w:t>
      </w:r>
      <w:r>
        <w:rPr>
          <w:rFonts w:ascii="Times New Roman" w:hAnsi="Times New Roman"/>
          <w:spacing w:val="9"/>
          <w:szCs w:val="21"/>
        </w:rPr>
        <w:t>洋葱伯克霍尔德氏菌</w:t>
      </w:r>
      <w:r>
        <w:rPr>
          <w:rFonts w:ascii="Times New Roman" w:hAnsi="Times New Roman"/>
          <w:szCs w:val="21"/>
        </w:rPr>
        <w:t>（</w:t>
      </w:r>
      <w:r>
        <w:rPr>
          <w:rStyle w:val="30"/>
          <w:rFonts w:hint="default" w:ascii="Times New Roman" w:hAnsi="Times New Roman"/>
          <w:i/>
          <w:iCs/>
        </w:rPr>
        <w:t>Burkholderia cepacia</w:t>
      </w:r>
      <w:r>
        <w:rPr>
          <w:rFonts w:ascii="Times New Roman" w:hAnsi="Times New Roman"/>
          <w:spacing w:val="9"/>
          <w:szCs w:val="21"/>
        </w:rPr>
        <w:t>）</w:t>
      </w:r>
      <w:r>
        <w:rPr>
          <w:rFonts w:ascii="Times New Roman" w:hAnsi="Times New Roman"/>
          <w:spacing w:val="1"/>
          <w:szCs w:val="21"/>
        </w:rPr>
        <w:t>CIC</w:t>
      </w:r>
      <w:r>
        <w:rPr>
          <w:rFonts w:ascii="Times New Roman" w:hAnsi="Times New Roman"/>
          <w:szCs w:val="21"/>
        </w:rPr>
        <w:t>C</w:t>
      </w:r>
      <w:r>
        <w:rPr>
          <w:rFonts w:ascii="Times New Roman" w:hAnsi="Times New Roman"/>
          <w:spacing w:val="-13"/>
          <w:szCs w:val="21"/>
        </w:rPr>
        <w:t xml:space="preserve"> </w:t>
      </w:r>
      <w:r>
        <w:rPr>
          <w:rFonts w:ascii="Times New Roman" w:hAnsi="Times New Roman"/>
          <w:spacing w:val="1"/>
          <w:szCs w:val="21"/>
        </w:rPr>
        <w:t>219</w:t>
      </w:r>
      <w:r>
        <w:rPr>
          <w:rFonts w:ascii="Times New Roman" w:hAnsi="Times New Roman"/>
          <w:spacing w:val="-2"/>
          <w:szCs w:val="21"/>
        </w:rPr>
        <w:t>2</w:t>
      </w:r>
      <w:r>
        <w:rPr>
          <w:rFonts w:ascii="Times New Roman" w:hAnsi="Times New Roman"/>
          <w:szCs w:val="21"/>
        </w:rPr>
        <w:t>6</w:t>
      </w:r>
      <w:r>
        <w:rPr>
          <w:rFonts w:ascii="Times New Roman" w:hAnsi="Times New Roman"/>
          <w:spacing w:val="-56"/>
          <w:szCs w:val="21"/>
        </w:rPr>
        <w:t xml:space="preserve"> </w:t>
      </w:r>
      <w:r>
        <w:rPr>
          <w:rFonts w:ascii="Times New Roman" w:hAnsi="Times New Roman"/>
          <w:spacing w:val="9"/>
          <w:szCs w:val="21"/>
        </w:rPr>
        <w:t>或铜绿假单胞</w:t>
      </w:r>
      <w:r>
        <w:rPr>
          <w:rFonts w:ascii="Times New Roman" w:hAnsi="Times New Roman"/>
          <w:szCs w:val="21"/>
        </w:rPr>
        <w:t>菌</w:t>
      </w:r>
      <w:r>
        <w:rPr>
          <w:rFonts w:ascii="Times New Roman" w:hAnsi="Times New Roman"/>
          <w:spacing w:val="-11"/>
          <w:szCs w:val="21"/>
        </w:rPr>
        <w:t>（</w:t>
      </w:r>
      <w:r>
        <w:rPr>
          <w:rStyle w:val="30"/>
          <w:rFonts w:hint="default" w:ascii="Times New Roman" w:hAnsi="Times New Roman"/>
          <w:i/>
          <w:iCs/>
        </w:rPr>
        <w:t>Pseudomonas aeruginosa</w:t>
      </w:r>
      <w:r>
        <w:rPr>
          <w:rFonts w:ascii="Times New Roman" w:hAnsi="Times New Roman"/>
          <w:spacing w:val="-1"/>
          <w:szCs w:val="21"/>
        </w:rPr>
        <w:t>）</w:t>
      </w:r>
      <w:r>
        <w:rPr>
          <w:rFonts w:ascii="Times New Roman" w:hAnsi="Times New Roman"/>
          <w:spacing w:val="1"/>
          <w:szCs w:val="21"/>
        </w:rPr>
        <w:t>CIC</w:t>
      </w:r>
      <w:r>
        <w:rPr>
          <w:rFonts w:ascii="Times New Roman" w:hAnsi="Times New Roman"/>
          <w:szCs w:val="21"/>
        </w:rPr>
        <w:t>C</w:t>
      </w:r>
      <w:r>
        <w:rPr>
          <w:rFonts w:ascii="Times New Roman" w:hAnsi="Times New Roman"/>
          <w:spacing w:val="-20"/>
          <w:szCs w:val="21"/>
        </w:rPr>
        <w:t xml:space="preserve"> </w:t>
      </w:r>
      <w:r>
        <w:rPr>
          <w:rFonts w:ascii="Times New Roman" w:hAnsi="Times New Roman"/>
          <w:spacing w:val="1"/>
          <w:szCs w:val="21"/>
        </w:rPr>
        <w:t>104</w:t>
      </w:r>
      <w:r>
        <w:rPr>
          <w:rFonts w:ascii="Times New Roman" w:hAnsi="Times New Roman"/>
          <w:spacing w:val="-2"/>
          <w:szCs w:val="21"/>
        </w:rPr>
        <w:t>1</w:t>
      </w:r>
      <w:r>
        <w:rPr>
          <w:rFonts w:ascii="Times New Roman" w:hAnsi="Times New Roman"/>
          <w:szCs w:val="21"/>
        </w:rPr>
        <w:t>9</w:t>
      </w:r>
      <w:r>
        <w:rPr>
          <w:rFonts w:ascii="Times New Roman" w:hAnsi="Times New Roman"/>
          <w:spacing w:val="-64"/>
          <w:szCs w:val="21"/>
        </w:rPr>
        <w:t xml:space="preserve"> </w:t>
      </w:r>
      <w:r>
        <w:rPr>
          <w:rFonts w:ascii="Times New Roman" w:hAnsi="Times New Roman"/>
          <w:spacing w:val="2"/>
          <w:szCs w:val="21"/>
        </w:rPr>
        <w:t>等</w:t>
      </w:r>
      <w:r>
        <w:rPr>
          <w:rFonts w:ascii="Times New Roman" w:hAnsi="Times New Roman"/>
          <w:spacing w:val="-1"/>
          <w:szCs w:val="21"/>
        </w:rPr>
        <w:t>其</w:t>
      </w:r>
      <w:r>
        <w:rPr>
          <w:rFonts w:ascii="Times New Roman" w:hAnsi="Times New Roman"/>
          <w:spacing w:val="2"/>
          <w:szCs w:val="21"/>
        </w:rPr>
        <w:t>他</w:t>
      </w:r>
      <w:r>
        <w:rPr>
          <w:rFonts w:ascii="Times New Roman" w:hAnsi="Times New Roman"/>
          <w:spacing w:val="-1"/>
          <w:szCs w:val="21"/>
        </w:rPr>
        <w:t>适</w:t>
      </w:r>
      <w:r>
        <w:rPr>
          <w:rFonts w:ascii="Times New Roman" w:hAnsi="Times New Roman"/>
          <w:spacing w:val="2"/>
          <w:szCs w:val="21"/>
        </w:rPr>
        <w:t>用</w:t>
      </w:r>
      <w:r>
        <w:rPr>
          <w:rFonts w:ascii="Times New Roman" w:hAnsi="Times New Roman"/>
          <w:spacing w:val="-1"/>
          <w:szCs w:val="21"/>
        </w:rPr>
        <w:t>菌</w:t>
      </w:r>
      <w:r>
        <w:rPr>
          <w:rFonts w:ascii="Times New Roman" w:hAnsi="Times New Roman"/>
          <w:spacing w:val="2"/>
          <w:szCs w:val="21"/>
        </w:rPr>
        <w:t>种</w:t>
      </w:r>
      <w:r>
        <w:rPr>
          <w:rFonts w:ascii="Times New Roman" w:hAnsi="Times New Roman"/>
          <w:spacing w:val="-1"/>
          <w:szCs w:val="21"/>
        </w:rPr>
        <w:t>接</w:t>
      </w:r>
      <w:r>
        <w:rPr>
          <w:rFonts w:ascii="Times New Roman" w:hAnsi="Times New Roman"/>
          <w:szCs w:val="21"/>
        </w:rPr>
        <w:t>入</w:t>
      </w:r>
      <w:r>
        <w:rPr>
          <w:rFonts w:ascii="Times New Roman" w:hAnsi="Times New Roman"/>
          <w:spacing w:val="-60"/>
          <w:szCs w:val="21"/>
        </w:rPr>
        <w:t xml:space="preserve"> </w:t>
      </w:r>
      <w:r>
        <w:rPr>
          <w:rFonts w:ascii="Times New Roman" w:hAnsi="Times New Roman"/>
          <w:spacing w:val="1"/>
          <w:szCs w:val="21"/>
        </w:rPr>
        <w:t>1</w:t>
      </w:r>
      <w:r>
        <w:rPr>
          <w:rFonts w:ascii="Times New Roman" w:hAnsi="Times New Roman"/>
          <w:szCs w:val="21"/>
        </w:rPr>
        <w:t>0</w:t>
      </w:r>
      <w:r>
        <w:rPr>
          <w:rFonts w:ascii="Times New Roman" w:hAnsi="Times New Roman"/>
          <w:spacing w:val="-20"/>
          <w:szCs w:val="21"/>
        </w:rPr>
        <w:t xml:space="preserve"> </w:t>
      </w:r>
      <w:r>
        <w:rPr>
          <w:rFonts w:ascii="Times New Roman" w:hAnsi="Times New Roman"/>
          <w:spacing w:val="1"/>
          <w:szCs w:val="21"/>
        </w:rPr>
        <w:t>m</w:t>
      </w:r>
      <w:r>
        <w:rPr>
          <w:rFonts w:ascii="Times New Roman" w:hAnsi="Times New Roman"/>
          <w:szCs w:val="21"/>
        </w:rPr>
        <w:t>L</w:t>
      </w:r>
      <w:r>
        <w:rPr>
          <w:rFonts w:ascii="Times New Roman" w:hAnsi="Times New Roman"/>
          <w:spacing w:val="-18"/>
          <w:szCs w:val="21"/>
        </w:rPr>
        <w:t xml:space="preserve"> </w:t>
      </w:r>
      <w:r>
        <w:rPr>
          <w:rFonts w:ascii="Times New Roman" w:hAnsi="Times New Roman"/>
          <w:spacing w:val="1"/>
          <w:szCs w:val="21"/>
        </w:rPr>
        <w:t>MT</w:t>
      </w:r>
      <w:r>
        <w:rPr>
          <w:rFonts w:ascii="Times New Roman" w:hAnsi="Times New Roman"/>
          <w:spacing w:val="-2"/>
          <w:szCs w:val="21"/>
        </w:rPr>
        <w:t>A</w:t>
      </w:r>
      <w:r>
        <w:rPr>
          <w:rFonts w:ascii="Times New Roman" w:hAnsi="Times New Roman"/>
          <w:szCs w:val="21"/>
        </w:rPr>
        <w:t>T</w:t>
      </w:r>
      <w:r>
        <w:rPr>
          <w:rFonts w:ascii="Times New Roman" w:hAnsi="Times New Roman"/>
          <w:spacing w:val="-64"/>
          <w:szCs w:val="21"/>
        </w:rPr>
        <w:t xml:space="preserve"> </w:t>
      </w:r>
      <w:r>
        <w:rPr>
          <w:rFonts w:ascii="Times New Roman" w:hAnsi="Times New Roman"/>
          <w:spacing w:val="2"/>
          <w:szCs w:val="21"/>
        </w:rPr>
        <w:t>中</w:t>
      </w:r>
      <w:r>
        <w:rPr>
          <w:rFonts w:ascii="Times New Roman" w:hAnsi="Times New Roman"/>
          <w:spacing w:val="-1"/>
          <w:szCs w:val="21"/>
        </w:rPr>
        <w:t>，</w:t>
      </w:r>
      <w:r>
        <w:rPr>
          <w:rFonts w:ascii="Times New Roman" w:hAnsi="Times New Roman"/>
          <w:spacing w:val="2"/>
          <w:szCs w:val="21"/>
        </w:rPr>
        <w:t>制</w:t>
      </w:r>
      <w:r>
        <w:rPr>
          <w:rFonts w:ascii="Times New Roman" w:hAnsi="Times New Roman"/>
          <w:spacing w:val="-1"/>
          <w:szCs w:val="21"/>
        </w:rPr>
        <w:t>成</w:t>
      </w:r>
      <w:r>
        <w:rPr>
          <w:rFonts w:ascii="Times New Roman" w:hAnsi="Times New Roman"/>
          <w:spacing w:val="2"/>
          <w:szCs w:val="21"/>
        </w:rPr>
        <w:t>菌</w:t>
      </w:r>
      <w:r>
        <w:rPr>
          <w:rFonts w:ascii="Times New Roman" w:hAnsi="Times New Roman"/>
          <w:spacing w:val="-1"/>
          <w:szCs w:val="21"/>
        </w:rPr>
        <w:t>悬</w:t>
      </w:r>
      <w:r>
        <w:rPr>
          <w:rFonts w:ascii="Times New Roman" w:hAnsi="Times New Roman"/>
          <w:spacing w:val="2"/>
          <w:szCs w:val="21"/>
        </w:rPr>
        <w:t>液</w:t>
      </w:r>
      <w:r>
        <w:rPr>
          <w:rFonts w:hint="eastAsia" w:ascii="Times New Roman" w:hAnsi="Times New Roman"/>
          <w:spacing w:val="2"/>
          <w:szCs w:val="21"/>
        </w:rPr>
        <w:t>。</w:t>
      </w:r>
    </w:p>
    <w:p w14:paraId="3EEB75D5">
      <w:pPr>
        <w:spacing w:after="0" w:line="320" w:lineRule="exact"/>
        <w:rPr>
          <w:rFonts w:ascii="Times New Roman" w:hAnsi="Times New Roman"/>
          <w:szCs w:val="21"/>
        </w:rPr>
      </w:pPr>
      <w:r>
        <w:rPr>
          <w:rFonts w:hint="eastAsia" w:ascii="黑体" w:hAnsi="黑体" w:eastAsia="黑体"/>
          <w:kern w:val="0"/>
          <w:szCs w:val="21"/>
        </w:rPr>
        <w:t>A</w:t>
      </w:r>
      <w:r>
        <w:rPr>
          <w:rFonts w:ascii="黑体" w:hAnsi="黑体" w:eastAsia="黑体"/>
          <w:kern w:val="0"/>
          <w:szCs w:val="21"/>
        </w:rPr>
        <w:t>.1.2.2</w:t>
      </w:r>
      <w:r>
        <w:t xml:space="preserve"> 按检液制备要求</w:t>
      </w:r>
      <w:r>
        <w:rPr>
          <w:rFonts w:ascii="Times New Roman" w:hAnsi="Times New Roman"/>
          <w:spacing w:val="1"/>
          <w:szCs w:val="21"/>
        </w:rPr>
        <w:t>制备 1:10 稀释的检液。分别取10 mL 1:10稀释的检液加入90 mL MTAT和</w:t>
      </w:r>
      <w:r>
        <w:rPr>
          <w:rFonts w:hint="eastAsia" w:ascii="Times New Roman" w:hAnsi="Times New Roman"/>
        </w:rPr>
        <w:t>TLE</w:t>
      </w:r>
      <w:r>
        <w:rPr>
          <w:rFonts w:ascii="Times New Roman" w:hAnsi="Times New Roman"/>
          <w:spacing w:val="1"/>
          <w:szCs w:val="21"/>
        </w:rPr>
        <w:t>中，制备成产品试样，同时取 100 mL MTAT</w:t>
      </w:r>
      <w:r>
        <w:t>和</w:t>
      </w:r>
      <w:r>
        <w:rPr>
          <w:rFonts w:hint="eastAsia" w:ascii="Times New Roman" w:hAnsi="Times New Roman"/>
        </w:rPr>
        <w:t>TLE</w:t>
      </w:r>
      <w:r>
        <w:t>作为培养基空白</w:t>
      </w:r>
      <w:bookmarkStart w:id="8" w:name="c）将以上制备的菌悬液、产品试样和培养基空白置摇床培养箱中于30_℃_±_2_℃"/>
      <w:bookmarkEnd w:id="8"/>
      <w:r>
        <w:t>。</w:t>
      </w:r>
    </w:p>
    <w:p w14:paraId="3EE38E8E">
      <w:pPr>
        <w:pStyle w:val="2"/>
        <w:spacing w:line="320" w:lineRule="exact"/>
      </w:pPr>
      <w:r>
        <w:rPr>
          <w:rFonts w:ascii="黑体" w:hAnsi="黑体" w:eastAsia="黑体"/>
        </w:rPr>
        <w:t>A.1.2.3</w:t>
      </w:r>
      <w:r>
        <w:rPr>
          <w:w w:val="95"/>
        </w:rPr>
        <w:t xml:space="preserve"> </w:t>
      </w:r>
      <w:r>
        <w:t>将以上MTAT制备的菌悬液、产品试样和MTAT培养基空白置于摇床培养箱中于32.5 ℃±2 ℃，200 r/min</w:t>
      </w:r>
      <w:r>
        <w:rPr>
          <w:rFonts w:hint="eastAsia" w:ascii="微软雅黑" w:hAnsi="微软雅黑" w:eastAsia="微软雅黑" w:cs="微软雅黑"/>
        </w:rPr>
        <w:t>～</w:t>
      </w:r>
      <w:r>
        <w:t>250 r/min 振荡培养 24</w:t>
      </w:r>
      <w:r>
        <w:rPr>
          <w:rFonts w:hint="eastAsia"/>
        </w:rPr>
        <w:t>h</w:t>
      </w:r>
      <w:r>
        <w:t>±</w:t>
      </w:r>
      <w:r>
        <w:rPr>
          <w:rFonts w:hint="eastAsia"/>
        </w:rPr>
        <w:t>2</w:t>
      </w:r>
      <w:r>
        <w:t>h；TLE</w:t>
      </w:r>
      <w:r>
        <w:rPr>
          <w:rFonts w:hint="eastAsia"/>
        </w:rPr>
        <w:t>制备的</w:t>
      </w:r>
      <w:r>
        <w:t>产品试样和</w:t>
      </w:r>
      <w:r>
        <w:rPr>
          <w:rFonts w:hint="eastAsia"/>
        </w:rPr>
        <w:t>TLE</w:t>
      </w:r>
      <w:r>
        <w:t>培养基空白置于摇床培养箱中于 25 ℃±2 ℃，200 r/min</w:t>
      </w:r>
      <w:r>
        <w:rPr>
          <w:rFonts w:hint="eastAsia" w:ascii="微软雅黑" w:hAnsi="微软雅黑" w:eastAsia="微软雅黑" w:cs="微软雅黑"/>
        </w:rPr>
        <w:t>～</w:t>
      </w:r>
      <w:r>
        <w:t>250 r/min 振荡培养24</w:t>
      </w:r>
      <w:r>
        <w:rPr>
          <w:rFonts w:hint="eastAsia"/>
        </w:rPr>
        <w:t>h</w:t>
      </w:r>
      <w:r>
        <w:t>±</w:t>
      </w:r>
      <w:r>
        <w:rPr>
          <w:rFonts w:hint="eastAsia"/>
        </w:rPr>
        <w:t>2</w:t>
      </w:r>
      <w:r>
        <w:t>h。</w:t>
      </w:r>
    </w:p>
    <w:p w14:paraId="66527326">
      <w:pPr>
        <w:pStyle w:val="2"/>
        <w:spacing w:line="320" w:lineRule="exact"/>
      </w:pPr>
      <w:r>
        <w:rPr>
          <w:rFonts w:ascii="黑体" w:hAnsi="黑体" w:eastAsia="黑体"/>
        </w:rPr>
        <w:t>A.1.2.4</w:t>
      </w:r>
      <w:r>
        <w:t xml:space="preserve"> 对培养后的产品试样和培养基空白按上机检测要求（见</w:t>
      </w:r>
      <w:bookmarkStart w:id="9" w:name="OLE_LINK3"/>
      <w:r>
        <w:rPr>
          <w:rFonts w:hint="eastAsia"/>
        </w:rPr>
        <w:t>7</w:t>
      </w:r>
      <w:r>
        <w:t>.</w:t>
      </w:r>
      <w:r>
        <w:rPr>
          <w:rFonts w:hint="eastAsia"/>
        </w:rPr>
        <w:t>2.3</w:t>
      </w:r>
      <w:bookmarkEnd w:id="9"/>
      <w:r>
        <w:t>）进行ATP生物荧光增幅法检测。若产品试样检测结果为阴性，可继续进行以下试验；若结果为阳性，则需将产品试样划线或涂布至卵磷脂吐温80-营养琼脂培养基和虎红培养基以确认产品中是否含有微生物污染或非微生物来源ATP干扰</w:t>
      </w:r>
      <w:r>
        <w:rPr>
          <w:rFonts w:hint="eastAsia"/>
        </w:rPr>
        <w:t>。</w:t>
      </w:r>
    </w:p>
    <w:p w14:paraId="04015DA9">
      <w:pPr>
        <w:pStyle w:val="2"/>
        <w:spacing w:line="320" w:lineRule="exact"/>
      </w:pPr>
      <w:r>
        <w:rPr>
          <w:rFonts w:ascii="黑体" w:hAnsi="黑体" w:eastAsia="黑体"/>
        </w:rPr>
        <w:t>A.1.2.5</w:t>
      </w:r>
      <w:r>
        <w:t xml:space="preserve"> 将菌悬液用</w:t>
      </w:r>
      <w:r>
        <w:rPr>
          <w:spacing w:val="-59"/>
        </w:rPr>
        <w:t xml:space="preserve"> </w:t>
      </w:r>
      <w:r>
        <w:t>MTAT</w:t>
      </w:r>
      <w:r>
        <w:rPr>
          <w:spacing w:val="-59"/>
        </w:rPr>
        <w:t xml:space="preserve"> </w:t>
      </w:r>
      <w:r>
        <w:rPr>
          <w:spacing w:val="-1"/>
        </w:rPr>
        <w:t>稀释</w:t>
      </w:r>
      <w:r>
        <w:rPr>
          <w:spacing w:val="-56"/>
        </w:rPr>
        <w:t xml:space="preserve"> </w:t>
      </w:r>
      <w:r>
        <w:t>100</w:t>
      </w:r>
      <w:r>
        <w:rPr>
          <w:spacing w:val="-60"/>
        </w:rPr>
        <w:t xml:space="preserve"> </w:t>
      </w:r>
      <w:r>
        <w:t>倍待用</w:t>
      </w:r>
      <w:r>
        <w:rPr>
          <w:rFonts w:hint="eastAsia"/>
        </w:rPr>
        <w:t>。</w:t>
      </w:r>
    </w:p>
    <w:p w14:paraId="5B2C6D63">
      <w:pPr>
        <w:pStyle w:val="2"/>
        <w:spacing w:line="320" w:lineRule="exact"/>
      </w:pPr>
      <w:r>
        <w:rPr>
          <w:rFonts w:ascii="黑体" w:hAnsi="黑体" w:eastAsia="黑体"/>
        </w:rPr>
        <w:t xml:space="preserve">A.1.2.6 </w:t>
      </w:r>
      <w:r>
        <w:t xml:space="preserve">各取450 </w:t>
      </w:r>
      <w:r>
        <w:rPr>
          <w:spacing w:val="1"/>
        </w:rPr>
        <w:t>μL</w:t>
      </w:r>
      <w:r>
        <w:t xml:space="preserve"> MTAT与</w:t>
      </w:r>
      <w:r>
        <w:rPr>
          <w:spacing w:val="-60"/>
        </w:rPr>
        <w:t xml:space="preserve"> </w:t>
      </w:r>
      <w:r>
        <w:t>450</w:t>
      </w:r>
      <w:r>
        <w:rPr>
          <w:spacing w:val="-11"/>
        </w:rPr>
        <w:t xml:space="preserve"> </w:t>
      </w:r>
      <w:r>
        <w:rPr>
          <w:spacing w:val="1"/>
        </w:rPr>
        <w:t>μL</w:t>
      </w:r>
      <w:r>
        <w:t xml:space="preserve"> </w:t>
      </w:r>
      <w:r>
        <w:rPr>
          <w:rFonts w:hint="eastAsia"/>
        </w:rPr>
        <w:t>TLE</w:t>
      </w:r>
      <w:r>
        <w:t>，加入</w:t>
      </w:r>
      <w:r>
        <w:rPr>
          <w:spacing w:val="-59"/>
        </w:rPr>
        <w:t xml:space="preserve"> </w:t>
      </w:r>
      <w:r>
        <w:t>100</w:t>
      </w:r>
      <w:r>
        <w:rPr>
          <w:spacing w:val="-14"/>
        </w:rPr>
        <w:t xml:space="preserve"> </w:t>
      </w:r>
      <w:r>
        <w:rPr>
          <w:spacing w:val="1"/>
        </w:rPr>
        <w:t>μL</w:t>
      </w:r>
      <w:r>
        <w:rPr>
          <w:spacing w:val="-13"/>
        </w:rPr>
        <w:t xml:space="preserve"> </w:t>
      </w:r>
      <w:r>
        <w:t>ATP</w:t>
      </w:r>
      <w:r>
        <w:rPr>
          <w:spacing w:val="-60"/>
        </w:rPr>
        <w:t xml:space="preserve"> </w:t>
      </w:r>
      <w:r>
        <w:t>阳性对照标品，混合均匀，为ATP</w:t>
      </w:r>
      <w:r>
        <w:rPr>
          <w:spacing w:val="-60"/>
        </w:rPr>
        <w:t xml:space="preserve"> </w:t>
      </w:r>
      <w:r>
        <w:rPr>
          <w:spacing w:val="-1"/>
        </w:rPr>
        <w:t>培养</w:t>
      </w:r>
      <w:r>
        <w:t>基对照</w:t>
      </w:r>
      <w:r>
        <w:rPr>
          <w:rFonts w:hint="eastAsia"/>
        </w:rPr>
        <w:t>。</w:t>
      </w:r>
    </w:p>
    <w:p w14:paraId="23A765A6">
      <w:pPr>
        <w:pStyle w:val="2"/>
        <w:spacing w:line="320" w:lineRule="exact"/>
      </w:pPr>
      <w:r>
        <w:rPr>
          <w:rFonts w:ascii="黑体" w:hAnsi="黑体" w:eastAsia="黑体"/>
        </w:rPr>
        <w:t>A.1.2.7</w:t>
      </w:r>
      <w:r>
        <w:t xml:space="preserve"> 各取450</w:t>
      </w:r>
      <w:r>
        <w:rPr>
          <w:spacing w:val="-11"/>
        </w:rPr>
        <w:t xml:space="preserve"> </w:t>
      </w:r>
      <w:r>
        <w:rPr>
          <w:spacing w:val="1"/>
        </w:rPr>
        <w:t>μL</w:t>
      </w:r>
      <w:r>
        <w:t xml:space="preserve"> MTAT与</w:t>
      </w:r>
      <w:r>
        <w:rPr>
          <w:spacing w:val="-60"/>
        </w:rPr>
        <w:t xml:space="preserve"> </w:t>
      </w:r>
      <w:r>
        <w:t>450</w:t>
      </w:r>
      <w:r>
        <w:rPr>
          <w:spacing w:val="-11"/>
        </w:rPr>
        <w:t xml:space="preserve"> </w:t>
      </w:r>
      <w:r>
        <w:rPr>
          <w:spacing w:val="1"/>
        </w:rPr>
        <w:t>μL</w:t>
      </w:r>
      <w:r>
        <w:t xml:space="preserve"> </w:t>
      </w:r>
      <w:r>
        <w:rPr>
          <w:rFonts w:hint="eastAsia"/>
        </w:rPr>
        <w:t>TLE</w:t>
      </w:r>
      <w:r>
        <w:t>，加入</w:t>
      </w:r>
      <w:r>
        <w:rPr>
          <w:spacing w:val="-61"/>
        </w:rPr>
        <w:t xml:space="preserve"> </w:t>
      </w:r>
      <w:r>
        <w:t>100</w:t>
      </w:r>
      <w:r>
        <w:rPr>
          <w:spacing w:val="-17"/>
        </w:rPr>
        <w:t xml:space="preserve"> </w:t>
      </w:r>
      <w:r>
        <w:rPr>
          <w:spacing w:val="1"/>
        </w:rPr>
        <w:t>μL</w:t>
      </w:r>
      <w:r>
        <w:rPr>
          <w:spacing w:val="-17"/>
        </w:rPr>
        <w:t xml:space="preserve"> </w:t>
      </w:r>
      <w:r>
        <w:t>100</w:t>
      </w:r>
      <w:r>
        <w:rPr>
          <w:spacing w:val="-62"/>
        </w:rPr>
        <w:t xml:space="preserve"> </w:t>
      </w:r>
      <w:r>
        <w:t>倍稀释的菌悬液，混合均匀，</w:t>
      </w:r>
      <w:r>
        <w:rPr>
          <w:rFonts w:hint="eastAsia"/>
        </w:rPr>
        <w:t>为微生物对照。</w:t>
      </w:r>
    </w:p>
    <w:p w14:paraId="13FD9AD1">
      <w:pPr>
        <w:pStyle w:val="2"/>
        <w:spacing w:line="320" w:lineRule="exact"/>
      </w:pPr>
      <w:r>
        <w:rPr>
          <w:rFonts w:ascii="黑体" w:hAnsi="黑体" w:eastAsia="黑体"/>
        </w:rPr>
        <w:t>A.1.2.8</w:t>
      </w:r>
      <w:r>
        <w:t xml:space="preserve"> 各取450</w:t>
      </w:r>
      <w:r>
        <w:rPr>
          <w:spacing w:val="-11"/>
        </w:rPr>
        <w:t xml:space="preserve"> </w:t>
      </w:r>
      <w:r>
        <w:rPr>
          <w:spacing w:val="1"/>
        </w:rPr>
        <w:t>μL</w:t>
      </w:r>
      <w:r>
        <w:t xml:space="preserve"> MTAT与</w:t>
      </w:r>
      <w:r>
        <w:rPr>
          <w:spacing w:val="-60"/>
        </w:rPr>
        <w:t xml:space="preserve"> </w:t>
      </w:r>
      <w:r>
        <w:t>450</w:t>
      </w:r>
      <w:r>
        <w:rPr>
          <w:spacing w:val="-11"/>
        </w:rPr>
        <w:t xml:space="preserve"> </w:t>
      </w:r>
      <w:r>
        <w:rPr>
          <w:spacing w:val="1"/>
        </w:rPr>
        <w:t>μL</w:t>
      </w:r>
      <w:r>
        <w:t xml:space="preserve"> </w:t>
      </w:r>
      <w:r>
        <w:rPr>
          <w:rFonts w:hint="eastAsia"/>
        </w:rPr>
        <w:t>TLE</w:t>
      </w:r>
      <w:r>
        <w:t>制备的产品试样，加入</w:t>
      </w:r>
      <w:r>
        <w:rPr>
          <w:spacing w:val="-61"/>
        </w:rPr>
        <w:t xml:space="preserve"> </w:t>
      </w:r>
      <w:r>
        <w:t>100</w:t>
      </w:r>
      <w:r>
        <w:rPr>
          <w:spacing w:val="-17"/>
        </w:rPr>
        <w:t xml:space="preserve"> </w:t>
      </w:r>
      <w:r>
        <w:rPr>
          <w:spacing w:val="1"/>
        </w:rPr>
        <w:t>μL</w:t>
      </w:r>
      <w:r>
        <w:rPr>
          <w:spacing w:val="-16"/>
        </w:rPr>
        <w:t xml:space="preserve"> </w:t>
      </w:r>
      <w:r>
        <w:t>ATP</w:t>
      </w:r>
      <w:r>
        <w:rPr>
          <w:spacing w:val="-60"/>
        </w:rPr>
        <w:t xml:space="preserve"> </w:t>
      </w:r>
      <w:r>
        <w:t>阳性对照标品，混合均匀，为</w:t>
      </w:r>
      <w:r>
        <w:rPr>
          <w:spacing w:val="-58"/>
        </w:rPr>
        <w:t xml:space="preserve"> </w:t>
      </w:r>
      <w:r>
        <w:t>ATP试样</w:t>
      </w:r>
      <w:r>
        <w:rPr>
          <w:rFonts w:hint="eastAsia"/>
        </w:rPr>
        <w:t>。</w:t>
      </w:r>
    </w:p>
    <w:p w14:paraId="5C74C649">
      <w:pPr>
        <w:pStyle w:val="2"/>
        <w:spacing w:line="320" w:lineRule="exact"/>
      </w:pPr>
      <w:r>
        <w:rPr>
          <w:rFonts w:ascii="黑体" w:hAnsi="黑体" w:eastAsia="黑体"/>
        </w:rPr>
        <w:t xml:space="preserve">A.1.2.9 </w:t>
      </w:r>
      <w:r>
        <w:t xml:space="preserve">各取450 μL MTAT与 450 μL </w:t>
      </w:r>
      <w:r>
        <w:rPr>
          <w:rFonts w:hint="eastAsia"/>
        </w:rPr>
        <w:t>TLE</w:t>
      </w:r>
      <w:r>
        <w:t>制备的产品试样，加入 100 μL 100倍稀释的菌悬液，混合均匀，为微生物试样</w:t>
      </w:r>
      <w:r>
        <w:rPr>
          <w:rFonts w:hint="eastAsia"/>
        </w:rPr>
        <w:t>。</w:t>
      </w:r>
    </w:p>
    <w:p w14:paraId="3C411A8E">
      <w:pPr>
        <w:pStyle w:val="2"/>
        <w:spacing w:line="320" w:lineRule="exact"/>
      </w:pPr>
      <w:r>
        <w:rPr>
          <w:rFonts w:ascii="黑体" w:hAnsi="黑体" w:eastAsia="黑体"/>
        </w:rPr>
        <w:t xml:space="preserve">A.1.2.10 </w:t>
      </w:r>
      <w:r>
        <w:t>将上述制备的ATP培养基对照、微生物对照、ATP试样和微生物试样按上机检测要求（见</w:t>
      </w:r>
      <w:r>
        <w:rPr>
          <w:rFonts w:hint="eastAsia"/>
        </w:rPr>
        <w:t>7</w:t>
      </w:r>
      <w:r>
        <w:t>.</w:t>
      </w:r>
      <w:r>
        <w:rPr>
          <w:rFonts w:hint="eastAsia"/>
        </w:rPr>
        <w:t>2.3</w:t>
      </w:r>
      <w:r>
        <w:t>）进行ATP生物荧光增幅法检测。</w:t>
      </w:r>
    </w:p>
    <w:p w14:paraId="5C3EBD1C">
      <w:pPr>
        <w:spacing w:before="156" w:beforeLines="50" w:after="156" w:afterLines="50" w:line="240" w:lineRule="auto"/>
        <w:outlineLvl w:val="3"/>
        <w:rPr>
          <w:rFonts w:ascii="黑体" w:hAnsi="黑体" w:eastAsia="黑体"/>
        </w:rPr>
      </w:pPr>
      <w:r>
        <w:rPr>
          <w:rFonts w:ascii="黑体" w:hAnsi="黑体" w:eastAsia="黑体"/>
        </w:rPr>
        <w:t xml:space="preserve">A.2 </w:t>
      </w:r>
      <w:r>
        <w:rPr>
          <w:rFonts w:hint="eastAsia" w:ascii="黑体" w:hAnsi="黑体" w:eastAsia="黑体"/>
        </w:rPr>
        <w:t>结果判定</w:t>
      </w:r>
    </w:p>
    <w:p w14:paraId="2DB3E3C5">
      <w:pPr>
        <w:spacing w:after="0" w:line="320" w:lineRule="exact"/>
        <w:ind w:firstLine="420" w:firstLineChars="200"/>
        <w:outlineLvl w:val="3"/>
        <w:rPr>
          <w:rFonts w:ascii="Times New Roman" w:hAnsi="Times New Roman"/>
        </w:rPr>
      </w:pPr>
      <w:r>
        <w:rPr>
          <w:rFonts w:ascii="Times New Roman" w:hAnsi="Times New Roman"/>
          <w:szCs w:val="21"/>
        </w:rPr>
        <w:t>按表A.1综合判定样品是否符合产品影响测试标准要求。</w:t>
      </w:r>
    </w:p>
    <w:p w14:paraId="6526FBA1">
      <w:pPr>
        <w:tabs>
          <w:tab w:val="left" w:pos="450"/>
        </w:tabs>
        <w:spacing w:before="156" w:beforeLines="50" w:after="120" w:line="240" w:lineRule="auto"/>
        <w:jc w:val="center"/>
        <w:rPr>
          <w:rFonts w:ascii="黑体" w:hAnsi="黑体" w:eastAsia="黑体"/>
        </w:rPr>
      </w:pPr>
      <w:r>
        <w:rPr>
          <w:rFonts w:ascii="黑体" w:hAnsi="黑体" w:eastAsia="黑体"/>
        </w:rPr>
        <w:t>表</w:t>
      </w:r>
      <w:r>
        <w:rPr>
          <w:rFonts w:hint="eastAsia" w:ascii="黑体" w:hAnsi="黑体" w:eastAsia="黑体"/>
        </w:rPr>
        <w:t>A</w:t>
      </w:r>
      <w:r>
        <w:rPr>
          <w:rFonts w:ascii="黑体" w:hAnsi="黑体" w:eastAsia="黑体"/>
        </w:rPr>
        <w:t>.1</w:t>
      </w:r>
      <w:r>
        <w:rPr>
          <w:rFonts w:hint="eastAsia" w:ascii="黑体" w:hAnsi="黑体" w:eastAsia="黑体"/>
        </w:rPr>
        <w:t xml:space="preserve"> </w:t>
      </w:r>
      <w:r>
        <w:rPr>
          <w:rFonts w:ascii="黑体" w:hAnsi="黑体" w:eastAsia="黑体"/>
        </w:rPr>
        <w:t>产品影响测试符合标准</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415"/>
        <w:gridCol w:w="3973"/>
        <w:gridCol w:w="3956"/>
      </w:tblGrid>
      <w:tr w14:paraId="2195F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15" w:type="dxa"/>
            <w:tcMar>
              <w:top w:w="0" w:type="dxa"/>
              <w:left w:w="108" w:type="dxa"/>
              <w:bottom w:w="0" w:type="dxa"/>
              <w:right w:w="108" w:type="dxa"/>
            </w:tcMar>
            <w:vAlign w:val="center"/>
          </w:tcPr>
          <w:p w14:paraId="3C3AD64A">
            <w:pPr>
              <w:tabs>
                <w:tab w:val="left" w:pos="450"/>
              </w:tabs>
              <w:spacing w:after="156" w:line="360" w:lineRule="auto"/>
              <w:jc w:val="center"/>
              <w:rPr>
                <w:rFonts w:ascii="Times New Roman" w:hAnsi="Times New Roman"/>
                <w:bCs/>
                <w:kern w:val="0"/>
                <w:sz w:val="18"/>
                <w:szCs w:val="18"/>
              </w:rPr>
            </w:pPr>
            <w:r>
              <w:rPr>
                <w:rFonts w:ascii="Times New Roman" w:hAnsi="Times New Roman"/>
                <w:bCs/>
                <w:kern w:val="0"/>
                <w:sz w:val="18"/>
                <w:szCs w:val="18"/>
              </w:rPr>
              <w:t>编号</w:t>
            </w:r>
          </w:p>
        </w:tc>
        <w:tc>
          <w:tcPr>
            <w:tcW w:w="3973" w:type="dxa"/>
            <w:tcMar>
              <w:top w:w="0" w:type="dxa"/>
              <w:left w:w="108" w:type="dxa"/>
              <w:bottom w:w="0" w:type="dxa"/>
              <w:right w:w="108" w:type="dxa"/>
            </w:tcMar>
            <w:vAlign w:val="center"/>
          </w:tcPr>
          <w:p w14:paraId="6E0AC2F5">
            <w:pPr>
              <w:tabs>
                <w:tab w:val="left" w:pos="450"/>
              </w:tabs>
              <w:spacing w:after="156" w:line="360" w:lineRule="auto"/>
              <w:jc w:val="center"/>
              <w:rPr>
                <w:rFonts w:ascii="Times New Roman" w:hAnsi="Times New Roman"/>
                <w:bCs/>
                <w:kern w:val="0"/>
                <w:sz w:val="18"/>
                <w:szCs w:val="18"/>
              </w:rPr>
            </w:pPr>
            <w:r>
              <w:rPr>
                <w:rFonts w:ascii="Times New Roman" w:hAnsi="Times New Roman"/>
                <w:bCs/>
                <w:kern w:val="0"/>
                <w:sz w:val="18"/>
                <w:szCs w:val="18"/>
              </w:rPr>
              <w:t>项目</w:t>
            </w:r>
          </w:p>
        </w:tc>
        <w:tc>
          <w:tcPr>
            <w:tcW w:w="3956" w:type="dxa"/>
            <w:tcMar>
              <w:top w:w="0" w:type="dxa"/>
              <w:left w:w="108" w:type="dxa"/>
              <w:bottom w:w="0" w:type="dxa"/>
              <w:right w:w="108" w:type="dxa"/>
            </w:tcMar>
            <w:vAlign w:val="center"/>
          </w:tcPr>
          <w:p w14:paraId="0D7BB20C">
            <w:pPr>
              <w:tabs>
                <w:tab w:val="left" w:pos="450"/>
              </w:tabs>
              <w:spacing w:after="156" w:line="360" w:lineRule="auto"/>
              <w:jc w:val="center"/>
              <w:rPr>
                <w:rFonts w:ascii="Times New Roman" w:hAnsi="Times New Roman"/>
                <w:bCs/>
                <w:kern w:val="0"/>
                <w:sz w:val="18"/>
                <w:szCs w:val="18"/>
              </w:rPr>
            </w:pPr>
            <w:r>
              <w:rPr>
                <w:rFonts w:ascii="Times New Roman" w:hAnsi="Times New Roman"/>
                <w:bCs/>
                <w:kern w:val="0"/>
                <w:sz w:val="18"/>
                <w:szCs w:val="18"/>
              </w:rPr>
              <w:t>符合标准</w:t>
            </w:r>
          </w:p>
        </w:tc>
      </w:tr>
      <w:tr w14:paraId="700A4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15" w:type="dxa"/>
            <w:tcMar>
              <w:top w:w="0" w:type="dxa"/>
              <w:left w:w="108" w:type="dxa"/>
              <w:bottom w:w="0" w:type="dxa"/>
              <w:right w:w="108" w:type="dxa"/>
            </w:tcMar>
            <w:vAlign w:val="center"/>
          </w:tcPr>
          <w:p w14:paraId="612EECC7">
            <w:pPr>
              <w:tabs>
                <w:tab w:val="left" w:pos="450"/>
              </w:tabs>
              <w:ind w:right="22"/>
              <w:jc w:val="center"/>
              <w:rPr>
                <w:rFonts w:ascii="Times New Roman" w:hAnsi="Times New Roman"/>
                <w:sz w:val="18"/>
                <w:szCs w:val="18"/>
              </w:rPr>
            </w:pPr>
            <w:r>
              <w:rPr>
                <w:rFonts w:ascii="Times New Roman" w:hAnsi="Times New Roman"/>
                <w:sz w:val="18"/>
                <w:szCs w:val="18"/>
              </w:rPr>
              <w:t>A</w:t>
            </w:r>
          </w:p>
        </w:tc>
        <w:tc>
          <w:tcPr>
            <w:tcW w:w="3973" w:type="dxa"/>
            <w:tcMar>
              <w:top w:w="0" w:type="dxa"/>
              <w:left w:w="108" w:type="dxa"/>
              <w:bottom w:w="0" w:type="dxa"/>
              <w:right w:w="108" w:type="dxa"/>
            </w:tcMar>
            <w:vAlign w:val="center"/>
          </w:tcPr>
          <w:p w14:paraId="7C3F8755">
            <w:pPr>
              <w:tabs>
                <w:tab w:val="left" w:pos="450"/>
              </w:tabs>
              <w:ind w:right="22"/>
              <w:jc w:val="center"/>
              <w:rPr>
                <w:rFonts w:ascii="Times New Roman" w:hAnsi="Times New Roman"/>
                <w:sz w:val="18"/>
                <w:szCs w:val="18"/>
              </w:rPr>
            </w:pPr>
            <w:r>
              <w:rPr>
                <w:rFonts w:ascii="Times New Roman" w:hAnsi="Times New Roman"/>
                <w:sz w:val="18"/>
                <w:szCs w:val="18"/>
              </w:rPr>
              <w:t>培养基空白</w:t>
            </w:r>
          </w:p>
        </w:tc>
        <w:tc>
          <w:tcPr>
            <w:tcW w:w="3956" w:type="dxa"/>
            <w:tcMar>
              <w:top w:w="0" w:type="dxa"/>
              <w:left w:w="108" w:type="dxa"/>
              <w:bottom w:w="0" w:type="dxa"/>
              <w:right w:w="108" w:type="dxa"/>
            </w:tcMar>
            <w:vAlign w:val="center"/>
          </w:tcPr>
          <w:p w14:paraId="1B5725D2">
            <w:pPr>
              <w:tabs>
                <w:tab w:val="left" w:pos="450"/>
              </w:tabs>
              <w:ind w:right="22"/>
              <w:jc w:val="center"/>
              <w:rPr>
                <w:rFonts w:ascii="Times New Roman" w:hAnsi="Times New Roman"/>
                <w:sz w:val="18"/>
                <w:szCs w:val="18"/>
              </w:rPr>
            </w:pPr>
            <w:r>
              <w:rPr>
                <w:rFonts w:ascii="Times New Roman" w:hAnsi="Times New Roman"/>
                <w:sz w:val="18"/>
                <w:szCs w:val="18"/>
              </w:rPr>
              <w:t>参照仪器和试剂使用说明</w:t>
            </w:r>
          </w:p>
        </w:tc>
      </w:tr>
      <w:tr w14:paraId="7C0A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15" w:type="dxa"/>
            <w:tcMar>
              <w:top w:w="0" w:type="dxa"/>
              <w:left w:w="108" w:type="dxa"/>
              <w:bottom w:w="0" w:type="dxa"/>
              <w:right w:w="108" w:type="dxa"/>
            </w:tcMar>
            <w:vAlign w:val="center"/>
          </w:tcPr>
          <w:p w14:paraId="36F89A73">
            <w:pPr>
              <w:tabs>
                <w:tab w:val="left" w:pos="450"/>
              </w:tabs>
              <w:ind w:right="22"/>
              <w:jc w:val="center"/>
              <w:rPr>
                <w:rFonts w:ascii="Times New Roman" w:hAnsi="Times New Roman"/>
                <w:sz w:val="18"/>
                <w:szCs w:val="18"/>
              </w:rPr>
            </w:pPr>
            <w:r>
              <w:rPr>
                <w:rFonts w:ascii="Times New Roman" w:hAnsi="Times New Roman"/>
                <w:sz w:val="18"/>
                <w:szCs w:val="18"/>
              </w:rPr>
              <w:t>B</w:t>
            </w:r>
          </w:p>
        </w:tc>
        <w:tc>
          <w:tcPr>
            <w:tcW w:w="3973" w:type="dxa"/>
            <w:tcMar>
              <w:top w:w="0" w:type="dxa"/>
              <w:left w:w="108" w:type="dxa"/>
              <w:bottom w:w="0" w:type="dxa"/>
              <w:right w:w="108" w:type="dxa"/>
            </w:tcMar>
            <w:vAlign w:val="center"/>
          </w:tcPr>
          <w:p w14:paraId="18C03E87">
            <w:pPr>
              <w:tabs>
                <w:tab w:val="left" w:pos="450"/>
              </w:tabs>
              <w:ind w:right="22"/>
              <w:jc w:val="center"/>
              <w:rPr>
                <w:rFonts w:ascii="Times New Roman" w:hAnsi="Times New Roman"/>
                <w:sz w:val="18"/>
                <w:szCs w:val="18"/>
              </w:rPr>
            </w:pPr>
            <w:r>
              <w:rPr>
                <w:rFonts w:ascii="Times New Roman" w:hAnsi="Times New Roman"/>
                <w:sz w:val="18"/>
                <w:szCs w:val="18"/>
              </w:rPr>
              <w:t>ATP培养基对照</w:t>
            </w:r>
          </w:p>
        </w:tc>
        <w:tc>
          <w:tcPr>
            <w:tcW w:w="3956" w:type="dxa"/>
            <w:tcMar>
              <w:top w:w="0" w:type="dxa"/>
              <w:left w:w="108" w:type="dxa"/>
              <w:bottom w:w="0" w:type="dxa"/>
              <w:right w:w="108" w:type="dxa"/>
            </w:tcMar>
            <w:vAlign w:val="center"/>
          </w:tcPr>
          <w:p w14:paraId="3D477E06">
            <w:pPr>
              <w:tabs>
                <w:tab w:val="left" w:pos="450"/>
              </w:tabs>
              <w:ind w:right="22"/>
              <w:jc w:val="center"/>
              <w:rPr>
                <w:rFonts w:ascii="Times New Roman" w:hAnsi="Times New Roman"/>
                <w:sz w:val="18"/>
                <w:szCs w:val="18"/>
              </w:rPr>
            </w:pPr>
            <w:r>
              <w:rPr>
                <w:rFonts w:ascii="Times New Roman" w:hAnsi="Times New Roman"/>
                <w:sz w:val="18"/>
                <w:szCs w:val="18"/>
              </w:rPr>
              <w:t>&gt; 3 倍培养基空白RLU</w:t>
            </w:r>
          </w:p>
        </w:tc>
      </w:tr>
      <w:tr w14:paraId="06A4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15" w:type="dxa"/>
            <w:tcMar>
              <w:top w:w="0" w:type="dxa"/>
              <w:left w:w="108" w:type="dxa"/>
              <w:bottom w:w="0" w:type="dxa"/>
              <w:right w:w="108" w:type="dxa"/>
            </w:tcMar>
            <w:vAlign w:val="center"/>
          </w:tcPr>
          <w:p w14:paraId="5781E373">
            <w:pPr>
              <w:tabs>
                <w:tab w:val="left" w:pos="450"/>
              </w:tabs>
              <w:ind w:right="22"/>
              <w:jc w:val="center"/>
              <w:rPr>
                <w:rFonts w:ascii="Times New Roman" w:hAnsi="Times New Roman"/>
                <w:sz w:val="18"/>
                <w:szCs w:val="18"/>
              </w:rPr>
            </w:pPr>
            <w:r>
              <w:rPr>
                <w:rFonts w:ascii="Times New Roman" w:hAnsi="Times New Roman"/>
                <w:sz w:val="18"/>
                <w:szCs w:val="18"/>
              </w:rPr>
              <w:t>C</w:t>
            </w:r>
          </w:p>
        </w:tc>
        <w:tc>
          <w:tcPr>
            <w:tcW w:w="3973" w:type="dxa"/>
            <w:tcMar>
              <w:top w:w="0" w:type="dxa"/>
              <w:left w:w="108" w:type="dxa"/>
              <w:bottom w:w="0" w:type="dxa"/>
              <w:right w:w="108" w:type="dxa"/>
            </w:tcMar>
            <w:vAlign w:val="center"/>
          </w:tcPr>
          <w:p w14:paraId="053D698E">
            <w:pPr>
              <w:tabs>
                <w:tab w:val="left" w:pos="450"/>
              </w:tabs>
              <w:ind w:right="22"/>
              <w:jc w:val="center"/>
              <w:rPr>
                <w:rFonts w:ascii="Times New Roman" w:hAnsi="Times New Roman"/>
                <w:sz w:val="18"/>
                <w:szCs w:val="18"/>
              </w:rPr>
            </w:pPr>
            <w:r>
              <w:rPr>
                <w:rFonts w:ascii="Times New Roman" w:hAnsi="Times New Roman"/>
                <w:sz w:val="18"/>
                <w:szCs w:val="18"/>
              </w:rPr>
              <w:t>微生物对照</w:t>
            </w:r>
          </w:p>
        </w:tc>
        <w:tc>
          <w:tcPr>
            <w:tcW w:w="3956" w:type="dxa"/>
            <w:tcMar>
              <w:top w:w="0" w:type="dxa"/>
              <w:left w:w="108" w:type="dxa"/>
              <w:bottom w:w="0" w:type="dxa"/>
              <w:right w:w="108" w:type="dxa"/>
            </w:tcMar>
            <w:vAlign w:val="center"/>
          </w:tcPr>
          <w:p w14:paraId="182A5C2D">
            <w:pPr>
              <w:tabs>
                <w:tab w:val="left" w:pos="450"/>
              </w:tabs>
              <w:ind w:right="22"/>
              <w:jc w:val="center"/>
              <w:rPr>
                <w:rFonts w:ascii="Times New Roman" w:hAnsi="Times New Roman"/>
                <w:sz w:val="18"/>
                <w:szCs w:val="18"/>
              </w:rPr>
            </w:pPr>
            <w:r>
              <w:rPr>
                <w:rFonts w:ascii="Times New Roman" w:hAnsi="Times New Roman"/>
                <w:sz w:val="18"/>
                <w:szCs w:val="18"/>
              </w:rPr>
              <w:t>&gt; 3 倍培养基空白RLU</w:t>
            </w:r>
          </w:p>
        </w:tc>
      </w:tr>
      <w:tr w14:paraId="2A8F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15" w:type="dxa"/>
            <w:tcMar>
              <w:top w:w="0" w:type="dxa"/>
              <w:left w:w="108" w:type="dxa"/>
              <w:bottom w:w="0" w:type="dxa"/>
              <w:right w:w="108" w:type="dxa"/>
            </w:tcMar>
            <w:vAlign w:val="center"/>
          </w:tcPr>
          <w:p w14:paraId="30693CD9">
            <w:pPr>
              <w:tabs>
                <w:tab w:val="left" w:pos="450"/>
              </w:tabs>
              <w:ind w:right="22"/>
              <w:jc w:val="center"/>
              <w:rPr>
                <w:rFonts w:ascii="Times New Roman" w:hAnsi="Times New Roman"/>
                <w:sz w:val="18"/>
                <w:szCs w:val="18"/>
              </w:rPr>
            </w:pPr>
            <w:r>
              <w:rPr>
                <w:rFonts w:ascii="Times New Roman" w:hAnsi="Times New Roman"/>
                <w:sz w:val="18"/>
                <w:szCs w:val="18"/>
              </w:rPr>
              <w:t>D</w:t>
            </w:r>
          </w:p>
        </w:tc>
        <w:tc>
          <w:tcPr>
            <w:tcW w:w="3973" w:type="dxa"/>
            <w:tcMar>
              <w:top w:w="0" w:type="dxa"/>
              <w:left w:w="108" w:type="dxa"/>
              <w:bottom w:w="0" w:type="dxa"/>
              <w:right w:w="108" w:type="dxa"/>
            </w:tcMar>
            <w:vAlign w:val="center"/>
          </w:tcPr>
          <w:p w14:paraId="17CA226B">
            <w:pPr>
              <w:tabs>
                <w:tab w:val="left" w:pos="450"/>
              </w:tabs>
              <w:ind w:right="22"/>
              <w:jc w:val="center"/>
              <w:rPr>
                <w:rFonts w:ascii="Times New Roman" w:hAnsi="Times New Roman"/>
                <w:sz w:val="18"/>
                <w:szCs w:val="18"/>
              </w:rPr>
            </w:pPr>
            <w:r>
              <w:rPr>
                <w:rFonts w:ascii="Times New Roman" w:hAnsi="Times New Roman"/>
                <w:sz w:val="18"/>
                <w:szCs w:val="18"/>
              </w:rPr>
              <w:t>产品试样</w:t>
            </w:r>
          </w:p>
        </w:tc>
        <w:tc>
          <w:tcPr>
            <w:tcW w:w="3956" w:type="dxa"/>
            <w:tcMar>
              <w:top w:w="0" w:type="dxa"/>
              <w:left w:w="108" w:type="dxa"/>
              <w:bottom w:w="0" w:type="dxa"/>
              <w:right w:w="108" w:type="dxa"/>
            </w:tcMar>
            <w:vAlign w:val="center"/>
          </w:tcPr>
          <w:p w14:paraId="447A10C2">
            <w:pPr>
              <w:tabs>
                <w:tab w:val="left" w:pos="450"/>
              </w:tabs>
              <w:ind w:right="22"/>
              <w:jc w:val="center"/>
              <w:rPr>
                <w:rFonts w:ascii="Times New Roman" w:hAnsi="Times New Roman"/>
                <w:sz w:val="18"/>
                <w:szCs w:val="18"/>
              </w:rPr>
            </w:pPr>
            <w:r>
              <w:rPr>
                <w:rFonts w:ascii="Times New Roman" w:hAnsi="Times New Roman"/>
                <w:sz w:val="18"/>
                <w:szCs w:val="18"/>
              </w:rPr>
              <w:t xml:space="preserve"> &lt; 3 倍培养基空白RLU </w:t>
            </w:r>
            <w:r>
              <w:rPr>
                <w:rFonts w:ascii="Times New Roman" w:hAnsi="Times New Roman"/>
                <w:sz w:val="18"/>
                <w:szCs w:val="18"/>
                <w:vertAlign w:val="superscript"/>
              </w:rPr>
              <w:t>a</w:t>
            </w:r>
          </w:p>
        </w:tc>
      </w:tr>
      <w:tr w14:paraId="5BB20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15" w:type="dxa"/>
            <w:tcMar>
              <w:top w:w="0" w:type="dxa"/>
              <w:left w:w="108" w:type="dxa"/>
              <w:bottom w:w="0" w:type="dxa"/>
              <w:right w:w="108" w:type="dxa"/>
            </w:tcMar>
            <w:vAlign w:val="center"/>
          </w:tcPr>
          <w:p w14:paraId="36C967A1">
            <w:pPr>
              <w:tabs>
                <w:tab w:val="left" w:pos="450"/>
              </w:tabs>
              <w:ind w:right="22"/>
              <w:jc w:val="center"/>
              <w:rPr>
                <w:rFonts w:ascii="Times New Roman" w:hAnsi="Times New Roman"/>
                <w:sz w:val="18"/>
                <w:szCs w:val="18"/>
              </w:rPr>
            </w:pPr>
            <w:r>
              <w:rPr>
                <w:rFonts w:ascii="Times New Roman" w:hAnsi="Times New Roman"/>
                <w:sz w:val="18"/>
                <w:szCs w:val="18"/>
              </w:rPr>
              <w:t>E</w:t>
            </w:r>
          </w:p>
        </w:tc>
        <w:tc>
          <w:tcPr>
            <w:tcW w:w="3973" w:type="dxa"/>
            <w:tcMar>
              <w:top w:w="0" w:type="dxa"/>
              <w:left w:w="108" w:type="dxa"/>
              <w:bottom w:w="0" w:type="dxa"/>
              <w:right w:w="108" w:type="dxa"/>
            </w:tcMar>
            <w:vAlign w:val="center"/>
          </w:tcPr>
          <w:p w14:paraId="74B505D4">
            <w:pPr>
              <w:tabs>
                <w:tab w:val="left" w:pos="450"/>
              </w:tabs>
              <w:ind w:right="22"/>
              <w:jc w:val="center"/>
              <w:rPr>
                <w:rFonts w:ascii="Times New Roman" w:hAnsi="Times New Roman"/>
                <w:sz w:val="18"/>
                <w:szCs w:val="18"/>
              </w:rPr>
            </w:pPr>
            <w:r>
              <w:rPr>
                <w:rFonts w:ascii="Times New Roman" w:hAnsi="Times New Roman"/>
                <w:sz w:val="18"/>
                <w:szCs w:val="18"/>
              </w:rPr>
              <w:t>ATP试样</w:t>
            </w:r>
          </w:p>
        </w:tc>
        <w:tc>
          <w:tcPr>
            <w:tcW w:w="3956" w:type="dxa"/>
            <w:tcMar>
              <w:top w:w="0" w:type="dxa"/>
              <w:left w:w="108" w:type="dxa"/>
              <w:bottom w:w="0" w:type="dxa"/>
              <w:right w:w="108" w:type="dxa"/>
            </w:tcMar>
            <w:vAlign w:val="center"/>
          </w:tcPr>
          <w:p w14:paraId="08D87CAA">
            <w:pPr>
              <w:tabs>
                <w:tab w:val="left" w:pos="450"/>
              </w:tabs>
              <w:ind w:right="22"/>
              <w:jc w:val="center"/>
              <w:rPr>
                <w:rFonts w:ascii="Times New Roman" w:hAnsi="Times New Roman"/>
                <w:sz w:val="18"/>
                <w:szCs w:val="18"/>
              </w:rPr>
            </w:pPr>
            <w:r>
              <w:rPr>
                <w:rFonts w:ascii="Times New Roman" w:hAnsi="Times New Roman"/>
                <w:sz w:val="18"/>
                <w:szCs w:val="18"/>
              </w:rPr>
              <w:t>&gt; 3 倍培养基空白RLU</w:t>
            </w:r>
          </w:p>
        </w:tc>
      </w:tr>
      <w:tr w14:paraId="317E07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exact"/>
          <w:jc w:val="center"/>
        </w:trPr>
        <w:tc>
          <w:tcPr>
            <w:tcW w:w="1415" w:type="dxa"/>
            <w:tcMar>
              <w:top w:w="0" w:type="dxa"/>
              <w:left w:w="108" w:type="dxa"/>
              <w:bottom w:w="0" w:type="dxa"/>
              <w:right w:w="108" w:type="dxa"/>
            </w:tcMar>
            <w:vAlign w:val="center"/>
          </w:tcPr>
          <w:p w14:paraId="5112B928">
            <w:pPr>
              <w:tabs>
                <w:tab w:val="left" w:pos="450"/>
              </w:tabs>
              <w:ind w:right="22"/>
              <w:jc w:val="center"/>
              <w:rPr>
                <w:rFonts w:ascii="Times New Roman" w:hAnsi="Times New Roman"/>
                <w:sz w:val="18"/>
                <w:szCs w:val="18"/>
              </w:rPr>
            </w:pPr>
            <w:r>
              <w:rPr>
                <w:rFonts w:ascii="Times New Roman" w:hAnsi="Times New Roman"/>
                <w:sz w:val="18"/>
                <w:szCs w:val="18"/>
              </w:rPr>
              <w:t>F</w:t>
            </w:r>
          </w:p>
        </w:tc>
        <w:tc>
          <w:tcPr>
            <w:tcW w:w="3973" w:type="dxa"/>
            <w:tcMar>
              <w:top w:w="0" w:type="dxa"/>
              <w:left w:w="108" w:type="dxa"/>
              <w:bottom w:w="0" w:type="dxa"/>
              <w:right w:w="108" w:type="dxa"/>
            </w:tcMar>
            <w:vAlign w:val="center"/>
          </w:tcPr>
          <w:p w14:paraId="13D577C5">
            <w:pPr>
              <w:tabs>
                <w:tab w:val="left" w:pos="450"/>
              </w:tabs>
              <w:ind w:right="22"/>
              <w:jc w:val="center"/>
              <w:rPr>
                <w:rFonts w:ascii="Times New Roman" w:hAnsi="Times New Roman"/>
                <w:sz w:val="18"/>
                <w:szCs w:val="18"/>
              </w:rPr>
            </w:pPr>
            <w:r>
              <w:rPr>
                <w:rFonts w:ascii="Times New Roman" w:hAnsi="Times New Roman"/>
                <w:sz w:val="18"/>
                <w:szCs w:val="18"/>
              </w:rPr>
              <w:t>微生物试样</w:t>
            </w:r>
          </w:p>
        </w:tc>
        <w:tc>
          <w:tcPr>
            <w:tcW w:w="3956" w:type="dxa"/>
            <w:tcMar>
              <w:top w:w="0" w:type="dxa"/>
              <w:left w:w="108" w:type="dxa"/>
              <w:bottom w:w="0" w:type="dxa"/>
              <w:right w:w="108" w:type="dxa"/>
            </w:tcMar>
            <w:vAlign w:val="center"/>
          </w:tcPr>
          <w:p w14:paraId="6A23C13F">
            <w:pPr>
              <w:tabs>
                <w:tab w:val="left" w:pos="450"/>
              </w:tabs>
              <w:ind w:right="22"/>
              <w:jc w:val="center"/>
              <w:rPr>
                <w:rFonts w:ascii="Times New Roman" w:hAnsi="Times New Roman"/>
                <w:sz w:val="18"/>
                <w:szCs w:val="18"/>
              </w:rPr>
            </w:pPr>
            <w:r>
              <w:rPr>
                <w:rFonts w:ascii="Times New Roman" w:hAnsi="Times New Roman"/>
                <w:sz w:val="18"/>
                <w:szCs w:val="18"/>
              </w:rPr>
              <w:t>&gt; 3 倍培养基空白RLU</w:t>
            </w:r>
          </w:p>
        </w:tc>
      </w:tr>
      <w:tr w14:paraId="238A7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9" w:hRule="exact"/>
          <w:jc w:val="center"/>
        </w:trPr>
        <w:tc>
          <w:tcPr>
            <w:tcW w:w="1415" w:type="dxa"/>
            <w:tcMar>
              <w:top w:w="0" w:type="dxa"/>
              <w:left w:w="108" w:type="dxa"/>
              <w:bottom w:w="0" w:type="dxa"/>
              <w:right w:w="108" w:type="dxa"/>
            </w:tcMar>
            <w:vAlign w:val="center"/>
          </w:tcPr>
          <w:p w14:paraId="4638F041">
            <w:pPr>
              <w:tabs>
                <w:tab w:val="left" w:pos="450"/>
              </w:tabs>
              <w:spacing w:after="0" w:line="260" w:lineRule="auto"/>
              <w:ind w:right="23"/>
              <w:jc w:val="center"/>
              <w:rPr>
                <w:rFonts w:ascii="Times New Roman" w:hAnsi="Times New Roman"/>
                <w:sz w:val="18"/>
                <w:szCs w:val="18"/>
              </w:rPr>
            </w:pPr>
            <w:r>
              <w:rPr>
                <w:rFonts w:ascii="Times New Roman" w:hAnsi="Times New Roman"/>
                <w:sz w:val="18"/>
                <w:szCs w:val="18"/>
              </w:rPr>
              <w:t>G</w:t>
            </w:r>
          </w:p>
        </w:tc>
        <w:tc>
          <w:tcPr>
            <w:tcW w:w="3973" w:type="dxa"/>
            <w:tcMar>
              <w:top w:w="0" w:type="dxa"/>
              <w:left w:w="108" w:type="dxa"/>
              <w:bottom w:w="0" w:type="dxa"/>
              <w:right w:w="108" w:type="dxa"/>
            </w:tcMar>
            <w:vAlign w:val="center"/>
          </w:tcPr>
          <w:p w14:paraId="021F03E9">
            <w:pPr>
              <w:tabs>
                <w:tab w:val="left" w:pos="450"/>
              </w:tabs>
              <w:ind w:right="22"/>
              <w:jc w:val="center"/>
              <w:rPr>
                <w:rFonts w:ascii="Times New Roman" w:hAnsi="Times New Roman"/>
                <w:sz w:val="18"/>
                <w:szCs w:val="18"/>
              </w:rPr>
            </w:pPr>
            <w:r>
              <w:rPr>
                <w:rFonts w:ascii="Times New Roman" w:hAnsi="Times New Roman"/>
                <w:sz w:val="18"/>
                <w:szCs w:val="18"/>
              </w:rPr>
              <w:t xml:space="preserve">产品ATP回收率: </w:t>
            </w:r>
            <m:oMath>
              <m:f>
                <m:fPr>
                  <m:ctrlPr>
                    <w:rPr>
                      <w:rFonts w:ascii="Cambria Math" w:hAnsi="Cambria Math"/>
                      <w:i/>
                      <w:sz w:val="18"/>
                      <w:szCs w:val="18"/>
                    </w:rPr>
                  </m:ctrlPr>
                </m:fPr>
                <m:num>
                  <m:r>
                    <m:rPr>
                      <m:sty m:val="p"/>
                    </m:rPr>
                    <w:rPr>
                      <w:rFonts w:hint="eastAsia" w:ascii="Cambria Math" w:hAnsi="Cambria Math"/>
                      <w:sz w:val="18"/>
                      <w:szCs w:val="18"/>
                    </w:rPr>
                    <m:t>（</m:t>
                  </m:r>
                  <m:r>
                    <m:rPr>
                      <m:sty m:val="p"/>
                    </m:rPr>
                    <w:rPr>
                      <w:rFonts w:ascii="Cambria Math" w:hAnsi="Cambria Math"/>
                      <w:sz w:val="18"/>
                      <w:szCs w:val="18"/>
                    </w:rPr>
                    <m:t>E−D</m:t>
                  </m:r>
                  <m:r>
                    <m:rPr>
                      <m:sty m:val="p"/>
                    </m:rPr>
                    <w:rPr>
                      <w:rFonts w:hint="eastAsia" w:ascii="Cambria Math" w:hAnsi="Cambria Math"/>
                      <w:sz w:val="18"/>
                      <w:szCs w:val="18"/>
                    </w:rPr>
                    <m:t>）</m:t>
                  </m:r>
                  <m:ctrlPr>
                    <w:rPr>
                      <w:rFonts w:ascii="Cambria Math" w:hAnsi="Cambria Math"/>
                      <w:i/>
                      <w:sz w:val="18"/>
                      <w:szCs w:val="18"/>
                    </w:rPr>
                  </m:ctrlPr>
                </m:num>
                <m:den>
                  <m:r>
                    <m:rPr>
                      <m:sty m:val="p"/>
                    </m:rPr>
                    <w:rPr>
                      <w:rFonts w:ascii="Cambria Math" w:hAnsi="Cambria Math"/>
                      <w:sz w:val="18"/>
                      <w:szCs w:val="18"/>
                    </w:rPr>
                    <m:t>(B−A)</m:t>
                  </m:r>
                  <m:ctrlPr>
                    <w:rPr>
                      <w:rFonts w:ascii="Cambria Math" w:hAnsi="Cambria Math"/>
                      <w:i/>
                      <w:sz w:val="18"/>
                      <w:szCs w:val="18"/>
                    </w:rPr>
                  </m:ctrlPr>
                </m:den>
              </m:f>
              <m:r>
                <m:rPr/>
                <w:rPr>
                  <w:rFonts w:ascii="Cambria Math" w:hAnsi="Cambria Math"/>
                  <w:sz w:val="18"/>
                  <w:szCs w:val="18"/>
                </w:rPr>
                <m:t>×</m:t>
              </m:r>
            </m:oMath>
            <w:r>
              <w:rPr>
                <w:rFonts w:ascii="Times New Roman" w:hAnsi="Times New Roman"/>
                <w:spacing w:val="8"/>
                <w:szCs w:val="21"/>
              </w:rPr>
              <w:t>100%</w:t>
            </w:r>
          </w:p>
        </w:tc>
        <w:tc>
          <w:tcPr>
            <w:tcW w:w="3956" w:type="dxa"/>
            <w:tcMar>
              <w:top w:w="0" w:type="dxa"/>
              <w:left w:w="108" w:type="dxa"/>
              <w:bottom w:w="0" w:type="dxa"/>
              <w:right w:w="108" w:type="dxa"/>
            </w:tcMar>
            <w:vAlign w:val="center"/>
          </w:tcPr>
          <w:p w14:paraId="41EE71DB">
            <w:pPr>
              <w:tabs>
                <w:tab w:val="left" w:pos="450"/>
              </w:tabs>
              <w:ind w:right="22"/>
              <w:jc w:val="center"/>
              <w:rPr>
                <w:rFonts w:ascii="Times New Roman" w:hAnsi="Times New Roman"/>
                <w:sz w:val="18"/>
                <w:szCs w:val="18"/>
              </w:rPr>
            </w:pPr>
            <w:r>
              <w:rPr>
                <w:rFonts w:ascii="Times New Roman" w:hAnsi="Times New Roman"/>
                <w:sz w:val="18"/>
                <w:szCs w:val="18"/>
              </w:rPr>
              <w:t xml:space="preserve">&gt; 25% </w:t>
            </w:r>
            <w:r>
              <w:rPr>
                <w:rFonts w:ascii="Times New Roman" w:hAnsi="Times New Roman"/>
                <w:sz w:val="18"/>
                <w:szCs w:val="18"/>
                <w:vertAlign w:val="superscript"/>
              </w:rPr>
              <w:t>b</w:t>
            </w:r>
          </w:p>
        </w:tc>
      </w:tr>
      <w:tr w14:paraId="67901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6" w:hRule="exact"/>
          <w:jc w:val="center"/>
        </w:trPr>
        <w:tc>
          <w:tcPr>
            <w:tcW w:w="9344" w:type="dxa"/>
            <w:gridSpan w:val="3"/>
            <w:tcMar>
              <w:top w:w="0" w:type="dxa"/>
              <w:left w:w="108" w:type="dxa"/>
              <w:bottom w:w="0" w:type="dxa"/>
              <w:right w:w="108" w:type="dxa"/>
            </w:tcMar>
            <w:vAlign w:val="center"/>
          </w:tcPr>
          <w:p w14:paraId="56A7C9DB">
            <w:pPr>
              <w:tabs>
                <w:tab w:val="left" w:pos="450"/>
              </w:tabs>
              <w:spacing w:after="0" w:line="320" w:lineRule="exact"/>
              <w:rPr>
                <w:rFonts w:ascii="Times New Roman" w:hAnsi="Times New Roman"/>
                <w:sz w:val="18"/>
                <w:szCs w:val="18"/>
              </w:rPr>
            </w:pPr>
            <w:r>
              <w:rPr>
                <w:rFonts w:ascii="Times New Roman" w:hAnsi="Times New Roman"/>
                <w:sz w:val="18"/>
                <w:szCs w:val="18"/>
                <w:vertAlign w:val="superscript"/>
              </w:rPr>
              <w:t xml:space="preserve">a </w:t>
            </w:r>
            <w:r>
              <w:rPr>
                <w:rFonts w:ascii="Times New Roman" w:hAnsi="Times New Roman"/>
                <w:sz w:val="18"/>
                <w:szCs w:val="18"/>
              </w:rPr>
              <w:t>若产品试样RLU结果大于3倍培养基空白RLU且平板中有菌落生长（见</w:t>
            </w:r>
            <w:r>
              <w:rPr>
                <w:rFonts w:hint="eastAsia" w:ascii="Times New Roman" w:hAnsi="Times New Roman"/>
                <w:sz w:val="18"/>
                <w:szCs w:val="18"/>
              </w:rPr>
              <w:t>表</w:t>
            </w:r>
            <w:r>
              <w:rPr>
                <w:rFonts w:ascii="Times New Roman" w:hAnsi="Times New Roman"/>
                <w:sz w:val="18"/>
                <w:szCs w:val="18"/>
              </w:rPr>
              <w:t xml:space="preserve">A.1 </w:t>
            </w:r>
            <w:r>
              <w:rPr>
                <w:rFonts w:hint="eastAsia" w:ascii="Times New Roman" w:hAnsi="Times New Roman"/>
                <w:sz w:val="18"/>
                <w:szCs w:val="18"/>
              </w:rPr>
              <w:t>D</w:t>
            </w:r>
            <w:r>
              <w:rPr>
                <w:rFonts w:ascii="Times New Roman" w:hAnsi="Times New Roman"/>
                <w:sz w:val="18"/>
                <w:szCs w:val="18"/>
              </w:rPr>
              <w:t>），该样品不符合产品影响测试标准，需按《化妆品安全技术规范》</w:t>
            </w:r>
            <w:r>
              <w:rPr>
                <w:rFonts w:hint="eastAsia" w:ascii="Times New Roman" w:hAnsi="Times New Roman"/>
                <w:sz w:val="18"/>
                <w:szCs w:val="18"/>
                <w:lang w:eastAsia="zh-CN"/>
              </w:rPr>
              <w:t>（</w:t>
            </w:r>
            <w:r>
              <w:rPr>
                <w:rFonts w:hint="eastAsia" w:ascii="Times New Roman" w:hAnsi="Times New Roman"/>
                <w:sz w:val="18"/>
                <w:szCs w:val="18"/>
                <w:lang w:val="en-US" w:eastAsia="zh-CN"/>
              </w:rPr>
              <w:t>2015版</w:t>
            </w:r>
            <w:r>
              <w:rPr>
                <w:rFonts w:hint="eastAsia" w:ascii="Times New Roman" w:hAnsi="Times New Roman"/>
                <w:sz w:val="18"/>
                <w:szCs w:val="18"/>
                <w:lang w:eastAsia="zh-CN"/>
              </w:rPr>
              <w:t>）</w:t>
            </w:r>
            <w:r>
              <w:rPr>
                <w:rFonts w:ascii="Times New Roman" w:hAnsi="Times New Roman"/>
                <w:sz w:val="18"/>
                <w:szCs w:val="18"/>
              </w:rPr>
              <w:t>第五章微生物检验方法进行确证，同时可更换不同批次产品重新进行确认。若产品试样RLU结果大于3倍培养基空白RLU且平板中没有菌落生长（见</w:t>
            </w:r>
            <w:r>
              <w:rPr>
                <w:rFonts w:hint="eastAsia" w:ascii="Times New Roman" w:hAnsi="Times New Roman"/>
                <w:sz w:val="18"/>
                <w:szCs w:val="18"/>
              </w:rPr>
              <w:t>表</w:t>
            </w:r>
            <w:r>
              <w:rPr>
                <w:rFonts w:ascii="Times New Roman" w:hAnsi="Times New Roman"/>
                <w:sz w:val="18"/>
                <w:szCs w:val="18"/>
              </w:rPr>
              <w:t xml:space="preserve">A.1 </w:t>
            </w:r>
            <w:r>
              <w:rPr>
                <w:rFonts w:hint="eastAsia" w:ascii="Times New Roman" w:hAnsi="Times New Roman"/>
                <w:sz w:val="18"/>
                <w:szCs w:val="18"/>
              </w:rPr>
              <w:t>D</w:t>
            </w:r>
            <w:r>
              <w:rPr>
                <w:rFonts w:ascii="Times New Roman" w:hAnsi="Times New Roman"/>
                <w:sz w:val="18"/>
                <w:szCs w:val="18"/>
              </w:rPr>
              <w:t>），应消除样品本底荧光信号的影响，可采用富集后稀释等方法重新进行确认。</w:t>
            </w:r>
          </w:p>
          <w:p w14:paraId="03C1DA72">
            <w:pPr>
              <w:tabs>
                <w:tab w:val="left" w:pos="450"/>
              </w:tabs>
              <w:spacing w:after="0" w:line="320" w:lineRule="exact"/>
              <w:rPr>
                <w:rFonts w:ascii="Times New Roman" w:hAnsi="Times New Roman"/>
                <w:sz w:val="18"/>
                <w:szCs w:val="18"/>
              </w:rPr>
            </w:pPr>
            <w:r>
              <w:rPr>
                <w:rFonts w:ascii="Times New Roman" w:hAnsi="Times New Roman"/>
                <w:sz w:val="18"/>
                <w:szCs w:val="18"/>
                <w:vertAlign w:val="superscript"/>
              </w:rPr>
              <w:t xml:space="preserve">b </w:t>
            </w:r>
            <w:r>
              <w:rPr>
                <w:rFonts w:ascii="Times New Roman" w:hAnsi="Times New Roman"/>
                <w:sz w:val="18"/>
                <w:szCs w:val="18"/>
              </w:rPr>
              <w:t>25 %为推荐值，经验表明当样品ATP回收率&gt; 25 %时，样品成分通常对检测结果影响较小。</w:t>
            </w:r>
          </w:p>
          <w:p w14:paraId="6885B42F">
            <w:pPr>
              <w:tabs>
                <w:tab w:val="left" w:pos="450"/>
              </w:tabs>
              <w:ind w:right="22"/>
              <w:jc w:val="center"/>
              <w:rPr>
                <w:rFonts w:ascii="Times New Roman" w:hAnsi="Times New Roman"/>
                <w:sz w:val="18"/>
                <w:szCs w:val="18"/>
              </w:rPr>
            </w:pPr>
          </w:p>
        </w:tc>
      </w:tr>
    </w:tbl>
    <w:p w14:paraId="3EF3D43C">
      <w:pPr>
        <w:tabs>
          <w:tab w:val="left" w:pos="450"/>
        </w:tabs>
        <w:spacing w:after="156" w:line="240" w:lineRule="auto"/>
        <w:rPr>
          <w:rFonts w:ascii="Times New Roman" w:hAnsi="Times New Roman"/>
          <w:sz w:val="18"/>
          <w:szCs w:val="18"/>
        </w:rPr>
      </w:pPr>
      <w:r>
        <w:rPr>
          <w:rFonts w:hint="eastAsia" w:ascii="Times New Roman" w:hAnsi="Times New Roman"/>
          <w:sz w:val="18"/>
          <w:szCs w:val="18"/>
        </w:rPr>
        <w:t xml:space="preserve">  </w:t>
      </w:r>
    </w:p>
    <w:p w14:paraId="64DDED54">
      <w:pPr>
        <w:tabs>
          <w:tab w:val="left" w:pos="450"/>
        </w:tabs>
        <w:spacing w:after="156" w:line="240" w:lineRule="auto"/>
        <w:rPr>
          <w:rFonts w:ascii="宋体" w:hAnsi="宋体"/>
        </w:rPr>
        <w:sectPr>
          <w:footerReference r:id="rId16" w:type="first"/>
          <w:footerReference r:id="rId15" w:type="default"/>
          <w:pgSz w:w="11906" w:h="16838"/>
          <w:pgMar w:top="1134" w:right="1134" w:bottom="1134" w:left="1418" w:header="1418" w:footer="1134" w:gutter="0"/>
          <w:pgNumType w:start="2"/>
          <w:cols w:space="0" w:num="1"/>
          <w:formProt w:val="0"/>
          <w:titlePg/>
          <w:docGrid w:type="lines" w:linePitch="312" w:charSpace="0"/>
        </w:sectPr>
      </w:pPr>
    </w:p>
    <w:p w14:paraId="602018C2">
      <w:pPr>
        <w:spacing w:after="0" w:line="240" w:lineRule="auto"/>
        <w:jc w:val="center"/>
        <w:outlineLvl w:val="1"/>
        <w:rPr>
          <w:rFonts w:ascii="黑体" w:hAnsi="黑体" w:eastAsia="黑体" w:cs="黑体"/>
        </w:rPr>
      </w:pPr>
      <w:r>
        <w:rPr>
          <w:rFonts w:hint="eastAsia" w:ascii="黑体" w:hAnsi="黑体" w:eastAsia="黑体" w:cs="黑体"/>
        </w:rPr>
        <w:t>附录B</w:t>
      </w:r>
    </w:p>
    <w:p w14:paraId="52ABEA4E">
      <w:pPr>
        <w:spacing w:after="0" w:line="240" w:lineRule="auto"/>
        <w:jc w:val="center"/>
        <w:outlineLvl w:val="1"/>
        <w:rPr>
          <w:rFonts w:ascii="黑体" w:hAnsi="黑体" w:eastAsia="黑体" w:cs="黑体"/>
        </w:rPr>
      </w:pPr>
      <w:r>
        <w:rPr>
          <w:rFonts w:hint="eastAsia" w:ascii="黑体" w:hAnsi="黑体" w:eastAsia="黑体" w:cs="黑体"/>
        </w:rPr>
        <w:t>（资料性）</w:t>
      </w:r>
    </w:p>
    <w:p w14:paraId="004A0763">
      <w:pPr>
        <w:spacing w:after="156" w:line="240" w:lineRule="auto"/>
        <w:jc w:val="center"/>
        <w:outlineLvl w:val="1"/>
        <w:rPr>
          <w:rFonts w:ascii="Times New Roman" w:hAnsi="Times New Roman" w:eastAsia="黑体"/>
        </w:rPr>
      </w:pPr>
      <w:r>
        <w:rPr>
          <w:rFonts w:hint="eastAsia" w:ascii="黑体" w:hAnsi="黑体" w:eastAsia="黑体" w:cs="黑体"/>
        </w:rPr>
        <w:t>培养基和试剂</w:t>
      </w:r>
    </w:p>
    <w:p w14:paraId="69AF844E">
      <w:pPr>
        <w:pStyle w:val="29"/>
        <w:tabs>
          <w:tab w:val="left" w:pos="450"/>
        </w:tabs>
        <w:spacing w:before="156" w:beforeLines="50" w:after="156" w:afterLines="50" w:line="240" w:lineRule="auto"/>
        <w:ind w:firstLine="0" w:firstLineChars="0"/>
        <w:jc w:val="both"/>
        <w:rPr>
          <w:rFonts w:ascii="黑体" w:hAnsi="黑体" w:eastAsia="黑体"/>
          <w:sz w:val="21"/>
          <w:szCs w:val="21"/>
          <w:lang w:eastAsia="zh-CN"/>
        </w:rPr>
      </w:pPr>
      <w:r>
        <w:rPr>
          <w:rFonts w:hint="eastAsia" w:ascii="黑体" w:hAnsi="黑体" w:eastAsia="黑体"/>
          <w:sz w:val="21"/>
          <w:szCs w:val="21"/>
          <w:lang w:eastAsia="zh-CN"/>
        </w:rPr>
        <w:t>B</w:t>
      </w:r>
      <w:r>
        <w:rPr>
          <w:rFonts w:ascii="黑体" w:hAnsi="黑体" w:eastAsia="黑体"/>
          <w:sz w:val="21"/>
          <w:szCs w:val="21"/>
          <w:lang w:eastAsia="zh-CN"/>
        </w:rPr>
        <w:t xml:space="preserve">.1 </w:t>
      </w:r>
      <w:r>
        <w:rPr>
          <w:rFonts w:hint="eastAsia" w:ascii="黑体" w:hAnsi="黑体" w:eastAsia="黑体"/>
          <w:sz w:val="21"/>
          <w:szCs w:val="21"/>
          <w:lang w:eastAsia="zh-CN"/>
        </w:rPr>
        <w:t>TAT基础培养基</w:t>
      </w:r>
    </w:p>
    <w:p w14:paraId="74F72592">
      <w:pPr>
        <w:pStyle w:val="29"/>
        <w:tabs>
          <w:tab w:val="left" w:pos="450"/>
        </w:tabs>
        <w:spacing w:before="156" w:beforeLines="50" w:after="156" w:afterLines="50" w:line="240" w:lineRule="auto"/>
        <w:ind w:firstLine="630" w:firstLineChars="300"/>
        <w:jc w:val="both"/>
        <w:rPr>
          <w:rFonts w:ascii="黑体" w:hAnsi="黑体" w:eastAsia="黑体"/>
          <w:sz w:val="21"/>
          <w:szCs w:val="21"/>
          <w:lang w:eastAsia="zh-CN"/>
        </w:rPr>
      </w:pPr>
      <w:r>
        <w:rPr>
          <w:rFonts w:hint="eastAsia" w:ascii="黑体" w:hAnsi="黑体" w:eastAsia="黑体"/>
          <w:sz w:val="21"/>
          <w:szCs w:val="21"/>
          <w:lang w:eastAsia="zh-CN"/>
        </w:rPr>
        <w:t>成分</w:t>
      </w:r>
    </w:p>
    <w:tbl>
      <w:tblPr>
        <w:tblStyle w:val="5"/>
        <w:tblW w:w="0" w:type="auto"/>
        <w:tblInd w:w="742" w:type="dxa"/>
        <w:tblLayout w:type="fixed"/>
        <w:tblCellMar>
          <w:top w:w="0" w:type="dxa"/>
          <w:left w:w="108" w:type="dxa"/>
          <w:bottom w:w="0" w:type="dxa"/>
          <w:right w:w="108" w:type="dxa"/>
        </w:tblCellMar>
      </w:tblPr>
      <w:tblGrid>
        <w:gridCol w:w="4176"/>
        <w:gridCol w:w="2555"/>
      </w:tblGrid>
      <w:tr w14:paraId="0C24A3A8">
        <w:tblPrEx>
          <w:tblCellMar>
            <w:top w:w="0" w:type="dxa"/>
            <w:left w:w="108" w:type="dxa"/>
            <w:bottom w:w="0" w:type="dxa"/>
            <w:right w:w="108" w:type="dxa"/>
          </w:tblCellMar>
        </w:tblPrEx>
        <w:tc>
          <w:tcPr>
            <w:tcW w:w="4176" w:type="dxa"/>
            <w:vAlign w:val="center"/>
          </w:tcPr>
          <w:p w14:paraId="42E9B5C5">
            <w:pPr>
              <w:spacing w:after="0" w:line="260" w:lineRule="auto"/>
              <w:jc w:val="left"/>
              <w:rPr>
                <w:rFonts w:ascii="Times New Roman" w:hAnsi="Times New Roman"/>
                <w:kern w:val="0"/>
                <w:szCs w:val="21"/>
              </w:rPr>
            </w:pPr>
            <w:r>
              <w:rPr>
                <w:rFonts w:ascii="Times New Roman" w:hAnsi="Times New Roman"/>
              </w:rPr>
              <w:t>胰蛋白胨</w:t>
            </w:r>
          </w:p>
        </w:tc>
        <w:tc>
          <w:tcPr>
            <w:tcW w:w="2555" w:type="dxa"/>
            <w:vAlign w:val="center"/>
          </w:tcPr>
          <w:p w14:paraId="0454BDA6">
            <w:pPr>
              <w:spacing w:after="0" w:line="260" w:lineRule="auto"/>
              <w:jc w:val="left"/>
              <w:rPr>
                <w:rFonts w:ascii="Times New Roman" w:hAnsi="Times New Roman"/>
                <w:kern w:val="0"/>
                <w:szCs w:val="21"/>
              </w:rPr>
            </w:pPr>
            <w:r>
              <w:rPr>
                <w:rFonts w:ascii="Times New Roman" w:hAnsi="Times New Roman"/>
              </w:rPr>
              <w:t>20.0 g</w:t>
            </w:r>
          </w:p>
        </w:tc>
      </w:tr>
      <w:tr w14:paraId="63E09A9B">
        <w:tblPrEx>
          <w:tblCellMar>
            <w:top w:w="0" w:type="dxa"/>
            <w:left w:w="108" w:type="dxa"/>
            <w:bottom w:w="0" w:type="dxa"/>
            <w:right w:w="108" w:type="dxa"/>
          </w:tblCellMar>
        </w:tblPrEx>
        <w:tc>
          <w:tcPr>
            <w:tcW w:w="4176" w:type="dxa"/>
            <w:vAlign w:val="center"/>
          </w:tcPr>
          <w:p w14:paraId="7C50B7EB">
            <w:pPr>
              <w:spacing w:after="0" w:line="260" w:lineRule="auto"/>
              <w:jc w:val="left"/>
              <w:rPr>
                <w:rFonts w:ascii="Times New Roman" w:hAnsi="Times New Roman"/>
                <w:color w:val="000000"/>
                <w:kern w:val="0"/>
                <w:szCs w:val="21"/>
              </w:rPr>
            </w:pPr>
            <w:r>
              <w:rPr>
                <w:rFonts w:ascii="Times New Roman" w:hAnsi="Times New Roman"/>
              </w:rPr>
              <w:t>大豆卵磷脂</w:t>
            </w:r>
          </w:p>
        </w:tc>
        <w:tc>
          <w:tcPr>
            <w:tcW w:w="2555" w:type="dxa"/>
            <w:vAlign w:val="center"/>
          </w:tcPr>
          <w:p w14:paraId="6F4F4265">
            <w:pPr>
              <w:spacing w:after="0" w:line="260" w:lineRule="auto"/>
              <w:jc w:val="left"/>
              <w:rPr>
                <w:rFonts w:ascii="Times New Roman" w:hAnsi="Times New Roman"/>
                <w:color w:val="000000"/>
                <w:kern w:val="0"/>
                <w:szCs w:val="21"/>
              </w:rPr>
            </w:pPr>
            <w:r>
              <w:rPr>
                <w:rFonts w:ascii="Times New Roman" w:hAnsi="Times New Roman"/>
              </w:rPr>
              <w:t>5.0 g</w:t>
            </w:r>
          </w:p>
        </w:tc>
      </w:tr>
    </w:tbl>
    <w:p w14:paraId="6522EC73">
      <w:pPr>
        <w:pStyle w:val="29"/>
        <w:tabs>
          <w:tab w:val="left" w:pos="450"/>
        </w:tabs>
        <w:spacing w:before="156" w:beforeLines="50" w:after="156" w:afterLines="50" w:line="240" w:lineRule="auto"/>
        <w:ind w:firstLine="0" w:firstLineChars="0"/>
        <w:jc w:val="both"/>
        <w:rPr>
          <w:rFonts w:ascii="黑体" w:hAnsi="黑体" w:eastAsia="黑体"/>
        </w:rPr>
      </w:pPr>
      <w:r>
        <w:rPr>
          <w:rFonts w:hint="eastAsia" w:ascii="黑体" w:hAnsi="黑体" w:eastAsia="黑体"/>
          <w:sz w:val="21"/>
          <w:szCs w:val="21"/>
          <w:lang w:eastAsia="zh-CN"/>
        </w:rPr>
        <w:t>B</w:t>
      </w:r>
      <w:r>
        <w:rPr>
          <w:rFonts w:ascii="黑体" w:hAnsi="黑体" w:eastAsia="黑体"/>
          <w:sz w:val="21"/>
          <w:szCs w:val="21"/>
          <w:lang w:eastAsia="zh-CN"/>
        </w:rPr>
        <w:t>.</w:t>
      </w:r>
      <w:r>
        <w:rPr>
          <w:rFonts w:hint="eastAsia" w:ascii="黑体" w:hAnsi="黑体" w:eastAsia="黑体"/>
          <w:sz w:val="21"/>
          <w:szCs w:val="21"/>
          <w:lang w:eastAsia="zh-CN"/>
        </w:rPr>
        <w:t>2</w:t>
      </w:r>
      <w:r>
        <w:rPr>
          <w:rFonts w:ascii="黑体" w:hAnsi="黑体" w:eastAsia="黑体"/>
          <w:sz w:val="21"/>
          <w:szCs w:val="21"/>
          <w:lang w:eastAsia="zh-CN"/>
        </w:rPr>
        <w:t xml:space="preserve"> </w:t>
      </w:r>
      <w:r>
        <w:rPr>
          <w:rFonts w:hint="eastAsia" w:ascii="黑体" w:hAnsi="黑体" w:eastAsia="黑体"/>
          <w:sz w:val="21"/>
          <w:szCs w:val="21"/>
          <w:lang w:eastAsia="zh-CN"/>
        </w:rPr>
        <w:t>MTAT培养基</w:t>
      </w:r>
    </w:p>
    <w:p w14:paraId="4716345C">
      <w:pPr>
        <w:pStyle w:val="29"/>
        <w:tabs>
          <w:tab w:val="left" w:pos="450"/>
        </w:tabs>
        <w:spacing w:before="156" w:beforeLines="50" w:after="156" w:afterLines="50" w:line="240" w:lineRule="auto"/>
        <w:ind w:firstLine="0" w:firstLineChars="0"/>
        <w:jc w:val="both"/>
        <w:rPr>
          <w:rFonts w:ascii="黑体" w:hAnsi="黑体" w:eastAsia="黑体"/>
          <w:sz w:val="21"/>
          <w:szCs w:val="21"/>
          <w:lang w:eastAsia="zh-CN"/>
        </w:rPr>
      </w:pPr>
      <w:r>
        <w:rPr>
          <w:rFonts w:hint="eastAsia" w:ascii="黑体" w:hAnsi="黑体" w:eastAsia="黑体"/>
          <w:sz w:val="21"/>
          <w:szCs w:val="21"/>
          <w:lang w:eastAsia="zh-CN"/>
        </w:rPr>
        <w:t>B.2.1成分</w:t>
      </w:r>
    </w:p>
    <w:tbl>
      <w:tblPr>
        <w:tblStyle w:val="5"/>
        <w:tblW w:w="0" w:type="auto"/>
        <w:tblInd w:w="735" w:type="dxa"/>
        <w:tblLayout w:type="fixed"/>
        <w:tblCellMar>
          <w:top w:w="0" w:type="dxa"/>
          <w:left w:w="108" w:type="dxa"/>
          <w:bottom w:w="0" w:type="dxa"/>
          <w:right w:w="108" w:type="dxa"/>
        </w:tblCellMar>
      </w:tblPr>
      <w:tblGrid>
        <w:gridCol w:w="4176"/>
        <w:gridCol w:w="2555"/>
      </w:tblGrid>
      <w:tr w14:paraId="780A5F64">
        <w:tblPrEx>
          <w:tblCellMar>
            <w:top w:w="0" w:type="dxa"/>
            <w:left w:w="108" w:type="dxa"/>
            <w:bottom w:w="0" w:type="dxa"/>
            <w:right w:w="108" w:type="dxa"/>
          </w:tblCellMar>
        </w:tblPrEx>
        <w:tc>
          <w:tcPr>
            <w:tcW w:w="4176" w:type="dxa"/>
            <w:vAlign w:val="center"/>
          </w:tcPr>
          <w:p w14:paraId="5BCFAE9B">
            <w:pPr>
              <w:spacing w:after="0" w:line="260" w:lineRule="auto"/>
              <w:jc w:val="left"/>
              <w:rPr>
                <w:rFonts w:ascii="Times New Roman" w:hAnsi="Times New Roman"/>
                <w:kern w:val="0"/>
                <w:szCs w:val="21"/>
              </w:rPr>
            </w:pPr>
            <w:r>
              <w:rPr>
                <w:rFonts w:ascii="Times New Roman" w:hAnsi="Times New Roman"/>
              </w:rPr>
              <w:t>TAT 基础培养基（见 B.1.1）</w:t>
            </w:r>
          </w:p>
        </w:tc>
        <w:tc>
          <w:tcPr>
            <w:tcW w:w="2555" w:type="dxa"/>
            <w:vAlign w:val="center"/>
          </w:tcPr>
          <w:p w14:paraId="243C1159">
            <w:pPr>
              <w:spacing w:after="0" w:line="260" w:lineRule="auto"/>
              <w:jc w:val="left"/>
              <w:rPr>
                <w:rFonts w:ascii="Times New Roman" w:hAnsi="Times New Roman"/>
                <w:kern w:val="0"/>
                <w:szCs w:val="21"/>
              </w:rPr>
            </w:pPr>
            <w:r>
              <w:rPr>
                <w:rFonts w:ascii="Times New Roman" w:hAnsi="Times New Roman"/>
              </w:rPr>
              <w:t>22.5 g</w:t>
            </w:r>
          </w:p>
        </w:tc>
      </w:tr>
      <w:tr w14:paraId="278EF273">
        <w:tblPrEx>
          <w:tblCellMar>
            <w:top w:w="0" w:type="dxa"/>
            <w:left w:w="108" w:type="dxa"/>
            <w:bottom w:w="0" w:type="dxa"/>
            <w:right w:w="108" w:type="dxa"/>
          </w:tblCellMar>
        </w:tblPrEx>
        <w:tc>
          <w:tcPr>
            <w:tcW w:w="4176" w:type="dxa"/>
            <w:vAlign w:val="center"/>
          </w:tcPr>
          <w:p w14:paraId="1138CE34">
            <w:pPr>
              <w:spacing w:after="0" w:line="260" w:lineRule="auto"/>
              <w:jc w:val="left"/>
              <w:rPr>
                <w:rFonts w:ascii="Times New Roman" w:hAnsi="Times New Roman"/>
                <w:color w:val="000000"/>
                <w:kern w:val="0"/>
                <w:szCs w:val="21"/>
              </w:rPr>
            </w:pPr>
            <w:r>
              <w:rPr>
                <w:rFonts w:ascii="Times New Roman" w:hAnsi="Times New Roman"/>
              </w:rPr>
              <w:t>硫代硫酸钠</w:t>
            </w:r>
          </w:p>
        </w:tc>
        <w:tc>
          <w:tcPr>
            <w:tcW w:w="2555" w:type="dxa"/>
            <w:vAlign w:val="center"/>
          </w:tcPr>
          <w:p w14:paraId="0BDF2DEB">
            <w:pPr>
              <w:spacing w:after="0" w:line="260" w:lineRule="auto"/>
              <w:jc w:val="left"/>
              <w:rPr>
                <w:rFonts w:ascii="Times New Roman" w:hAnsi="Times New Roman"/>
                <w:color w:val="000000"/>
                <w:kern w:val="0"/>
                <w:szCs w:val="21"/>
              </w:rPr>
            </w:pPr>
            <w:r>
              <w:rPr>
                <w:rFonts w:ascii="Times New Roman" w:hAnsi="Times New Roman"/>
              </w:rPr>
              <w:t>0.5 g</w:t>
            </w:r>
          </w:p>
        </w:tc>
      </w:tr>
      <w:tr w14:paraId="0183D2ED">
        <w:tblPrEx>
          <w:tblCellMar>
            <w:top w:w="0" w:type="dxa"/>
            <w:left w:w="108" w:type="dxa"/>
            <w:bottom w:w="0" w:type="dxa"/>
            <w:right w:w="108" w:type="dxa"/>
          </w:tblCellMar>
        </w:tblPrEx>
        <w:tc>
          <w:tcPr>
            <w:tcW w:w="4176" w:type="dxa"/>
            <w:vAlign w:val="center"/>
          </w:tcPr>
          <w:p w14:paraId="22721206">
            <w:pPr>
              <w:spacing w:after="0" w:line="260" w:lineRule="auto"/>
              <w:jc w:val="left"/>
              <w:rPr>
                <w:rFonts w:ascii="Times New Roman" w:hAnsi="Times New Roman"/>
                <w:kern w:val="0"/>
                <w:szCs w:val="21"/>
              </w:rPr>
            </w:pPr>
            <w:r>
              <w:rPr>
                <w:rFonts w:ascii="Times New Roman" w:hAnsi="Times New Roman"/>
              </w:rPr>
              <w:t>组氨酸</w:t>
            </w:r>
          </w:p>
        </w:tc>
        <w:tc>
          <w:tcPr>
            <w:tcW w:w="2555" w:type="dxa"/>
            <w:vAlign w:val="center"/>
          </w:tcPr>
          <w:p w14:paraId="5BE98E94">
            <w:pPr>
              <w:spacing w:after="0" w:line="260" w:lineRule="auto"/>
              <w:jc w:val="left"/>
              <w:rPr>
                <w:rFonts w:ascii="Times New Roman" w:hAnsi="Times New Roman"/>
                <w:kern w:val="0"/>
                <w:szCs w:val="21"/>
              </w:rPr>
            </w:pPr>
            <w:r>
              <w:rPr>
                <w:rFonts w:ascii="Times New Roman" w:hAnsi="Times New Roman"/>
              </w:rPr>
              <w:t>0.1 g</w:t>
            </w:r>
          </w:p>
        </w:tc>
      </w:tr>
      <w:tr w14:paraId="000F5197">
        <w:tblPrEx>
          <w:tblCellMar>
            <w:top w:w="0" w:type="dxa"/>
            <w:left w:w="108" w:type="dxa"/>
            <w:bottom w:w="0" w:type="dxa"/>
            <w:right w:w="108" w:type="dxa"/>
          </w:tblCellMar>
        </w:tblPrEx>
        <w:tc>
          <w:tcPr>
            <w:tcW w:w="4176" w:type="dxa"/>
            <w:vAlign w:val="center"/>
          </w:tcPr>
          <w:p w14:paraId="7C5FA74B">
            <w:pPr>
              <w:spacing w:after="0" w:line="260" w:lineRule="auto"/>
              <w:jc w:val="left"/>
              <w:rPr>
                <w:rFonts w:ascii="Times New Roman" w:hAnsi="Times New Roman"/>
                <w:kern w:val="0"/>
                <w:szCs w:val="21"/>
              </w:rPr>
            </w:pPr>
            <w:r>
              <w:rPr>
                <w:rFonts w:ascii="Times New Roman" w:hAnsi="Times New Roman"/>
              </w:rPr>
              <w:t>蛋白胨</w:t>
            </w:r>
            <w:r>
              <w:rPr>
                <w:rFonts w:ascii="Times New Roman" w:hAnsi="Times New Roman"/>
              </w:rPr>
              <w:tab/>
            </w:r>
            <w:r>
              <w:rPr>
                <w:rFonts w:ascii="Times New Roman" w:hAnsi="Times New Roman"/>
              </w:rPr>
              <w:t xml:space="preserve">  </w:t>
            </w:r>
          </w:p>
        </w:tc>
        <w:tc>
          <w:tcPr>
            <w:tcW w:w="2555" w:type="dxa"/>
            <w:vAlign w:val="center"/>
          </w:tcPr>
          <w:p w14:paraId="49F2FCA5">
            <w:pPr>
              <w:spacing w:after="0" w:line="260" w:lineRule="auto"/>
              <w:jc w:val="left"/>
              <w:rPr>
                <w:rFonts w:ascii="Times New Roman" w:hAnsi="Times New Roman"/>
                <w:kern w:val="0"/>
                <w:szCs w:val="21"/>
              </w:rPr>
            </w:pPr>
            <w:r>
              <w:rPr>
                <w:rFonts w:ascii="Times New Roman" w:hAnsi="Times New Roman"/>
              </w:rPr>
              <w:t>7.5 g</w:t>
            </w:r>
          </w:p>
        </w:tc>
      </w:tr>
      <w:tr w14:paraId="4B48D7F5">
        <w:tblPrEx>
          <w:tblCellMar>
            <w:top w:w="0" w:type="dxa"/>
            <w:left w:w="108" w:type="dxa"/>
            <w:bottom w:w="0" w:type="dxa"/>
            <w:right w:w="108" w:type="dxa"/>
          </w:tblCellMar>
        </w:tblPrEx>
        <w:tc>
          <w:tcPr>
            <w:tcW w:w="4176" w:type="dxa"/>
            <w:vAlign w:val="center"/>
          </w:tcPr>
          <w:p w14:paraId="7D9EF92A">
            <w:pPr>
              <w:spacing w:after="0" w:line="260" w:lineRule="auto"/>
              <w:jc w:val="left"/>
              <w:rPr>
                <w:rFonts w:ascii="Times New Roman" w:hAnsi="Times New Roman"/>
                <w:kern w:val="0"/>
                <w:szCs w:val="21"/>
              </w:rPr>
            </w:pPr>
            <w:r>
              <w:rPr>
                <w:rFonts w:ascii="Times New Roman" w:hAnsi="Times New Roman"/>
              </w:rPr>
              <w:t>葡萄糖</w:t>
            </w:r>
            <w:r>
              <w:rPr>
                <w:rFonts w:ascii="Times New Roman" w:hAnsi="Times New Roman"/>
              </w:rPr>
              <w:tab/>
            </w:r>
          </w:p>
        </w:tc>
        <w:tc>
          <w:tcPr>
            <w:tcW w:w="2555" w:type="dxa"/>
            <w:vAlign w:val="center"/>
          </w:tcPr>
          <w:p w14:paraId="1FFAA19C">
            <w:pPr>
              <w:spacing w:after="0" w:line="260" w:lineRule="auto"/>
              <w:jc w:val="left"/>
              <w:rPr>
                <w:rFonts w:ascii="Times New Roman" w:hAnsi="Times New Roman"/>
                <w:kern w:val="0"/>
                <w:szCs w:val="21"/>
              </w:rPr>
            </w:pPr>
            <w:r>
              <w:rPr>
                <w:rFonts w:ascii="Times New Roman" w:hAnsi="Times New Roman"/>
              </w:rPr>
              <w:t>15.0 g</w:t>
            </w:r>
          </w:p>
        </w:tc>
      </w:tr>
      <w:tr w14:paraId="18B6A2C4">
        <w:tblPrEx>
          <w:tblCellMar>
            <w:top w:w="0" w:type="dxa"/>
            <w:left w:w="108" w:type="dxa"/>
            <w:bottom w:w="0" w:type="dxa"/>
            <w:right w:w="108" w:type="dxa"/>
          </w:tblCellMar>
        </w:tblPrEx>
        <w:tc>
          <w:tcPr>
            <w:tcW w:w="4176" w:type="dxa"/>
            <w:vAlign w:val="center"/>
          </w:tcPr>
          <w:p w14:paraId="6FF99C87">
            <w:pPr>
              <w:spacing w:after="0" w:line="260" w:lineRule="auto"/>
              <w:jc w:val="left"/>
              <w:rPr>
                <w:rFonts w:ascii="Times New Roman" w:hAnsi="Times New Roman"/>
                <w:kern w:val="0"/>
                <w:szCs w:val="21"/>
              </w:rPr>
            </w:pPr>
            <w:r>
              <w:rPr>
                <w:rFonts w:ascii="Times New Roman" w:hAnsi="Times New Roman"/>
              </w:rPr>
              <w:t>氯化钠</w:t>
            </w:r>
            <w:r>
              <w:rPr>
                <w:rFonts w:ascii="Times New Roman" w:hAnsi="Times New Roman"/>
              </w:rPr>
              <w:tab/>
            </w:r>
          </w:p>
        </w:tc>
        <w:tc>
          <w:tcPr>
            <w:tcW w:w="2555" w:type="dxa"/>
            <w:vAlign w:val="center"/>
          </w:tcPr>
          <w:p w14:paraId="3AE49E0A">
            <w:pPr>
              <w:spacing w:after="0" w:line="260" w:lineRule="auto"/>
              <w:jc w:val="left"/>
              <w:rPr>
                <w:rFonts w:ascii="Times New Roman" w:hAnsi="Times New Roman"/>
                <w:kern w:val="0"/>
                <w:szCs w:val="21"/>
              </w:rPr>
            </w:pPr>
            <w:r>
              <w:rPr>
                <w:rFonts w:hint="eastAsia" w:ascii="Times New Roman" w:hAnsi="Times New Roman"/>
                <w:color w:val="000000"/>
                <w:kern w:val="0"/>
                <w:szCs w:val="21"/>
              </w:rPr>
              <w:t>0.85</w:t>
            </w:r>
            <w:r>
              <w:rPr>
                <w:rFonts w:ascii="Times New Roman" w:hAnsi="Times New Roman"/>
                <w:color w:val="000000"/>
                <w:kern w:val="0"/>
                <w:szCs w:val="21"/>
              </w:rPr>
              <w:t xml:space="preserve"> g</w:t>
            </w:r>
          </w:p>
        </w:tc>
      </w:tr>
      <w:tr w14:paraId="2D48382F">
        <w:tblPrEx>
          <w:tblCellMar>
            <w:top w:w="0" w:type="dxa"/>
            <w:left w:w="108" w:type="dxa"/>
            <w:bottom w:w="0" w:type="dxa"/>
            <w:right w:w="108" w:type="dxa"/>
          </w:tblCellMar>
        </w:tblPrEx>
        <w:tc>
          <w:tcPr>
            <w:tcW w:w="4176" w:type="dxa"/>
            <w:vAlign w:val="center"/>
          </w:tcPr>
          <w:p w14:paraId="5ABA1DEA">
            <w:pPr>
              <w:spacing w:after="0" w:line="260" w:lineRule="auto"/>
              <w:jc w:val="left"/>
              <w:rPr>
                <w:rFonts w:ascii="Times New Roman" w:hAnsi="Times New Roman"/>
                <w:kern w:val="0"/>
                <w:szCs w:val="21"/>
              </w:rPr>
            </w:pPr>
            <w:r>
              <w:rPr>
                <w:rFonts w:ascii="Times New Roman" w:hAnsi="Times New Roman"/>
              </w:rPr>
              <w:t>卵磷脂</w:t>
            </w:r>
            <w:r>
              <w:rPr>
                <w:rFonts w:ascii="Times New Roman" w:hAnsi="Times New Roman"/>
              </w:rPr>
              <w:tab/>
            </w:r>
          </w:p>
        </w:tc>
        <w:tc>
          <w:tcPr>
            <w:tcW w:w="2555" w:type="dxa"/>
            <w:vAlign w:val="center"/>
          </w:tcPr>
          <w:p w14:paraId="60AFA108">
            <w:pPr>
              <w:spacing w:after="0" w:line="260" w:lineRule="auto"/>
              <w:jc w:val="left"/>
              <w:rPr>
                <w:rFonts w:ascii="Times New Roman" w:hAnsi="Times New Roman"/>
                <w:kern w:val="0"/>
                <w:szCs w:val="21"/>
              </w:rPr>
            </w:pPr>
            <w:r>
              <w:rPr>
                <w:rFonts w:hint="eastAsia" w:ascii="Times New Roman" w:hAnsi="Times New Roman"/>
              </w:rPr>
              <w:t>1.43</w:t>
            </w:r>
            <w:r>
              <w:rPr>
                <w:rFonts w:ascii="Times New Roman" w:hAnsi="Times New Roman"/>
              </w:rPr>
              <w:t xml:space="preserve"> g</w:t>
            </w:r>
          </w:p>
        </w:tc>
      </w:tr>
      <w:tr w14:paraId="099E749E">
        <w:tblPrEx>
          <w:tblCellMar>
            <w:top w:w="0" w:type="dxa"/>
            <w:left w:w="108" w:type="dxa"/>
            <w:bottom w:w="0" w:type="dxa"/>
            <w:right w:w="108" w:type="dxa"/>
          </w:tblCellMar>
        </w:tblPrEx>
        <w:tc>
          <w:tcPr>
            <w:tcW w:w="4176" w:type="dxa"/>
            <w:vAlign w:val="center"/>
          </w:tcPr>
          <w:p w14:paraId="50934936">
            <w:pPr>
              <w:spacing w:after="0" w:line="260" w:lineRule="auto"/>
              <w:jc w:val="left"/>
              <w:rPr>
                <w:rFonts w:ascii="Times New Roman" w:hAnsi="Times New Roman"/>
                <w:color w:val="000000"/>
                <w:kern w:val="0"/>
                <w:szCs w:val="21"/>
              </w:rPr>
            </w:pPr>
            <w:r>
              <w:rPr>
                <w:rFonts w:ascii="Times New Roman" w:hAnsi="Times New Roman"/>
              </w:rPr>
              <w:t>吐温 80</w:t>
            </w:r>
            <w:r>
              <w:rPr>
                <w:rFonts w:ascii="Times New Roman" w:hAnsi="Times New Roman"/>
              </w:rPr>
              <w:tab/>
            </w:r>
          </w:p>
        </w:tc>
        <w:tc>
          <w:tcPr>
            <w:tcW w:w="2555" w:type="dxa"/>
            <w:vAlign w:val="center"/>
          </w:tcPr>
          <w:p w14:paraId="63540076">
            <w:pPr>
              <w:spacing w:after="0" w:line="260" w:lineRule="auto"/>
              <w:jc w:val="left"/>
              <w:rPr>
                <w:rFonts w:ascii="Times New Roman" w:hAnsi="Times New Roman"/>
                <w:color w:val="000000"/>
                <w:kern w:val="0"/>
                <w:szCs w:val="21"/>
              </w:rPr>
            </w:pPr>
            <w:r>
              <w:rPr>
                <w:rFonts w:ascii="Times New Roman" w:hAnsi="Times New Roman"/>
              </w:rPr>
              <w:t>39.0 g</w:t>
            </w:r>
          </w:p>
        </w:tc>
      </w:tr>
      <w:tr w14:paraId="3E3989C3">
        <w:tblPrEx>
          <w:tblCellMar>
            <w:top w:w="0" w:type="dxa"/>
            <w:left w:w="108" w:type="dxa"/>
            <w:bottom w:w="0" w:type="dxa"/>
            <w:right w:w="108" w:type="dxa"/>
          </w:tblCellMar>
        </w:tblPrEx>
        <w:tc>
          <w:tcPr>
            <w:tcW w:w="4176" w:type="dxa"/>
            <w:vAlign w:val="center"/>
          </w:tcPr>
          <w:p w14:paraId="18EE1BD7">
            <w:pPr>
              <w:spacing w:after="0" w:line="260" w:lineRule="auto"/>
              <w:jc w:val="left"/>
              <w:rPr>
                <w:rFonts w:ascii="Times New Roman" w:hAnsi="Times New Roman"/>
                <w:color w:val="000000"/>
                <w:kern w:val="0"/>
                <w:szCs w:val="21"/>
              </w:rPr>
            </w:pPr>
            <w:r>
              <w:rPr>
                <w:rFonts w:ascii="Times New Roman" w:hAnsi="Times New Roman"/>
              </w:rPr>
              <w:t>水</w:t>
            </w:r>
            <w:r>
              <w:rPr>
                <w:rFonts w:ascii="Times New Roman" w:hAnsi="Times New Roman"/>
              </w:rPr>
              <w:tab/>
            </w:r>
            <w:r>
              <w:rPr>
                <w:rFonts w:ascii="Times New Roman" w:hAnsi="Times New Roman"/>
              </w:rPr>
              <w:t xml:space="preserve">   </w:t>
            </w:r>
          </w:p>
        </w:tc>
        <w:tc>
          <w:tcPr>
            <w:tcW w:w="2555" w:type="dxa"/>
            <w:vAlign w:val="center"/>
          </w:tcPr>
          <w:p w14:paraId="5B42FA52">
            <w:pPr>
              <w:spacing w:after="0" w:line="260" w:lineRule="auto"/>
              <w:jc w:val="left"/>
              <w:rPr>
                <w:rFonts w:ascii="Times New Roman" w:hAnsi="Times New Roman"/>
                <w:color w:val="000000"/>
                <w:kern w:val="0"/>
                <w:szCs w:val="21"/>
              </w:rPr>
            </w:pPr>
            <w:r>
              <w:rPr>
                <w:rFonts w:ascii="Times New Roman" w:hAnsi="Times New Roman"/>
              </w:rPr>
              <w:t>964 mL</w:t>
            </w:r>
          </w:p>
        </w:tc>
      </w:tr>
    </w:tbl>
    <w:p w14:paraId="3F8CDB6E">
      <w:pPr>
        <w:pStyle w:val="29"/>
        <w:tabs>
          <w:tab w:val="left" w:pos="450"/>
        </w:tabs>
        <w:spacing w:before="156" w:beforeLines="50" w:after="156" w:afterLines="50" w:line="240" w:lineRule="auto"/>
        <w:ind w:firstLine="0" w:firstLineChars="0"/>
        <w:jc w:val="both"/>
        <w:rPr>
          <w:rFonts w:ascii="黑体" w:hAnsi="黑体" w:eastAsia="黑体"/>
          <w:sz w:val="21"/>
          <w:szCs w:val="21"/>
          <w:lang w:eastAsia="zh-CN"/>
        </w:rPr>
      </w:pPr>
      <w:r>
        <w:rPr>
          <w:rFonts w:hint="eastAsia" w:ascii="黑体" w:hAnsi="黑体" w:eastAsia="黑体"/>
          <w:sz w:val="21"/>
          <w:szCs w:val="21"/>
          <w:lang w:eastAsia="zh-CN"/>
        </w:rPr>
        <w:t>B.2.2 制法</w:t>
      </w:r>
    </w:p>
    <w:p w14:paraId="6916AB04">
      <w:pPr>
        <w:pStyle w:val="2"/>
        <w:spacing w:before="156" w:beforeLines="50" w:after="156" w:afterLines="50" w:line="320" w:lineRule="exact"/>
        <w:ind w:firstLine="420" w:firstLineChars="200"/>
        <w:jc w:val="both"/>
        <w:rPr>
          <w:rFonts w:ascii="黑体" w:hAnsi="黑体" w:eastAsia="黑体"/>
        </w:rPr>
      </w:pPr>
      <w:r>
        <w:t>先将卵磷脂和吐温80加入水中，加热溶解，再加入其他成分，溶解并混匀。使用6 mol/L NaOH 或HCl溶液调pH值至7.0 ± 0.2，121 ℃高压灭菌15min。</w:t>
      </w:r>
    </w:p>
    <w:p w14:paraId="3676809F">
      <w:pPr>
        <w:pStyle w:val="29"/>
        <w:tabs>
          <w:tab w:val="left" w:pos="450"/>
        </w:tabs>
        <w:spacing w:before="156" w:beforeLines="50" w:after="156" w:afterLines="50" w:line="240" w:lineRule="auto"/>
        <w:ind w:firstLine="0" w:firstLineChars="0"/>
        <w:jc w:val="both"/>
        <w:rPr>
          <w:rFonts w:ascii="黑体" w:hAnsi="黑体" w:eastAsia="黑体"/>
          <w:sz w:val="21"/>
          <w:szCs w:val="21"/>
          <w:lang w:eastAsia="zh-CN"/>
        </w:rPr>
      </w:pPr>
      <w:r>
        <w:rPr>
          <w:rFonts w:hint="eastAsia" w:ascii="黑体" w:hAnsi="黑体" w:eastAsia="黑体"/>
          <w:sz w:val="21"/>
          <w:szCs w:val="21"/>
          <w:lang w:eastAsia="zh-CN"/>
        </w:rPr>
        <w:t>B.3 TLE培养基</w:t>
      </w:r>
    </w:p>
    <w:p w14:paraId="3A1BD736">
      <w:pPr>
        <w:pStyle w:val="29"/>
        <w:tabs>
          <w:tab w:val="left" w:pos="450"/>
        </w:tabs>
        <w:spacing w:before="156" w:beforeLines="50" w:after="156" w:afterLines="50" w:line="240" w:lineRule="auto"/>
        <w:ind w:firstLine="0" w:firstLineChars="0"/>
        <w:jc w:val="both"/>
        <w:rPr>
          <w:rFonts w:ascii="黑体" w:hAnsi="黑体" w:eastAsia="黑体"/>
          <w:sz w:val="21"/>
          <w:szCs w:val="21"/>
          <w:lang w:eastAsia="zh-CN"/>
        </w:rPr>
      </w:pPr>
      <w:r>
        <w:rPr>
          <w:rFonts w:hint="eastAsia" w:ascii="黑体" w:hAnsi="黑体" w:eastAsia="黑体"/>
          <w:sz w:val="21"/>
          <w:szCs w:val="21"/>
          <w:lang w:eastAsia="zh-CN"/>
        </w:rPr>
        <w:t>B.3.1 成分</w:t>
      </w:r>
    </w:p>
    <w:tbl>
      <w:tblPr>
        <w:tblStyle w:val="5"/>
        <w:tblW w:w="0" w:type="auto"/>
        <w:tblInd w:w="678" w:type="dxa"/>
        <w:tblLayout w:type="fixed"/>
        <w:tblCellMar>
          <w:top w:w="0" w:type="dxa"/>
          <w:left w:w="108" w:type="dxa"/>
          <w:bottom w:w="0" w:type="dxa"/>
          <w:right w:w="108" w:type="dxa"/>
        </w:tblCellMar>
      </w:tblPr>
      <w:tblGrid>
        <w:gridCol w:w="4176"/>
        <w:gridCol w:w="2555"/>
      </w:tblGrid>
      <w:tr w14:paraId="400E56B4">
        <w:tblPrEx>
          <w:tblCellMar>
            <w:top w:w="0" w:type="dxa"/>
            <w:left w:w="108" w:type="dxa"/>
            <w:bottom w:w="0" w:type="dxa"/>
            <w:right w:w="108" w:type="dxa"/>
          </w:tblCellMar>
        </w:tblPrEx>
        <w:tc>
          <w:tcPr>
            <w:tcW w:w="4176" w:type="dxa"/>
            <w:vAlign w:val="center"/>
          </w:tcPr>
          <w:p w14:paraId="1088D165">
            <w:pPr>
              <w:spacing w:after="0" w:line="260" w:lineRule="auto"/>
              <w:jc w:val="left"/>
              <w:rPr>
                <w:rFonts w:ascii="Times New Roman" w:hAnsi="Times New Roman"/>
                <w:kern w:val="0"/>
                <w:szCs w:val="21"/>
              </w:rPr>
            </w:pPr>
            <w:r>
              <w:rPr>
                <w:rFonts w:ascii="Times New Roman" w:hAnsi="Times New Roman"/>
              </w:rPr>
              <w:t>TAT 基础培养基（见 B.1.1）</w:t>
            </w:r>
            <w:r>
              <w:rPr>
                <w:rFonts w:ascii="Times New Roman" w:hAnsi="Times New Roman"/>
              </w:rPr>
              <w:tab/>
            </w:r>
          </w:p>
        </w:tc>
        <w:tc>
          <w:tcPr>
            <w:tcW w:w="2555" w:type="dxa"/>
            <w:vAlign w:val="center"/>
          </w:tcPr>
          <w:p w14:paraId="31973E35">
            <w:pPr>
              <w:spacing w:after="0" w:line="260" w:lineRule="auto"/>
              <w:jc w:val="left"/>
              <w:rPr>
                <w:rFonts w:ascii="Times New Roman" w:hAnsi="Times New Roman"/>
                <w:kern w:val="0"/>
                <w:szCs w:val="21"/>
              </w:rPr>
            </w:pPr>
            <w:r>
              <w:rPr>
                <w:rFonts w:ascii="Times New Roman" w:hAnsi="Times New Roman"/>
              </w:rPr>
              <w:t>22.5 g</w:t>
            </w:r>
          </w:p>
        </w:tc>
      </w:tr>
      <w:tr w14:paraId="0651A2E3">
        <w:tblPrEx>
          <w:tblCellMar>
            <w:top w:w="0" w:type="dxa"/>
            <w:left w:w="108" w:type="dxa"/>
            <w:bottom w:w="0" w:type="dxa"/>
            <w:right w:w="108" w:type="dxa"/>
          </w:tblCellMar>
        </w:tblPrEx>
        <w:tc>
          <w:tcPr>
            <w:tcW w:w="4176" w:type="dxa"/>
            <w:vAlign w:val="center"/>
          </w:tcPr>
          <w:p w14:paraId="3D4246E8">
            <w:pPr>
              <w:spacing w:after="0" w:line="260" w:lineRule="auto"/>
              <w:jc w:val="left"/>
              <w:rPr>
                <w:rFonts w:ascii="Times New Roman" w:hAnsi="Times New Roman"/>
                <w:color w:val="000000"/>
                <w:kern w:val="0"/>
                <w:szCs w:val="21"/>
              </w:rPr>
            </w:pPr>
            <w:r>
              <w:rPr>
                <w:rFonts w:ascii="Times New Roman" w:hAnsi="Times New Roman"/>
              </w:rPr>
              <w:t>硫代硫酸钠</w:t>
            </w:r>
          </w:p>
        </w:tc>
        <w:tc>
          <w:tcPr>
            <w:tcW w:w="2555" w:type="dxa"/>
            <w:vAlign w:val="center"/>
          </w:tcPr>
          <w:p w14:paraId="5F2E436D">
            <w:pPr>
              <w:spacing w:after="0" w:line="260" w:lineRule="auto"/>
              <w:jc w:val="left"/>
              <w:rPr>
                <w:rFonts w:ascii="Times New Roman" w:hAnsi="Times New Roman"/>
                <w:color w:val="000000"/>
                <w:kern w:val="0"/>
                <w:szCs w:val="21"/>
              </w:rPr>
            </w:pPr>
            <w:r>
              <w:rPr>
                <w:rFonts w:ascii="Times New Roman" w:hAnsi="Times New Roman"/>
              </w:rPr>
              <w:t>0.5 g</w:t>
            </w:r>
          </w:p>
        </w:tc>
      </w:tr>
      <w:tr w14:paraId="34856D31">
        <w:tblPrEx>
          <w:tblCellMar>
            <w:top w:w="0" w:type="dxa"/>
            <w:left w:w="108" w:type="dxa"/>
            <w:bottom w:w="0" w:type="dxa"/>
            <w:right w:w="108" w:type="dxa"/>
          </w:tblCellMar>
        </w:tblPrEx>
        <w:tc>
          <w:tcPr>
            <w:tcW w:w="4176" w:type="dxa"/>
            <w:vAlign w:val="center"/>
          </w:tcPr>
          <w:p w14:paraId="159A9072">
            <w:pPr>
              <w:spacing w:after="0" w:line="260" w:lineRule="auto"/>
              <w:jc w:val="left"/>
              <w:rPr>
                <w:rFonts w:ascii="Times New Roman" w:hAnsi="Times New Roman"/>
                <w:kern w:val="0"/>
                <w:szCs w:val="21"/>
              </w:rPr>
            </w:pPr>
            <w:r>
              <w:rPr>
                <w:rFonts w:ascii="Times New Roman" w:hAnsi="Times New Roman"/>
              </w:rPr>
              <w:t>组氨酸</w:t>
            </w:r>
          </w:p>
        </w:tc>
        <w:tc>
          <w:tcPr>
            <w:tcW w:w="2555" w:type="dxa"/>
            <w:vAlign w:val="center"/>
          </w:tcPr>
          <w:p w14:paraId="6353C2AB">
            <w:pPr>
              <w:spacing w:after="0" w:line="260" w:lineRule="auto"/>
              <w:jc w:val="left"/>
              <w:rPr>
                <w:rFonts w:ascii="Times New Roman" w:hAnsi="Times New Roman"/>
                <w:kern w:val="0"/>
                <w:szCs w:val="21"/>
              </w:rPr>
            </w:pPr>
            <w:r>
              <w:rPr>
                <w:rFonts w:ascii="Times New Roman" w:hAnsi="Times New Roman"/>
              </w:rPr>
              <w:t>0.1 g</w:t>
            </w:r>
          </w:p>
        </w:tc>
      </w:tr>
      <w:tr w14:paraId="5D92DA57">
        <w:tblPrEx>
          <w:tblCellMar>
            <w:top w:w="0" w:type="dxa"/>
            <w:left w:w="108" w:type="dxa"/>
            <w:bottom w:w="0" w:type="dxa"/>
            <w:right w:w="108" w:type="dxa"/>
          </w:tblCellMar>
        </w:tblPrEx>
        <w:tc>
          <w:tcPr>
            <w:tcW w:w="4176" w:type="dxa"/>
            <w:vAlign w:val="center"/>
          </w:tcPr>
          <w:p w14:paraId="17D5934C">
            <w:pPr>
              <w:spacing w:after="0" w:line="260" w:lineRule="auto"/>
              <w:jc w:val="left"/>
              <w:rPr>
                <w:rFonts w:ascii="Times New Roman" w:hAnsi="Times New Roman"/>
                <w:kern w:val="0"/>
                <w:szCs w:val="21"/>
              </w:rPr>
            </w:pPr>
            <w:r>
              <w:rPr>
                <w:rFonts w:ascii="Times New Roman" w:hAnsi="Times New Roman"/>
              </w:rPr>
              <w:t>蛋白胨</w:t>
            </w:r>
          </w:p>
        </w:tc>
        <w:tc>
          <w:tcPr>
            <w:tcW w:w="2555" w:type="dxa"/>
            <w:vAlign w:val="center"/>
          </w:tcPr>
          <w:p w14:paraId="38E95F9A">
            <w:pPr>
              <w:spacing w:after="0" w:line="260" w:lineRule="auto"/>
              <w:jc w:val="left"/>
              <w:rPr>
                <w:rFonts w:ascii="Times New Roman" w:hAnsi="Times New Roman"/>
                <w:kern w:val="0"/>
                <w:szCs w:val="21"/>
              </w:rPr>
            </w:pPr>
            <w:r>
              <w:rPr>
                <w:rFonts w:ascii="Times New Roman" w:hAnsi="Times New Roman"/>
              </w:rPr>
              <w:t>7.5 g</w:t>
            </w:r>
          </w:p>
        </w:tc>
      </w:tr>
      <w:tr w14:paraId="0F959C67">
        <w:tblPrEx>
          <w:tblCellMar>
            <w:top w:w="0" w:type="dxa"/>
            <w:left w:w="108" w:type="dxa"/>
            <w:bottom w:w="0" w:type="dxa"/>
            <w:right w:w="108" w:type="dxa"/>
          </w:tblCellMar>
        </w:tblPrEx>
        <w:tc>
          <w:tcPr>
            <w:tcW w:w="4176" w:type="dxa"/>
            <w:vAlign w:val="center"/>
          </w:tcPr>
          <w:p w14:paraId="26B0F2A6">
            <w:pPr>
              <w:spacing w:after="0" w:line="260" w:lineRule="auto"/>
              <w:jc w:val="left"/>
              <w:rPr>
                <w:rFonts w:ascii="Times New Roman" w:hAnsi="Times New Roman"/>
                <w:kern w:val="0"/>
                <w:szCs w:val="21"/>
              </w:rPr>
            </w:pPr>
            <w:r>
              <w:rPr>
                <w:rFonts w:ascii="Times New Roman" w:hAnsi="Times New Roman"/>
              </w:rPr>
              <w:t>葡萄糖</w:t>
            </w:r>
            <w:r>
              <w:rPr>
                <w:rFonts w:ascii="Times New Roman" w:hAnsi="Times New Roman"/>
              </w:rPr>
              <w:tab/>
            </w:r>
          </w:p>
        </w:tc>
        <w:tc>
          <w:tcPr>
            <w:tcW w:w="2555" w:type="dxa"/>
            <w:vAlign w:val="center"/>
          </w:tcPr>
          <w:p w14:paraId="1C7F56D7">
            <w:pPr>
              <w:spacing w:after="0" w:line="260" w:lineRule="auto"/>
              <w:jc w:val="left"/>
              <w:rPr>
                <w:rFonts w:ascii="Times New Roman" w:hAnsi="Times New Roman"/>
                <w:kern w:val="0"/>
                <w:szCs w:val="21"/>
              </w:rPr>
            </w:pPr>
            <w:r>
              <w:rPr>
                <w:rFonts w:ascii="Times New Roman" w:hAnsi="Times New Roman"/>
              </w:rPr>
              <w:t>15.0 g</w:t>
            </w:r>
          </w:p>
        </w:tc>
      </w:tr>
      <w:tr w14:paraId="43A4E792">
        <w:tblPrEx>
          <w:tblCellMar>
            <w:top w:w="0" w:type="dxa"/>
            <w:left w:w="108" w:type="dxa"/>
            <w:bottom w:w="0" w:type="dxa"/>
            <w:right w:w="108" w:type="dxa"/>
          </w:tblCellMar>
        </w:tblPrEx>
        <w:tc>
          <w:tcPr>
            <w:tcW w:w="4176" w:type="dxa"/>
            <w:vAlign w:val="center"/>
          </w:tcPr>
          <w:p w14:paraId="053B25E3">
            <w:pPr>
              <w:spacing w:after="0" w:line="260" w:lineRule="auto"/>
              <w:jc w:val="left"/>
              <w:rPr>
                <w:rFonts w:ascii="Times New Roman" w:hAnsi="Times New Roman"/>
                <w:kern w:val="0"/>
                <w:szCs w:val="21"/>
              </w:rPr>
            </w:pPr>
            <w:r>
              <w:rPr>
                <w:rFonts w:ascii="Times New Roman" w:hAnsi="Times New Roman"/>
              </w:rPr>
              <w:t>氯化钠</w:t>
            </w:r>
          </w:p>
        </w:tc>
        <w:tc>
          <w:tcPr>
            <w:tcW w:w="2555" w:type="dxa"/>
            <w:vAlign w:val="center"/>
          </w:tcPr>
          <w:p w14:paraId="199956D7">
            <w:pPr>
              <w:spacing w:after="0" w:line="260" w:lineRule="auto"/>
              <w:jc w:val="left"/>
              <w:rPr>
                <w:rFonts w:ascii="Times New Roman" w:hAnsi="Times New Roman"/>
                <w:kern w:val="0"/>
                <w:szCs w:val="21"/>
              </w:rPr>
            </w:pPr>
            <w:r>
              <w:rPr>
                <w:rFonts w:ascii="Times New Roman" w:hAnsi="Times New Roman"/>
              </w:rPr>
              <w:t>0.85 g</w:t>
            </w:r>
          </w:p>
        </w:tc>
      </w:tr>
      <w:tr w14:paraId="12DA48AD">
        <w:tblPrEx>
          <w:tblCellMar>
            <w:top w:w="0" w:type="dxa"/>
            <w:left w:w="108" w:type="dxa"/>
            <w:bottom w:w="0" w:type="dxa"/>
            <w:right w:w="108" w:type="dxa"/>
          </w:tblCellMar>
        </w:tblPrEx>
        <w:tc>
          <w:tcPr>
            <w:tcW w:w="4176" w:type="dxa"/>
            <w:vAlign w:val="center"/>
          </w:tcPr>
          <w:p w14:paraId="36C1C58F">
            <w:pPr>
              <w:spacing w:after="0" w:line="260" w:lineRule="auto"/>
              <w:jc w:val="left"/>
              <w:rPr>
                <w:rFonts w:ascii="Times New Roman" w:hAnsi="Times New Roman"/>
                <w:kern w:val="0"/>
                <w:szCs w:val="21"/>
              </w:rPr>
            </w:pPr>
            <w:r>
              <w:rPr>
                <w:rFonts w:ascii="Times New Roman" w:hAnsi="Times New Roman"/>
              </w:rPr>
              <w:t>正二十烷</w:t>
            </w:r>
          </w:p>
        </w:tc>
        <w:tc>
          <w:tcPr>
            <w:tcW w:w="2555" w:type="dxa"/>
            <w:vAlign w:val="center"/>
          </w:tcPr>
          <w:p w14:paraId="5CC23884">
            <w:pPr>
              <w:spacing w:after="0" w:line="260" w:lineRule="auto"/>
              <w:jc w:val="left"/>
              <w:rPr>
                <w:rFonts w:ascii="Times New Roman" w:hAnsi="Times New Roman"/>
                <w:kern w:val="0"/>
                <w:szCs w:val="21"/>
              </w:rPr>
            </w:pPr>
            <w:r>
              <w:rPr>
                <w:rFonts w:ascii="Times New Roman" w:hAnsi="Times New Roman"/>
              </w:rPr>
              <w:t>5.0 g</w:t>
            </w:r>
          </w:p>
        </w:tc>
      </w:tr>
      <w:tr w14:paraId="2F1AAA84">
        <w:tblPrEx>
          <w:tblCellMar>
            <w:top w:w="0" w:type="dxa"/>
            <w:left w:w="108" w:type="dxa"/>
            <w:bottom w:w="0" w:type="dxa"/>
            <w:right w:w="108" w:type="dxa"/>
          </w:tblCellMar>
        </w:tblPrEx>
        <w:tc>
          <w:tcPr>
            <w:tcW w:w="4176" w:type="dxa"/>
            <w:vAlign w:val="center"/>
          </w:tcPr>
          <w:p w14:paraId="6044FFE2">
            <w:pPr>
              <w:spacing w:after="0" w:line="260" w:lineRule="auto"/>
              <w:jc w:val="left"/>
              <w:rPr>
                <w:rFonts w:ascii="Times New Roman" w:hAnsi="Times New Roman"/>
                <w:color w:val="000000"/>
                <w:kern w:val="0"/>
                <w:szCs w:val="21"/>
              </w:rPr>
            </w:pPr>
            <w:r>
              <w:rPr>
                <w:rFonts w:ascii="Times New Roman" w:hAnsi="Times New Roman"/>
              </w:rPr>
              <w:t>蔗糖</w:t>
            </w:r>
          </w:p>
        </w:tc>
        <w:tc>
          <w:tcPr>
            <w:tcW w:w="2555" w:type="dxa"/>
            <w:vAlign w:val="center"/>
          </w:tcPr>
          <w:p w14:paraId="5C2564D7">
            <w:pPr>
              <w:spacing w:after="0" w:line="260" w:lineRule="auto"/>
              <w:jc w:val="left"/>
              <w:rPr>
                <w:rFonts w:ascii="Times New Roman" w:hAnsi="Times New Roman"/>
                <w:color w:val="000000"/>
                <w:kern w:val="0"/>
                <w:szCs w:val="21"/>
              </w:rPr>
            </w:pPr>
            <w:r>
              <w:rPr>
                <w:rFonts w:ascii="Times New Roman" w:hAnsi="Times New Roman"/>
              </w:rPr>
              <w:t>30.0 g</w:t>
            </w:r>
          </w:p>
        </w:tc>
      </w:tr>
      <w:tr w14:paraId="4AAD3030">
        <w:tblPrEx>
          <w:tblCellMar>
            <w:top w:w="0" w:type="dxa"/>
            <w:left w:w="108" w:type="dxa"/>
            <w:bottom w:w="0" w:type="dxa"/>
            <w:right w:w="108" w:type="dxa"/>
          </w:tblCellMar>
        </w:tblPrEx>
        <w:tc>
          <w:tcPr>
            <w:tcW w:w="4176" w:type="dxa"/>
            <w:vAlign w:val="center"/>
          </w:tcPr>
          <w:p w14:paraId="73888A89">
            <w:pPr>
              <w:spacing w:after="0" w:line="260" w:lineRule="auto"/>
              <w:jc w:val="left"/>
              <w:rPr>
                <w:rFonts w:ascii="Times New Roman" w:hAnsi="Times New Roman"/>
                <w:color w:val="000000"/>
                <w:kern w:val="0"/>
                <w:szCs w:val="21"/>
              </w:rPr>
            </w:pPr>
            <w:r>
              <w:rPr>
                <w:rFonts w:ascii="Times New Roman" w:hAnsi="Times New Roman"/>
              </w:rPr>
              <w:t>磷酸氢二钾</w:t>
            </w:r>
          </w:p>
        </w:tc>
        <w:tc>
          <w:tcPr>
            <w:tcW w:w="2555" w:type="dxa"/>
            <w:vAlign w:val="center"/>
          </w:tcPr>
          <w:p w14:paraId="7199F611">
            <w:pPr>
              <w:spacing w:after="0" w:line="260" w:lineRule="auto"/>
              <w:jc w:val="left"/>
              <w:rPr>
                <w:rFonts w:ascii="Times New Roman" w:hAnsi="Times New Roman"/>
                <w:color w:val="000000"/>
                <w:kern w:val="0"/>
                <w:szCs w:val="21"/>
              </w:rPr>
            </w:pPr>
            <w:r>
              <w:rPr>
                <w:rFonts w:ascii="Times New Roman" w:hAnsi="Times New Roman"/>
              </w:rPr>
              <w:t>1.0 g</w:t>
            </w:r>
          </w:p>
        </w:tc>
      </w:tr>
      <w:tr w14:paraId="549278D5">
        <w:tblPrEx>
          <w:tblCellMar>
            <w:top w:w="0" w:type="dxa"/>
            <w:left w:w="108" w:type="dxa"/>
            <w:bottom w:w="0" w:type="dxa"/>
            <w:right w:w="108" w:type="dxa"/>
          </w:tblCellMar>
        </w:tblPrEx>
        <w:tc>
          <w:tcPr>
            <w:tcW w:w="4176" w:type="dxa"/>
            <w:vAlign w:val="center"/>
          </w:tcPr>
          <w:p w14:paraId="003456F5">
            <w:pPr>
              <w:spacing w:after="0" w:line="260" w:lineRule="auto"/>
              <w:jc w:val="left"/>
              <w:rPr>
                <w:rFonts w:ascii="Times New Roman" w:hAnsi="Times New Roman"/>
              </w:rPr>
            </w:pPr>
            <w:r>
              <w:rPr>
                <w:rFonts w:ascii="Times New Roman" w:hAnsi="Times New Roman"/>
              </w:rPr>
              <w:t>硫酸镁</w:t>
            </w:r>
          </w:p>
        </w:tc>
        <w:tc>
          <w:tcPr>
            <w:tcW w:w="2555" w:type="dxa"/>
            <w:vAlign w:val="center"/>
          </w:tcPr>
          <w:p w14:paraId="52B38624">
            <w:pPr>
              <w:spacing w:after="0" w:line="260" w:lineRule="auto"/>
              <w:jc w:val="left"/>
              <w:rPr>
                <w:rFonts w:ascii="Times New Roman" w:hAnsi="Times New Roman"/>
              </w:rPr>
            </w:pPr>
            <w:r>
              <w:rPr>
                <w:rFonts w:ascii="Times New Roman" w:hAnsi="Times New Roman"/>
              </w:rPr>
              <w:t>0.5 g</w:t>
            </w:r>
          </w:p>
        </w:tc>
      </w:tr>
      <w:tr w14:paraId="0C86BCC1">
        <w:tblPrEx>
          <w:tblCellMar>
            <w:top w:w="0" w:type="dxa"/>
            <w:left w:w="108" w:type="dxa"/>
            <w:bottom w:w="0" w:type="dxa"/>
            <w:right w:w="108" w:type="dxa"/>
          </w:tblCellMar>
        </w:tblPrEx>
        <w:tc>
          <w:tcPr>
            <w:tcW w:w="4176" w:type="dxa"/>
            <w:vAlign w:val="center"/>
          </w:tcPr>
          <w:p w14:paraId="406D1879">
            <w:pPr>
              <w:spacing w:after="0" w:line="260" w:lineRule="auto"/>
              <w:jc w:val="left"/>
              <w:rPr>
                <w:rFonts w:ascii="Times New Roman" w:hAnsi="Times New Roman"/>
              </w:rPr>
            </w:pPr>
            <w:r>
              <w:rPr>
                <w:rFonts w:ascii="Times New Roman" w:hAnsi="Times New Roman"/>
              </w:rPr>
              <w:t>硫酸亚铁</w:t>
            </w:r>
          </w:p>
        </w:tc>
        <w:tc>
          <w:tcPr>
            <w:tcW w:w="2555" w:type="dxa"/>
            <w:vAlign w:val="center"/>
          </w:tcPr>
          <w:p w14:paraId="3C341C74">
            <w:pPr>
              <w:spacing w:after="0" w:line="260" w:lineRule="auto"/>
              <w:jc w:val="left"/>
              <w:rPr>
                <w:rFonts w:ascii="Times New Roman" w:hAnsi="Times New Roman"/>
              </w:rPr>
            </w:pPr>
            <w:r>
              <w:rPr>
                <w:rFonts w:ascii="Times New Roman" w:hAnsi="Times New Roman"/>
              </w:rPr>
              <w:t>0.01 g</w:t>
            </w:r>
          </w:p>
        </w:tc>
      </w:tr>
      <w:tr w14:paraId="22602DD1">
        <w:tblPrEx>
          <w:tblCellMar>
            <w:top w:w="0" w:type="dxa"/>
            <w:left w:w="108" w:type="dxa"/>
            <w:bottom w:w="0" w:type="dxa"/>
            <w:right w:w="108" w:type="dxa"/>
          </w:tblCellMar>
        </w:tblPrEx>
        <w:tc>
          <w:tcPr>
            <w:tcW w:w="4176" w:type="dxa"/>
            <w:vAlign w:val="center"/>
          </w:tcPr>
          <w:p w14:paraId="5479DE09">
            <w:pPr>
              <w:spacing w:after="0" w:line="260" w:lineRule="auto"/>
              <w:jc w:val="left"/>
              <w:rPr>
                <w:rFonts w:ascii="Times New Roman" w:hAnsi="Times New Roman"/>
              </w:rPr>
            </w:pPr>
            <w:r>
              <w:rPr>
                <w:rFonts w:ascii="Times New Roman" w:hAnsi="Times New Roman"/>
              </w:rPr>
              <w:t>氯化钾</w:t>
            </w:r>
          </w:p>
        </w:tc>
        <w:tc>
          <w:tcPr>
            <w:tcW w:w="2555" w:type="dxa"/>
            <w:vAlign w:val="center"/>
          </w:tcPr>
          <w:p w14:paraId="32446762">
            <w:pPr>
              <w:spacing w:after="0" w:line="260" w:lineRule="auto"/>
              <w:jc w:val="left"/>
              <w:rPr>
                <w:rFonts w:ascii="Times New Roman" w:hAnsi="Times New Roman"/>
              </w:rPr>
            </w:pPr>
            <w:r>
              <w:rPr>
                <w:rFonts w:ascii="Times New Roman" w:hAnsi="Times New Roman"/>
              </w:rPr>
              <w:t>0.5 g</w:t>
            </w:r>
          </w:p>
        </w:tc>
      </w:tr>
      <w:tr w14:paraId="5CF5FAF8">
        <w:tblPrEx>
          <w:tblCellMar>
            <w:top w:w="0" w:type="dxa"/>
            <w:left w:w="108" w:type="dxa"/>
            <w:bottom w:w="0" w:type="dxa"/>
            <w:right w:w="108" w:type="dxa"/>
          </w:tblCellMar>
        </w:tblPrEx>
        <w:tc>
          <w:tcPr>
            <w:tcW w:w="4176" w:type="dxa"/>
            <w:vAlign w:val="center"/>
          </w:tcPr>
          <w:p w14:paraId="038B7FF2">
            <w:pPr>
              <w:spacing w:after="0" w:line="260" w:lineRule="auto"/>
              <w:jc w:val="left"/>
              <w:rPr>
                <w:rFonts w:ascii="Times New Roman" w:hAnsi="Times New Roman"/>
              </w:rPr>
            </w:pPr>
            <w:r>
              <w:rPr>
                <w:rFonts w:ascii="Times New Roman" w:hAnsi="Times New Roman"/>
              </w:rPr>
              <w:t>硝酸钠</w:t>
            </w:r>
          </w:p>
        </w:tc>
        <w:tc>
          <w:tcPr>
            <w:tcW w:w="2555" w:type="dxa"/>
            <w:vAlign w:val="center"/>
          </w:tcPr>
          <w:p w14:paraId="5F35EC68">
            <w:pPr>
              <w:spacing w:after="0" w:line="260" w:lineRule="auto"/>
              <w:jc w:val="left"/>
              <w:rPr>
                <w:rFonts w:ascii="Times New Roman" w:hAnsi="Times New Roman"/>
              </w:rPr>
            </w:pPr>
            <w:r>
              <w:rPr>
                <w:rFonts w:ascii="Times New Roman" w:hAnsi="Times New Roman"/>
              </w:rPr>
              <w:t>3.0 g</w:t>
            </w:r>
          </w:p>
        </w:tc>
      </w:tr>
      <w:tr w14:paraId="6D51C592">
        <w:tblPrEx>
          <w:tblCellMar>
            <w:top w:w="0" w:type="dxa"/>
            <w:left w:w="108" w:type="dxa"/>
            <w:bottom w:w="0" w:type="dxa"/>
            <w:right w:w="108" w:type="dxa"/>
          </w:tblCellMar>
        </w:tblPrEx>
        <w:tc>
          <w:tcPr>
            <w:tcW w:w="4176" w:type="dxa"/>
            <w:vAlign w:val="center"/>
          </w:tcPr>
          <w:p w14:paraId="38D9A36C">
            <w:pPr>
              <w:spacing w:after="0" w:line="260" w:lineRule="auto"/>
              <w:jc w:val="left"/>
              <w:rPr>
                <w:rFonts w:ascii="Times New Roman" w:hAnsi="Times New Roman"/>
              </w:rPr>
            </w:pPr>
            <w:r>
              <w:rPr>
                <w:rFonts w:ascii="Times New Roman" w:hAnsi="Times New Roman"/>
              </w:rPr>
              <w:t>卵磷脂</w:t>
            </w:r>
          </w:p>
        </w:tc>
        <w:tc>
          <w:tcPr>
            <w:tcW w:w="2555" w:type="dxa"/>
            <w:vAlign w:val="center"/>
          </w:tcPr>
          <w:p w14:paraId="29F0C6B3">
            <w:pPr>
              <w:spacing w:after="0" w:line="260" w:lineRule="auto"/>
              <w:jc w:val="left"/>
              <w:rPr>
                <w:rFonts w:ascii="Times New Roman" w:hAnsi="Times New Roman"/>
              </w:rPr>
            </w:pPr>
            <w:r>
              <w:rPr>
                <w:rFonts w:ascii="Times New Roman" w:hAnsi="Times New Roman"/>
              </w:rPr>
              <w:t>1.43 g</w:t>
            </w:r>
          </w:p>
        </w:tc>
      </w:tr>
      <w:tr w14:paraId="490A146C">
        <w:tblPrEx>
          <w:tblCellMar>
            <w:top w:w="0" w:type="dxa"/>
            <w:left w:w="108" w:type="dxa"/>
            <w:bottom w:w="0" w:type="dxa"/>
            <w:right w:w="108" w:type="dxa"/>
          </w:tblCellMar>
        </w:tblPrEx>
        <w:tc>
          <w:tcPr>
            <w:tcW w:w="4176" w:type="dxa"/>
            <w:vAlign w:val="center"/>
          </w:tcPr>
          <w:p w14:paraId="16B05D3D">
            <w:pPr>
              <w:spacing w:after="0" w:line="260" w:lineRule="auto"/>
              <w:jc w:val="left"/>
              <w:rPr>
                <w:rFonts w:ascii="Times New Roman" w:hAnsi="Times New Roman"/>
              </w:rPr>
            </w:pPr>
            <w:r>
              <w:rPr>
                <w:rFonts w:ascii="Times New Roman" w:hAnsi="Times New Roman"/>
              </w:rPr>
              <w:t>吐温 80</w:t>
            </w:r>
            <w:r>
              <w:rPr>
                <w:rFonts w:ascii="Times New Roman" w:hAnsi="Times New Roman"/>
              </w:rPr>
              <w:tab/>
            </w:r>
          </w:p>
        </w:tc>
        <w:tc>
          <w:tcPr>
            <w:tcW w:w="2555" w:type="dxa"/>
            <w:vAlign w:val="center"/>
          </w:tcPr>
          <w:p w14:paraId="46FC22BC">
            <w:pPr>
              <w:spacing w:after="0" w:line="260" w:lineRule="auto"/>
              <w:jc w:val="left"/>
              <w:rPr>
                <w:rFonts w:ascii="Times New Roman" w:hAnsi="Times New Roman"/>
              </w:rPr>
            </w:pPr>
            <w:r>
              <w:rPr>
                <w:rFonts w:ascii="Times New Roman" w:hAnsi="Times New Roman"/>
              </w:rPr>
              <w:t>39.0 g</w:t>
            </w:r>
          </w:p>
        </w:tc>
      </w:tr>
      <w:tr w14:paraId="3FDD20F9">
        <w:tblPrEx>
          <w:tblCellMar>
            <w:top w:w="0" w:type="dxa"/>
            <w:left w:w="108" w:type="dxa"/>
            <w:bottom w:w="0" w:type="dxa"/>
            <w:right w:w="108" w:type="dxa"/>
          </w:tblCellMar>
        </w:tblPrEx>
        <w:tc>
          <w:tcPr>
            <w:tcW w:w="4176" w:type="dxa"/>
            <w:vAlign w:val="center"/>
          </w:tcPr>
          <w:p w14:paraId="39F96F21">
            <w:pPr>
              <w:spacing w:after="0" w:line="260" w:lineRule="auto"/>
              <w:jc w:val="left"/>
              <w:rPr>
                <w:rFonts w:ascii="Times New Roman" w:hAnsi="Times New Roman"/>
              </w:rPr>
            </w:pPr>
            <w:r>
              <w:rPr>
                <w:rFonts w:ascii="Times New Roman" w:hAnsi="Times New Roman"/>
              </w:rPr>
              <w:t>水</w:t>
            </w:r>
            <w:r>
              <w:rPr>
                <w:rFonts w:ascii="Times New Roman" w:hAnsi="Times New Roman"/>
              </w:rPr>
              <w:tab/>
            </w:r>
          </w:p>
        </w:tc>
        <w:tc>
          <w:tcPr>
            <w:tcW w:w="2555" w:type="dxa"/>
            <w:vAlign w:val="center"/>
          </w:tcPr>
          <w:p w14:paraId="5177D5CF">
            <w:pPr>
              <w:spacing w:after="0" w:line="260" w:lineRule="auto"/>
              <w:jc w:val="left"/>
              <w:rPr>
                <w:rFonts w:ascii="Times New Roman" w:hAnsi="Times New Roman"/>
              </w:rPr>
            </w:pPr>
            <w:r>
              <w:rPr>
                <w:rFonts w:ascii="Times New Roman" w:hAnsi="Times New Roman"/>
              </w:rPr>
              <w:t>914 mL</w:t>
            </w:r>
          </w:p>
        </w:tc>
      </w:tr>
    </w:tbl>
    <w:p w14:paraId="69A46E38">
      <w:pPr>
        <w:pStyle w:val="29"/>
        <w:tabs>
          <w:tab w:val="left" w:pos="450"/>
        </w:tabs>
        <w:spacing w:before="156" w:beforeLines="50" w:after="156" w:afterLines="50" w:line="240" w:lineRule="auto"/>
        <w:ind w:firstLine="0" w:firstLineChars="0"/>
        <w:jc w:val="both"/>
        <w:rPr>
          <w:rFonts w:ascii="黑体" w:hAnsi="黑体" w:eastAsia="黑体"/>
          <w:sz w:val="21"/>
          <w:szCs w:val="21"/>
          <w:lang w:eastAsia="zh-CN"/>
        </w:rPr>
      </w:pPr>
      <w:r>
        <w:rPr>
          <w:rFonts w:hint="eastAsia" w:ascii="黑体" w:hAnsi="黑体" w:eastAsia="黑体"/>
          <w:sz w:val="21"/>
          <w:szCs w:val="21"/>
          <w:lang w:eastAsia="zh-CN"/>
        </w:rPr>
        <w:t>B.3.2 制法</w:t>
      </w:r>
    </w:p>
    <w:p w14:paraId="71D7D1F5">
      <w:pPr>
        <w:pStyle w:val="2"/>
        <w:spacing w:line="320" w:lineRule="exact"/>
        <w:ind w:firstLine="420" w:firstLineChars="200"/>
      </w:pPr>
      <w:r>
        <w:t>先将卵磷脂和吐温80加入水中，加热溶解，再加入其他成分，溶解并混匀。使用</w:t>
      </w:r>
      <w:r>
        <w:rPr>
          <w:rFonts w:hint="eastAsia"/>
        </w:rPr>
        <w:t>6 mol/L NaOH</w:t>
      </w:r>
      <w:r>
        <w:t>或HCl溶液调pH值至5.6 ± 0.2，121 ℃高压灭菌15min。</w:t>
      </w:r>
    </w:p>
    <w:p w14:paraId="0D0D0289">
      <w:pPr>
        <w:pStyle w:val="29"/>
        <w:tabs>
          <w:tab w:val="left" w:pos="450"/>
        </w:tabs>
        <w:spacing w:before="156" w:beforeLines="50" w:after="156" w:afterLines="50" w:line="240" w:lineRule="auto"/>
        <w:ind w:firstLine="0" w:firstLineChars="0"/>
        <w:jc w:val="both"/>
        <w:rPr>
          <w:rFonts w:ascii="黑体" w:hAnsi="黑体" w:eastAsia="黑体"/>
          <w:sz w:val="21"/>
          <w:szCs w:val="21"/>
          <w:lang w:eastAsia="zh-CN"/>
        </w:rPr>
      </w:pPr>
      <w:r>
        <w:rPr>
          <w:rFonts w:hint="eastAsia" w:ascii="黑体" w:hAnsi="黑体" w:eastAsia="黑体"/>
          <w:sz w:val="21"/>
          <w:szCs w:val="21"/>
          <w:lang w:eastAsia="zh-CN"/>
        </w:rPr>
        <w:t>B</w:t>
      </w:r>
      <w:r>
        <w:rPr>
          <w:rFonts w:ascii="黑体" w:hAnsi="黑体" w:eastAsia="黑体"/>
          <w:sz w:val="21"/>
          <w:szCs w:val="21"/>
          <w:lang w:eastAsia="zh-CN"/>
        </w:rPr>
        <w:t>.</w:t>
      </w:r>
      <w:r>
        <w:rPr>
          <w:rFonts w:hint="eastAsia" w:ascii="黑体" w:hAnsi="黑体" w:eastAsia="黑体"/>
          <w:sz w:val="21"/>
          <w:szCs w:val="21"/>
          <w:lang w:eastAsia="zh-CN"/>
        </w:rPr>
        <w:t>4 消泡剂</w:t>
      </w:r>
    </w:p>
    <w:p w14:paraId="35E7E16A">
      <w:pPr>
        <w:pStyle w:val="2"/>
        <w:spacing w:line="320" w:lineRule="exact"/>
        <w:ind w:firstLine="420" w:firstLineChars="200"/>
      </w:pPr>
      <w:r>
        <w:t>聚二甲基硅氧烷大颗粒乳液或其他等效产品。</w:t>
      </w:r>
    </w:p>
    <w:p w14:paraId="6E446DB7">
      <w:pPr>
        <w:pStyle w:val="29"/>
        <w:tabs>
          <w:tab w:val="left" w:pos="450"/>
        </w:tabs>
        <w:spacing w:before="156" w:beforeLines="50" w:after="156" w:afterLines="50" w:line="240" w:lineRule="auto"/>
        <w:ind w:firstLine="0" w:firstLineChars="0"/>
        <w:jc w:val="both"/>
        <w:rPr>
          <w:rFonts w:ascii="黑体" w:hAnsi="黑体" w:eastAsia="黑体"/>
          <w:sz w:val="21"/>
          <w:szCs w:val="21"/>
          <w:lang w:eastAsia="zh-CN"/>
        </w:rPr>
      </w:pPr>
      <w:r>
        <w:rPr>
          <w:rFonts w:hint="eastAsia" w:ascii="黑体" w:hAnsi="黑体" w:eastAsia="黑体"/>
          <w:sz w:val="21"/>
          <w:szCs w:val="21"/>
          <w:lang w:eastAsia="zh-CN"/>
        </w:rPr>
        <w:t>B</w:t>
      </w:r>
      <w:r>
        <w:rPr>
          <w:rFonts w:ascii="黑体" w:hAnsi="黑体" w:eastAsia="黑体"/>
          <w:sz w:val="21"/>
          <w:szCs w:val="21"/>
          <w:lang w:eastAsia="zh-CN"/>
        </w:rPr>
        <w:t>.</w:t>
      </w:r>
      <w:r>
        <w:rPr>
          <w:rFonts w:hint="eastAsia" w:ascii="黑体" w:hAnsi="黑体" w:eastAsia="黑体"/>
          <w:sz w:val="21"/>
          <w:szCs w:val="21"/>
          <w:lang w:eastAsia="zh-CN"/>
        </w:rPr>
        <w:t>5</w:t>
      </w:r>
      <w:r>
        <w:rPr>
          <w:rFonts w:ascii="黑体" w:hAnsi="黑体" w:eastAsia="黑体"/>
          <w:sz w:val="21"/>
          <w:szCs w:val="21"/>
          <w:lang w:eastAsia="zh-CN"/>
        </w:rPr>
        <w:t xml:space="preserve"> </w:t>
      </w:r>
      <w:r>
        <w:rPr>
          <w:rFonts w:hint="eastAsia" w:ascii="黑体" w:hAnsi="黑体" w:eastAsia="黑体"/>
          <w:sz w:val="21"/>
          <w:szCs w:val="21"/>
          <w:lang w:eastAsia="zh-CN"/>
        </w:rPr>
        <w:t>ATP 生物荧光增幅法试剂盒或其他等效产品</w:t>
      </w:r>
    </w:p>
    <w:p w14:paraId="5C4119A2">
      <w:pPr>
        <w:pStyle w:val="2"/>
        <w:spacing w:line="320" w:lineRule="exact"/>
        <w:ind w:firstLine="420" w:firstLineChars="200"/>
      </w:pPr>
      <w:r>
        <w:rPr>
          <w:rFonts w:hint="eastAsia"/>
        </w:rPr>
        <mc:AlternateContent>
          <mc:Choice Requires="wps">
            <w:drawing>
              <wp:anchor distT="0" distB="0" distL="114300" distR="114300" simplePos="0" relativeHeight="251663360" behindDoc="0" locked="0" layoutInCell="1" allowOverlap="1">
                <wp:simplePos x="0" y="0"/>
                <wp:positionH relativeFrom="column">
                  <wp:posOffset>1635125</wp:posOffset>
                </wp:positionH>
                <wp:positionV relativeFrom="paragraph">
                  <wp:posOffset>1131570</wp:posOffset>
                </wp:positionV>
                <wp:extent cx="2188845" cy="10160"/>
                <wp:effectExtent l="0" t="4445" r="8255" b="10795"/>
                <wp:wrapNone/>
                <wp:docPr id="38" name="自选图形 34"/>
                <wp:cNvGraphicFramePr/>
                <a:graphic xmlns:a="http://schemas.openxmlformats.org/drawingml/2006/main">
                  <a:graphicData uri="http://schemas.microsoft.com/office/word/2010/wordprocessingShape">
                    <wps:wsp>
                      <wps:cNvCnPr/>
                      <wps:spPr>
                        <a:xfrm>
                          <a:off x="0" y="0"/>
                          <a:ext cx="2188845" cy="10160"/>
                        </a:xfrm>
                        <a:prstGeom prst="straightConnector1">
                          <a:avLst/>
                        </a:prstGeom>
                        <a:ln w="9525" cap="flat" cmpd="sng">
                          <a:solidFill>
                            <a:srgbClr val="000000"/>
                          </a:solidFill>
                          <a:prstDash val="solid"/>
                          <a:headEnd type="none" w="med" len="med"/>
                          <a:tailEnd type="none" w="med" len="med"/>
                        </a:ln>
                        <a:effectLst/>
                      </wps:spPr>
                      <wps:bodyPr/>
                    </wps:wsp>
                  </a:graphicData>
                </a:graphic>
              </wp:anchor>
            </w:drawing>
          </mc:Choice>
          <mc:Fallback>
            <w:pict>
              <v:shape id="自选图形 34" o:spid="_x0000_s1026" o:spt="32" type="#_x0000_t32" style="position:absolute;left:0pt;margin-left:128.75pt;margin-top:89.1pt;height:0.8pt;width:172.35pt;z-index:251663360;mso-width-relative:page;mso-height-relative:page;" filled="f" stroked="t" coordsize="21600,21600" o:gfxdata="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1JcUJNkAAAALAQAADwAAAAAAAAABACAAAAAiAAAAZHJzL2Rv&#10;d25yZXYueG1sUEsBAhQAFAAAAAgAh07iQB682ccAAgAA9wMAAA4AAAAAAAAAAQAgAAAAKAEAAGRy&#10;cy9lMm9Eb2MueG1sUEsFBgAAAAAGAAYAWQEAAJoFAAAAAA==&#10;">
                <v:fill on="f" focussize="0,0"/>
                <v:stroke color="#000000" joinstyle="round"/>
                <v:imagedata o:title=""/>
                <o:lock v:ext="edit" aspectratio="f"/>
              </v:shape>
            </w:pict>
          </mc:Fallback>
        </mc:AlternateContent>
      </w:r>
      <w:r>
        <w:t>含细胞裂解剂、ADP 底物试剂、荧光素酶试剂、ATP 阳性对照标品。</w:t>
      </w:r>
    </w:p>
    <w:p w14:paraId="28654476"/>
    <w:sectPr>
      <w:headerReference r:id="rId17" w:type="first"/>
      <w:footerReference r:id="rId19" w:type="first"/>
      <w:footerReference r:id="rId18" w:type="default"/>
      <w:pgSz w:w="11906" w:h="16838"/>
      <w:pgMar w:top="787" w:right="1134" w:bottom="1134" w:left="1418" w:header="1418" w:footer="1134" w:gutter="0"/>
      <w:pgNumType w:start="2"/>
      <w:cols w:space="720" w:num="1"/>
      <w:formProt w:val="0"/>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BB681">
    <w:pPr>
      <w:pStyle w:val="31"/>
      <w:jc w:val="both"/>
      <w:rPr>
        <w:rFonts w:ascii="Times New Roman" w:hAnsi="Times New Roman"/>
      </w:rPr>
    </w:pPr>
    <w:r>
      <w:rPr>
        <w:rFonts w:ascii="Times New Roman" w:hAnsi="Times New Roman"/>
      </w:rPr>
      <mc:AlternateContent>
        <mc:Choice Requires="wps">
          <w:drawing>
            <wp:anchor distT="0" distB="0" distL="114300" distR="114300" simplePos="0" relativeHeight="251661312" behindDoc="0" locked="0" layoutInCell="1" allowOverlap="1">
              <wp:simplePos x="0" y="0"/>
              <wp:positionH relativeFrom="margin">
                <wp:posOffset>5689600</wp:posOffset>
              </wp:positionH>
              <wp:positionV relativeFrom="paragraph">
                <wp:posOffset>299720</wp:posOffset>
              </wp:positionV>
              <wp:extent cx="236855" cy="139700"/>
              <wp:effectExtent l="48895" t="0" r="0" b="0"/>
              <wp:wrapNone/>
              <wp:docPr id="12" name="文本框 4"/>
              <wp:cNvGraphicFramePr/>
              <a:graphic xmlns:a="http://schemas.openxmlformats.org/drawingml/2006/main">
                <a:graphicData uri="http://schemas.microsoft.com/office/word/2010/wordprocessingShape">
                  <wps:wsp>
                    <wps:cNvSpPr txBox="1">
                      <a:spLocks noChangeArrowheads="1"/>
                    </wps:cNvSpPr>
                    <wps:spPr bwMode="auto">
                      <a:xfrm rot="3265692">
                        <a:off x="0" y="0"/>
                        <a:ext cx="236855" cy="139700"/>
                      </a:xfrm>
                      <a:prstGeom prst="rect">
                        <a:avLst/>
                      </a:prstGeom>
                      <a:noFill/>
                      <a:ln>
                        <a:noFill/>
                      </a:ln>
                      <a:effectLst/>
                    </wps:spPr>
                    <wps:txbx>
                      <w:txbxContent>
                        <w:p w14:paraId="4B2FBFF1">
                          <w:pPr>
                            <w:pStyle w:val="3"/>
                          </w:pPr>
                          <w:r>
                            <w:t>1</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left:448pt;margin-top:23.6pt;height:11pt;width:18.65pt;mso-position-horizontal-relative:margin;mso-wrap-style:none;rotation:3567007f;z-index:251661312;mso-width-relative:page;mso-height-relative:page;" filled="f" stroked="f" coordsize="21600,21600" o:gfxdata="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L8uxfDaAAAA&#10;CQEAAA8AAAAAAAAAAQAgAAAAIgAAAGRycy9kb3ducmV2LnhtbFBLAQIUABQAAAAIAIdO4kC/TyyY&#10;GwIAAB8EAAAOAAAAAAAAAAEAIAAAACkBAABkcnMvZTJvRG9jLnhtbFBLBQYAAAAABgAGAFkBAAC2&#10;BQAAAAA=&#10;">
              <v:fill on="f" focussize="0,0"/>
              <v:stroke on="f"/>
              <v:imagedata o:title=""/>
              <o:lock v:ext="edit" aspectratio="f"/>
              <v:textbox inset="0mm,0mm,0mm,0mm" style="mso-fit-shape-to-text:t;">
                <w:txbxContent>
                  <w:p w14:paraId="4B2FBFF1">
                    <w:pPr>
                      <w:pStyle w:val="3"/>
                    </w:pPr>
                    <w:r>
                      <w:t>1</w:t>
                    </w:r>
                  </w:p>
                </w:txbxContent>
              </v:textbox>
            </v:shape>
          </w:pict>
        </mc:Fallback>
      </mc:AlternateContent>
    </w:r>
    <w:r>
      <w:rPr>
        <w:rFonts w:ascii="Times New Roman" w:hAnsi="Times New Roman"/>
        <w:sz w:val="16"/>
        <w:szCs w:val="16"/>
      </w:rPr>
      <w:t>1）Celsis® Advance II 光度计。给出这一信息是为了方便本标准的使用者，并不表示对该产品的认可，如果其他等效产品具有相同的效果，则可使用这些等效的产品。</w:t>
    </w:r>
    <w:r>
      <w:rPr>
        <w:rFonts w:ascii="Times New Roman" w:hAnsi="Times New Roman"/>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-927100</wp:posOffset>
              </wp:positionV>
              <wp:extent cx="5911215" cy="147955"/>
              <wp:effectExtent l="0" t="0" r="0" b="0"/>
              <wp:wrapNone/>
              <wp:docPr id="20" name="文本框 7"/>
              <wp:cNvGraphicFramePr/>
              <a:graphic xmlns:a="http://schemas.openxmlformats.org/drawingml/2006/main">
                <a:graphicData uri="http://schemas.microsoft.com/office/word/2010/wordprocessingShape">
                  <wps:wsp>
                    <wps:cNvSpPr txBox="1"/>
                    <wps:spPr>
                      <a:xfrm>
                        <a:off x="0" y="0"/>
                        <a:ext cx="5911215" cy="147955"/>
                      </a:xfrm>
                      <a:prstGeom prst="rect">
                        <a:avLst/>
                      </a:prstGeom>
                      <a:noFill/>
                      <a:ln w="9525">
                        <a:noFill/>
                      </a:ln>
                      <a:effectLst/>
                    </wps:spPr>
                    <wps:txbx>
                      <w:txbxContent>
                        <w:p w14:paraId="45463588">
                          <w:pPr>
                            <w:pStyle w:val="3"/>
                          </w:pPr>
                        </w:p>
                      </w:txbxContent>
                    </wps:txbx>
                    <wps:bodyPr wrap="square" lIns="0" tIns="0" rIns="0" bIns="0">
                      <a:spAutoFit/>
                    </wps:bodyPr>
                  </wps:wsp>
                </a:graphicData>
              </a:graphic>
            </wp:anchor>
          </w:drawing>
        </mc:Choice>
        <mc:Fallback>
          <w:pict>
            <v:shape id="文本框 7" o:spid="_x0000_s1026" o:spt="202" type="#_x0000_t202" style="position:absolute;left:0pt;margin-top:-73pt;height:11.65pt;width:465.45pt;mso-position-horizontal:left;mso-position-horizontal-relative:margin;z-index:251659264;mso-width-relative:page;mso-height-relative:page;" filled="f" stroked="f" coordsize="21600,21600" o:gfxdata="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ZF6WP1gAAAAoBAAAPAAAAAAAAAAEA&#10;IAAAACIAAABkcnMvZG93bnJldi54bWxQSwECFAAUAAAACACHTuJA8Z1eftgBAACmAwAADgAAAAAA&#10;AAABACAAAAAlAQAAZHJzL2Uyb0RvYy54bWxQSwUGAAAAAAYABgBZAQAAbwUAAAAA&#10;">
              <v:fill on="f" focussize="0,0"/>
              <v:stroke on="f"/>
              <v:imagedata o:title=""/>
              <o:lock v:ext="edit" aspectratio="f"/>
              <v:textbox inset="0mm,0mm,0mm,0mm" style="mso-fit-shape-to-text:t;">
                <w:txbxContent>
                  <w:p w14:paraId="45463588">
                    <w:pPr>
                      <w:pStyle w:val="3"/>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DD7B8">
    <w:pPr>
      <w:pStyle w:val="31"/>
      <w:jc w:val="both"/>
      <w:rPr>
        <w:rFonts w:ascii="Times New Roman" w:hAnsi="Times New Roman"/>
      </w:rPr>
    </w:pPr>
    <w:r>
      <w:rPr>
        <w:rFonts w:ascii="Times New Roman" w:hAnsi="Times New Roman"/>
      </w:rPr>
      <mc:AlternateContent>
        <mc:Choice Requires="wps">
          <w:drawing>
            <wp:anchor distT="0" distB="0" distL="114300" distR="114300" simplePos="0" relativeHeight="251666432" behindDoc="0" locked="0" layoutInCell="1" allowOverlap="1">
              <wp:simplePos x="0" y="0"/>
              <wp:positionH relativeFrom="margin">
                <wp:posOffset>5689600</wp:posOffset>
              </wp:positionH>
              <wp:positionV relativeFrom="paragraph">
                <wp:posOffset>299720</wp:posOffset>
              </wp:positionV>
              <wp:extent cx="236855" cy="139700"/>
              <wp:effectExtent l="48895" t="0" r="0" b="0"/>
              <wp:wrapNone/>
              <wp:docPr id="1217654979" name="文本框 4"/>
              <wp:cNvGraphicFramePr/>
              <a:graphic xmlns:a="http://schemas.openxmlformats.org/drawingml/2006/main">
                <a:graphicData uri="http://schemas.microsoft.com/office/word/2010/wordprocessingShape">
                  <wps:wsp>
                    <wps:cNvSpPr txBox="1">
                      <a:spLocks noChangeArrowheads="1"/>
                    </wps:cNvSpPr>
                    <wps:spPr bwMode="auto">
                      <a:xfrm rot="3265692">
                        <a:off x="0" y="0"/>
                        <a:ext cx="236855" cy="139700"/>
                      </a:xfrm>
                      <a:prstGeom prst="rect">
                        <a:avLst/>
                      </a:prstGeom>
                      <a:noFill/>
                      <a:ln>
                        <a:noFill/>
                      </a:ln>
                      <a:effectLst/>
                    </wps:spPr>
                    <wps:txbx>
                      <w:txbxContent>
                        <w:p w14:paraId="0D1F63DE">
                          <w:pPr>
                            <w:pStyle w:val="3"/>
                          </w:pPr>
                          <w:r>
                            <w:t>1</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left:448pt;margin-top:23.6pt;height:11pt;width:18.65pt;mso-position-horizontal-relative:margin;mso-wrap-style:none;rotation:3567007f;z-index:251666432;mso-width-relative:page;mso-height-relative:page;" filled="f" stroked="f" coordsize="21600,21600" o:gfxdata="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vy7F8NoAAAAJAQAADwAAAAAAAAABACAAAAAiAAAAZHJzL2Rvd25yZXYueG1sUEsBAhQAFAAAAAgA&#10;h07iQNKm1EQjAgAAJwQAAA4AAAAAAAAAAQAgAAAAKQEAAGRycy9lMm9Eb2MueG1sUEsFBgAAAAAG&#10;AAYAWQEAAL4FAAAAAA==&#10;">
              <v:fill on="f" focussize="0,0"/>
              <v:stroke on="f"/>
              <v:imagedata o:title=""/>
              <o:lock v:ext="edit" aspectratio="f"/>
              <v:textbox inset="0mm,0mm,0mm,0mm" style="mso-fit-shape-to-text:t;">
                <w:txbxContent>
                  <w:p w14:paraId="0D1F63DE">
                    <w:pPr>
                      <w:pStyle w:val="3"/>
                    </w:pPr>
                    <w:r>
                      <w:t>1</w:t>
                    </w:r>
                  </w:p>
                </w:txbxContent>
              </v:textbox>
            </v:shape>
          </w:pict>
        </mc:Fallback>
      </mc:AlternateContent>
    </w:r>
    <w:r>
      <w:rPr>
        <w:rFonts w:ascii="Times New Roman" w:hAnsi="Times New Roman"/>
        <w:sz w:val="16"/>
        <w:szCs w:val="16"/>
      </w:rPr>
      <w:t>1）Celsis® Advance II 光度计。给出这一信息是为了方便本标准的使用者，并不表示对该产品的认可，如果其他等效产品具有相同的效果，则可使用这些等效的产品。</w:t>
    </w:r>
    <w:r>
      <w:rPr>
        <w:rFonts w:ascii="Times New Roman" w:hAnsi="Times New Roman"/>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-927100</wp:posOffset>
              </wp:positionV>
              <wp:extent cx="5911215" cy="147955"/>
              <wp:effectExtent l="0" t="0" r="0" b="0"/>
              <wp:wrapNone/>
              <wp:docPr id="529654284" name="文本框 7"/>
              <wp:cNvGraphicFramePr/>
              <a:graphic xmlns:a="http://schemas.openxmlformats.org/drawingml/2006/main">
                <a:graphicData uri="http://schemas.microsoft.com/office/word/2010/wordprocessingShape">
                  <wps:wsp>
                    <wps:cNvSpPr txBox="1"/>
                    <wps:spPr>
                      <a:xfrm>
                        <a:off x="0" y="0"/>
                        <a:ext cx="5911215" cy="147955"/>
                      </a:xfrm>
                      <a:prstGeom prst="rect">
                        <a:avLst/>
                      </a:prstGeom>
                      <a:noFill/>
                      <a:ln w="9525">
                        <a:noFill/>
                      </a:ln>
                      <a:effectLst/>
                    </wps:spPr>
                    <wps:txbx>
                      <w:txbxContent>
                        <w:p w14:paraId="332A8DA8">
                          <w:pPr>
                            <w:pStyle w:val="3"/>
                          </w:pPr>
                        </w:p>
                      </w:txbxContent>
                    </wps:txbx>
                    <wps:bodyPr wrap="square" lIns="0" tIns="0" rIns="0" bIns="0">
                      <a:spAutoFit/>
                    </wps:bodyPr>
                  </wps:wsp>
                </a:graphicData>
              </a:graphic>
            </wp:anchor>
          </w:drawing>
        </mc:Choice>
        <mc:Fallback>
          <w:pict>
            <v:shape id="文本框 7" o:spid="_x0000_s1026" o:spt="202" type="#_x0000_t202" style="position:absolute;left:0pt;margin-top:-73pt;height:11.65pt;width:465.45pt;mso-position-horizontal:left;mso-position-horizontal-relative:margin;z-index:251665408;mso-width-relative:page;mso-height-relative:page;" filled="f" stroked="f" coordsize="21600,21600" o:gfxdata="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Relj9YAAAAKAQAADwAA&#10;AAAAAAABACAAAAAiAAAAZHJzL2Rvd25yZXYueG1sUEsBAhQAFAAAAAgAh07iQHwJ6fTfAQAArQMA&#10;AA4AAAAAAAAAAQAgAAAAJQEAAGRycy9lMm9Eb2MueG1sUEsFBgAAAAAGAAYAWQEAAHYFAAAAAA==&#10;">
              <v:fill on="f" focussize="0,0"/>
              <v:stroke on="f"/>
              <v:imagedata o:title=""/>
              <o:lock v:ext="edit" aspectratio="f"/>
              <v:textbox inset="0mm,0mm,0mm,0mm" style="mso-fit-shape-to-text:t;">
                <w:txbxContent>
                  <w:p w14:paraId="332A8DA8">
                    <w:pPr>
                      <w:pStyle w:val="3"/>
                    </w:pPr>
                  </w:p>
                </w:txbxContent>
              </v:textbox>
            </v:shape>
          </w:pict>
        </mc:Fallback>
      </mc:AlternateContent>
    </w:r>
    <w:r>
      <w:rPr>
        <w:rFonts w:hint="eastAsia" w:ascii="Times New Roman" w:hAnsi="Times New Roman"/>
        <w:sz w:val="16"/>
        <w:szCs w:val="16"/>
      </w:rPr>
      <w:t xml:space="preserve">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ABCC76">
    <w:pPr>
      <w:pStyle w:val="3"/>
      <w:ind w:firstLine="0" w:firstLineChars="0"/>
    </w:pPr>
    <w:r>
      <w:t>2）TAT基础培养基仅用于后续MTAT</w:t>
    </w:r>
    <w:r>
      <w:rPr>
        <w:rFonts w:hint="eastAsia"/>
      </w:rPr>
      <w:t>培养基和TLE</w:t>
    </w:r>
    <w:r>
      <w:t>培养基的配置。</w:t>
    </w:r>
    <w:r>
      <w:br w:type="textWrapping"/>
    </w:r>
    <w:r>
      <w:t>3）MPiScreen</w:t>
    </w:r>
    <w:r>
      <w:rPr>
        <w:vertAlign w:val="superscript"/>
      </w:rPr>
      <w:t>TM</w:t>
    </w:r>
    <w:r>
      <w:t xml:space="preserve"> 试剂。给出这一信息是为了方便本文件的使用者，并不表示对该产品的认可，如果其他等效产品具有相同的效果，则可使用这些等效的产品。</w:t>
    </w:r>
  </w:p>
  <w:p w14:paraId="3DE25DA0">
    <w:pPr>
      <w:pStyle w:val="3"/>
      <w:ind w:firstLine="0" w:firstLineChars="0"/>
    </w:pPr>
    <w:r>
      <w:rPr>
        <w:rFonts w:hint="eastAsia"/>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7CAA07">
    <w:pPr>
      <w:pStyle w:val="31"/>
      <w:jc w:val="both"/>
    </w:pPr>
    <w: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-927100</wp:posOffset>
              </wp:positionV>
              <wp:extent cx="5911215" cy="147955"/>
              <wp:effectExtent l="0" t="0" r="0" b="0"/>
              <wp:wrapNone/>
              <wp:docPr id="11" name="文本框 7"/>
              <wp:cNvGraphicFramePr/>
              <a:graphic xmlns:a="http://schemas.openxmlformats.org/drawingml/2006/main">
                <a:graphicData uri="http://schemas.microsoft.com/office/word/2010/wordprocessingShape">
                  <wps:wsp>
                    <wps:cNvSpPr txBox="1"/>
                    <wps:spPr>
                      <a:xfrm>
                        <a:off x="0" y="0"/>
                        <a:ext cx="5911215" cy="147955"/>
                      </a:xfrm>
                      <a:prstGeom prst="rect">
                        <a:avLst/>
                      </a:prstGeom>
                      <a:noFill/>
                      <a:ln w="9525">
                        <a:noFill/>
                      </a:ln>
                      <a:effectLst/>
                    </wps:spPr>
                    <wps:txbx>
                      <w:txbxContent>
                        <w:p w14:paraId="6B2C42B3">
                          <w:pPr>
                            <w:pStyle w:val="3"/>
                          </w:pPr>
                        </w:p>
                      </w:txbxContent>
                    </wps:txbx>
                    <wps:bodyPr wrap="square" lIns="0" tIns="0" rIns="0" bIns="0">
                      <a:spAutoFit/>
                    </wps:bodyPr>
                  </wps:wsp>
                </a:graphicData>
              </a:graphic>
            </wp:anchor>
          </w:drawing>
        </mc:Choice>
        <mc:Fallback>
          <w:pict>
            <v:shape id="文本框 7" o:spid="_x0000_s1026" o:spt="202" type="#_x0000_t202" style="position:absolute;left:0pt;margin-top:-73pt;height:11.65pt;width:465.45pt;mso-position-horizontal:left;mso-position-horizontal-relative:margin;z-index:251664384;mso-width-relative:page;mso-height-relative:page;" filled="f" stroked="f" coordsize="21600,21600" o:gfxdata="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JkXpY/WAAAACgEAAA8AAAAAAAAAAQAg&#10;AAAAIgAAAGRycy9kb3ducmV2LnhtbFBLAQIUABQAAAAIAIdO4kBPxLta1wEAAKYDAAAOAAAAAAAA&#10;AAEAIAAAACUBAABkcnMvZTJvRG9jLnhtbFBLBQYAAAAABgAGAFkBAABuBQAAAAA=&#10;">
              <v:fill on="f" focussize="0,0"/>
              <v:stroke on="f"/>
              <v:imagedata o:title=""/>
              <o:lock v:ext="edit" aspectratio="f"/>
              <v:textbox inset="0mm,0mm,0mm,0mm" style="mso-fit-shape-to-text:t;">
                <w:txbxContent>
                  <w:p w14:paraId="6B2C42B3">
                    <w:pPr>
                      <w:pStyle w:val="3"/>
                    </w:pPr>
                  </w:p>
                </w:txbxContent>
              </v:textbox>
            </v:shape>
          </w:pict>
        </mc:Fallback>
      </mc:AlternateContent>
    </w:r>
    <w:r>
      <w:tab/>
    </w:r>
    <w: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94AC6B">
    <w:pPr>
      <w:pStyle w:val="31"/>
      <w:tabs>
        <w:tab w:val="left" w:pos="420"/>
        <w:tab w:val="left" w:pos="840"/>
        <w:tab w:val="center" w:pos="4578"/>
      </w:tabs>
      <w:ind w:left="9180" w:hanging="9180" w:hangingChars="5100"/>
      <w:jc w:val="both"/>
    </w:pPr>
    <w:r>
      <w:rPr>
        <w:rFonts w:ascii="Times New Roman" w:hAnsi="Times New Roman"/>
      </w:rPr>
      <mc:AlternateContent>
        <mc:Choice Requires="wps">
          <w:drawing>
            <wp:anchor distT="0" distB="0" distL="114300" distR="114300" simplePos="0" relativeHeight="251668480" behindDoc="0" locked="0" layoutInCell="1" allowOverlap="1">
              <wp:simplePos x="0" y="0"/>
              <wp:positionH relativeFrom="margin">
                <wp:posOffset>5654675</wp:posOffset>
              </wp:positionH>
              <wp:positionV relativeFrom="paragraph">
                <wp:posOffset>52705</wp:posOffset>
              </wp:positionV>
              <wp:extent cx="236855" cy="139700"/>
              <wp:effectExtent l="48895" t="0" r="0" b="0"/>
              <wp:wrapNone/>
              <wp:docPr id="1160216569" name="文本框 4"/>
              <wp:cNvGraphicFramePr/>
              <a:graphic xmlns:a="http://schemas.openxmlformats.org/drawingml/2006/main">
                <a:graphicData uri="http://schemas.microsoft.com/office/word/2010/wordprocessingShape">
                  <wps:wsp>
                    <wps:cNvSpPr txBox="1">
                      <a:spLocks noChangeArrowheads="1"/>
                    </wps:cNvSpPr>
                    <wps:spPr bwMode="auto">
                      <a:xfrm rot="3265692">
                        <a:off x="0" y="0"/>
                        <a:ext cx="236855" cy="139700"/>
                      </a:xfrm>
                      <a:prstGeom prst="rect">
                        <a:avLst/>
                      </a:prstGeom>
                      <a:noFill/>
                      <a:ln>
                        <a:noFill/>
                      </a:ln>
                      <a:effectLst/>
                    </wps:spPr>
                    <wps:txbx>
                      <w:txbxContent>
                        <w:p w14:paraId="066E6E5F">
                          <w:pPr>
                            <w:pStyle w:val="3"/>
                          </w:pPr>
                          <w:r>
                            <w:rPr>
                              <w:rFonts w:hint="eastAsia"/>
                            </w:rPr>
                            <w:t>3</w:t>
                          </w:r>
                        </w:p>
                      </w:txbxContent>
                    </wps:txbx>
                    <wps:bodyPr rot="0" vert="horz" wrap="none" lIns="0" tIns="0" rIns="0" bIns="0" anchor="t" anchorCtr="0" upright="1">
                      <a:spAutoFit/>
                    </wps:bodyPr>
                  </wps:wsp>
                </a:graphicData>
              </a:graphic>
            </wp:anchor>
          </w:drawing>
        </mc:Choice>
        <mc:Fallback>
          <w:pict>
            <v:shape id="文本框 4" o:spid="_x0000_s1026" o:spt="202" type="#_x0000_t202" style="position:absolute;left:0pt;margin-left:445.25pt;margin-top:4.15pt;height:11pt;width:18.65pt;mso-position-horizontal-relative:margin;mso-wrap-style:none;rotation:3567007f;z-index:251668480;mso-width-relative:page;mso-height-relative:page;" filled="f" stroked="f" coordsize="21600,21600" o:gfxdata="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L08lVXY&#10;AAAACAEAAA8AAAAAAAAAAQAgAAAAIgAAAGRycy9kb3ducmV2LnhtbFBLAQIUABQAAAAIAIdO4kBK&#10;MS1IIAIAACcEAAAOAAAAAAAAAAEAIAAAACcBAABkcnMvZTJvRG9jLnhtbFBLBQYAAAAABgAGAFkB&#10;AAC5BQAAAAA=&#10;">
              <v:fill on="f" focussize="0,0"/>
              <v:stroke on="f"/>
              <v:imagedata o:title=""/>
              <o:lock v:ext="edit" aspectratio="f"/>
              <v:textbox inset="0mm,0mm,0mm,0mm" style="mso-fit-shape-to-text:t;">
                <w:txbxContent>
                  <w:p w14:paraId="066E6E5F">
                    <w:pPr>
                      <w:pStyle w:val="3"/>
                    </w:pPr>
                    <w:r>
                      <w:rPr>
                        <w:rFonts w:hint="eastAsia"/>
                      </w:rPr>
                      <w:t>3</w:t>
                    </w:r>
                  </w:p>
                </w:txbxContent>
              </v:textbox>
            </v:shape>
          </w:pict>
        </mc:Fallback>
      </mc:AlternateContent>
    </w:r>
    <w: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-927100</wp:posOffset>
              </wp:positionV>
              <wp:extent cx="5911215" cy="147955"/>
              <wp:effectExtent l="0" t="0" r="0" b="0"/>
              <wp:wrapNone/>
              <wp:docPr id="853719348" name="文本框 7"/>
              <wp:cNvGraphicFramePr/>
              <a:graphic xmlns:a="http://schemas.openxmlformats.org/drawingml/2006/main">
                <a:graphicData uri="http://schemas.microsoft.com/office/word/2010/wordprocessingShape">
                  <wps:wsp>
                    <wps:cNvSpPr txBox="1"/>
                    <wps:spPr>
                      <a:xfrm>
                        <a:off x="0" y="0"/>
                        <a:ext cx="5911215" cy="147955"/>
                      </a:xfrm>
                      <a:prstGeom prst="rect">
                        <a:avLst/>
                      </a:prstGeom>
                      <a:noFill/>
                      <a:ln w="9525">
                        <a:noFill/>
                      </a:ln>
                      <a:effectLst/>
                    </wps:spPr>
                    <wps:txbx>
                      <w:txbxContent>
                        <w:p w14:paraId="27E005A5">
                          <w:pPr>
                            <w:pStyle w:val="3"/>
                          </w:pPr>
                        </w:p>
                      </w:txbxContent>
                    </wps:txbx>
                    <wps:bodyPr wrap="square" lIns="0" tIns="0" rIns="0" bIns="0">
                      <a:spAutoFit/>
                    </wps:bodyPr>
                  </wps:wsp>
                </a:graphicData>
              </a:graphic>
            </wp:anchor>
          </w:drawing>
        </mc:Choice>
        <mc:Fallback>
          <w:pict>
            <v:shape id="文本框 7" o:spid="_x0000_s1026" o:spt="202" type="#_x0000_t202" style="position:absolute;left:0pt;margin-top:-73pt;height:11.65pt;width:465.45pt;mso-position-horizontal:left;mso-position-horizontal-relative:margin;z-index:251667456;mso-width-relative:page;mso-height-relative:page;" filled="f" stroked="f" coordsize="21600,21600" o:gfxdata="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mRelj9YAAAAKAQAADwAA&#10;AAAAAAABACAAAAAiAAAAZHJzL2Rvd25yZXYueG1sUEsBAhQAFAAAAAgAh07iQKwrWDDfAQAArQMA&#10;AA4AAAAAAAAAAQAgAAAAJQEAAGRycy9lMm9Eb2MueG1sUEsFBgAAAAAGAAYAWQEAAHYFAAAAAA==&#10;">
              <v:fill on="f" focussize="0,0"/>
              <v:stroke on="f"/>
              <v:imagedata o:title=""/>
              <o:lock v:ext="edit" aspectratio="f"/>
              <v:textbox inset="0mm,0mm,0mm,0mm" style="mso-fit-shape-to-text:t;">
                <w:txbxContent>
                  <w:p w14:paraId="27E005A5">
                    <w:pPr>
                      <w:pStyle w:val="3"/>
                    </w:pPr>
                  </w:p>
                </w:txbxContent>
              </v:textbox>
            </v:shape>
          </w:pict>
        </mc:Fallback>
      </mc:AlternateContent>
    </w:r>
    <w:r>
      <w:tab/>
    </w:r>
    <w:r>
      <w:tab/>
    </w:r>
    <w:r>
      <w:tab/>
    </w:r>
    <w:r>
      <w:rPr>
        <w:rFonts w:hint="eastAsia"/>
      </w:rPr>
      <w:t xml:space="preserve">                                                                                             3</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316ED9">
    <w:pPr>
      <w:pStyle w:val="3"/>
      <w:ind w:firstLine="9280" w:firstLineChars="5800"/>
    </w:pPr>
    <w:r>
      <w:rPr>
        <w:rFonts w:hint="eastAsia"/>
      </w:rPr>
      <w:t>5</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47450F">
    <w:pPr>
      <w:pStyle w:val="3"/>
      <w:ind w:firstLine="0" w:firstLineChars="0"/>
    </w:pPr>
    <w:r>
      <w:rPr>
        <w:rFonts w:hint="eastAsia"/>
      </w:rPr>
      <w:t>4</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182B78">
    <w:pPr>
      <w:pStyle w:val="3"/>
    </w:pPr>
    <w:r>
      <w:rPr>
        <w:rFonts w:hint="eastAsia"/>
      </w:rPr>
      <w:t xml:space="preserve">                                                                                                          7</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10E80">
    <w:pPr>
      <w:pStyle w:val="3"/>
      <w:ind w:firstLine="0" w:firstLineChars="0"/>
    </w:pPr>
    <w:r>
      <w:rPr>
        <w:rFonts w:hint="eastAsia"/>
      </w:rPr>
      <w:t>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8AA0B">
    <w:pPr>
      <w:pStyle w:val="4"/>
      <w:tabs>
        <w:tab w:val="left" w:pos="7579"/>
        <w:tab w:val="right" w:pos="9473"/>
      </w:tabs>
      <w:rPr>
        <w:sz w:val="21"/>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97228">
    <w:pPr>
      <w:pStyle w:val="4"/>
      <w:spacing w:after="120" w:afterLines="50"/>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D7C466">
    <w:pPr>
      <w:pStyle w:val="4"/>
      <w:jc w:val="right"/>
    </w:pPr>
    <w:r>
      <w:rPr>
        <w:rFonts w:hint="eastAsia" w:ascii="黑体" w:hAnsi="黑体" w:eastAsia="黑体" w:cs="黑体"/>
      </w:rPr>
      <w:t>T/CAFFCI</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4EF8BB">
    <w:pPr>
      <w:pStyle w:val="4"/>
      <w:tabs>
        <w:tab w:val="center" w:pos="4677"/>
        <w:tab w:val="left" w:pos="6420"/>
        <w:tab w:val="right" w:pos="9354"/>
      </w:tabs>
      <w:spacing w:after="120" w:afterLines="50"/>
    </w:pP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AE83AAE">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cOrUyAgAAZQ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6hgr0jScYSKlvvRohW7b&#10;nXluTXkETWf6SfGWrxuUsmE+3DGH0UD5eDzhFkslDVKas0VJbdzXf53HeHQMXkpajFpBNV4WJfKD&#10;RicBGAbDDcZ2MPRe3RjMLpqDWpKJCy7IwaycUV/wopYxB1xMc2QqaBjMm9CPO14kF8tlCsLsWRY2&#10;+t7yCB3l8Xa5D5AzqRxF6ZVAd+IG05f6dH4pcbz/3Keox7/D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b9w6tTICAABlBAAADgAAAAAAAAABACAAAAAfAQAAZHJzL2Uyb0RvYy54bWxQSwUG&#10;AAAAAAYABgBZAQAAwwUAAAAA&#10;">
              <v:fill on="f" focussize="0,0"/>
              <v:stroke on="f" weight="0.5pt"/>
              <v:imagedata o:title=""/>
              <o:lock v:ext="edit" aspectratio="f"/>
              <v:textbox inset="0mm,0mm,0mm,0mm" style="mso-fit-shape-to-text:t;">
                <w:txbxContent>
                  <w:p w14:paraId="4AE83AAE">
                    <w:pPr>
                      <w:pStyle w:val="4"/>
                    </w:pPr>
                    <w:r>
                      <w:rPr>
                        <w:rFonts w:hint="eastAsia"/>
                      </w:rPr>
                      <w:fldChar w:fldCharType="begin"/>
                    </w:r>
                    <w:r>
                      <w:rPr>
                        <w:rFonts w:hint="eastAsia"/>
                      </w:rPr>
                      <w:instrText xml:space="preserve"> PAGE  \* MERGEFORMAT </w:instrText>
                    </w:r>
                    <w:r>
                      <w:rPr>
                        <w:rFonts w:hint="eastAsia"/>
                      </w:rPr>
                      <w:fldChar w:fldCharType="separate"/>
                    </w:r>
                    <w:r>
                      <w:rPr>
                        <w:rFonts w:hint="eastAsia"/>
                      </w:rPr>
                      <w:t>10</w:t>
                    </w:r>
                    <w:r>
                      <w:rPr>
                        <w:rFonts w:hint="eastAsia"/>
                      </w:rPr>
                      <w:fldChar w:fldCharType="end"/>
                    </w:r>
                  </w:p>
                </w:txbxContent>
              </v:textbox>
            </v:shape>
          </w:pict>
        </mc:Fallback>
      </mc:AlternateContent>
    </w:r>
    <w:r>
      <w:tab/>
    </w:r>
    <w:r>
      <w:tab/>
    </w:r>
    <w:r>
      <w:tab/>
    </w:r>
    <w:r>
      <w:t>T/CAFFCI XXXX-XXXX</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F8BA34">
    <w:pPr>
      <w:pStyle w:val="4"/>
      <w:spacing w:after="120" w:afterLines="50"/>
      <w:jc w:val="right"/>
    </w:pPr>
    <w:r>
      <w:rPr>
        <w:rFonts w:hint="eastAsia"/>
      </w:rPr>
      <w:t>T/CAFFCI</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616390">
    <w:pPr>
      <w:pStyle w:val="4"/>
      <w:spacing w:after="120" w:afterLines="50"/>
      <w:ind w:right="720"/>
    </w:pPr>
    <w:r>
      <w:rPr>
        <w:rFonts w:hint="eastAsia"/>
      </w:rPr>
      <w:t>T/CAFFCI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E21B2C"/>
    <w:multiLevelType w:val="multilevel"/>
    <w:tmpl w:val="60E21B2C"/>
    <w:lvl w:ilvl="0" w:tentative="0">
      <w:start w:val="1"/>
      <w:numFmt w:val="decimal"/>
      <w:lvlText w:val="%1"/>
      <w:lvlJc w:val="left"/>
      <w:pPr>
        <w:ind w:left="425" w:hanging="425"/>
      </w:pPr>
      <w:rPr>
        <w:rFonts w:hint="eastAsia" w:ascii="黑体" w:hAnsi="黑体" w:eastAsia="黑体"/>
      </w:rPr>
    </w:lvl>
    <w:lvl w:ilvl="1" w:tentative="0">
      <w:start w:val="1"/>
      <w:numFmt w:val="decimal"/>
      <w:lvlText w:val="%1.%2"/>
      <w:lvlJc w:val="left"/>
      <w:pPr>
        <w:ind w:left="992" w:hanging="567"/>
      </w:pPr>
      <w:rPr>
        <w:rFonts w:hint="default" w:ascii="黑体" w:hAnsi="黑体" w:eastAsia="黑体" w:cs="Times New Roman"/>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A2ZTg3M2E0NjA0NTc4MGI1ZTAwOWM4ODUxY2UzOGYifQ=="/>
  </w:docVars>
  <w:rsids>
    <w:rsidRoot w:val="00000000"/>
    <w:rsid w:val="207F6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qFormat/>
    <w:uiPriority w:val="1"/>
    <w:pPr>
      <w:spacing w:after="0" w:line="360" w:lineRule="auto"/>
      <w:jc w:val="left"/>
    </w:pPr>
    <w:rPr>
      <w:rFonts w:ascii="Times New Roman" w:hAnsi="Times New Roman"/>
      <w:kern w:val="0"/>
      <w:szCs w:val="21"/>
    </w:rPr>
  </w:style>
  <w:style w:type="paragraph" w:styleId="3">
    <w:name w:val="footer"/>
    <w:basedOn w:val="1"/>
    <w:qFormat/>
    <w:uiPriority w:val="99"/>
    <w:pPr>
      <w:tabs>
        <w:tab w:val="center" w:pos="4677"/>
        <w:tab w:val="right" w:pos="9354"/>
      </w:tabs>
      <w:snapToGrid w:val="0"/>
      <w:ind w:right="210" w:rightChars="100" w:firstLine="8160" w:firstLineChars="5100"/>
      <w:jc w:val="left"/>
    </w:pPr>
    <w:rPr>
      <w:sz w:val="16"/>
      <w:szCs w:val="16"/>
    </w:rPr>
  </w:style>
  <w:style w:type="paragraph" w:styleId="4">
    <w:name w:val="header"/>
    <w:basedOn w:val="1"/>
    <w:qFormat/>
    <w:uiPriority w:val="99"/>
    <w:pPr>
      <w:snapToGrid w:val="0"/>
      <w:jc w:val="left"/>
    </w:pPr>
    <w:rPr>
      <w:sz w:val="18"/>
      <w:szCs w:val="18"/>
    </w:rPr>
  </w:style>
  <w:style w:type="paragraph" w:customStyle="1" w:styleId="7">
    <w:name w:val="其他标准称谓"/>
    <w:next w:val="1"/>
    <w:autoRedefine/>
    <w:qFormat/>
    <w:uiPriority w:val="0"/>
    <w:pPr>
      <w:framePr w:hSpace="181" w:vSpace="181" w:wrap="around" w:vAnchor="page" w:hAnchor="page" w:x="1419" w:y="2286" w:anchorLock="1"/>
      <w:spacing w:after="160" w:line="0" w:lineRule="atLeast"/>
      <w:jc w:val="distribute"/>
    </w:pPr>
    <w:rPr>
      <w:rFonts w:ascii="黑体" w:hAnsi="宋体" w:eastAsia="黑体" w:cs="Times New Roman"/>
      <w:spacing w:val="-40"/>
      <w:sz w:val="48"/>
      <w:szCs w:val="52"/>
      <w:lang w:val="en-US" w:eastAsia="zh-CN" w:bidi="ar-SA"/>
    </w:rPr>
  </w:style>
  <w:style w:type="paragraph" w:customStyle="1" w:styleId="8">
    <w:name w:val="封面标准号2"/>
    <w:autoRedefine/>
    <w:qFormat/>
    <w:uiPriority w:val="0"/>
    <w:pPr>
      <w:framePr w:w="9140" w:h="1242" w:hRule="exact" w:hSpace="284" w:wrap="around" w:vAnchor="page" w:hAnchor="page" w:x="1645" w:y="2910" w:anchorLock="1"/>
      <w:spacing w:before="357" w:after="160" w:line="280" w:lineRule="exact"/>
      <w:jc w:val="right"/>
    </w:pPr>
    <w:rPr>
      <w:rFonts w:ascii="黑体" w:hAnsi="Calibri" w:eastAsia="黑体" w:cs="Times New Roman"/>
      <w:sz w:val="28"/>
      <w:szCs w:val="28"/>
      <w:lang w:val="en-US" w:eastAsia="zh-CN" w:bidi="ar-SA"/>
    </w:rPr>
  </w:style>
  <w:style w:type="paragraph" w:customStyle="1" w:styleId="9">
    <w:name w:val="封面标准代替信息"/>
    <w:autoRedefine/>
    <w:qFormat/>
    <w:uiPriority w:val="0"/>
    <w:pPr>
      <w:framePr w:w="9140" w:h="1242" w:hRule="exact" w:hSpace="284" w:wrap="around" w:vAnchor="page" w:hAnchor="page" w:x="1645" w:y="2910" w:anchorLock="1"/>
      <w:spacing w:before="57" w:after="160" w:line="280" w:lineRule="exact"/>
      <w:jc w:val="right"/>
    </w:pPr>
    <w:rPr>
      <w:rFonts w:ascii="宋体" w:hAnsi="Calibri" w:eastAsia="宋体" w:cs="Times New Roman"/>
      <w:sz w:val="21"/>
      <w:szCs w:val="21"/>
      <w:lang w:val="en-US" w:eastAsia="zh-CN" w:bidi="ar-SA"/>
    </w:rPr>
  </w:style>
  <w:style w:type="paragraph" w:customStyle="1" w:styleId="10">
    <w:name w:val="封面标准名称"/>
    <w:autoRedefine/>
    <w:qFormat/>
    <w:uiPriority w:val="0"/>
    <w:pPr>
      <w:framePr w:w="9639" w:h="6917" w:hRule="exact" w:wrap="around" w:vAnchor="page" w:hAnchor="page" w:xAlign="center" w:y="6408" w:anchorLock="1"/>
      <w:widowControl w:val="0"/>
      <w:spacing w:after="160" w:line="680" w:lineRule="exact"/>
      <w:jc w:val="center"/>
      <w:textAlignment w:val="center"/>
    </w:pPr>
    <w:rPr>
      <w:rFonts w:ascii="黑体" w:hAnsi="Calibri" w:eastAsia="黑体" w:cs="Times New Roman"/>
      <w:sz w:val="52"/>
      <w:lang w:val="en-US" w:eastAsia="zh-CN" w:bidi="ar-SA"/>
    </w:rPr>
  </w:style>
  <w:style w:type="paragraph" w:customStyle="1" w:styleId="11">
    <w:name w:val="封面标准英文名称"/>
    <w:basedOn w:val="10"/>
    <w:autoRedefine/>
    <w:qFormat/>
    <w:uiPriority w:val="0"/>
    <w:pPr>
      <w:framePr w:wrap="around"/>
      <w:spacing w:before="370" w:line="400" w:lineRule="exact"/>
    </w:pPr>
    <w:rPr>
      <w:rFonts w:ascii="Times New Roman"/>
      <w:sz w:val="28"/>
      <w:szCs w:val="28"/>
    </w:rPr>
  </w:style>
  <w:style w:type="paragraph" w:customStyle="1" w:styleId="12">
    <w:name w:val="封面标准文稿编辑信息"/>
    <w:basedOn w:val="13"/>
    <w:autoRedefine/>
    <w:qFormat/>
    <w:uiPriority w:val="0"/>
    <w:pPr>
      <w:framePr w:wrap="around"/>
      <w:spacing w:before="180" w:line="180" w:lineRule="exact"/>
    </w:pPr>
    <w:rPr>
      <w:sz w:val="21"/>
    </w:rPr>
  </w:style>
  <w:style w:type="paragraph" w:customStyle="1" w:styleId="13">
    <w:name w:val="封面标准文稿类别"/>
    <w:basedOn w:val="14"/>
    <w:autoRedefine/>
    <w:qFormat/>
    <w:uiPriority w:val="0"/>
    <w:pPr>
      <w:framePr w:wrap="around"/>
      <w:spacing w:line="240" w:lineRule="auto"/>
    </w:pPr>
    <w:rPr>
      <w:sz w:val="24"/>
    </w:rPr>
  </w:style>
  <w:style w:type="paragraph" w:customStyle="1" w:styleId="14">
    <w:name w:val="封面一致性程度标识"/>
    <w:basedOn w:val="11"/>
    <w:autoRedefine/>
    <w:qFormat/>
    <w:uiPriority w:val="0"/>
    <w:pPr>
      <w:framePr w:wrap="around"/>
      <w:spacing w:before="440"/>
    </w:pPr>
    <w:rPr>
      <w:rFonts w:ascii="宋体" w:eastAsia="宋体"/>
    </w:rPr>
  </w:style>
  <w:style w:type="paragraph" w:customStyle="1" w:styleId="15">
    <w:name w:val="其他发布日期"/>
    <w:basedOn w:val="16"/>
    <w:autoRedefine/>
    <w:qFormat/>
    <w:uiPriority w:val="0"/>
    <w:pPr>
      <w:framePr w:wrap="around" w:vAnchor="page" w:hAnchor="text" w:x="1419"/>
    </w:pPr>
  </w:style>
  <w:style w:type="paragraph" w:customStyle="1" w:styleId="16">
    <w:name w:val="发布日期"/>
    <w:autoRedefine/>
    <w:qFormat/>
    <w:uiPriority w:val="0"/>
    <w:pPr>
      <w:framePr w:w="3997" w:h="471" w:hRule="exact" w:vSpace="181" w:wrap="around" w:vAnchor="margin" w:hAnchor="page" w:x="7089" w:y="14097" w:anchorLock="1"/>
      <w:spacing w:after="160" w:line="259" w:lineRule="auto"/>
    </w:pPr>
    <w:rPr>
      <w:rFonts w:ascii="Calibri" w:hAnsi="Calibri" w:eastAsia="黑体" w:cs="Times New Roman"/>
      <w:sz w:val="28"/>
      <w:lang w:val="en-US" w:eastAsia="zh-CN" w:bidi="ar-SA"/>
    </w:rPr>
  </w:style>
  <w:style w:type="paragraph" w:customStyle="1" w:styleId="17">
    <w:name w:val="其他实施日期"/>
    <w:basedOn w:val="18"/>
    <w:autoRedefine/>
    <w:qFormat/>
    <w:uiPriority w:val="0"/>
    <w:pPr>
      <w:framePr w:wrap="around"/>
    </w:pPr>
  </w:style>
  <w:style w:type="paragraph" w:customStyle="1" w:styleId="18">
    <w:name w:val="实施日期"/>
    <w:basedOn w:val="16"/>
    <w:autoRedefine/>
    <w:qFormat/>
    <w:uiPriority w:val="0"/>
    <w:pPr>
      <w:framePr w:wrap="around" w:vAnchor="page" w:hAnchor="text"/>
      <w:jc w:val="right"/>
    </w:pPr>
  </w:style>
  <w:style w:type="paragraph" w:customStyle="1" w:styleId="19">
    <w:name w:val="其他发布部门"/>
    <w:basedOn w:val="20"/>
    <w:autoRedefine/>
    <w:qFormat/>
    <w:uiPriority w:val="0"/>
    <w:pPr>
      <w:framePr w:wrap="around" w:y="15310"/>
      <w:spacing w:line="0" w:lineRule="atLeast"/>
    </w:pPr>
    <w:rPr>
      <w:rFonts w:ascii="黑体" w:eastAsia="黑体"/>
      <w:b w:val="0"/>
    </w:rPr>
  </w:style>
  <w:style w:type="paragraph" w:customStyle="1" w:styleId="20">
    <w:name w:val="发布部门"/>
    <w:next w:val="21"/>
    <w:autoRedefine/>
    <w:qFormat/>
    <w:uiPriority w:val="0"/>
    <w:pPr>
      <w:framePr w:w="7938" w:h="1134" w:hRule="exact" w:hSpace="125" w:vSpace="181" w:wrap="around" w:vAnchor="page" w:hAnchor="page" w:x="2150" w:y="14630" w:anchorLock="1"/>
      <w:spacing w:after="160" w:line="259" w:lineRule="auto"/>
      <w:jc w:val="center"/>
    </w:pPr>
    <w:rPr>
      <w:rFonts w:ascii="宋体" w:hAnsi="Calibri" w:eastAsia="宋体" w:cs="Times New Roman"/>
      <w:b/>
      <w:spacing w:val="20"/>
      <w:w w:val="135"/>
      <w:sz w:val="28"/>
      <w:lang w:val="en-US" w:eastAsia="zh-CN" w:bidi="ar-SA"/>
    </w:rPr>
  </w:style>
  <w:style w:type="paragraph" w:customStyle="1" w:styleId="21">
    <w:name w:val="段"/>
    <w:autoRedefine/>
    <w:qFormat/>
    <w:uiPriority w:val="0"/>
    <w:pPr>
      <w:tabs>
        <w:tab w:val="center" w:pos="4201"/>
        <w:tab w:val="right" w:leader="dot" w:pos="9298"/>
      </w:tabs>
      <w:autoSpaceDE w:val="0"/>
      <w:autoSpaceDN w:val="0"/>
      <w:spacing w:after="160" w:line="259" w:lineRule="auto"/>
      <w:ind w:firstLine="420" w:firstLineChars="200"/>
      <w:jc w:val="both"/>
    </w:pPr>
    <w:rPr>
      <w:rFonts w:ascii="宋体" w:hAnsi="Calibri" w:eastAsia="宋体" w:cs="Times New Roman"/>
      <w:sz w:val="21"/>
      <w:lang w:val="en-US" w:eastAsia="zh-CN" w:bidi="ar-SA"/>
    </w:rPr>
  </w:style>
  <w:style w:type="character" w:customStyle="1" w:styleId="22">
    <w:name w:val="发布"/>
    <w:autoRedefine/>
    <w:qFormat/>
    <w:uiPriority w:val="0"/>
    <w:rPr>
      <w:rFonts w:ascii="黑体" w:eastAsia="黑体"/>
      <w:spacing w:val="85"/>
      <w:w w:val="100"/>
      <w:position w:val="3"/>
      <w:sz w:val="28"/>
      <w:szCs w:val="28"/>
    </w:rPr>
  </w:style>
  <w:style w:type="paragraph" w:customStyle="1" w:styleId="23">
    <w:name w:val="文献分类号"/>
    <w:autoRedefine/>
    <w:qFormat/>
    <w:uiPriority w:val="0"/>
    <w:pPr>
      <w:framePr w:hSpace="180" w:vSpace="180" w:wrap="around" w:vAnchor="margin" w:hAnchor="margin" w:y="1" w:anchorLock="1"/>
      <w:widowControl w:val="0"/>
      <w:spacing w:after="160" w:line="259" w:lineRule="auto"/>
      <w:textAlignment w:val="center"/>
    </w:pPr>
    <w:rPr>
      <w:rFonts w:ascii="黑体" w:hAnsi="Calibri" w:eastAsia="黑体" w:cs="Times New Roman"/>
      <w:sz w:val="21"/>
      <w:szCs w:val="21"/>
      <w:lang w:val="en-US" w:eastAsia="zh-CN" w:bidi="ar-SA"/>
    </w:rPr>
  </w:style>
  <w:style w:type="paragraph" w:customStyle="1" w:styleId="24">
    <w:name w:val="前言、引言标题"/>
    <w:next w:val="21"/>
    <w:autoRedefine/>
    <w:qFormat/>
    <w:uiPriority w:val="0"/>
    <w:pPr>
      <w:keepNext/>
      <w:pageBreakBefore/>
      <w:shd w:val="clear" w:color="FFFFFF" w:fill="FFFFFF"/>
      <w:spacing w:before="640" w:after="560" w:line="259" w:lineRule="auto"/>
      <w:jc w:val="center"/>
      <w:outlineLvl w:val="0"/>
    </w:pPr>
    <w:rPr>
      <w:rFonts w:ascii="黑体" w:hAnsi="Calibri" w:eastAsia="黑体" w:cs="Times New Roman"/>
      <w:sz w:val="32"/>
      <w:lang w:val="en-US" w:eastAsia="zh-CN" w:bidi="ar-SA"/>
    </w:rPr>
  </w:style>
  <w:style w:type="paragraph" w:customStyle="1" w:styleId="25">
    <w:name w:val="章标题"/>
    <w:next w:val="21"/>
    <w:autoRedefine/>
    <w:qFormat/>
    <w:uiPriority w:val="99"/>
    <w:pPr>
      <w:spacing w:before="312" w:beforeLines="100" w:after="312" w:afterLines="100" w:line="259" w:lineRule="auto"/>
      <w:jc w:val="both"/>
      <w:outlineLvl w:val="1"/>
    </w:pPr>
    <w:rPr>
      <w:rFonts w:ascii="黑体" w:hAnsi="Calibri" w:eastAsia="黑体" w:cs="Times New Roman"/>
      <w:sz w:val="21"/>
      <w:lang w:val="en-US" w:eastAsia="zh-CN" w:bidi="ar-SA"/>
    </w:rPr>
  </w:style>
  <w:style w:type="paragraph" w:customStyle="1" w:styleId="26">
    <w:name w:val="三级条标题"/>
    <w:basedOn w:val="27"/>
    <w:next w:val="21"/>
    <w:autoRedefine/>
    <w:qFormat/>
    <w:uiPriority w:val="0"/>
    <w:pPr>
      <w:outlineLvl w:val="4"/>
    </w:pPr>
  </w:style>
  <w:style w:type="paragraph" w:customStyle="1" w:styleId="27">
    <w:name w:val="二级条标题"/>
    <w:basedOn w:val="28"/>
    <w:next w:val="21"/>
    <w:autoRedefine/>
    <w:qFormat/>
    <w:uiPriority w:val="0"/>
    <w:pPr>
      <w:spacing w:before="50" w:after="50"/>
      <w:outlineLvl w:val="3"/>
    </w:pPr>
  </w:style>
  <w:style w:type="paragraph" w:customStyle="1" w:styleId="28">
    <w:name w:val="一级条标题"/>
    <w:next w:val="21"/>
    <w:autoRedefine/>
    <w:qFormat/>
    <w:uiPriority w:val="0"/>
    <w:pPr>
      <w:spacing w:before="156" w:beforeLines="50" w:after="156" w:afterLines="50" w:line="259" w:lineRule="auto"/>
      <w:outlineLvl w:val="2"/>
    </w:pPr>
    <w:rPr>
      <w:rFonts w:ascii="黑体" w:hAnsi="Calibri" w:eastAsia="黑体" w:cs="Times New Roman"/>
      <w:sz w:val="21"/>
      <w:szCs w:val="21"/>
      <w:lang w:val="en-US" w:eastAsia="zh-CN" w:bidi="ar-SA"/>
    </w:rPr>
  </w:style>
  <w:style w:type="paragraph" w:styleId="29">
    <w:name w:val="List Paragraph"/>
    <w:basedOn w:val="1"/>
    <w:autoRedefine/>
    <w:qFormat/>
    <w:uiPriority w:val="1"/>
    <w:pPr>
      <w:widowControl/>
      <w:ind w:firstLine="420" w:firstLineChars="200"/>
      <w:jc w:val="left"/>
    </w:pPr>
    <w:rPr>
      <w:kern w:val="0"/>
      <w:sz w:val="20"/>
      <w:szCs w:val="20"/>
      <w:lang w:eastAsia="en-US"/>
    </w:rPr>
  </w:style>
  <w:style w:type="character" w:customStyle="1" w:styleId="30">
    <w:name w:val="fontstyle01"/>
    <w:autoRedefine/>
    <w:qFormat/>
    <w:uiPriority w:val="0"/>
    <w:rPr>
      <w:rFonts w:hint="eastAsia" w:ascii="宋体" w:hAnsi="宋体" w:eastAsia="宋体"/>
      <w:color w:val="000000"/>
      <w:sz w:val="22"/>
      <w:szCs w:val="22"/>
    </w:rPr>
  </w:style>
  <w:style w:type="paragraph" w:customStyle="1" w:styleId="31">
    <w:name w:val="标准书脚_奇数页"/>
    <w:autoRedefine/>
    <w:qFormat/>
    <w:uiPriority w:val="0"/>
    <w:pPr>
      <w:spacing w:before="120" w:after="160" w:line="259" w:lineRule="auto"/>
      <w:ind w:right="198"/>
      <w:jc w:val="right"/>
    </w:pPr>
    <w:rPr>
      <w:rFonts w:ascii="宋体" w:hAnsi="Calibri" w:eastAsia="宋体" w:cs="Times New Roman"/>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6.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footer" Target="footer3.xml"/><Relationship Id="rId11" Type="http://schemas.openxmlformats.org/officeDocument/2006/relationships/footer" Target="footer2.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2024-07-26T05:17:27Z</dcterms:created>
  <dc:creator>qiaoy</dc:creator>
  <cp:lastModifiedBy>cosmetic</cp:lastModifiedBy>
  <dcterms:modified xsi:type="dcterms:W3CDTF">2024-07-26T05:17:45Z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9C7B27FE3AD94D288731080B82AB84CD_12</vt:lpwstr>
  </property>
</Properties>
</file>