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AD3B4">
      <w:pPr>
        <w:framePr w:w="6875" w:h="586" w:hRule="exact" w:hSpace="125" w:vSpace="181" w:wrap="around" w:vAnchor="page" w:hAnchor="page" w:x="2848" w:y="15081" w:anchorLock="1"/>
        <w:widowControl/>
        <w:spacing w:line="0" w:lineRule="atLeast"/>
        <w:jc w:val="center"/>
        <w:rPr>
          <w:rFonts w:eastAsia="黑体"/>
          <w:spacing w:val="85"/>
          <w:kern w:val="0"/>
          <w:position w:val="3"/>
          <w:sz w:val="22"/>
          <w:szCs w:val="22"/>
        </w:rPr>
      </w:pPr>
      <w:bookmarkStart w:id="0" w:name="SectionMark2"/>
      <w:bookmarkStart w:id="6" w:name="_GoBack"/>
      <w:bookmarkEnd w:id="6"/>
      <w:r>
        <w:rPr>
          <w:rFonts w:hint="eastAsia" w:ascii="黑体" w:eastAsia="黑体"/>
          <w:spacing w:val="20"/>
          <w:w w:val="135"/>
          <w:kern w:val="0"/>
          <w:sz w:val="22"/>
          <w:szCs w:val="16"/>
        </w:rPr>
        <w:t xml:space="preserve">中国香料香精化妆品工业协会  </w:t>
      </w:r>
      <w:r>
        <w:rPr>
          <w:rFonts w:eastAsia="黑体"/>
          <w:spacing w:val="85"/>
          <w:kern w:val="0"/>
          <w:position w:val="3"/>
          <w:sz w:val="22"/>
          <w:szCs w:val="22"/>
        </w:rPr>
        <w:t>发布</w:t>
      </w:r>
    </w:p>
    <w:p w14:paraId="6520421B">
      <w:pPr>
        <w:framePr w:w="6875" w:h="586" w:hRule="exact" w:hSpace="125" w:vSpace="181" w:wrap="around" w:vAnchor="page" w:hAnchor="page" w:x="2848" w:y="15081" w:anchorLock="1"/>
        <w:widowControl/>
        <w:spacing w:line="0" w:lineRule="atLeast"/>
        <w:jc w:val="center"/>
        <w:rPr>
          <w:rFonts w:eastAsia="黑体"/>
          <w:spacing w:val="85"/>
          <w:kern w:val="0"/>
          <w:position w:val="3"/>
          <w:sz w:val="22"/>
          <w:szCs w:val="22"/>
        </w:rPr>
      </w:pPr>
      <w:r>
        <w:rPr>
          <w:rFonts w:hint="eastAsia" w:ascii="黑体" w:eastAsia="黑体"/>
          <w:spacing w:val="185"/>
          <w:w w:val="135"/>
          <w:kern w:val="0"/>
          <w:sz w:val="22"/>
          <w:szCs w:val="16"/>
          <w:fitText w:val="4292" w:id="-1000156415"/>
        </w:rPr>
        <w:t>中国标准出版</w:t>
      </w:r>
      <w:r>
        <w:rPr>
          <w:rFonts w:hint="eastAsia" w:ascii="黑体" w:eastAsia="黑体"/>
          <w:spacing w:val="1"/>
          <w:w w:val="135"/>
          <w:kern w:val="0"/>
          <w:sz w:val="22"/>
          <w:szCs w:val="16"/>
          <w:fitText w:val="4292" w:id="-1000156415"/>
        </w:rPr>
        <w:t>社</w:t>
      </w:r>
      <w:r>
        <w:rPr>
          <w:rFonts w:hint="eastAsia" w:ascii="黑体" w:eastAsia="黑体"/>
          <w:spacing w:val="20"/>
          <w:w w:val="135"/>
          <w:kern w:val="0"/>
          <w:sz w:val="22"/>
          <w:szCs w:val="16"/>
        </w:rPr>
        <w:t xml:space="preserve"> </w:t>
      </w:r>
      <w:r>
        <w:rPr>
          <w:rFonts w:hint="eastAsia" w:ascii="黑体" w:eastAsia="黑体"/>
          <w:spacing w:val="20"/>
          <w:w w:val="200"/>
          <w:kern w:val="0"/>
          <w:sz w:val="22"/>
          <w:szCs w:val="16"/>
        </w:rPr>
        <w:t xml:space="preserve"> </w:t>
      </w:r>
      <w:r>
        <w:rPr>
          <w:rFonts w:hint="eastAsia" w:eastAsia="黑体"/>
          <w:spacing w:val="85"/>
          <w:kern w:val="0"/>
          <w:position w:val="3"/>
          <w:sz w:val="22"/>
          <w:szCs w:val="22"/>
        </w:rPr>
        <w:t>出版</w:t>
      </w:r>
    </w:p>
    <w:p w14:paraId="41838230">
      <w:pPr>
        <w:framePr w:w="6875" w:h="586" w:hRule="exact" w:hSpace="125" w:vSpace="181" w:wrap="around" w:vAnchor="page" w:hAnchor="page" w:x="2848" w:y="15081" w:anchorLock="1"/>
        <w:widowControl/>
        <w:spacing w:line="0" w:lineRule="atLeast"/>
        <w:jc w:val="center"/>
        <w:rPr>
          <w:rFonts w:eastAsia="黑体"/>
          <w:spacing w:val="20"/>
          <w:w w:val="135"/>
          <w:kern w:val="0"/>
          <w:sz w:val="28"/>
          <w:szCs w:val="20"/>
        </w:rPr>
      </w:pPr>
    </w:p>
    <w:p w14:paraId="674BE387">
      <w:pPr>
        <w:jc w:val="left"/>
        <w:textAlignment w:val="center"/>
        <w:rPr>
          <w:rFonts w:ascii="黑体" w:hAnsi="黑体" w:eastAsia="黑体"/>
          <w:kern w:val="0"/>
          <w:szCs w:val="21"/>
        </w:rPr>
      </w:pPr>
      <w:r>
        <w:rPr>
          <w:rFonts w:ascii="黑体" w:hAnsi="黑体" w:eastAsia="黑体"/>
          <w:kern w:val="0"/>
          <w:szCs w:val="21"/>
        </w:rPr>
        <w:t>ICS </w:t>
      </w:r>
      <w:r>
        <w:rPr>
          <w:rFonts w:ascii="黑体" w:hAnsi="黑体" w:eastAsia="黑体"/>
          <w:kern w:val="0"/>
          <w:szCs w:val="21"/>
        </w:rPr>
        <w:fldChar w:fldCharType="begin">
          <w:ffData>
            <w:name w:val="ICS"/>
            <w:enabled/>
            <w:calcOnExit w:val="0"/>
            <w:helpText w:type="text" w:val="请输入正确的ICS号："/>
            <w:textInput>
              <w:default w:val="71.100.70"/>
            </w:textInput>
          </w:ffData>
        </w:fldChar>
      </w:r>
      <w:bookmarkStart w:id="1" w:name="ICS"/>
      <w:r>
        <w:rPr>
          <w:rFonts w:ascii="黑体" w:hAnsi="黑体" w:eastAsia="黑体"/>
          <w:kern w:val="0"/>
          <w:szCs w:val="21"/>
        </w:rPr>
        <w:instrText xml:space="preserve"> FORMTEXT </w:instrText>
      </w:r>
      <w:r>
        <w:rPr>
          <w:rFonts w:ascii="黑体" w:hAnsi="黑体" w:eastAsia="黑体"/>
          <w:kern w:val="0"/>
          <w:szCs w:val="21"/>
        </w:rPr>
        <w:fldChar w:fldCharType="separate"/>
      </w:r>
      <w:r>
        <w:rPr>
          <w:rFonts w:ascii="黑体" w:hAnsi="黑体" w:eastAsia="黑体"/>
          <w:kern w:val="0"/>
          <w:szCs w:val="21"/>
        </w:rPr>
        <w:t>71.100.70</w:t>
      </w:r>
      <w:r>
        <w:rPr>
          <w:rFonts w:ascii="黑体" w:hAnsi="黑体" w:eastAsia="黑体"/>
          <w:kern w:val="0"/>
          <w:szCs w:val="21"/>
        </w:rPr>
        <w:fldChar w:fldCharType="end"/>
      </w:r>
      <w:bookmarkEnd w:id="1"/>
    </w:p>
    <w:p w14:paraId="60D1DE70">
      <w:pPr>
        <w:jc w:val="left"/>
        <w:textAlignment w:val="center"/>
        <w:rPr>
          <w:rFonts w:hint="default" w:ascii="黑体" w:hAnsi="黑体" w:eastAsia="黑体"/>
          <w:kern w:val="0"/>
          <w:szCs w:val="21"/>
          <w:lang w:val="en-US" w:eastAsia="zh-CN"/>
        </w:rPr>
      </w:pPr>
      <w:r>
        <w:rPr>
          <w:rFonts w:hint="eastAsia" w:ascii="黑体" w:hAnsi="黑体" w:eastAsia="黑体"/>
          <w:kern w:val="0"/>
          <w:szCs w:val="21"/>
          <w:lang w:val="en-US" w:eastAsia="zh-CN"/>
        </w:rPr>
        <w:t>CCS Y 42</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04EC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51C287FB">
            <w:pPr>
              <w:ind w:left="-109" w:leftChars="-52"/>
              <w:jc w:val="left"/>
              <w:textAlignment w:val="center"/>
              <w:rPr>
                <w:rFonts w:ascii="黑体" w:hAnsi="黑体" w:eastAsia="黑体"/>
                <w:kern w:val="0"/>
                <w:szCs w:val="21"/>
              </w:rPr>
            </w:pPr>
            <w:r>
              <w:rPr>
                <w:rFonts w:ascii="黑体" w:hAnsi="黑体" w:eastAsia="黑体"/>
                <w:kern w:val="0"/>
                <w:szCs w:val="21"/>
              </w:rP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4445" t="0" r="0" b="0"/>
                      <wp:wrapNone/>
                      <wp:docPr id="5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4902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DKfczTDgIAACEEAAAOAAAAAAAAAAEA&#10;IAAAACQBAABkcnMvZTJvRG9jLnhtbFBLBQYAAAAABgAGAFkBAACkBQAAAAA=&#10;">
                      <v:fill on="t" focussize="0,0"/>
                      <v:stroke on="f"/>
                      <v:imagedata o:title=""/>
                      <o:lock v:ext="edit" aspectratio="f"/>
                    </v:rect>
                  </w:pict>
                </mc:Fallback>
              </mc:AlternateContent>
            </w:r>
            <w:r>
              <w:rPr>
                <w:rFonts w:ascii="黑体" w:hAnsi="黑体" w:eastAsia="黑体"/>
                <w:kern w:val="0"/>
                <w:szCs w:val="21"/>
              </w:rPr>
              <w:t xml:space="preserve">CCS </w:t>
            </w:r>
            <w:r>
              <w:rPr>
                <w:rFonts w:ascii="黑体" w:hAnsi="黑体" w:eastAsia="黑体"/>
                <w:kern w:val="0"/>
                <w:szCs w:val="21"/>
              </w:rPr>
              <w:fldChar w:fldCharType="begin">
                <w:ffData>
                  <w:name w:val="BAH"/>
                  <w:enabled/>
                  <w:calcOnExit w:val="0"/>
                  <w:textInput>
                    <w:default w:val="Y 42"/>
                  </w:textInput>
                </w:ffData>
              </w:fldChar>
            </w:r>
            <w:bookmarkStart w:id="2" w:name="BAH"/>
            <w:r>
              <w:rPr>
                <w:rFonts w:ascii="黑体" w:hAnsi="黑体" w:eastAsia="黑体"/>
                <w:kern w:val="0"/>
                <w:szCs w:val="21"/>
              </w:rPr>
              <w:instrText xml:space="preserve"> FORMTEXT </w:instrText>
            </w:r>
            <w:r>
              <w:rPr>
                <w:rFonts w:ascii="黑体" w:hAnsi="黑体" w:eastAsia="黑体"/>
                <w:kern w:val="0"/>
                <w:szCs w:val="21"/>
              </w:rPr>
              <w:fldChar w:fldCharType="separate"/>
            </w:r>
            <w:r>
              <w:rPr>
                <w:rFonts w:ascii="黑体" w:hAnsi="黑体" w:eastAsia="黑体"/>
                <w:kern w:val="0"/>
                <w:szCs w:val="21"/>
              </w:rPr>
              <w:t>Y 42</w:t>
            </w:r>
            <w:r>
              <w:rPr>
                <w:rFonts w:ascii="黑体" w:hAnsi="黑体" w:eastAsia="黑体"/>
                <w:kern w:val="0"/>
                <w:szCs w:val="21"/>
              </w:rPr>
              <w:fldChar w:fldCharType="end"/>
            </w:r>
            <w:bookmarkEnd w:id="2"/>
          </w:p>
        </w:tc>
      </w:tr>
    </w:tbl>
    <w:p w14:paraId="6702048F">
      <w:pPr>
        <w:pStyle w:val="131"/>
        <w:framePr w:wrap="around"/>
        <w:ind w:right="1256"/>
      </w:pPr>
      <w:r>
        <w:rPr>
          <w:rFonts w:hint="eastAsia"/>
        </w:rPr>
        <w:t>T</w:t>
      </w:r>
    </w:p>
    <w:p w14:paraId="5A9B70E8">
      <w:pPr>
        <w:pStyle w:val="70"/>
        <w:jc w:val="right"/>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rFonts w:ascii="黑体" w:hAnsi="黑体" w:eastAsia="黑体" w:cs="黑体"/>
          <w:sz w:val="28"/>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1872615</wp:posOffset>
                </wp:positionV>
                <wp:extent cx="6120130" cy="0"/>
                <wp:effectExtent l="0" t="0" r="13970" b="19050"/>
                <wp:wrapNone/>
                <wp:docPr id="12"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0.05pt;margin-top:147.45pt;height:0pt;width:481.9pt;z-index:251665408;mso-width-relative:page;mso-height-relative:page;" filled="f" stroked="t" coordsize="21600,21600" o:gfxdata="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OXwKNYAAAAIAQAADwAAAAAAAAABACAAAAAiAAAAZHJzL2Rvd25yZXYueG1sUEsBAhQAFAAA&#10;AAgAh07iQP/tbHnxAQAA5w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column">
                  <wp:posOffset>29210</wp:posOffset>
                </wp:positionH>
                <wp:positionV relativeFrom="page">
                  <wp:posOffset>9288780</wp:posOffset>
                </wp:positionV>
                <wp:extent cx="6120130" cy="0"/>
                <wp:effectExtent l="0" t="0" r="13970" b="19050"/>
                <wp:wrapNone/>
                <wp:docPr id="13"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pt;margin-top:731.4pt;height:0pt;width:481.9pt;mso-position-vertical-relative:page;z-index:251666432;mso-width-relative:page;mso-height-relative:page;" filled="f" stroked="t" coordsize="21600,21600" o:gfxdata="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6ZWI1QAAAAsBAAAPAAAAAAAAAAEAIAAAACIAAABkcnMvZG93bnJldi54bWxQSwECFAAUAAAA&#10;CACHTuJAtFcLZPEBAADnAwAADgAAAAAAAAABACAAAAAkAQAAZHJzL2Uyb0RvYy54bWxQSwUGAAAA&#10;AAYABgBZAQAAhwU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2272665</wp:posOffset>
                </wp:positionV>
                <wp:extent cx="6121400" cy="0"/>
                <wp:effectExtent l="0" t="0" r="12700" b="19050"/>
                <wp:wrapNone/>
                <wp:docPr id="8" name="直线 3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直线 32" o:spid="_x0000_s1026" o:spt="20" style="position:absolute;left:0pt;margin-left:0pt;margin-top:178.95pt;height:0pt;width:482pt;z-index:251664384;mso-width-relative:page;mso-height-relative:page;" filled="f" stroked="t" coordsize="21600,21600" o:allowincell="f" o:gfxdata="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vbB1rWAAAACAEAAA8AAAAAAAAA&#10;AQAgAAAAIgAAAGRycy9kb3ducmV2LnhtbFBLAQIUABQAAAAIAIdO4kDGJTIO2gEAALEDAAAOAAAA&#10;AAAAAAEAIAAAACUBAABkcnMvZTJvRG9jLnhtbFBLBQYAAAAABgAGAFkBAABx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8542020</wp:posOffset>
                </wp:positionV>
                <wp:extent cx="2019300" cy="347980"/>
                <wp:effectExtent l="0" t="0" r="0" b="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47980"/>
                        </a:xfrm>
                        <a:prstGeom prst="rect">
                          <a:avLst/>
                        </a:prstGeom>
                        <a:solidFill>
                          <a:srgbClr val="FFFFFF"/>
                        </a:solidFill>
                        <a:ln>
                          <a:noFill/>
                        </a:ln>
                        <a:effectLst/>
                      </wps:spPr>
                      <wps:txbx>
                        <w:txbxContent>
                          <w:p w14:paraId="4DC5AD62">
                            <w:pPr>
                              <w:pStyle w:val="112"/>
                              <w:rPr>
                                <w:rFonts w:ascii="黑体" w:hAnsi="黑体" w:cs="黑体"/>
                              </w:rPr>
                            </w:pPr>
                            <w:r>
                              <w:rPr>
                                <w:rFonts w:hint="eastAsia" w:ascii="黑体" w:hAnsi="黑体" w:cs="黑体"/>
                              </w:rPr>
                              <w:t>2024-XX-XX实施</w:t>
                            </w:r>
                          </w:p>
                          <w:p w14:paraId="32885F57">
                            <w:pPr>
                              <w:rPr>
                                <w:rFonts w:eastAsia="黑体"/>
                                <w:sz w:val="28"/>
                                <w:szCs w:val="28"/>
                              </w:rPr>
                            </w:pPr>
                          </w:p>
                          <w:p w14:paraId="4ADC8DCB"/>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2.6pt;height:27.4pt;width:159pt;mso-position-horizontal-relative:margin;mso-position-vertical-relative:margin;z-index:251663360;mso-width-relative:page;mso-height-relative:page;" fillcolor="#FFFFFF" filled="t" stroked="f" coordsize="21600,21600" o:allowincell="f" o:gfxdata="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HsJDdoAAAANAQAADwAA&#10;AAAAAAABACAAAAAiAAAAZHJzL2Rvd25yZXYueG1sUEsBAhQAFAAAAAgAh07iQE6Ipq8UAgAAOQQA&#10;AA4AAAAAAAAAAQAgAAAAKQEAAGRycy9lMm9Eb2MueG1sUEsFBgAAAAAGAAYAWQEAAK8FAAAAAA==&#10;">
                <v:fill on="t" focussize="0,0"/>
                <v:stroke on="f"/>
                <v:imagedata o:title=""/>
                <o:lock v:ext="edit" aspectratio="f"/>
                <v:textbox inset="0mm,0mm,0mm,0mm">
                  <w:txbxContent>
                    <w:p w14:paraId="4DC5AD62">
                      <w:pPr>
                        <w:pStyle w:val="112"/>
                        <w:rPr>
                          <w:rFonts w:ascii="黑体" w:hAnsi="黑体" w:cs="黑体"/>
                        </w:rPr>
                      </w:pPr>
                      <w:r>
                        <w:rPr>
                          <w:rFonts w:hint="eastAsia" w:ascii="黑体" w:hAnsi="黑体" w:cs="黑体"/>
                        </w:rPr>
                        <w:t>2024-XX-XX实施</w:t>
                      </w:r>
                    </w:p>
                    <w:p w14:paraId="32885F57">
                      <w:pPr>
                        <w:rPr>
                          <w:rFonts w:eastAsia="黑体"/>
                          <w:sz w:val="28"/>
                          <w:szCs w:val="28"/>
                        </w:rPr>
                      </w:pPr>
                    </w:p>
                    <w:p w14:paraId="4ADC8DCB"/>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8221DEF">
                            <w:pPr>
                              <w:pStyle w:val="112"/>
                              <w:jc w:val="left"/>
                              <w:rPr>
                                <w:rFonts w:ascii="黑体" w:hAnsi="黑体" w:cs="黑体"/>
                              </w:rPr>
                            </w:pPr>
                            <w:r>
                              <w:rPr>
                                <w:rFonts w:hint="eastAsia" w:ascii="黑体" w:hAnsi="黑体" w:cs="黑体"/>
                              </w:rPr>
                              <w:t>2024-XX-XX发布</w:t>
                            </w:r>
                          </w:p>
                          <w:p w14:paraId="2A46A1B7">
                            <w:pPr>
                              <w:rPr>
                                <w:sz w:val="28"/>
                                <w:szCs w:val="28"/>
                              </w:rPr>
                            </w:pPr>
                          </w:p>
                          <w:p w14:paraId="0B005836">
                            <w:pPr>
                              <w:rPr>
                                <w:rFonts w:ascii="黑体" w:eastAsia="黑体"/>
                                <w:sz w:val="28"/>
                                <w:szCs w:val="28"/>
                              </w:rPr>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1t4xMCAAA5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03FbzmzoqeBt/0OKbiN2gzO&#10;l5Ty5CgpjB9hJMcknt49gPzpmYVNJ+xe3SPC0CnRUG+LWFk8K804PoLUwxdo6BJxCJCAxhb7KBxJ&#10;wQid5nK6zEWNgUnaJGk+3M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j9beMTAgAAOQQAAA4A&#10;AAAAAAAAAQAgAAAAJwEAAGRycy9lMm9Eb2MueG1sUEsFBgAAAAAGAAYAWQEAAKwFAAAAAA==&#10;">
                <v:fill on="t" focussize="0,0"/>
                <v:stroke on="f"/>
                <v:imagedata o:title=""/>
                <o:lock v:ext="edit" aspectratio="f"/>
                <v:textbox inset="0mm,0mm,0mm,0mm">
                  <w:txbxContent>
                    <w:p w14:paraId="08221DEF">
                      <w:pPr>
                        <w:pStyle w:val="112"/>
                        <w:jc w:val="left"/>
                        <w:rPr>
                          <w:rFonts w:ascii="黑体" w:hAnsi="黑体" w:cs="黑体"/>
                        </w:rPr>
                      </w:pPr>
                      <w:r>
                        <w:rPr>
                          <w:rFonts w:hint="eastAsia" w:ascii="黑体" w:hAnsi="黑体" w:cs="黑体"/>
                        </w:rPr>
                        <w:t>2024-XX-XX发布</w:t>
                      </w:r>
                    </w:p>
                    <w:p w14:paraId="2A46A1B7">
                      <w:pPr>
                        <w:rPr>
                          <w:sz w:val="28"/>
                          <w:szCs w:val="28"/>
                        </w:rPr>
                      </w:pPr>
                    </w:p>
                    <w:p w14:paraId="0B005836">
                      <w:pPr>
                        <w:rPr>
                          <w:rFonts w:ascii="黑体" w:eastAsia="黑体"/>
                          <w:sz w:val="28"/>
                          <w:szCs w:val="28"/>
                        </w:rPr>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0" b="508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57747FE9">
                            <w:pPr>
                              <w:pStyle w:val="19"/>
                              <w:jc w:val="center"/>
                              <w:rPr>
                                <w:rFonts w:ascii="黑体" w:eastAsia="黑体"/>
                                <w:bCs/>
                                <w:kern w:val="2"/>
                                <w:sz w:val="52"/>
                                <w:szCs w:val="28"/>
                              </w:rPr>
                            </w:pPr>
                            <w:r>
                              <w:rPr>
                                <w:rFonts w:hint="eastAsia" w:ascii="黑体" w:eastAsia="黑体"/>
                                <w:bCs/>
                                <w:kern w:val="2"/>
                                <w:sz w:val="52"/>
                                <w:szCs w:val="28"/>
                              </w:rPr>
                              <w:t>化妆品去屑功效测试方法</w:t>
                            </w:r>
                          </w:p>
                          <w:p w14:paraId="30D9EECC">
                            <w:pPr>
                              <w:pStyle w:val="19"/>
                              <w:jc w:val="center"/>
                              <w:rPr>
                                <w:rFonts w:eastAsia="黑体"/>
                                <w:sz w:val="28"/>
                              </w:rPr>
                            </w:pPr>
                            <w:r>
                              <w:rPr>
                                <w:rFonts w:hint="eastAsia" w:eastAsia="黑体"/>
                                <w:sz w:val="28"/>
                              </w:rPr>
                              <w:t>Test</w:t>
                            </w:r>
                            <w:r>
                              <w:rPr>
                                <w:rFonts w:eastAsia="黑体"/>
                                <w:sz w:val="28"/>
                              </w:rPr>
                              <w:t xml:space="preserve"> method</w:t>
                            </w:r>
                            <w:r>
                              <w:rPr>
                                <w:rFonts w:hint="eastAsia" w:eastAsia="黑体"/>
                                <w:sz w:val="28"/>
                              </w:rPr>
                              <w:t>s</w:t>
                            </w:r>
                            <w:r>
                              <w:rPr>
                                <w:rFonts w:eastAsia="黑体"/>
                                <w:sz w:val="28"/>
                              </w:rPr>
                              <w:t xml:space="preserve"> for anti</w:t>
                            </w:r>
                            <w:r>
                              <w:rPr>
                                <w:rFonts w:hint="eastAsia" w:eastAsia="黑体"/>
                                <w:sz w:val="28"/>
                              </w:rPr>
                              <w:t>-</w:t>
                            </w:r>
                            <w:r>
                              <w:rPr>
                                <w:rFonts w:eastAsia="黑体"/>
                                <w:sz w:val="28"/>
                              </w:rPr>
                              <w:t>dandruff efficacy of cosmetic</w:t>
                            </w:r>
                            <w:r>
                              <w:rPr>
                                <w:rFonts w:hint="eastAsia" w:eastAsia="黑体"/>
                                <w:sz w:val="28"/>
                              </w:rPr>
                              <w:t xml:space="preserve"> products</w:t>
                            </w:r>
                          </w:p>
                          <w:p w14:paraId="099095A0">
                            <w:pPr>
                              <w:pStyle w:val="108"/>
                              <w:jc w:val="both"/>
                              <w:rPr>
                                <w:sz w:val="24"/>
                                <w:szCs w:val="24"/>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V59x2AAAAAkBAAAPAAAA&#10;AAAAAAEAIAAAACIAAABkcnMvZG93bnJldi54bWxQSwECFAAUAAAACACHTuJA+gz2bRUCAAA6BAAA&#10;DgAAAAAAAAABACAAAAAnAQAAZHJzL2Uyb0RvYy54bWxQSwUGAAAAAAYABgBZAQAArgUAAAAA&#10;">
                <v:fill on="t" focussize="0,0"/>
                <v:stroke on="f"/>
                <v:imagedata o:title=""/>
                <o:lock v:ext="edit" aspectratio="f"/>
                <v:textbox inset="0mm,0mm,0mm,0mm">
                  <w:txbxContent>
                    <w:p w14:paraId="57747FE9">
                      <w:pPr>
                        <w:pStyle w:val="19"/>
                        <w:jc w:val="center"/>
                        <w:rPr>
                          <w:rFonts w:ascii="黑体" w:eastAsia="黑体"/>
                          <w:bCs/>
                          <w:kern w:val="2"/>
                          <w:sz w:val="52"/>
                          <w:szCs w:val="28"/>
                        </w:rPr>
                      </w:pPr>
                      <w:r>
                        <w:rPr>
                          <w:rFonts w:hint="eastAsia" w:ascii="黑体" w:eastAsia="黑体"/>
                          <w:bCs/>
                          <w:kern w:val="2"/>
                          <w:sz w:val="52"/>
                          <w:szCs w:val="28"/>
                        </w:rPr>
                        <w:t>化妆品去屑功效测试方法</w:t>
                      </w:r>
                    </w:p>
                    <w:p w14:paraId="30D9EECC">
                      <w:pPr>
                        <w:pStyle w:val="19"/>
                        <w:jc w:val="center"/>
                        <w:rPr>
                          <w:rFonts w:eastAsia="黑体"/>
                          <w:sz w:val="28"/>
                        </w:rPr>
                      </w:pPr>
                      <w:r>
                        <w:rPr>
                          <w:rFonts w:hint="eastAsia" w:eastAsia="黑体"/>
                          <w:sz w:val="28"/>
                        </w:rPr>
                        <w:t>Test</w:t>
                      </w:r>
                      <w:r>
                        <w:rPr>
                          <w:rFonts w:eastAsia="黑体"/>
                          <w:sz w:val="28"/>
                        </w:rPr>
                        <w:t xml:space="preserve"> method</w:t>
                      </w:r>
                      <w:r>
                        <w:rPr>
                          <w:rFonts w:hint="eastAsia" w:eastAsia="黑体"/>
                          <w:sz w:val="28"/>
                        </w:rPr>
                        <w:t>s</w:t>
                      </w:r>
                      <w:r>
                        <w:rPr>
                          <w:rFonts w:eastAsia="黑体"/>
                          <w:sz w:val="28"/>
                        </w:rPr>
                        <w:t xml:space="preserve"> for anti</w:t>
                      </w:r>
                      <w:r>
                        <w:rPr>
                          <w:rFonts w:hint="eastAsia" w:eastAsia="黑体"/>
                          <w:sz w:val="28"/>
                        </w:rPr>
                        <w:t>-</w:t>
                      </w:r>
                      <w:r>
                        <w:rPr>
                          <w:rFonts w:eastAsia="黑体"/>
                          <w:sz w:val="28"/>
                        </w:rPr>
                        <w:t>dandruff efficacy of cosmetic</w:t>
                      </w:r>
                      <w:r>
                        <w:rPr>
                          <w:rFonts w:hint="eastAsia" w:eastAsia="黑体"/>
                          <w:sz w:val="28"/>
                        </w:rPr>
                        <w:t xml:space="preserve"> products</w:t>
                      </w:r>
                    </w:p>
                    <w:p w14:paraId="099095A0">
                      <w:pPr>
                        <w:pStyle w:val="108"/>
                        <w:jc w:val="both"/>
                        <w:rPr>
                          <w:sz w:val="24"/>
                          <w:szCs w:val="24"/>
                        </w:rPr>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1684020</wp:posOffset>
                </wp:positionV>
                <wp:extent cx="5802630" cy="577850"/>
                <wp:effectExtent l="0" t="0" r="7620" b="0"/>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577850"/>
                        </a:xfrm>
                        <a:prstGeom prst="rect">
                          <a:avLst/>
                        </a:prstGeom>
                        <a:solidFill>
                          <a:srgbClr val="FFFFFF"/>
                        </a:solidFill>
                        <a:ln>
                          <a:noFill/>
                        </a:ln>
                        <a:effectLst/>
                      </wps:spPr>
                      <wps:txbx>
                        <w:txbxContent>
                          <w:p w14:paraId="18EA8BA7">
                            <w:pPr>
                              <w:pStyle w:val="93"/>
                              <w:rPr>
                                <w:rFonts w:ascii="黑体" w:hAnsi="黑体" w:eastAsia="黑体" w:cs="黑体"/>
                              </w:rPr>
                            </w:pPr>
                            <w:r>
                              <w:rPr>
                                <w:rFonts w:hint="eastAsia" w:ascii="黑体" w:hAnsi="黑体" w:eastAsia="黑体" w:cs="黑体"/>
                              </w:rPr>
                              <w:t>T/CAFFCI XX—2024</w:t>
                            </w:r>
                          </w:p>
                          <w:p w14:paraId="4367C4F0">
                            <w:pPr>
                              <w:pStyle w:val="93"/>
                              <w:rPr>
                                <w:rFonts w:ascii="黑体" w:eastAsia="黑体"/>
                                <w:b/>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0288;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paGoi2AAAAAgBAAAPAAAA&#10;AAAAAAEAIAAAACIAAABkcnMvZG93bnJldi54bWxQSwECFAAUAAAACACHTuJAWlgLoRUCAAA5BAAA&#10;DgAAAAAAAAABACAAAAAnAQAAZHJzL2Uyb0RvYy54bWxQSwUGAAAAAAYABgBZAQAArgUAAAAA&#10;">
                <v:fill on="t" focussize="0,0"/>
                <v:stroke on="f"/>
                <v:imagedata o:title=""/>
                <o:lock v:ext="edit" aspectratio="f"/>
                <v:textbox inset="0mm,0mm,0mm,0mm">
                  <w:txbxContent>
                    <w:p w14:paraId="18EA8BA7">
                      <w:pPr>
                        <w:pStyle w:val="93"/>
                        <w:rPr>
                          <w:rFonts w:ascii="黑体" w:hAnsi="黑体" w:eastAsia="黑体" w:cs="黑体"/>
                        </w:rPr>
                      </w:pPr>
                      <w:r>
                        <w:rPr>
                          <w:rFonts w:hint="eastAsia" w:ascii="黑体" w:hAnsi="黑体" w:eastAsia="黑体" w:cs="黑体"/>
                        </w:rPr>
                        <w:t>T/CAFFCI XX—2024</w:t>
                      </w:r>
                    </w:p>
                    <w:p w14:paraId="4367C4F0">
                      <w:pPr>
                        <w:pStyle w:val="93"/>
                        <w:rPr>
                          <w:rFonts w:ascii="黑体" w:eastAsia="黑体"/>
                          <w:b/>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1010920</wp:posOffset>
                </wp:positionV>
                <wp:extent cx="6120130" cy="772160"/>
                <wp:effectExtent l="0" t="0" r="0" b="889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772160"/>
                        </a:xfrm>
                        <a:prstGeom prst="rect">
                          <a:avLst/>
                        </a:prstGeom>
                        <a:solidFill>
                          <a:srgbClr val="FFFFFF"/>
                        </a:solidFill>
                        <a:ln>
                          <a:noFill/>
                        </a:ln>
                        <a:effectLst/>
                      </wps:spPr>
                      <wps:txbx>
                        <w:txbxContent>
                          <w:p w14:paraId="7D8EC283">
                            <w:pPr>
                              <w:pStyle w:val="88"/>
                              <w:rPr>
                                <w:bCs/>
                                <w:sz w:val="56"/>
                                <w:szCs w:val="72"/>
                              </w:rPr>
                            </w:pPr>
                            <w:r>
                              <w:rPr>
                                <w:rFonts w:hint="eastAsia"/>
                                <w:bCs/>
                                <w:sz w:val="56"/>
                                <w:szCs w:val="72"/>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59264;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QSS/2gAAAAsBAAAPAAAA&#10;AAAAAAEAIAAAACIAAABkcnMvZG93bnJldi54bWxQSwECFAAUAAAACACHTuJApWvegRMCAAA5BAAA&#10;DgAAAAAAAAABACAAAAApAQAAZHJzL2Uyb0RvYy54bWxQSwUGAAAAAAYABgBZAQAArgUAAAAA&#10;">
                <v:fill on="t" focussize="0,0"/>
                <v:stroke on="f"/>
                <v:imagedata o:title=""/>
                <o:lock v:ext="edit" aspectratio="f"/>
                <v:textbox inset="0mm,0mm,0mm,0mm">
                  <w:txbxContent>
                    <w:p w14:paraId="7D8EC283">
                      <w:pPr>
                        <w:pStyle w:val="88"/>
                        <w:rPr>
                          <w:bCs/>
                          <w:sz w:val="56"/>
                          <w:szCs w:val="72"/>
                        </w:rPr>
                      </w:pPr>
                      <w:r>
                        <w:rPr>
                          <w:rFonts w:hint="eastAsia"/>
                          <w:bCs/>
                          <w:sz w:val="56"/>
                          <w:szCs w:val="72"/>
                        </w:rPr>
                        <w:t>团体标准</w:t>
                      </w:r>
                    </w:p>
                  </w:txbxContent>
                </v:textbox>
                <w10:anchorlock/>
              </v:shape>
            </w:pict>
          </mc:Fallback>
        </mc:AlternateContent>
      </w:r>
    </w:p>
    <w:p w14:paraId="69879C21">
      <w:pPr>
        <w:pStyle w:val="78"/>
      </w:pPr>
      <w:r>
        <w:rPr>
          <w:rFonts w:hint="eastAsia"/>
        </w:rPr>
        <w:t>前    言</w:t>
      </w:r>
    </w:p>
    <w:p w14:paraId="101CAFC6">
      <w:pPr>
        <w:pStyle w:val="57"/>
        <w:ind w:firstLine="420"/>
        <w:rPr>
          <w:rFonts w:hAnsi="宋体"/>
        </w:rPr>
      </w:pPr>
      <w:r>
        <w:rPr>
          <w:rFonts w:hint="eastAsia" w:hAnsi="宋体"/>
        </w:rPr>
        <w:t>本</w:t>
      </w:r>
      <w:bookmarkStart w:id="3" w:name="_Hlk78642432"/>
      <w:r>
        <w:rPr>
          <w:rFonts w:hint="eastAsia" w:hAnsi="宋体"/>
        </w:rPr>
        <w:t>文件</w:t>
      </w:r>
      <w:bookmarkEnd w:id="3"/>
      <w:r>
        <w:rPr>
          <w:rFonts w:hint="eastAsia" w:hAnsi="宋体"/>
        </w:rPr>
        <w:t>按</w:t>
      </w:r>
      <w:r>
        <w:rPr>
          <w:rFonts w:ascii="Times New Roman"/>
        </w:rPr>
        <w:t>照GB/T 1.1</w:t>
      </w:r>
      <w:r>
        <w:rPr>
          <w:rFonts w:hint="eastAsia" w:ascii="Times New Roman"/>
        </w:rPr>
        <w:t>—</w:t>
      </w:r>
      <w:r>
        <w:rPr>
          <w:rFonts w:ascii="Times New Roman"/>
        </w:rPr>
        <w:t>2020《</w:t>
      </w:r>
      <w:r>
        <w:rPr>
          <w:rFonts w:hint="eastAsia" w:hAnsi="宋体"/>
        </w:rPr>
        <w:t>标准化工作导则  第1部分：标准化文件的结构和起草规则》的规定起草。</w:t>
      </w:r>
    </w:p>
    <w:p w14:paraId="2826DC7C">
      <w:pPr>
        <w:pStyle w:val="57"/>
        <w:ind w:firstLine="420"/>
        <w:rPr>
          <w:rFonts w:hAnsi="宋体"/>
        </w:rPr>
      </w:pPr>
      <w:r>
        <w:rPr>
          <w:rFonts w:hint="eastAsia" w:hAnsi="宋体"/>
        </w:rPr>
        <w:t>请注意本文件的某些内容可能涉及专利。本文件的发布机构不承担识别专利的责任。</w:t>
      </w:r>
    </w:p>
    <w:p w14:paraId="0A8338B1">
      <w:pPr>
        <w:pStyle w:val="57"/>
        <w:ind w:firstLine="420"/>
        <w:rPr>
          <w:rFonts w:hAnsi="宋体"/>
        </w:rPr>
      </w:pPr>
      <w:r>
        <w:rPr>
          <w:rFonts w:hint="eastAsia" w:hAnsi="宋体"/>
        </w:rPr>
        <w:t>本文件由中国香料香精化妆品工业协会提出并归口。</w:t>
      </w:r>
    </w:p>
    <w:p w14:paraId="587BEF58">
      <w:pPr>
        <w:pStyle w:val="57"/>
        <w:ind w:firstLine="420"/>
        <w:rPr>
          <w:rFonts w:hAnsi="宋体"/>
        </w:rPr>
      </w:pPr>
      <w:r>
        <w:rPr>
          <w:rFonts w:hint="eastAsia" w:hAnsi="宋体"/>
        </w:rPr>
        <w:t>本文件起草单位：。</w:t>
      </w:r>
    </w:p>
    <w:p w14:paraId="407625B8">
      <w:pPr>
        <w:pStyle w:val="57"/>
        <w:ind w:firstLine="420"/>
        <w:rPr>
          <w:rFonts w:hAnsi="宋体"/>
        </w:rPr>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r>
        <w:rPr>
          <w:rFonts w:hint="eastAsia" w:hAnsi="宋体"/>
        </w:rPr>
        <w:t>本文件主要起草人：。</w:t>
      </w:r>
    </w:p>
    <w:bookmarkEnd w:id="0"/>
    <w:p w14:paraId="09EE7AAD">
      <w:pPr>
        <w:pStyle w:val="77"/>
      </w:pPr>
      <w:bookmarkStart w:id="4" w:name="SectionMark4"/>
      <w:r>
        <w:rPr>
          <w:rFonts w:hint="eastAsia"/>
        </w:rPr>
        <w:t>化妆品去屑功效测试方法</w:t>
      </w:r>
    </w:p>
    <w:p w14:paraId="418BDB40">
      <w:pPr>
        <w:pStyle w:val="90"/>
        <w:spacing w:before="312" w:beforeLines="100" w:after="312" w:afterLines="100"/>
      </w:pPr>
      <w:r>
        <w:rPr>
          <w:rFonts w:hint="eastAsia"/>
        </w:rPr>
        <w:t>范围</w:t>
      </w:r>
    </w:p>
    <w:p w14:paraId="16B4AC75">
      <w:pPr>
        <w:pStyle w:val="57"/>
        <w:ind w:firstLine="420"/>
        <w:rPr>
          <w:rFonts w:hAnsi="宋体"/>
        </w:rPr>
      </w:pPr>
      <w:r>
        <w:rPr>
          <w:rFonts w:hint="eastAsia" w:hAnsi="宋体"/>
        </w:rPr>
        <w:t>本文件第一法描述了化妆品去屑功效的人体试验方法。</w:t>
      </w:r>
    </w:p>
    <w:p w14:paraId="56303BA0">
      <w:pPr>
        <w:pStyle w:val="57"/>
        <w:ind w:firstLine="420"/>
        <w:rPr>
          <w:rFonts w:hAnsi="宋体"/>
        </w:rPr>
      </w:pPr>
      <w:r>
        <w:rPr>
          <w:rFonts w:hint="eastAsia" w:hAnsi="宋体"/>
        </w:rPr>
        <w:t>本文件第二法描述了化妆品去屑功效的消费者使用测试方法。</w:t>
      </w:r>
    </w:p>
    <w:p w14:paraId="282C867A">
      <w:pPr>
        <w:pStyle w:val="57"/>
        <w:ind w:firstLine="420"/>
        <w:rPr>
          <w:rFonts w:hAnsi="宋体"/>
          <w:color w:val="FF0000"/>
        </w:rPr>
      </w:pPr>
      <w:r>
        <w:rPr>
          <w:rFonts w:hint="eastAsia" w:hAnsi="宋体"/>
        </w:rPr>
        <w:t>本文件第三法描述了化妆品去屑功效的抑菌测试方法，适用于通过抑制马拉色菌生长和（或）繁殖而起到去屑作用的淋洗类化妆品，化妆品原料可参照使用。</w:t>
      </w:r>
    </w:p>
    <w:p w14:paraId="493BBE8F">
      <w:pPr>
        <w:pStyle w:val="90"/>
        <w:spacing w:before="312" w:beforeLines="100" w:after="312" w:afterLines="100"/>
      </w:pPr>
      <w:r>
        <w:rPr>
          <w:rFonts w:hint="eastAsia"/>
        </w:rPr>
        <w:t>规范性引用文件</w:t>
      </w:r>
    </w:p>
    <w:p w14:paraId="0DB44791">
      <w:pPr>
        <w:pStyle w:val="57"/>
        <w:ind w:firstLine="420"/>
        <w:rPr>
          <w:rFonts w:ascii="Times New Roman"/>
        </w:rPr>
      </w:pPr>
      <w:r>
        <w:rPr>
          <w:rFonts w:hint="eastAsia" w:ascii="Times New Roman"/>
        </w:rPr>
        <w:t>本文件没有规范性引用文件。</w:t>
      </w:r>
    </w:p>
    <w:bookmarkEnd w:id="4"/>
    <w:p w14:paraId="60B13899">
      <w:pPr>
        <w:pStyle w:val="90"/>
        <w:spacing w:before="312" w:beforeLines="100" w:after="312" w:afterLines="100"/>
      </w:pPr>
      <w:r>
        <w:rPr>
          <w:rFonts w:hint="eastAsia"/>
        </w:rPr>
        <w:t>术语和定义</w:t>
      </w:r>
    </w:p>
    <w:p w14:paraId="46C63203">
      <w:pPr>
        <w:pStyle w:val="120"/>
        <w:ind w:firstLine="420"/>
      </w:pPr>
      <w:sdt>
        <w:sdtPr>
          <w:id w:val="-1909835108"/>
          <w:placeholder>
            <w:docPart w:val="8CDD7A4A73AA4209BD27A1F8310A09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14:paraId="40EB0EF3">
      <w:pPr>
        <w:pStyle w:val="129"/>
        <w:numPr>
          <w:ilvl w:val="2"/>
          <w:numId w:val="1"/>
        </w:numPr>
        <w:ind w:left="0"/>
        <w:rPr>
          <w:rFonts w:ascii="黑体" w:hAnsi="黑体" w:eastAsia="黑体"/>
        </w:rPr>
      </w:pPr>
      <w:r>
        <w:rPr>
          <w:rFonts w:ascii="黑体" w:hAnsi="黑体" w:eastAsia="黑体"/>
        </w:rPr>
        <w:br w:type="textWrapping"/>
      </w:r>
      <w:r>
        <w:rPr>
          <w:rFonts w:hint="eastAsia" w:ascii="黑体" w:hAnsi="黑体" w:eastAsia="黑体"/>
        </w:rPr>
        <w:t xml:space="preserve">    去屑 a</w:t>
      </w:r>
      <w:r>
        <w:rPr>
          <w:rFonts w:ascii="黑体" w:hAnsi="黑体" w:eastAsia="黑体"/>
        </w:rPr>
        <w:t>nti</w:t>
      </w:r>
      <w:r>
        <w:rPr>
          <w:rFonts w:hint="eastAsia" w:ascii="黑体" w:hAnsi="黑体" w:eastAsia="黑体"/>
        </w:rPr>
        <w:t>-</w:t>
      </w:r>
      <w:r>
        <w:rPr>
          <w:rFonts w:ascii="黑体" w:hAnsi="黑体" w:eastAsia="黑体"/>
        </w:rPr>
        <w:t>dandruff</w:t>
      </w:r>
    </w:p>
    <w:p w14:paraId="6BB213A9">
      <w:pPr>
        <w:pStyle w:val="120"/>
        <w:ind w:firstLine="420"/>
      </w:pPr>
      <w:r>
        <w:rPr>
          <w:rFonts w:hint="eastAsia"/>
        </w:rPr>
        <w:t>有助于减缓头屑的产生；有助于减少附着于头皮、头发的头屑。</w:t>
      </w:r>
    </w:p>
    <w:p w14:paraId="1A2162E1">
      <w:pPr>
        <w:pStyle w:val="130"/>
        <w:spacing w:before="312" w:beforeLines="100" w:after="312" w:afterLines="100"/>
        <w:jc w:val="center"/>
        <w:outlineLvl w:val="0"/>
        <w:rPr>
          <w:rFonts w:ascii="黑体" w:eastAsia="黑体"/>
          <w:sz w:val="24"/>
          <w:szCs w:val="24"/>
        </w:rPr>
      </w:pPr>
      <w:r>
        <w:rPr>
          <w:rFonts w:hint="eastAsia" w:ascii="黑体" w:eastAsia="黑体"/>
          <w:sz w:val="24"/>
          <w:szCs w:val="24"/>
        </w:rPr>
        <w:t>第一法 人体功效评价试验方法</w:t>
      </w:r>
    </w:p>
    <w:p w14:paraId="6F304D1D">
      <w:pPr>
        <w:pStyle w:val="90"/>
        <w:spacing w:before="312" w:beforeLines="100" w:after="312" w:afterLines="100"/>
      </w:pPr>
      <w:r>
        <w:rPr>
          <w:rFonts w:hint="eastAsia"/>
        </w:rPr>
        <w:t>基本原则</w:t>
      </w:r>
    </w:p>
    <w:p w14:paraId="3DEDBA6B">
      <w:pPr>
        <w:pStyle w:val="129"/>
        <w:numPr>
          <w:ilvl w:val="2"/>
          <w:numId w:val="1"/>
        </w:numPr>
        <w:ind w:left="0"/>
      </w:pPr>
      <w:r>
        <w:rPr>
          <w:rFonts w:hint="eastAsia"/>
        </w:rPr>
        <w:t>化妆品人体功效评价测试应当遵守伦理学原则,要求受试者签署知情同意书并采取必要的医学防护措施,最大程度地保护受试者的利益。</w:t>
      </w:r>
    </w:p>
    <w:p w14:paraId="400CDB9F">
      <w:pPr>
        <w:pStyle w:val="129"/>
        <w:numPr>
          <w:ilvl w:val="2"/>
          <w:numId w:val="1"/>
        </w:numPr>
        <w:ind w:left="0"/>
        <w:rPr>
          <w:rFonts w:ascii="黑体" w:eastAsia="黑体"/>
          <w:sz w:val="24"/>
          <w:szCs w:val="24"/>
        </w:rPr>
      </w:pPr>
      <w:r>
        <w:rPr>
          <w:rFonts w:hint="eastAsia"/>
        </w:rPr>
        <w:t>受试产品应先完成必要的产品安全性评价,安全性评价不合格的产品不应进行人体试验。</w:t>
      </w:r>
    </w:p>
    <w:p w14:paraId="7E0F593E">
      <w:pPr>
        <w:pStyle w:val="90"/>
        <w:spacing w:before="156" w:after="156"/>
      </w:pPr>
      <w:r>
        <w:rPr>
          <w:rFonts w:hint="eastAsia"/>
        </w:rPr>
        <w:t>仪器和设备</w:t>
      </w:r>
    </w:p>
    <w:p w14:paraId="5210DB3A">
      <w:pPr>
        <w:pStyle w:val="129"/>
        <w:numPr>
          <w:ilvl w:val="2"/>
          <w:numId w:val="1"/>
        </w:numPr>
        <w:ind w:left="0"/>
      </w:pPr>
      <w:r>
        <w:rPr>
          <w:rFonts w:ascii="Times New Roman"/>
        </w:rPr>
        <w:t>图像分析系统：</w:t>
      </w:r>
      <w:r>
        <w:rPr>
          <w:rFonts w:hint="eastAsia" w:ascii="Times New Roman"/>
        </w:rPr>
        <w:t>可以分析头屑面积。</w:t>
      </w:r>
    </w:p>
    <w:p w14:paraId="691D6537">
      <w:pPr>
        <w:pStyle w:val="56"/>
        <w:ind w:left="0"/>
        <w:rPr>
          <w:rFonts w:eastAsia="宋体"/>
        </w:rPr>
      </w:pPr>
      <w:r>
        <w:rPr>
          <w:rFonts w:hint="eastAsia" w:eastAsia="宋体"/>
        </w:rPr>
        <w:t>梳子：抗静电，梳齿密度适中（齿间距0.9 mm～1.1 mm），梳齿长度为2.0 cm～3.0 cm，梳子长度不少于10 cm（不含梳子把柄），整个试验过程中必须使用同一规格和材质的梳子，每次使用后参照相关求进行消毒。</w:t>
      </w:r>
    </w:p>
    <w:p w14:paraId="4A60DCD7">
      <w:pPr>
        <w:pStyle w:val="56"/>
        <w:ind w:left="0"/>
      </w:pPr>
      <w:r>
        <w:rPr>
          <w:rFonts w:hint="eastAsia" w:eastAsia="宋体"/>
        </w:rPr>
        <w:t>皮肤镜：LED灯光源，波长450 nm～750 nm，色温6 500 K～8 000 K，照度不低于540 lx，检测直径不小于1.0 cm或面积不少于</w:t>
      </w:r>
      <w:r>
        <w:rPr>
          <w:rFonts w:hint="eastAsia"/>
        </w:rPr>
        <w:t>0.8 cm</w:t>
      </w:r>
      <w:r>
        <w:rPr>
          <w:rFonts w:hint="eastAsia"/>
          <w:vertAlign w:val="superscript"/>
        </w:rPr>
        <w:t>2</w:t>
      </w:r>
      <w:r>
        <w:rPr>
          <w:rFonts w:hint="eastAsia"/>
        </w:rPr>
        <w:t>。</w:t>
      </w:r>
    </w:p>
    <w:p w14:paraId="1D0F9133">
      <w:pPr>
        <w:pStyle w:val="129"/>
        <w:numPr>
          <w:ilvl w:val="2"/>
          <w:numId w:val="1"/>
        </w:numPr>
        <w:ind w:left="0"/>
      </w:pPr>
      <w:r>
        <w:rPr>
          <w:rFonts w:hint="eastAsia" w:ascii="Times New Roman"/>
        </w:rPr>
        <w:t>专业数码相机：像素不低于1500万，整个试验过程中包括光圈大小、感光度（ISO）及焦距等参数保持一致。</w:t>
      </w:r>
    </w:p>
    <w:p w14:paraId="2FF8C18C">
      <w:pPr>
        <w:pStyle w:val="90"/>
        <w:spacing w:before="312" w:beforeLines="100" w:after="312" w:afterLines="100"/>
      </w:pPr>
      <w:r>
        <w:rPr>
          <w:rFonts w:hint="eastAsia"/>
        </w:rPr>
        <w:t>受试者要求</w:t>
      </w:r>
    </w:p>
    <w:p w14:paraId="078F7715">
      <w:pPr>
        <w:pStyle w:val="56"/>
        <w:spacing w:before="156" w:beforeLines="50" w:after="156" w:afterLines="50"/>
        <w:ind w:left="2"/>
      </w:pPr>
      <w:r>
        <w:rPr>
          <w:rFonts w:hint="eastAsia"/>
        </w:rPr>
        <w:t>受试者人数</w:t>
      </w:r>
    </w:p>
    <w:p w14:paraId="71A6402F">
      <w:pPr>
        <w:pStyle w:val="57"/>
        <w:ind w:firstLine="420"/>
        <w:rPr>
          <w:rFonts w:hAnsi="宋体" w:cs="宋体"/>
          <w:szCs w:val="21"/>
        </w:rPr>
      </w:pPr>
    </w:p>
    <w:p w14:paraId="06F6BBAE">
      <w:pPr>
        <w:pStyle w:val="57"/>
        <w:ind w:firstLine="420"/>
        <w:rPr>
          <w:rFonts w:hAnsi="宋体" w:cs="宋体"/>
          <w:szCs w:val="21"/>
        </w:rPr>
      </w:pPr>
      <w:r>
        <w:rPr>
          <w:rFonts w:hint="eastAsia" w:hAnsi="宋体" w:cs="宋体"/>
          <w:szCs w:val="21"/>
        </w:rPr>
        <w:t>按入选和排除标准选择合格的受试者，</w:t>
      </w:r>
      <w:r>
        <w:rPr>
          <w:rFonts w:hint="eastAsia" w:hAnsi="宋体"/>
        </w:rPr>
        <w:t>分组方式可只设置试验组，也可选择设置试验组和对照组，</w:t>
      </w:r>
      <w:r>
        <w:rPr>
          <w:rFonts w:hint="eastAsia" w:hAnsi="宋体" w:cs="宋体"/>
          <w:szCs w:val="21"/>
        </w:rPr>
        <w:t>确保最终完成有效人数不少</w:t>
      </w:r>
      <w:r>
        <w:rPr>
          <w:rFonts w:ascii="Times New Roman"/>
          <w:szCs w:val="21"/>
        </w:rPr>
        <w:t>于30人/组。</w:t>
      </w:r>
    </w:p>
    <w:p w14:paraId="770FDE8E">
      <w:pPr>
        <w:pStyle w:val="56"/>
        <w:spacing w:before="156" w:beforeLines="50" w:after="156" w:afterLines="50"/>
        <w:ind w:left="0"/>
        <w:rPr>
          <w:rFonts w:ascii="宋体" w:hAnsi="宋体"/>
        </w:rPr>
      </w:pPr>
      <w:r>
        <w:rPr>
          <w:rFonts w:hint="eastAsia" w:ascii="宋体" w:hAnsi="宋体"/>
        </w:rPr>
        <w:t>入选标准</w:t>
      </w:r>
    </w:p>
    <w:p w14:paraId="79DC4105">
      <w:pPr>
        <w:pStyle w:val="61"/>
        <w:rPr>
          <w:rFonts w:eastAsia="新宋体"/>
        </w:rPr>
      </w:pPr>
      <w:r>
        <w:rPr>
          <w:rFonts w:hint="eastAsia" w:eastAsia="新宋体"/>
        </w:rPr>
        <w:t>18岁～60岁，身体健康男性和/或女性；受试者年龄和性别比例可根据具体试验产品使用说明所述消费对象相应确定。</w:t>
      </w:r>
    </w:p>
    <w:p w14:paraId="417E645B">
      <w:pPr>
        <w:pStyle w:val="61"/>
      </w:pPr>
      <w:r>
        <w:rPr>
          <w:rFonts w:hint="eastAsia" w:eastAsia="新宋体"/>
        </w:rPr>
        <w:t>有头屑困扰，根据头屑评分（评分方法和评分标准见10.1）大于等于10分，且至少1周洗脱期后仍大于等于10分者，或者其他相似的评分体系。</w:t>
      </w:r>
    </w:p>
    <w:p w14:paraId="65E0CAEA">
      <w:pPr>
        <w:pStyle w:val="61"/>
      </w:pPr>
      <w:r>
        <w:rPr>
          <w:rFonts w:hint="eastAsia" w:eastAsia="新宋体"/>
        </w:rPr>
        <w:t>头皮应无割伤和擦伤等情况。</w:t>
      </w:r>
    </w:p>
    <w:p w14:paraId="4747CE2C">
      <w:pPr>
        <w:pStyle w:val="61"/>
        <w:rPr>
          <w:rFonts w:eastAsia="新宋体"/>
        </w:rPr>
      </w:pPr>
      <w:r>
        <w:rPr>
          <w:rFonts w:hint="eastAsia" w:eastAsia="新宋体"/>
        </w:rPr>
        <w:t>能够理解试验过程，自愿参加试验并签署书面知情同意书者。</w:t>
      </w:r>
    </w:p>
    <w:p w14:paraId="60CB6068">
      <w:pPr>
        <w:pStyle w:val="61"/>
        <w:rPr>
          <w:rFonts w:eastAsia="新宋体"/>
        </w:rPr>
      </w:pPr>
      <w:r>
        <w:rPr>
          <w:rFonts w:hint="eastAsia" w:eastAsia="新宋体"/>
        </w:rPr>
        <w:t>每周洗头次数≥2次。</w:t>
      </w:r>
    </w:p>
    <w:p w14:paraId="7DBAE33D">
      <w:pPr>
        <w:pStyle w:val="56"/>
        <w:spacing w:before="156" w:beforeLines="50" w:after="156" w:afterLines="50"/>
        <w:ind w:left="2"/>
      </w:pPr>
      <w:r>
        <w:rPr>
          <w:rFonts w:hint="eastAsia"/>
        </w:rPr>
        <w:t>排除标准</w:t>
      </w:r>
    </w:p>
    <w:p w14:paraId="486C23E9">
      <w:pPr>
        <w:pStyle w:val="61"/>
        <w:rPr>
          <w:rFonts w:eastAsia="新宋体"/>
        </w:rPr>
      </w:pPr>
      <w:r>
        <w:rPr>
          <w:rFonts w:hint="eastAsia" w:eastAsia="新宋体"/>
        </w:rPr>
        <w:t>妊娠或哺乳期妇女，或近期有备孕计划者。</w:t>
      </w:r>
    </w:p>
    <w:p w14:paraId="7C9F02E9">
      <w:pPr>
        <w:pStyle w:val="61"/>
        <w:rPr>
          <w:rFonts w:eastAsia="新宋体"/>
        </w:rPr>
      </w:pPr>
      <w:r>
        <w:rPr>
          <w:rFonts w:hint="eastAsia" w:eastAsia="新宋体"/>
        </w:rPr>
        <w:t>有重度脂溢性皮炎、银屑病、胞疹、重度雄激素源性脱发、斑秃、炎性瘢痕性脱发或其它患有头皮/毛发疾病患者。</w:t>
      </w:r>
    </w:p>
    <w:p w14:paraId="279F2022">
      <w:pPr>
        <w:pStyle w:val="61"/>
        <w:rPr>
          <w:rFonts w:eastAsia="新宋体"/>
        </w:rPr>
      </w:pPr>
      <w:r>
        <w:rPr>
          <w:rFonts w:hint="eastAsia" w:eastAsia="新宋体"/>
        </w:rPr>
        <w:t>患有精神类或心理疾病者；或者有长期睡眠、情绪控制障碍者。</w:t>
      </w:r>
    </w:p>
    <w:p w14:paraId="3C2D55A6">
      <w:pPr>
        <w:pStyle w:val="61"/>
        <w:rPr>
          <w:rFonts w:eastAsia="新宋体"/>
        </w:rPr>
      </w:pPr>
      <w:r>
        <w:rPr>
          <w:rFonts w:hint="eastAsia" w:eastAsia="新宋体"/>
        </w:rPr>
        <w:t>有严重系统疾病、免疫缺陷或自身免疫性疾病者。</w:t>
      </w:r>
    </w:p>
    <w:p w14:paraId="2B641FB9">
      <w:pPr>
        <w:pStyle w:val="61"/>
        <w:rPr>
          <w:rFonts w:eastAsia="新宋体"/>
        </w:rPr>
      </w:pPr>
      <w:r>
        <w:rPr>
          <w:rFonts w:hint="eastAsia" w:eastAsia="新宋体"/>
        </w:rPr>
        <w:t>近1个月内进行过染发、烫发等特殊美发处理者。</w:t>
      </w:r>
    </w:p>
    <w:p w14:paraId="77F8F38F">
      <w:pPr>
        <w:pStyle w:val="61"/>
        <w:rPr>
          <w:rFonts w:eastAsia="新宋体"/>
        </w:rPr>
      </w:pPr>
      <w:r>
        <w:rPr>
          <w:rFonts w:hint="eastAsia" w:eastAsia="新宋体"/>
        </w:rPr>
        <w:t>近1个月内使用过具有去屑功效的化妆品或其他具有此类功效的产品者。</w:t>
      </w:r>
    </w:p>
    <w:p w14:paraId="63440684">
      <w:pPr>
        <w:pStyle w:val="61"/>
        <w:rPr>
          <w:rFonts w:eastAsia="新宋体"/>
        </w:rPr>
      </w:pPr>
      <w:r>
        <w:rPr>
          <w:rFonts w:hint="eastAsia" w:eastAsia="新宋体"/>
        </w:rPr>
        <w:t>近6个月内服用过或局部使用过任何影响头屑的药物者。</w:t>
      </w:r>
    </w:p>
    <w:p w14:paraId="410F3EBD">
      <w:pPr>
        <w:pStyle w:val="61"/>
        <w:rPr>
          <w:rFonts w:eastAsia="新宋体"/>
        </w:rPr>
      </w:pPr>
      <w:r>
        <w:rPr>
          <w:rFonts w:hint="eastAsia" w:eastAsia="新宋体"/>
        </w:rPr>
        <w:t>近6个月内接受过植发、激光等头皮治疗以及其他可能影响试验结果的治疗者。</w:t>
      </w:r>
    </w:p>
    <w:p w14:paraId="24E7A3D5">
      <w:pPr>
        <w:pStyle w:val="61"/>
        <w:rPr>
          <w:rFonts w:eastAsia="新宋体"/>
        </w:rPr>
      </w:pPr>
      <w:r>
        <w:rPr>
          <w:rFonts w:hint="eastAsia" w:eastAsia="新宋体"/>
        </w:rPr>
        <w:t>体质高度敏感者。</w:t>
      </w:r>
    </w:p>
    <w:p w14:paraId="31238034">
      <w:pPr>
        <w:pStyle w:val="61"/>
        <w:rPr>
          <w:rFonts w:eastAsia="新宋体"/>
        </w:rPr>
      </w:pPr>
      <w:r>
        <w:rPr>
          <w:rFonts w:hint="eastAsia" w:eastAsia="新宋体"/>
        </w:rPr>
        <w:t>近2个月内受试部位参加过其他临床试验者。</w:t>
      </w:r>
    </w:p>
    <w:p w14:paraId="2215C23D">
      <w:pPr>
        <w:pStyle w:val="61"/>
        <w:rPr>
          <w:rFonts w:eastAsia="新宋体"/>
        </w:rPr>
      </w:pPr>
      <w:r>
        <w:rPr>
          <w:rFonts w:hint="eastAsia" w:eastAsia="新宋体"/>
        </w:rPr>
        <w:t>临床评估认为不适合参加试验者。</w:t>
      </w:r>
    </w:p>
    <w:p w14:paraId="2DCBBB43">
      <w:pPr>
        <w:pStyle w:val="56"/>
        <w:spacing w:before="156" w:beforeLines="50" w:after="156" w:afterLines="50"/>
        <w:ind w:left="2"/>
      </w:pPr>
      <w:r>
        <w:rPr>
          <w:rFonts w:hint="eastAsia"/>
        </w:rPr>
        <w:t>限制条件</w:t>
      </w:r>
    </w:p>
    <w:p w14:paraId="43053B3E">
      <w:pPr>
        <w:pStyle w:val="61"/>
        <w:rPr>
          <w:rFonts w:eastAsia="新宋体"/>
        </w:rPr>
      </w:pPr>
      <w:r>
        <w:rPr>
          <w:rFonts w:hint="eastAsia" w:eastAsia="新宋体"/>
        </w:rPr>
        <w:t>受试者筛选和试验期间每次访视前指定时间（如48 h</w:t>
      </w:r>
      <w:r>
        <w:rPr>
          <w:rFonts w:hint="eastAsia" w:asciiTheme="minorEastAsia" w:hAnsiTheme="minorEastAsia" w:eastAsiaTheme="minorEastAsia"/>
        </w:rPr>
        <w:t>±</w:t>
      </w:r>
      <w:r>
        <w:rPr>
          <w:rFonts w:hint="eastAsia" w:eastAsia="新宋体"/>
        </w:rPr>
        <w:t>4 h）内不能洗头，且每次访视前不洗头发的时间基本保持一致，访视当天不能自行梳发。</w:t>
      </w:r>
    </w:p>
    <w:p w14:paraId="74B34988">
      <w:pPr>
        <w:pStyle w:val="61"/>
        <w:rPr>
          <w:rFonts w:eastAsia="新宋体"/>
        </w:rPr>
      </w:pPr>
      <w:r>
        <w:rPr>
          <w:rFonts w:hint="eastAsia" w:eastAsia="新宋体"/>
        </w:rPr>
        <w:t>在试验期间受试者仅使用测试化妆品，不能进行任何头发护理和美发处理措施（例如染发、烫发等）或剪发，也不能接受任何去屑方面的治疗。</w:t>
      </w:r>
    </w:p>
    <w:p w14:paraId="07B00987">
      <w:pPr>
        <w:pStyle w:val="61"/>
        <w:rPr>
          <w:rFonts w:eastAsia="新宋体"/>
        </w:rPr>
      </w:pPr>
      <w:r>
        <w:rPr>
          <w:rFonts w:hint="eastAsia" w:eastAsia="新宋体"/>
        </w:rPr>
        <w:t>在试验期间受试者的生活、饮食、运动等习惯应没有大的改变。</w:t>
      </w:r>
    </w:p>
    <w:p w14:paraId="4D7F7814">
      <w:pPr>
        <w:pStyle w:val="90"/>
        <w:spacing w:before="156" w:after="156"/>
      </w:pPr>
      <w:r>
        <w:rPr>
          <w:rFonts w:hint="eastAsia"/>
        </w:rPr>
        <w:t>试验条件</w:t>
      </w:r>
    </w:p>
    <w:p w14:paraId="7FCF01FB">
      <w:pPr>
        <w:pStyle w:val="56"/>
        <w:ind w:left="2"/>
        <w:rPr>
          <w:rFonts w:eastAsia="宋体"/>
        </w:rPr>
      </w:pPr>
      <w:r>
        <w:rPr>
          <w:rFonts w:hint="eastAsia" w:eastAsia="宋体"/>
        </w:rPr>
        <w:t>环境温、湿度要求</w:t>
      </w:r>
      <w:r>
        <w:rPr>
          <w:rFonts w:eastAsia="宋体"/>
        </w:rPr>
        <w:t>：</w:t>
      </w:r>
      <w:r>
        <w:rPr>
          <w:rFonts w:hint="eastAsia" w:eastAsia="宋体"/>
        </w:rPr>
        <w:t>所有评测的环境温度应在波动范围±2 ℃，相对湿度应在波动范围±</w:t>
      </w:r>
      <w:r>
        <w:rPr>
          <w:rFonts w:eastAsia="宋体"/>
        </w:rPr>
        <w:t>10</w:t>
      </w:r>
      <w:r>
        <w:rPr>
          <w:rFonts w:hint="eastAsia" w:eastAsia="宋体"/>
        </w:rPr>
        <w:t xml:space="preserve"> </w:t>
      </w:r>
      <w:r>
        <w:rPr>
          <w:rFonts w:eastAsia="宋体"/>
        </w:rPr>
        <w:t>%</w:t>
      </w:r>
      <w:r>
        <w:rPr>
          <w:rFonts w:hint="eastAsia" w:eastAsia="宋体"/>
        </w:rPr>
        <w:t xml:space="preserve">，并进行实时动态监测，建议环境温度为（21±2）℃，相对湿度为（50±10）%。受试者需在此环境条件下适应至少30 min后方可进行测试和评估。 </w:t>
      </w:r>
    </w:p>
    <w:p w14:paraId="3D83789B">
      <w:pPr>
        <w:pStyle w:val="56"/>
        <w:ind w:left="2"/>
        <w:rPr>
          <w:rFonts w:eastAsia="宋体"/>
        </w:rPr>
      </w:pPr>
      <w:r>
        <w:rPr>
          <w:rFonts w:hint="eastAsia" w:eastAsia="宋体"/>
        </w:rPr>
        <w:t>环境光照度要求：临床评估应在恒定光照条件（色温5 500 K～6 500 K的日光灯管或LED光照）下进行。</w:t>
      </w:r>
    </w:p>
    <w:p w14:paraId="7495582D">
      <w:pPr>
        <w:pStyle w:val="56"/>
        <w:ind w:left="2"/>
      </w:pPr>
      <w:r>
        <w:rPr>
          <w:rFonts w:hint="eastAsia" w:eastAsia="宋体"/>
        </w:rPr>
        <w:t>试验过程中的测试条件应保持一致，如测试人员、场所、环境、仪器设备及其参数、测试体位等。</w:t>
      </w:r>
    </w:p>
    <w:p w14:paraId="7715A330">
      <w:pPr>
        <w:pStyle w:val="90"/>
        <w:spacing w:before="156" w:after="156"/>
      </w:pPr>
      <w:r>
        <w:rPr>
          <w:rFonts w:hint="eastAsia"/>
        </w:rPr>
        <w:t>受试物</w:t>
      </w:r>
    </w:p>
    <w:p w14:paraId="64BF6F48">
      <w:pPr>
        <w:pStyle w:val="56"/>
        <w:ind w:left="2"/>
        <w:rPr>
          <w:rFonts w:eastAsia="宋体"/>
        </w:rPr>
      </w:pPr>
      <w:r>
        <w:rPr>
          <w:rFonts w:hint="eastAsia" w:eastAsia="新宋体"/>
        </w:rPr>
        <w:t>试验产品：宣称具有去屑功效的化妆品。</w:t>
      </w:r>
    </w:p>
    <w:p w14:paraId="2B529307">
      <w:pPr>
        <w:pStyle w:val="56"/>
        <w:ind w:left="0"/>
        <w:rPr>
          <w:rFonts w:eastAsia="新宋体"/>
        </w:rPr>
      </w:pPr>
      <w:r>
        <w:rPr>
          <w:rFonts w:hint="eastAsia" w:eastAsia="新宋体"/>
        </w:rPr>
        <w:t>洗脱期产品：安慰剂或基质配方产品，洗脱期内试验组和对照组（设置对照组时）均使用。</w:t>
      </w:r>
    </w:p>
    <w:p w14:paraId="1A3AD162">
      <w:pPr>
        <w:pStyle w:val="56"/>
        <w:ind w:left="2"/>
        <w:rPr>
          <w:rFonts w:eastAsia="宋体"/>
        </w:rPr>
      </w:pPr>
      <w:r>
        <w:rPr>
          <w:rFonts w:hint="eastAsia" w:eastAsia="新宋体"/>
        </w:rPr>
        <w:t>对照产品（设置对照组时）：同洗脱期产品，与试验产品平行测试。</w:t>
      </w:r>
    </w:p>
    <w:p w14:paraId="1558C2D8">
      <w:pPr>
        <w:pStyle w:val="56"/>
        <w:ind w:left="0"/>
        <w:rPr>
          <w:rFonts w:eastAsia="新宋体"/>
        </w:rPr>
      </w:pPr>
      <w:r>
        <w:rPr>
          <w:rFonts w:hint="eastAsia" w:eastAsia="新宋体"/>
        </w:rPr>
        <w:t>回归期产品（选做回归期时）：同洗脱期产品，回归期内试验组和对照组（设置对照组时）均使用。</w:t>
      </w:r>
    </w:p>
    <w:p w14:paraId="63FC1783">
      <w:pPr>
        <w:pStyle w:val="56"/>
        <w:ind w:left="2"/>
        <w:rPr>
          <w:rFonts w:eastAsia="宋体"/>
        </w:rPr>
      </w:pPr>
      <w:r>
        <w:rPr>
          <w:rFonts w:hint="eastAsia" w:eastAsia="新宋体"/>
        </w:rPr>
        <w:t>使用方法：由工作人员发放产品，并根据使用说明对受试者进行产品使用指导，确保受试者在试验周期内正确使用受试物。试验产品至少使用2周，每周至少使用3次，试验期间要求受试者记录使用时间及使用过程中的任何不适感和不良反应症状。</w:t>
      </w:r>
    </w:p>
    <w:p w14:paraId="1D33E54F">
      <w:pPr>
        <w:pStyle w:val="90"/>
        <w:spacing w:before="156" w:after="156"/>
      </w:pPr>
      <w:r>
        <w:rPr>
          <w:rFonts w:hint="eastAsia"/>
        </w:rPr>
        <w:t>试验步骤</w:t>
      </w:r>
    </w:p>
    <w:p w14:paraId="4C97CFF0">
      <w:pPr>
        <w:pStyle w:val="56"/>
        <w:spacing w:before="156" w:beforeLines="50" w:after="156" w:afterLines="50"/>
        <w:ind w:left="0"/>
      </w:pPr>
      <w:r>
        <w:rPr>
          <w:rFonts w:hint="eastAsia"/>
        </w:rPr>
        <w:t>受试者招募</w:t>
      </w:r>
    </w:p>
    <w:p w14:paraId="621679DE">
      <w:pPr>
        <w:pStyle w:val="57"/>
        <w:ind w:firstLine="420"/>
      </w:pPr>
      <w:r>
        <w:rPr>
          <w:rFonts w:hint="eastAsia"/>
        </w:rPr>
        <w:t>按照要求招募入组志愿受试者，签署书面知情同意书。入组前根据入选和排除标准等询问受试者一系列关于疾病史、健康状况等问题，同时记录头屑评分。符合条件的纳入洗脱期。</w:t>
      </w:r>
    </w:p>
    <w:p w14:paraId="2BCCA19B">
      <w:pPr>
        <w:pStyle w:val="56"/>
        <w:spacing w:before="156" w:beforeLines="50" w:after="156" w:afterLines="50"/>
        <w:ind w:left="0"/>
      </w:pPr>
      <w:r>
        <w:rPr>
          <w:rFonts w:hint="eastAsia"/>
        </w:rPr>
        <w:t>洗脱期</w:t>
      </w:r>
    </w:p>
    <w:p w14:paraId="6B3E9F7F">
      <w:pPr>
        <w:pStyle w:val="57"/>
        <w:ind w:firstLine="420"/>
      </w:pPr>
      <w:r>
        <w:rPr>
          <w:rFonts w:hint="eastAsia"/>
        </w:rPr>
        <w:t>合格受试者进</w:t>
      </w:r>
      <w:r>
        <w:rPr>
          <w:rFonts w:ascii="Times New Roman"/>
        </w:rPr>
        <w:t>行</w:t>
      </w:r>
      <w:r>
        <w:rPr>
          <w:rFonts w:hint="eastAsia" w:ascii="Times New Roman"/>
        </w:rPr>
        <w:t>至少1周</w:t>
      </w:r>
      <w:r>
        <w:rPr>
          <w:rFonts w:hint="eastAsia"/>
        </w:rPr>
        <w:t>洗脱期，洗脱期使用洗脱期产品；洗脱期结束后再次进行头屑评分，评分仍符合条件的</w:t>
      </w:r>
      <w:r>
        <w:rPr>
          <w:rFonts w:ascii="Times New Roman"/>
        </w:rPr>
        <w:t>才能</w:t>
      </w:r>
      <w:r>
        <w:rPr>
          <w:rFonts w:hint="eastAsia" w:ascii="Times New Roman"/>
        </w:rPr>
        <w:t>纳入试用期</w:t>
      </w:r>
      <w:r>
        <w:rPr>
          <w:rFonts w:hint="eastAsia"/>
        </w:rPr>
        <w:t>。</w:t>
      </w:r>
    </w:p>
    <w:p w14:paraId="60596FC2">
      <w:pPr>
        <w:pStyle w:val="56"/>
        <w:spacing w:before="156" w:beforeLines="50" w:after="156" w:afterLines="50"/>
        <w:ind w:left="0"/>
      </w:pPr>
      <w:r>
        <w:rPr>
          <w:rFonts w:hint="eastAsia"/>
        </w:rPr>
        <w:t>试用期</w:t>
      </w:r>
    </w:p>
    <w:p w14:paraId="0E6C70E7">
      <w:pPr>
        <w:pStyle w:val="61"/>
        <w:rPr>
          <w:rFonts w:eastAsia="宋体"/>
        </w:rPr>
      </w:pPr>
      <w:r>
        <w:rPr>
          <w:rFonts w:eastAsia="宋体"/>
        </w:rPr>
        <w:t>对入选受试者进行使用产品前的头屑评分或头屑面积测试，并记录；产品使用后每2周（2周</w:t>
      </w:r>
      <w:r>
        <w:rPr>
          <w:rFonts w:asciiTheme="minorEastAsia" w:hAnsiTheme="minorEastAsia" w:eastAsiaTheme="minorEastAsia"/>
        </w:rPr>
        <w:t>±</w:t>
      </w:r>
      <w:r>
        <w:rPr>
          <w:rFonts w:eastAsia="宋体"/>
        </w:rPr>
        <w:t>1天，4周</w:t>
      </w:r>
      <w:r>
        <w:rPr>
          <w:rFonts w:asciiTheme="minorEastAsia" w:hAnsiTheme="minorEastAsia" w:eastAsiaTheme="minorEastAsia"/>
        </w:rPr>
        <w:t>±</w:t>
      </w:r>
      <w:r>
        <w:rPr>
          <w:rFonts w:eastAsia="宋体"/>
        </w:rPr>
        <w:t>1天，6周</w:t>
      </w:r>
      <w:r>
        <w:rPr>
          <w:rFonts w:asciiTheme="minorEastAsia" w:hAnsiTheme="minorEastAsia" w:eastAsiaTheme="minorEastAsia"/>
        </w:rPr>
        <w:t>±</w:t>
      </w:r>
      <w:r>
        <w:rPr>
          <w:rFonts w:eastAsia="宋体"/>
        </w:rPr>
        <w:t>2天……或根据实际需求适当增加时间点）再次进行相同的评估和测试。</w:t>
      </w:r>
    </w:p>
    <w:p w14:paraId="6F293712">
      <w:pPr>
        <w:pStyle w:val="61"/>
        <w:rPr>
          <w:rFonts w:eastAsia="宋体"/>
        </w:rPr>
      </w:pPr>
      <w:r>
        <w:rPr>
          <w:rFonts w:eastAsia="宋体"/>
        </w:rPr>
        <w:t>当设置对照组时，入选正式试验的受试者按照分层随机法分为试验组和对照组，确保可能影响试验结果的重要因素（性别、年龄、头发长度、头屑严重程度等）的平衡。对入选受试者进行使用产品前的头屑评分或头屑面积测试，并记录；产品使用后每2周（2周</w:t>
      </w:r>
      <w:r>
        <w:rPr>
          <w:rFonts w:asciiTheme="minorEastAsia" w:hAnsiTheme="minorEastAsia" w:eastAsiaTheme="minorEastAsia"/>
        </w:rPr>
        <w:t>±</w:t>
      </w:r>
      <w:r>
        <w:rPr>
          <w:rFonts w:eastAsia="宋体"/>
        </w:rPr>
        <w:t>1天，4周</w:t>
      </w:r>
      <w:r>
        <w:rPr>
          <w:rFonts w:asciiTheme="minorEastAsia" w:hAnsiTheme="minorEastAsia" w:eastAsiaTheme="minorEastAsia"/>
        </w:rPr>
        <w:t>±</w:t>
      </w:r>
      <w:r>
        <w:rPr>
          <w:rFonts w:eastAsia="宋体"/>
        </w:rPr>
        <w:t>1天，6周</w:t>
      </w:r>
      <w:r>
        <w:rPr>
          <w:rFonts w:asciiTheme="minorEastAsia" w:hAnsiTheme="minorEastAsia" w:eastAsiaTheme="minorEastAsia"/>
        </w:rPr>
        <w:t>±</w:t>
      </w:r>
      <w:r>
        <w:rPr>
          <w:rFonts w:eastAsia="宋体"/>
        </w:rPr>
        <w:t>2天……或根据实际需求适当增加时间点）再次进行相同的评估和测试。</w:t>
      </w:r>
    </w:p>
    <w:p w14:paraId="07565BE4">
      <w:pPr>
        <w:pStyle w:val="56"/>
        <w:spacing w:before="156" w:beforeLines="50" w:after="156" w:afterLines="50"/>
        <w:ind w:left="0"/>
      </w:pPr>
      <w:r>
        <w:rPr>
          <w:rFonts w:hint="eastAsia"/>
        </w:rPr>
        <w:t>回归期（可选做）</w:t>
      </w:r>
    </w:p>
    <w:p w14:paraId="755B500B">
      <w:pPr>
        <w:pStyle w:val="57"/>
        <w:ind w:firstLine="420"/>
      </w:pPr>
      <w:r>
        <w:rPr>
          <w:rFonts w:hint="eastAsia"/>
        </w:rPr>
        <w:t>在试用期结束当天开始使用回归期产品，产</w:t>
      </w:r>
      <w:r>
        <w:rPr>
          <w:rFonts w:ascii="Times New Roman"/>
        </w:rPr>
        <w:t>品使用X天（X</w:t>
      </w:r>
      <w:r>
        <w:rPr>
          <w:rFonts w:hint="eastAsia"/>
        </w:rPr>
        <w:t>≥</w:t>
      </w:r>
      <w:r>
        <w:rPr>
          <w:rFonts w:ascii="Times New Roman"/>
        </w:rPr>
        <w:t>3</w:t>
      </w:r>
      <w:r>
        <w:rPr>
          <w:rFonts w:hint="eastAsia"/>
        </w:rPr>
        <w:t>，访视时间点可按企业需求）后再次进行相同的评估和测试。</w:t>
      </w:r>
    </w:p>
    <w:p w14:paraId="08A9CE69">
      <w:pPr>
        <w:pStyle w:val="90"/>
        <w:spacing w:before="156" w:after="156"/>
      </w:pPr>
      <w:r>
        <w:rPr>
          <w:rFonts w:hint="eastAsia"/>
        </w:rPr>
        <w:t>评估、测试指标（任选其一）</w:t>
      </w:r>
    </w:p>
    <w:p w14:paraId="19F21C95">
      <w:pPr>
        <w:pStyle w:val="56"/>
        <w:spacing w:before="156" w:beforeLines="50" w:after="156" w:afterLines="50"/>
        <w:ind w:left="0"/>
      </w:pPr>
      <w:r>
        <w:rPr>
          <w:rFonts w:hint="eastAsia"/>
        </w:rPr>
        <w:t>头屑评分</w:t>
      </w:r>
    </w:p>
    <w:p w14:paraId="3C7F2C53">
      <w:pPr>
        <w:pStyle w:val="57"/>
        <w:tabs>
          <w:tab w:val="left" w:pos="1140"/>
        </w:tabs>
        <w:ind w:firstLine="420"/>
        <w:rPr>
          <w:rFonts w:ascii="Times New Roman"/>
        </w:rPr>
      </w:pPr>
      <w:r>
        <w:rPr>
          <w:rFonts w:ascii="Times New Roman"/>
        </w:rPr>
        <w:t>将受试者的头皮分为8个区域（头皮分区示意图见图1），分别为：左边L1-L4、右边R1-R4。用皮肤镜或肉眼评估（有需要时可拍照），得到每个区域的评分，再将8个区域的评分相加，得到总评分。</w:t>
      </w:r>
      <w:r>
        <w:rPr>
          <w:rFonts w:hint="eastAsia" w:ascii="Times New Roman"/>
        </w:rPr>
        <w:t>或者使用其他相似的评分体系。</w:t>
      </w:r>
    </w:p>
    <w:p w14:paraId="6C04A358">
      <w:pPr>
        <w:pStyle w:val="57"/>
        <w:ind w:firstLine="420"/>
        <w:jc w:val="center"/>
      </w:pPr>
      <w:r>
        <w:drawing>
          <wp:inline distT="0" distB="0" distL="0" distR="0">
            <wp:extent cx="1333500" cy="1537335"/>
            <wp:effectExtent l="0" t="0" r="0" b="5715"/>
            <wp:docPr id="15" name="图片 15" descr="C:\Users\JYHG\AppData\Local\Temp\WeChat Files\86e6bbe978fca7c58cfb371ecd4dd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JYHG\AppData\Local\Temp\WeChat Files\86e6bbe978fca7c58cfb371ecd4dd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26641" cy="1529917"/>
                    </a:xfrm>
                    <a:prstGeom prst="rect">
                      <a:avLst/>
                    </a:prstGeom>
                    <a:noFill/>
                    <a:ln>
                      <a:noFill/>
                    </a:ln>
                  </pic:spPr>
                </pic:pic>
              </a:graphicData>
            </a:graphic>
          </wp:inline>
        </w:drawing>
      </w:r>
    </w:p>
    <w:p w14:paraId="198938A6">
      <w:pPr>
        <w:pStyle w:val="57"/>
        <w:spacing w:before="156" w:beforeLines="50" w:after="156" w:afterLines="50"/>
        <w:ind w:firstLine="0" w:firstLineChars="0"/>
        <w:jc w:val="center"/>
        <w:rPr>
          <w:rFonts w:ascii="黑体" w:hAnsi="黑体" w:eastAsia="黑体"/>
        </w:rPr>
      </w:pPr>
      <w:r>
        <w:rPr>
          <w:rFonts w:hint="eastAsia" w:ascii="黑体" w:hAnsi="黑体" w:eastAsia="黑体"/>
        </w:rPr>
        <w:t>图1 头皮分区示意图</w:t>
      </w:r>
    </w:p>
    <w:p w14:paraId="4044E1E0">
      <w:pPr>
        <w:pStyle w:val="57"/>
        <w:tabs>
          <w:tab w:val="center" w:pos="4201"/>
          <w:tab w:val="right" w:leader="dot" w:pos="9298"/>
        </w:tabs>
        <w:spacing w:before="156" w:beforeLines="50" w:after="156" w:afterLines="50"/>
        <w:ind w:firstLine="0" w:firstLineChars="0"/>
        <w:jc w:val="center"/>
        <w:rPr>
          <w:rFonts w:ascii="黑体" w:hAnsi="黑体" w:eastAsia="黑体"/>
        </w:rPr>
      </w:pPr>
      <w:r>
        <w:rPr>
          <w:rFonts w:ascii="黑体" w:hAnsi="黑体" w:eastAsia="黑体"/>
        </w:rPr>
        <w:t>表</w:t>
      </w:r>
      <w:r>
        <w:rPr>
          <w:rFonts w:hint="eastAsia" w:ascii="黑体" w:hAnsi="黑体" w:eastAsia="黑体"/>
        </w:rPr>
        <w:t>1</w:t>
      </w:r>
      <w:r>
        <w:rPr>
          <w:rFonts w:ascii="黑体" w:hAnsi="黑体" w:eastAsia="黑体"/>
        </w:rPr>
        <w:t xml:space="preserve"> </w:t>
      </w:r>
      <w:r>
        <w:rPr>
          <w:rFonts w:hint="eastAsia" w:ascii="黑体" w:hAnsi="黑体" w:eastAsia="黑体"/>
        </w:rPr>
        <w:t>头屑</w:t>
      </w:r>
      <w:r>
        <w:rPr>
          <w:rFonts w:ascii="黑体" w:hAnsi="黑体" w:eastAsia="黑体"/>
        </w:rPr>
        <w:t>评分标准</w:t>
      </w:r>
    </w:p>
    <w:tbl>
      <w:tblPr>
        <w:tblStyle w:val="31"/>
        <w:tblW w:w="6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5159"/>
      </w:tblGrid>
      <w:tr w14:paraId="5B7D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377" w:type="dxa"/>
            <w:vAlign w:val="center"/>
          </w:tcPr>
          <w:p w14:paraId="76E0F694">
            <w:pPr>
              <w:adjustRightInd w:val="0"/>
              <w:snapToGrid w:val="0"/>
              <w:jc w:val="center"/>
              <w:rPr>
                <w:bCs/>
                <w:sz w:val="18"/>
                <w:szCs w:val="18"/>
              </w:rPr>
            </w:pPr>
            <w:r>
              <w:rPr>
                <w:bCs/>
                <w:sz w:val="18"/>
                <w:szCs w:val="18"/>
              </w:rPr>
              <w:t>评分</w:t>
            </w:r>
          </w:p>
        </w:tc>
        <w:tc>
          <w:tcPr>
            <w:tcW w:w="5159" w:type="dxa"/>
            <w:vAlign w:val="center"/>
          </w:tcPr>
          <w:p w14:paraId="4031C52A">
            <w:pPr>
              <w:adjustRightInd w:val="0"/>
              <w:snapToGrid w:val="0"/>
              <w:jc w:val="center"/>
              <w:rPr>
                <w:bCs/>
                <w:sz w:val="18"/>
                <w:szCs w:val="18"/>
              </w:rPr>
            </w:pPr>
            <w:r>
              <w:rPr>
                <w:bCs/>
                <w:sz w:val="18"/>
                <w:szCs w:val="18"/>
              </w:rPr>
              <w:t>描述</w:t>
            </w:r>
          </w:p>
        </w:tc>
      </w:tr>
      <w:tr w14:paraId="4A4C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7" w:type="dxa"/>
            <w:vAlign w:val="center"/>
          </w:tcPr>
          <w:p w14:paraId="0FDF4F3C">
            <w:pPr>
              <w:adjustRightInd w:val="0"/>
              <w:snapToGrid w:val="0"/>
              <w:jc w:val="center"/>
              <w:rPr>
                <w:sz w:val="18"/>
                <w:szCs w:val="18"/>
              </w:rPr>
            </w:pPr>
            <w:r>
              <w:rPr>
                <w:sz w:val="18"/>
                <w:szCs w:val="18"/>
              </w:rPr>
              <w:t>0</w:t>
            </w:r>
          </w:p>
        </w:tc>
        <w:tc>
          <w:tcPr>
            <w:tcW w:w="5159" w:type="dxa"/>
          </w:tcPr>
          <w:p w14:paraId="4AA314BE">
            <w:pPr>
              <w:jc w:val="center"/>
              <w:rPr>
                <w:sz w:val="18"/>
                <w:szCs w:val="18"/>
              </w:rPr>
            </w:pPr>
            <w:r>
              <w:rPr>
                <w:rFonts w:hint="eastAsia"/>
                <w:sz w:val="18"/>
                <w:szCs w:val="18"/>
              </w:rPr>
              <w:t>肉眼观察无可见脱屑</w:t>
            </w:r>
          </w:p>
        </w:tc>
      </w:tr>
      <w:tr w14:paraId="28EE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7" w:type="dxa"/>
            <w:vAlign w:val="center"/>
          </w:tcPr>
          <w:p w14:paraId="686CCFA7">
            <w:pPr>
              <w:adjustRightInd w:val="0"/>
              <w:snapToGrid w:val="0"/>
              <w:jc w:val="center"/>
              <w:rPr>
                <w:sz w:val="18"/>
                <w:szCs w:val="18"/>
              </w:rPr>
            </w:pPr>
            <w:r>
              <w:rPr>
                <w:sz w:val="18"/>
                <w:szCs w:val="18"/>
              </w:rPr>
              <w:t>1</w:t>
            </w:r>
          </w:p>
        </w:tc>
        <w:tc>
          <w:tcPr>
            <w:tcW w:w="5159" w:type="dxa"/>
          </w:tcPr>
          <w:p w14:paraId="63C46D0E">
            <w:pPr>
              <w:jc w:val="center"/>
              <w:rPr>
                <w:sz w:val="18"/>
                <w:szCs w:val="18"/>
              </w:rPr>
            </w:pPr>
            <w:r>
              <w:rPr>
                <w:rFonts w:hint="eastAsia"/>
                <w:sz w:val="18"/>
                <w:szCs w:val="18"/>
              </w:rPr>
              <w:t>非常少的鳞屑或小而干燥的粉状灰白色鳞屑</w:t>
            </w:r>
          </w:p>
        </w:tc>
      </w:tr>
      <w:tr w14:paraId="14B6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7" w:type="dxa"/>
            <w:vAlign w:val="center"/>
          </w:tcPr>
          <w:p w14:paraId="004A4E71">
            <w:pPr>
              <w:adjustRightInd w:val="0"/>
              <w:snapToGrid w:val="0"/>
              <w:jc w:val="center"/>
              <w:rPr>
                <w:sz w:val="18"/>
                <w:szCs w:val="18"/>
              </w:rPr>
            </w:pPr>
            <w:r>
              <w:rPr>
                <w:sz w:val="18"/>
                <w:szCs w:val="18"/>
              </w:rPr>
              <w:t>2</w:t>
            </w:r>
          </w:p>
        </w:tc>
        <w:tc>
          <w:tcPr>
            <w:tcW w:w="5159" w:type="dxa"/>
          </w:tcPr>
          <w:p w14:paraId="6DDDC860">
            <w:pPr>
              <w:jc w:val="center"/>
              <w:rPr>
                <w:sz w:val="18"/>
                <w:szCs w:val="18"/>
              </w:rPr>
            </w:pPr>
            <w:r>
              <w:rPr>
                <w:rFonts w:hint="eastAsia"/>
                <w:sz w:val="18"/>
                <w:szCs w:val="18"/>
              </w:rPr>
              <w:t>少量的鳞屑或小块的灰白色鳞屑，少量黏附在头皮上</w:t>
            </w:r>
          </w:p>
        </w:tc>
      </w:tr>
      <w:tr w14:paraId="159B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7" w:type="dxa"/>
            <w:vAlign w:val="center"/>
          </w:tcPr>
          <w:p w14:paraId="4A9E160C">
            <w:pPr>
              <w:adjustRightInd w:val="0"/>
              <w:snapToGrid w:val="0"/>
              <w:jc w:val="center"/>
              <w:rPr>
                <w:sz w:val="18"/>
                <w:szCs w:val="18"/>
              </w:rPr>
            </w:pPr>
            <w:r>
              <w:rPr>
                <w:sz w:val="18"/>
                <w:szCs w:val="18"/>
              </w:rPr>
              <w:t>3</w:t>
            </w:r>
          </w:p>
        </w:tc>
        <w:tc>
          <w:tcPr>
            <w:tcW w:w="5159" w:type="dxa"/>
          </w:tcPr>
          <w:p w14:paraId="13515C63">
            <w:pPr>
              <w:jc w:val="center"/>
              <w:rPr>
                <w:sz w:val="18"/>
                <w:szCs w:val="18"/>
              </w:rPr>
            </w:pPr>
            <w:r>
              <w:rPr>
                <w:rFonts w:hint="eastAsia"/>
                <w:sz w:val="18"/>
                <w:szCs w:val="18"/>
              </w:rPr>
              <w:t>较少量的鳞屑或中等大小的灰白色鳞屑，松散地</w:t>
            </w:r>
            <w:bookmarkStart w:id="5" w:name="OLE_LINK2"/>
            <w:r>
              <w:rPr>
                <w:rFonts w:hint="eastAsia"/>
                <w:sz w:val="18"/>
                <w:szCs w:val="18"/>
              </w:rPr>
              <w:t>黏附</w:t>
            </w:r>
            <w:bookmarkEnd w:id="5"/>
            <w:r>
              <w:rPr>
                <w:rFonts w:hint="eastAsia"/>
                <w:sz w:val="18"/>
                <w:szCs w:val="18"/>
              </w:rPr>
              <w:t>在头皮上</w:t>
            </w:r>
          </w:p>
        </w:tc>
      </w:tr>
      <w:tr w14:paraId="7B9F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7" w:type="dxa"/>
            <w:vAlign w:val="center"/>
          </w:tcPr>
          <w:p w14:paraId="51929398">
            <w:pPr>
              <w:adjustRightInd w:val="0"/>
              <w:snapToGrid w:val="0"/>
              <w:jc w:val="center"/>
              <w:rPr>
                <w:sz w:val="18"/>
                <w:szCs w:val="18"/>
              </w:rPr>
            </w:pPr>
            <w:r>
              <w:rPr>
                <w:sz w:val="18"/>
                <w:szCs w:val="18"/>
              </w:rPr>
              <w:t>4</w:t>
            </w:r>
          </w:p>
        </w:tc>
        <w:tc>
          <w:tcPr>
            <w:tcW w:w="5159" w:type="dxa"/>
          </w:tcPr>
          <w:p w14:paraId="02855A24">
            <w:pPr>
              <w:jc w:val="center"/>
              <w:rPr>
                <w:sz w:val="18"/>
                <w:szCs w:val="18"/>
              </w:rPr>
            </w:pPr>
            <w:r>
              <w:rPr>
                <w:rFonts w:hint="eastAsia"/>
                <w:sz w:val="18"/>
                <w:szCs w:val="18"/>
              </w:rPr>
              <w:t>较多的鳞屑或大而明显的鳞屑，黏附在头皮上</w:t>
            </w:r>
          </w:p>
        </w:tc>
      </w:tr>
      <w:tr w14:paraId="086B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7" w:type="dxa"/>
            <w:vAlign w:val="center"/>
          </w:tcPr>
          <w:p w14:paraId="491C5426">
            <w:pPr>
              <w:adjustRightInd w:val="0"/>
              <w:snapToGrid w:val="0"/>
              <w:jc w:val="center"/>
              <w:rPr>
                <w:sz w:val="18"/>
                <w:szCs w:val="18"/>
              </w:rPr>
            </w:pPr>
            <w:r>
              <w:rPr>
                <w:rFonts w:hint="eastAsia"/>
                <w:sz w:val="18"/>
                <w:szCs w:val="18"/>
              </w:rPr>
              <w:t>5</w:t>
            </w:r>
          </w:p>
        </w:tc>
        <w:tc>
          <w:tcPr>
            <w:tcW w:w="5159" w:type="dxa"/>
          </w:tcPr>
          <w:p w14:paraId="250D7CE6">
            <w:pPr>
              <w:jc w:val="center"/>
              <w:rPr>
                <w:sz w:val="18"/>
                <w:szCs w:val="18"/>
              </w:rPr>
            </w:pPr>
            <w:r>
              <w:rPr>
                <w:rFonts w:hint="eastAsia"/>
                <w:sz w:val="18"/>
                <w:szCs w:val="18"/>
              </w:rPr>
              <w:t>非常多的鳞屑或非常大的结块的黄色鳞屑，紧密黏附在头皮上</w:t>
            </w:r>
          </w:p>
        </w:tc>
      </w:tr>
    </w:tbl>
    <w:p w14:paraId="26E7A3BC">
      <w:pPr>
        <w:pStyle w:val="56"/>
        <w:spacing w:before="156" w:beforeLines="50" w:after="156" w:afterLines="50"/>
        <w:ind w:left="0"/>
      </w:pPr>
      <w:r>
        <w:t>头屑</w:t>
      </w:r>
      <w:r>
        <w:rPr>
          <w:rFonts w:hint="eastAsia"/>
        </w:rPr>
        <w:t>面积</w:t>
      </w:r>
    </w:p>
    <w:p w14:paraId="02987EA0">
      <w:pPr>
        <w:pStyle w:val="57"/>
        <w:ind w:firstLine="420"/>
        <w:rPr>
          <w:rFonts w:ascii="Times New Roman"/>
        </w:rPr>
      </w:pPr>
      <w:r>
        <w:rPr>
          <w:rFonts w:hint="eastAsia" w:ascii="Times New Roman"/>
        </w:rPr>
        <w:t>由经培训的同一技术人员</w:t>
      </w:r>
      <w:r>
        <w:rPr>
          <w:rFonts w:ascii="Times New Roman"/>
        </w:rPr>
        <w:t>将</w:t>
      </w:r>
      <w:r>
        <w:rPr>
          <w:rFonts w:hint="eastAsia" w:ascii="Times New Roman"/>
        </w:rPr>
        <w:t>受试者的</w:t>
      </w:r>
      <w:r>
        <w:rPr>
          <w:rFonts w:ascii="Times New Roman"/>
        </w:rPr>
        <w:t>头皮分为左右2个区域，</w:t>
      </w:r>
      <w:r>
        <w:rPr>
          <w:rFonts w:hint="eastAsia" w:ascii="Times New Roman"/>
        </w:rPr>
        <w:t>采用密齿梳</w:t>
      </w:r>
      <w:r>
        <w:rPr>
          <w:rFonts w:ascii="Times New Roman"/>
        </w:rPr>
        <w:t>，</w:t>
      </w:r>
      <w:r>
        <w:rPr>
          <w:rFonts w:hint="eastAsia" w:ascii="Times New Roman"/>
        </w:rPr>
        <w:t>按照从左前到左后，右前到右后的顺序，匀速梳理60次（左右2个区域各30次），</w:t>
      </w:r>
      <w:r>
        <w:rPr>
          <w:rFonts w:ascii="Times New Roman"/>
        </w:rPr>
        <w:t>将头皮屑收集并转移到黑色背景板，</w:t>
      </w:r>
      <w:r>
        <w:rPr>
          <w:rFonts w:hint="eastAsia" w:ascii="Times New Roman"/>
        </w:rPr>
        <w:t>拍照并</w:t>
      </w:r>
      <w:r>
        <w:rPr>
          <w:rFonts w:ascii="Times New Roman"/>
        </w:rPr>
        <w:t>用图像分析</w:t>
      </w:r>
      <w:r>
        <w:rPr>
          <w:rFonts w:hint="eastAsia" w:ascii="Times New Roman"/>
        </w:rPr>
        <w:t>系统</w:t>
      </w:r>
      <w:r>
        <w:rPr>
          <w:rFonts w:ascii="Times New Roman"/>
        </w:rPr>
        <w:t>分析头屑面积。</w:t>
      </w:r>
    </w:p>
    <w:p w14:paraId="446F7855">
      <w:pPr>
        <w:pStyle w:val="90"/>
        <w:spacing w:before="156" w:after="156"/>
      </w:pPr>
      <w:r>
        <w:t>数据分析</w:t>
      </w:r>
    </w:p>
    <w:p w14:paraId="2AA22DC6">
      <w:pPr>
        <w:pStyle w:val="57"/>
        <w:ind w:firstLine="420"/>
        <w:rPr>
          <w:rFonts w:ascii="Times New Roman"/>
        </w:rPr>
      </w:pPr>
      <w:r>
        <w:rPr>
          <w:rFonts w:hint="eastAsia" w:ascii="Times New Roman"/>
        </w:rPr>
        <w:t>应用统计分析软件进行数据的统计分析。头屑评分使用前后的比较，采用两个相关样本秩和检验；头屑面积表示为：均值±标准差，并进行正态分布检验，符合正态分布要求，自身前后的比较采用配对t检验，否则采用两个相关样本秩和检验；试验产品和对照组之间比较采用独立样本t检验或秩和检验。上述统计分析均为双尾检验，显著性水平为</w:t>
      </w:r>
      <w:r>
        <w:rPr>
          <w:rFonts w:ascii="Times New Roman"/>
        </w:rPr>
        <w:t>α</w:t>
      </w:r>
      <w:r>
        <w:rPr>
          <w:rFonts w:hint="eastAsia" w:ascii="Times New Roman"/>
        </w:rPr>
        <w:t>=0.05。若研究设计中包含变量众多（时间、性别、年龄、测量位置），则企业可以做相应调整选用混合模型对数据进行分析。</w:t>
      </w:r>
    </w:p>
    <w:p w14:paraId="78321AA7">
      <w:pPr>
        <w:pStyle w:val="90"/>
        <w:spacing w:before="156" w:after="156"/>
      </w:pPr>
      <w:r>
        <w:rPr>
          <w:rFonts w:hint="eastAsia"/>
        </w:rPr>
        <w:t>试</w:t>
      </w:r>
      <w:r>
        <w:t>验结论</w:t>
      </w:r>
    </w:p>
    <w:p w14:paraId="6FE0AA96">
      <w:pPr>
        <w:pStyle w:val="56"/>
        <w:ind w:left="0"/>
        <w:rPr>
          <w:rFonts w:eastAsia="宋体"/>
        </w:rPr>
      </w:pPr>
      <w:r>
        <w:rPr>
          <w:rFonts w:hint="eastAsia" w:eastAsia="宋体"/>
        </w:rPr>
        <w:t>根据数据分析结果，试用期任何访视时间点，头屑评分或头屑面积试验结果符合下列要求时，认为试验产品有去屑功效，否则认为试验产品无去屑功效。</w:t>
      </w:r>
    </w:p>
    <w:p w14:paraId="1461D73F">
      <w:pPr>
        <w:pStyle w:val="117"/>
        <w:widowControl/>
        <w:numPr>
          <w:ilvl w:val="0"/>
          <w:numId w:val="13"/>
        </w:numPr>
        <w:autoSpaceDE w:val="0"/>
        <w:autoSpaceDN w:val="0"/>
        <w:adjustRightInd w:val="0"/>
        <w:ind w:firstLineChars="0"/>
        <w:jc w:val="left"/>
        <w:rPr>
          <w:rFonts w:ascii="宋体"/>
          <w:kern w:val="0"/>
          <w:szCs w:val="21"/>
        </w:rPr>
      </w:pPr>
      <w:r>
        <w:rPr>
          <w:rFonts w:hint="eastAsia" w:ascii="宋体"/>
          <w:kern w:val="0"/>
          <w:szCs w:val="21"/>
        </w:rPr>
        <w:t>未设置对照组时，头屑评分较使用试验产品前显著减少（</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241F6934">
      <w:pPr>
        <w:pStyle w:val="117"/>
        <w:widowControl/>
        <w:numPr>
          <w:ilvl w:val="0"/>
          <w:numId w:val="13"/>
        </w:numPr>
        <w:autoSpaceDE w:val="0"/>
        <w:autoSpaceDN w:val="0"/>
        <w:adjustRightInd w:val="0"/>
        <w:ind w:firstLineChars="0"/>
        <w:jc w:val="left"/>
        <w:rPr>
          <w:rFonts w:ascii="宋体"/>
          <w:kern w:val="0"/>
          <w:szCs w:val="21"/>
        </w:rPr>
      </w:pPr>
      <w:r>
        <w:rPr>
          <w:rFonts w:hint="eastAsia" w:ascii="宋体"/>
          <w:kern w:val="0"/>
          <w:szCs w:val="21"/>
        </w:rPr>
        <w:t>未设置对照组时，头屑面积较使用试验产品前显著减少（</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6E11868D">
      <w:pPr>
        <w:pStyle w:val="117"/>
        <w:widowControl/>
        <w:numPr>
          <w:ilvl w:val="0"/>
          <w:numId w:val="13"/>
        </w:numPr>
        <w:autoSpaceDE w:val="0"/>
        <w:autoSpaceDN w:val="0"/>
        <w:adjustRightInd w:val="0"/>
        <w:ind w:firstLineChars="0"/>
        <w:jc w:val="left"/>
        <w:rPr>
          <w:rFonts w:ascii="宋体"/>
          <w:kern w:val="0"/>
          <w:szCs w:val="21"/>
        </w:rPr>
      </w:pPr>
      <w:r>
        <w:rPr>
          <w:rFonts w:hint="eastAsia" w:ascii="宋体"/>
          <w:kern w:val="0"/>
          <w:szCs w:val="21"/>
        </w:rPr>
        <w:t>设置对照组时，前后头屑评分差值（产品使用后某一访视时间点的头屑评分-产品使用前的头屑评分）显著低于对照组（</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4EEEEECC">
      <w:pPr>
        <w:pStyle w:val="117"/>
        <w:widowControl/>
        <w:numPr>
          <w:ilvl w:val="0"/>
          <w:numId w:val="13"/>
        </w:numPr>
        <w:autoSpaceDE w:val="0"/>
        <w:autoSpaceDN w:val="0"/>
        <w:adjustRightInd w:val="0"/>
        <w:ind w:firstLineChars="0"/>
        <w:jc w:val="left"/>
        <w:rPr>
          <w:rFonts w:ascii="宋体"/>
          <w:kern w:val="0"/>
          <w:szCs w:val="21"/>
        </w:rPr>
      </w:pPr>
      <w:r>
        <w:rPr>
          <w:rFonts w:hint="eastAsia" w:ascii="宋体"/>
          <w:kern w:val="0"/>
          <w:szCs w:val="21"/>
        </w:rPr>
        <w:t>设置对照组时，前后头屑面积差值（产品使用后某一访视时间点的头屑面积-产品使用前的头屑面积）显著低于对照组（</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435BC8DC">
      <w:pPr>
        <w:pStyle w:val="56"/>
        <w:ind w:left="0"/>
        <w:rPr>
          <w:rFonts w:eastAsia="宋体"/>
        </w:rPr>
      </w:pPr>
      <w:r>
        <w:rPr>
          <w:rFonts w:hint="eastAsia" w:eastAsia="宋体"/>
        </w:rPr>
        <w:t>当设置回归期时，根据数据分析结果，回归期任何访视时间点，头屑评分或头屑面积试验结果符合下列要求时，认为试验产品在停用后保持去屑功效X天，否则认为试验产品在停用后无去屑功效。</w:t>
      </w:r>
    </w:p>
    <w:p w14:paraId="2FFB9558">
      <w:pPr>
        <w:pStyle w:val="117"/>
        <w:widowControl/>
        <w:numPr>
          <w:ilvl w:val="0"/>
          <w:numId w:val="14"/>
        </w:numPr>
        <w:autoSpaceDE w:val="0"/>
        <w:autoSpaceDN w:val="0"/>
        <w:adjustRightInd w:val="0"/>
        <w:ind w:firstLineChars="0"/>
        <w:jc w:val="left"/>
        <w:rPr>
          <w:rFonts w:ascii="宋体"/>
          <w:kern w:val="0"/>
          <w:szCs w:val="21"/>
        </w:rPr>
      </w:pPr>
      <w:r>
        <w:rPr>
          <w:rFonts w:hint="eastAsia" w:ascii="宋体"/>
          <w:kern w:val="0"/>
          <w:szCs w:val="21"/>
        </w:rPr>
        <w:t>未设置对照组时，头屑评分较使用试验产品前显著减少（</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394EE314">
      <w:pPr>
        <w:pStyle w:val="117"/>
        <w:widowControl/>
        <w:numPr>
          <w:ilvl w:val="0"/>
          <w:numId w:val="14"/>
        </w:numPr>
        <w:autoSpaceDE w:val="0"/>
        <w:autoSpaceDN w:val="0"/>
        <w:adjustRightInd w:val="0"/>
        <w:ind w:firstLineChars="0"/>
        <w:jc w:val="left"/>
        <w:rPr>
          <w:rFonts w:ascii="宋体"/>
          <w:kern w:val="0"/>
          <w:szCs w:val="21"/>
        </w:rPr>
      </w:pPr>
      <w:r>
        <w:rPr>
          <w:rFonts w:hint="eastAsia" w:ascii="宋体"/>
          <w:kern w:val="0"/>
          <w:szCs w:val="21"/>
        </w:rPr>
        <w:t>未设置对照组时，头屑面积较使用试验产品前显著减少（</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4DE0F26C">
      <w:pPr>
        <w:pStyle w:val="117"/>
        <w:widowControl/>
        <w:numPr>
          <w:ilvl w:val="0"/>
          <w:numId w:val="14"/>
        </w:numPr>
        <w:autoSpaceDE w:val="0"/>
        <w:autoSpaceDN w:val="0"/>
        <w:adjustRightInd w:val="0"/>
        <w:ind w:firstLineChars="0"/>
        <w:jc w:val="left"/>
        <w:rPr>
          <w:rFonts w:ascii="宋体"/>
          <w:kern w:val="0"/>
          <w:szCs w:val="21"/>
        </w:rPr>
      </w:pPr>
      <w:r>
        <w:rPr>
          <w:rFonts w:hint="eastAsia" w:ascii="宋体"/>
          <w:kern w:val="0"/>
          <w:szCs w:val="21"/>
        </w:rPr>
        <w:t>设置对照组时，前后头屑评分差值（回归期产品使用后某一访视时间点的头屑评分-试验产品使用前的头屑评分）显著低于对照组（</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43397356">
      <w:pPr>
        <w:pStyle w:val="117"/>
        <w:widowControl/>
        <w:numPr>
          <w:ilvl w:val="0"/>
          <w:numId w:val="14"/>
        </w:numPr>
        <w:autoSpaceDE w:val="0"/>
        <w:autoSpaceDN w:val="0"/>
        <w:adjustRightInd w:val="0"/>
        <w:ind w:firstLineChars="0"/>
        <w:jc w:val="left"/>
        <w:rPr>
          <w:rFonts w:ascii="宋体"/>
          <w:kern w:val="0"/>
          <w:szCs w:val="21"/>
        </w:rPr>
      </w:pPr>
      <w:r>
        <w:rPr>
          <w:rFonts w:hint="eastAsia" w:ascii="宋体"/>
          <w:kern w:val="0"/>
          <w:szCs w:val="21"/>
        </w:rPr>
        <w:t>设置对照组时，前后头屑面积差值（回归期产品使用后某一访视时间点的头屑面积-试验产品使用前的头屑面积）显著低于对照组（</w:t>
      </w:r>
      <w:r>
        <w:rPr>
          <w:i/>
          <w:kern w:val="0"/>
          <w:szCs w:val="21"/>
        </w:rPr>
        <w:t>P</w:t>
      </w:r>
      <w:r>
        <w:rPr>
          <w:rFonts w:hint="eastAsia" w:ascii="宋体"/>
          <w:kern w:val="0"/>
          <w:szCs w:val="21"/>
        </w:rPr>
        <w:t>＜</w:t>
      </w:r>
      <w:r>
        <w:rPr>
          <w:kern w:val="0"/>
          <w:szCs w:val="21"/>
        </w:rPr>
        <w:t>0.05</w:t>
      </w:r>
      <w:r>
        <w:rPr>
          <w:rFonts w:hint="eastAsia" w:ascii="宋体"/>
          <w:kern w:val="0"/>
          <w:szCs w:val="21"/>
        </w:rPr>
        <w:t>）。</w:t>
      </w:r>
    </w:p>
    <w:p w14:paraId="473F1081">
      <w:pPr>
        <w:pStyle w:val="90"/>
        <w:spacing w:before="156" w:after="156"/>
      </w:pPr>
      <w:r>
        <w:rPr>
          <w:rFonts w:hint="eastAsia"/>
        </w:rPr>
        <w:t>试</w:t>
      </w:r>
      <w:r>
        <w:t>验</w:t>
      </w:r>
      <w:r>
        <w:rPr>
          <w:rFonts w:hint="eastAsia"/>
        </w:rPr>
        <w:t>报告</w:t>
      </w:r>
    </w:p>
    <w:p w14:paraId="5DEFA482">
      <w:pPr>
        <w:pStyle w:val="57"/>
        <w:ind w:firstLine="420"/>
        <w:rPr>
          <w:szCs w:val="21"/>
        </w:rPr>
      </w:pPr>
      <w:r>
        <w:rPr>
          <w:rFonts w:hint="eastAsia"/>
          <w:szCs w:val="21"/>
        </w:rPr>
        <w:t>试验报告一般应当包括以下内容：</w:t>
      </w:r>
    </w:p>
    <w:p w14:paraId="513BDF6C">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委托企业（包括注册人、备案人或境内责任人等）名称、地址等相关信息；</w:t>
      </w:r>
    </w:p>
    <w:p w14:paraId="58D8DAE0">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功效评价机构名称、地址等相关信息；</w:t>
      </w:r>
    </w:p>
    <w:p w14:paraId="4337A24E">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受试物相关信息；</w:t>
      </w:r>
    </w:p>
    <w:p w14:paraId="35234A98">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受试者相关信息；</w:t>
      </w:r>
    </w:p>
    <w:p w14:paraId="2BE3DB42">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试验项目和方法依据；</w:t>
      </w:r>
    </w:p>
    <w:p w14:paraId="3E5F1104">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试验的开始与完成日期；</w:t>
      </w:r>
    </w:p>
    <w:p w14:paraId="30EE4E80">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材料和方法；</w:t>
      </w:r>
    </w:p>
    <w:p w14:paraId="708709C6">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试验结果；</w:t>
      </w:r>
    </w:p>
    <w:p w14:paraId="53C8FDD2">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与产品有关的不良反应/严重不良反应信息；</w:t>
      </w:r>
    </w:p>
    <w:p w14:paraId="1F3710F3">
      <w:pPr>
        <w:pStyle w:val="117"/>
        <w:widowControl/>
        <w:numPr>
          <w:ilvl w:val="0"/>
          <w:numId w:val="15"/>
        </w:numPr>
        <w:autoSpaceDE w:val="0"/>
        <w:autoSpaceDN w:val="0"/>
        <w:adjustRightInd w:val="0"/>
        <w:ind w:firstLineChars="0"/>
        <w:jc w:val="left"/>
        <w:rPr>
          <w:rFonts w:ascii="宋体"/>
          <w:kern w:val="0"/>
          <w:szCs w:val="21"/>
        </w:rPr>
      </w:pPr>
      <w:r>
        <w:rPr>
          <w:rFonts w:hint="eastAsia"/>
          <w:szCs w:val="21"/>
        </w:rPr>
        <w:t>试验中的异常现象（如有）；</w:t>
      </w:r>
    </w:p>
    <w:p w14:paraId="071507A5">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讨论（如有必要的情况）；</w:t>
      </w:r>
    </w:p>
    <w:p w14:paraId="1CA0F23F">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试验结论；</w:t>
      </w:r>
    </w:p>
    <w:p w14:paraId="5FD90270">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报告的日期；</w:t>
      </w:r>
    </w:p>
    <w:p w14:paraId="384B0570">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检验人、校核人和技术负责人/主要研究者签字；</w:t>
      </w:r>
    </w:p>
    <w:p w14:paraId="35D10CC0">
      <w:pPr>
        <w:pStyle w:val="117"/>
        <w:widowControl/>
        <w:numPr>
          <w:ilvl w:val="0"/>
          <w:numId w:val="15"/>
        </w:numPr>
        <w:autoSpaceDE w:val="0"/>
        <w:autoSpaceDN w:val="0"/>
        <w:adjustRightInd w:val="0"/>
        <w:ind w:firstLineChars="0"/>
        <w:jc w:val="left"/>
        <w:rPr>
          <w:rFonts w:ascii="宋体"/>
          <w:kern w:val="0"/>
          <w:szCs w:val="21"/>
        </w:rPr>
      </w:pPr>
      <w:r>
        <w:rPr>
          <w:rFonts w:hint="eastAsia" w:ascii="宋体"/>
          <w:kern w:val="0"/>
          <w:szCs w:val="21"/>
        </w:rPr>
        <w:t>评价机构签章。</w:t>
      </w:r>
    </w:p>
    <w:p w14:paraId="14DAE009">
      <w:pPr>
        <w:pStyle w:val="130"/>
        <w:spacing w:before="312" w:beforeLines="100" w:after="312" w:afterLines="100"/>
        <w:jc w:val="center"/>
        <w:outlineLvl w:val="0"/>
        <w:rPr>
          <w:rFonts w:ascii="黑体" w:eastAsia="黑体"/>
          <w:sz w:val="24"/>
          <w:szCs w:val="24"/>
        </w:rPr>
      </w:pPr>
      <w:r>
        <w:rPr>
          <w:rFonts w:hint="eastAsia" w:ascii="黑体" w:eastAsia="黑体"/>
          <w:sz w:val="24"/>
          <w:szCs w:val="24"/>
        </w:rPr>
        <w:t>第二法 消费者使用测试方法</w:t>
      </w:r>
    </w:p>
    <w:p w14:paraId="32126E65">
      <w:pPr>
        <w:pStyle w:val="90"/>
        <w:spacing w:before="312" w:beforeLines="100" w:after="312" w:afterLines="100"/>
      </w:pPr>
      <w:r>
        <w:rPr>
          <w:rFonts w:hint="eastAsia"/>
        </w:rPr>
        <w:t>基本原则</w:t>
      </w:r>
    </w:p>
    <w:p w14:paraId="37F7F89D">
      <w:pPr>
        <w:pStyle w:val="56"/>
        <w:ind w:left="0"/>
        <w:rPr>
          <w:rFonts w:ascii="宋体" w:eastAsia="宋体"/>
        </w:rPr>
      </w:pPr>
      <w:r>
        <w:rPr>
          <w:rFonts w:hint="eastAsia" w:ascii="宋体" w:eastAsia="宋体"/>
        </w:rPr>
        <w:t>化妆品人体功效评价测试应当遵守伦理学原则,要求消费者签署知情同意书并采取必要的医学防护措施,最大程度地保护消费者的利益。</w:t>
      </w:r>
    </w:p>
    <w:p w14:paraId="476A5554">
      <w:pPr>
        <w:pStyle w:val="129"/>
        <w:numPr>
          <w:ilvl w:val="2"/>
          <w:numId w:val="1"/>
        </w:numPr>
        <w:ind w:left="0"/>
        <w:rPr>
          <w:rFonts w:ascii="黑体" w:eastAsia="黑体"/>
          <w:sz w:val="24"/>
          <w:szCs w:val="24"/>
        </w:rPr>
      </w:pPr>
      <w:r>
        <w:rPr>
          <w:rFonts w:hint="eastAsia"/>
        </w:rPr>
        <w:t>测试产品应先完成必要的产品安全性评价,安全性评价不合格的产品不应进行消费者测试。</w:t>
      </w:r>
    </w:p>
    <w:p w14:paraId="214A5584">
      <w:pPr>
        <w:pStyle w:val="90"/>
        <w:spacing w:before="312" w:beforeLines="100" w:after="312" w:afterLines="100"/>
      </w:pPr>
      <w:r>
        <w:rPr>
          <w:rFonts w:hint="eastAsia"/>
        </w:rPr>
        <w:t>消费者要求</w:t>
      </w:r>
    </w:p>
    <w:p w14:paraId="198770C4">
      <w:pPr>
        <w:pStyle w:val="56"/>
        <w:spacing w:before="156" w:beforeLines="50" w:after="156" w:afterLines="50"/>
        <w:ind w:left="2"/>
      </w:pPr>
      <w:r>
        <w:rPr>
          <w:rFonts w:hint="eastAsia"/>
        </w:rPr>
        <w:t>消费者人数</w:t>
      </w:r>
    </w:p>
    <w:p w14:paraId="6C742274">
      <w:pPr>
        <w:pStyle w:val="57"/>
        <w:ind w:firstLine="420"/>
        <w:rPr>
          <w:rFonts w:hAnsi="宋体" w:cs="宋体"/>
          <w:szCs w:val="21"/>
        </w:rPr>
      </w:pPr>
      <w:r>
        <w:rPr>
          <w:rFonts w:hint="eastAsia" w:hAnsi="宋体" w:cs="宋体"/>
          <w:szCs w:val="21"/>
        </w:rPr>
        <w:t>按入选和排除标准选择合格的消费者，确保最终完成有效人数不少</w:t>
      </w:r>
      <w:r>
        <w:rPr>
          <w:rFonts w:ascii="Times New Roman"/>
          <w:szCs w:val="21"/>
        </w:rPr>
        <w:t>于30人。</w:t>
      </w:r>
    </w:p>
    <w:p w14:paraId="179A4D99">
      <w:pPr>
        <w:pStyle w:val="56"/>
        <w:spacing w:before="156" w:beforeLines="50" w:after="156" w:afterLines="50"/>
        <w:ind w:left="0"/>
        <w:rPr>
          <w:rFonts w:ascii="宋体" w:hAnsi="宋体"/>
        </w:rPr>
      </w:pPr>
      <w:r>
        <w:rPr>
          <w:rFonts w:hint="eastAsia" w:ascii="宋体" w:hAnsi="宋体"/>
        </w:rPr>
        <w:t>入选标准</w:t>
      </w:r>
    </w:p>
    <w:p w14:paraId="654AA0F0">
      <w:pPr>
        <w:pStyle w:val="61"/>
        <w:rPr>
          <w:rFonts w:eastAsia="新宋体"/>
        </w:rPr>
      </w:pPr>
      <w:r>
        <w:rPr>
          <w:rFonts w:hint="eastAsia" w:eastAsia="新宋体"/>
        </w:rPr>
        <w:t>18岁～60岁，身体健康男性和/或女性；消费者年龄和性别比例可根据具体试验产品使用说明所述消费对象相应确定。</w:t>
      </w:r>
    </w:p>
    <w:p w14:paraId="462BD6A8">
      <w:pPr>
        <w:pStyle w:val="61"/>
      </w:pPr>
      <w:r>
        <w:rPr>
          <w:rFonts w:hint="eastAsia" w:eastAsia="新宋体"/>
        </w:rPr>
        <w:t>有头屑困扰。</w:t>
      </w:r>
    </w:p>
    <w:p w14:paraId="564EEDB5">
      <w:pPr>
        <w:pStyle w:val="61"/>
      </w:pPr>
      <w:r>
        <w:rPr>
          <w:rFonts w:hint="eastAsia" w:eastAsia="新宋体"/>
        </w:rPr>
        <w:t>头皮应无割伤和擦伤等情况。</w:t>
      </w:r>
    </w:p>
    <w:p w14:paraId="43C68915">
      <w:pPr>
        <w:pStyle w:val="61"/>
      </w:pPr>
      <w:r>
        <w:rPr>
          <w:rFonts w:hint="eastAsia" w:eastAsia="新宋体"/>
        </w:rPr>
        <w:t>能够理解试验过程，自愿参加试验并签署书面知情同意书者。</w:t>
      </w:r>
    </w:p>
    <w:p w14:paraId="1D23F508">
      <w:pPr>
        <w:pStyle w:val="56"/>
        <w:spacing w:before="156" w:beforeLines="50" w:after="156" w:afterLines="50"/>
        <w:ind w:left="2"/>
      </w:pPr>
      <w:r>
        <w:rPr>
          <w:rFonts w:hint="eastAsia"/>
        </w:rPr>
        <w:t>排除标准</w:t>
      </w:r>
    </w:p>
    <w:p w14:paraId="5F58CFEA">
      <w:pPr>
        <w:pStyle w:val="61"/>
        <w:rPr>
          <w:rFonts w:eastAsia="新宋体"/>
        </w:rPr>
      </w:pPr>
      <w:r>
        <w:rPr>
          <w:rFonts w:hint="eastAsia" w:eastAsia="新宋体"/>
        </w:rPr>
        <w:t>妊娠或哺乳期妇女，或近期有备孕计划者。</w:t>
      </w:r>
    </w:p>
    <w:p w14:paraId="75599298">
      <w:pPr>
        <w:pStyle w:val="61"/>
        <w:rPr>
          <w:rFonts w:eastAsia="新宋体"/>
        </w:rPr>
      </w:pPr>
      <w:r>
        <w:rPr>
          <w:rFonts w:hint="eastAsia" w:eastAsia="新宋体"/>
        </w:rPr>
        <w:t>有重度脂溢性皮炎、银屑病、胞疹、重度雄激素源性脱发、斑秃、炎性瘢痕性脱发或其它患有头皮/毛发疾病患者。</w:t>
      </w:r>
    </w:p>
    <w:p w14:paraId="58F45A96">
      <w:pPr>
        <w:pStyle w:val="61"/>
        <w:rPr>
          <w:rFonts w:eastAsia="新宋体"/>
        </w:rPr>
      </w:pPr>
      <w:r>
        <w:rPr>
          <w:rFonts w:hint="eastAsia" w:eastAsia="新宋体"/>
        </w:rPr>
        <w:t>患有精神类或心理疾病者；或者有长期睡眠、情绪控制障碍者。</w:t>
      </w:r>
    </w:p>
    <w:p w14:paraId="234F73FF">
      <w:pPr>
        <w:pStyle w:val="61"/>
        <w:rPr>
          <w:rFonts w:eastAsia="新宋体"/>
        </w:rPr>
      </w:pPr>
      <w:r>
        <w:rPr>
          <w:rFonts w:hint="eastAsia" w:eastAsia="新宋体"/>
        </w:rPr>
        <w:t>有严重系统疾病、免疫缺陷或自身免疫性疾病者。</w:t>
      </w:r>
    </w:p>
    <w:p w14:paraId="60740558">
      <w:pPr>
        <w:pStyle w:val="61"/>
        <w:rPr>
          <w:rFonts w:eastAsia="新宋体"/>
        </w:rPr>
      </w:pPr>
      <w:r>
        <w:rPr>
          <w:rFonts w:hint="eastAsia" w:eastAsia="新宋体"/>
        </w:rPr>
        <w:t>近1个月内进行过染发、烫发、定型等特殊美发处理者。</w:t>
      </w:r>
    </w:p>
    <w:p w14:paraId="6974055B">
      <w:pPr>
        <w:pStyle w:val="61"/>
        <w:rPr>
          <w:rFonts w:eastAsia="新宋体"/>
        </w:rPr>
      </w:pPr>
      <w:r>
        <w:rPr>
          <w:rFonts w:hint="eastAsia" w:eastAsia="新宋体"/>
        </w:rPr>
        <w:t>近1个月内使用过具有去屑功效的化妆品或其他具有此类功效的产品者。</w:t>
      </w:r>
    </w:p>
    <w:p w14:paraId="0F85D903">
      <w:pPr>
        <w:pStyle w:val="61"/>
        <w:rPr>
          <w:rFonts w:eastAsia="新宋体"/>
        </w:rPr>
      </w:pPr>
      <w:r>
        <w:rPr>
          <w:rFonts w:hint="eastAsia" w:eastAsia="新宋体"/>
        </w:rPr>
        <w:t>近6个月内服用过或局部使用过任何影响头屑的药物者。</w:t>
      </w:r>
    </w:p>
    <w:p w14:paraId="4B586BCE">
      <w:pPr>
        <w:pStyle w:val="61"/>
        <w:rPr>
          <w:rFonts w:eastAsia="新宋体"/>
        </w:rPr>
      </w:pPr>
      <w:r>
        <w:rPr>
          <w:rFonts w:hint="eastAsia" w:eastAsia="新宋体"/>
        </w:rPr>
        <w:t>近6个月内接受过植发、激光等头皮治疗以及其他可能影响试验结果的治疗者。</w:t>
      </w:r>
    </w:p>
    <w:p w14:paraId="717BC8C7">
      <w:pPr>
        <w:pStyle w:val="61"/>
        <w:rPr>
          <w:rFonts w:eastAsia="新宋体"/>
        </w:rPr>
      </w:pPr>
      <w:r>
        <w:rPr>
          <w:rFonts w:hint="eastAsia" w:eastAsia="新宋体"/>
        </w:rPr>
        <w:t>体质高度敏感者。</w:t>
      </w:r>
    </w:p>
    <w:p w14:paraId="3E6CB73F">
      <w:pPr>
        <w:pStyle w:val="61"/>
        <w:rPr>
          <w:rFonts w:eastAsia="新宋体"/>
        </w:rPr>
      </w:pPr>
      <w:r>
        <w:rPr>
          <w:rFonts w:hint="eastAsia" w:eastAsia="新宋体"/>
        </w:rPr>
        <w:t>近2个月内受试部位参加过其他临床试验者。</w:t>
      </w:r>
    </w:p>
    <w:p w14:paraId="06BF315C">
      <w:pPr>
        <w:pStyle w:val="61"/>
        <w:rPr>
          <w:rFonts w:eastAsia="新宋体"/>
        </w:rPr>
      </w:pPr>
      <w:r>
        <w:rPr>
          <w:rFonts w:hint="eastAsia" w:eastAsia="新宋体"/>
        </w:rPr>
        <w:t>临床评估认为不适合参加测试者。</w:t>
      </w:r>
    </w:p>
    <w:p w14:paraId="0909D8EA">
      <w:pPr>
        <w:pStyle w:val="56"/>
        <w:spacing w:before="156" w:beforeLines="50" w:after="156" w:afterLines="50"/>
        <w:ind w:left="2"/>
      </w:pPr>
      <w:r>
        <w:rPr>
          <w:rFonts w:hint="eastAsia"/>
        </w:rPr>
        <w:t>限制条件</w:t>
      </w:r>
    </w:p>
    <w:p w14:paraId="23309D5F">
      <w:pPr>
        <w:pStyle w:val="61"/>
        <w:rPr>
          <w:rFonts w:eastAsia="新宋体"/>
        </w:rPr>
      </w:pPr>
      <w:r>
        <w:rPr>
          <w:rFonts w:hint="eastAsia" w:eastAsia="新宋体"/>
        </w:rPr>
        <w:t>在测试期间消费者仅使用测试化妆品，不能进行任何头发护理和美发处理措施（例如染发、烫发或化学拉直等）或剪发，也不能接受任何去屑方面的治疗。</w:t>
      </w:r>
    </w:p>
    <w:p w14:paraId="11E0471D">
      <w:pPr>
        <w:pStyle w:val="61"/>
        <w:rPr>
          <w:rFonts w:eastAsia="新宋体"/>
        </w:rPr>
      </w:pPr>
      <w:r>
        <w:rPr>
          <w:rFonts w:hint="eastAsia" w:eastAsia="新宋体"/>
        </w:rPr>
        <w:t>在测试期间受试者的生活、饮食、运动等习惯应没有大的改变。</w:t>
      </w:r>
    </w:p>
    <w:p w14:paraId="7A5FB3B5">
      <w:pPr>
        <w:pStyle w:val="90"/>
        <w:spacing w:before="156" w:after="156"/>
      </w:pPr>
      <w:r>
        <w:rPr>
          <w:rFonts w:hint="eastAsia"/>
        </w:rPr>
        <w:t>测试物</w:t>
      </w:r>
    </w:p>
    <w:p w14:paraId="7C858263">
      <w:pPr>
        <w:pStyle w:val="56"/>
        <w:ind w:left="2"/>
        <w:rPr>
          <w:rFonts w:eastAsia="宋体"/>
        </w:rPr>
      </w:pPr>
      <w:r>
        <w:rPr>
          <w:rFonts w:hint="eastAsia" w:eastAsia="新宋体"/>
        </w:rPr>
        <w:t>测试产品：宣称具有去屑功效的化妆品。</w:t>
      </w:r>
    </w:p>
    <w:p w14:paraId="5ED94B18">
      <w:pPr>
        <w:pStyle w:val="56"/>
        <w:ind w:left="2"/>
        <w:rPr>
          <w:rFonts w:eastAsia="宋体"/>
        </w:rPr>
      </w:pPr>
      <w:r>
        <w:rPr>
          <w:rFonts w:hint="eastAsia" w:eastAsia="新宋体"/>
        </w:rPr>
        <w:t>使用方法：由工作人员发放产品，并根据使用说明对受试者进行产品使用指导，确保受试者在试验周期内正确使用受试物。试验产品至少使用1周，每周至少使用3次，试验期间要求受试者记录使用时间及使用过程中的任何不适感和不良反应症状。</w:t>
      </w:r>
    </w:p>
    <w:p w14:paraId="2D38628D">
      <w:pPr>
        <w:pStyle w:val="90"/>
        <w:spacing w:before="156" w:after="156"/>
      </w:pPr>
      <w:r>
        <w:rPr>
          <w:rFonts w:hint="eastAsia"/>
        </w:rPr>
        <w:t>测试步骤</w:t>
      </w:r>
    </w:p>
    <w:p w14:paraId="6FA85E81">
      <w:pPr>
        <w:pStyle w:val="56"/>
        <w:spacing w:before="156" w:beforeLines="50" w:after="156" w:afterLines="50"/>
        <w:ind w:left="0"/>
      </w:pPr>
      <w:r>
        <w:rPr>
          <w:rFonts w:hint="eastAsia"/>
        </w:rPr>
        <w:t>消费者招募</w:t>
      </w:r>
    </w:p>
    <w:p w14:paraId="668AA442">
      <w:pPr>
        <w:ind w:firstLine="420" w:firstLineChars="200"/>
      </w:pPr>
      <w:r>
        <w:rPr>
          <w:rFonts w:hint="eastAsia"/>
        </w:rPr>
        <w:t>按照要求招募入组志愿消费者，签署书面知情同意书。入组前根据入选和排除标准等询问消费者一系列关于疾病史、健康状况等问题。</w:t>
      </w:r>
    </w:p>
    <w:p w14:paraId="0F64EE82">
      <w:pPr>
        <w:pStyle w:val="56"/>
        <w:spacing w:before="156" w:beforeLines="50" w:after="156" w:afterLines="50"/>
        <w:ind w:left="0"/>
      </w:pPr>
      <w:r>
        <w:rPr>
          <w:rFonts w:hint="eastAsia"/>
        </w:rPr>
        <w:t>问卷调查</w:t>
      </w:r>
    </w:p>
    <w:p w14:paraId="75B95EEF">
      <w:pPr>
        <w:ind w:firstLine="420" w:firstLineChars="200"/>
      </w:pPr>
      <w:r>
        <w:rPr>
          <w:rFonts w:hint="eastAsia"/>
        </w:rPr>
        <w:t>入选消费者使用产品至少1周，每周至少完成一次调查问卷。问卷调查可通过面谈、电子问卷、电话访问、集中组织发放和回收问卷等方式实现。</w:t>
      </w:r>
    </w:p>
    <w:p w14:paraId="34AED7DD">
      <w:pPr>
        <w:pStyle w:val="90"/>
        <w:spacing w:before="156" w:after="156"/>
      </w:pPr>
      <w:r>
        <w:rPr>
          <w:rFonts w:hint="eastAsia"/>
        </w:rPr>
        <w:t>问卷设计</w:t>
      </w:r>
    </w:p>
    <w:p w14:paraId="153DD0EC">
      <w:pPr>
        <w:ind w:firstLine="420" w:firstLineChars="200"/>
      </w:pPr>
      <w:r>
        <w:rPr>
          <w:rFonts w:hint="eastAsia"/>
        </w:rPr>
        <w:t>消费者使用产品后，以5分制评估测试物的去屑功效。调查问卷可设计去屑、控油、保湿等功效参数。其中去屑功效为必选参数，其余为可选参数。问卷题目内容可参照表2，也可根据实际需求来设计。</w:t>
      </w:r>
    </w:p>
    <w:p w14:paraId="50D34DC5">
      <w:pPr>
        <w:spacing w:before="156" w:beforeLines="50" w:after="156" w:afterLines="50"/>
        <w:ind w:firstLine="420" w:firstLineChars="200"/>
        <w:jc w:val="center"/>
        <w:rPr>
          <w:rFonts w:ascii="黑体" w:hAnsi="黑体" w:eastAsia="黑体"/>
        </w:rPr>
      </w:pPr>
      <w:r>
        <w:rPr>
          <w:rFonts w:hint="eastAsia" w:ascii="黑体" w:hAnsi="黑体" w:eastAsia="黑体"/>
        </w:rPr>
        <w:t>表 2 使用测试产品后的调查问卷</w:t>
      </w:r>
    </w:p>
    <w:tbl>
      <w:tblPr>
        <w:tblStyle w:val="3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297"/>
        <w:gridCol w:w="1297"/>
        <w:gridCol w:w="1297"/>
        <w:gridCol w:w="1297"/>
        <w:gridCol w:w="1298"/>
      </w:tblGrid>
      <w:tr w14:paraId="4C51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1172FA">
            <w:pPr>
              <w:jc w:val="center"/>
              <w:rPr>
                <w:sz w:val="18"/>
                <w:szCs w:val="18"/>
              </w:rPr>
            </w:pPr>
            <w:r>
              <w:rPr>
                <w:rFonts w:hint="eastAsia"/>
                <w:sz w:val="18"/>
                <w:szCs w:val="18"/>
              </w:rPr>
              <w:t>序号</w:t>
            </w:r>
          </w:p>
        </w:tc>
        <w:tc>
          <w:tcPr>
            <w:tcW w:w="2410" w:type="dxa"/>
            <w:vAlign w:val="center"/>
          </w:tcPr>
          <w:p w14:paraId="21214B6B">
            <w:pPr>
              <w:jc w:val="center"/>
              <w:rPr>
                <w:sz w:val="18"/>
                <w:szCs w:val="18"/>
              </w:rPr>
            </w:pPr>
            <w:r>
              <w:rPr>
                <w:rFonts w:hint="eastAsia"/>
                <w:sz w:val="18"/>
                <w:szCs w:val="18"/>
              </w:rPr>
              <w:t>您如何评价以下陈述？</w:t>
            </w:r>
          </w:p>
          <w:p w14:paraId="5C8835F9">
            <w:pPr>
              <w:jc w:val="center"/>
              <w:rPr>
                <w:sz w:val="18"/>
                <w:szCs w:val="18"/>
              </w:rPr>
            </w:pPr>
            <w:r>
              <w:rPr>
                <w:rFonts w:hint="eastAsia"/>
                <w:sz w:val="18"/>
                <w:szCs w:val="18"/>
              </w:rPr>
              <w:t>请选择相应的分数</w:t>
            </w:r>
          </w:p>
        </w:tc>
        <w:tc>
          <w:tcPr>
            <w:tcW w:w="1297" w:type="dxa"/>
            <w:vAlign w:val="center"/>
          </w:tcPr>
          <w:p w14:paraId="70887271">
            <w:pPr>
              <w:jc w:val="center"/>
              <w:rPr>
                <w:sz w:val="18"/>
                <w:szCs w:val="18"/>
              </w:rPr>
            </w:pPr>
            <w:r>
              <w:rPr>
                <w:rFonts w:hint="eastAsia"/>
                <w:sz w:val="18"/>
                <w:szCs w:val="18"/>
              </w:rPr>
              <w:t>1分</w:t>
            </w:r>
          </w:p>
          <w:p w14:paraId="6C6BC206">
            <w:pPr>
              <w:jc w:val="center"/>
              <w:rPr>
                <w:sz w:val="18"/>
                <w:szCs w:val="18"/>
              </w:rPr>
            </w:pPr>
            <w:r>
              <w:rPr>
                <w:rFonts w:hint="eastAsia"/>
                <w:sz w:val="18"/>
                <w:szCs w:val="18"/>
              </w:rPr>
              <w:t>非常不同意</w:t>
            </w:r>
          </w:p>
        </w:tc>
        <w:tc>
          <w:tcPr>
            <w:tcW w:w="1297" w:type="dxa"/>
            <w:vAlign w:val="center"/>
          </w:tcPr>
          <w:p w14:paraId="30D5A59B">
            <w:pPr>
              <w:jc w:val="center"/>
              <w:rPr>
                <w:sz w:val="18"/>
                <w:szCs w:val="18"/>
              </w:rPr>
            </w:pPr>
            <w:r>
              <w:rPr>
                <w:rFonts w:hint="eastAsia"/>
                <w:sz w:val="18"/>
                <w:szCs w:val="18"/>
              </w:rPr>
              <w:t>2分</w:t>
            </w:r>
          </w:p>
          <w:p w14:paraId="7FD5557B">
            <w:pPr>
              <w:jc w:val="center"/>
              <w:rPr>
                <w:sz w:val="18"/>
                <w:szCs w:val="18"/>
              </w:rPr>
            </w:pPr>
            <w:r>
              <w:rPr>
                <w:rFonts w:hint="eastAsia"/>
                <w:sz w:val="18"/>
                <w:szCs w:val="18"/>
              </w:rPr>
              <w:t>不同意</w:t>
            </w:r>
          </w:p>
        </w:tc>
        <w:tc>
          <w:tcPr>
            <w:tcW w:w="1297" w:type="dxa"/>
            <w:vAlign w:val="center"/>
          </w:tcPr>
          <w:p w14:paraId="2CDAE8B6">
            <w:pPr>
              <w:jc w:val="center"/>
              <w:rPr>
                <w:sz w:val="18"/>
                <w:szCs w:val="18"/>
              </w:rPr>
            </w:pPr>
            <w:r>
              <w:rPr>
                <w:rFonts w:hint="eastAsia"/>
                <w:sz w:val="18"/>
                <w:szCs w:val="18"/>
              </w:rPr>
              <w:t>3分</w:t>
            </w:r>
          </w:p>
          <w:p w14:paraId="26E07DDD">
            <w:pPr>
              <w:jc w:val="center"/>
              <w:rPr>
                <w:sz w:val="18"/>
                <w:szCs w:val="18"/>
              </w:rPr>
            </w:pPr>
            <w:r>
              <w:rPr>
                <w:rFonts w:hint="eastAsia"/>
                <w:sz w:val="18"/>
                <w:szCs w:val="18"/>
              </w:rPr>
              <w:t>既不同意也不反对</w:t>
            </w:r>
          </w:p>
        </w:tc>
        <w:tc>
          <w:tcPr>
            <w:tcW w:w="1297" w:type="dxa"/>
            <w:vAlign w:val="center"/>
          </w:tcPr>
          <w:p w14:paraId="70911EAD">
            <w:pPr>
              <w:jc w:val="center"/>
              <w:rPr>
                <w:sz w:val="18"/>
                <w:szCs w:val="18"/>
              </w:rPr>
            </w:pPr>
            <w:r>
              <w:rPr>
                <w:rFonts w:hint="eastAsia"/>
                <w:sz w:val="18"/>
                <w:szCs w:val="18"/>
              </w:rPr>
              <w:t>4分</w:t>
            </w:r>
          </w:p>
          <w:p w14:paraId="5133357C">
            <w:pPr>
              <w:jc w:val="center"/>
              <w:rPr>
                <w:sz w:val="18"/>
                <w:szCs w:val="18"/>
              </w:rPr>
            </w:pPr>
            <w:r>
              <w:rPr>
                <w:rFonts w:hint="eastAsia"/>
                <w:sz w:val="18"/>
                <w:szCs w:val="18"/>
              </w:rPr>
              <w:t>同意</w:t>
            </w:r>
          </w:p>
        </w:tc>
        <w:tc>
          <w:tcPr>
            <w:tcW w:w="1298" w:type="dxa"/>
            <w:vAlign w:val="center"/>
          </w:tcPr>
          <w:p w14:paraId="0FC0D62B">
            <w:pPr>
              <w:jc w:val="center"/>
              <w:rPr>
                <w:sz w:val="18"/>
                <w:szCs w:val="18"/>
              </w:rPr>
            </w:pPr>
            <w:r>
              <w:rPr>
                <w:rFonts w:hint="eastAsia"/>
                <w:sz w:val="18"/>
                <w:szCs w:val="18"/>
              </w:rPr>
              <w:t>5分</w:t>
            </w:r>
          </w:p>
          <w:p w14:paraId="2347842D">
            <w:pPr>
              <w:jc w:val="center"/>
              <w:rPr>
                <w:sz w:val="18"/>
                <w:szCs w:val="18"/>
              </w:rPr>
            </w:pPr>
            <w:r>
              <w:rPr>
                <w:rFonts w:hint="eastAsia"/>
                <w:sz w:val="18"/>
                <w:szCs w:val="18"/>
              </w:rPr>
              <w:t>非常同意</w:t>
            </w:r>
          </w:p>
        </w:tc>
      </w:tr>
      <w:tr w14:paraId="59EF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F90E90">
            <w:pPr>
              <w:jc w:val="center"/>
              <w:rPr>
                <w:sz w:val="18"/>
                <w:szCs w:val="18"/>
              </w:rPr>
            </w:pPr>
            <w:r>
              <w:rPr>
                <w:rFonts w:hint="eastAsia"/>
                <w:sz w:val="18"/>
                <w:szCs w:val="18"/>
              </w:rPr>
              <w:t>1</w:t>
            </w:r>
          </w:p>
        </w:tc>
        <w:tc>
          <w:tcPr>
            <w:tcW w:w="2410" w:type="dxa"/>
            <w:vAlign w:val="center"/>
          </w:tcPr>
          <w:p w14:paraId="48CE2889">
            <w:pPr>
              <w:jc w:val="center"/>
              <w:rPr>
                <w:sz w:val="18"/>
                <w:szCs w:val="18"/>
              </w:rPr>
            </w:pPr>
            <w:r>
              <w:rPr>
                <w:rFonts w:hint="eastAsia"/>
                <w:sz w:val="18"/>
                <w:szCs w:val="18"/>
              </w:rPr>
              <w:t>使用产品后头屑有减少（可通过观察肩膀、衣服、枕头等头屑残留情况）</w:t>
            </w:r>
          </w:p>
        </w:tc>
        <w:tc>
          <w:tcPr>
            <w:tcW w:w="1297" w:type="dxa"/>
            <w:vAlign w:val="center"/>
          </w:tcPr>
          <w:p w14:paraId="6589FB8F">
            <w:pPr>
              <w:jc w:val="center"/>
              <w:rPr>
                <w:sz w:val="18"/>
                <w:szCs w:val="18"/>
              </w:rPr>
            </w:pPr>
            <w:r>
              <w:rPr>
                <w:rFonts w:hint="eastAsia"/>
                <w:sz w:val="18"/>
                <w:szCs w:val="18"/>
              </w:rPr>
              <w:t>□</w:t>
            </w:r>
          </w:p>
        </w:tc>
        <w:tc>
          <w:tcPr>
            <w:tcW w:w="1297" w:type="dxa"/>
            <w:vAlign w:val="center"/>
          </w:tcPr>
          <w:p w14:paraId="5A05D33A">
            <w:pPr>
              <w:jc w:val="center"/>
              <w:rPr>
                <w:sz w:val="18"/>
                <w:szCs w:val="18"/>
              </w:rPr>
            </w:pPr>
            <w:r>
              <w:rPr>
                <w:rFonts w:hint="eastAsia"/>
                <w:sz w:val="18"/>
                <w:szCs w:val="18"/>
              </w:rPr>
              <w:t>□</w:t>
            </w:r>
          </w:p>
        </w:tc>
        <w:tc>
          <w:tcPr>
            <w:tcW w:w="1297" w:type="dxa"/>
            <w:vAlign w:val="center"/>
          </w:tcPr>
          <w:p w14:paraId="7A024582">
            <w:pPr>
              <w:jc w:val="center"/>
              <w:rPr>
                <w:sz w:val="18"/>
                <w:szCs w:val="18"/>
              </w:rPr>
            </w:pPr>
            <w:r>
              <w:rPr>
                <w:rFonts w:hint="eastAsia"/>
                <w:sz w:val="18"/>
                <w:szCs w:val="18"/>
              </w:rPr>
              <w:t>□</w:t>
            </w:r>
          </w:p>
        </w:tc>
        <w:tc>
          <w:tcPr>
            <w:tcW w:w="1297" w:type="dxa"/>
            <w:vAlign w:val="center"/>
          </w:tcPr>
          <w:p w14:paraId="0E7DB375">
            <w:pPr>
              <w:jc w:val="center"/>
              <w:rPr>
                <w:sz w:val="18"/>
                <w:szCs w:val="18"/>
              </w:rPr>
            </w:pPr>
            <w:r>
              <w:rPr>
                <w:rFonts w:hint="eastAsia"/>
                <w:sz w:val="18"/>
                <w:szCs w:val="18"/>
              </w:rPr>
              <w:t>□</w:t>
            </w:r>
          </w:p>
        </w:tc>
        <w:tc>
          <w:tcPr>
            <w:tcW w:w="1298" w:type="dxa"/>
            <w:vAlign w:val="center"/>
          </w:tcPr>
          <w:p w14:paraId="2F91320A">
            <w:pPr>
              <w:jc w:val="center"/>
              <w:rPr>
                <w:sz w:val="18"/>
                <w:szCs w:val="18"/>
              </w:rPr>
            </w:pPr>
            <w:r>
              <w:rPr>
                <w:rFonts w:hint="eastAsia"/>
                <w:sz w:val="18"/>
                <w:szCs w:val="18"/>
              </w:rPr>
              <w:t>□</w:t>
            </w:r>
          </w:p>
        </w:tc>
      </w:tr>
      <w:tr w14:paraId="5EAE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5F175C">
            <w:pPr>
              <w:jc w:val="center"/>
              <w:rPr>
                <w:sz w:val="18"/>
                <w:szCs w:val="18"/>
              </w:rPr>
            </w:pPr>
            <w:r>
              <w:rPr>
                <w:rFonts w:hint="eastAsia"/>
                <w:sz w:val="18"/>
                <w:szCs w:val="18"/>
              </w:rPr>
              <w:t>2</w:t>
            </w:r>
          </w:p>
        </w:tc>
        <w:tc>
          <w:tcPr>
            <w:tcW w:w="2410" w:type="dxa"/>
            <w:vAlign w:val="center"/>
          </w:tcPr>
          <w:p w14:paraId="5A3A6277">
            <w:pPr>
              <w:jc w:val="center"/>
              <w:rPr>
                <w:sz w:val="18"/>
                <w:szCs w:val="18"/>
              </w:rPr>
            </w:pPr>
            <w:r>
              <w:rPr>
                <w:rFonts w:hint="eastAsia"/>
                <w:sz w:val="18"/>
                <w:szCs w:val="18"/>
              </w:rPr>
              <w:t>使用产品后头皮油腻感有改善</w:t>
            </w:r>
          </w:p>
        </w:tc>
        <w:tc>
          <w:tcPr>
            <w:tcW w:w="1297" w:type="dxa"/>
            <w:vAlign w:val="center"/>
          </w:tcPr>
          <w:p w14:paraId="5B30341D">
            <w:pPr>
              <w:jc w:val="center"/>
              <w:rPr>
                <w:sz w:val="18"/>
                <w:szCs w:val="18"/>
              </w:rPr>
            </w:pPr>
            <w:r>
              <w:rPr>
                <w:rFonts w:hint="eastAsia"/>
                <w:sz w:val="18"/>
                <w:szCs w:val="18"/>
              </w:rPr>
              <w:t>□</w:t>
            </w:r>
          </w:p>
        </w:tc>
        <w:tc>
          <w:tcPr>
            <w:tcW w:w="1297" w:type="dxa"/>
            <w:vAlign w:val="center"/>
          </w:tcPr>
          <w:p w14:paraId="75CA95E7">
            <w:pPr>
              <w:jc w:val="center"/>
              <w:rPr>
                <w:sz w:val="18"/>
                <w:szCs w:val="18"/>
              </w:rPr>
            </w:pPr>
            <w:r>
              <w:rPr>
                <w:rFonts w:hint="eastAsia"/>
                <w:sz w:val="18"/>
                <w:szCs w:val="18"/>
              </w:rPr>
              <w:t>□</w:t>
            </w:r>
          </w:p>
        </w:tc>
        <w:tc>
          <w:tcPr>
            <w:tcW w:w="1297" w:type="dxa"/>
            <w:vAlign w:val="center"/>
          </w:tcPr>
          <w:p w14:paraId="3BF20E8C">
            <w:pPr>
              <w:jc w:val="center"/>
              <w:rPr>
                <w:sz w:val="18"/>
                <w:szCs w:val="18"/>
              </w:rPr>
            </w:pPr>
            <w:r>
              <w:rPr>
                <w:rFonts w:hint="eastAsia"/>
                <w:sz w:val="18"/>
                <w:szCs w:val="18"/>
              </w:rPr>
              <w:t>□</w:t>
            </w:r>
          </w:p>
        </w:tc>
        <w:tc>
          <w:tcPr>
            <w:tcW w:w="1297" w:type="dxa"/>
            <w:vAlign w:val="center"/>
          </w:tcPr>
          <w:p w14:paraId="6A05C0F2">
            <w:pPr>
              <w:jc w:val="center"/>
              <w:rPr>
                <w:sz w:val="18"/>
                <w:szCs w:val="18"/>
              </w:rPr>
            </w:pPr>
            <w:r>
              <w:rPr>
                <w:rFonts w:hint="eastAsia"/>
                <w:sz w:val="18"/>
                <w:szCs w:val="18"/>
              </w:rPr>
              <w:t>□</w:t>
            </w:r>
          </w:p>
        </w:tc>
        <w:tc>
          <w:tcPr>
            <w:tcW w:w="1298" w:type="dxa"/>
            <w:vAlign w:val="center"/>
          </w:tcPr>
          <w:p w14:paraId="1CEF21EB">
            <w:pPr>
              <w:jc w:val="center"/>
              <w:rPr>
                <w:sz w:val="18"/>
                <w:szCs w:val="18"/>
              </w:rPr>
            </w:pPr>
            <w:r>
              <w:rPr>
                <w:rFonts w:hint="eastAsia"/>
                <w:sz w:val="18"/>
                <w:szCs w:val="18"/>
              </w:rPr>
              <w:t>□</w:t>
            </w:r>
          </w:p>
        </w:tc>
      </w:tr>
      <w:tr w14:paraId="38FD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1E4FF4">
            <w:pPr>
              <w:jc w:val="center"/>
              <w:rPr>
                <w:sz w:val="18"/>
                <w:szCs w:val="18"/>
              </w:rPr>
            </w:pPr>
            <w:r>
              <w:rPr>
                <w:rFonts w:hint="eastAsia"/>
                <w:sz w:val="18"/>
                <w:szCs w:val="18"/>
              </w:rPr>
              <w:t>3</w:t>
            </w:r>
          </w:p>
        </w:tc>
        <w:tc>
          <w:tcPr>
            <w:tcW w:w="2410" w:type="dxa"/>
            <w:vAlign w:val="center"/>
          </w:tcPr>
          <w:p w14:paraId="5A1A886B">
            <w:pPr>
              <w:jc w:val="center"/>
              <w:rPr>
                <w:sz w:val="18"/>
                <w:szCs w:val="18"/>
              </w:rPr>
            </w:pPr>
            <w:r>
              <w:rPr>
                <w:rFonts w:hint="eastAsia"/>
                <w:sz w:val="18"/>
                <w:szCs w:val="18"/>
              </w:rPr>
              <w:t>使用产品后头皮干燥程度有改善</w:t>
            </w:r>
          </w:p>
        </w:tc>
        <w:tc>
          <w:tcPr>
            <w:tcW w:w="1297" w:type="dxa"/>
            <w:vAlign w:val="center"/>
          </w:tcPr>
          <w:p w14:paraId="31D78550">
            <w:pPr>
              <w:jc w:val="center"/>
              <w:rPr>
                <w:sz w:val="18"/>
                <w:szCs w:val="18"/>
              </w:rPr>
            </w:pPr>
            <w:r>
              <w:rPr>
                <w:rFonts w:hint="eastAsia"/>
                <w:sz w:val="18"/>
                <w:szCs w:val="18"/>
              </w:rPr>
              <w:t>□</w:t>
            </w:r>
          </w:p>
        </w:tc>
        <w:tc>
          <w:tcPr>
            <w:tcW w:w="1297" w:type="dxa"/>
            <w:vAlign w:val="center"/>
          </w:tcPr>
          <w:p w14:paraId="20D82690">
            <w:pPr>
              <w:jc w:val="center"/>
              <w:rPr>
                <w:sz w:val="18"/>
                <w:szCs w:val="18"/>
              </w:rPr>
            </w:pPr>
            <w:r>
              <w:rPr>
                <w:rFonts w:hint="eastAsia"/>
                <w:sz w:val="18"/>
                <w:szCs w:val="18"/>
              </w:rPr>
              <w:t>□</w:t>
            </w:r>
          </w:p>
        </w:tc>
        <w:tc>
          <w:tcPr>
            <w:tcW w:w="1297" w:type="dxa"/>
            <w:vAlign w:val="center"/>
          </w:tcPr>
          <w:p w14:paraId="4AE6E01E">
            <w:pPr>
              <w:jc w:val="center"/>
              <w:rPr>
                <w:sz w:val="18"/>
                <w:szCs w:val="18"/>
              </w:rPr>
            </w:pPr>
            <w:r>
              <w:rPr>
                <w:rFonts w:hint="eastAsia"/>
                <w:sz w:val="18"/>
                <w:szCs w:val="18"/>
              </w:rPr>
              <w:t>□</w:t>
            </w:r>
          </w:p>
        </w:tc>
        <w:tc>
          <w:tcPr>
            <w:tcW w:w="1297" w:type="dxa"/>
            <w:vAlign w:val="center"/>
          </w:tcPr>
          <w:p w14:paraId="1BA2BB1C">
            <w:pPr>
              <w:jc w:val="center"/>
              <w:rPr>
                <w:sz w:val="18"/>
                <w:szCs w:val="18"/>
              </w:rPr>
            </w:pPr>
            <w:r>
              <w:rPr>
                <w:rFonts w:hint="eastAsia"/>
                <w:sz w:val="18"/>
                <w:szCs w:val="18"/>
              </w:rPr>
              <w:t>□</w:t>
            </w:r>
          </w:p>
        </w:tc>
        <w:tc>
          <w:tcPr>
            <w:tcW w:w="1298" w:type="dxa"/>
            <w:vAlign w:val="center"/>
          </w:tcPr>
          <w:p w14:paraId="6C42DC99">
            <w:pPr>
              <w:jc w:val="center"/>
              <w:rPr>
                <w:sz w:val="18"/>
                <w:szCs w:val="18"/>
              </w:rPr>
            </w:pPr>
            <w:r>
              <w:rPr>
                <w:rFonts w:hint="eastAsia"/>
                <w:sz w:val="18"/>
                <w:szCs w:val="18"/>
              </w:rPr>
              <w:t>□</w:t>
            </w:r>
          </w:p>
        </w:tc>
      </w:tr>
    </w:tbl>
    <w:p w14:paraId="5185C189">
      <w:pPr>
        <w:pStyle w:val="90"/>
        <w:spacing w:before="156" w:after="156"/>
      </w:pPr>
      <w:r>
        <w:rPr>
          <w:rFonts w:hint="eastAsia"/>
        </w:rPr>
        <w:t>数据分析</w:t>
      </w:r>
    </w:p>
    <w:p w14:paraId="15EAED54">
      <w:pPr>
        <w:ind w:firstLine="420" w:firstLineChars="200"/>
        <w:jc w:val="left"/>
      </w:pPr>
      <w:r>
        <w:rPr>
          <w:rFonts w:hint="eastAsia" w:ascii="宋体" w:hAnsi="宋体" w:cs="宋体"/>
          <w:kern w:val="0"/>
          <w:szCs w:val="21"/>
          <w:lang w:bidi="ar"/>
        </w:rPr>
        <w:t>应用统计分析软件进行数据的统计分析。</w:t>
      </w:r>
      <w:r>
        <w:rPr>
          <w:rFonts w:hint="eastAsia"/>
        </w:rPr>
        <w:t>选择分数为“非常同意（5分）”或“同意（4分）”的即为认同，否则为未认同。对于选择认同和未选择认同的消费者比例进行二项式检验。上述统计分析为双尾检验，显著性水平为</w:t>
      </w:r>
      <w:r>
        <w:t>α</w:t>
      </w:r>
      <w:r>
        <w:rPr>
          <w:rFonts w:hint="eastAsia"/>
        </w:rPr>
        <w:t>=0.05。</w:t>
      </w:r>
    </w:p>
    <w:p w14:paraId="4706840B">
      <w:pPr>
        <w:pStyle w:val="90"/>
        <w:spacing w:before="156" w:after="156"/>
      </w:pPr>
      <w:r>
        <w:rPr>
          <w:rFonts w:hint="eastAsia"/>
        </w:rPr>
        <w:t>试验结论</w:t>
      </w:r>
    </w:p>
    <w:p w14:paraId="6BF47AE2">
      <w:pPr>
        <w:ind w:firstLine="420" w:firstLineChars="200"/>
      </w:pPr>
      <w:r>
        <w:rPr>
          <w:rFonts w:hint="eastAsia"/>
        </w:rPr>
        <w:t>根据数据分析结果，使用测试产品后，任一周调查问卷头屑相关问题认同比例≥60%（</w:t>
      </w:r>
      <w:r>
        <w:rPr>
          <w:rFonts w:hint="eastAsia"/>
          <w:i/>
        </w:rPr>
        <w:t>P</w:t>
      </w:r>
      <w:r>
        <w:rPr>
          <w:rFonts w:hint="eastAsia"/>
        </w:rPr>
        <w:t>＜0.05），则认为测试产品有去屑功效，否则认为测试产品无去屑功效。</w:t>
      </w:r>
    </w:p>
    <w:p w14:paraId="2BCEE606">
      <w:pPr>
        <w:pStyle w:val="90"/>
        <w:spacing w:before="156" w:after="156"/>
      </w:pPr>
      <w:r>
        <w:rPr>
          <w:rFonts w:hint="eastAsia"/>
        </w:rPr>
        <w:t>试</w:t>
      </w:r>
      <w:r>
        <w:t>验</w:t>
      </w:r>
      <w:r>
        <w:rPr>
          <w:rFonts w:hint="eastAsia"/>
        </w:rPr>
        <w:t>报告</w:t>
      </w:r>
    </w:p>
    <w:p w14:paraId="18AABA83">
      <w:pPr>
        <w:pStyle w:val="57"/>
        <w:ind w:firstLine="420"/>
        <w:rPr>
          <w:szCs w:val="21"/>
        </w:rPr>
      </w:pPr>
      <w:r>
        <w:rPr>
          <w:rFonts w:hint="eastAsia"/>
          <w:szCs w:val="21"/>
        </w:rPr>
        <w:t>试验报告一般应当包括以下内容：</w:t>
      </w:r>
    </w:p>
    <w:p w14:paraId="44AF58AA">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委托企业（包括注册人、备案人或境内责任人等）名称、地址等相关信息；</w:t>
      </w:r>
    </w:p>
    <w:p w14:paraId="19B43431">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功效评价机构名称、地址等相关信息；</w:t>
      </w:r>
    </w:p>
    <w:p w14:paraId="010C088A">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测试物相关信息；</w:t>
      </w:r>
    </w:p>
    <w:p w14:paraId="238505EF">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消费者相关信息；</w:t>
      </w:r>
    </w:p>
    <w:p w14:paraId="3A5FF5DB">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试验项目和方法依据；</w:t>
      </w:r>
    </w:p>
    <w:p w14:paraId="029AB10A">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试验的开始与完成日期；</w:t>
      </w:r>
    </w:p>
    <w:p w14:paraId="04E3354C">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材料和方法；</w:t>
      </w:r>
    </w:p>
    <w:p w14:paraId="3B72C536">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试验结果；</w:t>
      </w:r>
    </w:p>
    <w:p w14:paraId="10235B2A">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与产品有关的不良反应/严重不良反应信息；</w:t>
      </w:r>
    </w:p>
    <w:p w14:paraId="5BC671BD">
      <w:pPr>
        <w:pStyle w:val="117"/>
        <w:widowControl/>
        <w:numPr>
          <w:ilvl w:val="0"/>
          <w:numId w:val="16"/>
        </w:numPr>
        <w:autoSpaceDE w:val="0"/>
        <w:autoSpaceDN w:val="0"/>
        <w:adjustRightInd w:val="0"/>
        <w:ind w:firstLineChars="0"/>
        <w:jc w:val="left"/>
        <w:rPr>
          <w:rFonts w:ascii="宋体"/>
          <w:kern w:val="0"/>
          <w:szCs w:val="21"/>
        </w:rPr>
      </w:pPr>
      <w:r>
        <w:rPr>
          <w:rFonts w:hint="eastAsia"/>
          <w:szCs w:val="21"/>
        </w:rPr>
        <w:t>试验中的异常现象（如有）；</w:t>
      </w:r>
    </w:p>
    <w:p w14:paraId="500DCA53">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讨论（如有必要的情况）；</w:t>
      </w:r>
    </w:p>
    <w:p w14:paraId="02706365">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试验结论；</w:t>
      </w:r>
    </w:p>
    <w:p w14:paraId="417E6B54">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报告的日期；</w:t>
      </w:r>
    </w:p>
    <w:p w14:paraId="3F92944A">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检验人、校核人和技术负责人/主要研究者签字；</w:t>
      </w:r>
    </w:p>
    <w:p w14:paraId="6BF25902">
      <w:pPr>
        <w:pStyle w:val="117"/>
        <w:widowControl/>
        <w:numPr>
          <w:ilvl w:val="0"/>
          <w:numId w:val="16"/>
        </w:numPr>
        <w:autoSpaceDE w:val="0"/>
        <w:autoSpaceDN w:val="0"/>
        <w:adjustRightInd w:val="0"/>
        <w:ind w:firstLineChars="0"/>
        <w:jc w:val="left"/>
        <w:rPr>
          <w:rFonts w:ascii="宋体"/>
          <w:kern w:val="0"/>
          <w:szCs w:val="21"/>
        </w:rPr>
      </w:pPr>
      <w:r>
        <w:rPr>
          <w:rFonts w:hint="eastAsia" w:ascii="宋体"/>
          <w:kern w:val="0"/>
          <w:szCs w:val="21"/>
        </w:rPr>
        <w:t>评价机构签章。</w:t>
      </w:r>
    </w:p>
    <w:p w14:paraId="48209CEE">
      <w:pPr>
        <w:pStyle w:val="130"/>
        <w:spacing w:before="312" w:beforeLines="100" w:after="312" w:afterLines="100"/>
        <w:jc w:val="center"/>
        <w:outlineLvl w:val="0"/>
        <w:rPr>
          <w:rFonts w:ascii="黑体" w:eastAsia="黑体"/>
          <w:sz w:val="24"/>
          <w:szCs w:val="24"/>
        </w:rPr>
      </w:pPr>
      <w:r>
        <w:rPr>
          <w:rFonts w:hint="eastAsia" w:ascii="黑体" w:eastAsia="黑体"/>
          <w:sz w:val="24"/>
          <w:szCs w:val="24"/>
        </w:rPr>
        <w:t>第三法 抑菌测试方法</w:t>
      </w:r>
    </w:p>
    <w:p w14:paraId="28120A72">
      <w:pPr>
        <w:pStyle w:val="125"/>
        <w:numPr>
          <w:ilvl w:val="1"/>
          <w:numId w:val="1"/>
        </w:numPr>
        <w:spacing w:before="312" w:after="312"/>
        <w:jc w:val="left"/>
        <w:rPr>
          <w:rFonts w:ascii="Times New Roman"/>
        </w:rPr>
      </w:pPr>
      <w:r>
        <w:rPr>
          <w:rFonts w:ascii="Times New Roman"/>
        </w:rPr>
        <w:t>原理</w:t>
      </w:r>
    </w:p>
    <w:p w14:paraId="718F3803">
      <w:pPr>
        <w:pStyle w:val="120"/>
        <w:ind w:firstLine="420"/>
        <w:rPr>
          <w:rFonts w:ascii="Times New Roman"/>
          <w:szCs w:val="21"/>
        </w:rPr>
      </w:pPr>
      <w:r>
        <w:rPr>
          <w:rFonts w:ascii="Times New Roman"/>
          <w:szCs w:val="21"/>
        </w:rPr>
        <w:t>马拉色菌的异常增加和活动被认为是头屑形成的主要原因之一，去屑产品通过添加功能性物质抑制头皮马拉色菌的生长和（或）繁殖，可以改善头屑状况。基于该原理发挥功效的化妆品，可以将产品对马拉色菌的抑制情况作为去屑性能的一个评价指标。</w:t>
      </w:r>
    </w:p>
    <w:p w14:paraId="1A0A8E23">
      <w:pPr>
        <w:pStyle w:val="120"/>
        <w:ind w:firstLine="420"/>
        <w:rPr>
          <w:rFonts w:ascii="Times New Roman"/>
        </w:rPr>
      </w:pPr>
      <w:r>
        <w:rPr>
          <w:rFonts w:ascii="Times New Roman"/>
          <w:szCs w:val="21"/>
        </w:rPr>
        <w:t xml:space="preserve">本方法以糠秕马拉色菌作为试验菌种，通过将一定量的糠秕马拉色菌加入受试物稀释液中，随后在模拟的头皮温度（即33 </w:t>
      </w:r>
      <w:r>
        <w:rPr>
          <w:rFonts w:hint="eastAsia" w:hAnsi="宋体" w:cs="宋体"/>
          <w:szCs w:val="21"/>
        </w:rPr>
        <w:t>℃±</w:t>
      </w:r>
      <w:r>
        <w:rPr>
          <w:rFonts w:ascii="Times New Roman"/>
          <w:szCs w:val="21"/>
        </w:rPr>
        <w:t xml:space="preserve">1 </w:t>
      </w:r>
      <w:r>
        <w:rPr>
          <w:rFonts w:hint="eastAsia" w:hAnsi="宋体" w:cs="宋体"/>
          <w:szCs w:val="21"/>
        </w:rPr>
        <w:t>℃</w:t>
      </w:r>
      <w:r>
        <w:rPr>
          <w:rFonts w:ascii="Times New Roman"/>
          <w:szCs w:val="21"/>
        </w:rPr>
        <w:t>）下使两者作用，至规定时间后，回收作用体系中的试验菌，培养计数并换算成对数值，通过与对照样品的结果进行比较，评价受试物对马拉色菌的抑制效果，进而评估受试物的去屑功效。</w:t>
      </w:r>
    </w:p>
    <w:p w14:paraId="3832A24A">
      <w:pPr>
        <w:pStyle w:val="125"/>
        <w:numPr>
          <w:ilvl w:val="1"/>
          <w:numId w:val="1"/>
        </w:numPr>
        <w:spacing w:before="312" w:after="312"/>
        <w:rPr>
          <w:rFonts w:ascii="Times New Roman"/>
        </w:rPr>
      </w:pPr>
      <w:r>
        <w:rPr>
          <w:rFonts w:ascii="Times New Roman"/>
        </w:rPr>
        <w:t>仪器</w:t>
      </w:r>
      <w:r>
        <w:rPr>
          <w:rFonts w:hint="eastAsia" w:ascii="Times New Roman"/>
        </w:rPr>
        <w:t>和</w:t>
      </w:r>
      <w:r>
        <w:rPr>
          <w:rFonts w:ascii="Times New Roman"/>
        </w:rPr>
        <w:t>设备</w:t>
      </w:r>
    </w:p>
    <w:p w14:paraId="60D5DBA2">
      <w:pPr>
        <w:pStyle w:val="126"/>
        <w:numPr>
          <w:ilvl w:val="2"/>
          <w:numId w:val="1"/>
        </w:numPr>
        <w:spacing w:before="156" w:after="156"/>
        <w:ind w:left="0"/>
        <w:rPr>
          <w:rFonts w:ascii="Times New Roman"/>
        </w:rPr>
      </w:pPr>
      <w:r>
        <w:rPr>
          <w:rFonts w:ascii="Times New Roman"/>
        </w:rPr>
        <w:t>恒温培养箱</w:t>
      </w:r>
    </w:p>
    <w:p w14:paraId="05F82752">
      <w:pPr>
        <w:pStyle w:val="57"/>
        <w:ind w:firstLine="420"/>
        <w:rPr>
          <w:rFonts w:ascii="Times New Roman"/>
        </w:rPr>
      </w:pPr>
      <w:r>
        <w:rPr>
          <w:rFonts w:ascii="Times New Roman"/>
        </w:rPr>
        <w:t>控温范围：</w:t>
      </w:r>
      <w:r>
        <w:rPr>
          <w:rFonts w:ascii="Times New Roman"/>
          <w:szCs w:val="21"/>
        </w:rPr>
        <w:t>5</w:t>
      </w:r>
      <w:r>
        <w:rPr>
          <w:rFonts w:hint="eastAsia" w:ascii="Times New Roman"/>
          <w:szCs w:val="21"/>
        </w:rPr>
        <w:t xml:space="preserve"> </w:t>
      </w:r>
      <w:r>
        <w:rPr>
          <w:rFonts w:hint="eastAsia" w:hAnsi="宋体" w:cs="宋体"/>
          <w:szCs w:val="21"/>
        </w:rPr>
        <w:t>℃</w:t>
      </w:r>
      <w:r>
        <w:rPr>
          <w:rFonts w:ascii="Times New Roman"/>
          <w:szCs w:val="21"/>
        </w:rPr>
        <w:t xml:space="preserve">～50 </w:t>
      </w:r>
      <w:r>
        <w:rPr>
          <w:rFonts w:hint="eastAsia" w:hAnsi="宋体" w:cs="宋体"/>
          <w:szCs w:val="21"/>
        </w:rPr>
        <w:t>℃</w:t>
      </w:r>
      <w:r>
        <w:rPr>
          <w:rFonts w:ascii="Times New Roman"/>
          <w:szCs w:val="21"/>
        </w:rPr>
        <w:t xml:space="preserve"> ，温度精度</w:t>
      </w:r>
      <w:r>
        <w:rPr>
          <w:rFonts w:asciiTheme="minorEastAsia" w:hAnsiTheme="minorEastAsia" w:eastAsiaTheme="minorEastAsia"/>
          <w:szCs w:val="21"/>
        </w:rPr>
        <w:t>±</w:t>
      </w:r>
      <w:r>
        <w:rPr>
          <w:rFonts w:ascii="Times New Roman"/>
          <w:szCs w:val="21"/>
        </w:rPr>
        <w:t xml:space="preserve">1 </w:t>
      </w:r>
      <w:r>
        <w:rPr>
          <w:rFonts w:hint="eastAsia" w:hAnsi="宋体" w:cs="宋体"/>
          <w:szCs w:val="21"/>
        </w:rPr>
        <w:t>℃</w:t>
      </w:r>
      <w:r>
        <w:rPr>
          <w:rFonts w:ascii="Times New Roman"/>
        </w:rPr>
        <w:t>。</w:t>
      </w:r>
    </w:p>
    <w:p w14:paraId="4FC2D2F5">
      <w:pPr>
        <w:pStyle w:val="126"/>
        <w:numPr>
          <w:ilvl w:val="2"/>
          <w:numId w:val="1"/>
        </w:numPr>
        <w:spacing w:before="156" w:after="156"/>
        <w:ind w:left="0"/>
        <w:rPr>
          <w:rFonts w:ascii="Times New Roman"/>
        </w:rPr>
      </w:pPr>
      <w:r>
        <w:rPr>
          <w:rFonts w:ascii="Times New Roman"/>
        </w:rPr>
        <w:t>干热灭菌箱</w:t>
      </w:r>
    </w:p>
    <w:p w14:paraId="37505CE4">
      <w:pPr>
        <w:pStyle w:val="57"/>
        <w:ind w:firstLine="420"/>
        <w:rPr>
          <w:rFonts w:ascii="Times New Roman"/>
        </w:rPr>
      </w:pPr>
      <w:r>
        <w:rPr>
          <w:rFonts w:ascii="Times New Roman"/>
        </w:rPr>
        <w:t>控温范围：</w:t>
      </w:r>
      <w:r>
        <w:rPr>
          <w:rFonts w:ascii="Times New Roman"/>
          <w:szCs w:val="21"/>
        </w:rPr>
        <w:t xml:space="preserve">50 </w:t>
      </w:r>
      <w:r>
        <w:rPr>
          <w:rFonts w:hint="eastAsia" w:hAnsi="宋体" w:cs="宋体"/>
          <w:szCs w:val="21"/>
        </w:rPr>
        <w:t>℃</w:t>
      </w:r>
      <w:r>
        <w:rPr>
          <w:rFonts w:ascii="Times New Roman"/>
          <w:szCs w:val="21"/>
        </w:rPr>
        <w:t xml:space="preserve">～200 </w:t>
      </w:r>
      <w:r>
        <w:rPr>
          <w:rFonts w:hint="eastAsia" w:hAnsi="宋体" w:cs="宋体"/>
          <w:szCs w:val="21"/>
        </w:rPr>
        <w:t>℃</w:t>
      </w:r>
      <w:r>
        <w:rPr>
          <w:rFonts w:ascii="Times New Roman"/>
          <w:szCs w:val="21"/>
        </w:rPr>
        <w:t>，温度精度</w:t>
      </w:r>
      <w:r>
        <w:rPr>
          <w:rFonts w:asciiTheme="minorEastAsia" w:hAnsiTheme="minorEastAsia" w:eastAsiaTheme="minorEastAsia"/>
          <w:szCs w:val="21"/>
        </w:rPr>
        <w:t>±</w:t>
      </w:r>
      <w:r>
        <w:rPr>
          <w:rFonts w:ascii="Times New Roman"/>
          <w:szCs w:val="21"/>
        </w:rPr>
        <w:t xml:space="preserve">2 </w:t>
      </w:r>
      <w:r>
        <w:rPr>
          <w:rFonts w:hint="eastAsia" w:hAnsi="宋体" w:cs="宋体"/>
          <w:szCs w:val="21"/>
        </w:rPr>
        <w:t>℃</w:t>
      </w:r>
      <w:r>
        <w:rPr>
          <w:rFonts w:ascii="Times New Roman"/>
        </w:rPr>
        <w:t>。</w:t>
      </w:r>
    </w:p>
    <w:p w14:paraId="24C83A6D">
      <w:pPr>
        <w:widowControl/>
        <w:numPr>
          <w:ilvl w:val="2"/>
          <w:numId w:val="1"/>
        </w:numPr>
        <w:spacing w:before="156" w:beforeLines="50" w:after="156" w:afterLines="50"/>
        <w:ind w:left="0"/>
        <w:outlineLvl w:val="1"/>
        <w:rPr>
          <w:rFonts w:eastAsia="黑体"/>
          <w:kern w:val="0"/>
          <w:szCs w:val="20"/>
        </w:rPr>
      </w:pPr>
      <w:r>
        <w:rPr>
          <w:rFonts w:hint="eastAsia" w:eastAsia="黑体"/>
          <w:szCs w:val="22"/>
        </w:rPr>
        <w:t>高压蒸汽灭菌器</w:t>
      </w:r>
    </w:p>
    <w:p w14:paraId="78CCF23C">
      <w:pPr>
        <w:widowControl/>
        <w:autoSpaceDE w:val="0"/>
        <w:autoSpaceDN w:val="0"/>
        <w:ind w:firstLine="420" w:firstLineChars="200"/>
        <w:rPr>
          <w:kern w:val="0"/>
          <w:szCs w:val="20"/>
        </w:rPr>
      </w:pPr>
      <w:r>
        <w:rPr>
          <w:rFonts w:hint="eastAsia"/>
          <w:kern w:val="0"/>
          <w:szCs w:val="20"/>
        </w:rPr>
        <w:t>控温范围：115 ℃～121 ℃，工作时灭菌腔温度控制在预设温度的0 ℃-3 ℃范围内。</w:t>
      </w:r>
    </w:p>
    <w:p w14:paraId="200E9F03">
      <w:pPr>
        <w:pStyle w:val="126"/>
        <w:numPr>
          <w:ilvl w:val="2"/>
          <w:numId w:val="1"/>
        </w:numPr>
        <w:spacing w:before="156" w:after="156"/>
        <w:ind w:left="0"/>
        <w:rPr>
          <w:rFonts w:ascii="Times New Roman"/>
        </w:rPr>
      </w:pPr>
      <w:r>
        <w:rPr>
          <w:rFonts w:ascii="Times New Roman"/>
        </w:rPr>
        <w:t>生物安全柜</w:t>
      </w:r>
    </w:p>
    <w:p w14:paraId="699F4630">
      <w:pPr>
        <w:pStyle w:val="57"/>
        <w:ind w:firstLine="420"/>
        <w:rPr>
          <w:rFonts w:ascii="Times New Roman"/>
          <w:szCs w:val="21"/>
        </w:rPr>
      </w:pPr>
      <w:r>
        <w:rPr>
          <w:rFonts w:ascii="Times New Roman"/>
          <w:szCs w:val="21"/>
        </w:rPr>
        <w:t>应为符合</w:t>
      </w:r>
      <w:r>
        <w:rPr>
          <w:rFonts w:hint="eastAsia" w:ascii="Times New Roman"/>
          <w:szCs w:val="21"/>
        </w:rPr>
        <w:t>相关</w:t>
      </w:r>
      <w:r>
        <w:rPr>
          <w:rFonts w:ascii="Times New Roman"/>
          <w:szCs w:val="21"/>
        </w:rPr>
        <w:t>规定的</w:t>
      </w:r>
      <w:r>
        <w:rPr>
          <w:rFonts w:ascii="Times New Roman"/>
          <w:szCs w:val="21"/>
        </w:rPr>
        <w:fldChar w:fldCharType="begin"/>
      </w:r>
      <w:r>
        <w:rPr>
          <w:rFonts w:ascii="Times New Roman"/>
          <w:szCs w:val="21"/>
        </w:rPr>
        <w:instrText xml:space="preserve"> = 2 \* ROMAN </w:instrText>
      </w:r>
      <w:r>
        <w:rPr>
          <w:rFonts w:ascii="Times New Roman"/>
          <w:szCs w:val="21"/>
        </w:rPr>
        <w:fldChar w:fldCharType="separate"/>
      </w:r>
      <w:r>
        <w:rPr>
          <w:rFonts w:ascii="Times New Roman"/>
          <w:szCs w:val="21"/>
        </w:rPr>
        <w:t>II</w:t>
      </w:r>
      <w:r>
        <w:rPr>
          <w:rFonts w:ascii="Times New Roman"/>
          <w:szCs w:val="21"/>
        </w:rPr>
        <w:fldChar w:fldCharType="end"/>
      </w:r>
      <w:r>
        <w:rPr>
          <w:rFonts w:ascii="Times New Roman"/>
          <w:szCs w:val="21"/>
        </w:rPr>
        <w:t>级生物安全柜。</w:t>
      </w:r>
    </w:p>
    <w:p w14:paraId="40436F97">
      <w:pPr>
        <w:pStyle w:val="126"/>
        <w:numPr>
          <w:ilvl w:val="2"/>
          <w:numId w:val="1"/>
        </w:numPr>
        <w:spacing w:before="156" w:after="156"/>
        <w:ind w:left="0"/>
        <w:rPr>
          <w:rFonts w:ascii="Times New Roman"/>
        </w:rPr>
      </w:pPr>
      <w:r>
        <w:rPr>
          <w:rFonts w:ascii="Times New Roman"/>
        </w:rPr>
        <w:t>恒温摇床</w:t>
      </w:r>
    </w:p>
    <w:p w14:paraId="28586425">
      <w:pPr>
        <w:pStyle w:val="57"/>
        <w:ind w:firstLine="420"/>
        <w:rPr>
          <w:rFonts w:ascii="Times New Roman"/>
          <w:szCs w:val="21"/>
        </w:rPr>
      </w:pPr>
      <w:r>
        <w:rPr>
          <w:rFonts w:ascii="Times New Roman"/>
          <w:szCs w:val="21"/>
        </w:rPr>
        <w:t xml:space="preserve">控温范围：25 </w:t>
      </w:r>
      <w:r>
        <w:rPr>
          <w:rFonts w:hint="eastAsia" w:hAnsi="宋体" w:cs="宋体"/>
          <w:szCs w:val="21"/>
        </w:rPr>
        <w:t>℃</w:t>
      </w:r>
      <w:r>
        <w:rPr>
          <w:rFonts w:ascii="Times New Roman"/>
          <w:szCs w:val="21"/>
        </w:rPr>
        <w:t xml:space="preserve">～45 </w:t>
      </w:r>
      <w:r>
        <w:rPr>
          <w:rFonts w:hint="eastAsia" w:hAnsi="宋体" w:cs="宋体"/>
          <w:szCs w:val="21"/>
        </w:rPr>
        <w:t>℃</w:t>
      </w:r>
      <w:r>
        <w:rPr>
          <w:rFonts w:ascii="Times New Roman"/>
          <w:szCs w:val="21"/>
        </w:rPr>
        <w:t>，旋转频率：20</w:t>
      </w:r>
      <w:r>
        <w:rPr>
          <w:rFonts w:hint="eastAsia" w:ascii="Times New Roman"/>
          <w:szCs w:val="21"/>
        </w:rPr>
        <w:t xml:space="preserve"> </w:t>
      </w:r>
      <w:r>
        <w:rPr>
          <w:rFonts w:ascii="Times New Roman"/>
          <w:szCs w:val="21"/>
        </w:rPr>
        <w:t>r/min ～300</w:t>
      </w:r>
      <w:r>
        <w:rPr>
          <w:rFonts w:hint="eastAsia" w:ascii="Times New Roman"/>
          <w:szCs w:val="21"/>
        </w:rPr>
        <w:t xml:space="preserve"> </w:t>
      </w:r>
      <w:r>
        <w:rPr>
          <w:rFonts w:ascii="Times New Roman"/>
          <w:szCs w:val="21"/>
        </w:rPr>
        <w:t xml:space="preserve">r/min。 </w:t>
      </w:r>
    </w:p>
    <w:p w14:paraId="619F483A">
      <w:pPr>
        <w:pStyle w:val="126"/>
        <w:numPr>
          <w:ilvl w:val="2"/>
          <w:numId w:val="1"/>
        </w:numPr>
        <w:spacing w:before="156" w:after="156"/>
        <w:ind w:left="0"/>
        <w:rPr>
          <w:rFonts w:ascii="Times New Roman"/>
        </w:rPr>
      </w:pPr>
      <w:r>
        <w:rPr>
          <w:rFonts w:ascii="Times New Roman"/>
        </w:rPr>
        <w:t>水浴超声仪（</w:t>
      </w:r>
      <w:r>
        <w:rPr>
          <w:rFonts w:ascii="Times New Roman"/>
          <w:sz w:val="22"/>
          <w:szCs w:val="22"/>
        </w:rPr>
        <w:t>40</w:t>
      </w:r>
      <w:r>
        <w:rPr>
          <w:rFonts w:hint="eastAsia" w:ascii="Times New Roman"/>
          <w:sz w:val="22"/>
          <w:szCs w:val="22"/>
        </w:rPr>
        <w:t xml:space="preserve"> </w:t>
      </w:r>
      <w:r>
        <w:rPr>
          <w:rFonts w:ascii="Times New Roman"/>
          <w:sz w:val="22"/>
          <w:szCs w:val="22"/>
        </w:rPr>
        <w:t>kHz）</w:t>
      </w:r>
    </w:p>
    <w:p w14:paraId="31205110">
      <w:pPr>
        <w:pStyle w:val="126"/>
        <w:numPr>
          <w:ilvl w:val="2"/>
          <w:numId w:val="1"/>
        </w:numPr>
        <w:spacing w:before="156" w:after="156"/>
        <w:ind w:left="0"/>
        <w:rPr>
          <w:rFonts w:ascii="Times New Roman"/>
        </w:rPr>
      </w:pPr>
      <w:r>
        <w:rPr>
          <w:rFonts w:ascii="Times New Roman"/>
        </w:rPr>
        <w:t>冰箱</w:t>
      </w:r>
    </w:p>
    <w:p w14:paraId="0101FD4E">
      <w:pPr>
        <w:pStyle w:val="57"/>
        <w:ind w:firstLine="420"/>
        <w:rPr>
          <w:rFonts w:ascii="Times New Roman"/>
          <w:szCs w:val="21"/>
        </w:rPr>
      </w:pPr>
      <w:r>
        <w:rPr>
          <w:rFonts w:ascii="Times New Roman"/>
          <w:szCs w:val="21"/>
        </w:rPr>
        <w:t xml:space="preserve">控温范围：2 </w:t>
      </w:r>
      <w:r>
        <w:rPr>
          <w:rFonts w:hint="eastAsia" w:hAnsi="宋体" w:cs="宋体"/>
          <w:szCs w:val="21"/>
        </w:rPr>
        <w:t>℃</w:t>
      </w:r>
      <w:r>
        <w:rPr>
          <w:rFonts w:ascii="Times New Roman"/>
          <w:szCs w:val="21"/>
        </w:rPr>
        <w:t xml:space="preserve">～8 </w:t>
      </w:r>
      <w:r>
        <w:rPr>
          <w:rFonts w:hint="eastAsia" w:hAnsi="宋体" w:cs="宋体"/>
          <w:szCs w:val="21"/>
        </w:rPr>
        <w:t>℃</w:t>
      </w:r>
      <w:r>
        <w:rPr>
          <w:rFonts w:ascii="Times New Roman"/>
          <w:szCs w:val="21"/>
        </w:rPr>
        <w:t xml:space="preserve">，-18 </w:t>
      </w:r>
      <w:r>
        <w:rPr>
          <w:rFonts w:hint="eastAsia" w:hAnsi="宋体" w:cs="宋体"/>
          <w:szCs w:val="21"/>
        </w:rPr>
        <w:t>℃</w:t>
      </w:r>
      <w:r>
        <w:rPr>
          <w:rFonts w:ascii="Times New Roman"/>
          <w:szCs w:val="21"/>
        </w:rPr>
        <w:t xml:space="preserve">～-30 </w:t>
      </w:r>
      <w:r>
        <w:rPr>
          <w:rFonts w:hint="eastAsia" w:hAnsi="宋体" w:cs="宋体"/>
          <w:szCs w:val="21"/>
        </w:rPr>
        <w:t>℃</w:t>
      </w:r>
      <w:r>
        <w:rPr>
          <w:rFonts w:ascii="Times New Roman"/>
          <w:szCs w:val="21"/>
        </w:rPr>
        <w:t xml:space="preserve">或-70 </w:t>
      </w:r>
      <w:r>
        <w:rPr>
          <w:rFonts w:hint="eastAsia" w:hAnsi="宋体" w:cs="宋体"/>
          <w:szCs w:val="21"/>
        </w:rPr>
        <w:t>℃</w:t>
      </w:r>
      <w:r>
        <w:rPr>
          <w:rFonts w:ascii="Times New Roman"/>
          <w:szCs w:val="21"/>
        </w:rPr>
        <w:t xml:space="preserve">～-80 </w:t>
      </w:r>
      <w:r>
        <w:rPr>
          <w:rFonts w:hint="eastAsia" w:hAnsi="宋体" w:cs="宋体"/>
          <w:szCs w:val="21"/>
        </w:rPr>
        <w:t>℃</w:t>
      </w:r>
      <w:r>
        <w:rPr>
          <w:rFonts w:ascii="Times New Roman"/>
          <w:szCs w:val="21"/>
        </w:rPr>
        <w:t>。</w:t>
      </w:r>
    </w:p>
    <w:p w14:paraId="1BC89EA5">
      <w:pPr>
        <w:pStyle w:val="126"/>
        <w:numPr>
          <w:ilvl w:val="2"/>
          <w:numId w:val="1"/>
        </w:numPr>
        <w:spacing w:before="156" w:after="156"/>
        <w:ind w:left="0"/>
        <w:rPr>
          <w:rFonts w:ascii="Times New Roman"/>
        </w:rPr>
      </w:pPr>
      <w:r>
        <w:rPr>
          <w:rFonts w:ascii="Times New Roman"/>
        </w:rPr>
        <w:t>可调微量移液器</w:t>
      </w:r>
    </w:p>
    <w:p w14:paraId="43DEE7F8">
      <w:pPr>
        <w:pStyle w:val="57"/>
        <w:ind w:firstLine="420"/>
        <w:rPr>
          <w:rFonts w:ascii="Times New Roman"/>
          <w:szCs w:val="21"/>
        </w:rPr>
      </w:pPr>
      <w:r>
        <w:rPr>
          <w:rFonts w:ascii="Times New Roman"/>
          <w:szCs w:val="21"/>
        </w:rPr>
        <w:t>量程：10 µL～100 µL、100 µL～1 000 µL、1 mL～5 mL，配备适用的吸头。</w:t>
      </w:r>
    </w:p>
    <w:p w14:paraId="63F988CA">
      <w:pPr>
        <w:pStyle w:val="126"/>
        <w:numPr>
          <w:ilvl w:val="2"/>
          <w:numId w:val="1"/>
        </w:numPr>
        <w:spacing w:before="156" w:after="156"/>
        <w:ind w:left="0"/>
        <w:rPr>
          <w:rFonts w:ascii="Times New Roman"/>
        </w:rPr>
      </w:pPr>
      <w:r>
        <w:rPr>
          <w:rFonts w:ascii="Times New Roman"/>
        </w:rPr>
        <w:t>水浴锅</w:t>
      </w:r>
    </w:p>
    <w:p w14:paraId="27F1E203">
      <w:pPr>
        <w:pStyle w:val="57"/>
        <w:ind w:firstLine="420"/>
        <w:rPr>
          <w:rFonts w:ascii="Times New Roman"/>
          <w:szCs w:val="21"/>
        </w:rPr>
      </w:pPr>
      <w:r>
        <w:rPr>
          <w:rFonts w:ascii="Times New Roman"/>
          <w:szCs w:val="21"/>
        </w:rPr>
        <w:t xml:space="preserve">控温范围：25 </w:t>
      </w:r>
      <w:r>
        <w:rPr>
          <w:rFonts w:hint="eastAsia" w:hAnsi="宋体" w:cs="宋体"/>
          <w:szCs w:val="21"/>
        </w:rPr>
        <w:t>℃</w:t>
      </w:r>
      <w:r>
        <w:rPr>
          <w:rFonts w:ascii="Times New Roman"/>
          <w:szCs w:val="21"/>
        </w:rPr>
        <w:t xml:space="preserve">～55 </w:t>
      </w:r>
      <w:r>
        <w:rPr>
          <w:rFonts w:hint="eastAsia" w:hAnsi="宋体" w:cs="宋体"/>
          <w:szCs w:val="21"/>
        </w:rPr>
        <w:t>℃</w:t>
      </w:r>
      <w:r>
        <w:rPr>
          <w:rFonts w:ascii="Times New Roman"/>
          <w:szCs w:val="21"/>
        </w:rPr>
        <w:t xml:space="preserve">，温度精度 1 </w:t>
      </w:r>
      <w:r>
        <w:rPr>
          <w:rFonts w:hint="eastAsia" w:hAnsi="宋体" w:cs="宋体"/>
          <w:szCs w:val="21"/>
        </w:rPr>
        <w:t>℃</w:t>
      </w:r>
      <w:r>
        <w:rPr>
          <w:rFonts w:ascii="Times New Roman"/>
        </w:rPr>
        <w:t>。</w:t>
      </w:r>
    </w:p>
    <w:p w14:paraId="77972717">
      <w:pPr>
        <w:pStyle w:val="126"/>
        <w:numPr>
          <w:ilvl w:val="2"/>
          <w:numId w:val="1"/>
        </w:numPr>
        <w:spacing w:before="156" w:after="156"/>
        <w:ind w:left="0"/>
        <w:rPr>
          <w:rFonts w:ascii="Times New Roman"/>
        </w:rPr>
      </w:pPr>
      <w:r>
        <w:rPr>
          <w:rFonts w:ascii="Times New Roman"/>
        </w:rPr>
        <w:t>电子天平</w:t>
      </w:r>
    </w:p>
    <w:p w14:paraId="321713B7">
      <w:pPr>
        <w:pStyle w:val="120"/>
        <w:ind w:firstLine="420"/>
        <w:rPr>
          <w:rFonts w:ascii="Times New Roman"/>
          <w:szCs w:val="21"/>
        </w:rPr>
      </w:pPr>
      <w:r>
        <w:rPr>
          <w:rFonts w:ascii="Times New Roman"/>
          <w:szCs w:val="21"/>
        </w:rPr>
        <w:t>精度0.01</w:t>
      </w:r>
      <w:r>
        <w:rPr>
          <w:rFonts w:hint="eastAsia" w:ascii="Times New Roman"/>
          <w:szCs w:val="21"/>
        </w:rPr>
        <w:t xml:space="preserve"> </w:t>
      </w:r>
      <w:r>
        <w:rPr>
          <w:rFonts w:ascii="Times New Roman"/>
          <w:szCs w:val="21"/>
        </w:rPr>
        <w:t>g，量程0～200</w:t>
      </w:r>
      <w:r>
        <w:rPr>
          <w:rFonts w:hint="eastAsia" w:ascii="Times New Roman"/>
          <w:szCs w:val="21"/>
        </w:rPr>
        <w:t xml:space="preserve"> </w:t>
      </w:r>
      <w:r>
        <w:rPr>
          <w:rFonts w:ascii="Times New Roman"/>
          <w:szCs w:val="21"/>
        </w:rPr>
        <w:t>g。</w:t>
      </w:r>
    </w:p>
    <w:p w14:paraId="09B3247A">
      <w:pPr>
        <w:pStyle w:val="126"/>
        <w:numPr>
          <w:ilvl w:val="2"/>
          <w:numId w:val="1"/>
        </w:numPr>
        <w:spacing w:before="156" w:after="156"/>
        <w:ind w:left="0"/>
        <w:rPr>
          <w:rFonts w:ascii="Times New Roman"/>
        </w:rPr>
      </w:pPr>
      <w:r>
        <w:rPr>
          <w:rFonts w:ascii="Times New Roman"/>
        </w:rPr>
        <w:t>涡旋振荡器</w:t>
      </w:r>
    </w:p>
    <w:p w14:paraId="202C2E4D">
      <w:pPr>
        <w:pStyle w:val="126"/>
        <w:numPr>
          <w:ilvl w:val="2"/>
          <w:numId w:val="1"/>
        </w:numPr>
        <w:spacing w:before="156" w:after="156"/>
        <w:ind w:left="0"/>
        <w:rPr>
          <w:rFonts w:ascii="Times New Roman"/>
        </w:rPr>
      </w:pPr>
      <w:r>
        <w:rPr>
          <w:rFonts w:ascii="Times New Roman"/>
        </w:rPr>
        <w:t>计时器</w:t>
      </w:r>
    </w:p>
    <w:p w14:paraId="48028FFD">
      <w:pPr>
        <w:pStyle w:val="120"/>
        <w:ind w:firstLine="0" w:firstLineChars="0"/>
        <w:rPr>
          <w:rFonts w:ascii="Times New Roman"/>
        </w:rPr>
      </w:pPr>
      <w:r>
        <w:rPr>
          <w:rFonts w:ascii="Times New Roman"/>
        </w:rPr>
        <w:t xml:space="preserve">     精度1秒。</w:t>
      </w:r>
    </w:p>
    <w:p w14:paraId="2157CEE7">
      <w:pPr>
        <w:pStyle w:val="126"/>
        <w:numPr>
          <w:ilvl w:val="2"/>
          <w:numId w:val="1"/>
        </w:numPr>
        <w:spacing w:before="156" w:after="156"/>
        <w:ind w:left="0"/>
        <w:rPr>
          <w:rFonts w:ascii="Times New Roman"/>
        </w:rPr>
      </w:pPr>
      <w:r>
        <w:rPr>
          <w:rFonts w:ascii="Times New Roman"/>
        </w:rPr>
        <w:t>三角瓶、培养皿、试管、量筒,接种环、涂布棒等其它微生物学试验用具及耗材</w:t>
      </w:r>
    </w:p>
    <w:p w14:paraId="706E0937">
      <w:pPr>
        <w:pStyle w:val="125"/>
        <w:numPr>
          <w:ilvl w:val="1"/>
          <w:numId w:val="1"/>
        </w:numPr>
        <w:spacing w:before="312" w:after="312"/>
        <w:rPr>
          <w:rFonts w:ascii="Times New Roman"/>
        </w:rPr>
      </w:pPr>
      <w:r>
        <w:rPr>
          <w:rFonts w:ascii="Times New Roman"/>
        </w:rPr>
        <w:t>试剂和材料</w:t>
      </w:r>
    </w:p>
    <w:p w14:paraId="6FB1C7E1">
      <w:pPr>
        <w:pStyle w:val="126"/>
        <w:numPr>
          <w:ilvl w:val="2"/>
          <w:numId w:val="1"/>
        </w:numPr>
        <w:spacing w:before="156" w:after="156"/>
        <w:ind w:left="0"/>
        <w:rPr>
          <w:rFonts w:ascii="Times New Roman"/>
        </w:rPr>
      </w:pPr>
      <w:r>
        <w:rPr>
          <w:rFonts w:ascii="Times New Roman"/>
        </w:rPr>
        <w:t>试验菌种</w:t>
      </w:r>
    </w:p>
    <w:p w14:paraId="2FB3761F">
      <w:pPr>
        <w:ind w:firstLine="420" w:firstLineChars="200"/>
        <w:rPr>
          <w:color w:val="000000"/>
        </w:rPr>
      </w:pPr>
      <w:r>
        <w:rPr>
          <w:color w:val="000000"/>
        </w:rPr>
        <w:t>糠秕马拉色菌ATCC14521，或其他菌种保藏中心提供的糠秕马拉色菌ATCC14521等同菌株。在上述规定的菌株基础上，经相关方商定后，还可以增加其他种类的马拉色菌作为试验菌种，但应在报告中予以说明。</w:t>
      </w:r>
    </w:p>
    <w:p w14:paraId="1C63898C">
      <w:pPr>
        <w:pStyle w:val="126"/>
        <w:spacing w:before="156" w:after="156"/>
        <w:rPr>
          <w:rFonts w:ascii="Times New Roman"/>
          <w:sz w:val="18"/>
          <w:szCs w:val="18"/>
        </w:rPr>
      </w:pPr>
      <w:r>
        <w:rPr>
          <w:rFonts w:ascii="Times New Roman"/>
          <w:sz w:val="18"/>
          <w:szCs w:val="18"/>
        </w:rPr>
        <w:t xml:space="preserve">    注：</w:t>
      </w:r>
      <w:r>
        <w:rPr>
          <w:rFonts w:ascii="Times New Roman" w:eastAsia="宋体"/>
          <w:color w:val="000000"/>
          <w:kern w:val="2"/>
          <w:sz w:val="18"/>
          <w:szCs w:val="18"/>
        </w:rPr>
        <w:t>所有菌种均应来自国际微生物菌种保藏中心或国内省级以上微生物菌种保藏中心的典型菌种。</w:t>
      </w:r>
    </w:p>
    <w:p w14:paraId="6204D86F">
      <w:pPr>
        <w:pStyle w:val="126"/>
        <w:numPr>
          <w:ilvl w:val="2"/>
          <w:numId w:val="1"/>
        </w:numPr>
        <w:spacing w:before="156" w:after="156"/>
        <w:ind w:left="0"/>
        <w:rPr>
          <w:rFonts w:ascii="Times New Roman"/>
        </w:rPr>
      </w:pPr>
      <w:r>
        <w:rPr>
          <w:rFonts w:ascii="Times New Roman"/>
        </w:rPr>
        <w:t>培养基和试剂</w:t>
      </w:r>
    </w:p>
    <w:p w14:paraId="46F577A3">
      <w:pPr>
        <w:pStyle w:val="57"/>
        <w:ind w:firstLine="420"/>
        <w:rPr>
          <w:rFonts w:ascii="Times New Roman"/>
        </w:rPr>
      </w:pPr>
      <w:r>
        <w:rPr>
          <w:rFonts w:ascii="Times New Roman"/>
          <w:szCs w:val="21"/>
        </w:rPr>
        <w:t>除另有规定外，所有试剂和材料应是适用于生物学试验用的，实验室可以按照实际情况选用。允许使用验证合格的其它配方，推荐使用商品化试剂及耗材，并按照生产商提供的说明书使用。</w:t>
      </w:r>
    </w:p>
    <w:p w14:paraId="6F2A0C72">
      <w:pPr>
        <w:pStyle w:val="121"/>
        <w:numPr>
          <w:ilvl w:val="3"/>
          <w:numId w:val="1"/>
        </w:numPr>
        <w:spacing w:before="156" w:after="156"/>
        <w:ind w:left="90"/>
        <w:rPr>
          <w:rFonts w:ascii="Times New Roman"/>
        </w:rPr>
      </w:pPr>
      <w:r>
        <w:rPr>
          <w:rFonts w:ascii="Times New Roman"/>
        </w:rPr>
        <w:t>水</w:t>
      </w:r>
    </w:p>
    <w:p w14:paraId="7F4331D8">
      <w:pPr>
        <w:pStyle w:val="120"/>
        <w:ind w:firstLine="420"/>
        <w:rPr>
          <w:rFonts w:ascii="Times New Roman"/>
        </w:rPr>
      </w:pPr>
      <w:r>
        <w:rPr>
          <w:rFonts w:ascii="Times New Roman"/>
        </w:rPr>
        <w:t>所用的水应为符合GB/T 6682规定的三级水。</w:t>
      </w:r>
    </w:p>
    <w:p w14:paraId="2E659FCE">
      <w:pPr>
        <w:pStyle w:val="121"/>
        <w:numPr>
          <w:ilvl w:val="3"/>
          <w:numId w:val="1"/>
        </w:numPr>
        <w:spacing w:before="156" w:after="156"/>
        <w:ind w:left="90"/>
        <w:rPr>
          <w:rFonts w:ascii="Times New Roman"/>
        </w:rPr>
      </w:pPr>
      <w:r>
        <w:rPr>
          <w:rFonts w:ascii="Times New Roman"/>
        </w:rPr>
        <w:t>改良Dixon肉汤培养基</w:t>
      </w:r>
    </w:p>
    <w:tbl>
      <w:tblPr>
        <w:tblStyle w:val="31"/>
        <w:tblW w:w="4590" w:type="dxa"/>
        <w:tblInd w:w="1410" w:type="dxa"/>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42"/>
        <w:gridCol w:w="1548"/>
      </w:tblGrid>
      <w:tr w14:paraId="18DB0990">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3EC40B98">
            <w:pPr>
              <w:rPr>
                <w:kern w:val="0"/>
                <w:szCs w:val="20"/>
              </w:rPr>
            </w:pPr>
            <w:r>
              <w:rPr>
                <w:kern w:val="0"/>
                <w:szCs w:val="20"/>
              </w:rPr>
              <w:t>麦芽浸粉</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6583520C">
            <w:pPr>
              <w:rPr>
                <w:kern w:val="0"/>
                <w:szCs w:val="20"/>
              </w:rPr>
            </w:pPr>
            <w:r>
              <w:rPr>
                <w:kern w:val="0"/>
                <w:szCs w:val="20"/>
              </w:rPr>
              <w:t>36</w:t>
            </w:r>
            <w:r>
              <w:rPr>
                <w:rFonts w:hint="eastAsia"/>
                <w:kern w:val="0"/>
                <w:szCs w:val="20"/>
              </w:rPr>
              <w:t xml:space="preserve"> </w:t>
            </w:r>
            <w:r>
              <w:rPr>
                <w:kern w:val="0"/>
                <w:szCs w:val="20"/>
              </w:rPr>
              <w:t>g</w:t>
            </w:r>
          </w:p>
        </w:tc>
      </w:tr>
      <w:tr w14:paraId="527BC7D3">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796BAA6B">
            <w:pPr>
              <w:rPr>
                <w:kern w:val="0"/>
                <w:szCs w:val="20"/>
              </w:rPr>
            </w:pPr>
            <w:r>
              <w:rPr>
                <w:kern w:val="0"/>
                <w:szCs w:val="20"/>
              </w:rPr>
              <w:t>蛋白胨</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5ED635F5">
            <w:pPr>
              <w:rPr>
                <w:kern w:val="0"/>
                <w:szCs w:val="20"/>
              </w:rPr>
            </w:pPr>
            <w:r>
              <w:rPr>
                <w:kern w:val="0"/>
                <w:szCs w:val="20"/>
              </w:rPr>
              <w:t>6</w:t>
            </w:r>
            <w:r>
              <w:rPr>
                <w:rFonts w:hint="eastAsia"/>
                <w:kern w:val="0"/>
                <w:szCs w:val="20"/>
              </w:rPr>
              <w:t xml:space="preserve"> </w:t>
            </w:r>
            <w:r>
              <w:rPr>
                <w:kern w:val="0"/>
                <w:szCs w:val="20"/>
              </w:rPr>
              <w:t>g</w:t>
            </w:r>
          </w:p>
        </w:tc>
      </w:tr>
      <w:tr w14:paraId="495E3828">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71853DB5">
            <w:pPr>
              <w:rPr>
                <w:kern w:val="0"/>
                <w:szCs w:val="20"/>
              </w:rPr>
            </w:pPr>
            <w:r>
              <w:rPr>
                <w:kern w:val="0"/>
                <w:szCs w:val="20"/>
              </w:rPr>
              <w:t>牛胆盐</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0C0E7161">
            <w:pPr>
              <w:rPr>
                <w:kern w:val="0"/>
                <w:szCs w:val="20"/>
              </w:rPr>
            </w:pPr>
            <w:r>
              <w:rPr>
                <w:kern w:val="0"/>
                <w:szCs w:val="20"/>
              </w:rPr>
              <w:t>20</w:t>
            </w:r>
            <w:r>
              <w:rPr>
                <w:rFonts w:hint="eastAsia"/>
                <w:kern w:val="0"/>
                <w:szCs w:val="20"/>
              </w:rPr>
              <w:t xml:space="preserve"> </w:t>
            </w:r>
            <w:r>
              <w:rPr>
                <w:kern w:val="0"/>
                <w:szCs w:val="20"/>
              </w:rPr>
              <w:t>g</w:t>
            </w:r>
          </w:p>
        </w:tc>
      </w:tr>
      <w:tr w14:paraId="2E1735F0">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6B1520BC">
            <w:pPr>
              <w:rPr>
                <w:kern w:val="0"/>
                <w:szCs w:val="20"/>
              </w:rPr>
            </w:pPr>
            <w:r>
              <w:rPr>
                <w:kern w:val="0"/>
                <w:szCs w:val="20"/>
              </w:rPr>
              <w:t>吐温40</w:t>
            </w:r>
          </w:p>
          <w:p w14:paraId="0DE15291">
            <w:pPr>
              <w:rPr>
                <w:kern w:val="0"/>
                <w:szCs w:val="20"/>
              </w:rPr>
            </w:pPr>
            <w:r>
              <w:rPr>
                <w:kern w:val="0"/>
                <w:szCs w:val="20"/>
              </w:rPr>
              <w:t>甘油</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04217D32">
            <w:pPr>
              <w:rPr>
                <w:kern w:val="0"/>
                <w:szCs w:val="20"/>
              </w:rPr>
            </w:pPr>
            <w:r>
              <w:rPr>
                <w:kern w:val="0"/>
                <w:szCs w:val="20"/>
              </w:rPr>
              <w:t>10</w:t>
            </w:r>
            <w:r>
              <w:rPr>
                <w:rFonts w:hint="eastAsia"/>
                <w:kern w:val="0"/>
                <w:szCs w:val="20"/>
              </w:rPr>
              <w:t xml:space="preserve"> </w:t>
            </w:r>
            <w:r>
              <w:rPr>
                <w:kern w:val="0"/>
                <w:szCs w:val="20"/>
              </w:rPr>
              <w:t>mL</w:t>
            </w:r>
          </w:p>
          <w:p w14:paraId="0578CB51">
            <w:pPr>
              <w:rPr>
                <w:kern w:val="0"/>
                <w:szCs w:val="20"/>
              </w:rPr>
            </w:pPr>
            <w:r>
              <w:rPr>
                <w:kern w:val="0"/>
                <w:szCs w:val="20"/>
              </w:rPr>
              <w:t>2</w:t>
            </w:r>
            <w:r>
              <w:rPr>
                <w:rFonts w:hint="eastAsia"/>
                <w:kern w:val="0"/>
                <w:szCs w:val="20"/>
              </w:rPr>
              <w:t xml:space="preserve"> </w:t>
            </w:r>
            <w:r>
              <w:rPr>
                <w:kern w:val="0"/>
                <w:szCs w:val="20"/>
              </w:rPr>
              <w:t>g</w:t>
            </w:r>
          </w:p>
        </w:tc>
      </w:tr>
      <w:tr w14:paraId="3B5DCABA">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1C6763F0">
            <w:pPr>
              <w:rPr>
                <w:kern w:val="0"/>
                <w:szCs w:val="20"/>
              </w:rPr>
            </w:pPr>
            <w:r>
              <w:rPr>
                <w:kern w:val="0"/>
                <w:szCs w:val="20"/>
              </w:rPr>
              <w:t>油酸</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3168DBB9">
            <w:pPr>
              <w:rPr>
                <w:kern w:val="0"/>
                <w:szCs w:val="20"/>
              </w:rPr>
            </w:pPr>
            <w:r>
              <w:rPr>
                <w:kern w:val="0"/>
                <w:szCs w:val="20"/>
              </w:rPr>
              <w:t>2</w:t>
            </w:r>
            <w:r>
              <w:rPr>
                <w:rFonts w:hint="eastAsia"/>
                <w:kern w:val="0"/>
                <w:szCs w:val="20"/>
              </w:rPr>
              <w:t xml:space="preserve"> </w:t>
            </w:r>
            <w:r>
              <w:rPr>
                <w:kern w:val="0"/>
                <w:szCs w:val="20"/>
              </w:rPr>
              <w:t>g</w:t>
            </w:r>
          </w:p>
        </w:tc>
      </w:tr>
    </w:tbl>
    <w:p w14:paraId="4A1F5C9F">
      <w:pPr>
        <w:snapToGrid w:val="0"/>
        <w:ind w:firstLine="420" w:firstLineChars="200"/>
      </w:pPr>
      <w:r>
        <w:t xml:space="preserve">   将各成分充分溶解于水中，调pH至6</w:t>
      </w:r>
      <w:r>
        <w:rPr>
          <w:rFonts w:hint="eastAsia"/>
        </w:rPr>
        <w:t>.0</w:t>
      </w:r>
      <w:r>
        <w:t xml:space="preserve">，分装，于121 </w:t>
      </w:r>
      <w:r>
        <w:rPr>
          <w:rFonts w:hint="eastAsia" w:ascii="宋体" w:hAnsi="宋体" w:cs="宋体"/>
        </w:rPr>
        <w:t>℃</w:t>
      </w:r>
      <w:r>
        <w:t xml:space="preserve"> 压力蒸汽灭菌15</w:t>
      </w:r>
      <w:r>
        <w:rPr>
          <w:rFonts w:hint="eastAsia"/>
        </w:rPr>
        <w:t xml:space="preserve"> </w:t>
      </w:r>
      <w:r>
        <w:t>min-20 min备用。</w:t>
      </w:r>
    </w:p>
    <w:p w14:paraId="36619389">
      <w:pPr>
        <w:pStyle w:val="121"/>
        <w:numPr>
          <w:ilvl w:val="3"/>
          <w:numId w:val="1"/>
        </w:numPr>
        <w:spacing w:before="156" w:after="156"/>
        <w:ind w:left="90"/>
        <w:rPr>
          <w:rFonts w:ascii="Times New Roman"/>
        </w:rPr>
      </w:pPr>
      <w:r>
        <w:rPr>
          <w:rFonts w:ascii="Times New Roman"/>
        </w:rPr>
        <w:t>改良Dixon琼脂培养基</w:t>
      </w:r>
    </w:p>
    <w:tbl>
      <w:tblPr>
        <w:tblStyle w:val="31"/>
        <w:tblW w:w="4590" w:type="dxa"/>
        <w:tblInd w:w="1410" w:type="dxa"/>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42"/>
        <w:gridCol w:w="1548"/>
      </w:tblGrid>
      <w:tr w14:paraId="70E6CFC3">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5DDAA218">
            <w:pPr>
              <w:rPr>
                <w:kern w:val="0"/>
                <w:szCs w:val="20"/>
              </w:rPr>
            </w:pPr>
            <w:r>
              <w:rPr>
                <w:kern w:val="0"/>
                <w:szCs w:val="20"/>
              </w:rPr>
              <w:t>麦芽浸粉</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50519A9F">
            <w:pPr>
              <w:rPr>
                <w:kern w:val="0"/>
                <w:szCs w:val="20"/>
              </w:rPr>
            </w:pPr>
            <w:r>
              <w:rPr>
                <w:kern w:val="0"/>
                <w:szCs w:val="20"/>
              </w:rPr>
              <w:t>36</w:t>
            </w:r>
            <w:r>
              <w:rPr>
                <w:rFonts w:hint="eastAsia"/>
                <w:kern w:val="0"/>
                <w:szCs w:val="20"/>
              </w:rPr>
              <w:t xml:space="preserve"> </w:t>
            </w:r>
            <w:r>
              <w:rPr>
                <w:kern w:val="0"/>
                <w:szCs w:val="20"/>
              </w:rPr>
              <w:t>g</w:t>
            </w:r>
          </w:p>
        </w:tc>
      </w:tr>
      <w:tr w14:paraId="09D73734">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630EA259">
            <w:pPr>
              <w:rPr>
                <w:kern w:val="0"/>
                <w:szCs w:val="20"/>
              </w:rPr>
            </w:pPr>
            <w:r>
              <w:rPr>
                <w:kern w:val="0"/>
                <w:szCs w:val="20"/>
              </w:rPr>
              <w:t>蛋白胨</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3F33CE60">
            <w:pPr>
              <w:rPr>
                <w:kern w:val="0"/>
                <w:szCs w:val="20"/>
              </w:rPr>
            </w:pPr>
            <w:r>
              <w:rPr>
                <w:kern w:val="0"/>
                <w:szCs w:val="20"/>
              </w:rPr>
              <w:t>6</w:t>
            </w:r>
            <w:r>
              <w:rPr>
                <w:rFonts w:hint="eastAsia"/>
                <w:kern w:val="0"/>
                <w:szCs w:val="20"/>
              </w:rPr>
              <w:t xml:space="preserve"> </w:t>
            </w:r>
            <w:r>
              <w:rPr>
                <w:kern w:val="0"/>
                <w:szCs w:val="20"/>
              </w:rPr>
              <w:t>g</w:t>
            </w:r>
          </w:p>
        </w:tc>
      </w:tr>
      <w:tr w14:paraId="0F46C617">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69CD9541">
            <w:pPr>
              <w:rPr>
                <w:kern w:val="0"/>
                <w:szCs w:val="20"/>
              </w:rPr>
            </w:pPr>
            <w:r>
              <w:rPr>
                <w:kern w:val="0"/>
                <w:szCs w:val="20"/>
              </w:rPr>
              <w:t>牛胆盐</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795832DD">
            <w:pPr>
              <w:rPr>
                <w:kern w:val="0"/>
                <w:szCs w:val="20"/>
              </w:rPr>
            </w:pPr>
            <w:r>
              <w:rPr>
                <w:kern w:val="0"/>
                <w:szCs w:val="20"/>
              </w:rPr>
              <w:t>20</w:t>
            </w:r>
            <w:r>
              <w:rPr>
                <w:rFonts w:hint="eastAsia"/>
                <w:kern w:val="0"/>
                <w:szCs w:val="20"/>
              </w:rPr>
              <w:t xml:space="preserve"> </w:t>
            </w:r>
            <w:r>
              <w:rPr>
                <w:kern w:val="0"/>
                <w:szCs w:val="20"/>
              </w:rPr>
              <w:t>g</w:t>
            </w:r>
          </w:p>
        </w:tc>
      </w:tr>
      <w:tr w14:paraId="5510EBBB">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7135577E">
            <w:pPr>
              <w:rPr>
                <w:kern w:val="0"/>
                <w:szCs w:val="20"/>
              </w:rPr>
            </w:pPr>
            <w:r>
              <w:rPr>
                <w:kern w:val="0"/>
                <w:szCs w:val="20"/>
              </w:rPr>
              <w:t>吐温40</w:t>
            </w:r>
          </w:p>
          <w:p w14:paraId="6D3A339E">
            <w:pPr>
              <w:rPr>
                <w:kern w:val="0"/>
                <w:szCs w:val="20"/>
              </w:rPr>
            </w:pPr>
            <w:r>
              <w:rPr>
                <w:kern w:val="0"/>
                <w:szCs w:val="20"/>
              </w:rPr>
              <w:t>甘油</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794570CE">
            <w:pPr>
              <w:rPr>
                <w:kern w:val="0"/>
                <w:szCs w:val="20"/>
              </w:rPr>
            </w:pPr>
            <w:r>
              <w:rPr>
                <w:kern w:val="0"/>
                <w:szCs w:val="20"/>
              </w:rPr>
              <w:t>10</w:t>
            </w:r>
            <w:r>
              <w:rPr>
                <w:rFonts w:hint="eastAsia"/>
                <w:kern w:val="0"/>
                <w:szCs w:val="20"/>
              </w:rPr>
              <w:t xml:space="preserve"> </w:t>
            </w:r>
            <w:r>
              <w:rPr>
                <w:kern w:val="0"/>
                <w:szCs w:val="20"/>
              </w:rPr>
              <w:t>mL</w:t>
            </w:r>
          </w:p>
          <w:p w14:paraId="395738E6">
            <w:pPr>
              <w:rPr>
                <w:kern w:val="0"/>
                <w:szCs w:val="20"/>
              </w:rPr>
            </w:pPr>
            <w:r>
              <w:rPr>
                <w:kern w:val="0"/>
                <w:szCs w:val="20"/>
              </w:rPr>
              <w:t>2</w:t>
            </w:r>
            <w:r>
              <w:rPr>
                <w:rFonts w:hint="eastAsia"/>
                <w:kern w:val="0"/>
                <w:szCs w:val="20"/>
              </w:rPr>
              <w:t xml:space="preserve"> </w:t>
            </w:r>
            <w:r>
              <w:rPr>
                <w:kern w:val="0"/>
                <w:szCs w:val="20"/>
              </w:rPr>
              <w:t>g</w:t>
            </w:r>
          </w:p>
        </w:tc>
      </w:tr>
      <w:tr w14:paraId="3CC54F77">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0FE430F1">
            <w:pPr>
              <w:rPr>
                <w:kern w:val="0"/>
                <w:szCs w:val="20"/>
              </w:rPr>
            </w:pPr>
            <w:r>
              <w:rPr>
                <w:kern w:val="0"/>
                <w:szCs w:val="20"/>
              </w:rPr>
              <w:t>油酸</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4650E115">
            <w:pPr>
              <w:rPr>
                <w:kern w:val="0"/>
                <w:szCs w:val="20"/>
              </w:rPr>
            </w:pPr>
            <w:r>
              <w:rPr>
                <w:kern w:val="0"/>
                <w:szCs w:val="20"/>
              </w:rPr>
              <w:t>2</w:t>
            </w:r>
            <w:r>
              <w:rPr>
                <w:rFonts w:hint="eastAsia"/>
                <w:kern w:val="0"/>
                <w:szCs w:val="20"/>
              </w:rPr>
              <w:t xml:space="preserve"> </w:t>
            </w:r>
            <w:r>
              <w:rPr>
                <w:kern w:val="0"/>
                <w:szCs w:val="20"/>
              </w:rPr>
              <w:t>g</w:t>
            </w:r>
          </w:p>
        </w:tc>
      </w:tr>
      <w:tr w14:paraId="7ADF9825">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shd w:val="clear" w:color="auto" w:fill="FFFFFF"/>
          <w:tblCellMar>
            <w:top w:w="0" w:type="dxa"/>
            <w:left w:w="0" w:type="dxa"/>
            <w:bottom w:w="0" w:type="dxa"/>
            <w:right w:w="0" w:type="dxa"/>
          </w:tblCellMar>
        </w:tblPrEx>
        <w:tc>
          <w:tcPr>
            <w:tcW w:w="3042"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48737C88">
            <w:pPr>
              <w:rPr>
                <w:kern w:val="0"/>
                <w:szCs w:val="20"/>
              </w:rPr>
            </w:pPr>
            <w:r>
              <w:rPr>
                <w:kern w:val="0"/>
                <w:szCs w:val="20"/>
              </w:rPr>
              <w:t>琼脂</w:t>
            </w:r>
          </w:p>
        </w:tc>
        <w:tc>
          <w:tcPr>
            <w:tcW w:w="1548" w:type="dxa"/>
            <w:tcBorders>
              <w:top w:val="outset" w:color="FFFFFF" w:sz="6" w:space="0"/>
              <w:left w:val="outset" w:color="FFFFFF" w:sz="6" w:space="0"/>
              <w:bottom w:val="outset" w:color="FFFFFF" w:sz="6" w:space="0"/>
              <w:right w:val="outset" w:color="FFFFFF" w:sz="6" w:space="0"/>
            </w:tcBorders>
            <w:shd w:val="clear" w:color="auto" w:fill="FFFFFF"/>
            <w:vAlign w:val="center"/>
          </w:tcPr>
          <w:p w14:paraId="33C4A160">
            <w:pPr>
              <w:rPr>
                <w:kern w:val="0"/>
                <w:szCs w:val="20"/>
              </w:rPr>
            </w:pPr>
            <w:r>
              <w:rPr>
                <w:kern w:val="0"/>
                <w:szCs w:val="20"/>
              </w:rPr>
              <w:t>15</w:t>
            </w:r>
            <w:r>
              <w:rPr>
                <w:rFonts w:hint="eastAsia"/>
                <w:kern w:val="0"/>
                <w:szCs w:val="20"/>
              </w:rPr>
              <w:t xml:space="preserve"> </w:t>
            </w:r>
            <w:r>
              <w:rPr>
                <w:kern w:val="0"/>
                <w:szCs w:val="20"/>
              </w:rPr>
              <w:t>g</w:t>
            </w:r>
          </w:p>
        </w:tc>
      </w:tr>
    </w:tbl>
    <w:p w14:paraId="2511BC9D">
      <w:pPr>
        <w:autoSpaceDE w:val="0"/>
        <w:autoSpaceDN w:val="0"/>
        <w:ind w:firstLine="420" w:firstLineChars="200"/>
        <w:jc w:val="left"/>
      </w:pPr>
      <w:r>
        <w:t>除琼脂外其</w:t>
      </w:r>
      <w:r>
        <w:rPr>
          <w:color w:val="000000"/>
        </w:rPr>
        <w:t>它</w:t>
      </w:r>
      <w:r>
        <w:t xml:space="preserve">成份充分溶解于水中，调pH至6.0，加入琼脂，加热溶解，分装，于121 </w:t>
      </w:r>
      <w:r>
        <w:rPr>
          <w:rFonts w:hint="eastAsia" w:ascii="宋体" w:hAnsi="宋体" w:cs="宋体"/>
        </w:rPr>
        <w:t>℃</w:t>
      </w:r>
      <w:r>
        <w:t xml:space="preserve"> 压力蒸汽灭菌15</w:t>
      </w:r>
      <w:r>
        <w:rPr>
          <w:rFonts w:hint="eastAsia"/>
        </w:rPr>
        <w:t xml:space="preserve"> </w:t>
      </w:r>
      <w:r>
        <w:t>min-20 min备用。</w:t>
      </w:r>
    </w:p>
    <w:p w14:paraId="135D564E">
      <w:pPr>
        <w:pStyle w:val="121"/>
        <w:numPr>
          <w:ilvl w:val="3"/>
          <w:numId w:val="1"/>
        </w:numPr>
        <w:spacing w:before="156" w:after="156"/>
        <w:ind w:left="90"/>
        <w:rPr>
          <w:rFonts w:ascii="Times New Roman"/>
        </w:rPr>
      </w:pPr>
      <w:r>
        <w:rPr>
          <w:rFonts w:ascii="Times New Roman"/>
        </w:rPr>
        <w:t>标准硬水（硬度342</w:t>
      </w:r>
      <w:r>
        <w:rPr>
          <w:rFonts w:hint="eastAsia" w:ascii="Times New Roman"/>
        </w:rPr>
        <w:t xml:space="preserve"> </w:t>
      </w:r>
      <w:r>
        <w:rPr>
          <w:rFonts w:ascii="Times New Roman"/>
        </w:rPr>
        <w:t>mg/L， 硬度以碳酸钙计）</w:t>
      </w:r>
    </w:p>
    <w:p w14:paraId="0C8D4095">
      <w:pPr>
        <w:pStyle w:val="120"/>
        <w:ind w:firstLine="420"/>
        <w:rPr>
          <w:rFonts w:ascii="Times New Roman"/>
        </w:rPr>
      </w:pPr>
      <w:r>
        <w:rPr>
          <w:rFonts w:ascii="Times New Roman"/>
        </w:rPr>
        <w:t>称取无水氯化钙(</w:t>
      </w:r>
      <w:r>
        <w:rPr>
          <w:rFonts w:ascii="Times New Roman"/>
          <w:sz w:val="22"/>
          <w:szCs w:val="22"/>
        </w:rPr>
        <w:t>CaCl</w:t>
      </w:r>
      <w:r>
        <w:rPr>
          <w:rFonts w:ascii="Times New Roman"/>
          <w:sz w:val="22"/>
          <w:szCs w:val="22"/>
          <w:vertAlign w:val="subscript"/>
        </w:rPr>
        <w:t>2</w:t>
      </w:r>
      <w:r>
        <w:rPr>
          <w:rFonts w:ascii="Times New Roman"/>
        </w:rPr>
        <w:t>)0.304</w:t>
      </w:r>
      <w:r>
        <w:rPr>
          <w:rFonts w:hint="eastAsia" w:ascii="Times New Roman"/>
        </w:rPr>
        <w:t xml:space="preserve"> </w:t>
      </w:r>
      <w:r>
        <w:rPr>
          <w:rFonts w:ascii="Times New Roman"/>
        </w:rPr>
        <w:t>g</w:t>
      </w:r>
      <w:r>
        <w:rPr>
          <w:rFonts w:hint="eastAsia" w:ascii="Times New Roman"/>
        </w:rPr>
        <w:t>，</w:t>
      </w:r>
      <w:r>
        <w:rPr>
          <w:rFonts w:ascii="Times New Roman"/>
        </w:rPr>
        <w:t>六水合氯化镁（</w:t>
      </w:r>
      <w:r>
        <w:rPr>
          <w:rFonts w:ascii="Times New Roman"/>
          <w:sz w:val="22"/>
          <w:szCs w:val="22"/>
        </w:rPr>
        <w:t>MgCl</w:t>
      </w:r>
      <w:r>
        <w:rPr>
          <w:rFonts w:ascii="Times New Roman"/>
          <w:szCs w:val="21"/>
          <w:vertAlign w:val="subscript"/>
        </w:rPr>
        <w:t>2</w:t>
      </w:r>
      <w:r>
        <w:rPr>
          <w:rFonts w:ascii="Times New Roman"/>
          <w:szCs w:val="21"/>
        </w:rPr>
        <w:t>·</w:t>
      </w:r>
      <w:r>
        <w:rPr>
          <w:rFonts w:ascii="Times New Roman"/>
          <w:sz w:val="22"/>
          <w:szCs w:val="22"/>
        </w:rPr>
        <w:t>6H</w:t>
      </w:r>
      <w:r>
        <w:rPr>
          <w:rFonts w:ascii="Times New Roman"/>
          <w:sz w:val="22"/>
          <w:szCs w:val="22"/>
          <w:vertAlign w:val="subscript"/>
        </w:rPr>
        <w:t>2</w:t>
      </w:r>
      <w:r>
        <w:rPr>
          <w:rFonts w:ascii="Times New Roman"/>
          <w:sz w:val="22"/>
          <w:szCs w:val="22"/>
        </w:rPr>
        <w:t>O</w:t>
      </w:r>
      <w:r>
        <w:rPr>
          <w:rFonts w:ascii="Times New Roman"/>
        </w:rPr>
        <w:t>）0.139 g，加水1</w:t>
      </w:r>
      <w:r>
        <w:rPr>
          <w:rFonts w:hint="eastAsia" w:ascii="Times New Roman"/>
        </w:rPr>
        <w:t xml:space="preserve"> </w:t>
      </w:r>
      <w:r>
        <w:rPr>
          <w:rFonts w:ascii="Times New Roman"/>
        </w:rPr>
        <w:t>000</w:t>
      </w:r>
      <w:r>
        <w:rPr>
          <w:rFonts w:hint="eastAsia" w:ascii="Times New Roman"/>
        </w:rPr>
        <w:t xml:space="preserve"> </w:t>
      </w:r>
      <w:r>
        <w:rPr>
          <w:rFonts w:ascii="Times New Roman"/>
        </w:rPr>
        <w:t xml:space="preserve">mL，即为342 mg/L硬水。经121 </w:t>
      </w:r>
      <w:r>
        <w:rPr>
          <w:rFonts w:hint="eastAsia" w:hAnsi="宋体" w:cs="宋体"/>
        </w:rPr>
        <w:t>℃</w:t>
      </w:r>
      <w:r>
        <w:rPr>
          <w:rFonts w:ascii="Times New Roman"/>
        </w:rPr>
        <w:t>压力蒸汽灭菌15 min后备用。</w:t>
      </w:r>
    </w:p>
    <w:p w14:paraId="7B5BB61E">
      <w:pPr>
        <w:pStyle w:val="121"/>
        <w:numPr>
          <w:ilvl w:val="3"/>
          <w:numId w:val="1"/>
        </w:numPr>
        <w:spacing w:before="156" w:after="156"/>
        <w:ind w:left="90"/>
        <w:rPr>
          <w:rFonts w:ascii="Times New Roman"/>
        </w:rPr>
      </w:pPr>
      <w:r>
        <w:rPr>
          <w:rFonts w:ascii="Times New Roman"/>
        </w:rPr>
        <w:t>0.03</w:t>
      </w:r>
      <w:r>
        <w:rPr>
          <w:rFonts w:hint="eastAsia" w:ascii="Times New Roman"/>
        </w:rPr>
        <w:t xml:space="preserve"> </w:t>
      </w:r>
      <w:r>
        <w:rPr>
          <w:rFonts w:ascii="Times New Roman"/>
        </w:rPr>
        <w:t>mol/L磷酸盐缓冲液(PBS)</w:t>
      </w:r>
    </w:p>
    <w:p w14:paraId="1F6AFCB0">
      <w:pPr>
        <w:pStyle w:val="120"/>
        <w:ind w:firstLine="420"/>
        <w:rPr>
          <w:rFonts w:ascii="Times New Roman"/>
        </w:rPr>
      </w:pPr>
      <w:r>
        <w:rPr>
          <w:rFonts w:ascii="Times New Roman"/>
        </w:rPr>
        <w:t>称取无水</w:t>
      </w:r>
      <w:r>
        <w:rPr>
          <w:rFonts w:ascii="Times New Roman"/>
          <w:szCs w:val="21"/>
        </w:rPr>
        <w:t>磷酸氢二钠</w:t>
      </w:r>
      <w:r>
        <w:rPr>
          <w:rFonts w:ascii="Times New Roman"/>
        </w:rPr>
        <w:t>2.83</w:t>
      </w:r>
      <w:r>
        <w:rPr>
          <w:rFonts w:hint="eastAsia" w:ascii="Times New Roman"/>
        </w:rPr>
        <w:t xml:space="preserve"> </w:t>
      </w:r>
      <w:r>
        <w:rPr>
          <w:rFonts w:ascii="Times New Roman"/>
        </w:rPr>
        <w:t>g</w:t>
      </w:r>
      <w:r>
        <w:rPr>
          <w:rFonts w:hint="eastAsia" w:ascii="Times New Roman"/>
        </w:rPr>
        <w:t>，</w:t>
      </w:r>
      <w:r>
        <w:rPr>
          <w:rFonts w:ascii="Times New Roman"/>
        </w:rPr>
        <w:t>磷酸二氢钾1.36</w:t>
      </w:r>
      <w:r>
        <w:rPr>
          <w:rFonts w:hint="eastAsia" w:ascii="Times New Roman"/>
        </w:rPr>
        <w:t xml:space="preserve"> </w:t>
      </w:r>
      <w:r>
        <w:rPr>
          <w:rFonts w:ascii="Times New Roman"/>
        </w:rPr>
        <w:t>g，加水1</w:t>
      </w:r>
      <w:r>
        <w:rPr>
          <w:rFonts w:hint="eastAsia" w:ascii="Times New Roman"/>
        </w:rPr>
        <w:t xml:space="preserve"> </w:t>
      </w:r>
      <w:r>
        <w:rPr>
          <w:rFonts w:ascii="Times New Roman"/>
        </w:rPr>
        <w:t>000</w:t>
      </w:r>
      <w:r>
        <w:rPr>
          <w:rFonts w:hint="eastAsia" w:ascii="Times New Roman"/>
        </w:rPr>
        <w:t xml:space="preserve"> </w:t>
      </w:r>
      <w:r>
        <w:rPr>
          <w:rFonts w:ascii="Times New Roman"/>
        </w:rPr>
        <w:t xml:space="preserve">mL，充分溶解后，调节pH至7.2～7.4，经121 </w:t>
      </w:r>
      <w:r>
        <w:rPr>
          <w:rFonts w:hint="eastAsia" w:hAnsi="宋体" w:cs="宋体"/>
        </w:rPr>
        <w:t>℃</w:t>
      </w:r>
      <w:r>
        <w:rPr>
          <w:rFonts w:ascii="Times New Roman"/>
        </w:rPr>
        <w:t>压力蒸汽灭菌15 min后备用。</w:t>
      </w:r>
    </w:p>
    <w:p w14:paraId="353C3D14">
      <w:pPr>
        <w:pStyle w:val="126"/>
        <w:numPr>
          <w:ilvl w:val="2"/>
          <w:numId w:val="1"/>
        </w:numPr>
        <w:spacing w:before="156" w:after="156"/>
        <w:ind w:left="0"/>
        <w:rPr>
          <w:rFonts w:ascii="Times New Roman"/>
        </w:rPr>
      </w:pPr>
      <w:r>
        <w:rPr>
          <w:rFonts w:ascii="Times New Roman"/>
        </w:rPr>
        <w:t>对照样品</w:t>
      </w:r>
    </w:p>
    <w:p w14:paraId="301D58C8">
      <w:pPr>
        <w:pStyle w:val="120"/>
        <w:ind w:firstLine="420"/>
        <w:rPr>
          <w:rFonts w:ascii="Times New Roman"/>
        </w:rPr>
      </w:pPr>
      <w:r>
        <w:rPr>
          <w:rFonts w:ascii="Times New Roman"/>
        </w:rPr>
        <w:t>无菌0.03</w:t>
      </w:r>
      <w:r>
        <w:rPr>
          <w:rFonts w:hint="eastAsia" w:ascii="Times New Roman"/>
        </w:rPr>
        <w:t xml:space="preserve"> </w:t>
      </w:r>
      <w:r>
        <w:rPr>
          <w:rFonts w:ascii="Times New Roman"/>
        </w:rPr>
        <w:t>mol/L磷酸盐缓冲液(PBS)。</w:t>
      </w:r>
    </w:p>
    <w:p w14:paraId="5C8A64DE">
      <w:pPr>
        <w:pStyle w:val="125"/>
        <w:numPr>
          <w:ilvl w:val="1"/>
          <w:numId w:val="1"/>
        </w:numPr>
        <w:spacing w:before="312" w:after="312"/>
      </w:pPr>
      <w:r>
        <w:rPr>
          <w:rFonts w:hint="eastAsia"/>
        </w:rPr>
        <w:t>试验步骤</w:t>
      </w:r>
    </w:p>
    <w:p w14:paraId="74B1D403">
      <w:pPr>
        <w:pStyle w:val="56"/>
        <w:ind w:left="0"/>
        <w:rPr>
          <w:rFonts w:eastAsia="宋体"/>
        </w:rPr>
      </w:pPr>
      <w:r>
        <w:rPr>
          <w:rFonts w:eastAsia="宋体"/>
        </w:rPr>
        <w:t>在生物安全柜内将5代以内的试验菌种接种到装有50</w:t>
      </w:r>
      <w:r>
        <w:rPr>
          <w:rFonts w:hint="eastAsia" w:eastAsia="宋体"/>
        </w:rPr>
        <w:t xml:space="preserve"> </w:t>
      </w:r>
      <w:r>
        <w:rPr>
          <w:rFonts w:eastAsia="宋体"/>
        </w:rPr>
        <w:t>mL改良Dixon肉汤培养基的250</w:t>
      </w:r>
      <w:r>
        <w:rPr>
          <w:rFonts w:hint="eastAsia" w:eastAsia="宋体"/>
        </w:rPr>
        <w:t xml:space="preserve"> </w:t>
      </w:r>
      <w:r>
        <w:rPr>
          <w:rFonts w:eastAsia="宋体"/>
        </w:rPr>
        <w:t>mL三角瓶中，在30</w:t>
      </w:r>
      <w:r>
        <w:rPr>
          <w:rFonts w:hint="eastAsia" w:eastAsia="宋体"/>
        </w:rPr>
        <w:t xml:space="preserve"> ℃</w:t>
      </w:r>
      <w:r>
        <w:rPr>
          <w:rFonts w:asciiTheme="minorEastAsia" w:hAnsiTheme="minorEastAsia" w:eastAsiaTheme="minorEastAsia"/>
        </w:rPr>
        <w:t>±</w:t>
      </w:r>
      <w:r>
        <w:rPr>
          <w:rFonts w:eastAsia="宋体"/>
        </w:rPr>
        <w:t>1</w:t>
      </w:r>
      <w:r>
        <w:rPr>
          <w:rFonts w:hint="eastAsia" w:eastAsia="宋体"/>
        </w:rPr>
        <w:t xml:space="preserve"> ℃，</w:t>
      </w:r>
      <w:r>
        <w:rPr>
          <w:rFonts w:eastAsia="宋体"/>
        </w:rPr>
        <w:t>200</w:t>
      </w:r>
      <w:r>
        <w:rPr>
          <w:rFonts w:hint="eastAsia" w:eastAsia="宋体"/>
        </w:rPr>
        <w:t xml:space="preserve"> </w:t>
      </w:r>
      <w:r>
        <w:rPr>
          <w:rFonts w:eastAsia="宋体"/>
        </w:rPr>
        <w:t>rpm条件下，振荡培养 72</w:t>
      </w:r>
      <w:r>
        <w:rPr>
          <w:rFonts w:hint="eastAsia" w:eastAsia="宋体"/>
        </w:rPr>
        <w:t xml:space="preserve"> h</w:t>
      </w:r>
      <w:r>
        <w:rPr>
          <w:rFonts w:asciiTheme="minorEastAsia" w:hAnsiTheme="minorEastAsia" w:eastAsiaTheme="minorEastAsia"/>
        </w:rPr>
        <w:t>±</w:t>
      </w:r>
      <w:r>
        <w:rPr>
          <w:rFonts w:eastAsia="宋体"/>
        </w:rPr>
        <w:t>4</w:t>
      </w:r>
      <w:r>
        <w:rPr>
          <w:rFonts w:hint="eastAsia" w:eastAsia="宋体"/>
        </w:rPr>
        <w:t xml:space="preserve"> </w:t>
      </w:r>
      <w:r>
        <w:rPr>
          <w:rFonts w:eastAsia="宋体"/>
        </w:rPr>
        <w:t>h。取0.5</w:t>
      </w:r>
      <w:r>
        <w:rPr>
          <w:rFonts w:hint="eastAsia" w:eastAsia="宋体"/>
        </w:rPr>
        <w:t xml:space="preserve"> mL</w:t>
      </w:r>
      <w:r>
        <w:rPr>
          <w:rFonts w:eastAsia="宋体"/>
        </w:rPr>
        <w:t>培养物，接种到新的装有50</w:t>
      </w:r>
      <w:r>
        <w:rPr>
          <w:rFonts w:hint="eastAsia" w:eastAsia="宋体"/>
        </w:rPr>
        <w:t xml:space="preserve"> mL</w:t>
      </w:r>
      <w:r>
        <w:rPr>
          <w:rFonts w:eastAsia="宋体"/>
        </w:rPr>
        <w:t>改良Dixon肉汤培养基的250</w:t>
      </w:r>
      <w:r>
        <w:rPr>
          <w:rFonts w:hint="eastAsia" w:eastAsia="宋体"/>
        </w:rPr>
        <w:t xml:space="preserve"> mL</w:t>
      </w:r>
      <w:r>
        <w:rPr>
          <w:rFonts w:eastAsia="宋体"/>
        </w:rPr>
        <w:t>三角瓶中，在</w:t>
      </w:r>
      <w:r>
        <w:rPr>
          <w:rFonts w:hint="eastAsia" w:eastAsia="宋体"/>
        </w:rPr>
        <w:t>30 ℃</w:t>
      </w:r>
      <w:r>
        <w:rPr>
          <w:rFonts w:hint="eastAsia" w:asciiTheme="minorEastAsia" w:hAnsiTheme="minorEastAsia" w:eastAsiaTheme="minorEastAsia"/>
        </w:rPr>
        <w:t>±</w:t>
      </w:r>
      <w:r>
        <w:rPr>
          <w:rFonts w:hint="eastAsia" w:eastAsia="宋体"/>
        </w:rPr>
        <w:t>1 ℃</w:t>
      </w:r>
      <w:r>
        <w:rPr>
          <w:rFonts w:eastAsia="宋体"/>
        </w:rPr>
        <w:t xml:space="preserve"> 200 rpm条件下，继续培养24</w:t>
      </w:r>
      <w:r>
        <w:rPr>
          <w:rFonts w:hint="eastAsia" w:eastAsia="宋体"/>
        </w:rPr>
        <w:t xml:space="preserve"> h</w:t>
      </w:r>
      <w:r>
        <w:rPr>
          <w:rFonts w:asciiTheme="minorEastAsia" w:hAnsiTheme="minorEastAsia" w:eastAsiaTheme="minorEastAsia"/>
        </w:rPr>
        <w:t>±</w:t>
      </w:r>
      <w:r>
        <w:rPr>
          <w:rFonts w:eastAsia="宋体"/>
        </w:rPr>
        <w:t>2</w:t>
      </w:r>
      <w:r>
        <w:rPr>
          <w:rFonts w:hint="eastAsia" w:eastAsia="宋体"/>
        </w:rPr>
        <w:t xml:space="preserve"> </w:t>
      </w:r>
      <w:r>
        <w:rPr>
          <w:rFonts w:eastAsia="宋体"/>
        </w:rPr>
        <w:t>h。将上述培养物放入水浴超声仪，超声1分钟，</w:t>
      </w:r>
      <w:r>
        <w:rPr>
          <w:rFonts w:hint="eastAsia" w:eastAsia="宋体"/>
        </w:rPr>
        <w:t>以打散</w:t>
      </w:r>
      <w:r>
        <w:rPr>
          <w:rFonts w:eastAsia="宋体"/>
        </w:rPr>
        <w:t>培养物中可能存在的菌团，随后用</w:t>
      </w:r>
      <w:r>
        <w:rPr>
          <w:rFonts w:hint="eastAsia" w:eastAsia="宋体"/>
        </w:rPr>
        <w:t>无菌</w:t>
      </w:r>
      <w:r>
        <w:rPr>
          <w:rFonts w:eastAsia="宋体"/>
        </w:rPr>
        <w:t>PBS</w:t>
      </w:r>
      <w:r>
        <w:rPr>
          <w:rFonts w:hint="eastAsia" w:eastAsia="宋体"/>
        </w:rPr>
        <w:t>稀释</w:t>
      </w:r>
      <w:r>
        <w:rPr>
          <w:rFonts w:eastAsia="宋体"/>
        </w:rPr>
        <w:t>至约1×10</w:t>
      </w:r>
      <w:r>
        <w:rPr>
          <w:rFonts w:eastAsia="宋体"/>
          <w:vertAlign w:val="superscript"/>
        </w:rPr>
        <w:t>6</w:t>
      </w:r>
      <w:r>
        <w:rPr>
          <w:rFonts w:eastAsia="宋体"/>
        </w:rPr>
        <w:t>CFU/</w:t>
      </w:r>
      <w:r>
        <w:rPr>
          <w:rFonts w:hint="eastAsia" w:eastAsia="宋体"/>
        </w:rPr>
        <w:t>mL</w:t>
      </w:r>
      <w:r>
        <w:rPr>
          <w:rFonts w:eastAsia="宋体"/>
        </w:rPr>
        <w:t>～1×10</w:t>
      </w:r>
      <w:r>
        <w:rPr>
          <w:rFonts w:eastAsia="宋体"/>
          <w:vertAlign w:val="superscript"/>
        </w:rPr>
        <w:t>8</w:t>
      </w:r>
      <w:r>
        <w:rPr>
          <w:rFonts w:eastAsia="宋体"/>
        </w:rPr>
        <w:t>CFU/</w:t>
      </w:r>
      <w:r>
        <w:rPr>
          <w:rFonts w:hint="eastAsia" w:eastAsia="宋体"/>
        </w:rPr>
        <w:t>mL</w:t>
      </w:r>
      <w:r>
        <w:rPr>
          <w:rFonts w:eastAsia="宋体"/>
        </w:rPr>
        <w:t>，制成菌悬液备用</w:t>
      </w:r>
      <w:r>
        <w:rPr>
          <w:rFonts w:hint="eastAsia" w:asciiTheme="minorEastAsia" w:hAnsiTheme="minorEastAsia" w:eastAsiaTheme="minorEastAsia"/>
          <w:szCs w:val="21"/>
        </w:rPr>
        <w:t>。制备好的菌悬液若不能立即使用，应保存在</w:t>
      </w:r>
      <w:r>
        <w:rPr>
          <w:rFonts w:eastAsiaTheme="minorEastAsia"/>
          <w:szCs w:val="21"/>
        </w:rPr>
        <w:t>4</w:t>
      </w:r>
      <w:r>
        <w:rPr>
          <w:rFonts w:hint="eastAsia" w:asciiTheme="minorEastAsia" w:hAnsiTheme="minorEastAsia" w:eastAsiaTheme="minorEastAsia"/>
          <w:szCs w:val="21"/>
        </w:rPr>
        <w:t>℃冰箱内备用，且必须当天使用不得过夜。</w:t>
      </w:r>
    </w:p>
    <w:p w14:paraId="2F96143D">
      <w:pPr>
        <w:pStyle w:val="126"/>
        <w:numPr>
          <w:ilvl w:val="2"/>
          <w:numId w:val="1"/>
        </w:numPr>
        <w:spacing w:before="156" w:after="156"/>
        <w:ind w:left="0"/>
      </w:pPr>
      <w:r>
        <w:rPr>
          <w:rFonts w:hint="eastAsia" w:asciiTheme="minorEastAsia" w:hAnsiTheme="minorEastAsia" w:eastAsiaTheme="minorEastAsia"/>
          <w:szCs w:val="21"/>
        </w:rPr>
        <w:t>将受试物用无菌标准硬水稀释</w:t>
      </w:r>
      <w:r>
        <w:rPr>
          <w:rFonts w:ascii="Times New Roman" w:eastAsiaTheme="minorEastAsia"/>
          <w:szCs w:val="21"/>
        </w:rPr>
        <w:t>至规定的浓度（推荐测试时采用1：10稀释度或1：100 稀释度），可参照消费者对产品的实际使用习惯，或产</w:t>
      </w:r>
      <w:r>
        <w:rPr>
          <w:rFonts w:hint="eastAsia" w:asciiTheme="minorEastAsia" w:hAnsiTheme="minorEastAsia" w:eastAsiaTheme="minorEastAsia"/>
          <w:szCs w:val="21"/>
        </w:rPr>
        <w:t>品活性成分特性对稀释度进行调整，但应在报告中说明相应的依据。</w:t>
      </w:r>
    </w:p>
    <w:p w14:paraId="2E743336">
      <w:pPr>
        <w:pStyle w:val="56"/>
        <w:ind w:left="0"/>
        <w:rPr>
          <w:rFonts w:eastAsia="宋体"/>
        </w:rPr>
      </w:pPr>
      <w:r>
        <w:rPr>
          <w:rFonts w:eastAsia="宋体"/>
        </w:rPr>
        <w:t>吸取5</w:t>
      </w:r>
      <w:r>
        <w:rPr>
          <w:rFonts w:hint="eastAsia" w:eastAsia="宋体"/>
        </w:rPr>
        <w:t xml:space="preserve"> mL步骤25.2中</w:t>
      </w:r>
      <w:r>
        <w:rPr>
          <w:rFonts w:eastAsia="宋体"/>
        </w:rPr>
        <w:t>制备的</w:t>
      </w:r>
      <w:r>
        <w:rPr>
          <w:rFonts w:hint="eastAsia" w:eastAsia="宋体"/>
        </w:rPr>
        <w:t>受试物</w:t>
      </w:r>
      <w:r>
        <w:rPr>
          <w:rFonts w:eastAsia="宋体"/>
        </w:rPr>
        <w:t>稀释液于无菌试管中</w:t>
      </w:r>
      <w:r>
        <w:rPr>
          <w:rFonts w:hint="eastAsia" w:eastAsia="宋体"/>
        </w:rPr>
        <w:t>，</w:t>
      </w:r>
      <w:r>
        <w:rPr>
          <w:rFonts w:eastAsia="宋体"/>
        </w:rPr>
        <w:t>再加入0.1</w:t>
      </w:r>
      <w:r>
        <w:rPr>
          <w:rFonts w:hint="eastAsia" w:eastAsia="宋体"/>
        </w:rPr>
        <w:t xml:space="preserve"> mL</w:t>
      </w:r>
      <w:r>
        <w:rPr>
          <w:rFonts w:eastAsia="宋体"/>
        </w:rPr>
        <w:t>步骤</w:t>
      </w:r>
      <w:r>
        <w:rPr>
          <w:rFonts w:hint="eastAsia" w:eastAsia="宋体"/>
        </w:rPr>
        <w:t>2</w:t>
      </w:r>
      <w:r>
        <w:rPr>
          <w:rFonts w:eastAsia="宋体"/>
        </w:rPr>
        <w:t>5.1中制备的菌悬液，迅速混匀，旋紧试管盖，将试管水平固定在摇床上，在33</w:t>
      </w:r>
      <w:r>
        <w:rPr>
          <w:rFonts w:hint="eastAsia" w:eastAsia="宋体"/>
        </w:rPr>
        <w:t xml:space="preserve"> ℃</w:t>
      </w:r>
      <w:r>
        <w:rPr>
          <w:rFonts w:asciiTheme="minorEastAsia" w:hAnsiTheme="minorEastAsia" w:eastAsiaTheme="minorEastAsia"/>
        </w:rPr>
        <w:t>±</w:t>
      </w:r>
      <w:r>
        <w:rPr>
          <w:rFonts w:eastAsia="宋体"/>
        </w:rPr>
        <w:t>1</w:t>
      </w:r>
      <w:r>
        <w:rPr>
          <w:rFonts w:hint="eastAsia" w:eastAsia="宋体"/>
        </w:rPr>
        <w:t xml:space="preserve"> ℃，</w:t>
      </w:r>
      <w:r>
        <w:rPr>
          <w:rFonts w:eastAsia="宋体"/>
        </w:rPr>
        <w:t>100</w:t>
      </w:r>
      <w:r>
        <w:rPr>
          <w:rFonts w:hint="eastAsia" w:eastAsia="宋体"/>
        </w:rPr>
        <w:t xml:space="preserve"> </w:t>
      </w:r>
      <w:r>
        <w:rPr>
          <w:rFonts w:eastAsia="宋体"/>
        </w:rPr>
        <w:t>rpm条件下振摇</w:t>
      </w:r>
      <w:r>
        <w:rPr>
          <w:rFonts w:hint="eastAsia" w:eastAsia="宋体"/>
        </w:rPr>
        <w:t>(</w:t>
      </w:r>
      <w:r>
        <w:rPr>
          <w:rFonts w:eastAsia="宋体"/>
        </w:rPr>
        <w:t>4-24</w:t>
      </w:r>
      <w:r>
        <w:rPr>
          <w:rFonts w:hint="eastAsia" w:eastAsia="宋体"/>
        </w:rPr>
        <w:t>)</w:t>
      </w:r>
      <w:r>
        <w:rPr>
          <w:rFonts w:eastAsia="宋体"/>
        </w:rPr>
        <w:t>小时</w:t>
      </w:r>
      <w:r>
        <w:rPr>
          <w:rFonts w:hint="eastAsia" w:eastAsia="宋体"/>
        </w:rPr>
        <w:t>(注：当受试物稀释度为1:10时，推荐作用时间为4小时；当稀释度为1：100时，建议作用时间为24小时；当使用其他稀释度可以根据实际情况选择适宜的作用时间，并应在报告加以说明）</w:t>
      </w:r>
      <w:r>
        <w:rPr>
          <w:rFonts w:eastAsia="宋体"/>
        </w:rPr>
        <w:t>。</w:t>
      </w:r>
    </w:p>
    <w:p w14:paraId="37C9AF70">
      <w:pPr>
        <w:pStyle w:val="126"/>
        <w:numPr>
          <w:ilvl w:val="2"/>
          <w:numId w:val="1"/>
        </w:numPr>
        <w:spacing w:before="156" w:after="156"/>
        <w:ind w:left="0"/>
        <w:rPr>
          <w:rFonts w:ascii="Times New Roman"/>
        </w:rPr>
      </w:pPr>
      <w:r>
        <w:rPr>
          <w:rFonts w:ascii="Times New Roman" w:eastAsiaTheme="minorEastAsia"/>
          <w:szCs w:val="21"/>
        </w:rPr>
        <w:t>作用至设定时间后，取上述混合液用无菌PBS做10倍系列稀释，取混合液及其中2～3个适宜稀释度的稀释液0.5</w:t>
      </w:r>
      <w:r>
        <w:rPr>
          <w:rFonts w:hint="eastAsia" w:ascii="Times New Roman" w:eastAsiaTheme="minorEastAsia"/>
          <w:szCs w:val="21"/>
        </w:rPr>
        <w:t xml:space="preserve"> </w:t>
      </w:r>
      <w:r>
        <w:rPr>
          <w:rFonts w:ascii="Times New Roman" w:eastAsiaTheme="minorEastAsia"/>
          <w:szCs w:val="21"/>
        </w:rPr>
        <w:t>mL，涂布到改良Dixon琼脂培养基平板，每个稀释度涂布两个平板（也可选取混合液及2～3个适宜稀释度，分别吸取稀释液</w:t>
      </w:r>
      <w:r>
        <w:rPr>
          <w:rFonts w:hint="eastAsia" w:ascii="Times New Roman" w:eastAsiaTheme="minorEastAsia"/>
          <w:szCs w:val="21"/>
        </w:rPr>
        <w:t xml:space="preserve">0.5 </w:t>
      </w:r>
      <w:r>
        <w:rPr>
          <w:rFonts w:ascii="Times New Roman" w:eastAsiaTheme="minorEastAsia"/>
          <w:szCs w:val="21"/>
        </w:rPr>
        <w:t>mL，置于2个平皿中，倾注15</w:t>
      </w:r>
      <w:r>
        <w:rPr>
          <w:rFonts w:hint="eastAsia" w:ascii="Times New Roman" w:eastAsiaTheme="minorEastAsia"/>
          <w:szCs w:val="21"/>
        </w:rPr>
        <w:t xml:space="preserve"> </w:t>
      </w:r>
      <w:r>
        <w:rPr>
          <w:rFonts w:ascii="Times New Roman" w:eastAsiaTheme="minorEastAsia"/>
          <w:szCs w:val="21"/>
        </w:rPr>
        <w:t>mL-20</w:t>
      </w:r>
      <w:r>
        <w:rPr>
          <w:rFonts w:hint="eastAsia" w:ascii="Times New Roman" w:eastAsiaTheme="minorEastAsia"/>
          <w:szCs w:val="21"/>
        </w:rPr>
        <w:t xml:space="preserve"> </w:t>
      </w:r>
      <w:r>
        <w:rPr>
          <w:rFonts w:ascii="Times New Roman" w:eastAsiaTheme="minorEastAsia"/>
          <w:szCs w:val="21"/>
        </w:rPr>
        <w:t>mL冷却至40</w:t>
      </w:r>
      <w:r>
        <w:rPr>
          <w:rFonts w:hint="eastAsia" w:ascii="Times New Roman" w:eastAsiaTheme="minorEastAsia"/>
          <w:szCs w:val="21"/>
        </w:rPr>
        <w:t xml:space="preserve"> </w:t>
      </w:r>
      <w:r>
        <w:rPr>
          <w:rFonts w:hint="eastAsia" w:ascii="宋体" w:hAnsi="宋体" w:eastAsia="宋体" w:cs="宋体"/>
          <w:szCs w:val="21"/>
        </w:rPr>
        <w:t>℃</w:t>
      </w:r>
      <w:r>
        <w:rPr>
          <w:rFonts w:ascii="Times New Roman" w:eastAsiaTheme="minorEastAsia"/>
          <w:szCs w:val="21"/>
        </w:rPr>
        <w:t>-50</w:t>
      </w:r>
      <w:r>
        <w:rPr>
          <w:rFonts w:hint="eastAsia" w:ascii="Times New Roman" w:eastAsiaTheme="minorEastAsia"/>
          <w:szCs w:val="21"/>
        </w:rPr>
        <w:t xml:space="preserve"> </w:t>
      </w:r>
      <w:r>
        <w:rPr>
          <w:rFonts w:hint="eastAsia" w:ascii="宋体" w:hAnsi="宋体" w:eastAsia="宋体" w:cs="宋体"/>
          <w:szCs w:val="21"/>
        </w:rPr>
        <w:t>℃</w:t>
      </w:r>
      <w:r>
        <w:rPr>
          <w:rFonts w:ascii="Times New Roman" w:eastAsiaTheme="minorEastAsia"/>
          <w:szCs w:val="21"/>
        </w:rPr>
        <w:t>的改良Dixon琼脂培养基，转动平皿，使其充分混匀，凝固后翻转平板放入培养箱内培养）。</w:t>
      </w:r>
    </w:p>
    <w:p w14:paraId="59629B71">
      <w:pPr>
        <w:pStyle w:val="126"/>
        <w:numPr>
          <w:ilvl w:val="2"/>
          <w:numId w:val="1"/>
        </w:numPr>
        <w:spacing w:before="156" w:after="156"/>
        <w:ind w:left="0"/>
      </w:pPr>
      <w:r>
        <w:rPr>
          <w:rFonts w:hint="eastAsia" w:asciiTheme="minorEastAsia" w:hAnsiTheme="minorEastAsia" w:eastAsiaTheme="minorEastAsia"/>
          <w:szCs w:val="21"/>
        </w:rPr>
        <w:t>将</w:t>
      </w:r>
      <w:r>
        <w:rPr>
          <w:rFonts w:ascii="Times New Roman" w:eastAsiaTheme="minorEastAsia"/>
          <w:szCs w:val="21"/>
        </w:rPr>
        <w:t>平板置于30</w:t>
      </w:r>
      <w:r>
        <w:rPr>
          <w:rFonts w:hint="eastAsia" w:ascii="宋体" w:hAnsi="宋体" w:eastAsia="宋体" w:cs="宋体"/>
          <w:szCs w:val="21"/>
        </w:rPr>
        <w:t>℃</w:t>
      </w:r>
      <w:r>
        <w:rPr>
          <w:rFonts w:asciiTheme="minorEastAsia" w:hAnsiTheme="minorEastAsia" w:eastAsiaTheme="minorEastAsia"/>
          <w:szCs w:val="21"/>
        </w:rPr>
        <w:t>±</w:t>
      </w:r>
      <w:r>
        <w:rPr>
          <w:rFonts w:ascii="Times New Roman" w:eastAsiaTheme="minorEastAsia"/>
          <w:szCs w:val="21"/>
        </w:rPr>
        <w:t>1</w:t>
      </w:r>
      <w:r>
        <w:rPr>
          <w:rFonts w:hint="eastAsia" w:ascii="宋体" w:hAnsi="宋体" w:eastAsia="宋体" w:cs="宋体"/>
          <w:szCs w:val="21"/>
        </w:rPr>
        <w:t>℃</w:t>
      </w:r>
      <w:r>
        <w:rPr>
          <w:rFonts w:ascii="Times New Roman" w:eastAsiaTheme="minorEastAsia"/>
          <w:szCs w:val="21"/>
        </w:rPr>
        <w:t>恒温培养箱中, 培养5-7天后，选取菌落数在</w:t>
      </w:r>
      <w:r>
        <w:rPr>
          <w:rFonts w:hint="eastAsia" w:ascii="Times New Roman" w:eastAsiaTheme="minorEastAsia"/>
          <w:szCs w:val="21"/>
        </w:rPr>
        <w:t>30</w:t>
      </w:r>
      <w:r>
        <w:rPr>
          <w:rFonts w:ascii="Times New Roman" w:eastAsiaTheme="minorEastAsia"/>
          <w:szCs w:val="21"/>
        </w:rPr>
        <w:t xml:space="preserve"> CFU-300 CFU的平板，做活菌菌落计数。</w:t>
      </w:r>
    </w:p>
    <w:p w14:paraId="438B89FB">
      <w:pPr>
        <w:pStyle w:val="120"/>
        <w:ind w:firstLine="360"/>
        <w:rPr>
          <w:rFonts w:ascii="Times New Roman"/>
          <w:sz w:val="18"/>
          <w:szCs w:val="18"/>
        </w:rPr>
      </w:pPr>
      <w:r>
        <w:rPr>
          <w:rFonts w:ascii="黑体" w:hAnsi="黑体" w:eastAsia="黑体"/>
          <w:sz w:val="18"/>
          <w:szCs w:val="18"/>
        </w:rPr>
        <w:t>注：</w:t>
      </w:r>
      <w:r>
        <w:rPr>
          <w:rFonts w:hint="eastAsia" w:ascii="Times New Roman"/>
          <w:sz w:val="18"/>
          <w:szCs w:val="18"/>
        </w:rPr>
        <w:t>①</w:t>
      </w:r>
      <w:r>
        <w:rPr>
          <w:rFonts w:ascii="Times New Roman"/>
          <w:sz w:val="18"/>
          <w:szCs w:val="18"/>
        </w:rPr>
        <w:t>若接种低稀释度样液的平板无菌落生长，但接种高稀释度样液的平板有菌落生长，</w:t>
      </w:r>
      <w:r>
        <w:rPr>
          <w:rFonts w:hint="eastAsia" w:ascii="Times New Roman"/>
          <w:sz w:val="18"/>
          <w:szCs w:val="18"/>
        </w:rPr>
        <w:t>以低稀释度平板上的菌落数作为</w:t>
      </w:r>
      <w:r>
        <w:rPr>
          <w:rFonts w:ascii="Times New Roman"/>
          <w:sz w:val="18"/>
          <w:szCs w:val="18"/>
        </w:rPr>
        <w:t>计数</w:t>
      </w:r>
      <w:r>
        <w:rPr>
          <w:rFonts w:hint="eastAsia" w:ascii="Times New Roman"/>
          <w:sz w:val="18"/>
          <w:szCs w:val="18"/>
        </w:rPr>
        <w:t>结果，记为“＜1”；②若接种低稀释度样液的平板与高稀释度样液的平板均有菌落生长，但结果未能与稀释倍数对应时，以低稀释度平板上的菌落数作为计数结果</w:t>
      </w:r>
      <w:r>
        <w:rPr>
          <w:rFonts w:ascii="Times New Roman"/>
          <w:sz w:val="18"/>
          <w:szCs w:val="18"/>
        </w:rPr>
        <w:t>。</w:t>
      </w:r>
    </w:p>
    <w:p w14:paraId="6DCCFB8A">
      <w:pPr>
        <w:pStyle w:val="126"/>
        <w:numPr>
          <w:ilvl w:val="2"/>
          <w:numId w:val="1"/>
        </w:numPr>
        <w:spacing w:before="156" w:after="156"/>
        <w:ind w:left="0"/>
      </w:pPr>
      <w:r>
        <w:rPr>
          <w:rFonts w:asciiTheme="minorEastAsia" w:hAnsiTheme="minorEastAsia" w:eastAsiaTheme="minorEastAsia"/>
          <w:szCs w:val="21"/>
        </w:rPr>
        <w:t>以</w:t>
      </w:r>
      <w:r>
        <w:rPr>
          <w:rFonts w:hint="eastAsia" w:asciiTheme="minorEastAsia" w:hAnsiTheme="minorEastAsia" w:eastAsiaTheme="minorEastAsia"/>
          <w:szCs w:val="21"/>
        </w:rPr>
        <w:t>无</w:t>
      </w:r>
      <w:r>
        <w:rPr>
          <w:rFonts w:ascii="Times New Roman" w:eastAsiaTheme="minorEastAsia"/>
          <w:szCs w:val="21"/>
        </w:rPr>
        <w:t>菌PBS代</w:t>
      </w:r>
      <w:r>
        <w:rPr>
          <w:rFonts w:asciiTheme="minorEastAsia" w:hAnsiTheme="minorEastAsia" w:eastAsiaTheme="minorEastAsia"/>
          <w:szCs w:val="21"/>
        </w:rPr>
        <w:t>替受试物</w:t>
      </w:r>
      <w:r>
        <w:rPr>
          <w:rFonts w:hint="eastAsia" w:asciiTheme="minorEastAsia" w:hAnsiTheme="minorEastAsia" w:eastAsiaTheme="minorEastAsia"/>
          <w:szCs w:val="21"/>
        </w:rPr>
        <w:t>稀释液</w:t>
      </w:r>
      <w:r>
        <w:rPr>
          <w:rFonts w:asciiTheme="minorEastAsia" w:hAnsiTheme="minorEastAsia" w:eastAsiaTheme="minorEastAsia"/>
          <w:szCs w:val="21"/>
        </w:rPr>
        <w:t>，同时按以上步骤操作，作为对照样品。</w:t>
      </w:r>
    </w:p>
    <w:p w14:paraId="786D357C">
      <w:pPr>
        <w:pStyle w:val="126"/>
        <w:numPr>
          <w:ilvl w:val="2"/>
          <w:numId w:val="1"/>
        </w:numPr>
        <w:spacing w:before="156" w:after="156"/>
        <w:ind w:left="0"/>
      </w:pPr>
      <w:r>
        <w:rPr>
          <w:rFonts w:asciiTheme="minorEastAsia" w:hAnsiTheme="minorEastAsia" w:eastAsiaTheme="minorEastAsia"/>
          <w:szCs w:val="21"/>
        </w:rPr>
        <w:t>实验重</w:t>
      </w:r>
      <w:r>
        <w:rPr>
          <w:rFonts w:ascii="Times New Roman" w:eastAsiaTheme="minorEastAsia"/>
          <w:szCs w:val="21"/>
        </w:rPr>
        <w:t>复3次，</w:t>
      </w:r>
      <w:r>
        <w:rPr>
          <w:rFonts w:asciiTheme="minorEastAsia" w:hAnsiTheme="minorEastAsia" w:eastAsiaTheme="minorEastAsia"/>
          <w:szCs w:val="21"/>
        </w:rPr>
        <w:t>求其平均值。</w:t>
      </w:r>
    </w:p>
    <w:p w14:paraId="40EFA75A">
      <w:pPr>
        <w:pStyle w:val="125"/>
        <w:numPr>
          <w:ilvl w:val="1"/>
          <w:numId w:val="1"/>
        </w:numPr>
        <w:spacing w:before="312" w:after="312"/>
        <w:rPr>
          <w:rFonts w:ascii="Times New Roman"/>
        </w:rPr>
      </w:pPr>
      <w:r>
        <w:rPr>
          <w:rFonts w:ascii="Times New Roman"/>
        </w:rPr>
        <w:t>结果计算</w:t>
      </w:r>
    </w:p>
    <w:p w14:paraId="6C351C0C">
      <w:pPr>
        <w:pStyle w:val="126"/>
        <w:numPr>
          <w:ilvl w:val="2"/>
          <w:numId w:val="1"/>
        </w:numPr>
        <w:spacing w:before="156" w:after="156"/>
        <w:ind w:left="0"/>
        <w:rPr>
          <w:rFonts w:ascii="Times New Roman"/>
        </w:rPr>
      </w:pPr>
      <w:r>
        <w:rPr>
          <w:rFonts w:ascii="Times New Roman"/>
        </w:rPr>
        <w:t>试验有效性</w:t>
      </w:r>
    </w:p>
    <w:p w14:paraId="56FFE72A">
      <w:pPr>
        <w:pStyle w:val="120"/>
        <w:ind w:firstLine="420"/>
        <w:rPr>
          <w:rFonts w:ascii="Times New Roman"/>
        </w:rPr>
      </w:pPr>
      <w:r>
        <w:rPr>
          <w:rFonts w:ascii="Times New Roman"/>
        </w:rPr>
        <w:t>对照样品与菌液作用至特定时间后，回收菌量应满足</w:t>
      </w:r>
      <w:r>
        <w:rPr>
          <w:rFonts w:hint="eastAsia" w:ascii="Times New Roman"/>
          <w:szCs w:val="21"/>
        </w:rPr>
        <w:t>2</w:t>
      </w:r>
      <w:r>
        <w:rPr>
          <w:rFonts w:ascii="Times New Roman"/>
          <w:szCs w:val="21"/>
        </w:rPr>
        <w:t>×10</w:t>
      </w:r>
      <w:r>
        <w:rPr>
          <w:rFonts w:ascii="Times New Roman"/>
          <w:szCs w:val="21"/>
          <w:vertAlign w:val="superscript"/>
        </w:rPr>
        <w:t>4</w:t>
      </w:r>
      <w:r>
        <w:rPr>
          <w:rFonts w:ascii="Times New Roman"/>
          <w:szCs w:val="21"/>
        </w:rPr>
        <w:t xml:space="preserve"> CFU/</w:t>
      </w:r>
      <w:r>
        <w:rPr>
          <w:rFonts w:hint="eastAsia" w:ascii="Times New Roman"/>
          <w:szCs w:val="21"/>
        </w:rPr>
        <w:t>mL</w:t>
      </w:r>
      <w:r>
        <w:rPr>
          <w:rFonts w:ascii="Times New Roman"/>
          <w:szCs w:val="21"/>
        </w:rPr>
        <w:t>～</w:t>
      </w:r>
      <w:r>
        <w:rPr>
          <w:rFonts w:hint="eastAsia" w:ascii="Times New Roman"/>
          <w:szCs w:val="21"/>
        </w:rPr>
        <w:t>2</w:t>
      </w:r>
      <w:r>
        <w:rPr>
          <w:rFonts w:ascii="Times New Roman"/>
          <w:szCs w:val="21"/>
        </w:rPr>
        <w:t>×10</w:t>
      </w:r>
      <w:r>
        <w:rPr>
          <w:rFonts w:ascii="Times New Roman"/>
          <w:szCs w:val="21"/>
          <w:vertAlign w:val="superscript"/>
        </w:rPr>
        <w:t>6</w:t>
      </w:r>
      <w:r>
        <w:rPr>
          <w:rFonts w:ascii="Times New Roman"/>
          <w:szCs w:val="21"/>
        </w:rPr>
        <w:t xml:space="preserve"> CFU/</w:t>
      </w:r>
      <w:r>
        <w:rPr>
          <w:rFonts w:hint="eastAsia" w:ascii="Times New Roman"/>
          <w:szCs w:val="21"/>
        </w:rPr>
        <w:t>mL</w:t>
      </w:r>
      <w:r>
        <w:rPr>
          <w:rFonts w:ascii="Times New Roman"/>
          <w:szCs w:val="21"/>
        </w:rPr>
        <w:t>，</w:t>
      </w:r>
      <w:r>
        <w:rPr>
          <w:rFonts w:ascii="Times New Roman"/>
        </w:rPr>
        <w:t>否则试验无效。</w:t>
      </w:r>
    </w:p>
    <w:p w14:paraId="620C3386">
      <w:pPr>
        <w:pStyle w:val="126"/>
        <w:numPr>
          <w:ilvl w:val="2"/>
          <w:numId w:val="1"/>
        </w:numPr>
        <w:spacing w:before="156" w:after="156"/>
        <w:ind w:left="0"/>
        <w:rPr>
          <w:rFonts w:ascii="Times New Roman"/>
        </w:rPr>
      </w:pPr>
      <w:r>
        <w:rPr>
          <w:rFonts w:ascii="Times New Roman"/>
        </w:rPr>
        <w:t>结果计算</w:t>
      </w:r>
    </w:p>
    <w:p w14:paraId="75D43A17">
      <w:pPr>
        <w:pStyle w:val="61"/>
        <w:rPr>
          <w:rFonts w:eastAsia="宋体"/>
          <w:color w:val="000000"/>
          <w:szCs w:val="21"/>
        </w:rPr>
      </w:pPr>
      <w:r>
        <w:rPr>
          <w:rFonts w:eastAsia="宋体"/>
          <w:color w:val="000000"/>
          <w:szCs w:val="21"/>
        </w:rPr>
        <w:t>菌落总数计算见式 (1)；</w:t>
      </w:r>
    </w:p>
    <w:p w14:paraId="07391C9B">
      <w:pPr>
        <w:pStyle w:val="132"/>
        <w:numPr>
          <w:ilvl w:val="0"/>
          <w:numId w:val="17"/>
        </w:numPr>
        <w:jc w:val="right"/>
        <w:rPr>
          <w:rFonts w:ascii="Times New Roman" w:eastAsia="宋体" w:cs="Times New Roman"/>
          <w:sz w:val="21"/>
          <w:szCs w:val="21"/>
        </w:rPr>
      </w:pPr>
      <w:r>
        <w:rPr>
          <w:rFonts w:ascii="Cambria Math" w:hAnsi="Cambria Math" w:eastAsia="宋体" w:cs="Cambria Math"/>
          <w:sz w:val="21"/>
          <w:szCs w:val="21"/>
        </w:rPr>
        <w:t>𝐶</w:t>
      </w:r>
      <w:r>
        <w:rPr>
          <w:rFonts w:ascii="Times New Roman" w:eastAsia="宋体" w:cs="Times New Roman"/>
          <w:sz w:val="21"/>
          <w:szCs w:val="21"/>
        </w:rPr>
        <w:t>=（</w:t>
      </w:r>
      <w:r>
        <w:rPr>
          <w:rFonts w:ascii="Cambria Math" w:hAnsi="Cambria Math" w:eastAsia="宋体" w:cs="Cambria Math"/>
          <w:sz w:val="21"/>
          <w:szCs w:val="21"/>
        </w:rPr>
        <w:t>𝑁</w:t>
      </w:r>
      <w:r>
        <w:rPr>
          <w:rFonts w:ascii="Times New Roman" w:eastAsia="宋体" w:cs="Times New Roman"/>
          <w:sz w:val="21"/>
          <w:szCs w:val="21"/>
          <w:vertAlign w:val="subscript"/>
        </w:rPr>
        <w:t>1</w:t>
      </w:r>
      <w:r>
        <w:rPr>
          <w:rFonts w:ascii="Times New Roman" w:eastAsia="宋体" w:cs="Times New Roman"/>
          <w:sz w:val="21"/>
          <w:szCs w:val="21"/>
        </w:rPr>
        <w:t>+</w:t>
      </w:r>
      <w:r>
        <w:rPr>
          <w:rFonts w:ascii="Cambria Math" w:hAnsi="Cambria Math" w:eastAsia="宋体" w:cs="Cambria Math"/>
          <w:sz w:val="21"/>
          <w:szCs w:val="21"/>
        </w:rPr>
        <w:t>𝑁</w:t>
      </w:r>
      <w:r>
        <w:rPr>
          <w:rFonts w:ascii="Times New Roman" w:eastAsia="宋体" w:cs="Times New Roman"/>
          <w:sz w:val="21"/>
          <w:szCs w:val="21"/>
          <w:vertAlign w:val="subscript"/>
        </w:rPr>
        <w:t>2</w:t>
      </w:r>
      <w:r>
        <w:rPr>
          <w:rFonts w:ascii="Times New Roman" w:eastAsia="宋体" w:cs="Times New Roman"/>
          <w:sz w:val="21"/>
          <w:szCs w:val="21"/>
        </w:rPr>
        <w:t>）×</w:t>
      </w:r>
      <w:r>
        <w:rPr>
          <w:rFonts w:ascii="Cambria Math" w:hAnsi="Cambria Math" w:eastAsia="宋体" w:cs="Cambria Math"/>
          <w:sz w:val="21"/>
          <w:szCs w:val="21"/>
        </w:rPr>
        <w:t>𝐹</w:t>
      </w:r>
      <w:r>
        <w:rPr>
          <w:rFonts w:ascii="Times New Roman" w:eastAsia="宋体" w:cs="Times New Roman"/>
          <w:sz w:val="21"/>
          <w:szCs w:val="21"/>
        </w:rPr>
        <w:t xml:space="preserve"> </w:t>
      </w:r>
      <w:r>
        <w:rPr>
          <w:rFonts w:hint="eastAsia" w:ascii="Times New Roman" w:eastAsia="微软雅黑" w:cs="Times New Roman"/>
          <w:sz w:val="21"/>
          <w:szCs w:val="21"/>
        </w:rPr>
        <w:t xml:space="preserve"> </w:t>
      </w:r>
      <w:r>
        <w:rPr>
          <w:rFonts w:ascii="Times New Roman" w:eastAsia="微软雅黑" w:cs="Times New Roman"/>
          <w:sz w:val="21"/>
          <w:szCs w:val="21"/>
        </w:rPr>
        <w:t>···········································</w:t>
      </w:r>
      <w:r>
        <w:rPr>
          <w:rFonts w:ascii="Times New Roman" w:eastAsia="宋体" w:cs="Times New Roman"/>
          <w:sz w:val="21"/>
          <w:szCs w:val="21"/>
        </w:rPr>
        <w:t>(1)</w:t>
      </w:r>
    </w:p>
    <w:p w14:paraId="371EF1A1">
      <w:pPr>
        <w:pStyle w:val="132"/>
        <w:numPr>
          <w:ilvl w:val="0"/>
          <w:numId w:val="17"/>
        </w:numPr>
        <w:rPr>
          <w:rFonts w:ascii="Times New Roman" w:eastAsia="宋体" w:cs="Times New Roman"/>
          <w:sz w:val="21"/>
          <w:szCs w:val="21"/>
        </w:rPr>
      </w:pPr>
      <w:r>
        <w:rPr>
          <w:rFonts w:ascii="Times New Roman" w:eastAsia="宋体" w:cs="Times New Roman"/>
          <w:sz w:val="21"/>
          <w:szCs w:val="21"/>
        </w:rPr>
        <w:t xml:space="preserve">式中： </w:t>
      </w:r>
    </w:p>
    <w:p w14:paraId="2CCA3720">
      <w:pPr>
        <w:pStyle w:val="132"/>
        <w:numPr>
          <w:ilvl w:val="0"/>
          <w:numId w:val="17"/>
        </w:numPr>
        <w:rPr>
          <w:rFonts w:ascii="Times New Roman" w:eastAsia="宋体" w:cs="Times New Roman"/>
          <w:sz w:val="21"/>
          <w:szCs w:val="21"/>
        </w:rPr>
      </w:pPr>
      <w:r>
        <w:rPr>
          <w:rFonts w:ascii="Times New Roman" w:eastAsia="宋体" w:cs="Times New Roman"/>
          <w:sz w:val="21"/>
          <w:szCs w:val="21"/>
        </w:rPr>
        <w:t>C——回收菌落总数，单位为CFU/</w:t>
      </w:r>
      <w:r>
        <w:rPr>
          <w:rFonts w:hint="eastAsia" w:ascii="Times New Roman" w:eastAsia="宋体" w:cs="Times New Roman"/>
          <w:sz w:val="21"/>
          <w:szCs w:val="21"/>
        </w:rPr>
        <w:t>mL</w:t>
      </w:r>
      <w:r>
        <w:rPr>
          <w:rFonts w:ascii="Times New Roman" w:eastAsia="宋体" w:cs="Times New Roman"/>
          <w:sz w:val="21"/>
          <w:szCs w:val="21"/>
        </w:rPr>
        <w:t>；</w:t>
      </w:r>
    </w:p>
    <w:p w14:paraId="33FD214C">
      <w:pPr>
        <w:pStyle w:val="132"/>
        <w:numPr>
          <w:ilvl w:val="0"/>
          <w:numId w:val="17"/>
        </w:numPr>
        <w:rPr>
          <w:rFonts w:ascii="Times New Roman" w:eastAsia="宋体" w:cs="Times New Roman"/>
          <w:sz w:val="21"/>
          <w:szCs w:val="21"/>
        </w:rPr>
      </w:pPr>
      <w:r>
        <w:rPr>
          <w:rFonts w:ascii="Times New Roman" w:eastAsia="宋体" w:cs="Times New Roman"/>
          <w:sz w:val="21"/>
          <w:szCs w:val="21"/>
        </w:rPr>
        <w:t>N</w:t>
      </w:r>
      <w:r>
        <w:rPr>
          <w:rFonts w:hint="eastAsia" w:ascii="Times New Roman" w:eastAsia="宋体" w:cs="Times New Roman"/>
          <w:sz w:val="21"/>
          <w:szCs w:val="21"/>
          <w:vertAlign w:val="subscript"/>
        </w:rPr>
        <w:t>1</w:t>
      </w:r>
      <w:r>
        <w:rPr>
          <w:rFonts w:ascii="Times New Roman" w:eastAsia="宋体" w:cs="Times New Roman"/>
          <w:sz w:val="21"/>
          <w:szCs w:val="21"/>
        </w:rPr>
        <w:t>——</w:t>
      </w:r>
      <w:r>
        <w:rPr>
          <w:rFonts w:hint="eastAsia" w:ascii="Times New Roman" w:eastAsia="宋体" w:cs="Times New Roman"/>
          <w:sz w:val="21"/>
          <w:szCs w:val="21"/>
        </w:rPr>
        <w:t>平皿1</w:t>
      </w:r>
      <w:r>
        <w:rPr>
          <w:rFonts w:ascii="Times New Roman" w:eastAsia="宋体" w:cs="Times New Roman"/>
          <w:sz w:val="21"/>
          <w:szCs w:val="21"/>
        </w:rPr>
        <w:t>上点数到的菌落数量，单位为CFU</w:t>
      </w:r>
      <w:r>
        <w:rPr>
          <w:rFonts w:hint="eastAsia" w:ascii="Times New Roman" w:eastAsia="宋体" w:cs="Times New Roman"/>
          <w:sz w:val="21"/>
          <w:szCs w:val="21"/>
        </w:rPr>
        <w:t>；</w:t>
      </w:r>
    </w:p>
    <w:p w14:paraId="6774F8A5">
      <w:pPr>
        <w:pStyle w:val="132"/>
        <w:numPr>
          <w:ilvl w:val="0"/>
          <w:numId w:val="17"/>
        </w:numPr>
        <w:rPr>
          <w:rFonts w:ascii="Times New Roman" w:eastAsia="宋体" w:cs="Times New Roman"/>
          <w:sz w:val="21"/>
          <w:szCs w:val="21"/>
        </w:rPr>
      </w:pPr>
      <w:r>
        <w:rPr>
          <w:rFonts w:hint="eastAsia" w:ascii="Times New Roman" w:eastAsia="宋体" w:cs="Times New Roman"/>
          <w:sz w:val="21"/>
          <w:szCs w:val="21"/>
        </w:rPr>
        <w:t>N</w:t>
      </w:r>
      <w:r>
        <w:rPr>
          <w:rFonts w:hint="eastAsia" w:ascii="Times New Roman" w:eastAsia="宋体" w:cs="Times New Roman"/>
          <w:sz w:val="21"/>
          <w:szCs w:val="21"/>
          <w:vertAlign w:val="subscript"/>
        </w:rPr>
        <w:t>2</w:t>
      </w:r>
      <w:r>
        <w:rPr>
          <w:rFonts w:ascii="Times New Roman" w:eastAsia="宋体" w:cs="Times New Roman"/>
          <w:sz w:val="21"/>
          <w:szCs w:val="21"/>
        </w:rPr>
        <w:t>——</w:t>
      </w:r>
      <w:r>
        <w:rPr>
          <w:rFonts w:hint="eastAsia" w:ascii="Times New Roman" w:eastAsia="宋体" w:cs="Times New Roman"/>
          <w:sz w:val="21"/>
          <w:szCs w:val="21"/>
        </w:rPr>
        <w:t>平</w:t>
      </w:r>
      <w:r>
        <w:rPr>
          <w:rFonts w:ascii="Times New Roman" w:eastAsia="宋体" w:cs="Times New Roman"/>
          <w:sz w:val="21"/>
          <w:szCs w:val="21"/>
        </w:rPr>
        <w:t>皿</w:t>
      </w:r>
      <w:r>
        <w:rPr>
          <w:rFonts w:hint="eastAsia" w:ascii="Times New Roman" w:eastAsia="宋体" w:cs="Times New Roman"/>
          <w:sz w:val="21"/>
          <w:szCs w:val="21"/>
        </w:rPr>
        <w:t>2上</w:t>
      </w:r>
      <w:r>
        <w:rPr>
          <w:rFonts w:ascii="Times New Roman" w:eastAsia="宋体" w:cs="Times New Roman"/>
          <w:sz w:val="21"/>
          <w:szCs w:val="21"/>
        </w:rPr>
        <w:t>点数到的菌落数量，单位为CFU</w:t>
      </w:r>
      <w:r>
        <w:rPr>
          <w:rFonts w:hint="eastAsia" w:ascii="Times New Roman" w:eastAsia="宋体" w:cs="Times New Roman"/>
          <w:sz w:val="21"/>
          <w:szCs w:val="21"/>
        </w:rPr>
        <w:t>；</w:t>
      </w:r>
    </w:p>
    <w:p w14:paraId="7DCE66D0">
      <w:pPr>
        <w:pStyle w:val="132"/>
        <w:numPr>
          <w:ilvl w:val="0"/>
          <w:numId w:val="17"/>
        </w:numPr>
        <w:rPr>
          <w:rFonts w:ascii="Times New Roman" w:eastAsia="宋体" w:cs="Times New Roman"/>
          <w:sz w:val="21"/>
          <w:szCs w:val="21"/>
        </w:rPr>
      </w:pPr>
      <w:r>
        <w:rPr>
          <w:rFonts w:ascii="Times New Roman" w:eastAsia="宋体" w:cs="Times New Roman"/>
          <w:sz w:val="21"/>
          <w:szCs w:val="21"/>
        </w:rPr>
        <w:t>F——稀释倍数;</w:t>
      </w:r>
    </w:p>
    <w:p w14:paraId="5E243777">
      <w:pPr>
        <w:pStyle w:val="61"/>
        <w:autoSpaceDE w:val="0"/>
        <w:autoSpaceDN w:val="0"/>
        <w:adjustRightInd w:val="0"/>
        <w:spacing w:after="32"/>
        <w:rPr>
          <w:rFonts w:eastAsia="宋体"/>
          <w:color w:val="000000"/>
          <w:szCs w:val="21"/>
        </w:rPr>
      </w:pPr>
      <w:r>
        <w:rPr>
          <w:rFonts w:eastAsia="宋体"/>
          <w:color w:val="000000"/>
          <w:szCs w:val="21"/>
        </w:rPr>
        <w:t>分别计算三次重复试验的对照组及试验组的回收菌落总数，并转化为对数值</w:t>
      </w:r>
      <w:r>
        <w:rPr>
          <w:rFonts w:hint="eastAsia" w:eastAsia="宋体"/>
          <w:color w:val="000000"/>
          <w:szCs w:val="21"/>
        </w:rPr>
        <w:t>，用于统计学分析。</w:t>
      </w:r>
    </w:p>
    <w:p w14:paraId="242979F2">
      <w:pPr>
        <w:pStyle w:val="61"/>
        <w:autoSpaceDE w:val="0"/>
        <w:autoSpaceDN w:val="0"/>
        <w:adjustRightInd w:val="0"/>
        <w:spacing w:after="32"/>
        <w:rPr>
          <w:rFonts w:eastAsia="宋体"/>
          <w:color w:val="000000"/>
          <w:szCs w:val="21"/>
        </w:rPr>
      </w:pPr>
      <w:r>
        <w:rPr>
          <w:rFonts w:eastAsia="宋体"/>
          <w:color w:val="000000"/>
          <w:szCs w:val="21"/>
        </w:rPr>
        <w:t>对</w:t>
      </w:r>
      <w:r>
        <w:rPr>
          <w:rFonts w:hint="eastAsia" w:eastAsia="宋体"/>
          <w:color w:val="000000"/>
          <w:szCs w:val="21"/>
        </w:rPr>
        <w:t>三次重复试验获得的</w:t>
      </w:r>
      <w:r>
        <w:rPr>
          <w:rFonts w:eastAsia="宋体"/>
          <w:color w:val="000000"/>
          <w:szCs w:val="21"/>
        </w:rPr>
        <w:t>试验组及对照组样品回收菌落数对数值进行统计学检</w:t>
      </w:r>
      <w:r>
        <w:rPr>
          <w:rFonts w:eastAsia="宋体"/>
          <w:szCs w:val="21"/>
        </w:rPr>
        <w:t>验</w:t>
      </w:r>
      <w:r>
        <w:rPr>
          <w:rFonts w:hint="eastAsia" w:eastAsia="宋体"/>
          <w:szCs w:val="21"/>
        </w:rPr>
        <w:t>（</w:t>
      </w:r>
      <w:r>
        <w:rPr>
          <w:rFonts w:hint="eastAsia" w:eastAsia="宋体"/>
          <w:i/>
          <w:szCs w:val="21"/>
        </w:rPr>
        <w:t>P</w:t>
      </w:r>
      <w:r>
        <w:rPr>
          <w:rFonts w:eastAsia="宋体"/>
          <w:szCs w:val="21"/>
        </w:rPr>
        <w:t>&lt;0.05</w:t>
      </w:r>
      <w:r>
        <w:rPr>
          <w:rFonts w:hint="eastAsia" w:eastAsia="宋体"/>
          <w:szCs w:val="21"/>
        </w:rPr>
        <w:t>，</w:t>
      </w:r>
      <w:r>
        <w:rPr>
          <w:rFonts w:eastAsia="宋体"/>
          <w:szCs w:val="21"/>
        </w:rPr>
        <w:t>采用</w:t>
      </w:r>
      <w:r>
        <w:rPr>
          <w:rFonts w:hint="eastAsia" w:eastAsia="宋体"/>
          <w:szCs w:val="21"/>
        </w:rPr>
        <w:t>t</w:t>
      </w:r>
      <w:r>
        <w:rPr>
          <w:rFonts w:eastAsia="宋体"/>
          <w:szCs w:val="21"/>
        </w:rPr>
        <w:t>检验</w:t>
      </w:r>
      <w:r>
        <w:rPr>
          <w:rFonts w:hint="eastAsia" w:eastAsia="宋体"/>
          <w:szCs w:val="21"/>
        </w:rPr>
        <w:t>）。</w:t>
      </w:r>
    </w:p>
    <w:p w14:paraId="3F952A85">
      <w:pPr>
        <w:pStyle w:val="125"/>
        <w:numPr>
          <w:ilvl w:val="1"/>
          <w:numId w:val="1"/>
        </w:numPr>
        <w:spacing w:before="312" w:after="312"/>
        <w:rPr>
          <w:rFonts w:ascii="Times New Roman"/>
        </w:rPr>
      </w:pPr>
      <w:r>
        <w:rPr>
          <w:rFonts w:hint="eastAsia" w:ascii="Times New Roman"/>
        </w:rPr>
        <w:t>试验结论</w:t>
      </w:r>
    </w:p>
    <w:p w14:paraId="0A227298">
      <w:pPr>
        <w:widowControl/>
        <w:autoSpaceDE w:val="0"/>
        <w:autoSpaceDN w:val="0"/>
        <w:adjustRightInd w:val="0"/>
        <w:spacing w:after="32"/>
        <w:ind w:firstLine="420" w:firstLineChars="200"/>
        <w:jc w:val="left"/>
        <w:rPr>
          <w:color w:val="000000"/>
          <w:kern w:val="0"/>
          <w:szCs w:val="21"/>
        </w:rPr>
      </w:pPr>
      <w:r>
        <w:rPr>
          <w:rFonts w:hint="eastAsia"/>
          <w:color w:val="000000"/>
          <w:kern w:val="0"/>
          <w:szCs w:val="21"/>
        </w:rPr>
        <w:t>在试验有效性成立的前提下，</w:t>
      </w:r>
      <w:r>
        <w:rPr>
          <w:color w:val="000000"/>
          <w:kern w:val="0"/>
          <w:szCs w:val="21"/>
        </w:rPr>
        <w:t>试验组平均菌落数小于对照组菌落数（对数差值</w:t>
      </w:r>
      <w:r>
        <w:rPr>
          <w:rFonts w:asciiTheme="minorEastAsia" w:hAnsiTheme="minorEastAsia" w:eastAsiaTheme="minorEastAsia"/>
          <w:color w:val="000000"/>
          <w:kern w:val="0"/>
          <w:szCs w:val="21"/>
        </w:rPr>
        <w:t>≥</w:t>
      </w:r>
      <w:r>
        <w:rPr>
          <w:color w:val="000000"/>
          <w:kern w:val="0"/>
          <w:szCs w:val="21"/>
        </w:rPr>
        <w:t>0.3），且</w:t>
      </w:r>
      <w:r>
        <w:rPr>
          <w:rFonts w:hint="eastAsia"/>
          <w:color w:val="000000"/>
          <w:kern w:val="0"/>
          <w:szCs w:val="21"/>
        </w:rPr>
        <w:t>试验</w:t>
      </w:r>
      <w:r>
        <w:rPr>
          <w:color w:val="000000"/>
          <w:kern w:val="0"/>
          <w:szCs w:val="21"/>
        </w:rPr>
        <w:t>组与</w:t>
      </w:r>
      <w:r>
        <w:rPr>
          <w:rFonts w:hint="eastAsia"/>
          <w:color w:val="000000"/>
          <w:kern w:val="0"/>
          <w:szCs w:val="21"/>
        </w:rPr>
        <w:t>对照</w:t>
      </w:r>
      <w:r>
        <w:rPr>
          <w:color w:val="000000"/>
          <w:kern w:val="0"/>
          <w:szCs w:val="21"/>
        </w:rPr>
        <w:t>组结果有统计学显著差异</w:t>
      </w:r>
      <w:r>
        <w:rPr>
          <w:rFonts w:hint="eastAsia"/>
          <w:color w:val="000000"/>
          <w:kern w:val="0"/>
          <w:szCs w:val="21"/>
        </w:rPr>
        <w:t>，则认为测试产品有去屑功效，否则认为测试产品无去屑功效。</w:t>
      </w:r>
    </w:p>
    <w:p w14:paraId="6FB0708F">
      <w:pPr>
        <w:pStyle w:val="125"/>
        <w:numPr>
          <w:ilvl w:val="1"/>
          <w:numId w:val="1"/>
        </w:numPr>
        <w:spacing w:before="312" w:after="312"/>
        <w:rPr>
          <w:rFonts w:ascii="Times New Roman"/>
        </w:rPr>
      </w:pPr>
      <w:r>
        <w:rPr>
          <w:rFonts w:hint="eastAsia" w:ascii="Times New Roman"/>
        </w:rPr>
        <w:t>试验报告</w:t>
      </w:r>
    </w:p>
    <w:p w14:paraId="32B0037C">
      <w:pPr>
        <w:pStyle w:val="57"/>
        <w:ind w:firstLine="420"/>
        <w:rPr>
          <w:szCs w:val="21"/>
        </w:rPr>
      </w:pPr>
      <w:r>
        <w:rPr>
          <w:rFonts w:hint="eastAsia"/>
          <w:szCs w:val="21"/>
        </w:rPr>
        <w:t>试验报告一般应当包括以下内容：</w:t>
      </w:r>
    </w:p>
    <w:p w14:paraId="696A9F95">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委托企业（包括注册人、备案人或境内责任人等）名称、地址等相关信息；</w:t>
      </w:r>
    </w:p>
    <w:p w14:paraId="6C1E420B">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功效评价机构名称、地址等相关信息；</w:t>
      </w:r>
    </w:p>
    <w:p w14:paraId="448F6987">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受试物相关信息；</w:t>
      </w:r>
    </w:p>
    <w:p w14:paraId="5330E589">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试验项目和方法依据；</w:t>
      </w:r>
    </w:p>
    <w:p w14:paraId="5BBCD1C4">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试验的开始与完成日期；</w:t>
      </w:r>
    </w:p>
    <w:p w14:paraId="379465B8">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材料和方法；</w:t>
      </w:r>
    </w:p>
    <w:p w14:paraId="0758F220">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试验结果；</w:t>
      </w:r>
    </w:p>
    <w:p w14:paraId="5FB04510">
      <w:pPr>
        <w:pStyle w:val="117"/>
        <w:widowControl/>
        <w:numPr>
          <w:ilvl w:val="0"/>
          <w:numId w:val="18"/>
        </w:numPr>
        <w:autoSpaceDE w:val="0"/>
        <w:autoSpaceDN w:val="0"/>
        <w:adjustRightInd w:val="0"/>
        <w:ind w:firstLineChars="0"/>
        <w:jc w:val="left"/>
        <w:rPr>
          <w:rFonts w:ascii="宋体"/>
          <w:kern w:val="0"/>
          <w:szCs w:val="21"/>
        </w:rPr>
      </w:pPr>
      <w:r>
        <w:rPr>
          <w:rFonts w:hint="eastAsia"/>
          <w:szCs w:val="21"/>
        </w:rPr>
        <w:t>试验中的异常现象（如有）；</w:t>
      </w:r>
    </w:p>
    <w:p w14:paraId="71EEDC78">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讨论（如有必要的情况）；</w:t>
      </w:r>
    </w:p>
    <w:p w14:paraId="2A6505A2">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试验结论；</w:t>
      </w:r>
    </w:p>
    <w:p w14:paraId="2DF78782">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报告的日期；</w:t>
      </w:r>
    </w:p>
    <w:p w14:paraId="42BBC990">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检验人、校核人和技术负责人/主要研究者签字；</w:t>
      </w:r>
    </w:p>
    <w:p w14:paraId="3902BCCE">
      <w:pPr>
        <w:pStyle w:val="117"/>
        <w:widowControl/>
        <w:numPr>
          <w:ilvl w:val="0"/>
          <w:numId w:val="18"/>
        </w:numPr>
        <w:autoSpaceDE w:val="0"/>
        <w:autoSpaceDN w:val="0"/>
        <w:adjustRightInd w:val="0"/>
        <w:ind w:firstLineChars="0"/>
        <w:jc w:val="left"/>
        <w:rPr>
          <w:rFonts w:ascii="宋体"/>
          <w:kern w:val="0"/>
          <w:szCs w:val="21"/>
        </w:rPr>
      </w:pPr>
      <w:r>
        <w:rPr>
          <w:rFonts w:hint="eastAsia" w:ascii="宋体"/>
          <w:kern w:val="0"/>
          <w:szCs w:val="21"/>
        </w:rPr>
        <w:t>评价机构签章。</w:t>
      </w:r>
    </w:p>
    <w:p w14:paraId="06B3590D">
      <w:pPr>
        <w:widowControl/>
        <w:jc w:val="left"/>
        <w:rPr>
          <w:color w:val="000000"/>
          <w:kern w:val="0"/>
          <w:szCs w:val="21"/>
        </w:rPr>
      </w:pPr>
      <w:r>
        <w:rPr>
          <w:color w:val="000000"/>
          <w:kern w:val="0"/>
          <w:szCs w:val="21"/>
        </w:rPr>
        <w:br w:type="page"/>
      </w:r>
    </w:p>
    <w:p w14:paraId="03D786DF">
      <w:pPr>
        <w:pStyle w:val="91"/>
        <w:numPr>
          <w:ilvl w:val="0"/>
          <w:numId w:val="0"/>
        </w:numPr>
        <w:spacing w:before="0" w:after="0" w:line="480" w:lineRule="auto"/>
        <w:rPr>
          <w:rFonts w:ascii="Times New Roman"/>
        </w:rPr>
      </w:pPr>
      <w:r>
        <w:rPr>
          <w:rFonts w:hint="eastAsia" w:ascii="Times New Roman"/>
        </w:rPr>
        <w:t>参  考  文  献</w:t>
      </w:r>
    </w:p>
    <w:p w14:paraId="78E376E0">
      <w:pPr>
        <w:pStyle w:val="57"/>
        <w:ind w:firstLine="420"/>
        <w:rPr>
          <w:rFonts w:ascii="Times New Roman"/>
        </w:rPr>
      </w:pPr>
      <w:r>
        <w:rPr>
          <w:rFonts w:ascii="Times New Roman"/>
        </w:rPr>
        <w:t>[1]</w:t>
      </w:r>
      <w:r>
        <w:rPr>
          <w:rFonts w:hint="eastAsia" w:ascii="Times New Roman"/>
        </w:rPr>
        <w:t xml:space="preserve">  </w:t>
      </w:r>
      <w:r>
        <w:rPr>
          <w:rFonts w:ascii="Times New Roman"/>
        </w:rPr>
        <w:t>国家药监局关于发布《化妆品分类规则和分类目录》的公告（2021年第49号）</w:t>
      </w:r>
    </w:p>
    <w:p w14:paraId="1AD6B9C1">
      <w:pPr>
        <w:pStyle w:val="57"/>
        <w:ind w:firstLine="420"/>
        <w:rPr>
          <w:rFonts w:ascii="Times New Roman"/>
        </w:rPr>
      </w:pPr>
      <w:r>
        <w:rPr>
          <w:rFonts w:ascii="Times New Roman"/>
        </w:rPr>
        <w:t>[2]</w:t>
      </w:r>
      <w:r>
        <w:rPr>
          <w:rFonts w:hint="eastAsia" w:ascii="Times New Roman"/>
        </w:rPr>
        <w:t xml:space="preserve">  </w:t>
      </w:r>
      <w:r>
        <w:rPr>
          <w:rFonts w:ascii="Times New Roman"/>
        </w:rPr>
        <w:t>国家药监局关于发布《化妆品功效宣称评价规范》的公告（2021年第50号）</w:t>
      </w:r>
    </w:p>
    <w:p w14:paraId="56BC73AE">
      <w:pPr>
        <w:pStyle w:val="57"/>
        <w:ind w:firstLine="420"/>
        <w:rPr>
          <w:rFonts w:ascii="Times New Roman"/>
        </w:rPr>
      </w:pPr>
      <w:r>
        <w:rPr>
          <w:rFonts w:ascii="Times New Roman"/>
        </w:rPr>
        <w:t xml:space="preserve">[3] </w:t>
      </w:r>
      <w:r>
        <w:rPr>
          <w:rFonts w:hint="eastAsia" w:ascii="Times New Roman"/>
        </w:rPr>
        <w:t xml:space="preserve"> </w:t>
      </w:r>
      <w:r>
        <w:rPr>
          <w:rFonts w:ascii="Times New Roman"/>
        </w:rPr>
        <w:t>《化妆品安全技术规范》（2015年版）</w:t>
      </w:r>
    </w:p>
    <w:p w14:paraId="588C1351">
      <w:pPr>
        <w:pStyle w:val="57"/>
        <w:ind w:firstLine="420"/>
        <w:rPr>
          <w:rFonts w:ascii="Times New Roman"/>
        </w:rPr>
      </w:pPr>
      <w:r>
        <w:rPr>
          <w:rFonts w:hint="eastAsia" w:ascii="Times New Roman"/>
        </w:rPr>
        <w:t xml:space="preserve">[4]  </w:t>
      </w:r>
      <w:r>
        <w:rPr>
          <w:rFonts w:hint="eastAsia" w:ascii="Times New Roman"/>
          <w:szCs w:val="22"/>
        </w:rPr>
        <w:t>GB 15979-2002  一次性使用卫生用品卫生标准</w:t>
      </w:r>
    </w:p>
    <w:p w14:paraId="222E3DFA">
      <w:pPr>
        <w:pStyle w:val="57"/>
        <w:ind w:firstLine="420"/>
        <w:rPr>
          <w:rFonts w:ascii="Times New Roman"/>
        </w:rPr>
      </w:pPr>
      <w:r>
        <w:rPr>
          <w:rFonts w:ascii="Times New Roman"/>
        </w:rPr>
        <w:t>[</w:t>
      </w:r>
      <w:r>
        <w:rPr>
          <w:rFonts w:hint="eastAsia" w:ascii="Times New Roman"/>
        </w:rPr>
        <w:t>5</w:t>
      </w:r>
      <w:r>
        <w:rPr>
          <w:rFonts w:ascii="Times New Roman"/>
        </w:rPr>
        <w:t>]</w:t>
      </w:r>
      <w:r>
        <w:rPr>
          <w:rFonts w:hint="eastAsia" w:ascii="Times New Roman"/>
        </w:rPr>
        <w:t xml:space="preserve">  QB/T 2738-2023  日化产品抗菌抑菌效果的评价方法</w:t>
      </w:r>
    </w:p>
    <w:p w14:paraId="294A611E">
      <w:pPr>
        <w:pStyle w:val="57"/>
        <w:ind w:firstLine="420"/>
        <w:rPr>
          <w:rFonts w:ascii="Times New Roman"/>
        </w:rPr>
      </w:pPr>
      <w:r>
        <w:rPr>
          <w:rFonts w:ascii="Times New Roman"/>
        </w:rPr>
        <w:t>[</w:t>
      </w:r>
      <w:r>
        <w:rPr>
          <w:rFonts w:hint="eastAsia" w:ascii="Times New Roman"/>
        </w:rPr>
        <w:t>6</w:t>
      </w:r>
      <w:r>
        <w:rPr>
          <w:rFonts w:ascii="Times New Roman"/>
        </w:rPr>
        <w:t xml:space="preserve">] </w:t>
      </w:r>
      <w:r>
        <w:rPr>
          <w:rFonts w:hint="eastAsia" w:ascii="Times New Roman"/>
        </w:rPr>
        <w:t xml:space="preserve"> </w:t>
      </w:r>
      <w:r>
        <w:rPr>
          <w:rFonts w:ascii="Times New Roman"/>
        </w:rPr>
        <w:t>Robert A, Bacon,Haruko, Mizoguchi,James R, Schwartz,Assessing therapeutic effectiveness of scalp treatments for dandruff and seborrheic dermatitis, part 1: a reliable and relevant method based on the adherent scalp flaking score (ASFS).[J] .J Dermatolog Treat, 2012, 25: 0.</w:t>
      </w:r>
    </w:p>
    <w:p w14:paraId="1C5345AD">
      <w:pPr>
        <w:pStyle w:val="57"/>
        <w:ind w:firstLine="420"/>
        <w:rPr>
          <w:rFonts w:ascii="Times New Roman"/>
        </w:rPr>
      </w:pPr>
      <w:r>
        <w:rPr>
          <w:rFonts w:ascii="Times New Roman"/>
        </w:rPr>
        <w:t>[</w:t>
      </w:r>
      <w:r>
        <w:rPr>
          <w:rFonts w:hint="eastAsia" w:ascii="Times New Roman"/>
        </w:rPr>
        <w:t>7</w:t>
      </w:r>
      <w:r>
        <w:rPr>
          <w:rFonts w:ascii="Times New Roman"/>
        </w:rPr>
        <w:t xml:space="preserve">] </w:t>
      </w:r>
      <w:r>
        <w:rPr>
          <w:rFonts w:hint="eastAsia" w:ascii="Times New Roman"/>
        </w:rPr>
        <w:t xml:space="preserve"> </w:t>
      </w:r>
      <w:r>
        <w:rPr>
          <w:rFonts w:ascii="Times New Roman"/>
        </w:rPr>
        <w:t>Yuanyuan, Diao,Jane R, Matheson,Yingying, Pi et al. Comparison of whole-head and split-head design for the clinical evaluation of anti-dandruff shampoo efficacy.[J] .Int J Cosmet Sci, 2021, 43: 0.</w:t>
      </w:r>
    </w:p>
    <w:p w14:paraId="1EFCB083">
      <w:pPr>
        <w:pStyle w:val="57"/>
        <w:ind w:firstLine="420"/>
        <w:rPr>
          <w:rFonts w:ascii="Times New Roman"/>
        </w:rPr>
      </w:pPr>
      <w:r>
        <w:rPr>
          <w:rFonts w:ascii="Times New Roman"/>
        </w:rPr>
        <w:t>[</w:t>
      </w:r>
      <w:r>
        <w:rPr>
          <w:rFonts w:hint="eastAsia" w:ascii="Times New Roman"/>
        </w:rPr>
        <w:t>8</w:t>
      </w:r>
      <w:r>
        <w:rPr>
          <w:rFonts w:ascii="Times New Roman"/>
        </w:rPr>
        <w:t>]</w:t>
      </w:r>
      <w:r>
        <w:rPr>
          <w:rFonts w:hint="eastAsia" w:ascii="Times New Roman"/>
        </w:rPr>
        <w:t xml:space="preserve">  </w:t>
      </w:r>
      <w:r>
        <w:rPr>
          <w:rFonts w:ascii="Times New Roman"/>
        </w:rPr>
        <w:t>Harding C , Moore A , Rogers J ,et al.Dandruff: a condition characterized by decreased levels of intercellular lipids in scalp stratum corneum and impaired barrier function.[J].Archives of Dermatological Research, 2002, 294(5):221-230.</w:t>
      </w:r>
    </w:p>
    <w:p w14:paraId="55218C91">
      <w:pPr>
        <w:pStyle w:val="57"/>
        <w:ind w:firstLine="420"/>
        <w:rPr>
          <w:rFonts w:ascii="Times New Roman"/>
        </w:rPr>
      </w:pPr>
      <w:r>
        <w:rPr>
          <w:rFonts w:ascii="Times New Roman"/>
        </w:rPr>
        <w:t>[</w:t>
      </w:r>
      <w:r>
        <w:rPr>
          <w:rFonts w:hint="eastAsia" w:ascii="Times New Roman"/>
        </w:rPr>
        <w:t>9</w:t>
      </w:r>
      <w:r>
        <w:rPr>
          <w:rFonts w:ascii="Times New Roman"/>
        </w:rPr>
        <w:t>]</w:t>
      </w:r>
      <w:r>
        <w:rPr>
          <w:rFonts w:hint="eastAsia" w:ascii="Times New Roman"/>
        </w:rPr>
        <w:t xml:space="preserve">  </w:t>
      </w:r>
      <w:r>
        <w:rPr>
          <w:rFonts w:ascii="Times New Roman"/>
        </w:rPr>
        <w:t>刘唯一</w:t>
      </w:r>
      <w:r>
        <w:rPr>
          <w:rFonts w:hint="eastAsia" w:ascii="Times New Roman"/>
        </w:rPr>
        <w:t>,</w:t>
      </w:r>
      <w:r>
        <w:rPr>
          <w:rFonts w:ascii="Times New Roman"/>
        </w:rPr>
        <w:t>周琳</w:t>
      </w:r>
      <w:r>
        <w:rPr>
          <w:rFonts w:hint="eastAsia" w:ascii="Times New Roman"/>
        </w:rPr>
        <w:t>,</w:t>
      </w:r>
      <w:r>
        <w:rPr>
          <w:rFonts w:ascii="Times New Roman"/>
        </w:rPr>
        <w:t>赵华</w:t>
      </w:r>
      <w:r>
        <w:rPr>
          <w:rFonts w:hint="eastAsia" w:ascii="Times New Roman"/>
        </w:rPr>
        <w:t>.</w:t>
      </w:r>
      <w:r>
        <w:rPr>
          <w:rFonts w:ascii="Times New Roman"/>
        </w:rPr>
        <w:t>化妆品功效评价(</w:t>
      </w:r>
      <w:r>
        <w:rPr>
          <w:rFonts w:hint="eastAsia" w:hAnsi="宋体" w:cs="宋体"/>
        </w:rPr>
        <w:t>ⅩⅢ</w:t>
      </w:r>
      <w:r>
        <w:rPr>
          <w:rFonts w:ascii="Times New Roman"/>
        </w:rPr>
        <w:t>)--消费者使用测试[J]. 日用化学工业, 2021,51(6):6.</w:t>
      </w:r>
    </w:p>
    <w:p w14:paraId="7ADEC5DD">
      <w:pPr>
        <w:pStyle w:val="57"/>
        <w:ind w:firstLine="0" w:firstLineChars="0"/>
        <w:rPr>
          <w:rFonts w:ascii="Times New Roman"/>
        </w:rPr>
      </w:pPr>
    </w:p>
    <w:p w14:paraId="247B54C2">
      <w:pPr>
        <w:framePr w:w="3105" w:hSpace="181" w:vSpace="181" w:wrap="around" w:vAnchor="text" w:hAnchor="page" w:x="4395" w:y="1"/>
        <w:jc w:val="center"/>
        <w:rPr>
          <w:kern w:val="0"/>
          <w:szCs w:val="20"/>
        </w:rPr>
      </w:pPr>
      <w:r>
        <w:t>________________________</w:t>
      </w:r>
    </w:p>
    <w:p w14:paraId="5834AABD">
      <w:pPr>
        <w:pStyle w:val="57"/>
        <w:spacing w:line="360" w:lineRule="auto"/>
        <w:ind w:firstLine="0" w:firstLineChars="0"/>
        <w:rPr>
          <w:rFonts w:ascii="Times New Roman"/>
        </w:rPr>
      </w:pPr>
    </w:p>
    <w:sectPr>
      <w:pgSz w:w="11907" w:h="16839"/>
      <w:pgMar w:top="1418" w:right="1134" w:bottom="851"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1697">
    <w:pPr>
      <w:pStyle w:val="114"/>
      <w:rPr>
        <w:rStyle w:val="34"/>
      </w:rPr>
    </w:pPr>
    <w:r>
      <w:fldChar w:fldCharType="begin"/>
    </w:r>
    <w:r>
      <w:rPr>
        <w:rStyle w:val="34"/>
      </w:rPr>
      <w:instrText xml:space="preserve">PAGE  </w:instrText>
    </w:r>
    <w:r>
      <w:fldChar w:fldCharType="separate"/>
    </w:r>
    <w:r>
      <w:rPr>
        <w:rStyle w:val="34"/>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D40F">
    <w:pPr>
      <w:pStyle w:val="102"/>
      <w:rPr>
        <w:rStyle w:val="34"/>
        <w:rFonts w:ascii="宋体" w:hAnsi="宋体" w:cs="宋体"/>
      </w:rPr>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ascii="宋体" w:hAnsi="宋体" w:cs="宋体"/>
      </w:rPr>
      <w:t>4</w:t>
    </w:r>
    <w:r>
      <w:rPr>
        <w:rFonts w:hint="eastAsia" w:ascii="宋体" w:hAnsi="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C3D0">
    <w:pPr>
      <w:pStyle w:val="114"/>
      <w:rPr>
        <w:rStyle w:val="34"/>
      </w:rPr>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ascii="宋体" w:hAnsi="宋体" w:cs="宋体"/>
      </w:rPr>
      <w:t>3</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2808">
    <w:pPr>
      <w:pStyle w:val="71"/>
    </w:pPr>
    <w:r>
      <w:t>SN/T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CB97">
    <w:pPr>
      <w:pStyle w:val="115"/>
      <w:rPr>
        <w:rFonts w:ascii="黑体" w:hAnsi="黑体" w:eastAsia="黑体" w:cs="黑体"/>
      </w:rPr>
    </w:pPr>
    <w:r>
      <w:rPr>
        <w:rFonts w:hint="eastAsia" w:ascii="黑体" w:hAnsi="黑体" w:eastAsia="黑体" w:cs="黑体"/>
      </w:rPr>
      <w:t>T/CAFFCI XX—2024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4C80">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760F">
    <w:pPr>
      <w:pStyle w:val="71"/>
      <w:rPr>
        <w:rFonts w:ascii="黑体" w:hAnsi="黑体" w:eastAsia="黑体"/>
      </w:rPr>
    </w:pPr>
    <w:r>
      <w:rPr>
        <w:rFonts w:ascii="黑体" w:hAnsi="黑体" w:eastAsia="黑体"/>
      </w:rPr>
      <w:t xml:space="preserve">T/CAFFCI </w:t>
    </w:r>
    <w:r>
      <w:rPr>
        <w:rFonts w:hint="eastAsia" w:ascii="黑体" w:hAnsi="黑体" w:eastAsia="黑体"/>
      </w:rPr>
      <w:t>XX</w:t>
    </w:r>
    <w:r>
      <w:rPr>
        <w:rFonts w:ascii="黑体" w:hAnsi="黑体" w:eastAsia="黑体"/>
      </w:rPr>
      <w:t>—20</w:t>
    </w:r>
    <w:r>
      <w:rPr>
        <w:rFonts w:hint="eastAsia" w:ascii="黑体" w:hAnsi="黑体" w:eastAsia="黑体"/>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71A99"/>
    <w:multiLevelType w:val="multilevel"/>
    <w:tmpl w:val="FFB71A99"/>
    <w:lvl w:ilvl="0" w:tentative="0">
      <w:start w:val="1"/>
      <w:numFmt w:val="lowerLetter"/>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0AE367E9"/>
    <w:multiLevelType w:val="multilevel"/>
    <w:tmpl w:val="0AE367E9"/>
    <w:lvl w:ilvl="0" w:tentative="0">
      <w:start w:val="1"/>
      <w:numFmt w:val="none"/>
      <w:pStyle w:val="8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2B777B"/>
    <w:multiLevelType w:val="multilevel"/>
    <w:tmpl w:val="2D2B777B"/>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46806F7D"/>
    <w:multiLevelType w:val="multilevel"/>
    <w:tmpl w:val="46806F7D"/>
    <w:lvl w:ilvl="0" w:tentative="0">
      <w:start w:val="1"/>
      <w:numFmt w:val="none"/>
      <w:pStyle w:val="9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7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8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11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8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55875B89"/>
    <w:multiLevelType w:val="multilevel"/>
    <w:tmpl w:val="55875B89"/>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560F56FC"/>
    <w:multiLevelType w:val="multilevel"/>
    <w:tmpl w:val="560F56FC"/>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6350366A"/>
    <w:multiLevelType w:val="multilevel"/>
    <w:tmpl w:val="6350366A"/>
    <w:lvl w:ilvl="0" w:tentative="0">
      <w:start w:val="1"/>
      <w:numFmt w:val="none"/>
      <w:pStyle w:val="80"/>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46260FA"/>
    <w:multiLevelType w:val="multilevel"/>
    <w:tmpl w:val="646260FA"/>
    <w:lvl w:ilvl="0" w:tentative="0">
      <w:start w:val="1"/>
      <w:numFmt w:val="decimal"/>
      <w:pStyle w:val="10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7B71441"/>
    <w:multiLevelType w:val="multilevel"/>
    <w:tmpl w:val="67B71441"/>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pStyle w:val="90"/>
      <w:suff w:val="nothing"/>
      <w:lvlText w:val="%1%2　"/>
      <w:lvlJc w:val="left"/>
      <w:pPr>
        <w:ind w:left="0" w:firstLine="0"/>
      </w:pPr>
      <w:rPr>
        <w:rFonts w:hint="eastAsia" w:ascii="黑体" w:hAnsi="Times New Roman" w:eastAsia="黑体"/>
        <w:b w:val="0"/>
        <w:i w:val="0"/>
        <w:sz w:val="21"/>
      </w:rPr>
    </w:lvl>
    <w:lvl w:ilvl="2" w:tentative="0">
      <w:start w:val="1"/>
      <w:numFmt w:val="decimal"/>
      <w:pStyle w:val="56"/>
      <w:suff w:val="nothing"/>
      <w:lvlText w:val="%1%2.%3　"/>
      <w:lvlJc w:val="left"/>
      <w:pPr>
        <w:ind w:left="568"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993" w:firstLine="0"/>
      </w:pPr>
      <w:rPr>
        <w:rFonts w:hint="eastAsia" w:asciiTheme="minorEastAsia" w:hAnsiTheme="minorEastAsia" w:eastAsiaTheme="minorEastAsia"/>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BF04F4"/>
    <w:multiLevelType w:val="multilevel"/>
    <w:tmpl w:val="6DBF04F4"/>
    <w:lvl w:ilvl="0" w:tentative="0">
      <w:start w:val="1"/>
      <w:numFmt w:val="none"/>
      <w:pStyle w:val="11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28D6751"/>
    <w:multiLevelType w:val="multilevel"/>
    <w:tmpl w:val="728D6751"/>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2"/>
  </w:num>
  <w:num w:numId="3">
    <w:abstractNumId w:val="4"/>
  </w:num>
  <w:num w:numId="4">
    <w:abstractNumId w:val="10"/>
  </w:num>
  <w:num w:numId="5">
    <w:abstractNumId w:val="7"/>
  </w:num>
  <w:num w:numId="6">
    <w:abstractNumId w:val="5"/>
  </w:num>
  <w:num w:numId="7">
    <w:abstractNumId w:val="17"/>
  </w:num>
  <w:num w:numId="8">
    <w:abstractNumId w:val="1"/>
  </w:num>
  <w:num w:numId="9">
    <w:abstractNumId w:val="3"/>
  </w:num>
  <w:num w:numId="10">
    <w:abstractNumId w:val="11"/>
  </w:num>
  <w:num w:numId="11">
    <w:abstractNumId w:val="6"/>
  </w:num>
  <w:num w:numId="12">
    <w:abstractNumId w:val="15"/>
  </w:num>
  <w:num w:numId="13">
    <w:abstractNumId w:val="2"/>
  </w:num>
  <w:num w:numId="14">
    <w:abstractNumId w:val="9"/>
  </w:num>
  <w:num w:numId="15">
    <w:abstractNumId w:val="13"/>
  </w:num>
  <w:num w:numId="16">
    <w:abstractNumId w:val="16"/>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WNkMDQ4YTc3MWUyNjlhOGM5NGJhMTViZGQwYWYifQ=="/>
  </w:docVars>
  <w:rsids>
    <w:rsidRoot w:val="00493CE6"/>
    <w:rsid w:val="0000299B"/>
    <w:rsid w:val="000075E8"/>
    <w:rsid w:val="0000779D"/>
    <w:rsid w:val="0001664D"/>
    <w:rsid w:val="00016BB0"/>
    <w:rsid w:val="000212BD"/>
    <w:rsid w:val="0002161E"/>
    <w:rsid w:val="00021980"/>
    <w:rsid w:val="000235F6"/>
    <w:rsid w:val="00036D65"/>
    <w:rsid w:val="00043468"/>
    <w:rsid w:val="000441D6"/>
    <w:rsid w:val="000453AE"/>
    <w:rsid w:val="0005160C"/>
    <w:rsid w:val="00053FF8"/>
    <w:rsid w:val="00063C87"/>
    <w:rsid w:val="00070E10"/>
    <w:rsid w:val="00071E86"/>
    <w:rsid w:val="000734E5"/>
    <w:rsid w:val="000748B1"/>
    <w:rsid w:val="00077063"/>
    <w:rsid w:val="0007795E"/>
    <w:rsid w:val="00082025"/>
    <w:rsid w:val="00083189"/>
    <w:rsid w:val="000918E5"/>
    <w:rsid w:val="00091A63"/>
    <w:rsid w:val="00092191"/>
    <w:rsid w:val="00097D6A"/>
    <w:rsid w:val="000A37A1"/>
    <w:rsid w:val="000A485E"/>
    <w:rsid w:val="000A4F82"/>
    <w:rsid w:val="000A4F85"/>
    <w:rsid w:val="000A7BB9"/>
    <w:rsid w:val="000B5569"/>
    <w:rsid w:val="000C0117"/>
    <w:rsid w:val="000C07F3"/>
    <w:rsid w:val="000C0A04"/>
    <w:rsid w:val="000C0D66"/>
    <w:rsid w:val="000C1DC0"/>
    <w:rsid w:val="000C2397"/>
    <w:rsid w:val="000C2609"/>
    <w:rsid w:val="000C4D12"/>
    <w:rsid w:val="000C5A16"/>
    <w:rsid w:val="000C6906"/>
    <w:rsid w:val="000C6C2E"/>
    <w:rsid w:val="000C7385"/>
    <w:rsid w:val="000D0AB9"/>
    <w:rsid w:val="000D25C6"/>
    <w:rsid w:val="000E4180"/>
    <w:rsid w:val="000E4FC3"/>
    <w:rsid w:val="000E58B2"/>
    <w:rsid w:val="000E79EA"/>
    <w:rsid w:val="000F0121"/>
    <w:rsid w:val="000F2388"/>
    <w:rsid w:val="000F4A10"/>
    <w:rsid w:val="000F66FF"/>
    <w:rsid w:val="0010144B"/>
    <w:rsid w:val="00102971"/>
    <w:rsid w:val="00103205"/>
    <w:rsid w:val="00106477"/>
    <w:rsid w:val="001070D1"/>
    <w:rsid w:val="00116870"/>
    <w:rsid w:val="001201EE"/>
    <w:rsid w:val="00123E93"/>
    <w:rsid w:val="00126829"/>
    <w:rsid w:val="001278D2"/>
    <w:rsid w:val="00130CB0"/>
    <w:rsid w:val="001316EB"/>
    <w:rsid w:val="0013555C"/>
    <w:rsid w:val="001357E1"/>
    <w:rsid w:val="0014064F"/>
    <w:rsid w:val="001426EF"/>
    <w:rsid w:val="001432C1"/>
    <w:rsid w:val="001441B3"/>
    <w:rsid w:val="0014558D"/>
    <w:rsid w:val="0014684E"/>
    <w:rsid w:val="001468FC"/>
    <w:rsid w:val="0015044D"/>
    <w:rsid w:val="001560AE"/>
    <w:rsid w:val="00156526"/>
    <w:rsid w:val="00165481"/>
    <w:rsid w:val="00167A5F"/>
    <w:rsid w:val="001716E3"/>
    <w:rsid w:val="00172E16"/>
    <w:rsid w:val="0017587B"/>
    <w:rsid w:val="001931D9"/>
    <w:rsid w:val="00193233"/>
    <w:rsid w:val="001937BE"/>
    <w:rsid w:val="001949E1"/>
    <w:rsid w:val="00195117"/>
    <w:rsid w:val="00195506"/>
    <w:rsid w:val="001973D5"/>
    <w:rsid w:val="001A5CFA"/>
    <w:rsid w:val="001A6E59"/>
    <w:rsid w:val="001B093B"/>
    <w:rsid w:val="001B0DE6"/>
    <w:rsid w:val="001B1350"/>
    <w:rsid w:val="001B147A"/>
    <w:rsid w:val="001B73EE"/>
    <w:rsid w:val="001C1FD6"/>
    <w:rsid w:val="001C2A64"/>
    <w:rsid w:val="001C3E63"/>
    <w:rsid w:val="001C4B79"/>
    <w:rsid w:val="001C6325"/>
    <w:rsid w:val="001D2EFD"/>
    <w:rsid w:val="001D3A33"/>
    <w:rsid w:val="001D7733"/>
    <w:rsid w:val="001E2E40"/>
    <w:rsid w:val="001E36BC"/>
    <w:rsid w:val="001E74DE"/>
    <w:rsid w:val="001E759E"/>
    <w:rsid w:val="001F2755"/>
    <w:rsid w:val="001F3556"/>
    <w:rsid w:val="001F4E7A"/>
    <w:rsid w:val="001F72E7"/>
    <w:rsid w:val="001F7311"/>
    <w:rsid w:val="002014C4"/>
    <w:rsid w:val="002034E2"/>
    <w:rsid w:val="00204C53"/>
    <w:rsid w:val="002054BB"/>
    <w:rsid w:val="00205FD3"/>
    <w:rsid w:val="00207874"/>
    <w:rsid w:val="002110D8"/>
    <w:rsid w:val="002120BE"/>
    <w:rsid w:val="00212873"/>
    <w:rsid w:val="002130D8"/>
    <w:rsid w:val="002170E8"/>
    <w:rsid w:val="002208B7"/>
    <w:rsid w:val="00220C09"/>
    <w:rsid w:val="0022319B"/>
    <w:rsid w:val="0022716B"/>
    <w:rsid w:val="00227C5E"/>
    <w:rsid w:val="00233214"/>
    <w:rsid w:val="00240BCD"/>
    <w:rsid w:val="00241A1D"/>
    <w:rsid w:val="002439D8"/>
    <w:rsid w:val="00243D89"/>
    <w:rsid w:val="00251E52"/>
    <w:rsid w:val="00256C6A"/>
    <w:rsid w:val="00263343"/>
    <w:rsid w:val="0026383B"/>
    <w:rsid w:val="00266D3D"/>
    <w:rsid w:val="00267EBE"/>
    <w:rsid w:val="00271987"/>
    <w:rsid w:val="00274E24"/>
    <w:rsid w:val="00277B3A"/>
    <w:rsid w:val="00280BD6"/>
    <w:rsid w:val="00284D5F"/>
    <w:rsid w:val="00285DE0"/>
    <w:rsid w:val="00292F94"/>
    <w:rsid w:val="0029359F"/>
    <w:rsid w:val="002940DC"/>
    <w:rsid w:val="00294D75"/>
    <w:rsid w:val="00295D5E"/>
    <w:rsid w:val="002A1D89"/>
    <w:rsid w:val="002A49C4"/>
    <w:rsid w:val="002A4E22"/>
    <w:rsid w:val="002B3E21"/>
    <w:rsid w:val="002B461B"/>
    <w:rsid w:val="002B4EEE"/>
    <w:rsid w:val="002B670E"/>
    <w:rsid w:val="002C509C"/>
    <w:rsid w:val="002C7AA8"/>
    <w:rsid w:val="002D3849"/>
    <w:rsid w:val="002D3ADA"/>
    <w:rsid w:val="002D3B17"/>
    <w:rsid w:val="002D3B9D"/>
    <w:rsid w:val="002D5B9D"/>
    <w:rsid w:val="002D6CB1"/>
    <w:rsid w:val="002E1A27"/>
    <w:rsid w:val="002E2C50"/>
    <w:rsid w:val="002E369A"/>
    <w:rsid w:val="00300650"/>
    <w:rsid w:val="00301BA8"/>
    <w:rsid w:val="00301E51"/>
    <w:rsid w:val="0030201D"/>
    <w:rsid w:val="00303511"/>
    <w:rsid w:val="003076AA"/>
    <w:rsid w:val="00313A56"/>
    <w:rsid w:val="00315A9B"/>
    <w:rsid w:val="00316EC8"/>
    <w:rsid w:val="00317184"/>
    <w:rsid w:val="003172BD"/>
    <w:rsid w:val="00317E3A"/>
    <w:rsid w:val="003203A8"/>
    <w:rsid w:val="003230D8"/>
    <w:rsid w:val="00325AE1"/>
    <w:rsid w:val="003317C1"/>
    <w:rsid w:val="0033274D"/>
    <w:rsid w:val="003328A4"/>
    <w:rsid w:val="003341BB"/>
    <w:rsid w:val="00336853"/>
    <w:rsid w:val="00337389"/>
    <w:rsid w:val="003409C4"/>
    <w:rsid w:val="0034123F"/>
    <w:rsid w:val="00342F19"/>
    <w:rsid w:val="00345D5B"/>
    <w:rsid w:val="00351313"/>
    <w:rsid w:val="003530EA"/>
    <w:rsid w:val="00354B72"/>
    <w:rsid w:val="00357101"/>
    <w:rsid w:val="00357CB8"/>
    <w:rsid w:val="00362543"/>
    <w:rsid w:val="0036360A"/>
    <w:rsid w:val="00363A5F"/>
    <w:rsid w:val="003644F3"/>
    <w:rsid w:val="00373DE5"/>
    <w:rsid w:val="003741BD"/>
    <w:rsid w:val="003756C9"/>
    <w:rsid w:val="00380362"/>
    <w:rsid w:val="00383DD1"/>
    <w:rsid w:val="0038535B"/>
    <w:rsid w:val="00385527"/>
    <w:rsid w:val="0039011A"/>
    <w:rsid w:val="00390F63"/>
    <w:rsid w:val="003957B0"/>
    <w:rsid w:val="003973E3"/>
    <w:rsid w:val="003A1CE4"/>
    <w:rsid w:val="003A5F2C"/>
    <w:rsid w:val="003A7DCC"/>
    <w:rsid w:val="003B4638"/>
    <w:rsid w:val="003B53EA"/>
    <w:rsid w:val="003B5C26"/>
    <w:rsid w:val="003B6E0E"/>
    <w:rsid w:val="003C0844"/>
    <w:rsid w:val="003C2423"/>
    <w:rsid w:val="003C256D"/>
    <w:rsid w:val="003C5727"/>
    <w:rsid w:val="003C6670"/>
    <w:rsid w:val="003D3D2E"/>
    <w:rsid w:val="003D68A1"/>
    <w:rsid w:val="003D73D3"/>
    <w:rsid w:val="003D7AC2"/>
    <w:rsid w:val="003E0F27"/>
    <w:rsid w:val="003E2429"/>
    <w:rsid w:val="003E3EA4"/>
    <w:rsid w:val="003E420D"/>
    <w:rsid w:val="003F6B19"/>
    <w:rsid w:val="003F7194"/>
    <w:rsid w:val="00401985"/>
    <w:rsid w:val="00403E1E"/>
    <w:rsid w:val="00405CC0"/>
    <w:rsid w:val="00413578"/>
    <w:rsid w:val="004201C9"/>
    <w:rsid w:val="0042188C"/>
    <w:rsid w:val="0042427D"/>
    <w:rsid w:val="0042459F"/>
    <w:rsid w:val="00427A30"/>
    <w:rsid w:val="004304E0"/>
    <w:rsid w:val="0043356D"/>
    <w:rsid w:val="00435220"/>
    <w:rsid w:val="004361AD"/>
    <w:rsid w:val="00441ACF"/>
    <w:rsid w:val="00442CFD"/>
    <w:rsid w:val="00443234"/>
    <w:rsid w:val="004453AB"/>
    <w:rsid w:val="00445A73"/>
    <w:rsid w:val="00447A74"/>
    <w:rsid w:val="00451E8D"/>
    <w:rsid w:val="004534C7"/>
    <w:rsid w:val="00453C03"/>
    <w:rsid w:val="00462EA8"/>
    <w:rsid w:val="00466F7C"/>
    <w:rsid w:val="004707FD"/>
    <w:rsid w:val="00471430"/>
    <w:rsid w:val="00474F2A"/>
    <w:rsid w:val="00484A63"/>
    <w:rsid w:val="004911B6"/>
    <w:rsid w:val="004918D4"/>
    <w:rsid w:val="00491DD6"/>
    <w:rsid w:val="004934F5"/>
    <w:rsid w:val="00493CE6"/>
    <w:rsid w:val="004949E2"/>
    <w:rsid w:val="004953AD"/>
    <w:rsid w:val="00496A1F"/>
    <w:rsid w:val="004A074C"/>
    <w:rsid w:val="004A1CA7"/>
    <w:rsid w:val="004A3A03"/>
    <w:rsid w:val="004A43AD"/>
    <w:rsid w:val="004A5147"/>
    <w:rsid w:val="004A7B50"/>
    <w:rsid w:val="004B02CF"/>
    <w:rsid w:val="004B19D2"/>
    <w:rsid w:val="004B29D8"/>
    <w:rsid w:val="004B4624"/>
    <w:rsid w:val="004B501A"/>
    <w:rsid w:val="004C2EF2"/>
    <w:rsid w:val="004C389F"/>
    <w:rsid w:val="004D1013"/>
    <w:rsid w:val="004D178C"/>
    <w:rsid w:val="004D3B16"/>
    <w:rsid w:val="004D6BAB"/>
    <w:rsid w:val="004E0C00"/>
    <w:rsid w:val="004E375E"/>
    <w:rsid w:val="004F3097"/>
    <w:rsid w:val="004F4083"/>
    <w:rsid w:val="004F45B1"/>
    <w:rsid w:val="004F4EA9"/>
    <w:rsid w:val="004F5609"/>
    <w:rsid w:val="004F7CC0"/>
    <w:rsid w:val="004F7CF1"/>
    <w:rsid w:val="00500D70"/>
    <w:rsid w:val="0050111A"/>
    <w:rsid w:val="00501C53"/>
    <w:rsid w:val="00502E84"/>
    <w:rsid w:val="005032DA"/>
    <w:rsid w:val="0050344F"/>
    <w:rsid w:val="00503C4D"/>
    <w:rsid w:val="0050472A"/>
    <w:rsid w:val="005047EA"/>
    <w:rsid w:val="00507425"/>
    <w:rsid w:val="00507840"/>
    <w:rsid w:val="00510B59"/>
    <w:rsid w:val="005115EC"/>
    <w:rsid w:val="00513E39"/>
    <w:rsid w:val="00514C29"/>
    <w:rsid w:val="005159EE"/>
    <w:rsid w:val="0052056A"/>
    <w:rsid w:val="00521A73"/>
    <w:rsid w:val="00523241"/>
    <w:rsid w:val="005232E3"/>
    <w:rsid w:val="00526FF4"/>
    <w:rsid w:val="00531A21"/>
    <w:rsid w:val="00534AA6"/>
    <w:rsid w:val="005441D1"/>
    <w:rsid w:val="00546139"/>
    <w:rsid w:val="0054618F"/>
    <w:rsid w:val="00546F58"/>
    <w:rsid w:val="0055081E"/>
    <w:rsid w:val="0055152E"/>
    <w:rsid w:val="0055278C"/>
    <w:rsid w:val="00553145"/>
    <w:rsid w:val="00557775"/>
    <w:rsid w:val="00561DEF"/>
    <w:rsid w:val="00563DE3"/>
    <w:rsid w:val="00567F1F"/>
    <w:rsid w:val="00570B6B"/>
    <w:rsid w:val="005713A8"/>
    <w:rsid w:val="00574580"/>
    <w:rsid w:val="005749D4"/>
    <w:rsid w:val="00574B6A"/>
    <w:rsid w:val="00582F57"/>
    <w:rsid w:val="005830BA"/>
    <w:rsid w:val="0059165F"/>
    <w:rsid w:val="005920D0"/>
    <w:rsid w:val="005937FD"/>
    <w:rsid w:val="005939A2"/>
    <w:rsid w:val="0059423F"/>
    <w:rsid w:val="005963F0"/>
    <w:rsid w:val="00597798"/>
    <w:rsid w:val="005A05F9"/>
    <w:rsid w:val="005A169C"/>
    <w:rsid w:val="005A3262"/>
    <w:rsid w:val="005A3DEB"/>
    <w:rsid w:val="005A3DF9"/>
    <w:rsid w:val="005A4247"/>
    <w:rsid w:val="005A6FE8"/>
    <w:rsid w:val="005B0066"/>
    <w:rsid w:val="005B14CE"/>
    <w:rsid w:val="005B2EB0"/>
    <w:rsid w:val="005B2F3D"/>
    <w:rsid w:val="005B4085"/>
    <w:rsid w:val="005B73F6"/>
    <w:rsid w:val="005B7BC6"/>
    <w:rsid w:val="005B7EFD"/>
    <w:rsid w:val="005C05CF"/>
    <w:rsid w:val="005C58D1"/>
    <w:rsid w:val="005C72F5"/>
    <w:rsid w:val="005D20E8"/>
    <w:rsid w:val="005D381F"/>
    <w:rsid w:val="005D4223"/>
    <w:rsid w:val="005D591B"/>
    <w:rsid w:val="005D5C86"/>
    <w:rsid w:val="005D6C4E"/>
    <w:rsid w:val="005D74D2"/>
    <w:rsid w:val="005E2482"/>
    <w:rsid w:val="005E29E3"/>
    <w:rsid w:val="005E3309"/>
    <w:rsid w:val="005E3D2D"/>
    <w:rsid w:val="005E5516"/>
    <w:rsid w:val="005E5E08"/>
    <w:rsid w:val="005F00AB"/>
    <w:rsid w:val="005F0756"/>
    <w:rsid w:val="005F10B4"/>
    <w:rsid w:val="005F2D94"/>
    <w:rsid w:val="005F602D"/>
    <w:rsid w:val="005F6953"/>
    <w:rsid w:val="00603987"/>
    <w:rsid w:val="0060426A"/>
    <w:rsid w:val="00615BEC"/>
    <w:rsid w:val="00616468"/>
    <w:rsid w:val="00627545"/>
    <w:rsid w:val="00627FD0"/>
    <w:rsid w:val="00632E9F"/>
    <w:rsid w:val="00635846"/>
    <w:rsid w:val="00647F94"/>
    <w:rsid w:val="006501D8"/>
    <w:rsid w:val="00651A4A"/>
    <w:rsid w:val="006554CD"/>
    <w:rsid w:val="00656D0B"/>
    <w:rsid w:val="00656D41"/>
    <w:rsid w:val="006603D1"/>
    <w:rsid w:val="006607C5"/>
    <w:rsid w:val="00661F2F"/>
    <w:rsid w:val="00671022"/>
    <w:rsid w:val="006736B2"/>
    <w:rsid w:val="00675DA6"/>
    <w:rsid w:val="00675EFE"/>
    <w:rsid w:val="0067762A"/>
    <w:rsid w:val="0067772C"/>
    <w:rsid w:val="006813DB"/>
    <w:rsid w:val="006827C7"/>
    <w:rsid w:val="006849B6"/>
    <w:rsid w:val="00684B1A"/>
    <w:rsid w:val="00684D3C"/>
    <w:rsid w:val="00686EF3"/>
    <w:rsid w:val="00693B60"/>
    <w:rsid w:val="00694E9D"/>
    <w:rsid w:val="00695C58"/>
    <w:rsid w:val="006A2B0B"/>
    <w:rsid w:val="006B28C1"/>
    <w:rsid w:val="006C03CC"/>
    <w:rsid w:val="006C2A17"/>
    <w:rsid w:val="006D0027"/>
    <w:rsid w:val="006D2047"/>
    <w:rsid w:val="006D32FE"/>
    <w:rsid w:val="006D451C"/>
    <w:rsid w:val="006E0537"/>
    <w:rsid w:val="006E17C9"/>
    <w:rsid w:val="006E28E3"/>
    <w:rsid w:val="006E48AF"/>
    <w:rsid w:val="006E5F87"/>
    <w:rsid w:val="006F12D9"/>
    <w:rsid w:val="006F1550"/>
    <w:rsid w:val="007019C3"/>
    <w:rsid w:val="00702434"/>
    <w:rsid w:val="00705980"/>
    <w:rsid w:val="0070657B"/>
    <w:rsid w:val="0071054B"/>
    <w:rsid w:val="00710747"/>
    <w:rsid w:val="007133DA"/>
    <w:rsid w:val="00713F9F"/>
    <w:rsid w:val="0071597B"/>
    <w:rsid w:val="007170A4"/>
    <w:rsid w:val="00720E19"/>
    <w:rsid w:val="007238D5"/>
    <w:rsid w:val="00726CE0"/>
    <w:rsid w:val="00726F13"/>
    <w:rsid w:val="00736CAF"/>
    <w:rsid w:val="00743A5A"/>
    <w:rsid w:val="0074437B"/>
    <w:rsid w:val="00747BF7"/>
    <w:rsid w:val="00750180"/>
    <w:rsid w:val="00750720"/>
    <w:rsid w:val="007559CC"/>
    <w:rsid w:val="007579E8"/>
    <w:rsid w:val="0076033D"/>
    <w:rsid w:val="00764B8E"/>
    <w:rsid w:val="00764E59"/>
    <w:rsid w:val="0076583A"/>
    <w:rsid w:val="0076608D"/>
    <w:rsid w:val="00766535"/>
    <w:rsid w:val="00770D3D"/>
    <w:rsid w:val="00771DE2"/>
    <w:rsid w:val="00772A01"/>
    <w:rsid w:val="00781399"/>
    <w:rsid w:val="00781811"/>
    <w:rsid w:val="00784081"/>
    <w:rsid w:val="00784A9F"/>
    <w:rsid w:val="00791A6F"/>
    <w:rsid w:val="0079296D"/>
    <w:rsid w:val="00795825"/>
    <w:rsid w:val="00797029"/>
    <w:rsid w:val="00797848"/>
    <w:rsid w:val="00797936"/>
    <w:rsid w:val="007A15F5"/>
    <w:rsid w:val="007A310D"/>
    <w:rsid w:val="007A5CD6"/>
    <w:rsid w:val="007B16AC"/>
    <w:rsid w:val="007B216B"/>
    <w:rsid w:val="007B3D28"/>
    <w:rsid w:val="007B3E86"/>
    <w:rsid w:val="007B562C"/>
    <w:rsid w:val="007C0E7E"/>
    <w:rsid w:val="007C2151"/>
    <w:rsid w:val="007C3786"/>
    <w:rsid w:val="007C58B3"/>
    <w:rsid w:val="007C65A7"/>
    <w:rsid w:val="007E291C"/>
    <w:rsid w:val="007E3CED"/>
    <w:rsid w:val="007E4474"/>
    <w:rsid w:val="007E4D78"/>
    <w:rsid w:val="007E5B2E"/>
    <w:rsid w:val="007E6E13"/>
    <w:rsid w:val="007E73E8"/>
    <w:rsid w:val="007F0052"/>
    <w:rsid w:val="007F3033"/>
    <w:rsid w:val="0080390B"/>
    <w:rsid w:val="00803C47"/>
    <w:rsid w:val="00805B43"/>
    <w:rsid w:val="008073A5"/>
    <w:rsid w:val="008076E7"/>
    <w:rsid w:val="00811B63"/>
    <w:rsid w:val="00811E6F"/>
    <w:rsid w:val="0081485B"/>
    <w:rsid w:val="00815009"/>
    <w:rsid w:val="00822202"/>
    <w:rsid w:val="00826E46"/>
    <w:rsid w:val="0082770D"/>
    <w:rsid w:val="00830BF5"/>
    <w:rsid w:val="008323D9"/>
    <w:rsid w:val="00834EE4"/>
    <w:rsid w:val="00835025"/>
    <w:rsid w:val="008359AA"/>
    <w:rsid w:val="00835C7A"/>
    <w:rsid w:val="00841AB1"/>
    <w:rsid w:val="0084535C"/>
    <w:rsid w:val="008459BA"/>
    <w:rsid w:val="00850061"/>
    <w:rsid w:val="00850DBC"/>
    <w:rsid w:val="00852B99"/>
    <w:rsid w:val="00854C74"/>
    <w:rsid w:val="008555CA"/>
    <w:rsid w:val="00856584"/>
    <w:rsid w:val="00863E82"/>
    <w:rsid w:val="008672F6"/>
    <w:rsid w:val="008674BC"/>
    <w:rsid w:val="00870033"/>
    <w:rsid w:val="00870B89"/>
    <w:rsid w:val="00871A0C"/>
    <w:rsid w:val="00873A6A"/>
    <w:rsid w:val="008821F0"/>
    <w:rsid w:val="00890F13"/>
    <w:rsid w:val="008919F3"/>
    <w:rsid w:val="008949D5"/>
    <w:rsid w:val="008951D8"/>
    <w:rsid w:val="00895DA3"/>
    <w:rsid w:val="008A033B"/>
    <w:rsid w:val="008A15E8"/>
    <w:rsid w:val="008A3AE5"/>
    <w:rsid w:val="008A43E6"/>
    <w:rsid w:val="008A4A41"/>
    <w:rsid w:val="008A7C44"/>
    <w:rsid w:val="008B18C7"/>
    <w:rsid w:val="008C1542"/>
    <w:rsid w:val="008C3EA6"/>
    <w:rsid w:val="008C6FDE"/>
    <w:rsid w:val="008D1E5E"/>
    <w:rsid w:val="008D2EDE"/>
    <w:rsid w:val="008E1383"/>
    <w:rsid w:val="008E2EF8"/>
    <w:rsid w:val="008E3844"/>
    <w:rsid w:val="008E522D"/>
    <w:rsid w:val="008F31EF"/>
    <w:rsid w:val="008F3661"/>
    <w:rsid w:val="008F3D10"/>
    <w:rsid w:val="008F4583"/>
    <w:rsid w:val="008F7319"/>
    <w:rsid w:val="009040C8"/>
    <w:rsid w:val="009059F6"/>
    <w:rsid w:val="00905E97"/>
    <w:rsid w:val="00906DF1"/>
    <w:rsid w:val="009112EC"/>
    <w:rsid w:val="00914B26"/>
    <w:rsid w:val="00915F7D"/>
    <w:rsid w:val="00921793"/>
    <w:rsid w:val="009259C8"/>
    <w:rsid w:val="00932652"/>
    <w:rsid w:val="009334BB"/>
    <w:rsid w:val="0093493E"/>
    <w:rsid w:val="00935F46"/>
    <w:rsid w:val="00937DF4"/>
    <w:rsid w:val="00940445"/>
    <w:rsid w:val="0094130A"/>
    <w:rsid w:val="00941B65"/>
    <w:rsid w:val="00951ECD"/>
    <w:rsid w:val="00951F09"/>
    <w:rsid w:val="00952C07"/>
    <w:rsid w:val="009537D8"/>
    <w:rsid w:val="0095582C"/>
    <w:rsid w:val="009558F3"/>
    <w:rsid w:val="00966BE9"/>
    <w:rsid w:val="00975096"/>
    <w:rsid w:val="00975B70"/>
    <w:rsid w:val="00976609"/>
    <w:rsid w:val="009814BF"/>
    <w:rsid w:val="00984DD4"/>
    <w:rsid w:val="009966CB"/>
    <w:rsid w:val="009A038F"/>
    <w:rsid w:val="009A05D8"/>
    <w:rsid w:val="009A36FE"/>
    <w:rsid w:val="009A4788"/>
    <w:rsid w:val="009A7A4F"/>
    <w:rsid w:val="009B0803"/>
    <w:rsid w:val="009B09FD"/>
    <w:rsid w:val="009B1F13"/>
    <w:rsid w:val="009B280E"/>
    <w:rsid w:val="009B4836"/>
    <w:rsid w:val="009B7F43"/>
    <w:rsid w:val="009C1E81"/>
    <w:rsid w:val="009C206A"/>
    <w:rsid w:val="009C3615"/>
    <w:rsid w:val="009C3A32"/>
    <w:rsid w:val="009C411C"/>
    <w:rsid w:val="009D1558"/>
    <w:rsid w:val="009D2817"/>
    <w:rsid w:val="009E3B3E"/>
    <w:rsid w:val="009E79E6"/>
    <w:rsid w:val="009F1448"/>
    <w:rsid w:val="009F44F0"/>
    <w:rsid w:val="00A04AB0"/>
    <w:rsid w:val="00A121FD"/>
    <w:rsid w:val="00A12F67"/>
    <w:rsid w:val="00A13EB4"/>
    <w:rsid w:val="00A15652"/>
    <w:rsid w:val="00A2125A"/>
    <w:rsid w:val="00A2176D"/>
    <w:rsid w:val="00A22984"/>
    <w:rsid w:val="00A2690A"/>
    <w:rsid w:val="00A2737E"/>
    <w:rsid w:val="00A27B9A"/>
    <w:rsid w:val="00A3519F"/>
    <w:rsid w:val="00A35BF3"/>
    <w:rsid w:val="00A35EB8"/>
    <w:rsid w:val="00A404C3"/>
    <w:rsid w:val="00A42909"/>
    <w:rsid w:val="00A4399B"/>
    <w:rsid w:val="00A43A4C"/>
    <w:rsid w:val="00A45A4D"/>
    <w:rsid w:val="00A46D12"/>
    <w:rsid w:val="00A508BC"/>
    <w:rsid w:val="00A522DA"/>
    <w:rsid w:val="00A62DFB"/>
    <w:rsid w:val="00A65E84"/>
    <w:rsid w:val="00A67870"/>
    <w:rsid w:val="00A706F7"/>
    <w:rsid w:val="00A70A47"/>
    <w:rsid w:val="00A728AA"/>
    <w:rsid w:val="00A84758"/>
    <w:rsid w:val="00A86F6C"/>
    <w:rsid w:val="00A87C48"/>
    <w:rsid w:val="00A929BC"/>
    <w:rsid w:val="00AA6BF5"/>
    <w:rsid w:val="00AA6FE8"/>
    <w:rsid w:val="00AB0364"/>
    <w:rsid w:val="00AB23CA"/>
    <w:rsid w:val="00AB3A5D"/>
    <w:rsid w:val="00AB5243"/>
    <w:rsid w:val="00AC47CB"/>
    <w:rsid w:val="00AC58E8"/>
    <w:rsid w:val="00AC5DA4"/>
    <w:rsid w:val="00AC70C3"/>
    <w:rsid w:val="00AD1CD2"/>
    <w:rsid w:val="00AD68E7"/>
    <w:rsid w:val="00AE1FF2"/>
    <w:rsid w:val="00AE5593"/>
    <w:rsid w:val="00AF16CF"/>
    <w:rsid w:val="00AF3948"/>
    <w:rsid w:val="00B00757"/>
    <w:rsid w:val="00B01D18"/>
    <w:rsid w:val="00B03317"/>
    <w:rsid w:val="00B036A7"/>
    <w:rsid w:val="00B04BBA"/>
    <w:rsid w:val="00B0589D"/>
    <w:rsid w:val="00B10660"/>
    <w:rsid w:val="00B13699"/>
    <w:rsid w:val="00B255D6"/>
    <w:rsid w:val="00B26622"/>
    <w:rsid w:val="00B2704E"/>
    <w:rsid w:val="00B27AC3"/>
    <w:rsid w:val="00B27EE2"/>
    <w:rsid w:val="00B32A22"/>
    <w:rsid w:val="00B3505E"/>
    <w:rsid w:val="00B37130"/>
    <w:rsid w:val="00B37B93"/>
    <w:rsid w:val="00B42FD1"/>
    <w:rsid w:val="00B51F4E"/>
    <w:rsid w:val="00B52258"/>
    <w:rsid w:val="00B54A74"/>
    <w:rsid w:val="00B55F90"/>
    <w:rsid w:val="00B610D7"/>
    <w:rsid w:val="00B61DF4"/>
    <w:rsid w:val="00B6352D"/>
    <w:rsid w:val="00B63D09"/>
    <w:rsid w:val="00B67B5B"/>
    <w:rsid w:val="00B70F35"/>
    <w:rsid w:val="00B757CF"/>
    <w:rsid w:val="00B83346"/>
    <w:rsid w:val="00B86769"/>
    <w:rsid w:val="00B86C50"/>
    <w:rsid w:val="00B95218"/>
    <w:rsid w:val="00BA16E6"/>
    <w:rsid w:val="00BA32D8"/>
    <w:rsid w:val="00BA42C1"/>
    <w:rsid w:val="00BA4899"/>
    <w:rsid w:val="00BA5587"/>
    <w:rsid w:val="00BA5EF0"/>
    <w:rsid w:val="00BA7F4F"/>
    <w:rsid w:val="00BB0751"/>
    <w:rsid w:val="00BB600C"/>
    <w:rsid w:val="00BC088A"/>
    <w:rsid w:val="00BC4116"/>
    <w:rsid w:val="00BC5D0F"/>
    <w:rsid w:val="00BD00BB"/>
    <w:rsid w:val="00BD2148"/>
    <w:rsid w:val="00BD422C"/>
    <w:rsid w:val="00BD694F"/>
    <w:rsid w:val="00BE010E"/>
    <w:rsid w:val="00BE1EA5"/>
    <w:rsid w:val="00BE2DB1"/>
    <w:rsid w:val="00BE4B19"/>
    <w:rsid w:val="00BE708A"/>
    <w:rsid w:val="00BF01FE"/>
    <w:rsid w:val="00BF3592"/>
    <w:rsid w:val="00BF3A05"/>
    <w:rsid w:val="00BF41FA"/>
    <w:rsid w:val="00BF43C0"/>
    <w:rsid w:val="00BF4E9D"/>
    <w:rsid w:val="00BF7259"/>
    <w:rsid w:val="00C007B4"/>
    <w:rsid w:val="00C01B4C"/>
    <w:rsid w:val="00C02DAE"/>
    <w:rsid w:val="00C12E06"/>
    <w:rsid w:val="00C136B9"/>
    <w:rsid w:val="00C143F8"/>
    <w:rsid w:val="00C17DC2"/>
    <w:rsid w:val="00C22C5D"/>
    <w:rsid w:val="00C32216"/>
    <w:rsid w:val="00C3221C"/>
    <w:rsid w:val="00C35C11"/>
    <w:rsid w:val="00C37848"/>
    <w:rsid w:val="00C432CE"/>
    <w:rsid w:val="00C4369F"/>
    <w:rsid w:val="00C44014"/>
    <w:rsid w:val="00C44FBA"/>
    <w:rsid w:val="00C471D7"/>
    <w:rsid w:val="00C50741"/>
    <w:rsid w:val="00C625AF"/>
    <w:rsid w:val="00C75093"/>
    <w:rsid w:val="00C75437"/>
    <w:rsid w:val="00C83D15"/>
    <w:rsid w:val="00C84054"/>
    <w:rsid w:val="00C8779E"/>
    <w:rsid w:val="00C877C9"/>
    <w:rsid w:val="00C9389B"/>
    <w:rsid w:val="00C94796"/>
    <w:rsid w:val="00C95329"/>
    <w:rsid w:val="00C96305"/>
    <w:rsid w:val="00CA1BD9"/>
    <w:rsid w:val="00CA43B7"/>
    <w:rsid w:val="00CA4AA3"/>
    <w:rsid w:val="00CA5E25"/>
    <w:rsid w:val="00CA75AB"/>
    <w:rsid w:val="00CC3FCD"/>
    <w:rsid w:val="00CC46CC"/>
    <w:rsid w:val="00CC60EC"/>
    <w:rsid w:val="00CC6300"/>
    <w:rsid w:val="00CD3A1B"/>
    <w:rsid w:val="00CD3BA7"/>
    <w:rsid w:val="00CD4BAA"/>
    <w:rsid w:val="00CD673B"/>
    <w:rsid w:val="00CD6802"/>
    <w:rsid w:val="00CE060B"/>
    <w:rsid w:val="00CE18DF"/>
    <w:rsid w:val="00CE26DE"/>
    <w:rsid w:val="00CE580E"/>
    <w:rsid w:val="00CF0A76"/>
    <w:rsid w:val="00CF24DC"/>
    <w:rsid w:val="00CF4EA0"/>
    <w:rsid w:val="00CF5582"/>
    <w:rsid w:val="00D00B0C"/>
    <w:rsid w:val="00D02438"/>
    <w:rsid w:val="00D0377D"/>
    <w:rsid w:val="00D05EC0"/>
    <w:rsid w:val="00D10FCD"/>
    <w:rsid w:val="00D110AD"/>
    <w:rsid w:val="00D12972"/>
    <w:rsid w:val="00D14160"/>
    <w:rsid w:val="00D173AB"/>
    <w:rsid w:val="00D21016"/>
    <w:rsid w:val="00D2282B"/>
    <w:rsid w:val="00D23102"/>
    <w:rsid w:val="00D269AE"/>
    <w:rsid w:val="00D2777C"/>
    <w:rsid w:val="00D27D43"/>
    <w:rsid w:val="00D311F3"/>
    <w:rsid w:val="00D31BA6"/>
    <w:rsid w:val="00D408A9"/>
    <w:rsid w:val="00D40AAB"/>
    <w:rsid w:val="00D4216E"/>
    <w:rsid w:val="00D42DDC"/>
    <w:rsid w:val="00D463E8"/>
    <w:rsid w:val="00D51B2E"/>
    <w:rsid w:val="00D54B00"/>
    <w:rsid w:val="00D61C34"/>
    <w:rsid w:val="00D62CF3"/>
    <w:rsid w:val="00D64F79"/>
    <w:rsid w:val="00D65C42"/>
    <w:rsid w:val="00D66843"/>
    <w:rsid w:val="00D72153"/>
    <w:rsid w:val="00D72888"/>
    <w:rsid w:val="00D75B4E"/>
    <w:rsid w:val="00D76652"/>
    <w:rsid w:val="00D7791C"/>
    <w:rsid w:val="00D77A56"/>
    <w:rsid w:val="00D81F1E"/>
    <w:rsid w:val="00D8271C"/>
    <w:rsid w:val="00D83996"/>
    <w:rsid w:val="00D84194"/>
    <w:rsid w:val="00D8481D"/>
    <w:rsid w:val="00D85A19"/>
    <w:rsid w:val="00D86BAE"/>
    <w:rsid w:val="00DA13D7"/>
    <w:rsid w:val="00DA2FF6"/>
    <w:rsid w:val="00DA31FC"/>
    <w:rsid w:val="00DA7860"/>
    <w:rsid w:val="00DB0D6E"/>
    <w:rsid w:val="00DB1410"/>
    <w:rsid w:val="00DB3857"/>
    <w:rsid w:val="00DB3D03"/>
    <w:rsid w:val="00DB5AD9"/>
    <w:rsid w:val="00DC0C1D"/>
    <w:rsid w:val="00DC2236"/>
    <w:rsid w:val="00DC34AF"/>
    <w:rsid w:val="00DD0D36"/>
    <w:rsid w:val="00DD1F08"/>
    <w:rsid w:val="00DD4EFD"/>
    <w:rsid w:val="00DE110F"/>
    <w:rsid w:val="00DE19BF"/>
    <w:rsid w:val="00DE4F86"/>
    <w:rsid w:val="00DF2DA3"/>
    <w:rsid w:val="00DF4DF5"/>
    <w:rsid w:val="00E0133A"/>
    <w:rsid w:val="00E017DD"/>
    <w:rsid w:val="00E01F3E"/>
    <w:rsid w:val="00E03762"/>
    <w:rsid w:val="00E03E1E"/>
    <w:rsid w:val="00E0661F"/>
    <w:rsid w:val="00E066C9"/>
    <w:rsid w:val="00E07BA9"/>
    <w:rsid w:val="00E125B7"/>
    <w:rsid w:val="00E1401D"/>
    <w:rsid w:val="00E149DC"/>
    <w:rsid w:val="00E16996"/>
    <w:rsid w:val="00E16F82"/>
    <w:rsid w:val="00E2228F"/>
    <w:rsid w:val="00E240F0"/>
    <w:rsid w:val="00E24F1F"/>
    <w:rsid w:val="00E30CB9"/>
    <w:rsid w:val="00E3221C"/>
    <w:rsid w:val="00E3226A"/>
    <w:rsid w:val="00E323FE"/>
    <w:rsid w:val="00E35056"/>
    <w:rsid w:val="00E36FF5"/>
    <w:rsid w:val="00E43DBB"/>
    <w:rsid w:val="00E451F5"/>
    <w:rsid w:val="00E4524B"/>
    <w:rsid w:val="00E458A4"/>
    <w:rsid w:val="00E512A7"/>
    <w:rsid w:val="00E52C82"/>
    <w:rsid w:val="00E539CA"/>
    <w:rsid w:val="00E55EB8"/>
    <w:rsid w:val="00E60BED"/>
    <w:rsid w:val="00E66FBD"/>
    <w:rsid w:val="00E67C87"/>
    <w:rsid w:val="00E71B27"/>
    <w:rsid w:val="00E721B4"/>
    <w:rsid w:val="00E7351E"/>
    <w:rsid w:val="00E76EDC"/>
    <w:rsid w:val="00E77A40"/>
    <w:rsid w:val="00E81631"/>
    <w:rsid w:val="00E85D4C"/>
    <w:rsid w:val="00E862ED"/>
    <w:rsid w:val="00E90E12"/>
    <w:rsid w:val="00E923E5"/>
    <w:rsid w:val="00E92EA0"/>
    <w:rsid w:val="00E933EB"/>
    <w:rsid w:val="00E97E5B"/>
    <w:rsid w:val="00EA2124"/>
    <w:rsid w:val="00EA51A7"/>
    <w:rsid w:val="00EA6FEB"/>
    <w:rsid w:val="00EB3454"/>
    <w:rsid w:val="00EB41F0"/>
    <w:rsid w:val="00EB612D"/>
    <w:rsid w:val="00EC2595"/>
    <w:rsid w:val="00EC6A98"/>
    <w:rsid w:val="00EC788F"/>
    <w:rsid w:val="00ED1466"/>
    <w:rsid w:val="00ED3389"/>
    <w:rsid w:val="00ED514E"/>
    <w:rsid w:val="00ED59F5"/>
    <w:rsid w:val="00ED7725"/>
    <w:rsid w:val="00EE1966"/>
    <w:rsid w:val="00EE2AA3"/>
    <w:rsid w:val="00EE3150"/>
    <w:rsid w:val="00EE36A1"/>
    <w:rsid w:val="00EE4EA8"/>
    <w:rsid w:val="00F030B3"/>
    <w:rsid w:val="00F06D98"/>
    <w:rsid w:val="00F104EA"/>
    <w:rsid w:val="00F10B62"/>
    <w:rsid w:val="00F11011"/>
    <w:rsid w:val="00F11740"/>
    <w:rsid w:val="00F14FFC"/>
    <w:rsid w:val="00F15887"/>
    <w:rsid w:val="00F167B6"/>
    <w:rsid w:val="00F16EC7"/>
    <w:rsid w:val="00F179C9"/>
    <w:rsid w:val="00F20C34"/>
    <w:rsid w:val="00F21226"/>
    <w:rsid w:val="00F21682"/>
    <w:rsid w:val="00F22C98"/>
    <w:rsid w:val="00F22D95"/>
    <w:rsid w:val="00F27E73"/>
    <w:rsid w:val="00F3051E"/>
    <w:rsid w:val="00F31DA3"/>
    <w:rsid w:val="00F332F2"/>
    <w:rsid w:val="00F34F02"/>
    <w:rsid w:val="00F35DEE"/>
    <w:rsid w:val="00F36F0B"/>
    <w:rsid w:val="00F41894"/>
    <w:rsid w:val="00F420FE"/>
    <w:rsid w:val="00F423C8"/>
    <w:rsid w:val="00F43D25"/>
    <w:rsid w:val="00F50B12"/>
    <w:rsid w:val="00F53F5D"/>
    <w:rsid w:val="00F5440C"/>
    <w:rsid w:val="00F561F9"/>
    <w:rsid w:val="00F57743"/>
    <w:rsid w:val="00F60CBF"/>
    <w:rsid w:val="00F61CFF"/>
    <w:rsid w:val="00F62F41"/>
    <w:rsid w:val="00F6480B"/>
    <w:rsid w:val="00F65DFC"/>
    <w:rsid w:val="00F673CB"/>
    <w:rsid w:val="00F67AF6"/>
    <w:rsid w:val="00F73BCB"/>
    <w:rsid w:val="00F73F7D"/>
    <w:rsid w:val="00F74700"/>
    <w:rsid w:val="00F7665E"/>
    <w:rsid w:val="00F8037B"/>
    <w:rsid w:val="00F817A8"/>
    <w:rsid w:val="00F8270C"/>
    <w:rsid w:val="00F84236"/>
    <w:rsid w:val="00F84A5A"/>
    <w:rsid w:val="00F871C2"/>
    <w:rsid w:val="00F874FD"/>
    <w:rsid w:val="00F90553"/>
    <w:rsid w:val="00F9104E"/>
    <w:rsid w:val="00F924C6"/>
    <w:rsid w:val="00F92921"/>
    <w:rsid w:val="00F92C79"/>
    <w:rsid w:val="00F97312"/>
    <w:rsid w:val="00FA0850"/>
    <w:rsid w:val="00FA5BF5"/>
    <w:rsid w:val="00FA796B"/>
    <w:rsid w:val="00FB68EB"/>
    <w:rsid w:val="00FB6D1B"/>
    <w:rsid w:val="00FC5158"/>
    <w:rsid w:val="00FC5505"/>
    <w:rsid w:val="00FD2375"/>
    <w:rsid w:val="00FD338F"/>
    <w:rsid w:val="00FD3BFA"/>
    <w:rsid w:val="00FD3C6F"/>
    <w:rsid w:val="00FD5D7D"/>
    <w:rsid w:val="00FF1310"/>
    <w:rsid w:val="00FF39C8"/>
    <w:rsid w:val="00FF3E23"/>
    <w:rsid w:val="0B336288"/>
    <w:rsid w:val="0EF95D05"/>
    <w:rsid w:val="0F763C59"/>
    <w:rsid w:val="17B94A09"/>
    <w:rsid w:val="1BE3281F"/>
    <w:rsid w:val="22454043"/>
    <w:rsid w:val="228B4E58"/>
    <w:rsid w:val="2AED101B"/>
    <w:rsid w:val="2C07690B"/>
    <w:rsid w:val="2C0E5BED"/>
    <w:rsid w:val="31582293"/>
    <w:rsid w:val="33FA4D6D"/>
    <w:rsid w:val="38F31199"/>
    <w:rsid w:val="3AC76C6D"/>
    <w:rsid w:val="3AF259F4"/>
    <w:rsid w:val="3B225E3D"/>
    <w:rsid w:val="3B4B6BDB"/>
    <w:rsid w:val="3BFF23DA"/>
    <w:rsid w:val="3EAB2F5A"/>
    <w:rsid w:val="3EB503E4"/>
    <w:rsid w:val="45420DD2"/>
    <w:rsid w:val="46831808"/>
    <w:rsid w:val="4A9510B4"/>
    <w:rsid w:val="4ACE1F03"/>
    <w:rsid w:val="4D8D4F57"/>
    <w:rsid w:val="5167142F"/>
    <w:rsid w:val="51B51038"/>
    <w:rsid w:val="56BF3DD7"/>
    <w:rsid w:val="5806298C"/>
    <w:rsid w:val="5A042C61"/>
    <w:rsid w:val="5A3826C4"/>
    <w:rsid w:val="5E43065F"/>
    <w:rsid w:val="5EC263C7"/>
    <w:rsid w:val="60B7314B"/>
    <w:rsid w:val="60BA67A8"/>
    <w:rsid w:val="619F2ECD"/>
    <w:rsid w:val="63F04600"/>
    <w:rsid w:val="64CB5063"/>
    <w:rsid w:val="668B4A14"/>
    <w:rsid w:val="67EF41B4"/>
    <w:rsid w:val="6A88025F"/>
    <w:rsid w:val="6ACC1525"/>
    <w:rsid w:val="6AFC512E"/>
    <w:rsid w:val="72D10B85"/>
    <w:rsid w:val="74563B13"/>
    <w:rsid w:val="74B726CA"/>
    <w:rsid w:val="75504822"/>
    <w:rsid w:val="75B571E8"/>
    <w:rsid w:val="76642813"/>
    <w:rsid w:val="7B90654B"/>
    <w:rsid w:val="7BE24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46"/>
    <w:qFormat/>
    <w:uiPriority w:val="0"/>
    <w:pPr>
      <w:jc w:val="left"/>
    </w:pPr>
    <w:rPr>
      <w:rFonts w:ascii="Calibri" w:hAnsi="Calibri"/>
    </w:rPr>
  </w:style>
  <w:style w:type="paragraph" w:styleId="19">
    <w:name w:val="Body Text"/>
    <w:basedOn w:val="1"/>
    <w:link w:val="47"/>
    <w:qFormat/>
    <w:uiPriority w:val="99"/>
    <w:pPr>
      <w:tabs>
        <w:tab w:val="left" w:pos="8280"/>
      </w:tabs>
    </w:pPr>
    <w:rPr>
      <w:kern w:val="0"/>
      <w:sz w:val="24"/>
    </w:r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48"/>
    <w:qFormat/>
    <w:uiPriority w:val="0"/>
    <w:pPr>
      <w:ind w:left="100" w:leftChars="2500"/>
    </w:pPr>
  </w:style>
  <w:style w:type="paragraph" w:styleId="23">
    <w:name w:val="Balloon Text"/>
    <w:basedOn w:val="1"/>
    <w:link w:val="49"/>
    <w:qFormat/>
    <w:uiPriority w:val="0"/>
    <w:rPr>
      <w:sz w:val="18"/>
      <w:szCs w:val="18"/>
    </w:rPr>
  </w:style>
  <w:style w:type="paragraph" w:styleId="24">
    <w:name w:val="footer"/>
    <w:basedOn w:val="1"/>
    <w:link w:val="50"/>
    <w:qFormat/>
    <w:uiPriority w:val="99"/>
    <w:pPr>
      <w:tabs>
        <w:tab w:val="center" w:pos="4153"/>
        <w:tab w:val="right" w:pos="8306"/>
      </w:tabs>
      <w:snapToGrid w:val="0"/>
      <w:ind w:right="210" w:rightChars="100"/>
      <w:jc w:val="right"/>
    </w:pPr>
    <w:rPr>
      <w:sz w:val="18"/>
      <w:szCs w:val="18"/>
    </w:rPr>
  </w:style>
  <w:style w:type="paragraph" w:styleId="25">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qFormat/>
    <w:uiPriority w:val="0"/>
    <w:rPr>
      <w:rFonts w:ascii="Courier New" w:hAnsi="Courier New" w:cs="Courier New"/>
      <w:sz w:val="20"/>
      <w:szCs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52"/>
    <w:qFormat/>
    <w:uiPriority w:val="0"/>
    <w:rPr>
      <w:rFonts w:ascii="Times New Roman" w:hAnsi="Times New Roman"/>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99"/>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qFormat/>
    <w:uiPriority w:val="99"/>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批注文字 Char"/>
    <w:link w:val="18"/>
    <w:qFormat/>
    <w:uiPriority w:val="0"/>
    <w:rPr>
      <w:rFonts w:ascii="Calibri" w:hAnsi="Calibri"/>
      <w:kern w:val="2"/>
      <w:sz w:val="21"/>
      <w:szCs w:val="24"/>
    </w:rPr>
  </w:style>
  <w:style w:type="character" w:customStyle="1" w:styleId="47">
    <w:name w:val="正文文本 Char"/>
    <w:link w:val="19"/>
    <w:qFormat/>
    <w:uiPriority w:val="99"/>
    <w:rPr>
      <w:sz w:val="24"/>
      <w:szCs w:val="24"/>
    </w:rPr>
  </w:style>
  <w:style w:type="character" w:customStyle="1" w:styleId="48">
    <w:name w:val="日期 Char"/>
    <w:link w:val="22"/>
    <w:qFormat/>
    <w:uiPriority w:val="0"/>
    <w:rPr>
      <w:kern w:val="2"/>
      <w:sz w:val="21"/>
      <w:szCs w:val="24"/>
    </w:rPr>
  </w:style>
  <w:style w:type="character" w:customStyle="1" w:styleId="49">
    <w:name w:val="批注框文本 Char"/>
    <w:link w:val="23"/>
    <w:qFormat/>
    <w:uiPriority w:val="0"/>
    <w:rPr>
      <w:kern w:val="2"/>
      <w:sz w:val="18"/>
      <w:szCs w:val="18"/>
    </w:rPr>
  </w:style>
  <w:style w:type="character" w:customStyle="1" w:styleId="50">
    <w:name w:val="页脚 Char"/>
    <w:link w:val="24"/>
    <w:qFormat/>
    <w:uiPriority w:val="99"/>
    <w:rPr>
      <w:kern w:val="2"/>
      <w:sz w:val="18"/>
      <w:szCs w:val="18"/>
    </w:rPr>
  </w:style>
  <w:style w:type="character" w:customStyle="1" w:styleId="51">
    <w:name w:val="页眉 Char"/>
    <w:link w:val="25"/>
    <w:qFormat/>
    <w:uiPriority w:val="0"/>
    <w:rPr>
      <w:kern w:val="2"/>
      <w:sz w:val="18"/>
      <w:szCs w:val="18"/>
    </w:rPr>
  </w:style>
  <w:style w:type="character" w:customStyle="1" w:styleId="52">
    <w:name w:val="批注主题 Char"/>
    <w:link w:val="30"/>
    <w:qFormat/>
    <w:uiPriority w:val="0"/>
    <w:rPr>
      <w:rFonts w:ascii="Calibri" w:hAnsi="Calibri"/>
      <w:b/>
      <w:bCs/>
      <w:kern w:val="2"/>
      <w:sz w:val="21"/>
      <w:szCs w:val="24"/>
    </w:rPr>
  </w:style>
  <w:style w:type="character" w:customStyle="1" w:styleId="53">
    <w:name w:val="个人答复风格"/>
    <w:qFormat/>
    <w:uiPriority w:val="0"/>
    <w:rPr>
      <w:rFonts w:ascii="Arial" w:hAnsi="Arial" w:eastAsia="宋体" w:cs="Arial"/>
      <w:color w:val="auto"/>
      <w:sz w:val="20"/>
    </w:rPr>
  </w:style>
  <w:style w:type="character" w:customStyle="1" w:styleId="54">
    <w:name w:val="个人撰写风格"/>
    <w:qFormat/>
    <w:uiPriority w:val="0"/>
    <w:rPr>
      <w:rFonts w:ascii="Arial" w:hAnsi="Arial" w:eastAsia="宋体" w:cs="Arial"/>
      <w:color w:val="auto"/>
      <w:sz w:val="20"/>
    </w:rPr>
  </w:style>
  <w:style w:type="character" w:customStyle="1" w:styleId="55">
    <w:name w:val="一级条标题 Char"/>
    <w:link w:val="56"/>
    <w:qFormat/>
    <w:uiPriority w:val="0"/>
    <w:rPr>
      <w:rFonts w:eastAsia="黑体"/>
      <w:sz w:val="21"/>
    </w:rPr>
  </w:style>
  <w:style w:type="paragraph" w:customStyle="1" w:styleId="56">
    <w:name w:val="一级条标题"/>
    <w:next w:val="57"/>
    <w:link w:val="55"/>
    <w:qFormat/>
    <w:uiPriority w:val="0"/>
    <w:pPr>
      <w:numPr>
        <w:ilvl w:val="2"/>
        <w:numId w:val="1"/>
      </w:numPr>
      <w:ind w:left="142"/>
      <w:outlineLvl w:val="2"/>
    </w:pPr>
    <w:rPr>
      <w:rFonts w:ascii="Times New Roman" w:hAnsi="Times New Roman" w:eastAsia="黑体" w:cs="Times New Roman"/>
      <w:sz w:val="21"/>
      <w:lang w:val="en-US" w:eastAsia="zh-CN" w:bidi="ar-SA"/>
    </w:rPr>
  </w:style>
  <w:style w:type="paragraph" w:customStyle="1" w:styleId="57">
    <w:name w:val="段"/>
    <w:link w:val="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段 Char"/>
    <w:link w:val="57"/>
    <w:qFormat/>
    <w:uiPriority w:val="0"/>
    <w:rPr>
      <w:rFonts w:ascii="宋体"/>
      <w:sz w:val="21"/>
      <w:lang w:val="en-US" w:eastAsia="zh-CN" w:bidi="ar-SA"/>
    </w:rPr>
  </w:style>
  <w:style w:type="character" w:customStyle="1" w:styleId="59">
    <w:name w:val="未处理的提及1"/>
    <w:unhideWhenUsed/>
    <w:qFormat/>
    <w:uiPriority w:val="99"/>
    <w:rPr>
      <w:color w:val="605E5C"/>
      <w:shd w:val="clear" w:color="auto" w:fill="E1DFDD"/>
    </w:rPr>
  </w:style>
  <w:style w:type="character" w:customStyle="1" w:styleId="60">
    <w:name w:val="二级条标题 Char"/>
    <w:link w:val="61"/>
    <w:qFormat/>
    <w:uiPriority w:val="0"/>
    <w:rPr>
      <w:rFonts w:eastAsia="黑体"/>
      <w:sz w:val="21"/>
    </w:rPr>
  </w:style>
  <w:style w:type="paragraph" w:customStyle="1" w:styleId="61">
    <w:name w:val="二级条标题"/>
    <w:basedOn w:val="56"/>
    <w:next w:val="57"/>
    <w:link w:val="60"/>
    <w:qFormat/>
    <w:uiPriority w:val="0"/>
    <w:pPr>
      <w:numPr>
        <w:ilvl w:val="3"/>
      </w:numPr>
      <w:outlineLvl w:val="3"/>
    </w:pPr>
  </w:style>
  <w:style w:type="character" w:customStyle="1" w:styleId="62">
    <w:name w:val="发布"/>
    <w:qFormat/>
    <w:uiPriority w:val="0"/>
    <w:rPr>
      <w:rFonts w:ascii="黑体" w:eastAsia="黑体"/>
      <w:spacing w:val="22"/>
      <w:w w:val="100"/>
      <w:position w:val="3"/>
      <w:sz w:val="28"/>
    </w:rPr>
  </w:style>
  <w:style w:type="paragraph" w:customStyle="1" w:styleId="63">
    <w:name w:val="四级条标题"/>
    <w:basedOn w:val="64"/>
    <w:next w:val="57"/>
    <w:qFormat/>
    <w:uiPriority w:val="0"/>
    <w:pPr>
      <w:numPr>
        <w:ilvl w:val="5"/>
      </w:numPr>
      <w:outlineLvl w:val="5"/>
    </w:pPr>
  </w:style>
  <w:style w:type="paragraph" w:customStyle="1" w:styleId="64">
    <w:name w:val="三级条标题"/>
    <w:basedOn w:val="61"/>
    <w:next w:val="57"/>
    <w:qFormat/>
    <w:uiPriority w:val="0"/>
    <w:pPr>
      <w:numPr>
        <w:ilvl w:val="4"/>
      </w:numPr>
      <w:outlineLvl w:val="4"/>
    </w:pPr>
  </w:style>
  <w:style w:type="paragraph" w:customStyle="1" w:styleId="65">
    <w:name w:val="附录二级条标题"/>
    <w:basedOn w:val="66"/>
    <w:next w:val="57"/>
    <w:qFormat/>
    <w:uiPriority w:val="0"/>
    <w:pPr>
      <w:numPr>
        <w:ilvl w:val="3"/>
      </w:numPr>
      <w:outlineLvl w:val="3"/>
    </w:pPr>
  </w:style>
  <w:style w:type="paragraph" w:customStyle="1" w:styleId="66">
    <w:name w:val="附录一级条标题"/>
    <w:basedOn w:val="67"/>
    <w:next w:val="57"/>
    <w:qFormat/>
    <w:uiPriority w:val="0"/>
    <w:pPr>
      <w:numPr>
        <w:ilvl w:val="2"/>
      </w:numPr>
      <w:autoSpaceDN w:val="0"/>
      <w:spacing w:beforeLines="0" w:afterLines="0"/>
      <w:outlineLvl w:val="2"/>
    </w:pPr>
  </w:style>
  <w:style w:type="paragraph" w:customStyle="1" w:styleId="67">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8">
    <w:name w:val="附录四级条标题"/>
    <w:basedOn w:val="69"/>
    <w:next w:val="57"/>
    <w:qFormat/>
    <w:uiPriority w:val="0"/>
    <w:pPr>
      <w:numPr>
        <w:ilvl w:val="5"/>
      </w:numPr>
      <w:outlineLvl w:val="5"/>
    </w:pPr>
  </w:style>
  <w:style w:type="paragraph" w:customStyle="1" w:styleId="69">
    <w:name w:val="附录三级条标题"/>
    <w:basedOn w:val="65"/>
    <w:next w:val="57"/>
    <w:qFormat/>
    <w:uiPriority w:val="0"/>
    <w:pPr>
      <w:numPr>
        <w:ilvl w:val="4"/>
      </w:numPr>
      <w:outlineLvl w:val="4"/>
    </w:pPr>
  </w:style>
  <w:style w:type="paragraph" w:customStyle="1" w:styleId="70">
    <w:name w:val="封面正文"/>
    <w:qFormat/>
    <w:uiPriority w:val="99"/>
    <w:pPr>
      <w:jc w:val="both"/>
    </w:pPr>
    <w:rPr>
      <w:rFonts w:ascii="Times New Roman" w:hAnsi="Times New Roman" w:eastAsia="宋体" w:cs="Times New Roman"/>
      <w:lang w:val="en-US" w:eastAsia="zh-CN" w:bidi="ar-SA"/>
    </w:rPr>
  </w:style>
  <w:style w:type="paragraph" w:customStyle="1" w:styleId="7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2">
    <w:name w:val="正文公式编号制表符"/>
    <w:basedOn w:val="57"/>
    <w:next w:val="57"/>
    <w:qFormat/>
    <w:uiPriority w:val="0"/>
    <w:pPr>
      <w:tabs>
        <w:tab w:val="center" w:pos="4201"/>
        <w:tab w:val="right" w:leader="dot" w:pos="9298"/>
      </w:tabs>
      <w:ind w:firstLine="0" w:firstLineChars="0"/>
    </w:pPr>
  </w:style>
  <w:style w:type="paragraph" w:customStyle="1" w:styleId="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标准书眉一"/>
    <w:qFormat/>
    <w:uiPriority w:val="99"/>
    <w:pPr>
      <w:jc w:val="both"/>
    </w:pPr>
    <w:rPr>
      <w:rFonts w:ascii="Times New Roman" w:hAnsi="Times New Roman" w:eastAsia="宋体" w:cs="Times New Roman"/>
      <w:lang w:val="en-US" w:eastAsia="zh-CN" w:bidi="ar-SA"/>
    </w:rPr>
  </w:style>
  <w:style w:type="paragraph" w:customStyle="1" w:styleId="76">
    <w:name w:val="标准表题"/>
    <w:basedOn w:val="1"/>
    <w:next w:val="57"/>
    <w:qFormat/>
    <w:uiPriority w:val="0"/>
    <w:pPr>
      <w:widowControl/>
      <w:jc w:val="center"/>
    </w:pPr>
    <w:rPr>
      <w:rFonts w:ascii="黑体" w:eastAsia="黑体"/>
      <w:kern w:val="21"/>
    </w:rPr>
  </w:style>
  <w:style w:type="paragraph" w:customStyle="1" w:styleId="77">
    <w:name w:val="目次、标准名称标题"/>
    <w:basedOn w:val="78"/>
    <w:next w:val="57"/>
    <w:qFormat/>
    <w:uiPriority w:val="0"/>
    <w:pPr>
      <w:numPr>
        <w:numId w:val="0"/>
      </w:numPr>
      <w:spacing w:line="460" w:lineRule="exact"/>
    </w:pPr>
  </w:style>
  <w:style w:type="paragraph" w:customStyle="1" w:styleId="78">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列项◆（三级）"/>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80">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1">
    <w:name w:val="正文图标题"/>
    <w:next w:val="57"/>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五级条标题"/>
    <w:basedOn w:val="63"/>
    <w:next w:val="57"/>
    <w:qFormat/>
    <w:uiPriority w:val="0"/>
    <w:pPr>
      <w:numPr>
        <w:ilvl w:val="6"/>
      </w:numPr>
      <w:outlineLvl w:val="6"/>
    </w:pPr>
  </w:style>
  <w:style w:type="paragraph" w:customStyle="1" w:styleId="84">
    <w:name w:val="注×："/>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5">
    <w:name w:val="列项——（一级）"/>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示例"/>
    <w:next w:val="5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7">
    <w:name w:val="参考文献、索引标题"/>
    <w:basedOn w:val="78"/>
    <w:next w:val="1"/>
    <w:qFormat/>
    <w:uiPriority w:val="0"/>
    <w:pPr>
      <w:numPr>
        <w:numId w:val="0"/>
      </w:numPr>
      <w:spacing w:after="200"/>
    </w:pPr>
    <w:rPr>
      <w:sz w:val="21"/>
    </w:rPr>
  </w:style>
  <w:style w:type="paragraph" w:customStyle="1" w:styleId="88">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89">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0">
    <w:name w:val="章标题"/>
    <w:next w:val="5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1">
    <w:name w:val="附录标识"/>
    <w:basedOn w:val="78"/>
    <w:qFormat/>
    <w:uiPriority w:val="0"/>
    <w:pPr>
      <w:numPr>
        <w:ilvl w:val="0"/>
        <w:numId w:val="2"/>
      </w:numPr>
      <w:tabs>
        <w:tab w:val="left" w:pos="6405"/>
      </w:tabs>
      <w:spacing w:after="200"/>
    </w:pPr>
    <w:rPr>
      <w:sz w:val="21"/>
    </w:rPr>
  </w:style>
  <w:style w:type="paragraph" w:customStyle="1" w:styleId="92">
    <w:name w:val="封面标准号2"/>
    <w:basedOn w:val="93"/>
    <w:qFormat/>
    <w:uiPriority w:val="0"/>
    <w:pPr>
      <w:framePr w:w="9138" w:h="1244" w:hRule="exact" w:wrap="around" w:vAnchor="page" w:hAnchor="margin" w:y="2908"/>
      <w:adjustRightInd w:val="0"/>
      <w:spacing w:before="357" w:line="280" w:lineRule="exact"/>
    </w:pPr>
  </w:style>
  <w:style w:type="paragraph" w:customStyle="1" w:styleId="9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8">
    <w:name w:val="附录图标题"/>
    <w:next w:val="57"/>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9">
    <w:name w:val="条文脚注"/>
    <w:basedOn w:val="26"/>
    <w:qFormat/>
    <w:uiPriority w:val="0"/>
    <w:pPr>
      <w:ind w:left="780" w:leftChars="200" w:hanging="360" w:hangingChars="200"/>
      <w:jc w:val="both"/>
    </w:pPr>
    <w:rPr>
      <w:rFonts w:ascii="宋体"/>
    </w:rPr>
  </w:style>
  <w:style w:type="paragraph" w:customStyle="1" w:styleId="100">
    <w:name w:val="发布部门"/>
    <w:next w:val="57"/>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03">
    <w:name w:val="附录五级条标题"/>
    <w:basedOn w:val="68"/>
    <w:next w:val="57"/>
    <w:qFormat/>
    <w:uiPriority w:val="0"/>
    <w:pPr>
      <w:numPr>
        <w:ilvl w:val="6"/>
      </w:numPr>
      <w:outlineLvl w:val="6"/>
    </w:pPr>
  </w:style>
  <w:style w:type="paragraph" w:customStyle="1" w:styleId="1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6">
    <w:name w:val="正文表标题"/>
    <w:next w:val="5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0">
    <w:name w:val="其他发布部门"/>
    <w:basedOn w:val="100"/>
    <w:qFormat/>
    <w:uiPriority w:val="0"/>
    <w:pPr>
      <w:framePr w:wrap="around"/>
      <w:spacing w:line="0" w:lineRule="atLeast"/>
    </w:pPr>
    <w:rPr>
      <w:rFonts w:ascii="黑体" w:eastAsia="黑体"/>
      <w:b w:val="0"/>
    </w:rPr>
  </w:style>
  <w:style w:type="paragraph" w:customStyle="1" w:styleId="111">
    <w:name w:val="封面标准代替信息"/>
    <w:basedOn w:val="92"/>
    <w:qFormat/>
    <w:uiPriority w:val="0"/>
    <w:pPr>
      <w:framePr w:wrap="around"/>
      <w:spacing w:before="57"/>
    </w:pPr>
    <w:rPr>
      <w:rFonts w:ascii="宋体"/>
      <w:sz w:val="21"/>
    </w:rPr>
  </w:style>
  <w:style w:type="paragraph" w:customStyle="1" w:styleId="112">
    <w:name w:val="实施日期"/>
    <w:basedOn w:val="105"/>
    <w:qFormat/>
    <w:uiPriority w:val="99"/>
    <w:pPr>
      <w:framePr w:hSpace="0" w:wrap="around" w:xAlign="right"/>
      <w:jc w:val="right"/>
    </w:pPr>
  </w:style>
  <w:style w:type="paragraph" w:customStyle="1" w:styleId="113">
    <w:name w:val="附录表标题"/>
    <w:next w:val="57"/>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4">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15">
    <w:name w:val="标准书眉_偶数页"/>
    <w:basedOn w:val="71"/>
    <w:next w:val="1"/>
    <w:qFormat/>
    <w:uiPriority w:val="99"/>
    <w:pPr>
      <w:jc w:val="left"/>
    </w:pPr>
  </w:style>
  <w:style w:type="paragraph" w:customStyle="1" w:styleId="116">
    <w:name w:val="注："/>
    <w:next w:val="57"/>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styleId="117">
    <w:name w:val="List Paragraph"/>
    <w:basedOn w:val="1"/>
    <w:qFormat/>
    <w:uiPriority w:val="1"/>
    <w:pPr>
      <w:ind w:firstLine="420" w:firstLineChars="200"/>
    </w:pPr>
  </w:style>
  <w:style w:type="character" w:styleId="118">
    <w:name w:val="Placeholder Text"/>
    <w:unhideWhenUsed/>
    <w:qFormat/>
    <w:uiPriority w:val="99"/>
    <w:rPr>
      <w:color w:val="808080"/>
    </w:rPr>
  </w:style>
  <w:style w:type="paragraph" w:customStyle="1" w:styleId="1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0">
    <w:name w:val="标准文件_段"/>
    <w:link w:val="1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标准文件_二级条标题"/>
    <w:next w:val="120"/>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122">
    <w:name w:val="标准文件_三级条标题"/>
    <w:basedOn w:val="121"/>
    <w:next w:val="120"/>
    <w:qFormat/>
    <w:uiPriority w:val="0"/>
    <w:pPr>
      <w:widowControl/>
      <w:outlineLvl w:val="3"/>
    </w:pPr>
  </w:style>
  <w:style w:type="paragraph" w:customStyle="1" w:styleId="123">
    <w:name w:val="标准文件_四级条标题"/>
    <w:next w:val="120"/>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124">
    <w:name w:val="标准文件_五级条标题"/>
    <w:next w:val="120"/>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25">
    <w:name w:val="标准文件_章标题"/>
    <w:next w:val="120"/>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26">
    <w:name w:val="标准文件_一级条标题"/>
    <w:basedOn w:val="125"/>
    <w:next w:val="120"/>
    <w:qFormat/>
    <w:uiPriority w:val="0"/>
    <w:pPr>
      <w:spacing w:beforeLines="50" w:afterLines="50"/>
      <w:outlineLvl w:val="1"/>
    </w:pPr>
  </w:style>
  <w:style w:type="paragraph" w:customStyle="1" w:styleId="127">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128">
    <w:name w:val="标准文件_段 Char"/>
    <w:link w:val="120"/>
    <w:qFormat/>
    <w:uiPriority w:val="0"/>
    <w:rPr>
      <w:rFonts w:ascii="宋体"/>
      <w:sz w:val="21"/>
    </w:rPr>
  </w:style>
  <w:style w:type="paragraph" w:customStyle="1" w:styleId="129">
    <w:name w:val="标准文件_术语条一"/>
    <w:basedOn w:val="1"/>
    <w:next w:val="120"/>
    <w:qFormat/>
    <w:uiPriority w:val="0"/>
    <w:pPr>
      <w:widowControl/>
      <w:tabs>
        <w:tab w:val="left" w:pos="360"/>
      </w:tabs>
    </w:pPr>
    <w:rPr>
      <w:rFonts w:ascii="宋体"/>
      <w:kern w:val="0"/>
      <w:szCs w:val="20"/>
    </w:rPr>
  </w:style>
  <w:style w:type="paragraph" w:customStyle="1" w:styleId="130">
    <w:name w:val="标准文件_一级无标题"/>
    <w:basedOn w:val="126"/>
    <w:qFormat/>
    <w:uiPriority w:val="0"/>
    <w:pPr>
      <w:spacing w:beforeLines="0" w:afterLines="0"/>
      <w:outlineLvl w:val="9"/>
    </w:pPr>
    <w:rPr>
      <w:rFonts w:ascii="宋体" w:eastAsia="宋体"/>
    </w:rPr>
  </w:style>
  <w:style w:type="paragraph" w:customStyle="1" w:styleId="13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32">
    <w:name w:val="Default"/>
    <w:qFormat/>
    <w:uiPriority w:val="0"/>
    <w:pPr>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DD7A4A73AA4209BD27A1F8310A092A"/>
        <w:style w:val=""/>
        <w:category>
          <w:name w:val="常规"/>
          <w:gallery w:val="placeholder"/>
        </w:category>
        <w:types>
          <w:type w:val="bbPlcHdr"/>
        </w:types>
        <w:behaviors>
          <w:behavior w:val="content"/>
        </w:behaviors>
        <w:description w:val=""/>
        <w:guid w:val="{6E30095D-B22C-45DE-840B-999D99BF861F}"/>
      </w:docPartPr>
      <w:docPartBody>
        <w:p w14:paraId="53BEDAA6">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B381C"/>
    <w:rsid w:val="00045F1D"/>
    <w:rsid w:val="00053C7B"/>
    <w:rsid w:val="00092941"/>
    <w:rsid w:val="000B151E"/>
    <w:rsid w:val="000E6F99"/>
    <w:rsid w:val="00113A8B"/>
    <w:rsid w:val="00155CC0"/>
    <w:rsid w:val="001572DF"/>
    <w:rsid w:val="00186AA5"/>
    <w:rsid w:val="001A119A"/>
    <w:rsid w:val="001E4FFB"/>
    <w:rsid w:val="002B381C"/>
    <w:rsid w:val="002B7E1E"/>
    <w:rsid w:val="002C5F97"/>
    <w:rsid w:val="002D29E3"/>
    <w:rsid w:val="00316BA5"/>
    <w:rsid w:val="003D7426"/>
    <w:rsid w:val="003F643F"/>
    <w:rsid w:val="004F7EC1"/>
    <w:rsid w:val="00507563"/>
    <w:rsid w:val="005436C5"/>
    <w:rsid w:val="005E570F"/>
    <w:rsid w:val="00643FE8"/>
    <w:rsid w:val="0065716C"/>
    <w:rsid w:val="0068199C"/>
    <w:rsid w:val="006B31BC"/>
    <w:rsid w:val="006C1639"/>
    <w:rsid w:val="006E1B75"/>
    <w:rsid w:val="007530A0"/>
    <w:rsid w:val="00777BF1"/>
    <w:rsid w:val="007F0FEF"/>
    <w:rsid w:val="007F4298"/>
    <w:rsid w:val="00831C4E"/>
    <w:rsid w:val="00864B03"/>
    <w:rsid w:val="008A1AEC"/>
    <w:rsid w:val="008F11B2"/>
    <w:rsid w:val="00932F56"/>
    <w:rsid w:val="00945662"/>
    <w:rsid w:val="009505A3"/>
    <w:rsid w:val="009B4C08"/>
    <w:rsid w:val="00A91CEB"/>
    <w:rsid w:val="00AB36B5"/>
    <w:rsid w:val="00AC184D"/>
    <w:rsid w:val="00AC1B91"/>
    <w:rsid w:val="00B22623"/>
    <w:rsid w:val="00B2767A"/>
    <w:rsid w:val="00B43C5A"/>
    <w:rsid w:val="00B974B6"/>
    <w:rsid w:val="00BC3E9B"/>
    <w:rsid w:val="00C0704A"/>
    <w:rsid w:val="00D51EDC"/>
    <w:rsid w:val="00DE312A"/>
    <w:rsid w:val="00E064F7"/>
    <w:rsid w:val="00E55D19"/>
    <w:rsid w:val="00EA44F0"/>
    <w:rsid w:val="00EB5641"/>
    <w:rsid w:val="00F16AD2"/>
    <w:rsid w:val="00F51407"/>
    <w:rsid w:val="00F54B6A"/>
    <w:rsid w:val="00F64F0B"/>
    <w:rsid w:val="00F81270"/>
    <w:rsid w:val="00FA22F9"/>
    <w:rsid w:val="00FC09D2"/>
    <w:rsid w:val="00FC7739"/>
    <w:rsid w:val="00FD4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C55DD07354C4872B169ADB990D838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DD7A4A73AA4209BD27A1F8310A09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36CA5F6CD5A48B6A5006CD253B557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B58A672E38D4337B2243E1E21725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732C87C80A74A50BE98A66E92C931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3DE08-EAB9-4A5E-A8D6-C2FCAE20AAE0}">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16</Pages>
  <Words>7794</Words>
  <Characters>8976</Characters>
  <Lines>68</Lines>
  <Paragraphs>19</Paragraphs>
  <TotalTime>0</TotalTime>
  <ScaleCrop>false</ScaleCrop>
  <LinksUpToDate>false</LinksUpToDate>
  <CharactersWithSpaces>9281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2024-07-12T07:42:00Z</dcterms:created>
  <dc:creator>zhengying</dc:creator>
  <cp:lastModifiedBy>cosmetic</cp:lastModifiedBy>
  <cp:lastPrinted>2022-07-13T08:40:00Z</cp:lastPrinted>
  <dcterms:modified xsi:type="dcterms:W3CDTF">2024-08-13T01:39:10Z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2052-12.1.0.17147</vt:lpwstr>
  </property>
  <property fmtid="{D5CDD505-2E9C-101B-9397-08002B2CF9AE}" pid="4" name="ICV">
    <vt:lpwstr>4882670CCC0C4CD192AE5615028747B3_13</vt:lpwstr>
  </property>
</Properties>
</file>