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eastAsia="方正黑体_GBK"/>
          <w:sz w:val="32"/>
          <w:szCs w:val="32"/>
        </w:rPr>
      </w:pPr>
      <w:r>
        <w:rPr>
          <w:rFonts w:hint="eastAsia" w:ascii="Times New Roman" w:eastAsia="方正黑体_GBK"/>
          <w:sz w:val="32"/>
          <w:szCs w:val="32"/>
        </w:rPr>
        <w:t>附件</w:t>
      </w:r>
    </w:p>
    <w:p>
      <w:pPr>
        <w:adjustRightInd w:val="0"/>
        <w:snapToGrid w:val="0"/>
        <w:spacing w:before="319" w:beforeLines="100" w:after="319" w:afterLines="100" w:line="600" w:lineRule="exact"/>
        <w:jc w:val="center"/>
        <w:rPr>
          <w:rFonts w:ascii="Times New Roman" w:eastAsia="方正小标宋_GBK"/>
          <w:sz w:val="44"/>
          <w:szCs w:val="44"/>
        </w:rPr>
      </w:pPr>
      <w:r>
        <w:rPr>
          <w:rFonts w:hint="eastAsia" w:ascii="Times New Roman" w:eastAsia="方正小标宋_GBK"/>
          <w:sz w:val="44"/>
          <w:szCs w:val="44"/>
        </w:rPr>
        <w:t>地方标准发布目录</w:t>
      </w:r>
    </w:p>
    <w:p>
      <w:pPr>
        <w:adjustRightInd w:val="0"/>
        <w:snapToGrid w:val="0"/>
        <w:spacing w:line="20" w:lineRule="exact"/>
        <w:ind w:firstLine="420" w:firstLineChars="200"/>
      </w:pPr>
    </w:p>
    <w:tbl>
      <w:tblPr>
        <w:tblStyle w:val="7"/>
        <w:tblW w:w="1417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5"/>
        <w:gridCol w:w="2293"/>
        <w:gridCol w:w="4926"/>
        <w:gridCol w:w="1418"/>
        <w:gridCol w:w="1344"/>
        <w:gridCol w:w="1854"/>
        <w:gridCol w:w="14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tblHeader/>
          <w:jc w:val="center"/>
        </w:trPr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序号</w:t>
            </w:r>
          </w:p>
        </w:tc>
        <w:tc>
          <w:tcPr>
            <w:tcW w:w="2293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标准编号</w:t>
            </w:r>
          </w:p>
        </w:tc>
        <w:tc>
          <w:tcPr>
            <w:tcW w:w="492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标准名称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批准日期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实施日期</w:t>
            </w:r>
          </w:p>
        </w:tc>
        <w:tc>
          <w:tcPr>
            <w:tcW w:w="185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ICS编号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中国标准文献分类号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1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3033-2024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柑橘溃疡病绿色防控技术规程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2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3034-2024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猕猴桃溃疡病绿色防控技术规程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3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3035-2024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玉米草地贪夜蛾绿色防控技术规程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4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3036-2024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kern w:val="0"/>
                <w:sz w:val="24"/>
              </w:rPr>
              <w:t>辣椒害虫全程绿色防控技术规程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5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3037-2024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kern w:val="0"/>
                <w:sz w:val="24"/>
              </w:rPr>
              <w:t>三樟黄贡椒病虫害绿色防控技术规程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3038-2024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再生稻主要病虫害综合防控技术规程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7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3039-2024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辣椒炭疽病绿色防控技术规程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8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3040-2024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稻虾田杂草绿色防控技术规范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9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3041-2024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棉花夜蛾类主要害虫绿色防控技术规程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10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3042-2024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加州鲈-匙吻鲟池塘生态混养技术规程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11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3043-2024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乡村振兴 茶旅设施建设与服务要求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67.140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12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3044-2024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猪基因组选择育种技术规程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65.020.30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13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3045-2024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地方猪品种纯度基因组鉴定技术规程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65.020.30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14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3046-2024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保靖黄金茶 工夫红茶加工技术规程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67.140.10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15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3047-2024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保靖黄金茶 快速成园培管技术规范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67.140.10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16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3048-2024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百合种球采收及贮藏技术规程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17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3049-2024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小龙虾-稻-鳖生态种养技术规程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65.150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18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3050-2024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农田鼠害综合防控技术规程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19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3051-2024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大豆病虫害绿色防控技术规程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20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3052-2024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紫苏种子种苗生产技术规程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21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3053-2024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山羊口疮病诊断与防治技术规范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65.020.30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22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3054-2024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牛粪有机肥生产技术规程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65.080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23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3055-2024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酸性水稻土钾肥施用技术规程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65.080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24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3056-2024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菜地酸性土壤改良技术规程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13.080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25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3057-2024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桑蚕品种鉴定技术规程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65.140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26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3058-2024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规模鸡场禽流感风险评估技术规范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65.020.30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27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3059-2024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湘东黑山羊传染性胸膜肺炎防治技术规范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65.020.30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28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3060-2024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  <w:highlight w:val="yellow"/>
              </w:rPr>
            </w:pPr>
            <w:r>
              <w:rPr>
                <w:rFonts w:hint="eastAsia" w:eastAsia="方正仿宋_GBK"/>
                <w:kern w:val="0"/>
                <w:sz w:val="24"/>
              </w:rPr>
              <w:t>普通级实验用羊病原体监测规范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65.020.30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kern w:val="0"/>
                <w:sz w:val="24"/>
              </w:rPr>
              <w:t>B43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29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3061-2024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普通级实验用羊的环境及设施规范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65.020.30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30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3062-2024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常温沥青混合料路面施工技术规范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03.080.20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P66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31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3063-2024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城市公交场站建设规范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93.080.30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Q84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32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3064-2024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城市水利规划编制规程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93.160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P55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33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3065-2024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"一河一策一档"方案编制指南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93.160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P56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34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3066-2024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既有桥梁防船撞性能评估与提升设计标准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93.040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P28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35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3067-2024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公路钢波纹板桥涵设计施工与验收规范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93.080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P28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36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3068-2024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国土空间详细规划全过程动态评估技术指南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07.040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A78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37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3069-2024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城镇开发边界内详细规划编制技术指南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07.040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A78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38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3070-2024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城镇开发边界内详细规划数据库规范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07.040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A78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39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3071-2024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迷迭香水中微量芳香性化合物的测定 气相色谱法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01.040.19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N04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40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3072-2024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立体绿化技术规程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65.020.01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P86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41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3073-2024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“衡东大桃”油茶苗木繁育和栽培技术规程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65.020.20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42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3074-2024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大花绣球盆栽生产技术规程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65.020.20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43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3075-2024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大花绣球组织培养快繁育苗技术规程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65.020.20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44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3076-2024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船舶水污染物移动接收服务规范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03.220.40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R61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45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3077-2024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道路固化土应用技术标准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93.080.01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P66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46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3078-2024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河湖健康评价技术导则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27.140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P56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47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3079-2024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日用竹筷生产技术规程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79.02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Y87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48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3080.1-2024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湖南省立木材积、生物量及碳系数计量监测系列模型 第1部分：总则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65.020.99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49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3080.2-2024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湖南省立木材积、生物量及碳系数计量监测系列模型 第2部分:杉木立木材积与生物量模型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65.020.99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50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3080.3-2024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pacing w:val="-4"/>
                <w:kern w:val="0"/>
                <w:sz w:val="24"/>
              </w:rPr>
            </w:pPr>
            <w:r>
              <w:rPr>
                <w:rFonts w:hint="eastAsia" w:eastAsia="方正仿宋_GBK"/>
                <w:spacing w:val="-4"/>
                <w:kern w:val="0"/>
                <w:sz w:val="24"/>
              </w:rPr>
              <w:t>湖南省立木材积、生物量及碳系数计量监测系列模型 第3部分:马尾松立木材积与生物量模型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65.020.99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51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3080.4-2024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湖南省立木材积、生物量及碳系数计量监测系列模型 第4部分:栎类立木材积与生物量模型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65.020.99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52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3080.5-2024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pacing w:val="-4"/>
                <w:kern w:val="0"/>
                <w:sz w:val="24"/>
              </w:rPr>
            </w:pPr>
            <w:r>
              <w:rPr>
                <w:rFonts w:hint="eastAsia" w:eastAsia="方正仿宋_GBK"/>
                <w:spacing w:val="-4"/>
                <w:kern w:val="0"/>
                <w:sz w:val="24"/>
              </w:rPr>
              <w:t xml:space="preserve">湖南省立木材积、生物量及碳系数计量监测系列模型 第5部分:杨树类立木材积与生物量模型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65.020.99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5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53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3080.6-2024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湖南省立木材积、生物量及碳系数计量监测系列模型 第6部分:其他软阔立木材积与生物量模型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65.020.99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1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54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3080.7-2024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湖南省立木材积、生物量及碳系数计量监测系列模型 第7部分：主要树种（组）立木含碳系数与碳储量模型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65.020.99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55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3080.8-2024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湖南省立木材积、生物量及碳系数计量监测系列模型 第8部分:主要森林类型相对树高曲线模型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65.020.99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56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3080.9-2024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湖南省立木材积、生物量及碳系数计量监测系列模型 第9部分:主要森林类型林分形高模型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65.020.99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57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3080.10-2024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湖南省立木材积、生物量及碳系数计量监测系列模型 第10部分:林木和林分生长率模型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65.020.99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58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3080.11-2024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湖南省立木材积、生物量及碳系数计量监测系列模型 第11部分：地基激光雷达林木信息采集技术规程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65.020.99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B04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59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DB43/T 3081-2024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电加热锅炉能效测试技术规范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2024/8/30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2024/11/30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27.010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F10</w:t>
            </w:r>
          </w:p>
        </w:tc>
      </w:tr>
    </w:tbl>
    <w:p>
      <w:pPr>
        <w:spacing w:line="600" w:lineRule="exact"/>
        <w:jc w:val="left"/>
        <w:rPr>
          <w:rFonts w:hint="eastAsia"/>
        </w:rPr>
      </w:pPr>
    </w:p>
    <w:p/>
    <w:p>
      <w:bookmarkStart w:id="0" w:name="_GoBack"/>
      <w:bookmarkEnd w:id="0"/>
    </w:p>
    <w:sectPr>
      <w:pgSz w:w="16838" w:h="11906" w:orient="landscape"/>
      <w:pgMar w:top="1474" w:right="1474" w:bottom="1474" w:left="1474" w:header="851" w:footer="1134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3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  <w:rPr>
      <w:rFonts w:ascii="等线" w:hAnsi="等线" w:eastAsia="等线"/>
      <w:szCs w:val="22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 Char Char2"/>
    <w:basedOn w:val="1"/>
    <w:link w:val="3"/>
    <w:uiPriority w:val="0"/>
    <w:rPr>
      <w:rFonts w:ascii="等线" w:hAnsi="等线" w:eastAsia="等线"/>
      <w:szCs w:val="22"/>
    </w:rPr>
  </w:style>
  <w:style w:type="character" w:styleId="5">
    <w:name w:val="page number"/>
    <w:basedOn w:val="3"/>
    <w:uiPriority w:val="0"/>
  </w:style>
  <w:style w:type="table" w:styleId="7">
    <w:name w:val="Table Grid"/>
    <w:basedOn w:val="6"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2024-09-11T07:35:16Z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