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03CD8">
      <w:pPr>
        <w:pStyle w:val="13"/>
        <w:shd w:val="clear" w:color="auto" w:fill="FFFFFF"/>
        <w:snapToGrid w:val="0"/>
        <w:spacing w:before="0" w:beforeAutospacing="0" w:after="0" w:afterAutospacing="0"/>
        <w:ind w:right="641"/>
        <w:rPr>
          <w:rFonts w:ascii="方正黑体简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简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245195D2">
      <w:pPr>
        <w:pStyle w:val="13"/>
        <w:shd w:val="clear" w:color="auto" w:fill="FFFFFF"/>
        <w:spacing w:before="0" w:beforeAutospacing="0" w:after="0" w:afterAutospacing="0"/>
        <w:ind w:right="640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年度地方标准制修订项目立项计划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（第二批）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汇总表</w:t>
      </w:r>
    </w:p>
    <w:tbl>
      <w:tblPr>
        <w:tblStyle w:val="7"/>
        <w:tblW w:w="14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5103"/>
        <w:gridCol w:w="2831"/>
        <w:gridCol w:w="2"/>
        <w:gridCol w:w="4927"/>
        <w:gridCol w:w="1"/>
        <w:gridCol w:w="1038"/>
      </w:tblGrid>
      <w:tr w14:paraId="282C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24F4B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CDE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2E6DB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项目归口单位</w:t>
            </w:r>
          </w:p>
        </w:tc>
        <w:tc>
          <w:tcPr>
            <w:tcW w:w="4930" w:type="dxa"/>
            <w:gridSpan w:val="3"/>
            <w:shd w:val="clear" w:color="auto" w:fill="auto"/>
            <w:vAlign w:val="center"/>
          </w:tcPr>
          <w:p w14:paraId="124C1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主要起草单位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870F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制修订</w:t>
            </w:r>
          </w:p>
        </w:tc>
      </w:tr>
      <w:tr w14:paraId="5366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shd w:val="clear" w:color="auto" w:fill="auto"/>
            <w:vAlign w:val="center"/>
          </w:tcPr>
          <w:p w14:paraId="49574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726DD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展会现场服务规范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7366644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四川省商务厅</w:t>
            </w:r>
          </w:p>
        </w:tc>
        <w:tc>
          <w:tcPr>
            <w:tcW w:w="4930" w:type="dxa"/>
            <w:gridSpan w:val="3"/>
            <w:shd w:val="clear" w:color="auto" w:fill="auto"/>
            <w:vAlign w:val="center"/>
          </w:tcPr>
          <w:p w14:paraId="324D34F3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四川天府国际会展集团有限公司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E63B08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0864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38D59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 w14:paraId="40FE865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四川省城市地下综合管廊消防系统运维技术规范</w:t>
            </w:r>
          </w:p>
        </w:tc>
        <w:tc>
          <w:tcPr>
            <w:tcW w:w="2831" w:type="dxa"/>
            <w:vAlign w:val="center"/>
          </w:tcPr>
          <w:p w14:paraId="38EC9331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四川省消防救援总队</w:t>
            </w:r>
          </w:p>
        </w:tc>
        <w:tc>
          <w:tcPr>
            <w:tcW w:w="4930" w:type="dxa"/>
            <w:gridSpan w:val="3"/>
            <w:vAlign w:val="center"/>
          </w:tcPr>
          <w:p w14:paraId="50F7726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成都市消防救援支队消防安全治理技术保障中心</w:t>
            </w:r>
          </w:p>
        </w:tc>
        <w:tc>
          <w:tcPr>
            <w:tcW w:w="1038" w:type="dxa"/>
            <w:vAlign w:val="center"/>
          </w:tcPr>
          <w:p w14:paraId="78FF1041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5DDDD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73240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 w14:paraId="7D8104B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城市轨道交通火灾救援协作技术规范</w:t>
            </w:r>
          </w:p>
        </w:tc>
        <w:tc>
          <w:tcPr>
            <w:tcW w:w="2831" w:type="dxa"/>
            <w:vAlign w:val="center"/>
          </w:tcPr>
          <w:p w14:paraId="6EC00FF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四川省消防救援总队</w:t>
            </w:r>
          </w:p>
        </w:tc>
        <w:tc>
          <w:tcPr>
            <w:tcW w:w="4930" w:type="dxa"/>
            <w:gridSpan w:val="3"/>
            <w:vAlign w:val="center"/>
          </w:tcPr>
          <w:p w14:paraId="6C45CF4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四川省消防救援总队</w:t>
            </w:r>
          </w:p>
        </w:tc>
        <w:tc>
          <w:tcPr>
            <w:tcW w:w="1038" w:type="dxa"/>
            <w:vAlign w:val="center"/>
          </w:tcPr>
          <w:p w14:paraId="33D5549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5A2A2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7ED1F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 w14:paraId="4074BEE5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合成氨生产企业安全风险防控规范</w:t>
            </w:r>
          </w:p>
        </w:tc>
        <w:tc>
          <w:tcPr>
            <w:tcW w:w="2831" w:type="dxa"/>
            <w:vAlign w:val="center"/>
          </w:tcPr>
          <w:p w14:paraId="3D97E862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四川省应急管理厅</w:t>
            </w:r>
          </w:p>
        </w:tc>
        <w:tc>
          <w:tcPr>
            <w:tcW w:w="4930" w:type="dxa"/>
            <w:gridSpan w:val="3"/>
            <w:vAlign w:val="center"/>
          </w:tcPr>
          <w:p w14:paraId="08D67F5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四川省危险化学品协会</w:t>
            </w:r>
          </w:p>
        </w:tc>
        <w:tc>
          <w:tcPr>
            <w:tcW w:w="1038" w:type="dxa"/>
            <w:vAlign w:val="center"/>
          </w:tcPr>
          <w:p w14:paraId="40824D9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35B5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66" w:type="dxa"/>
            <w:vAlign w:val="center"/>
          </w:tcPr>
          <w:p w14:paraId="57112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 w14:paraId="670D7A52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溶解乙炔生产企业安全风险防控规范</w:t>
            </w:r>
          </w:p>
        </w:tc>
        <w:tc>
          <w:tcPr>
            <w:tcW w:w="2831" w:type="dxa"/>
            <w:vAlign w:val="center"/>
          </w:tcPr>
          <w:p w14:paraId="1949033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四川省应急管理厅</w:t>
            </w:r>
          </w:p>
        </w:tc>
        <w:tc>
          <w:tcPr>
            <w:tcW w:w="4930" w:type="dxa"/>
            <w:gridSpan w:val="3"/>
            <w:vAlign w:val="center"/>
          </w:tcPr>
          <w:p w14:paraId="05CBD0A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四川省危险化学品协会</w:t>
            </w:r>
          </w:p>
        </w:tc>
        <w:tc>
          <w:tcPr>
            <w:tcW w:w="1038" w:type="dxa"/>
            <w:vAlign w:val="center"/>
          </w:tcPr>
          <w:p w14:paraId="0379F1A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1737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2494B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49545710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锂电池企业生产安全风险管控技术规范</w:t>
            </w:r>
          </w:p>
        </w:tc>
        <w:tc>
          <w:tcPr>
            <w:tcW w:w="2831" w:type="dxa"/>
            <w:vAlign w:val="center"/>
          </w:tcPr>
          <w:p w14:paraId="4360025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四川省应急管理厅</w:t>
            </w:r>
          </w:p>
        </w:tc>
        <w:tc>
          <w:tcPr>
            <w:tcW w:w="4930" w:type="dxa"/>
            <w:gridSpan w:val="3"/>
            <w:vAlign w:val="center"/>
          </w:tcPr>
          <w:p w14:paraId="1713E9F3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四川省安全科学技术研究院</w:t>
            </w:r>
          </w:p>
        </w:tc>
        <w:tc>
          <w:tcPr>
            <w:tcW w:w="1038" w:type="dxa"/>
            <w:vAlign w:val="center"/>
          </w:tcPr>
          <w:p w14:paraId="22183F1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69341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4B63B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 w14:paraId="388B8275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化工园区（集中区）整体性安全风险评价导则</w:t>
            </w:r>
          </w:p>
        </w:tc>
        <w:tc>
          <w:tcPr>
            <w:tcW w:w="2831" w:type="dxa"/>
            <w:vAlign w:val="center"/>
          </w:tcPr>
          <w:p w14:paraId="4152250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四川省应急管理厅</w:t>
            </w:r>
          </w:p>
        </w:tc>
        <w:tc>
          <w:tcPr>
            <w:tcW w:w="4930" w:type="dxa"/>
            <w:gridSpan w:val="3"/>
            <w:vAlign w:val="center"/>
          </w:tcPr>
          <w:p w14:paraId="7B5C8A0C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四川省安全技术科学研究院</w:t>
            </w:r>
          </w:p>
        </w:tc>
        <w:tc>
          <w:tcPr>
            <w:tcW w:w="1038" w:type="dxa"/>
            <w:vAlign w:val="center"/>
          </w:tcPr>
          <w:p w14:paraId="420B28F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修订</w:t>
            </w:r>
          </w:p>
        </w:tc>
      </w:tr>
      <w:tr w14:paraId="64E3A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37D3C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 w14:paraId="6B0151D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零散天然气橇装回收安全规范</w:t>
            </w:r>
          </w:p>
        </w:tc>
        <w:tc>
          <w:tcPr>
            <w:tcW w:w="2831" w:type="dxa"/>
            <w:vAlign w:val="center"/>
          </w:tcPr>
          <w:p w14:paraId="7097B1A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四川省应急管理厅</w:t>
            </w:r>
          </w:p>
        </w:tc>
        <w:tc>
          <w:tcPr>
            <w:tcW w:w="4930" w:type="dxa"/>
            <w:gridSpan w:val="3"/>
            <w:vAlign w:val="center"/>
          </w:tcPr>
          <w:p w14:paraId="37D3F5C8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中国石油西南油气田分公司</w:t>
            </w:r>
          </w:p>
        </w:tc>
        <w:tc>
          <w:tcPr>
            <w:tcW w:w="1038" w:type="dxa"/>
            <w:vAlign w:val="center"/>
          </w:tcPr>
          <w:p w14:paraId="669C447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5493F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0994D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 w14:paraId="5075D3A1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400km/h高速铁路接触网零部件设计规范</w:t>
            </w:r>
          </w:p>
        </w:tc>
        <w:tc>
          <w:tcPr>
            <w:tcW w:w="2831" w:type="dxa"/>
            <w:vAlign w:val="center"/>
          </w:tcPr>
          <w:p w14:paraId="542B0D8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四川省经济和信息化厅</w:t>
            </w:r>
          </w:p>
        </w:tc>
        <w:tc>
          <w:tcPr>
            <w:tcW w:w="4930" w:type="dxa"/>
            <w:gridSpan w:val="3"/>
            <w:vAlign w:val="center"/>
          </w:tcPr>
          <w:p w14:paraId="5A9A0532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中铁二院工程集团有限责任公司</w:t>
            </w:r>
          </w:p>
        </w:tc>
        <w:tc>
          <w:tcPr>
            <w:tcW w:w="1038" w:type="dxa"/>
            <w:vAlign w:val="center"/>
          </w:tcPr>
          <w:p w14:paraId="040C924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0324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34008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 w14:paraId="31439FD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高过载节能环保型智能牵引变压器设计规范</w:t>
            </w:r>
          </w:p>
        </w:tc>
        <w:tc>
          <w:tcPr>
            <w:tcW w:w="2831" w:type="dxa"/>
            <w:vAlign w:val="center"/>
          </w:tcPr>
          <w:p w14:paraId="1ED841C3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四川省经济和信息化厅</w:t>
            </w:r>
          </w:p>
        </w:tc>
        <w:tc>
          <w:tcPr>
            <w:tcW w:w="4929" w:type="dxa"/>
            <w:gridSpan w:val="2"/>
            <w:vAlign w:val="center"/>
          </w:tcPr>
          <w:p w14:paraId="6FAF11B5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中铁二院工程集团有限责任公司</w:t>
            </w:r>
          </w:p>
        </w:tc>
        <w:tc>
          <w:tcPr>
            <w:tcW w:w="0" w:type="auto"/>
            <w:vAlign w:val="center"/>
          </w:tcPr>
          <w:p w14:paraId="61F5F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06DB897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5C7FF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15929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 w14:paraId="2C35286C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远程异地评标工作规范</w:t>
            </w:r>
          </w:p>
        </w:tc>
        <w:tc>
          <w:tcPr>
            <w:tcW w:w="2831" w:type="dxa"/>
            <w:vAlign w:val="center"/>
          </w:tcPr>
          <w:p w14:paraId="10F2CDB8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四川省政府政务服务和公共资源交易服务中心</w:t>
            </w:r>
          </w:p>
        </w:tc>
        <w:tc>
          <w:tcPr>
            <w:tcW w:w="4929" w:type="dxa"/>
            <w:gridSpan w:val="2"/>
            <w:vAlign w:val="center"/>
          </w:tcPr>
          <w:p w14:paraId="263CE64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四川省政府政务服务和公共资源交易服务中心</w:t>
            </w:r>
          </w:p>
        </w:tc>
        <w:tc>
          <w:tcPr>
            <w:tcW w:w="0" w:type="auto"/>
            <w:vAlign w:val="center"/>
          </w:tcPr>
          <w:p w14:paraId="21399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79862F9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30EEA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694A2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 w14:paraId="375D09F1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公共机构分布式光伏新能源利用管理规范</w:t>
            </w:r>
          </w:p>
        </w:tc>
        <w:tc>
          <w:tcPr>
            <w:tcW w:w="2831" w:type="dxa"/>
            <w:vAlign w:val="center"/>
          </w:tcPr>
          <w:p w14:paraId="7F8B4AA8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四川省机关事务管理局</w:t>
            </w:r>
          </w:p>
        </w:tc>
        <w:tc>
          <w:tcPr>
            <w:tcW w:w="4929" w:type="dxa"/>
            <w:gridSpan w:val="2"/>
            <w:vAlign w:val="center"/>
          </w:tcPr>
          <w:p w14:paraId="6FEF1D9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四川省机关事务管理局</w:t>
            </w:r>
          </w:p>
        </w:tc>
        <w:tc>
          <w:tcPr>
            <w:tcW w:w="0" w:type="auto"/>
            <w:vAlign w:val="center"/>
          </w:tcPr>
          <w:p w14:paraId="6CC65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7BD18D7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607C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1B598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 w14:paraId="64285FB8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健身场所服务规范 第2部分：游泳池（馆）</w:t>
            </w:r>
          </w:p>
        </w:tc>
        <w:tc>
          <w:tcPr>
            <w:tcW w:w="2831" w:type="dxa"/>
            <w:vAlign w:val="center"/>
          </w:tcPr>
          <w:p w14:paraId="4661E446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四川省体育局</w:t>
            </w:r>
          </w:p>
        </w:tc>
        <w:tc>
          <w:tcPr>
            <w:tcW w:w="4929" w:type="dxa"/>
            <w:gridSpan w:val="2"/>
            <w:vAlign w:val="center"/>
          </w:tcPr>
          <w:p w14:paraId="2A6AA1D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四川省体育场馆协会</w:t>
            </w:r>
          </w:p>
        </w:tc>
        <w:tc>
          <w:tcPr>
            <w:tcW w:w="0" w:type="auto"/>
            <w:vAlign w:val="center"/>
          </w:tcPr>
          <w:p w14:paraId="44180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7014851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2DDAA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773A0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 w14:paraId="673D2B1E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健身场所服务规范 第1部分：健身房</w:t>
            </w:r>
          </w:p>
        </w:tc>
        <w:tc>
          <w:tcPr>
            <w:tcW w:w="2831" w:type="dxa"/>
            <w:vAlign w:val="center"/>
          </w:tcPr>
          <w:p w14:paraId="4EC90EE3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四川省体育局</w:t>
            </w:r>
          </w:p>
        </w:tc>
        <w:tc>
          <w:tcPr>
            <w:tcW w:w="4929" w:type="dxa"/>
            <w:gridSpan w:val="2"/>
            <w:vAlign w:val="center"/>
          </w:tcPr>
          <w:p w14:paraId="0170790E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四川省体育场馆协会</w:t>
            </w:r>
          </w:p>
        </w:tc>
        <w:tc>
          <w:tcPr>
            <w:tcW w:w="0" w:type="auto"/>
            <w:vAlign w:val="center"/>
          </w:tcPr>
          <w:p w14:paraId="322ED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7FB663E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4BB0C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3F03E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 w14:paraId="3D93EC5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城市轨道交通装配式无砟轨道技术规范</w:t>
            </w:r>
          </w:p>
        </w:tc>
        <w:tc>
          <w:tcPr>
            <w:tcW w:w="2831" w:type="dxa"/>
            <w:vAlign w:val="center"/>
          </w:tcPr>
          <w:p w14:paraId="51552CB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四川省经济和信息化厅</w:t>
            </w:r>
          </w:p>
        </w:tc>
        <w:tc>
          <w:tcPr>
            <w:tcW w:w="4929" w:type="dxa"/>
            <w:gridSpan w:val="2"/>
            <w:vAlign w:val="center"/>
          </w:tcPr>
          <w:p w14:paraId="14BBE202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中铁二院工程集团有限责任公司</w:t>
            </w:r>
          </w:p>
        </w:tc>
        <w:tc>
          <w:tcPr>
            <w:tcW w:w="0" w:type="auto"/>
            <w:vAlign w:val="center"/>
          </w:tcPr>
          <w:p w14:paraId="11FB8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55D8652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2EB7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66C18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 w14:paraId="3114F8E8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山区高速公路长大连续纵坡路段路线设计规程</w:t>
            </w:r>
          </w:p>
        </w:tc>
        <w:tc>
          <w:tcPr>
            <w:tcW w:w="2831" w:type="dxa"/>
            <w:vAlign w:val="center"/>
          </w:tcPr>
          <w:p w14:paraId="13EDC1B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四川省交通运输厅</w:t>
            </w:r>
          </w:p>
        </w:tc>
        <w:tc>
          <w:tcPr>
            <w:tcW w:w="4929" w:type="dxa"/>
            <w:gridSpan w:val="2"/>
            <w:vAlign w:val="center"/>
          </w:tcPr>
          <w:p w14:paraId="3CE8C62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四川省公路规划勘察设计研究院有限公司</w:t>
            </w:r>
          </w:p>
        </w:tc>
        <w:tc>
          <w:tcPr>
            <w:tcW w:w="0" w:type="auto"/>
            <w:vAlign w:val="center"/>
          </w:tcPr>
          <w:p w14:paraId="67A68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48256B1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6505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7538C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 w14:paraId="1BDF01BE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高原山区小交通量高速公路技术规程</w:t>
            </w:r>
          </w:p>
        </w:tc>
        <w:tc>
          <w:tcPr>
            <w:tcW w:w="2831" w:type="dxa"/>
            <w:vAlign w:val="center"/>
          </w:tcPr>
          <w:p w14:paraId="0D1F85F3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四川省交通运输厅</w:t>
            </w:r>
          </w:p>
        </w:tc>
        <w:tc>
          <w:tcPr>
            <w:tcW w:w="4929" w:type="dxa"/>
            <w:gridSpan w:val="2"/>
            <w:vAlign w:val="center"/>
          </w:tcPr>
          <w:p w14:paraId="782C02A4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四川省公路规划勘察设计研究院有限公司</w:t>
            </w:r>
          </w:p>
        </w:tc>
        <w:tc>
          <w:tcPr>
            <w:tcW w:w="0" w:type="auto"/>
            <w:vAlign w:val="center"/>
          </w:tcPr>
          <w:p w14:paraId="2F118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49395A73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6790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737D1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 w14:paraId="4B46071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钢管混凝土桥梁管内混凝土施工技术规程</w:t>
            </w:r>
          </w:p>
        </w:tc>
        <w:tc>
          <w:tcPr>
            <w:tcW w:w="2831" w:type="dxa"/>
            <w:vAlign w:val="center"/>
          </w:tcPr>
          <w:p w14:paraId="1CDE3A32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四川省交通运输厅</w:t>
            </w:r>
          </w:p>
        </w:tc>
        <w:tc>
          <w:tcPr>
            <w:tcW w:w="4929" w:type="dxa"/>
            <w:gridSpan w:val="2"/>
            <w:vAlign w:val="center"/>
          </w:tcPr>
          <w:p w14:paraId="180693C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四川交通职业技术学院</w:t>
            </w:r>
          </w:p>
        </w:tc>
        <w:tc>
          <w:tcPr>
            <w:tcW w:w="0" w:type="auto"/>
            <w:vAlign w:val="center"/>
          </w:tcPr>
          <w:p w14:paraId="20149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4264D329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67B0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0B03B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 w14:paraId="647B622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川渝省际市际毗邻地区公交运营服务规范</w:t>
            </w:r>
          </w:p>
        </w:tc>
        <w:tc>
          <w:tcPr>
            <w:tcW w:w="2831" w:type="dxa"/>
            <w:vAlign w:val="center"/>
          </w:tcPr>
          <w:p w14:paraId="1390B02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四川省交通运输厅</w:t>
            </w:r>
          </w:p>
        </w:tc>
        <w:tc>
          <w:tcPr>
            <w:tcW w:w="4929" w:type="dxa"/>
            <w:gridSpan w:val="2"/>
            <w:vAlign w:val="center"/>
          </w:tcPr>
          <w:p w14:paraId="0481D052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四川交通职业技术学院</w:t>
            </w:r>
          </w:p>
        </w:tc>
        <w:tc>
          <w:tcPr>
            <w:tcW w:w="0" w:type="auto"/>
            <w:vAlign w:val="center"/>
          </w:tcPr>
          <w:p w14:paraId="5D9A0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31F6DA0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5FC22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516C0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 w14:paraId="25A5A95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旅游公路设计指南</w:t>
            </w:r>
          </w:p>
        </w:tc>
        <w:tc>
          <w:tcPr>
            <w:tcW w:w="2831" w:type="dxa"/>
            <w:vAlign w:val="center"/>
          </w:tcPr>
          <w:p w14:paraId="23C0C2F4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四川省交通运输厅</w:t>
            </w:r>
          </w:p>
        </w:tc>
        <w:tc>
          <w:tcPr>
            <w:tcW w:w="4929" w:type="dxa"/>
            <w:gridSpan w:val="2"/>
            <w:vAlign w:val="center"/>
          </w:tcPr>
          <w:p w14:paraId="2C4D667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四川省交通运输发展战略和规划科学研究院</w:t>
            </w:r>
          </w:p>
        </w:tc>
        <w:tc>
          <w:tcPr>
            <w:tcW w:w="0" w:type="auto"/>
            <w:vAlign w:val="center"/>
          </w:tcPr>
          <w:p w14:paraId="53BF8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6330FB57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0E7B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0E930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103" w:type="dxa"/>
            <w:vAlign w:val="center"/>
          </w:tcPr>
          <w:p w14:paraId="7CF23D3C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水利工程建设质量检测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 w:bidi="ar"/>
              </w:rPr>
              <w:t>管理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规范</w:t>
            </w:r>
          </w:p>
        </w:tc>
        <w:tc>
          <w:tcPr>
            <w:tcW w:w="2831" w:type="dxa"/>
            <w:vAlign w:val="center"/>
          </w:tcPr>
          <w:p w14:paraId="44346FE1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四川省水利厅</w:t>
            </w:r>
          </w:p>
        </w:tc>
        <w:tc>
          <w:tcPr>
            <w:tcW w:w="4929" w:type="dxa"/>
            <w:gridSpan w:val="2"/>
            <w:vAlign w:val="center"/>
          </w:tcPr>
          <w:p w14:paraId="32A95334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四川省水利发展集团有限公司</w:t>
            </w:r>
          </w:p>
        </w:tc>
        <w:tc>
          <w:tcPr>
            <w:tcW w:w="0" w:type="auto"/>
            <w:vAlign w:val="center"/>
          </w:tcPr>
          <w:p w14:paraId="198C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4609952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57A8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31FAB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103" w:type="dxa"/>
            <w:vAlign w:val="center"/>
          </w:tcPr>
          <w:p w14:paraId="58976340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研学旅行安全风险识别与管理规范</w:t>
            </w:r>
          </w:p>
        </w:tc>
        <w:tc>
          <w:tcPr>
            <w:tcW w:w="2831" w:type="dxa"/>
            <w:vAlign w:val="center"/>
          </w:tcPr>
          <w:p w14:paraId="0110053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四川省文化和旅游厅</w:t>
            </w:r>
          </w:p>
        </w:tc>
        <w:tc>
          <w:tcPr>
            <w:tcW w:w="4929" w:type="dxa"/>
            <w:gridSpan w:val="2"/>
            <w:vAlign w:val="center"/>
          </w:tcPr>
          <w:p w14:paraId="3D589B28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四川省研学旅游产业促进会</w:t>
            </w:r>
          </w:p>
        </w:tc>
        <w:tc>
          <w:tcPr>
            <w:tcW w:w="0" w:type="auto"/>
            <w:vAlign w:val="center"/>
          </w:tcPr>
          <w:p w14:paraId="53E9E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22F26782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57286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578A7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103" w:type="dxa"/>
            <w:vAlign w:val="center"/>
          </w:tcPr>
          <w:p w14:paraId="6F632C5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旅游风景道服务规范</w:t>
            </w:r>
          </w:p>
        </w:tc>
        <w:tc>
          <w:tcPr>
            <w:tcW w:w="2831" w:type="dxa"/>
            <w:vAlign w:val="center"/>
          </w:tcPr>
          <w:p w14:paraId="03349D8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四川省文化和旅游厅</w:t>
            </w:r>
          </w:p>
        </w:tc>
        <w:tc>
          <w:tcPr>
            <w:tcW w:w="4929" w:type="dxa"/>
            <w:gridSpan w:val="2"/>
            <w:vAlign w:val="center"/>
          </w:tcPr>
          <w:p w14:paraId="352CC19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四川旅游规划设计研究院有限责任公司</w:t>
            </w:r>
          </w:p>
        </w:tc>
        <w:tc>
          <w:tcPr>
            <w:tcW w:w="0" w:type="auto"/>
            <w:vAlign w:val="center"/>
          </w:tcPr>
          <w:p w14:paraId="56980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54BD916F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279B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551AC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103" w:type="dxa"/>
            <w:vAlign w:val="center"/>
          </w:tcPr>
          <w:p w14:paraId="4A4AB2B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行政合法性审查工作规范 重点领域</w:t>
            </w:r>
          </w:p>
        </w:tc>
        <w:tc>
          <w:tcPr>
            <w:tcW w:w="2831" w:type="dxa"/>
            <w:vAlign w:val="center"/>
          </w:tcPr>
          <w:p w14:paraId="41C7341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四川省司法厅</w:t>
            </w:r>
          </w:p>
        </w:tc>
        <w:tc>
          <w:tcPr>
            <w:tcW w:w="4929" w:type="dxa"/>
            <w:gridSpan w:val="2"/>
            <w:vAlign w:val="center"/>
          </w:tcPr>
          <w:p w14:paraId="77C8515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四川省司法厅合法性审查处</w:t>
            </w:r>
          </w:p>
        </w:tc>
        <w:tc>
          <w:tcPr>
            <w:tcW w:w="0" w:type="auto"/>
            <w:vAlign w:val="center"/>
          </w:tcPr>
          <w:p w14:paraId="44A54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7DC55965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34382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35D60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103" w:type="dxa"/>
            <w:vAlign w:val="center"/>
          </w:tcPr>
          <w:p w14:paraId="6C97E494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道路能见度智能检测通用技术规范</w:t>
            </w:r>
          </w:p>
        </w:tc>
        <w:tc>
          <w:tcPr>
            <w:tcW w:w="2831" w:type="dxa"/>
            <w:vAlign w:val="center"/>
          </w:tcPr>
          <w:p w14:paraId="44BB08C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四川省公安厅</w:t>
            </w:r>
          </w:p>
        </w:tc>
        <w:tc>
          <w:tcPr>
            <w:tcW w:w="4929" w:type="dxa"/>
            <w:gridSpan w:val="2"/>
            <w:vAlign w:val="center"/>
          </w:tcPr>
          <w:p w14:paraId="3F46F2B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四川省公路规划勘察设计研究院有限公司</w:t>
            </w:r>
          </w:p>
        </w:tc>
        <w:tc>
          <w:tcPr>
            <w:tcW w:w="0" w:type="auto"/>
            <w:vAlign w:val="center"/>
          </w:tcPr>
          <w:p w14:paraId="61D7B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721630C6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63AA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3E38C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103" w:type="dxa"/>
            <w:vAlign w:val="center"/>
          </w:tcPr>
          <w:p w14:paraId="35FD9810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淡水鱼工厂化循环水养殖技术规范</w:t>
            </w:r>
          </w:p>
        </w:tc>
        <w:tc>
          <w:tcPr>
            <w:tcW w:w="2831" w:type="dxa"/>
            <w:vAlign w:val="center"/>
          </w:tcPr>
          <w:p w14:paraId="343BEA5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四川省农业农村厅</w:t>
            </w:r>
          </w:p>
        </w:tc>
        <w:tc>
          <w:tcPr>
            <w:tcW w:w="4929" w:type="dxa"/>
            <w:gridSpan w:val="2"/>
            <w:vAlign w:val="center"/>
          </w:tcPr>
          <w:p w14:paraId="5C0CFBB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四川省农业科学院水产研究所</w:t>
            </w:r>
          </w:p>
        </w:tc>
        <w:tc>
          <w:tcPr>
            <w:tcW w:w="0" w:type="auto"/>
            <w:vAlign w:val="center"/>
          </w:tcPr>
          <w:p w14:paraId="66B81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481A8EC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7DA3D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7A97C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103" w:type="dxa"/>
            <w:vAlign w:val="center"/>
          </w:tcPr>
          <w:p w14:paraId="2BD0057C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食品追溯码编码技术规范</w:t>
            </w:r>
          </w:p>
        </w:tc>
        <w:tc>
          <w:tcPr>
            <w:tcW w:w="2831" w:type="dxa"/>
            <w:vAlign w:val="center"/>
          </w:tcPr>
          <w:p w14:paraId="33A23A2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四川省市场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监督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理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局</w:t>
            </w:r>
          </w:p>
        </w:tc>
        <w:tc>
          <w:tcPr>
            <w:tcW w:w="4929" w:type="dxa"/>
            <w:gridSpan w:val="2"/>
            <w:vAlign w:val="center"/>
          </w:tcPr>
          <w:p w14:paraId="26DB3DF5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四川省标准化研究院</w:t>
            </w:r>
          </w:p>
        </w:tc>
        <w:tc>
          <w:tcPr>
            <w:tcW w:w="0" w:type="auto"/>
            <w:vAlign w:val="center"/>
          </w:tcPr>
          <w:p w14:paraId="553B6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0E4C152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59B8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1DCCE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103" w:type="dxa"/>
            <w:vAlign w:val="center"/>
          </w:tcPr>
          <w:p w14:paraId="3E095530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畜禽养殖智慧牧场建设指南</w:t>
            </w:r>
          </w:p>
        </w:tc>
        <w:tc>
          <w:tcPr>
            <w:tcW w:w="2831" w:type="dxa"/>
            <w:vAlign w:val="center"/>
          </w:tcPr>
          <w:p w14:paraId="16AB54C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四川省农业农村厅</w:t>
            </w:r>
          </w:p>
        </w:tc>
        <w:tc>
          <w:tcPr>
            <w:tcW w:w="4929" w:type="dxa"/>
            <w:gridSpan w:val="2"/>
            <w:vAlign w:val="center"/>
          </w:tcPr>
          <w:p w14:paraId="76127C71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四川省农业农村厅信息中心</w:t>
            </w:r>
          </w:p>
        </w:tc>
        <w:tc>
          <w:tcPr>
            <w:tcW w:w="0" w:type="auto"/>
            <w:vAlign w:val="center"/>
          </w:tcPr>
          <w:p w14:paraId="2FE29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3599CDBD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62A2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0FD3B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103" w:type="dxa"/>
            <w:vAlign w:val="center"/>
          </w:tcPr>
          <w:p w14:paraId="779E8192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食品安全抽检监测规范 计划制定</w:t>
            </w:r>
          </w:p>
        </w:tc>
        <w:tc>
          <w:tcPr>
            <w:tcW w:w="2831" w:type="dxa"/>
            <w:vAlign w:val="center"/>
          </w:tcPr>
          <w:p w14:paraId="6C1DEDF6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四川省市场监督管理局</w:t>
            </w:r>
          </w:p>
        </w:tc>
        <w:tc>
          <w:tcPr>
            <w:tcW w:w="4929" w:type="dxa"/>
            <w:gridSpan w:val="2"/>
            <w:vAlign w:val="center"/>
          </w:tcPr>
          <w:p w14:paraId="2A80166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四川省市场监管局食品抽检处</w:t>
            </w:r>
          </w:p>
        </w:tc>
        <w:tc>
          <w:tcPr>
            <w:tcW w:w="0" w:type="auto"/>
            <w:vAlign w:val="center"/>
          </w:tcPr>
          <w:p w14:paraId="5022A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52EE1A24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34B3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59478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103" w:type="dxa"/>
            <w:vAlign w:val="center"/>
          </w:tcPr>
          <w:p w14:paraId="0BA031C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食品安全抽检监测规范 数据抽查</w:t>
            </w:r>
          </w:p>
        </w:tc>
        <w:tc>
          <w:tcPr>
            <w:tcW w:w="2831" w:type="dxa"/>
            <w:vAlign w:val="center"/>
          </w:tcPr>
          <w:p w14:paraId="227683E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四川省市场监督管理局</w:t>
            </w:r>
          </w:p>
        </w:tc>
        <w:tc>
          <w:tcPr>
            <w:tcW w:w="4929" w:type="dxa"/>
            <w:gridSpan w:val="2"/>
            <w:vAlign w:val="center"/>
          </w:tcPr>
          <w:p w14:paraId="157DC32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四川省市场监管局食品抽检处</w:t>
            </w:r>
          </w:p>
        </w:tc>
        <w:tc>
          <w:tcPr>
            <w:tcW w:w="0" w:type="auto"/>
            <w:vAlign w:val="center"/>
          </w:tcPr>
          <w:p w14:paraId="0C36B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0EDB1CC0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07CB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4FE27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103" w:type="dxa"/>
            <w:vAlign w:val="center"/>
          </w:tcPr>
          <w:p w14:paraId="5B9D04D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川酒酱香大曲生产技术规范</w:t>
            </w:r>
          </w:p>
        </w:tc>
        <w:tc>
          <w:tcPr>
            <w:tcW w:w="2831" w:type="dxa"/>
            <w:vAlign w:val="center"/>
          </w:tcPr>
          <w:p w14:paraId="69B14CB0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四川省经济和信息化厅</w:t>
            </w:r>
          </w:p>
        </w:tc>
        <w:tc>
          <w:tcPr>
            <w:tcW w:w="4929" w:type="dxa"/>
            <w:gridSpan w:val="2"/>
            <w:vAlign w:val="center"/>
          </w:tcPr>
          <w:p w14:paraId="127F088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四川省食品检验研究院</w:t>
            </w:r>
          </w:p>
        </w:tc>
        <w:tc>
          <w:tcPr>
            <w:tcW w:w="0" w:type="auto"/>
            <w:vAlign w:val="center"/>
          </w:tcPr>
          <w:p w14:paraId="17FD2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7AC1180C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0C5E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2771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103" w:type="dxa"/>
            <w:vAlign w:val="center"/>
          </w:tcPr>
          <w:p w14:paraId="64C2B013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火锅类餐饮服务加工操作规范</w:t>
            </w:r>
          </w:p>
        </w:tc>
        <w:tc>
          <w:tcPr>
            <w:tcW w:w="2831" w:type="dxa"/>
            <w:vAlign w:val="center"/>
          </w:tcPr>
          <w:p w14:paraId="18D97734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四川省市场监督管理局</w:t>
            </w:r>
          </w:p>
        </w:tc>
        <w:tc>
          <w:tcPr>
            <w:tcW w:w="4929" w:type="dxa"/>
            <w:gridSpan w:val="2"/>
            <w:vAlign w:val="center"/>
          </w:tcPr>
          <w:p w14:paraId="74747372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四川省市场监督管理局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eastAsia="zh-CN" w:bidi="ar"/>
              </w:rPr>
              <w:t>餐饮监管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处</w:t>
            </w:r>
          </w:p>
        </w:tc>
        <w:tc>
          <w:tcPr>
            <w:tcW w:w="0" w:type="auto"/>
            <w:vAlign w:val="center"/>
          </w:tcPr>
          <w:p w14:paraId="7CF7B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68C20BBE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0D152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239A6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5103" w:type="dxa"/>
            <w:vAlign w:val="center"/>
          </w:tcPr>
          <w:p w14:paraId="7E048091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放心舒心消费服务规范 第10部分：高速公路服务区</w:t>
            </w:r>
          </w:p>
        </w:tc>
        <w:tc>
          <w:tcPr>
            <w:tcW w:w="2831" w:type="dxa"/>
            <w:vAlign w:val="center"/>
          </w:tcPr>
          <w:p w14:paraId="6B858102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四川省市场监督管理局</w:t>
            </w:r>
          </w:p>
        </w:tc>
        <w:tc>
          <w:tcPr>
            <w:tcW w:w="4929" w:type="dxa"/>
            <w:gridSpan w:val="2"/>
            <w:vAlign w:val="center"/>
          </w:tcPr>
          <w:p w14:paraId="474C263E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四川省市场监督管理局消费者权益保护处</w:t>
            </w:r>
          </w:p>
        </w:tc>
        <w:tc>
          <w:tcPr>
            <w:tcW w:w="0" w:type="auto"/>
            <w:vAlign w:val="center"/>
          </w:tcPr>
          <w:p w14:paraId="3C8A9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26AEDD3A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082C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2B92D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5103" w:type="dxa"/>
            <w:vAlign w:val="center"/>
          </w:tcPr>
          <w:p w14:paraId="204A94B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砭石通乳技术操作规范</w:t>
            </w:r>
          </w:p>
        </w:tc>
        <w:tc>
          <w:tcPr>
            <w:tcW w:w="2831" w:type="dxa"/>
            <w:vAlign w:val="center"/>
          </w:tcPr>
          <w:p w14:paraId="5CA26074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四川省中医药管理局</w:t>
            </w:r>
          </w:p>
        </w:tc>
        <w:tc>
          <w:tcPr>
            <w:tcW w:w="4929" w:type="dxa"/>
            <w:gridSpan w:val="2"/>
            <w:vAlign w:val="center"/>
          </w:tcPr>
          <w:p w14:paraId="39B553E0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四川省中医药科学院中医研究所</w:t>
            </w:r>
          </w:p>
        </w:tc>
        <w:tc>
          <w:tcPr>
            <w:tcW w:w="0" w:type="auto"/>
            <w:vAlign w:val="center"/>
          </w:tcPr>
          <w:p w14:paraId="7C6FC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36F64A7B">
            <w:pPr>
              <w:widowControl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</w:tr>
      <w:tr w14:paraId="16CCA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57F18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5103" w:type="dxa"/>
            <w:vAlign w:val="center"/>
          </w:tcPr>
          <w:p w14:paraId="4D083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城市生态系统温室气体清除碳汇核算技术规范</w:t>
            </w:r>
          </w:p>
        </w:tc>
        <w:tc>
          <w:tcPr>
            <w:tcW w:w="2833" w:type="dxa"/>
            <w:gridSpan w:val="2"/>
            <w:vAlign w:val="center"/>
          </w:tcPr>
          <w:p w14:paraId="7EED6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4927" w:type="dxa"/>
            <w:vAlign w:val="center"/>
          </w:tcPr>
          <w:p w14:paraId="6F12F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四川天府新区生态环境和城市管理局</w:t>
            </w:r>
          </w:p>
        </w:tc>
        <w:tc>
          <w:tcPr>
            <w:tcW w:w="0" w:type="auto"/>
            <w:vAlign w:val="center"/>
          </w:tcPr>
          <w:p w14:paraId="48C9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34405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1F9C0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1870F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5103" w:type="dxa"/>
            <w:vAlign w:val="center"/>
          </w:tcPr>
          <w:p w14:paraId="10B79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城市湿地水生态修复成效评估技术规范</w:t>
            </w:r>
          </w:p>
        </w:tc>
        <w:tc>
          <w:tcPr>
            <w:tcW w:w="2833" w:type="dxa"/>
            <w:gridSpan w:val="2"/>
            <w:vAlign w:val="center"/>
          </w:tcPr>
          <w:p w14:paraId="231C3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4927" w:type="dxa"/>
            <w:vAlign w:val="center"/>
          </w:tcPr>
          <w:p w14:paraId="45084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四川省自然资源科学研究院</w:t>
            </w:r>
          </w:p>
        </w:tc>
        <w:tc>
          <w:tcPr>
            <w:tcW w:w="0" w:type="auto"/>
            <w:vAlign w:val="center"/>
          </w:tcPr>
          <w:p w14:paraId="2D95C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11533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  <w:tr w14:paraId="2DC6A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6" w:type="dxa"/>
            <w:vAlign w:val="center"/>
          </w:tcPr>
          <w:p w14:paraId="6FADF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5103" w:type="dxa"/>
            <w:vAlign w:val="center"/>
          </w:tcPr>
          <w:p w14:paraId="1F707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四川省村规划指南</w:t>
            </w:r>
          </w:p>
        </w:tc>
        <w:tc>
          <w:tcPr>
            <w:tcW w:w="2833" w:type="dxa"/>
            <w:gridSpan w:val="2"/>
            <w:vAlign w:val="center"/>
          </w:tcPr>
          <w:p w14:paraId="45F45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4927" w:type="dxa"/>
            <w:vAlign w:val="center"/>
          </w:tcPr>
          <w:p w14:paraId="7CD16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四川省国土空间规划研究院</w:t>
            </w:r>
          </w:p>
        </w:tc>
        <w:tc>
          <w:tcPr>
            <w:tcW w:w="0" w:type="auto"/>
            <w:vAlign w:val="center"/>
          </w:tcPr>
          <w:p w14:paraId="28E85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  <w:tc>
          <w:tcPr>
            <w:tcW w:w="1038" w:type="dxa"/>
            <w:vAlign w:val="center"/>
          </w:tcPr>
          <w:p w14:paraId="73F6D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制定</w:t>
            </w:r>
          </w:p>
        </w:tc>
      </w:tr>
    </w:tbl>
    <w:p w14:paraId="348EC414">
      <w:pPr>
        <w:rPr>
          <w:rFonts w:ascii="方正仿宋简体" w:eastAsia="方正仿宋简体"/>
          <w:b/>
          <w:bCs/>
          <w:sz w:val="21"/>
          <w:szCs w:val="21"/>
        </w:rPr>
      </w:pPr>
      <w:r>
        <w:rPr>
          <w:rFonts w:hint="eastAsia" w:ascii="方正仿宋简体" w:eastAsia="方正仿宋简体"/>
          <w:b/>
          <w:bCs/>
          <w:sz w:val="21"/>
          <w:szCs w:val="21"/>
        </w:rPr>
        <w:t>注：立项计划原则上</w:t>
      </w:r>
      <w:r>
        <w:rPr>
          <w:rFonts w:hint="eastAsia" w:ascii="方正仿宋简体" w:eastAsia="方正仿宋简体"/>
          <w:b/>
          <w:bCs/>
          <w:sz w:val="21"/>
          <w:szCs w:val="21"/>
          <w:lang w:eastAsia="zh-CN"/>
        </w:rPr>
        <w:t>制定的</w:t>
      </w:r>
      <w:r>
        <w:rPr>
          <w:rFonts w:hint="eastAsia" w:ascii="方正仿宋简体" w:eastAsia="方正仿宋简体"/>
          <w:b/>
          <w:bCs/>
          <w:sz w:val="21"/>
          <w:szCs w:val="21"/>
          <w:lang w:val="en-US" w:eastAsia="zh-CN"/>
        </w:rPr>
        <w:t>18个月内</w:t>
      </w:r>
      <w:r>
        <w:rPr>
          <w:rFonts w:hint="eastAsia" w:ascii="方正仿宋简体" w:eastAsia="方正仿宋简体"/>
          <w:b/>
          <w:bCs/>
          <w:sz w:val="21"/>
          <w:szCs w:val="21"/>
        </w:rPr>
        <w:t>完成，</w:t>
      </w:r>
      <w:r>
        <w:rPr>
          <w:rFonts w:hint="eastAsia" w:ascii="方正仿宋简体" w:eastAsia="方正仿宋简体"/>
          <w:b/>
          <w:bCs/>
          <w:sz w:val="21"/>
          <w:szCs w:val="21"/>
          <w:lang w:eastAsia="zh-CN"/>
        </w:rPr>
        <w:t>修订的</w:t>
      </w:r>
      <w:r>
        <w:rPr>
          <w:rFonts w:hint="eastAsia" w:ascii="方正仿宋简体" w:eastAsia="方正仿宋简体"/>
          <w:b/>
          <w:bCs/>
          <w:sz w:val="21"/>
          <w:szCs w:val="21"/>
          <w:lang w:val="en-US" w:eastAsia="zh-CN"/>
        </w:rPr>
        <w:t>12个月内完成。</w:t>
      </w:r>
      <w:r>
        <w:rPr>
          <w:rFonts w:hint="eastAsia" w:ascii="方正仿宋简体" w:eastAsia="方正仿宋简体"/>
          <w:b/>
          <w:bCs/>
          <w:sz w:val="21"/>
          <w:szCs w:val="21"/>
        </w:rPr>
        <w:t>超过</w:t>
      </w:r>
      <w:r>
        <w:rPr>
          <w:rFonts w:hint="eastAsia" w:ascii="方正仿宋简体" w:eastAsia="方正仿宋简体"/>
          <w:b/>
          <w:bCs/>
          <w:sz w:val="21"/>
          <w:szCs w:val="21"/>
          <w:lang w:eastAsia="zh-CN"/>
        </w:rPr>
        <w:t>时间的</w:t>
      </w:r>
      <w:r>
        <w:rPr>
          <w:rFonts w:hint="eastAsia" w:ascii="方正仿宋简体" w:eastAsia="方正仿宋简体"/>
          <w:b/>
          <w:bCs/>
          <w:sz w:val="21"/>
          <w:szCs w:val="21"/>
        </w:rPr>
        <w:t>立项计划自动废止。</w:t>
      </w:r>
    </w:p>
    <w:sectPr>
      <w:footerReference r:id="rId3" w:type="default"/>
      <w:pgSz w:w="16838" w:h="11906" w:orient="landscape"/>
      <w:pgMar w:top="1276" w:right="1440" w:bottom="1797" w:left="1440" w:header="851" w:footer="992" w:gutter="0"/>
      <w:pgNumType w:fmt="numberInDash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5154997"/>
      <w:docPartObj>
        <w:docPartGallery w:val="autotext"/>
      </w:docPartObj>
    </w:sdtPr>
    <w:sdtEndPr>
      <w:rPr>
        <w:rFonts w:hint="eastAsia" w:ascii="方正仿宋简体" w:eastAsia="方正仿宋简体"/>
        <w:sz w:val="21"/>
        <w:szCs w:val="21"/>
      </w:rPr>
    </w:sdtEndPr>
    <w:sdtContent>
      <w:p w14:paraId="76B31A8F">
        <w:pPr>
          <w:pStyle w:val="5"/>
          <w:jc w:val="right"/>
          <w:rPr>
            <w:rFonts w:ascii="方正仿宋简体" w:eastAsia="方正仿宋简体"/>
            <w:sz w:val="21"/>
            <w:szCs w:val="21"/>
          </w:rPr>
        </w:pPr>
        <w:r>
          <w:rPr>
            <w:rFonts w:hint="eastAsia" w:ascii="方正仿宋简体" w:eastAsia="方正仿宋简体"/>
            <w:sz w:val="21"/>
            <w:szCs w:val="21"/>
          </w:rPr>
          <w:fldChar w:fldCharType="begin"/>
        </w:r>
        <w:r>
          <w:rPr>
            <w:rFonts w:hint="eastAsia" w:ascii="方正仿宋简体" w:eastAsia="方正仿宋简体"/>
            <w:sz w:val="21"/>
            <w:szCs w:val="21"/>
          </w:rPr>
          <w:instrText xml:space="preserve">PAGE   \* MERGEFORMAT</w:instrText>
        </w:r>
        <w:r>
          <w:rPr>
            <w:rFonts w:hint="eastAsia" w:ascii="方正仿宋简体" w:eastAsia="方正仿宋简体"/>
            <w:sz w:val="21"/>
            <w:szCs w:val="21"/>
          </w:rPr>
          <w:fldChar w:fldCharType="separate"/>
        </w:r>
        <w:r>
          <w:rPr>
            <w:rFonts w:ascii="方正仿宋简体" w:eastAsia="方正仿宋简体"/>
            <w:sz w:val="21"/>
            <w:szCs w:val="21"/>
            <w:lang w:val="zh-CN"/>
          </w:rPr>
          <w:t>-</w:t>
        </w:r>
        <w:r>
          <w:rPr>
            <w:rFonts w:ascii="方正仿宋简体" w:eastAsia="方正仿宋简体"/>
            <w:sz w:val="21"/>
            <w:szCs w:val="21"/>
          </w:rPr>
          <w:t xml:space="preserve"> 11 -</w:t>
        </w:r>
        <w:r>
          <w:rPr>
            <w:rFonts w:hint="eastAsia" w:ascii="方正仿宋简体" w:eastAsia="方正仿宋简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ODBmN2Q2ODEwMzA4NTNkNGM1NTg0ZTE1ZTJjZDcifQ=="/>
  </w:docVars>
  <w:rsids>
    <w:rsidRoot w:val="00E05032"/>
    <w:rsid w:val="00093629"/>
    <w:rsid w:val="000B0FE5"/>
    <w:rsid w:val="001B6B3F"/>
    <w:rsid w:val="00246B5B"/>
    <w:rsid w:val="002C65B1"/>
    <w:rsid w:val="00353C63"/>
    <w:rsid w:val="003E06DE"/>
    <w:rsid w:val="0042237E"/>
    <w:rsid w:val="00463C05"/>
    <w:rsid w:val="004D565B"/>
    <w:rsid w:val="005108DA"/>
    <w:rsid w:val="00576D61"/>
    <w:rsid w:val="00594ED5"/>
    <w:rsid w:val="006631D2"/>
    <w:rsid w:val="006A2640"/>
    <w:rsid w:val="00883B93"/>
    <w:rsid w:val="008F2185"/>
    <w:rsid w:val="00962F99"/>
    <w:rsid w:val="0097048E"/>
    <w:rsid w:val="00A74296"/>
    <w:rsid w:val="00B177BF"/>
    <w:rsid w:val="00B41D3A"/>
    <w:rsid w:val="00C06ACB"/>
    <w:rsid w:val="00C46DB4"/>
    <w:rsid w:val="00DE407A"/>
    <w:rsid w:val="00E05032"/>
    <w:rsid w:val="00ED24D0"/>
    <w:rsid w:val="00F7533B"/>
    <w:rsid w:val="00FE68F2"/>
    <w:rsid w:val="06C472ED"/>
    <w:rsid w:val="21051080"/>
    <w:rsid w:val="2CE7C65C"/>
    <w:rsid w:val="36CF8148"/>
    <w:rsid w:val="3BDF1634"/>
    <w:rsid w:val="3E521827"/>
    <w:rsid w:val="575F6113"/>
    <w:rsid w:val="5F585D12"/>
    <w:rsid w:val="66FB9247"/>
    <w:rsid w:val="677F8994"/>
    <w:rsid w:val="732732D1"/>
    <w:rsid w:val="79FABF7C"/>
    <w:rsid w:val="7BEEFBC1"/>
    <w:rsid w:val="7F95BF3B"/>
    <w:rsid w:val="A7FE0234"/>
    <w:rsid w:val="DDCF33BB"/>
    <w:rsid w:val="FBBEAE5A"/>
    <w:rsid w:val="FD3B2139"/>
    <w:rsid w:val="FEBED710"/>
    <w:rsid w:val="FEFE2784"/>
    <w:rsid w:val="FFD74853"/>
    <w:rsid w:val="FFF1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Char"/>
    <w:basedOn w:val="9"/>
    <w:link w:val="3"/>
    <w:semiHidden/>
    <w:qFormat/>
    <w:uiPriority w:val="99"/>
    <w:rPr>
      <w:sz w:val="32"/>
    </w:rPr>
  </w:style>
  <w:style w:type="character" w:customStyle="1" w:styleId="15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常用样式（方正仿宋简）"/>
    <w:basedOn w:val="1"/>
    <w:next w:val="1"/>
    <w:qFormat/>
    <w:uiPriority w:val="0"/>
    <w:pPr>
      <w:spacing w:line="560" w:lineRule="exact"/>
      <w:ind w:firstLine="640"/>
    </w:pPr>
    <w:rPr>
      <w:rFonts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1844</Words>
  <Characters>1908</Characters>
  <Lines>55</Lines>
  <Paragraphs>15</Paragraphs>
  <TotalTime>1</TotalTime>
  <ScaleCrop>false</ScaleCrop>
  <LinksUpToDate>false</LinksUpToDate>
  <CharactersWithSpaces>1914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2019-04-06T00:11:00Z</dcterms:created>
  <dc:creator>pengxj</dc:creator>
  <cp:lastModifiedBy>素袖清裳</cp:lastModifiedBy>
  <cp:lastPrinted>2024-08-01T23:07:00Z</cp:lastPrinted>
  <dcterms:modified xsi:type="dcterms:W3CDTF">2024-09-13T07:50:25Z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9BE3CA628CEC4994AAAF792C3E2AD5EC_12</vt:lpwstr>
  </property>
</Properties>
</file>