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华文中宋" w:hAnsi="华文中宋" w:eastAsia="华文中宋"/>
          <w:color w:val="000000"/>
          <w:sz w:val="36"/>
          <w:szCs w:val="36"/>
        </w:rPr>
      </w:pPr>
      <w:r>
        <w:rPr>
          <w:rFonts w:hint="eastAsia" w:ascii="黑体" w:hAnsi="黑体" w:eastAsia="黑体" w:cs="黑体"/>
          <w:color w:val="000000"/>
          <w:sz w:val="36"/>
          <w:szCs w:val="36"/>
        </w:rPr>
        <w:t>安徽省地方标准编制说明</w:t>
      </w:r>
    </w:p>
    <w:tbl>
      <w:tblPr>
        <w:tblStyle w:val="2"/>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322"/>
        <w:gridCol w:w="3501"/>
        <w:gridCol w:w="879"/>
        <w:gridCol w:w="112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标准名称</w:t>
            </w:r>
          </w:p>
        </w:tc>
        <w:tc>
          <w:tcPr>
            <w:tcW w:w="7554" w:type="dxa"/>
            <w:gridSpan w:val="4"/>
            <w:vAlign w:val="top"/>
          </w:tcPr>
          <w:p>
            <w:pPr>
              <w:pStyle w:val="4"/>
              <w:adjustRightInd w:val="0"/>
              <w:spacing w:line="360" w:lineRule="auto"/>
              <w:ind w:firstLine="0" w:firstLineChars="0"/>
              <w:contextualSpacing/>
              <w:jc w:val="center"/>
              <w:rPr>
                <w:rFonts w:hint="eastAsia" w:hAnsi="宋体"/>
                <w:color w:val="auto"/>
                <w:szCs w:val="21"/>
                <w:lang w:val="en-US" w:eastAsia="zh-CN"/>
              </w:rPr>
            </w:pPr>
            <w:r>
              <w:rPr>
                <w:rFonts w:hint="eastAsia" w:hAnsi="宋体"/>
                <w:color w:val="auto"/>
                <w:szCs w:val="21"/>
                <w:lang w:val="en-US" w:eastAsia="zh-CN"/>
              </w:rPr>
              <w:t>《基于云制造的工业互联网架构要求》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任务来源</w:t>
            </w:r>
          </w:p>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（项目计划号）</w:t>
            </w:r>
          </w:p>
        </w:tc>
        <w:tc>
          <w:tcPr>
            <w:tcW w:w="7554" w:type="dxa"/>
            <w:gridSpan w:val="4"/>
            <w:vAlign w:val="center"/>
          </w:tcPr>
          <w:p>
            <w:pPr>
              <w:pStyle w:val="4"/>
              <w:adjustRightInd w:val="0"/>
              <w:spacing w:line="360" w:lineRule="auto"/>
              <w:ind w:firstLine="0" w:firstLineChars="0"/>
              <w:contextualSpacing/>
              <w:jc w:val="center"/>
              <w:rPr>
                <w:rFonts w:hint="eastAsia" w:hAnsi="宋体"/>
                <w:color w:val="auto"/>
                <w:szCs w:val="21"/>
              </w:rPr>
            </w:pPr>
            <w:r>
              <w:rPr>
                <w:rFonts w:hint="eastAsia" w:hAnsi="宋体"/>
                <w:color w:val="auto"/>
                <w:szCs w:val="21"/>
              </w:rPr>
              <w:t>安徽省市场监督管理局《关于下达</w:t>
            </w:r>
            <w:r>
              <w:rPr>
                <w:rFonts w:hint="eastAsia" w:hAnsi="宋体"/>
                <w:color w:val="auto"/>
                <w:szCs w:val="21"/>
                <w:lang w:val="en-US" w:eastAsia="zh-CN"/>
              </w:rPr>
              <w:t>2023</w:t>
            </w:r>
            <w:r>
              <w:rPr>
                <w:rFonts w:hint="eastAsia" w:hAnsi="宋体"/>
                <w:color w:val="auto"/>
                <w:szCs w:val="21"/>
              </w:rPr>
              <w:t>年第三批安徽省地方标准制修订计划的</w:t>
            </w:r>
            <w:r>
              <w:rPr>
                <w:rFonts w:hint="eastAsia" w:hAnsi="宋体"/>
                <w:color w:val="auto"/>
                <w:szCs w:val="21"/>
                <w:lang w:val="en-US" w:eastAsia="zh-CN"/>
              </w:rPr>
              <w:t>通知</w:t>
            </w:r>
            <w:r>
              <w:rPr>
                <w:rFonts w:hint="eastAsia" w:hAnsi="宋体"/>
                <w:color w:val="auto"/>
                <w:szCs w:val="21"/>
              </w:rPr>
              <w:t>》（皖市</w:t>
            </w:r>
            <w:r>
              <w:rPr>
                <w:rFonts w:hint="eastAsia" w:hAnsi="宋体"/>
                <w:color w:val="auto"/>
                <w:szCs w:val="21"/>
                <w:lang w:val="en-US" w:eastAsia="zh-CN"/>
              </w:rPr>
              <w:t>监</w:t>
            </w:r>
            <w:r>
              <w:rPr>
                <w:rFonts w:hint="eastAsia" w:hAnsi="宋体"/>
                <w:color w:val="auto"/>
                <w:szCs w:val="21"/>
              </w:rPr>
              <w:t>函〔20</w:t>
            </w:r>
            <w:r>
              <w:rPr>
                <w:rFonts w:hint="eastAsia" w:hAnsi="宋体"/>
                <w:color w:val="auto"/>
                <w:szCs w:val="21"/>
                <w:lang w:val="en-US" w:eastAsia="zh-CN"/>
              </w:rPr>
              <w:t>23</w:t>
            </w:r>
            <w:r>
              <w:rPr>
                <w:rFonts w:hint="eastAsia" w:hAnsi="宋体"/>
                <w:color w:val="auto"/>
                <w:szCs w:val="21"/>
              </w:rPr>
              <w:t>〕</w:t>
            </w:r>
            <w:r>
              <w:rPr>
                <w:rFonts w:hint="eastAsia" w:hAnsi="宋体"/>
                <w:color w:val="auto"/>
                <w:szCs w:val="21"/>
                <w:lang w:val="en-US" w:eastAsia="zh-CN"/>
              </w:rPr>
              <w:t>622</w:t>
            </w:r>
            <w:r>
              <w:rPr>
                <w:rFonts w:hint="eastAsia" w:hAnsi="宋体"/>
                <w:color w:val="auto"/>
                <w:szCs w:val="21"/>
              </w:rPr>
              <w:t>号）文件，计划编号为20</w:t>
            </w:r>
            <w:r>
              <w:rPr>
                <w:rFonts w:hint="eastAsia" w:hAnsi="宋体"/>
                <w:color w:val="auto"/>
                <w:szCs w:val="21"/>
                <w:lang w:val="en-US" w:eastAsia="zh-CN"/>
              </w:rPr>
              <w:t>23</w:t>
            </w:r>
            <w:r>
              <w:rPr>
                <w:rFonts w:hint="eastAsia" w:hAnsi="宋体"/>
                <w:color w:val="auto"/>
                <w:szCs w:val="21"/>
              </w:rPr>
              <w:t>-3-</w:t>
            </w:r>
            <w:r>
              <w:rPr>
                <w:rFonts w:hint="eastAsia" w:hAnsi="宋体"/>
                <w:color w:val="auto"/>
                <w:szCs w:val="21"/>
                <w:lang w:val="en-US" w:eastAsia="zh-CN"/>
              </w:rPr>
              <w:t>58</w:t>
            </w:r>
            <w:r>
              <w:rPr>
                <w:rFonts w:hint="eastAsia" w:hAnsi="宋体"/>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第一起草单位</w:t>
            </w:r>
          </w:p>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（盖章）</w:t>
            </w:r>
          </w:p>
        </w:tc>
        <w:tc>
          <w:tcPr>
            <w:tcW w:w="7554" w:type="dxa"/>
            <w:gridSpan w:val="4"/>
            <w:vAlign w:val="center"/>
          </w:tcPr>
          <w:p>
            <w:pPr>
              <w:pStyle w:val="4"/>
              <w:adjustRightInd w:val="0"/>
              <w:spacing w:line="360" w:lineRule="auto"/>
              <w:ind w:firstLine="0" w:firstLineChars="0"/>
              <w:contextualSpacing/>
              <w:jc w:val="center"/>
              <w:rPr>
                <w:rFonts w:hint="eastAsia" w:hAnsi="宋体"/>
                <w:color w:val="auto"/>
                <w:szCs w:val="21"/>
                <w:lang w:val="en-US" w:eastAsia="zh-CN"/>
              </w:rPr>
            </w:pPr>
            <w:r>
              <w:rPr>
                <w:rFonts w:hint="eastAsia" w:hAnsi="宋体"/>
                <w:color w:val="auto"/>
                <w:szCs w:val="21"/>
                <w:lang w:val="en-US" w:eastAsia="zh-CN"/>
              </w:rPr>
              <w:t>合肥城市云数据中心股份有限公司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单位地址</w:t>
            </w:r>
          </w:p>
        </w:tc>
        <w:tc>
          <w:tcPr>
            <w:tcW w:w="7554" w:type="dxa"/>
            <w:gridSpan w:val="4"/>
            <w:vAlign w:val="center"/>
          </w:tcPr>
          <w:p>
            <w:pPr>
              <w:pStyle w:val="4"/>
              <w:adjustRightInd w:val="0"/>
              <w:spacing w:line="360" w:lineRule="auto"/>
              <w:ind w:firstLine="0" w:firstLineChars="0"/>
              <w:contextualSpacing/>
              <w:jc w:val="center"/>
              <w:rPr>
                <w:rFonts w:hint="eastAsia" w:hAnsi="宋体"/>
                <w:color w:val="auto"/>
                <w:szCs w:val="21"/>
              </w:rPr>
            </w:pPr>
            <w:r>
              <w:rPr>
                <w:rFonts w:hint="eastAsia" w:hAnsi="宋体"/>
                <w:color w:val="auto"/>
                <w:szCs w:val="21"/>
              </w:rPr>
              <w:t>安徽省合肥市</w:t>
            </w:r>
            <w:r>
              <w:rPr>
                <w:rFonts w:hint="eastAsia" w:hAnsi="宋体"/>
                <w:color w:val="auto"/>
                <w:szCs w:val="21"/>
                <w:lang w:val="en-US" w:eastAsia="zh-CN"/>
              </w:rPr>
              <w:t>高新区玉兰大道767号机电产业园西二路科大国祯大厦二层、四层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参与起草单位</w:t>
            </w:r>
          </w:p>
        </w:tc>
        <w:tc>
          <w:tcPr>
            <w:tcW w:w="7554" w:type="dxa"/>
            <w:gridSpan w:val="4"/>
            <w:vAlign w:val="center"/>
          </w:tcPr>
          <w:p>
            <w:pPr>
              <w:pStyle w:val="4"/>
              <w:adjustRightInd w:val="0"/>
              <w:spacing w:line="360" w:lineRule="auto"/>
              <w:ind w:firstLine="0" w:firstLineChars="0"/>
              <w:contextualSpacing/>
              <w:jc w:val="left"/>
              <w:rPr>
                <w:rFonts w:hint="eastAsia" w:hAnsi="宋体"/>
                <w:color w:val="auto"/>
                <w:szCs w:val="21"/>
                <w:lang w:val="en-US" w:eastAsia="zh-CN"/>
              </w:rPr>
            </w:pPr>
            <w:r>
              <w:rPr>
                <w:rFonts w:hint="eastAsia" w:hAnsi="宋体"/>
                <w:color w:val="auto"/>
                <w:szCs w:val="21"/>
                <w:lang w:val="en-US" w:eastAsia="zh-CN"/>
              </w:rPr>
              <w:t>宁国云计算信息科技有限公司、安徽三实软件科技有限公司、羚羊工业互联网股份有限公司、明光利拓智能科技有限公司、安徽省质量和标准化研究院、合肥博尔佳电子科技有限公司、武汉市谱众联合科技有限公司、安徽祯欣互联科技有限公司、安徽中科大国祯信息科技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标准起草人</w:t>
            </w:r>
          </w:p>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（全部起草人，应与标准文本前言中起草人排序一致）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序号</w:t>
            </w:r>
          </w:p>
        </w:tc>
        <w:tc>
          <w:tcPr>
            <w:tcW w:w="1322" w:type="dxa"/>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姓名</w:t>
            </w:r>
          </w:p>
        </w:tc>
        <w:tc>
          <w:tcPr>
            <w:tcW w:w="3501" w:type="dxa"/>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单位</w:t>
            </w:r>
          </w:p>
        </w:tc>
        <w:tc>
          <w:tcPr>
            <w:tcW w:w="879" w:type="dxa"/>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职务</w:t>
            </w:r>
          </w:p>
        </w:tc>
        <w:tc>
          <w:tcPr>
            <w:tcW w:w="1122" w:type="dxa"/>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职称</w:t>
            </w:r>
          </w:p>
        </w:tc>
        <w:tc>
          <w:tcPr>
            <w:tcW w:w="2052" w:type="dxa"/>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4"/>
              <w:adjustRightInd w:val="0"/>
              <w:spacing w:line="360" w:lineRule="auto"/>
              <w:ind w:firstLine="0" w:firstLineChars="0"/>
              <w:contextualSpacing/>
              <w:jc w:val="center"/>
              <w:rPr>
                <w:rFonts w:hint="eastAsia" w:hAnsi="宋体"/>
                <w:color w:val="auto"/>
                <w:szCs w:val="21"/>
              </w:rPr>
            </w:pPr>
            <w:r>
              <w:rPr>
                <w:rFonts w:hint="eastAsia" w:hAnsi="宋体"/>
                <w:color w:val="auto"/>
                <w:szCs w:val="21"/>
              </w:rPr>
              <w:t>1</w:t>
            </w:r>
          </w:p>
        </w:tc>
        <w:tc>
          <w:tcPr>
            <w:tcW w:w="1322" w:type="dxa"/>
            <w:vAlign w:val="center"/>
          </w:tcPr>
          <w:p>
            <w:pPr>
              <w:pStyle w:val="4"/>
              <w:adjustRightInd w:val="0"/>
              <w:spacing w:line="360" w:lineRule="auto"/>
              <w:ind w:firstLine="0" w:firstLineChars="0"/>
              <w:contextualSpacing/>
              <w:jc w:val="center"/>
              <w:rPr>
                <w:rFonts w:hint="eastAsia" w:hAnsi="宋体"/>
                <w:color w:val="auto"/>
                <w:szCs w:val="21"/>
              </w:rPr>
            </w:pPr>
            <w:r>
              <w:rPr>
                <w:rFonts w:hint="eastAsia" w:hAnsi="宋体"/>
                <w:color w:val="auto"/>
                <w:szCs w:val="21"/>
              </w:rPr>
              <w:t>***</w:t>
            </w:r>
          </w:p>
        </w:tc>
        <w:tc>
          <w:tcPr>
            <w:tcW w:w="3501" w:type="dxa"/>
            <w:vAlign w:val="center"/>
          </w:tcPr>
          <w:p>
            <w:pPr>
              <w:pStyle w:val="4"/>
              <w:adjustRightInd w:val="0"/>
              <w:spacing w:line="360" w:lineRule="auto"/>
              <w:ind w:firstLine="0" w:firstLineChars="0"/>
              <w:contextualSpacing/>
              <w:jc w:val="center"/>
              <w:rPr>
                <w:rFonts w:hint="eastAsia" w:hAnsi="宋体"/>
                <w:color w:val="auto"/>
                <w:szCs w:val="21"/>
              </w:rPr>
            </w:pPr>
            <w:r>
              <w:rPr>
                <w:rFonts w:hint="eastAsia" w:hAnsi="宋体"/>
                <w:color w:val="auto"/>
                <w:szCs w:val="21"/>
                <w:lang w:val="en-US" w:eastAsia="zh-CN"/>
              </w:rPr>
              <w:t>合肥城市云数据中心股份有限公司</w:t>
            </w:r>
          </w:p>
        </w:tc>
        <w:tc>
          <w:tcPr>
            <w:tcW w:w="879" w:type="dxa"/>
            <w:vAlign w:val="center"/>
          </w:tcPr>
          <w:p>
            <w:pPr>
              <w:pStyle w:val="4"/>
              <w:adjustRightInd w:val="0"/>
              <w:spacing w:line="360" w:lineRule="auto"/>
              <w:ind w:firstLine="0" w:firstLineChars="0"/>
              <w:contextualSpacing/>
              <w:jc w:val="center"/>
              <w:rPr>
                <w:rFonts w:hint="eastAsia" w:hAnsi="宋体"/>
                <w:color w:val="auto"/>
                <w:szCs w:val="21"/>
              </w:rPr>
            </w:pPr>
            <w:r>
              <w:rPr>
                <w:rFonts w:hint="eastAsia" w:hAnsi="宋体"/>
                <w:color w:val="auto"/>
                <w:szCs w:val="21"/>
              </w:rPr>
              <w:t>***</w:t>
            </w:r>
          </w:p>
        </w:tc>
        <w:tc>
          <w:tcPr>
            <w:tcW w:w="1122" w:type="dxa"/>
            <w:vAlign w:val="center"/>
          </w:tcPr>
          <w:p>
            <w:pPr>
              <w:pStyle w:val="4"/>
              <w:adjustRightInd w:val="0"/>
              <w:spacing w:line="360" w:lineRule="auto"/>
              <w:ind w:firstLine="0" w:firstLineChars="0"/>
              <w:contextualSpacing/>
              <w:jc w:val="center"/>
              <w:rPr>
                <w:rFonts w:hint="eastAsia" w:hAnsi="宋体"/>
                <w:color w:val="auto"/>
                <w:szCs w:val="21"/>
              </w:rPr>
            </w:pPr>
            <w:r>
              <w:rPr>
                <w:rFonts w:hint="eastAsia" w:hAnsi="宋体"/>
                <w:color w:val="auto"/>
                <w:szCs w:val="21"/>
              </w:rPr>
              <w:t>***</w:t>
            </w:r>
          </w:p>
        </w:tc>
        <w:tc>
          <w:tcPr>
            <w:tcW w:w="2052" w:type="dxa"/>
            <w:vAlign w:val="center"/>
          </w:tcPr>
          <w:p>
            <w:pPr>
              <w:pStyle w:val="4"/>
              <w:adjustRightInd w:val="0"/>
              <w:spacing w:line="360" w:lineRule="auto"/>
              <w:ind w:firstLine="0" w:firstLineChars="0"/>
              <w:contextualSpacing/>
              <w:jc w:val="center"/>
              <w:rPr>
                <w:rFonts w:hint="default" w:hAnsi="宋体"/>
                <w:color w:val="auto"/>
                <w:szCs w:val="21"/>
                <w:lang w:val="en-US"/>
              </w:rPr>
            </w:pPr>
            <w:r>
              <w:rPr>
                <w:rFonts w:hint="eastAsia" w:hAnsi="宋体"/>
                <w:color w:val="auto"/>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4"/>
              <w:adjustRightInd w:val="0"/>
              <w:spacing w:line="360" w:lineRule="auto"/>
              <w:ind w:firstLine="0" w:firstLineChars="0"/>
              <w:contextualSpacing/>
              <w:rPr>
                <w:rFonts w:hAnsi="宋体"/>
                <w:color w:val="auto"/>
                <w:szCs w:val="21"/>
              </w:rPr>
            </w:pPr>
          </w:p>
        </w:tc>
        <w:tc>
          <w:tcPr>
            <w:tcW w:w="1322" w:type="dxa"/>
            <w:vAlign w:val="center"/>
          </w:tcPr>
          <w:p>
            <w:pPr>
              <w:pStyle w:val="4"/>
              <w:adjustRightInd w:val="0"/>
              <w:spacing w:line="360" w:lineRule="auto"/>
              <w:ind w:firstLine="0" w:firstLineChars="0"/>
              <w:contextualSpacing/>
              <w:rPr>
                <w:rFonts w:hAnsi="宋体"/>
                <w:color w:val="auto"/>
                <w:szCs w:val="21"/>
              </w:rPr>
            </w:pPr>
          </w:p>
        </w:tc>
        <w:tc>
          <w:tcPr>
            <w:tcW w:w="3501" w:type="dxa"/>
            <w:vAlign w:val="center"/>
          </w:tcPr>
          <w:p>
            <w:pPr>
              <w:pStyle w:val="4"/>
              <w:adjustRightInd w:val="0"/>
              <w:spacing w:line="360" w:lineRule="auto"/>
              <w:ind w:firstLine="0" w:firstLineChars="0"/>
              <w:contextualSpacing/>
              <w:rPr>
                <w:rFonts w:hAnsi="宋体"/>
                <w:color w:val="auto"/>
                <w:szCs w:val="21"/>
              </w:rPr>
            </w:pPr>
          </w:p>
        </w:tc>
        <w:tc>
          <w:tcPr>
            <w:tcW w:w="879" w:type="dxa"/>
            <w:vAlign w:val="center"/>
          </w:tcPr>
          <w:p>
            <w:pPr>
              <w:pStyle w:val="4"/>
              <w:adjustRightInd w:val="0"/>
              <w:spacing w:line="360" w:lineRule="auto"/>
              <w:ind w:firstLine="0" w:firstLineChars="0"/>
              <w:contextualSpacing/>
              <w:rPr>
                <w:rFonts w:hAnsi="宋体"/>
                <w:color w:val="auto"/>
                <w:szCs w:val="21"/>
              </w:rPr>
            </w:pPr>
          </w:p>
        </w:tc>
        <w:tc>
          <w:tcPr>
            <w:tcW w:w="1122" w:type="dxa"/>
            <w:vAlign w:val="center"/>
          </w:tcPr>
          <w:p>
            <w:pPr>
              <w:pStyle w:val="4"/>
              <w:adjustRightInd w:val="0"/>
              <w:spacing w:line="360" w:lineRule="auto"/>
              <w:ind w:firstLine="0" w:firstLineChars="0"/>
              <w:contextualSpacing/>
              <w:rPr>
                <w:rFonts w:hAnsi="宋体"/>
                <w:color w:val="auto"/>
                <w:szCs w:val="21"/>
              </w:rPr>
            </w:pPr>
          </w:p>
        </w:tc>
        <w:tc>
          <w:tcPr>
            <w:tcW w:w="2052" w:type="dxa"/>
            <w:vAlign w:val="center"/>
          </w:tcPr>
          <w:p>
            <w:pPr>
              <w:pStyle w:val="4"/>
              <w:adjustRightInd w:val="0"/>
              <w:spacing w:line="360" w:lineRule="auto"/>
              <w:ind w:firstLine="0" w:firstLineChars="0"/>
              <w:contextualSpacing/>
              <w:rPr>
                <w:rFonts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4"/>
              <w:adjustRightInd w:val="0"/>
              <w:spacing w:line="360" w:lineRule="auto"/>
              <w:ind w:firstLine="0" w:firstLineChars="0"/>
              <w:contextualSpacing/>
              <w:rPr>
                <w:rFonts w:hAnsi="宋体"/>
                <w:color w:val="auto"/>
                <w:szCs w:val="21"/>
              </w:rPr>
            </w:pPr>
          </w:p>
        </w:tc>
        <w:tc>
          <w:tcPr>
            <w:tcW w:w="1322" w:type="dxa"/>
            <w:vAlign w:val="center"/>
          </w:tcPr>
          <w:p>
            <w:pPr>
              <w:pStyle w:val="4"/>
              <w:adjustRightInd w:val="0"/>
              <w:spacing w:line="360" w:lineRule="auto"/>
              <w:ind w:firstLine="0" w:firstLineChars="0"/>
              <w:contextualSpacing/>
              <w:rPr>
                <w:rFonts w:hAnsi="宋体"/>
                <w:color w:val="auto"/>
                <w:szCs w:val="21"/>
              </w:rPr>
            </w:pPr>
          </w:p>
        </w:tc>
        <w:tc>
          <w:tcPr>
            <w:tcW w:w="3501" w:type="dxa"/>
            <w:vAlign w:val="center"/>
          </w:tcPr>
          <w:p>
            <w:pPr>
              <w:pStyle w:val="4"/>
              <w:adjustRightInd w:val="0"/>
              <w:spacing w:line="360" w:lineRule="auto"/>
              <w:ind w:firstLine="0" w:firstLineChars="0"/>
              <w:contextualSpacing/>
              <w:rPr>
                <w:rFonts w:hAnsi="宋体"/>
                <w:color w:val="auto"/>
                <w:szCs w:val="21"/>
              </w:rPr>
            </w:pPr>
          </w:p>
        </w:tc>
        <w:tc>
          <w:tcPr>
            <w:tcW w:w="879" w:type="dxa"/>
            <w:vAlign w:val="center"/>
          </w:tcPr>
          <w:p>
            <w:pPr>
              <w:pStyle w:val="4"/>
              <w:adjustRightInd w:val="0"/>
              <w:spacing w:line="360" w:lineRule="auto"/>
              <w:ind w:firstLine="0" w:firstLineChars="0"/>
              <w:contextualSpacing/>
              <w:rPr>
                <w:rFonts w:hAnsi="宋体"/>
                <w:color w:val="auto"/>
                <w:szCs w:val="21"/>
              </w:rPr>
            </w:pPr>
          </w:p>
        </w:tc>
        <w:tc>
          <w:tcPr>
            <w:tcW w:w="1122" w:type="dxa"/>
            <w:vAlign w:val="center"/>
          </w:tcPr>
          <w:p>
            <w:pPr>
              <w:pStyle w:val="4"/>
              <w:adjustRightInd w:val="0"/>
              <w:spacing w:line="360" w:lineRule="auto"/>
              <w:ind w:firstLine="0" w:firstLineChars="0"/>
              <w:contextualSpacing/>
              <w:rPr>
                <w:rFonts w:hAnsi="宋体"/>
                <w:color w:val="auto"/>
                <w:szCs w:val="21"/>
              </w:rPr>
            </w:pPr>
          </w:p>
        </w:tc>
        <w:tc>
          <w:tcPr>
            <w:tcW w:w="2052" w:type="dxa"/>
            <w:vAlign w:val="center"/>
          </w:tcPr>
          <w:p>
            <w:pPr>
              <w:pStyle w:val="4"/>
              <w:adjustRightInd w:val="0"/>
              <w:spacing w:line="360" w:lineRule="auto"/>
              <w:ind w:firstLine="0" w:firstLineChars="0"/>
              <w:contextualSpacing/>
              <w:rPr>
                <w:rFonts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4"/>
              <w:adjustRightInd w:val="0"/>
              <w:spacing w:line="360" w:lineRule="auto"/>
              <w:ind w:firstLine="0" w:firstLineChars="0"/>
              <w:contextualSpacing/>
              <w:rPr>
                <w:rFonts w:hAnsi="宋体"/>
                <w:color w:val="auto"/>
                <w:szCs w:val="21"/>
              </w:rPr>
            </w:pPr>
          </w:p>
        </w:tc>
        <w:tc>
          <w:tcPr>
            <w:tcW w:w="1322" w:type="dxa"/>
            <w:vAlign w:val="center"/>
          </w:tcPr>
          <w:p>
            <w:pPr>
              <w:pStyle w:val="4"/>
              <w:adjustRightInd w:val="0"/>
              <w:spacing w:line="360" w:lineRule="auto"/>
              <w:ind w:firstLine="0" w:firstLineChars="0"/>
              <w:contextualSpacing/>
              <w:rPr>
                <w:rFonts w:hAnsi="宋体"/>
                <w:color w:val="auto"/>
                <w:szCs w:val="21"/>
              </w:rPr>
            </w:pPr>
          </w:p>
        </w:tc>
        <w:tc>
          <w:tcPr>
            <w:tcW w:w="3501" w:type="dxa"/>
            <w:vAlign w:val="center"/>
          </w:tcPr>
          <w:p>
            <w:pPr>
              <w:pStyle w:val="4"/>
              <w:adjustRightInd w:val="0"/>
              <w:spacing w:line="360" w:lineRule="auto"/>
              <w:ind w:firstLine="0" w:firstLineChars="0"/>
              <w:contextualSpacing/>
              <w:rPr>
                <w:rFonts w:hAnsi="宋体"/>
                <w:color w:val="auto"/>
                <w:szCs w:val="21"/>
              </w:rPr>
            </w:pPr>
          </w:p>
        </w:tc>
        <w:tc>
          <w:tcPr>
            <w:tcW w:w="879" w:type="dxa"/>
            <w:vAlign w:val="center"/>
          </w:tcPr>
          <w:p>
            <w:pPr>
              <w:pStyle w:val="4"/>
              <w:adjustRightInd w:val="0"/>
              <w:spacing w:line="360" w:lineRule="auto"/>
              <w:ind w:firstLine="0" w:firstLineChars="0"/>
              <w:contextualSpacing/>
              <w:rPr>
                <w:rFonts w:hAnsi="宋体"/>
                <w:color w:val="auto"/>
                <w:szCs w:val="21"/>
              </w:rPr>
            </w:pPr>
          </w:p>
        </w:tc>
        <w:tc>
          <w:tcPr>
            <w:tcW w:w="1122" w:type="dxa"/>
            <w:vAlign w:val="center"/>
          </w:tcPr>
          <w:p>
            <w:pPr>
              <w:pStyle w:val="4"/>
              <w:adjustRightInd w:val="0"/>
              <w:spacing w:line="360" w:lineRule="auto"/>
              <w:ind w:firstLine="0" w:firstLineChars="0"/>
              <w:contextualSpacing/>
              <w:rPr>
                <w:rFonts w:hAnsi="宋体"/>
                <w:color w:val="auto"/>
                <w:szCs w:val="21"/>
              </w:rPr>
            </w:pPr>
          </w:p>
        </w:tc>
        <w:tc>
          <w:tcPr>
            <w:tcW w:w="2052" w:type="dxa"/>
            <w:vAlign w:val="center"/>
          </w:tcPr>
          <w:p>
            <w:pPr>
              <w:pStyle w:val="4"/>
              <w:adjustRightInd w:val="0"/>
              <w:spacing w:line="360" w:lineRule="auto"/>
              <w:ind w:firstLine="0" w:firstLineChars="0"/>
              <w:contextualSpacing/>
              <w:rPr>
                <w:rFonts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4"/>
              <w:adjustRightInd w:val="0"/>
              <w:spacing w:line="360" w:lineRule="auto"/>
              <w:ind w:firstLine="0" w:firstLineChars="0"/>
              <w:contextualSpacing/>
              <w:rPr>
                <w:rFonts w:hAnsi="宋体"/>
                <w:color w:val="auto"/>
                <w:szCs w:val="21"/>
              </w:rPr>
            </w:pPr>
          </w:p>
        </w:tc>
        <w:tc>
          <w:tcPr>
            <w:tcW w:w="1322" w:type="dxa"/>
            <w:vAlign w:val="center"/>
          </w:tcPr>
          <w:p>
            <w:pPr>
              <w:pStyle w:val="4"/>
              <w:adjustRightInd w:val="0"/>
              <w:spacing w:line="360" w:lineRule="auto"/>
              <w:ind w:firstLine="0" w:firstLineChars="0"/>
              <w:contextualSpacing/>
              <w:rPr>
                <w:rFonts w:hAnsi="宋体"/>
                <w:color w:val="auto"/>
                <w:szCs w:val="21"/>
              </w:rPr>
            </w:pPr>
          </w:p>
        </w:tc>
        <w:tc>
          <w:tcPr>
            <w:tcW w:w="3501" w:type="dxa"/>
            <w:vAlign w:val="center"/>
          </w:tcPr>
          <w:p>
            <w:pPr>
              <w:pStyle w:val="4"/>
              <w:adjustRightInd w:val="0"/>
              <w:spacing w:line="360" w:lineRule="auto"/>
              <w:ind w:firstLine="0" w:firstLineChars="0"/>
              <w:contextualSpacing/>
              <w:rPr>
                <w:rFonts w:hAnsi="宋体"/>
                <w:color w:val="auto"/>
                <w:szCs w:val="21"/>
              </w:rPr>
            </w:pPr>
          </w:p>
        </w:tc>
        <w:tc>
          <w:tcPr>
            <w:tcW w:w="879" w:type="dxa"/>
            <w:vAlign w:val="center"/>
          </w:tcPr>
          <w:p>
            <w:pPr>
              <w:pStyle w:val="4"/>
              <w:adjustRightInd w:val="0"/>
              <w:spacing w:line="360" w:lineRule="auto"/>
              <w:ind w:firstLine="0" w:firstLineChars="0"/>
              <w:contextualSpacing/>
              <w:rPr>
                <w:rFonts w:hAnsi="宋体"/>
                <w:color w:val="auto"/>
                <w:szCs w:val="21"/>
              </w:rPr>
            </w:pPr>
          </w:p>
        </w:tc>
        <w:tc>
          <w:tcPr>
            <w:tcW w:w="1122" w:type="dxa"/>
            <w:vAlign w:val="center"/>
          </w:tcPr>
          <w:p>
            <w:pPr>
              <w:pStyle w:val="4"/>
              <w:adjustRightInd w:val="0"/>
              <w:spacing w:line="360" w:lineRule="auto"/>
              <w:ind w:firstLine="0" w:firstLineChars="0"/>
              <w:contextualSpacing/>
              <w:rPr>
                <w:rFonts w:hAnsi="宋体"/>
                <w:color w:val="auto"/>
                <w:szCs w:val="21"/>
              </w:rPr>
            </w:pPr>
          </w:p>
        </w:tc>
        <w:tc>
          <w:tcPr>
            <w:tcW w:w="2052" w:type="dxa"/>
            <w:vAlign w:val="center"/>
          </w:tcPr>
          <w:p>
            <w:pPr>
              <w:pStyle w:val="4"/>
              <w:adjustRightInd w:val="0"/>
              <w:spacing w:line="360" w:lineRule="auto"/>
              <w:ind w:firstLine="0" w:firstLineChars="0"/>
              <w:contextualSpacing/>
              <w:rPr>
                <w:rFonts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编制情况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Ansi="宋体"/>
                <w:color w:val="auto"/>
                <w:szCs w:val="21"/>
              </w:rPr>
            </w:pPr>
            <w:r>
              <w:rPr>
                <w:rFonts w:hint="eastAsia" w:hAnsi="宋体"/>
                <w:color w:val="auto"/>
                <w:szCs w:val="21"/>
              </w:rPr>
              <w:t>1、编制过程简介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int="eastAsia" w:ascii="黑体" w:hAnsi="黑体" w:eastAsia="黑体" w:cs="黑体"/>
                <w:color w:val="auto"/>
                <w:szCs w:val="21"/>
              </w:rPr>
            </w:pPr>
            <w:r>
              <w:rPr>
                <w:rFonts w:hint="eastAsia" w:ascii="黑体" w:hAnsi="黑体" w:eastAsia="黑体" w:cs="黑体"/>
                <w:color w:val="auto"/>
                <w:szCs w:val="21"/>
              </w:rPr>
              <w:t>一、成立起草组</w:t>
            </w:r>
          </w:p>
          <w:p>
            <w:pPr>
              <w:pStyle w:val="4"/>
              <w:adjustRightInd w:val="0"/>
              <w:spacing w:line="360" w:lineRule="auto"/>
              <w:ind w:firstLine="420" w:firstLineChars="200"/>
              <w:contextualSpacing/>
              <w:rPr>
                <w:rFonts w:hint="eastAsia" w:hAnsi="宋体"/>
                <w:color w:val="auto"/>
                <w:szCs w:val="21"/>
              </w:rPr>
            </w:pPr>
            <w:r>
              <w:rPr>
                <w:rFonts w:hint="eastAsia" w:hAnsi="宋体"/>
                <w:color w:val="auto"/>
                <w:szCs w:val="21"/>
                <w:lang w:val="en-US" w:eastAsia="zh-CN"/>
              </w:rPr>
              <w:t>2023</w:t>
            </w:r>
            <w:r>
              <w:rPr>
                <w:rFonts w:hint="eastAsia" w:hAnsi="宋体"/>
                <w:color w:val="auto"/>
                <w:szCs w:val="21"/>
              </w:rPr>
              <w:t>年</w:t>
            </w:r>
            <w:r>
              <w:rPr>
                <w:rFonts w:hint="eastAsia" w:hAnsi="宋体"/>
                <w:color w:val="auto"/>
                <w:szCs w:val="21"/>
                <w:lang w:val="en-US" w:eastAsia="zh-CN"/>
              </w:rPr>
              <w:t>12</w:t>
            </w:r>
            <w:r>
              <w:rPr>
                <w:rFonts w:hint="eastAsia" w:hAnsi="宋体"/>
                <w:color w:val="auto"/>
                <w:szCs w:val="21"/>
              </w:rPr>
              <w:t>月</w:t>
            </w:r>
            <w:r>
              <w:rPr>
                <w:rFonts w:hint="eastAsia" w:hAnsi="宋体"/>
                <w:color w:val="auto"/>
                <w:szCs w:val="21"/>
                <w:lang w:val="en-US" w:eastAsia="zh-CN"/>
              </w:rPr>
              <w:t>6</w:t>
            </w:r>
            <w:r>
              <w:rPr>
                <w:rFonts w:hint="eastAsia" w:hAnsi="宋体"/>
                <w:color w:val="auto"/>
                <w:szCs w:val="21"/>
              </w:rPr>
              <w:t>日，安徽省市场监督管理局《关于下达</w:t>
            </w:r>
            <w:r>
              <w:rPr>
                <w:rFonts w:hint="eastAsia" w:hAnsi="宋体"/>
                <w:color w:val="auto"/>
                <w:szCs w:val="21"/>
                <w:lang w:val="en-US" w:eastAsia="zh-CN"/>
              </w:rPr>
              <w:t>2023</w:t>
            </w:r>
            <w:r>
              <w:rPr>
                <w:rFonts w:hint="eastAsia" w:hAnsi="宋体"/>
                <w:color w:val="auto"/>
                <w:szCs w:val="21"/>
              </w:rPr>
              <w:t>年第三批安徽省地方标准制修订计划的</w:t>
            </w:r>
            <w:r>
              <w:rPr>
                <w:rFonts w:hint="eastAsia" w:hAnsi="宋体"/>
                <w:color w:val="auto"/>
                <w:szCs w:val="21"/>
                <w:lang w:val="en-US" w:eastAsia="zh-CN"/>
              </w:rPr>
              <w:t>通知</w:t>
            </w:r>
            <w:r>
              <w:rPr>
                <w:rFonts w:hint="eastAsia" w:hAnsi="宋体"/>
                <w:color w:val="auto"/>
                <w:szCs w:val="21"/>
              </w:rPr>
              <w:t>》（皖市</w:t>
            </w:r>
            <w:r>
              <w:rPr>
                <w:rFonts w:hint="eastAsia" w:hAnsi="宋体"/>
                <w:color w:val="auto"/>
                <w:szCs w:val="21"/>
                <w:lang w:val="en-US" w:eastAsia="zh-CN"/>
              </w:rPr>
              <w:t>监</w:t>
            </w:r>
            <w:r>
              <w:rPr>
                <w:rFonts w:hint="eastAsia" w:hAnsi="宋体"/>
                <w:color w:val="auto"/>
                <w:szCs w:val="21"/>
              </w:rPr>
              <w:t>函〔20</w:t>
            </w:r>
            <w:r>
              <w:rPr>
                <w:rFonts w:hint="eastAsia" w:hAnsi="宋体"/>
                <w:color w:val="auto"/>
                <w:szCs w:val="21"/>
                <w:lang w:val="en-US" w:eastAsia="zh-CN"/>
              </w:rPr>
              <w:t>23</w:t>
            </w:r>
            <w:r>
              <w:rPr>
                <w:rFonts w:hint="eastAsia" w:hAnsi="宋体"/>
                <w:color w:val="auto"/>
                <w:szCs w:val="21"/>
              </w:rPr>
              <w:t>〕</w:t>
            </w:r>
            <w:r>
              <w:rPr>
                <w:rFonts w:hint="eastAsia" w:hAnsi="宋体"/>
                <w:color w:val="auto"/>
                <w:szCs w:val="21"/>
                <w:lang w:val="en-US" w:eastAsia="zh-CN"/>
              </w:rPr>
              <w:t>622</w:t>
            </w:r>
            <w:r>
              <w:rPr>
                <w:rFonts w:hint="eastAsia" w:hAnsi="宋体"/>
                <w:color w:val="auto"/>
                <w:szCs w:val="21"/>
              </w:rPr>
              <w:t>号）下发后，为确保高质量的推进标准编制工作，标准起草单位</w:t>
            </w:r>
            <w:r>
              <w:rPr>
                <w:rFonts w:hint="eastAsia" w:hAnsi="宋体"/>
                <w:color w:val="auto"/>
                <w:szCs w:val="21"/>
                <w:lang w:val="en-US" w:eastAsia="zh-CN"/>
              </w:rPr>
              <w:t>合肥城市云数据中心股份有限公司</w:t>
            </w:r>
            <w:r>
              <w:rPr>
                <w:rFonts w:hint="eastAsia" w:hAnsi="宋体"/>
                <w:color w:val="auto"/>
                <w:szCs w:val="21"/>
              </w:rPr>
              <w:t>组织各参编单位立即成立标准编制工作组，拟订了工作计划，明确了起草组成员及相关职责等。</w:t>
            </w:r>
          </w:p>
          <w:p>
            <w:pPr>
              <w:pStyle w:val="4"/>
              <w:adjustRightInd w:val="0"/>
              <w:spacing w:line="360" w:lineRule="auto"/>
              <w:ind w:firstLine="0" w:firstLineChars="0"/>
              <w:contextualSpacing/>
              <w:rPr>
                <w:rFonts w:hint="eastAsia" w:ascii="黑体" w:hAnsi="黑体" w:eastAsia="黑体" w:cs="黑体"/>
                <w:color w:val="auto"/>
                <w:szCs w:val="21"/>
              </w:rPr>
            </w:pPr>
            <w:r>
              <w:rPr>
                <w:rFonts w:hint="eastAsia" w:ascii="黑体" w:hAnsi="黑体" w:eastAsia="黑体" w:cs="黑体"/>
                <w:color w:val="auto"/>
                <w:szCs w:val="21"/>
              </w:rPr>
              <w:t>二、</w:t>
            </w:r>
            <w:r>
              <w:rPr>
                <w:rFonts w:hint="eastAsia" w:ascii="黑体" w:hAnsi="黑体" w:eastAsia="黑体" w:cs="黑体"/>
                <w:color w:val="auto"/>
                <w:szCs w:val="21"/>
                <w:lang w:val="en-US" w:eastAsia="zh-CN"/>
              </w:rPr>
              <w:t>形成</w:t>
            </w:r>
            <w:r>
              <w:rPr>
                <w:rFonts w:hint="eastAsia" w:ascii="黑体" w:hAnsi="黑体" w:eastAsia="黑体" w:cs="黑体"/>
                <w:color w:val="auto"/>
                <w:szCs w:val="21"/>
              </w:rPr>
              <w:t>标准讨论稿</w:t>
            </w:r>
          </w:p>
          <w:p>
            <w:pPr>
              <w:pStyle w:val="4"/>
              <w:adjustRightInd w:val="0"/>
              <w:spacing w:line="360" w:lineRule="auto"/>
              <w:ind w:firstLine="420" w:firstLineChars="200"/>
              <w:contextualSpacing/>
              <w:rPr>
                <w:rFonts w:hint="eastAsia" w:hAnsi="宋体"/>
                <w:color w:val="auto"/>
                <w:szCs w:val="21"/>
              </w:rPr>
            </w:pPr>
            <w:r>
              <w:rPr>
                <w:rFonts w:hint="eastAsia" w:hAnsi="宋体"/>
                <w:color w:val="auto"/>
                <w:szCs w:val="21"/>
                <w:lang w:val="en-US" w:eastAsia="zh-CN"/>
              </w:rPr>
              <w:t>2023</w:t>
            </w:r>
            <w:r>
              <w:rPr>
                <w:rFonts w:hint="eastAsia" w:hAnsi="宋体"/>
                <w:color w:val="auto"/>
                <w:szCs w:val="21"/>
              </w:rPr>
              <w:t>年</w:t>
            </w:r>
            <w:r>
              <w:rPr>
                <w:rFonts w:hint="eastAsia" w:hAnsi="宋体"/>
                <w:color w:val="auto"/>
                <w:szCs w:val="21"/>
                <w:lang w:val="en-US" w:eastAsia="zh-CN"/>
              </w:rPr>
              <w:t>12</w:t>
            </w:r>
            <w:r>
              <w:rPr>
                <w:rFonts w:hint="eastAsia" w:hAnsi="宋体"/>
                <w:color w:val="auto"/>
                <w:szCs w:val="21"/>
              </w:rPr>
              <w:t>月-</w:t>
            </w:r>
            <w:r>
              <w:rPr>
                <w:rFonts w:hint="eastAsia" w:hAnsi="宋体"/>
                <w:color w:val="auto"/>
                <w:szCs w:val="21"/>
                <w:lang w:val="en-US" w:eastAsia="zh-CN"/>
              </w:rPr>
              <w:t>2024年5</w:t>
            </w:r>
            <w:r>
              <w:rPr>
                <w:rFonts w:hint="eastAsia" w:hAnsi="宋体"/>
                <w:color w:val="auto"/>
                <w:szCs w:val="21"/>
              </w:rPr>
              <w:t>月，工作组查阅了</w:t>
            </w:r>
            <w:r>
              <w:rPr>
                <w:rFonts w:hint="eastAsia" w:hAnsi="宋体"/>
                <w:color w:val="auto"/>
                <w:szCs w:val="21"/>
                <w:lang w:val="en-US" w:eastAsia="zh-CN"/>
              </w:rPr>
              <w:t>《网络安全法》《数据安全法》《工业互联网标识管理办法》《国务院关于深化“互联网+先进制造业”发展工业互联网的指导意见》《工业和信息化领域数据安全管理办法（试行）》</w:t>
            </w:r>
            <w:r>
              <w:rPr>
                <w:rFonts w:hint="eastAsia" w:hAnsi="宋体"/>
                <w:color w:val="auto"/>
                <w:szCs w:val="21"/>
              </w:rPr>
              <w:t>国家法律法规等相关政策文件和相关资料，根据收集到的有关资料，工作组起草了标准，形成草案</w:t>
            </w:r>
            <w:r>
              <w:rPr>
                <w:rFonts w:hint="eastAsia" w:hAnsi="宋体"/>
                <w:color w:val="auto"/>
                <w:szCs w:val="21"/>
                <w:lang w:eastAsia="zh-CN"/>
              </w:rPr>
              <w:t>。</w:t>
            </w:r>
            <w:r>
              <w:rPr>
                <w:rFonts w:hint="eastAsia" w:hAnsi="宋体"/>
                <w:color w:val="auto"/>
                <w:szCs w:val="21"/>
                <w:lang w:val="en-US" w:eastAsia="zh-CN"/>
              </w:rPr>
              <w:t>2024</w:t>
            </w:r>
            <w:r>
              <w:rPr>
                <w:rFonts w:hint="eastAsia" w:hAnsi="宋体"/>
                <w:color w:val="auto"/>
                <w:szCs w:val="21"/>
              </w:rPr>
              <w:t>年</w:t>
            </w:r>
            <w:r>
              <w:rPr>
                <w:rFonts w:hint="eastAsia" w:hAnsi="宋体"/>
                <w:color w:val="auto"/>
                <w:szCs w:val="21"/>
                <w:lang w:val="en-US" w:eastAsia="zh-CN"/>
              </w:rPr>
              <w:t>5</w:t>
            </w:r>
            <w:r>
              <w:rPr>
                <w:rFonts w:hint="eastAsia" w:hAnsi="宋体"/>
                <w:color w:val="auto"/>
                <w:szCs w:val="21"/>
              </w:rPr>
              <w:t>月</w:t>
            </w:r>
            <w:r>
              <w:rPr>
                <w:rFonts w:hint="eastAsia" w:hAnsi="宋体"/>
                <w:color w:val="auto"/>
                <w:szCs w:val="21"/>
                <w:lang w:val="en-US" w:eastAsia="zh-CN"/>
              </w:rPr>
              <w:t>31</w:t>
            </w:r>
            <w:r>
              <w:rPr>
                <w:rFonts w:hint="eastAsia" w:hAnsi="宋体"/>
                <w:color w:val="auto"/>
                <w:szCs w:val="21"/>
              </w:rPr>
              <w:t>日，经过</w:t>
            </w:r>
            <w:r>
              <w:rPr>
                <w:rFonts w:hint="eastAsia" w:hAnsi="宋体"/>
                <w:color w:val="auto"/>
                <w:szCs w:val="21"/>
                <w:lang w:val="en-US" w:eastAsia="zh-CN"/>
              </w:rPr>
              <w:t>多</w:t>
            </w:r>
            <w:r>
              <w:rPr>
                <w:rFonts w:hint="eastAsia" w:hAnsi="宋体"/>
                <w:color w:val="auto"/>
                <w:szCs w:val="21"/>
              </w:rPr>
              <w:t>轮修改讨论，</w:t>
            </w:r>
            <w:r>
              <w:rPr>
                <w:rFonts w:hint="eastAsia" w:hAnsi="宋体"/>
                <w:color w:val="auto"/>
                <w:szCs w:val="21"/>
                <w:lang w:val="en-US" w:eastAsia="zh-CN"/>
              </w:rPr>
              <w:t>形成标准讨论稿</w:t>
            </w:r>
            <w:r>
              <w:rPr>
                <w:rFonts w:hint="eastAsia" w:hAnsi="宋体"/>
                <w:color w:val="auto"/>
                <w:szCs w:val="21"/>
              </w:rPr>
              <w:t>。</w:t>
            </w:r>
          </w:p>
          <w:p>
            <w:pPr>
              <w:pStyle w:val="4"/>
              <w:adjustRightInd w:val="0"/>
              <w:spacing w:line="360" w:lineRule="auto"/>
              <w:ind w:left="0" w:leftChars="0" w:firstLine="0" w:firstLineChars="0"/>
              <w:contextualSpacing/>
              <w:rPr>
                <w:rFonts w:hint="eastAsia" w:ascii="黑体" w:hAnsi="黑体" w:eastAsia="黑体" w:cs="黑体"/>
                <w:color w:val="auto"/>
                <w:szCs w:val="21"/>
              </w:rPr>
            </w:pPr>
            <w:r>
              <w:rPr>
                <w:rFonts w:hint="eastAsia" w:ascii="黑体" w:hAnsi="黑体" w:eastAsia="黑体" w:cs="黑体"/>
                <w:color w:val="auto"/>
                <w:szCs w:val="21"/>
              </w:rPr>
              <w:t>三、</w:t>
            </w:r>
            <w:r>
              <w:rPr>
                <w:rFonts w:hint="eastAsia" w:ascii="黑体" w:hAnsi="黑体" w:eastAsia="黑体" w:cs="黑体"/>
                <w:color w:val="auto"/>
                <w:szCs w:val="21"/>
                <w:lang w:val="en-US" w:eastAsia="zh-CN"/>
              </w:rPr>
              <w:t>形成</w:t>
            </w:r>
            <w:r>
              <w:rPr>
                <w:rFonts w:hint="eastAsia" w:ascii="黑体" w:hAnsi="黑体" w:eastAsia="黑体" w:cs="黑体"/>
                <w:color w:val="auto"/>
                <w:szCs w:val="21"/>
              </w:rPr>
              <w:t>征求意见稿</w:t>
            </w:r>
          </w:p>
          <w:p>
            <w:pPr>
              <w:pStyle w:val="4"/>
              <w:adjustRightInd w:val="0"/>
              <w:spacing w:line="360" w:lineRule="auto"/>
              <w:ind w:firstLine="420" w:firstLineChars="200"/>
              <w:contextualSpacing/>
              <w:rPr>
                <w:rFonts w:hint="eastAsia" w:hAnsi="宋体"/>
                <w:color w:val="auto"/>
                <w:szCs w:val="21"/>
              </w:rPr>
            </w:pPr>
            <w:r>
              <w:rPr>
                <w:rFonts w:hint="eastAsia" w:hAnsi="宋体"/>
                <w:color w:val="auto"/>
                <w:szCs w:val="21"/>
                <w:lang w:val="en-US" w:eastAsia="zh-CN"/>
              </w:rPr>
              <w:t>2024</w:t>
            </w:r>
            <w:r>
              <w:rPr>
                <w:rFonts w:hint="eastAsia" w:hAnsi="宋体"/>
                <w:color w:val="auto"/>
                <w:szCs w:val="21"/>
              </w:rPr>
              <w:t>年</w:t>
            </w:r>
            <w:r>
              <w:rPr>
                <w:rFonts w:hint="eastAsia" w:hAnsi="宋体"/>
                <w:color w:val="auto"/>
                <w:szCs w:val="21"/>
                <w:lang w:val="en-US" w:eastAsia="zh-CN"/>
              </w:rPr>
              <w:t>6</w:t>
            </w:r>
            <w:r>
              <w:rPr>
                <w:rFonts w:hint="eastAsia" w:hAnsi="宋体"/>
                <w:color w:val="auto"/>
                <w:szCs w:val="21"/>
              </w:rPr>
              <w:t>月</w:t>
            </w:r>
            <w:r>
              <w:rPr>
                <w:rFonts w:hint="eastAsia" w:hAnsi="宋体"/>
                <w:color w:val="auto"/>
                <w:szCs w:val="21"/>
                <w:lang w:val="en-US" w:eastAsia="zh-CN"/>
              </w:rPr>
              <w:t>27</w:t>
            </w:r>
            <w:r>
              <w:rPr>
                <w:rFonts w:hint="eastAsia" w:hAnsi="宋体"/>
                <w:color w:val="auto"/>
                <w:szCs w:val="21"/>
              </w:rPr>
              <w:t>日，标准归口部门</w:t>
            </w:r>
            <w:r>
              <w:rPr>
                <w:rFonts w:hint="eastAsia" w:hAnsi="宋体"/>
                <w:color w:val="auto"/>
                <w:szCs w:val="21"/>
                <w:lang w:val="en-US" w:eastAsia="zh-CN"/>
              </w:rPr>
              <w:t>安徽省工业和信息化厅</w:t>
            </w:r>
            <w:r>
              <w:rPr>
                <w:rFonts w:hint="eastAsia" w:hAnsi="宋体"/>
                <w:color w:val="auto"/>
                <w:szCs w:val="21"/>
              </w:rPr>
              <w:t>邀请5位专家组织召开了标准预审会议，工作组根据专家意见进行修改，形成标准征求意见稿。</w:t>
            </w:r>
          </w:p>
          <w:p>
            <w:pPr>
              <w:pStyle w:val="4"/>
              <w:adjustRightInd w:val="0"/>
              <w:spacing w:line="360" w:lineRule="auto"/>
              <w:ind w:left="0" w:leftChars="0" w:firstLine="0" w:firstLineChars="0"/>
              <w:contextualSpacing/>
              <w:rPr>
                <w:rFonts w:hint="eastAsia" w:ascii="黑体" w:hAnsi="黑体" w:eastAsia="黑体" w:cs="黑体"/>
                <w:color w:val="auto"/>
                <w:szCs w:val="21"/>
              </w:rPr>
            </w:pPr>
            <w:r>
              <w:rPr>
                <w:rFonts w:hint="eastAsia" w:ascii="黑体" w:hAnsi="黑体" w:eastAsia="黑体" w:cs="黑体"/>
                <w:color w:val="auto"/>
                <w:szCs w:val="21"/>
              </w:rPr>
              <w:t>四、</w:t>
            </w:r>
            <w:r>
              <w:rPr>
                <w:rFonts w:hint="eastAsia" w:ascii="黑体" w:hAnsi="黑体" w:eastAsia="黑体" w:cs="黑体"/>
                <w:color w:val="auto"/>
                <w:szCs w:val="21"/>
                <w:lang w:val="en-US" w:eastAsia="zh-CN"/>
              </w:rPr>
              <w:t>形成</w:t>
            </w:r>
            <w:r>
              <w:rPr>
                <w:rFonts w:hint="eastAsia" w:ascii="黑体" w:hAnsi="黑体" w:eastAsia="黑体" w:cs="黑体"/>
                <w:color w:val="auto"/>
                <w:szCs w:val="21"/>
              </w:rPr>
              <w:t>送审稿</w:t>
            </w:r>
          </w:p>
          <w:p>
            <w:pPr>
              <w:pStyle w:val="4"/>
              <w:adjustRightInd w:val="0"/>
              <w:spacing w:line="360" w:lineRule="auto"/>
              <w:ind w:firstLine="420" w:firstLineChars="200"/>
              <w:contextualSpacing/>
              <w:rPr>
                <w:rFonts w:hint="eastAsia" w:hAnsi="宋体" w:eastAsia="宋体"/>
                <w:color w:val="auto"/>
                <w:szCs w:val="21"/>
                <w:lang w:val="en-US" w:eastAsia="zh-CN"/>
              </w:rPr>
            </w:pPr>
            <w:r>
              <w:rPr>
                <w:rFonts w:hint="eastAsia" w:hAnsi="宋体"/>
                <w:color w:val="auto"/>
                <w:szCs w:val="21"/>
                <w:lang w:val="en-US" w:eastAsia="zh-CN"/>
              </w:rPr>
              <w:t>暂未进行到该阶段。</w:t>
            </w:r>
          </w:p>
          <w:p>
            <w:pPr>
              <w:pStyle w:val="4"/>
              <w:adjustRightInd w:val="0"/>
              <w:spacing w:line="360" w:lineRule="auto"/>
              <w:contextualSpacing/>
              <w:rPr>
                <w:rFonts w:hint="eastAsia" w:ascii="黑体" w:hAnsi="黑体" w:eastAsia="黑体" w:cs="黑体"/>
                <w:color w:val="auto"/>
                <w:szCs w:val="21"/>
              </w:rPr>
            </w:pPr>
            <w:r>
              <w:rPr>
                <w:rFonts w:hint="eastAsia" w:ascii="黑体" w:hAnsi="黑体" w:eastAsia="黑体" w:cs="黑体"/>
                <w:color w:val="auto"/>
                <w:szCs w:val="21"/>
              </w:rPr>
              <w:t>五、</w:t>
            </w:r>
            <w:r>
              <w:rPr>
                <w:rFonts w:hint="eastAsia" w:ascii="黑体" w:hAnsi="黑体" w:eastAsia="黑体" w:cs="黑体"/>
                <w:color w:val="auto"/>
                <w:szCs w:val="21"/>
                <w:lang w:val="en-US" w:eastAsia="zh-CN"/>
              </w:rPr>
              <w:t>形成</w:t>
            </w:r>
            <w:r>
              <w:rPr>
                <w:rFonts w:hint="eastAsia" w:ascii="黑体" w:hAnsi="黑体" w:eastAsia="黑体" w:cs="黑体"/>
                <w:color w:val="auto"/>
                <w:szCs w:val="21"/>
              </w:rPr>
              <w:t>报批稿</w:t>
            </w:r>
          </w:p>
          <w:p>
            <w:pPr>
              <w:pStyle w:val="4"/>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contextualSpacing/>
              <w:textAlignment w:val="auto"/>
              <w:rPr>
                <w:rFonts w:hAnsi="宋体"/>
                <w:color w:val="auto"/>
                <w:szCs w:val="21"/>
              </w:rPr>
            </w:pPr>
            <w:r>
              <w:rPr>
                <w:rFonts w:hint="eastAsia" w:hAnsi="宋体"/>
                <w:color w:val="auto"/>
                <w:szCs w:val="21"/>
                <w:lang w:val="en-US" w:eastAsia="zh-CN"/>
              </w:rPr>
              <w:t>暂未进行到该阶段。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Ansi="宋体"/>
                <w:color w:val="auto"/>
                <w:szCs w:val="21"/>
              </w:rPr>
            </w:pPr>
            <w:r>
              <w:rPr>
                <w:rFonts w:hint="eastAsia" w:hAnsi="宋体"/>
                <w:color w:val="auto"/>
                <w:szCs w:val="21"/>
              </w:rPr>
              <w:t>2、制定标准的必要性和意义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int="eastAsia" w:hAnsi="宋体"/>
                <w:b/>
                <w:bCs w:val="0"/>
                <w:color w:val="auto"/>
                <w:szCs w:val="21"/>
              </w:rPr>
            </w:pPr>
            <w:r>
              <w:rPr>
                <w:rFonts w:hint="eastAsia" w:hAnsi="宋体"/>
                <w:b/>
                <w:bCs w:val="0"/>
                <w:color w:val="auto"/>
                <w:szCs w:val="21"/>
              </w:rPr>
              <w:t>一、必要性</w:t>
            </w:r>
          </w:p>
          <w:p>
            <w:pPr>
              <w:pStyle w:val="4"/>
              <w:adjustRightInd w:val="0"/>
              <w:spacing w:line="360" w:lineRule="auto"/>
              <w:ind w:firstLine="0" w:firstLineChars="0"/>
              <w:contextualSpacing/>
              <w:rPr>
                <w:rFonts w:hint="eastAsia" w:hAnsi="宋体"/>
                <w:b w:val="0"/>
                <w:bCs/>
                <w:color w:val="auto"/>
                <w:szCs w:val="21"/>
                <w:lang w:val="en-US" w:eastAsia="zh-CN"/>
              </w:rPr>
            </w:pPr>
            <w:r>
              <w:rPr>
                <w:rFonts w:hint="eastAsia" w:hAnsi="宋体"/>
                <w:b w:val="0"/>
                <w:bCs/>
                <w:color w:val="auto"/>
                <w:szCs w:val="21"/>
                <w:lang w:val="en-US" w:eastAsia="zh-CN"/>
              </w:rPr>
              <w:t>1、</w:t>
            </w:r>
            <w:r>
              <w:rPr>
                <w:rFonts w:hint="eastAsia" w:hAnsi="宋体"/>
                <w:b/>
                <w:bCs w:val="0"/>
                <w:color w:val="auto"/>
                <w:szCs w:val="21"/>
                <w:lang w:val="en-US" w:eastAsia="zh-CN"/>
              </w:rPr>
              <w:t>响应政策文件中关于工业互联网发展的要求。</w:t>
            </w:r>
            <w:r>
              <w:rPr>
                <w:rFonts w:hint="eastAsia" w:hAnsi="宋体"/>
                <w:b w:val="0"/>
                <w:bCs/>
                <w:color w:val="auto"/>
                <w:szCs w:val="21"/>
                <w:lang w:val="en-US" w:eastAsia="zh-CN"/>
              </w:rPr>
              <w:t>《中华人民共和国国民经济和社会发展第十四个五年规划和2035年远景目标纲要》中指出：“积极稳妥发展工业互联网和车联网”。《国家标准化发展纲要》中指出：“建立工业互联网标准”。</w:t>
            </w:r>
          </w:p>
          <w:p>
            <w:pPr>
              <w:pStyle w:val="4"/>
              <w:adjustRightInd w:val="0"/>
              <w:spacing w:line="360" w:lineRule="auto"/>
              <w:ind w:firstLine="0" w:firstLineChars="0"/>
              <w:contextualSpacing/>
              <w:rPr>
                <w:rFonts w:hint="eastAsia" w:hAnsi="宋体"/>
                <w:b w:val="0"/>
                <w:bCs/>
                <w:color w:val="auto"/>
                <w:szCs w:val="21"/>
                <w:lang w:val="en-US" w:eastAsia="zh-CN"/>
              </w:rPr>
            </w:pPr>
            <w:r>
              <w:rPr>
                <w:rFonts w:hint="eastAsia" w:hAnsi="宋体"/>
                <w:b w:val="0"/>
                <w:bCs/>
                <w:color w:val="auto"/>
                <w:szCs w:val="21"/>
                <w:lang w:val="en-US" w:eastAsia="zh-CN"/>
              </w:rPr>
              <w:t>2、</w:t>
            </w:r>
            <w:r>
              <w:rPr>
                <w:rFonts w:hint="eastAsia" w:hAnsi="宋体"/>
                <w:b/>
                <w:bCs w:val="0"/>
                <w:color w:val="auto"/>
                <w:szCs w:val="21"/>
                <w:lang w:val="en-US" w:eastAsia="zh-CN"/>
              </w:rPr>
              <w:t>标准缺失。</w:t>
            </w:r>
            <w:r>
              <w:rPr>
                <w:rFonts w:hint="eastAsia" w:hAnsi="宋体"/>
                <w:b w:val="0"/>
                <w:bCs/>
                <w:color w:val="auto"/>
                <w:szCs w:val="21"/>
                <w:lang w:val="en-US" w:eastAsia="zh-CN"/>
              </w:rPr>
              <w:t>目前尚没有立项、发布基于云制造的工业互联网架构相关国家标准、行业标准或安徽省地方标准，亟待完善以引导</w:t>
            </w:r>
            <w:r>
              <w:rPr>
                <w:rFonts w:hint="eastAsia"/>
                <w:color w:val="auto"/>
                <w:lang w:val="en-US" w:eastAsia="zh-CN"/>
              </w:rPr>
              <w:t>制造业</w:t>
            </w:r>
            <w:r>
              <w:rPr>
                <w:rFonts w:hint="eastAsia"/>
                <w:color w:val="auto"/>
              </w:rPr>
              <w:t>工业互联网</w:t>
            </w:r>
            <w:r>
              <w:rPr>
                <w:rFonts w:hint="eastAsia"/>
                <w:color w:val="auto"/>
                <w:lang w:val="en-US" w:eastAsia="zh-CN"/>
              </w:rPr>
              <w:t>网络</w:t>
            </w:r>
            <w:r>
              <w:rPr>
                <w:rFonts w:hint="eastAsia" w:hAnsi="宋体"/>
                <w:b w:val="0"/>
                <w:bCs/>
                <w:color w:val="auto"/>
                <w:szCs w:val="21"/>
                <w:lang w:val="en-US" w:eastAsia="zh-CN"/>
              </w:rPr>
              <w:t>的发展和建设工作。</w:t>
            </w:r>
          </w:p>
          <w:p>
            <w:pPr>
              <w:pStyle w:val="4"/>
              <w:adjustRightInd w:val="0"/>
              <w:spacing w:line="360" w:lineRule="auto"/>
              <w:ind w:firstLine="0" w:firstLineChars="0"/>
              <w:contextualSpacing/>
              <w:rPr>
                <w:rFonts w:hint="eastAsia" w:hAnsi="宋体"/>
                <w:b w:val="0"/>
                <w:bCs/>
                <w:color w:val="auto"/>
                <w:szCs w:val="21"/>
                <w:lang w:val="en-US" w:eastAsia="zh-CN"/>
              </w:rPr>
            </w:pPr>
            <w:r>
              <w:rPr>
                <w:rFonts w:hint="eastAsia" w:hAnsi="宋体"/>
                <w:b w:val="0"/>
                <w:bCs/>
                <w:color w:val="auto"/>
                <w:szCs w:val="21"/>
                <w:lang w:val="en-US" w:eastAsia="zh-CN"/>
              </w:rPr>
              <w:t>3、</w:t>
            </w:r>
            <w:r>
              <w:rPr>
                <w:rFonts w:hint="eastAsia" w:hAnsi="宋体"/>
                <w:b/>
                <w:bCs w:val="0"/>
                <w:color w:val="auto"/>
                <w:szCs w:val="21"/>
                <w:lang w:val="en-US" w:eastAsia="zh-CN"/>
              </w:rPr>
              <w:t>工业互联网平台数量多。</w:t>
            </w:r>
            <w:r>
              <w:rPr>
                <w:rFonts w:hint="eastAsia" w:hAnsi="宋体"/>
                <w:b w:val="0"/>
                <w:bCs/>
                <w:color w:val="auto"/>
                <w:szCs w:val="21"/>
                <w:lang w:val="en-US" w:eastAsia="zh-CN"/>
              </w:rPr>
              <w:t>2023安徽工业产业数智化转型峰会上获悉“截至今年五月，安徽省累计培育重点工业互联网平台130个，进入国家试点示范36个。全省累计推广应用工业机器人4.4万台，建成省级智能工厂175个、数字化车间869个”。</w:t>
            </w:r>
          </w:p>
          <w:p>
            <w:pPr>
              <w:pStyle w:val="4"/>
              <w:adjustRightInd w:val="0"/>
              <w:spacing w:line="360" w:lineRule="auto"/>
              <w:ind w:firstLine="0" w:firstLineChars="0"/>
              <w:contextualSpacing/>
              <w:rPr>
                <w:rFonts w:hint="eastAsia" w:hAnsi="宋体"/>
                <w:b w:val="0"/>
                <w:bCs/>
                <w:color w:val="auto"/>
                <w:szCs w:val="21"/>
                <w:lang w:val="en-US" w:eastAsia="zh-CN"/>
              </w:rPr>
            </w:pPr>
            <w:r>
              <w:rPr>
                <w:rFonts w:hint="eastAsia" w:hAnsi="宋体"/>
                <w:b w:val="0"/>
                <w:bCs/>
                <w:color w:val="auto"/>
                <w:szCs w:val="21"/>
                <w:lang w:val="en-US" w:eastAsia="zh-CN"/>
              </w:rPr>
              <w:t>4、</w:t>
            </w:r>
            <w:r>
              <w:rPr>
                <w:rFonts w:hint="eastAsia" w:hAnsi="宋体"/>
                <w:b/>
                <w:bCs w:val="0"/>
                <w:color w:val="auto"/>
                <w:szCs w:val="21"/>
                <w:lang w:val="en-US" w:eastAsia="zh-CN"/>
              </w:rPr>
              <w:t>传统工业互联网数据难以管理和应用。</w:t>
            </w:r>
            <w:r>
              <w:rPr>
                <w:rFonts w:hint="eastAsia" w:hAnsi="宋体"/>
                <w:b w:val="0"/>
                <w:bCs/>
                <w:color w:val="auto"/>
                <w:szCs w:val="21"/>
                <w:lang w:val="en-US" w:eastAsia="zh-CN"/>
              </w:rPr>
              <w:t>传统的工业互联网数据资源种类较多，包括生产数据信息、供应数据信息、物流数据信息等，这些数据信息的组成复杂，数量庞大，在统一管理时往往存在严重的效率滞后问题。一旦管理效率低下，很容易影响工业产品的物流、生产、售后，对我国工业互联网的发展十分不利。</w:t>
            </w:r>
          </w:p>
          <w:p>
            <w:pPr>
              <w:pStyle w:val="4"/>
              <w:adjustRightInd w:val="0"/>
              <w:spacing w:line="360" w:lineRule="auto"/>
              <w:ind w:firstLine="0" w:firstLineChars="0"/>
              <w:contextualSpacing/>
              <w:rPr>
                <w:rFonts w:hint="eastAsia" w:hAnsi="宋体"/>
                <w:b w:val="0"/>
                <w:bCs/>
                <w:color w:val="auto"/>
                <w:szCs w:val="21"/>
                <w:lang w:val="en-US" w:eastAsia="zh-CN"/>
              </w:rPr>
            </w:pPr>
            <w:r>
              <w:rPr>
                <w:rFonts w:hint="eastAsia" w:hAnsi="宋体"/>
                <w:b w:val="0"/>
                <w:bCs/>
                <w:color w:val="auto"/>
                <w:szCs w:val="21"/>
                <w:lang w:val="en-US" w:eastAsia="zh-CN"/>
              </w:rPr>
              <w:t>5、</w:t>
            </w:r>
            <w:r>
              <w:rPr>
                <w:rFonts w:hint="eastAsia" w:hAnsi="宋体"/>
                <w:b/>
                <w:bCs w:val="0"/>
                <w:color w:val="auto"/>
                <w:szCs w:val="21"/>
                <w:lang w:val="en-US" w:eastAsia="zh-CN"/>
              </w:rPr>
              <w:t>云计算技术在工业互联网数据处理领域存在优势。</w:t>
            </w:r>
            <w:r>
              <w:rPr>
                <w:rFonts w:hint="eastAsia" w:hAnsi="宋体"/>
                <w:b w:val="0"/>
                <w:bCs/>
                <w:color w:val="auto"/>
                <w:szCs w:val="21"/>
                <w:lang w:val="en-US" w:eastAsia="zh-CN"/>
              </w:rPr>
              <w:t>云计算技术是一种特殊的分布计算方法，可以将复杂多样的工业互联网信息数据分解成若干个小的数据单元，进一步提高数据处理的有效性，降低数据处理所耗时长，解决传统工业互联网效率滞后问题，同时降低制造资源的浪费，达到技术实现制造资源的高度共享。</w:t>
            </w:r>
          </w:p>
          <w:p>
            <w:pPr>
              <w:pStyle w:val="4"/>
              <w:adjustRightInd w:val="0"/>
              <w:spacing w:line="360" w:lineRule="auto"/>
              <w:ind w:firstLine="0" w:firstLineChars="0"/>
              <w:contextualSpacing/>
              <w:rPr>
                <w:rFonts w:hint="eastAsia" w:hAnsi="宋体"/>
                <w:b/>
                <w:bCs w:val="0"/>
                <w:color w:val="auto"/>
                <w:szCs w:val="21"/>
              </w:rPr>
            </w:pPr>
            <w:r>
              <w:rPr>
                <w:rFonts w:hint="eastAsia" w:hAnsi="宋体"/>
                <w:b/>
                <w:bCs w:val="0"/>
                <w:color w:val="auto"/>
                <w:szCs w:val="21"/>
              </w:rPr>
              <w:t>二、意义</w:t>
            </w:r>
          </w:p>
          <w:p>
            <w:pPr>
              <w:pStyle w:val="4"/>
              <w:adjustRightInd w:val="0"/>
              <w:spacing w:line="360" w:lineRule="auto"/>
              <w:ind w:firstLine="0" w:firstLineChars="0"/>
              <w:contextualSpacing/>
              <w:rPr>
                <w:rFonts w:hAnsi="宋体"/>
                <w:color w:val="auto"/>
                <w:szCs w:val="21"/>
              </w:rPr>
            </w:pPr>
            <w:r>
              <w:rPr>
                <w:rFonts w:hint="eastAsia" w:hAnsi="宋体"/>
                <w:color w:val="auto"/>
                <w:szCs w:val="21"/>
                <w:lang w:val="en-US" w:eastAsia="zh-CN"/>
              </w:rPr>
              <w:t>1、填补行业标准空白，对我省制造业的工业互联网网络的建设工作具有指导意义</w:t>
            </w:r>
            <w:r>
              <w:rPr>
                <w:rFonts w:hint="eastAsia" w:hAnsi="宋体"/>
                <w:color w:val="auto"/>
                <w:szCs w:val="21"/>
              </w:rPr>
              <w:t>；</w:t>
            </w:r>
          </w:p>
          <w:p>
            <w:pPr>
              <w:pStyle w:val="4"/>
              <w:adjustRightInd w:val="0"/>
              <w:spacing w:line="360" w:lineRule="auto"/>
              <w:ind w:firstLine="0" w:firstLineChars="0"/>
              <w:contextualSpacing/>
              <w:rPr>
                <w:rFonts w:hAnsi="宋体"/>
                <w:color w:val="auto"/>
                <w:szCs w:val="21"/>
              </w:rPr>
            </w:pPr>
            <w:r>
              <w:rPr>
                <w:rFonts w:hint="eastAsia" w:hAnsi="宋体"/>
                <w:color w:val="auto"/>
                <w:szCs w:val="21"/>
                <w:lang w:val="en-US" w:eastAsia="zh-CN"/>
              </w:rPr>
              <w:t>2、可以进一步完善工业互联网的框架体系，提高工业互联网平台的建设水平，推动工业互联网高质量发展。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Ansi="宋体"/>
                <w:color w:val="auto"/>
                <w:szCs w:val="21"/>
              </w:rPr>
            </w:pPr>
            <w:r>
              <w:rPr>
                <w:rFonts w:hint="eastAsia" w:hAnsi="宋体"/>
                <w:color w:val="auto"/>
                <w:szCs w:val="21"/>
              </w:rPr>
              <w:t>3、制定标准的原则和依据，与现行法律法规、标准的关系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tabs>
                <w:tab w:val="left" w:pos="328"/>
                <w:tab w:val="clear" w:pos="4201"/>
                <w:tab w:val="clear" w:pos="9298"/>
              </w:tabs>
              <w:spacing w:line="360" w:lineRule="auto"/>
              <w:ind w:left="0" w:leftChars="0" w:firstLine="0" w:firstLineChars="0"/>
              <w:rPr>
                <w:rFonts w:hint="eastAsia" w:ascii="宋体" w:hAnsi="宋体"/>
                <w:b/>
                <w:color w:val="auto"/>
                <w:kern w:val="2"/>
                <w:sz w:val="21"/>
                <w:szCs w:val="21"/>
                <w:lang w:val="en-US" w:eastAsia="zh-CN" w:bidi="ar-SA"/>
              </w:rPr>
            </w:pPr>
            <w:r>
              <w:rPr>
                <w:rFonts w:hint="eastAsia"/>
                <w:b/>
                <w:color w:val="auto"/>
                <w:kern w:val="2"/>
                <w:sz w:val="21"/>
                <w:szCs w:val="21"/>
                <w:lang w:val="en-US" w:eastAsia="zh-CN" w:bidi="ar-SA"/>
              </w:rPr>
              <w:t xml:space="preserve">一、 </w:t>
            </w:r>
            <w:r>
              <w:rPr>
                <w:rFonts w:hint="eastAsia" w:ascii="宋体" w:hAnsi="宋体"/>
                <w:b/>
                <w:color w:val="auto"/>
                <w:kern w:val="2"/>
                <w:sz w:val="21"/>
                <w:szCs w:val="21"/>
                <w:lang w:val="en-US" w:eastAsia="zh-CN" w:bidi="ar-SA"/>
              </w:rPr>
              <w:t>编制原则：</w:t>
            </w:r>
          </w:p>
          <w:p>
            <w:pPr>
              <w:pStyle w:val="4"/>
              <w:spacing w:line="360" w:lineRule="auto"/>
              <w:ind w:left="0" w:leftChars="0" w:firstLine="0" w:firstLineChars="0"/>
              <w:rPr>
                <w:rFonts w:hint="eastAsia"/>
                <w:b w:val="0"/>
                <w:bCs/>
                <w:color w:val="auto"/>
                <w:kern w:val="2"/>
                <w:sz w:val="21"/>
                <w:szCs w:val="21"/>
                <w:lang w:val="en-US" w:eastAsia="zh-CN" w:bidi="ar-SA"/>
              </w:rPr>
            </w:pPr>
            <w:r>
              <w:rPr>
                <w:rFonts w:hint="eastAsia"/>
                <w:b w:val="0"/>
                <w:bCs/>
                <w:color w:val="auto"/>
                <w:kern w:val="2"/>
                <w:sz w:val="21"/>
                <w:szCs w:val="21"/>
                <w:lang w:val="en-US" w:eastAsia="zh-CN" w:bidi="ar-SA"/>
              </w:rPr>
              <w:t>1、依法原则</w:t>
            </w:r>
          </w:p>
          <w:p>
            <w:pPr>
              <w:pStyle w:val="4"/>
              <w:spacing w:line="360" w:lineRule="auto"/>
              <w:ind w:left="0" w:leftChars="0" w:firstLine="0" w:firstLineChars="0"/>
              <w:rPr>
                <w:rFonts w:hint="eastAsia"/>
                <w:b w:val="0"/>
                <w:bCs/>
                <w:color w:val="auto"/>
                <w:kern w:val="2"/>
                <w:sz w:val="21"/>
                <w:szCs w:val="21"/>
                <w:lang w:val="en-US" w:eastAsia="zh-CN" w:bidi="ar-SA"/>
              </w:rPr>
            </w:pPr>
            <w:r>
              <w:rPr>
                <w:rFonts w:hint="eastAsia"/>
                <w:b w:val="0"/>
                <w:bCs/>
                <w:color w:val="auto"/>
                <w:kern w:val="2"/>
                <w:sz w:val="21"/>
                <w:szCs w:val="21"/>
                <w:lang w:val="en-US" w:eastAsia="zh-CN" w:bidi="ar-SA"/>
              </w:rPr>
              <w:t>标准的内容不应与现行的法律、法规相冲突。本标准在制定过程中，对《网络安全法》《数据安全法》《工业互联网标识管理办法》等相关法律、法规和规范性文件进行了充分研究，并严格遵守相关的规定。</w:t>
            </w:r>
          </w:p>
          <w:p>
            <w:pPr>
              <w:pStyle w:val="4"/>
              <w:spacing w:line="360" w:lineRule="auto"/>
              <w:ind w:left="0" w:leftChars="0" w:firstLine="0" w:firstLineChars="0"/>
              <w:rPr>
                <w:rFonts w:hint="eastAsia"/>
                <w:b w:val="0"/>
                <w:bCs/>
                <w:color w:val="auto"/>
                <w:kern w:val="2"/>
                <w:sz w:val="21"/>
                <w:szCs w:val="21"/>
                <w:lang w:val="en-US" w:eastAsia="zh-CN" w:bidi="ar-SA"/>
              </w:rPr>
            </w:pPr>
            <w:r>
              <w:rPr>
                <w:rFonts w:hint="eastAsia"/>
                <w:b w:val="0"/>
                <w:bCs/>
                <w:color w:val="auto"/>
                <w:kern w:val="2"/>
                <w:sz w:val="21"/>
                <w:szCs w:val="21"/>
                <w:lang w:val="en-US" w:eastAsia="zh-CN" w:bidi="ar-SA"/>
              </w:rPr>
              <w:t>2、科学性</w:t>
            </w:r>
          </w:p>
          <w:p>
            <w:pPr>
              <w:pStyle w:val="4"/>
              <w:spacing w:line="360" w:lineRule="auto"/>
              <w:ind w:left="0" w:leftChars="0" w:firstLine="0" w:firstLineChars="0"/>
              <w:rPr>
                <w:rFonts w:hint="eastAsia"/>
                <w:b w:val="0"/>
                <w:bCs/>
                <w:color w:val="auto"/>
                <w:kern w:val="2"/>
                <w:sz w:val="21"/>
                <w:szCs w:val="21"/>
                <w:lang w:val="en-US" w:eastAsia="zh-CN" w:bidi="ar-SA"/>
              </w:rPr>
            </w:pPr>
            <w:r>
              <w:rPr>
                <w:rFonts w:hint="eastAsia"/>
                <w:b w:val="0"/>
                <w:bCs/>
                <w:color w:val="auto"/>
                <w:kern w:val="2"/>
                <w:sz w:val="21"/>
                <w:szCs w:val="21"/>
                <w:lang w:val="en-US" w:eastAsia="zh-CN" w:bidi="ar-SA"/>
              </w:rPr>
              <w:t>标准的科学性包括技术内容的科学性和研制过程的科学性两个方面。本标准的制定以</w:t>
            </w:r>
            <w:r>
              <w:rPr>
                <w:rFonts w:hint="eastAsia"/>
                <w:b w:val="0"/>
                <w:bCs/>
                <w:color w:val="auto"/>
                <w:kern w:val="2"/>
                <w:sz w:val="21"/>
                <w:szCs w:val="21"/>
                <w:lang w:val="en-US" w:eastAsia="zh-CN" w:bidi="ar-SA"/>
              </w:rPr>
              <w:t>云制造的运行原理为基础，利用云制造服务平台，从网络体系、云制造服务平台、安全保障三个层面提出要求，同时考虑工业互联网整体安全，从而保证本标准技术内容的科学性。本标准的制定过程严格遵循我省地方标准制定程序要求，从而保证标准研制过程的科学性。</w:t>
            </w:r>
          </w:p>
          <w:p>
            <w:pPr>
              <w:pStyle w:val="4"/>
              <w:spacing w:line="360" w:lineRule="auto"/>
              <w:ind w:left="0" w:leftChars="0" w:firstLine="0" w:firstLineChars="0"/>
              <w:rPr>
                <w:rFonts w:hint="eastAsia"/>
                <w:b w:val="0"/>
                <w:bCs/>
                <w:color w:val="auto"/>
                <w:kern w:val="2"/>
                <w:sz w:val="21"/>
                <w:szCs w:val="21"/>
                <w:lang w:val="en-US" w:eastAsia="zh-CN" w:bidi="ar-SA"/>
              </w:rPr>
            </w:pPr>
            <w:r>
              <w:rPr>
                <w:rFonts w:hint="eastAsia"/>
                <w:b w:val="0"/>
                <w:bCs/>
                <w:color w:val="auto"/>
                <w:kern w:val="2"/>
                <w:sz w:val="21"/>
                <w:szCs w:val="21"/>
                <w:lang w:val="en-US" w:eastAsia="zh-CN" w:bidi="ar-SA"/>
              </w:rPr>
              <w:t>3、协调性</w:t>
            </w:r>
          </w:p>
          <w:p>
            <w:pPr>
              <w:pStyle w:val="4"/>
              <w:spacing w:line="360" w:lineRule="auto"/>
              <w:ind w:left="0" w:leftChars="0" w:firstLine="0" w:firstLineChars="0"/>
              <w:rPr>
                <w:rFonts w:hint="eastAsia"/>
                <w:b w:val="0"/>
                <w:bCs/>
                <w:color w:val="auto"/>
                <w:kern w:val="2"/>
                <w:sz w:val="21"/>
                <w:szCs w:val="21"/>
                <w:lang w:val="en-US" w:eastAsia="zh-CN" w:bidi="ar-SA"/>
              </w:rPr>
            </w:pPr>
            <w:r>
              <w:rPr>
                <w:rFonts w:hint="eastAsia"/>
                <w:b w:val="0"/>
                <w:bCs/>
                <w:color w:val="auto"/>
                <w:kern w:val="2"/>
                <w:sz w:val="21"/>
                <w:szCs w:val="21"/>
                <w:lang w:val="en-US" w:eastAsia="zh-CN" w:bidi="ar-SA"/>
              </w:rPr>
              <w:t>本标准在制定过程中，广泛检索法律法规和各级标准，避免本标准与现行法律法规及国家、行业和安徽省地方标准间产生重复、交叉或矛盾，保证了本标准与国家、行业和安徽省地方标准之间协调一致。</w:t>
            </w:r>
          </w:p>
          <w:p>
            <w:pPr>
              <w:pStyle w:val="4"/>
              <w:spacing w:line="360" w:lineRule="auto"/>
              <w:ind w:left="0" w:leftChars="0" w:firstLine="0" w:firstLineChars="0"/>
              <w:rPr>
                <w:rFonts w:hint="eastAsia"/>
                <w:b w:val="0"/>
                <w:bCs/>
                <w:color w:val="auto"/>
                <w:kern w:val="2"/>
                <w:sz w:val="21"/>
                <w:szCs w:val="21"/>
                <w:lang w:val="en-US" w:eastAsia="zh-CN" w:bidi="ar-SA"/>
              </w:rPr>
            </w:pPr>
            <w:r>
              <w:rPr>
                <w:rFonts w:hint="eastAsia"/>
                <w:b w:val="0"/>
                <w:bCs/>
                <w:color w:val="auto"/>
                <w:kern w:val="2"/>
                <w:sz w:val="21"/>
                <w:szCs w:val="21"/>
                <w:lang w:val="en-US" w:eastAsia="zh-CN" w:bidi="ar-SA"/>
              </w:rPr>
              <w:t>4、规范性</w:t>
            </w:r>
          </w:p>
          <w:p>
            <w:pPr>
              <w:pStyle w:val="4"/>
              <w:spacing w:line="360" w:lineRule="auto"/>
              <w:ind w:left="0" w:leftChars="0" w:firstLine="0" w:firstLineChars="0"/>
              <w:rPr>
                <w:rFonts w:hint="eastAsia"/>
                <w:b w:val="0"/>
                <w:bCs/>
                <w:color w:val="auto"/>
                <w:kern w:val="2"/>
                <w:sz w:val="21"/>
                <w:szCs w:val="21"/>
                <w:lang w:val="en-US" w:eastAsia="zh-CN" w:bidi="ar-SA"/>
              </w:rPr>
            </w:pPr>
            <w:r>
              <w:rPr>
                <w:rFonts w:hint="eastAsia"/>
                <w:b w:val="0"/>
                <w:bCs/>
                <w:color w:val="auto"/>
                <w:kern w:val="2"/>
                <w:sz w:val="21"/>
                <w:szCs w:val="21"/>
                <w:lang w:val="en-US" w:eastAsia="zh-CN" w:bidi="ar-SA"/>
              </w:rPr>
              <w:t>本标准按照GB/T 1.1—2020和安徽省地方标准制定程序进行编写，保证了标准在格式、结构和内容等方面的规范性。</w:t>
            </w:r>
          </w:p>
          <w:p>
            <w:pPr>
              <w:pStyle w:val="4"/>
              <w:spacing w:line="360" w:lineRule="auto"/>
              <w:ind w:left="0" w:leftChars="0" w:firstLine="0" w:firstLineChars="0"/>
              <w:rPr>
                <w:rFonts w:hint="eastAsia"/>
                <w:b w:val="0"/>
                <w:bCs/>
                <w:color w:val="auto"/>
                <w:kern w:val="2"/>
                <w:sz w:val="21"/>
                <w:szCs w:val="21"/>
                <w:lang w:val="en-US" w:eastAsia="zh-CN" w:bidi="ar-SA"/>
              </w:rPr>
            </w:pPr>
            <w:r>
              <w:rPr>
                <w:rFonts w:hint="eastAsia"/>
                <w:b w:val="0"/>
                <w:bCs/>
                <w:color w:val="auto"/>
                <w:kern w:val="2"/>
                <w:sz w:val="21"/>
                <w:szCs w:val="21"/>
                <w:lang w:val="en-US" w:eastAsia="zh-CN" w:bidi="ar-SA"/>
              </w:rPr>
              <w:t>5、适用性</w:t>
            </w:r>
          </w:p>
          <w:p>
            <w:pPr>
              <w:pStyle w:val="4"/>
              <w:spacing w:line="360" w:lineRule="auto"/>
              <w:ind w:left="0" w:leftChars="0" w:firstLine="0" w:firstLineChars="0"/>
              <w:rPr>
                <w:rFonts w:hint="eastAsia"/>
                <w:b w:val="0"/>
                <w:bCs/>
                <w:color w:val="auto"/>
                <w:kern w:val="2"/>
                <w:sz w:val="21"/>
                <w:szCs w:val="21"/>
                <w:lang w:val="en-US" w:eastAsia="zh-CN" w:bidi="ar-SA"/>
              </w:rPr>
            </w:pPr>
            <w:r>
              <w:rPr>
                <w:rFonts w:hint="eastAsia"/>
                <w:b w:val="0"/>
                <w:bCs/>
                <w:color w:val="auto"/>
                <w:kern w:val="2"/>
                <w:sz w:val="21"/>
                <w:szCs w:val="21"/>
                <w:lang w:val="en-US" w:eastAsia="zh-CN" w:bidi="ar-SA"/>
              </w:rPr>
              <w:t>标准的适用性指标准便于使用的特性。本标准在制定过程中充分考虑各条款的设置，使标准的内容便于直接使用。</w:t>
            </w:r>
          </w:p>
          <w:p>
            <w:pPr>
              <w:pStyle w:val="4"/>
              <w:spacing w:line="360" w:lineRule="auto"/>
              <w:ind w:left="0" w:leftChars="0" w:firstLine="0" w:firstLineChars="0"/>
              <w:rPr>
                <w:rFonts w:hint="eastAsia" w:ascii="宋体" w:hAnsi="宋体"/>
                <w:b/>
                <w:color w:val="auto"/>
                <w:kern w:val="2"/>
                <w:sz w:val="21"/>
                <w:szCs w:val="21"/>
                <w:lang w:val="en-US" w:eastAsia="zh-CN" w:bidi="ar-SA"/>
              </w:rPr>
            </w:pPr>
            <w:r>
              <w:rPr>
                <w:rFonts w:hint="eastAsia"/>
                <w:b/>
                <w:color w:val="auto"/>
                <w:kern w:val="2"/>
                <w:sz w:val="21"/>
                <w:szCs w:val="21"/>
                <w:lang w:val="en-US" w:eastAsia="zh-CN" w:bidi="ar-SA"/>
              </w:rPr>
              <w:t xml:space="preserve">二、 </w:t>
            </w:r>
            <w:r>
              <w:rPr>
                <w:rFonts w:hint="eastAsia" w:ascii="宋体" w:hAnsi="宋体"/>
                <w:b/>
                <w:color w:val="auto"/>
                <w:kern w:val="2"/>
                <w:sz w:val="21"/>
                <w:szCs w:val="21"/>
                <w:lang w:val="en-US" w:eastAsia="zh-CN" w:bidi="ar-SA"/>
              </w:rPr>
              <w:t>编制依据：</w:t>
            </w:r>
          </w:p>
          <w:p>
            <w:pPr>
              <w:pStyle w:val="4"/>
              <w:spacing w:line="360" w:lineRule="auto"/>
              <w:ind w:left="0" w:leftChars="0" w:firstLine="0" w:firstLineChars="0"/>
              <w:rPr>
                <w:rFonts w:hint="eastAsia" w:ascii="仿宋" w:hAnsi="仿宋" w:eastAsia="仿宋"/>
                <w:color w:val="auto"/>
                <w:szCs w:val="21"/>
              </w:rPr>
            </w:pPr>
            <w:r>
              <w:rPr>
                <w:rFonts w:hint="eastAsia" w:ascii="仿宋" w:hAnsi="仿宋" w:eastAsia="仿宋"/>
                <w:color w:val="auto"/>
                <w:szCs w:val="21"/>
              </w:rPr>
              <w:t>1、国家政策法规</w:t>
            </w:r>
            <w:r>
              <w:rPr>
                <w:rFonts w:hint="eastAsia" w:ascii="仿宋" w:hAnsi="仿宋" w:eastAsia="仿宋"/>
                <w:color w:val="auto"/>
                <w:szCs w:val="21"/>
                <w:lang w:eastAsia="zh-CN"/>
              </w:rPr>
              <w:t>：</w:t>
            </w:r>
            <w:r>
              <w:rPr>
                <w:rFonts w:hint="eastAsia" w:ascii="仿宋" w:hAnsi="仿宋" w:eastAsia="仿宋"/>
                <w:color w:val="auto"/>
                <w:szCs w:val="21"/>
                <w:lang w:val="en-US" w:eastAsia="zh-CN"/>
              </w:rPr>
              <w:t>《网络安全法》《数据安全法》《工业互联网标识管理办法》《国务院关于深化“互联网+先进制造业”发展工业互联网的指导意见》《工业和信息化领域数据安全管理办法（试行）》</w:t>
            </w:r>
            <w:r>
              <w:rPr>
                <w:rFonts w:hint="eastAsia" w:ascii="仿宋" w:hAnsi="仿宋" w:eastAsia="仿宋"/>
                <w:color w:val="auto"/>
                <w:szCs w:val="21"/>
              </w:rPr>
              <w:t>；</w:t>
            </w:r>
          </w:p>
          <w:p>
            <w:pPr>
              <w:pStyle w:val="4"/>
              <w:spacing w:line="360" w:lineRule="auto"/>
              <w:ind w:left="0" w:leftChars="0" w:firstLine="0" w:firstLineChars="0"/>
              <w:rPr>
                <w:rFonts w:ascii="仿宋" w:hAnsi="仿宋" w:eastAsia="仿宋"/>
                <w:color w:val="auto"/>
                <w:szCs w:val="21"/>
              </w:rPr>
            </w:pPr>
            <w:r>
              <w:rPr>
                <w:rFonts w:hint="eastAsia" w:ascii="仿宋" w:hAnsi="仿宋" w:eastAsia="仿宋"/>
                <w:color w:val="auto"/>
                <w:szCs w:val="21"/>
                <w:lang w:val="en-US" w:eastAsia="zh-CN"/>
              </w:rPr>
              <w:t>2</w:t>
            </w:r>
            <w:r>
              <w:rPr>
                <w:rFonts w:hint="eastAsia" w:ascii="仿宋" w:hAnsi="仿宋" w:eastAsia="仿宋"/>
                <w:color w:val="auto"/>
                <w:szCs w:val="21"/>
              </w:rPr>
              <w:t>、GB/T 1.1-2020《标准化工作导则  第一部分：标准化文件的结构和起草规则》</w:t>
            </w:r>
          </w:p>
          <w:p>
            <w:pPr>
              <w:pStyle w:val="4"/>
              <w:spacing w:line="360" w:lineRule="auto"/>
              <w:ind w:left="0" w:leftChars="0" w:firstLine="0" w:firstLineChars="0"/>
              <w:rPr>
                <w:rFonts w:hint="eastAsia" w:ascii="宋体" w:hAnsi="宋体"/>
                <w:b/>
                <w:color w:val="auto"/>
                <w:kern w:val="2"/>
                <w:sz w:val="21"/>
                <w:szCs w:val="21"/>
                <w:lang w:val="en-US" w:eastAsia="zh-CN" w:bidi="ar-SA"/>
              </w:rPr>
            </w:pPr>
            <w:r>
              <w:rPr>
                <w:rFonts w:hint="eastAsia" w:ascii="宋体" w:hAnsi="宋体"/>
                <w:b/>
                <w:color w:val="auto"/>
                <w:kern w:val="2"/>
                <w:sz w:val="21"/>
                <w:szCs w:val="21"/>
                <w:lang w:val="en-US" w:eastAsia="zh-CN" w:bidi="ar-SA"/>
              </w:rPr>
              <w:t>与现行法律法规、标准的关系</w:t>
            </w:r>
          </w:p>
          <w:p>
            <w:pPr>
              <w:pStyle w:val="4"/>
              <w:numPr>
                <w:ilvl w:val="0"/>
                <w:numId w:val="0"/>
              </w:numPr>
              <w:spacing w:line="360" w:lineRule="auto"/>
              <w:ind w:leftChars="0"/>
              <w:rPr>
                <w:rFonts w:hint="eastAsia" w:ascii="仿宋" w:hAnsi="仿宋" w:eastAsia="仿宋"/>
                <w:color w:val="auto"/>
                <w:szCs w:val="21"/>
                <w:lang w:val="en-US" w:eastAsia="zh-CN"/>
              </w:rPr>
            </w:pPr>
            <w:r>
              <w:rPr>
                <w:rFonts w:hint="eastAsia" w:ascii="仿宋" w:hAnsi="仿宋" w:eastAsia="仿宋"/>
                <w:color w:val="auto"/>
                <w:szCs w:val="21"/>
                <w:lang w:val="en-US" w:eastAsia="zh-CN"/>
              </w:rPr>
              <w:t>1、符合现行的《网络安全法》《数据安全法》《工业互联网标识管理办法》《国务院关于深化“互联网+先进制造业”发展工业互联网的指导意见》《工业和信息化领域数据安全管理办法（试行）》等法律法规、规章的要求。</w:t>
            </w:r>
          </w:p>
          <w:p>
            <w:pPr>
              <w:pStyle w:val="4"/>
              <w:numPr>
                <w:ilvl w:val="0"/>
                <w:numId w:val="0"/>
              </w:numPr>
              <w:spacing w:line="360" w:lineRule="auto"/>
              <w:ind w:leftChars="0"/>
              <w:rPr>
                <w:rFonts w:hint="eastAsia" w:ascii="仿宋" w:hAnsi="仿宋" w:eastAsia="仿宋"/>
                <w:color w:val="auto"/>
                <w:szCs w:val="21"/>
                <w:lang w:val="en-US" w:eastAsia="zh-CN"/>
              </w:rPr>
            </w:pPr>
            <w:r>
              <w:rPr>
                <w:rFonts w:hint="eastAsia" w:ascii="仿宋" w:hAnsi="仿宋" w:eastAsia="仿宋"/>
                <w:color w:val="auto"/>
                <w:szCs w:val="21"/>
                <w:lang w:val="en-US" w:eastAsia="zh-CN"/>
              </w:rPr>
              <w:t>2、《中华人民共和国国民经济和社会发展第十四个五年规划和2035年远景目标纲要》中指出：“积极稳妥发展工业互联网和车联网”。《国家标准化发展纲要》中指出：“建立工业互联网标准”，该标准是现行政策文件细化、量化、实施的可操作性化。</w:t>
            </w:r>
          </w:p>
          <w:p>
            <w:pPr>
              <w:pStyle w:val="4"/>
              <w:tabs>
                <w:tab w:val="left" w:pos="2396"/>
                <w:tab w:val="clear" w:pos="4201"/>
              </w:tabs>
              <w:adjustRightInd w:val="0"/>
              <w:spacing w:line="360" w:lineRule="auto"/>
              <w:ind w:firstLine="0" w:firstLineChars="0"/>
              <w:contextualSpacing/>
              <w:rPr>
                <w:rFonts w:hAnsi="宋体"/>
                <w:color w:val="auto"/>
                <w:szCs w:val="21"/>
              </w:rPr>
            </w:pPr>
            <w:r>
              <w:rPr>
                <w:rFonts w:hint="eastAsia" w:ascii="仿宋" w:hAnsi="仿宋" w:eastAsia="仿宋"/>
                <w:color w:val="auto"/>
                <w:szCs w:val="21"/>
                <w:lang w:val="en-US" w:eastAsia="zh-CN"/>
              </w:rPr>
              <w:t>3、本标准的术语定义、相关要求等方面，与现行标准协调一致。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Ansi="宋体"/>
                <w:color w:val="auto"/>
                <w:szCs w:val="21"/>
              </w:rPr>
            </w:pPr>
            <w:r>
              <w:rPr>
                <w:rFonts w:hint="eastAsia" w:hAnsi="宋体"/>
                <w:color w:val="auto"/>
                <w:szCs w:val="21"/>
              </w:rPr>
              <w:t>4、主要条款的说明，主要技术指标、参数、试验验证的论述（</w:t>
            </w:r>
            <w:r>
              <w:rPr>
                <w:rFonts w:hint="eastAsia" w:hAnsi="宋体"/>
                <w:b/>
                <w:color w:val="auto"/>
                <w:szCs w:val="21"/>
              </w:rPr>
              <w:t>详细说明</w:t>
            </w:r>
            <w:r>
              <w:rPr>
                <w:rFonts w:hint="eastAsia" w:hAnsi="宋体"/>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spacing w:line="360" w:lineRule="auto"/>
              <w:ind w:firstLine="409" w:firstLineChars="194"/>
              <w:rPr>
                <w:rFonts w:ascii="仿宋" w:hAnsi="仿宋" w:eastAsia="仿宋" w:cs="Arial"/>
                <w:b/>
                <w:bCs/>
                <w:color w:val="auto"/>
                <w:szCs w:val="21"/>
              </w:rPr>
            </w:pPr>
            <w:r>
              <w:rPr>
                <w:rFonts w:hint="eastAsia" w:ascii="仿宋" w:hAnsi="仿宋" w:eastAsia="仿宋" w:cs="Arial"/>
                <w:b/>
                <w:bCs/>
                <w:color w:val="auto"/>
                <w:szCs w:val="21"/>
                <w:lang w:val="en-US" w:eastAsia="zh-CN"/>
              </w:rPr>
              <w:t>本文件规定了基于云制造的工业互联网架构、网络体系、云制造服务平台以及安全保障等</w:t>
            </w:r>
            <w:r>
              <w:rPr>
                <w:rFonts w:hint="eastAsia" w:ascii="仿宋" w:hAnsi="仿宋" w:eastAsia="仿宋" w:cs="Arial"/>
                <w:b/>
                <w:bCs/>
                <w:color w:val="auto"/>
                <w:szCs w:val="21"/>
              </w:rPr>
              <w:t>。</w:t>
            </w:r>
          </w:p>
          <w:p>
            <w:pPr>
              <w:pStyle w:val="4"/>
              <w:spacing w:line="360" w:lineRule="auto"/>
              <w:ind w:firstLine="409" w:firstLineChars="194"/>
              <w:rPr>
                <w:rFonts w:ascii="仿宋" w:hAnsi="仿宋" w:eastAsia="仿宋" w:cs="Arial"/>
                <w:b/>
                <w:bCs/>
                <w:color w:val="auto"/>
                <w:szCs w:val="21"/>
              </w:rPr>
            </w:pPr>
            <w:r>
              <w:rPr>
                <w:rFonts w:hint="eastAsia" w:ascii="仿宋" w:hAnsi="仿宋" w:eastAsia="仿宋" w:cs="Arial"/>
                <w:b/>
                <w:bCs/>
                <w:color w:val="auto"/>
                <w:szCs w:val="21"/>
              </w:rPr>
              <w:t>本文件适用于安徽省域内</w:t>
            </w:r>
            <w:r>
              <w:rPr>
                <w:rFonts w:hint="eastAsia" w:ascii="仿宋" w:hAnsi="仿宋" w:eastAsia="仿宋" w:cs="Arial"/>
                <w:b/>
                <w:bCs/>
                <w:color w:val="auto"/>
                <w:szCs w:val="21"/>
                <w:lang w:val="en-US" w:eastAsia="zh-CN"/>
              </w:rPr>
              <w:t>制造业的</w:t>
            </w:r>
            <w:r>
              <w:rPr>
                <w:rFonts w:hint="eastAsia" w:ascii="仿宋" w:hAnsi="仿宋" w:eastAsia="仿宋" w:cs="Arial"/>
                <w:b/>
                <w:bCs/>
                <w:color w:val="auto"/>
                <w:szCs w:val="21"/>
              </w:rPr>
              <w:t>工业互联网</w:t>
            </w:r>
            <w:r>
              <w:rPr>
                <w:rFonts w:hint="eastAsia" w:ascii="仿宋" w:hAnsi="仿宋" w:eastAsia="仿宋" w:cs="Arial"/>
                <w:b/>
                <w:bCs/>
                <w:color w:val="auto"/>
                <w:szCs w:val="21"/>
                <w:lang w:val="en-US" w:eastAsia="zh-CN"/>
              </w:rPr>
              <w:t>网络</w:t>
            </w:r>
            <w:r>
              <w:rPr>
                <w:rFonts w:hint="eastAsia" w:ascii="仿宋" w:hAnsi="仿宋" w:eastAsia="仿宋" w:cs="Arial"/>
                <w:b/>
                <w:bCs/>
                <w:color w:val="auto"/>
                <w:szCs w:val="21"/>
              </w:rPr>
              <w:t>的</w:t>
            </w:r>
            <w:r>
              <w:rPr>
                <w:rFonts w:hint="eastAsia" w:ascii="仿宋" w:hAnsi="仿宋" w:eastAsia="仿宋" w:cs="Arial"/>
                <w:b/>
                <w:bCs/>
                <w:color w:val="auto"/>
                <w:szCs w:val="21"/>
                <w:lang w:val="en-US" w:eastAsia="zh-CN"/>
              </w:rPr>
              <w:t>规划、设计、建设和升级改造</w:t>
            </w:r>
            <w:r>
              <w:rPr>
                <w:rFonts w:hint="eastAsia" w:ascii="仿宋" w:hAnsi="仿宋" w:eastAsia="仿宋" w:cs="Arial"/>
                <w:b/>
                <w:bCs/>
                <w:color w:val="auto"/>
                <w:szCs w:val="21"/>
              </w:rPr>
              <w:t>工作。</w:t>
            </w:r>
          </w:p>
          <w:p>
            <w:pPr>
              <w:pStyle w:val="4"/>
              <w:adjustRightInd w:val="0"/>
              <w:spacing w:line="400" w:lineRule="atLeast"/>
              <w:ind w:firstLine="420" w:firstLineChars="200"/>
              <w:contextualSpacing/>
              <w:rPr>
                <w:rFonts w:hint="eastAsia" w:hAnsi="宋体"/>
                <w:b w:val="0"/>
                <w:bCs w:val="0"/>
                <w:color w:val="auto"/>
                <w:szCs w:val="21"/>
              </w:rPr>
            </w:pPr>
            <w:r>
              <w:rPr>
                <w:rFonts w:hint="eastAsia" w:hAnsi="宋体"/>
                <w:b w:val="0"/>
                <w:bCs w:val="0"/>
                <w:color w:val="auto"/>
                <w:szCs w:val="21"/>
                <w:lang w:val="en-US" w:eastAsia="zh-CN"/>
              </w:rPr>
              <w:t>本文件的章节由：范围、规范性引用文件、术语和定义、缩略语、基于云制造的工业互联网架构、网络体系、云制造服务平台、安全保障组成。</w:t>
            </w:r>
            <w:r>
              <w:rPr>
                <w:rFonts w:hint="eastAsia" w:hAnsi="宋体"/>
                <w:b w:val="0"/>
                <w:bCs w:val="0"/>
                <w:color w:val="auto"/>
                <w:szCs w:val="21"/>
              </w:rPr>
              <w:t>其中</w:t>
            </w:r>
            <w:r>
              <w:rPr>
                <w:rFonts w:hint="eastAsia" w:hAnsi="宋体"/>
                <w:b w:val="0"/>
                <w:bCs w:val="0"/>
                <w:color w:val="auto"/>
                <w:szCs w:val="21"/>
                <w:lang w:val="en-US" w:eastAsia="zh-CN"/>
              </w:rPr>
              <w:t>“网络体系”、“云制造服务平台”和“安全保障”</w:t>
            </w:r>
            <w:r>
              <w:rPr>
                <w:rFonts w:hint="eastAsia" w:hAnsi="宋体"/>
                <w:b w:val="0"/>
                <w:bCs w:val="0"/>
                <w:color w:val="auto"/>
                <w:szCs w:val="21"/>
              </w:rPr>
              <w:t>是本标准的主要技术内容。</w:t>
            </w:r>
          </w:p>
          <w:p>
            <w:pPr>
              <w:pStyle w:val="4"/>
              <w:adjustRightInd w:val="0"/>
              <w:spacing w:line="400" w:lineRule="atLeast"/>
              <w:ind w:firstLine="420" w:firstLineChars="200"/>
              <w:contextualSpacing/>
              <w:rPr>
                <w:rFonts w:hint="eastAsia"/>
                <w:color w:val="auto"/>
                <w:lang w:val="en-US" w:eastAsia="zh-CN"/>
              </w:rPr>
            </w:pPr>
            <w:r>
              <w:rPr>
                <w:rFonts w:hint="eastAsia"/>
                <w:color w:val="auto"/>
                <w:lang w:val="en-US" w:eastAsia="zh-CN"/>
              </w:rPr>
              <w:t>“网络体系”和“安全保障”主要参考工业互联网产业联盟发布的《工业互联网体系架构（版本2.0）》。</w:t>
            </w:r>
          </w:p>
          <w:p>
            <w:pPr>
              <w:pStyle w:val="4"/>
              <w:adjustRightInd w:val="0"/>
              <w:spacing w:line="400" w:lineRule="atLeast"/>
              <w:ind w:firstLine="420" w:firstLineChars="200"/>
              <w:contextualSpacing/>
              <w:rPr>
                <w:rFonts w:hAnsi="宋体"/>
                <w:color w:val="auto"/>
                <w:szCs w:val="21"/>
              </w:rPr>
            </w:pPr>
            <w:r>
              <w:rPr>
                <w:rFonts w:hint="eastAsia"/>
                <w:color w:val="auto"/>
                <w:lang w:val="en-US" w:eastAsia="zh-CN"/>
              </w:rPr>
              <w:t>“云制造服务平台”参考李春泉，尚玉玲，胡春杨.云制造的体系结构及其关键技术研究[J].组合机床与自动化加工技术，2011 (07):105-107，将云制造服务平台分为物理资源层、虚拟化层、核心中间件层、应用层、用户层。物理资源层提供产品制造全生命周期中所涉及的各类制造资源的采集和接入。虚拟化层将分散的各类资源虚拟接入到云制造平台，形成虚拟资源并聚集在虚拟资源池中，为云制造平台实现面向服务的资源高效共享与协同提供支持。核心中间件层是云制造服务平台的核心服务层，通过对虚拟资源进行服务化封装、发布等操作，形成云服务，针对不同类型的云服务选择相应的部署方式，并实现对云服务的智能、高效的管理，为用户按需地使用产品制造全生命周期服务提供支持。应用层面对制造业的相关领域和行业，提供产品制造全生命周期的各类服务应用。用户层为用户提供统一的和安全的用户界面，使用户可以在不同地点，不同的客户端环境下，以一致的配置条件和访问权限访问云制造服务平台提供的各种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Ansi="宋体"/>
                <w:color w:val="auto"/>
                <w:szCs w:val="21"/>
              </w:rPr>
            </w:pPr>
            <w:bookmarkStart w:id="0" w:name="_Toc464905613"/>
            <w:bookmarkStart w:id="1" w:name="_Toc465074266"/>
            <w:bookmarkStart w:id="2" w:name="_Toc464905809"/>
            <w:bookmarkStart w:id="3" w:name="_Toc464902852"/>
            <w:bookmarkStart w:id="4" w:name="_Toc464905557"/>
            <w:r>
              <w:rPr>
                <w:rFonts w:hint="eastAsia" w:hAnsi="宋体"/>
                <w:color w:val="auto"/>
                <w:szCs w:val="21"/>
              </w:rPr>
              <w:t>5、标准中如果涉及专利，应有明确的知识产权说明</w:t>
            </w:r>
            <w:bookmarkEnd w:id="0"/>
            <w:bookmarkEnd w:id="1"/>
            <w:bookmarkEnd w:id="2"/>
            <w:bookmarkEnd w:id="3"/>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color w:val="auto"/>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Ansi="宋体"/>
                <w:color w:val="auto"/>
                <w:szCs w:val="21"/>
              </w:rPr>
            </w:pPr>
            <w:bookmarkStart w:id="5" w:name="_Toc464905558"/>
            <w:bookmarkStart w:id="6" w:name="_Toc464902853"/>
            <w:bookmarkStart w:id="7" w:name="_Toc465074267"/>
            <w:bookmarkStart w:id="8" w:name="_Toc464905810"/>
            <w:bookmarkStart w:id="9" w:name="_Toc464905614"/>
            <w:r>
              <w:rPr>
                <w:rFonts w:hint="eastAsia" w:hAnsi="宋体"/>
                <w:color w:val="auto"/>
                <w:szCs w:val="21"/>
              </w:rPr>
              <w:t>6、采用国际标准或国外先进标准的，说明采标程度，以及国内外同类标准水平的对比情况</w:t>
            </w:r>
            <w:bookmarkEnd w:id="5"/>
            <w:bookmarkEnd w:id="6"/>
            <w:bookmarkEnd w:id="7"/>
            <w:bookmarkEnd w:id="8"/>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color w:val="auto"/>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Ansi="宋体"/>
                <w:color w:val="auto"/>
                <w:szCs w:val="21"/>
              </w:rPr>
            </w:pPr>
            <w:bookmarkStart w:id="10" w:name="_Toc465074268"/>
            <w:bookmarkStart w:id="11" w:name="_Toc464905559"/>
            <w:bookmarkStart w:id="12" w:name="_Toc464905615"/>
            <w:bookmarkStart w:id="13" w:name="_Toc464902854"/>
            <w:bookmarkStart w:id="14" w:name="_Toc464905811"/>
            <w:r>
              <w:rPr>
                <w:rFonts w:hint="eastAsia" w:hAnsi="宋体"/>
                <w:color w:val="auto"/>
                <w:szCs w:val="21"/>
              </w:rPr>
              <w:t>7、重大分歧意见的处理经过和依据</w:t>
            </w:r>
            <w:bookmarkEnd w:id="10"/>
            <w:bookmarkEnd w:id="11"/>
            <w:bookmarkEnd w:id="12"/>
            <w:bookmarkEnd w:id="13"/>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color w:val="auto"/>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Ansi="宋体"/>
                <w:color w:val="auto"/>
                <w:szCs w:val="21"/>
              </w:rPr>
            </w:pPr>
            <w:bookmarkStart w:id="15" w:name="_Toc464905560"/>
            <w:bookmarkStart w:id="16" w:name="_Toc464905812"/>
            <w:bookmarkStart w:id="17" w:name="_Toc464902855"/>
            <w:bookmarkStart w:id="18" w:name="_Toc464905616"/>
            <w:bookmarkStart w:id="19" w:name="_Toc465074269"/>
            <w:r>
              <w:rPr>
                <w:rFonts w:hint="eastAsia" w:hAnsi="宋体"/>
                <w:color w:val="auto"/>
                <w:szCs w:val="21"/>
              </w:rPr>
              <w:t>8、贯彻标准的要求和措施建议（包括组织措施、技术措施、过渡办法、实施日期等）</w:t>
            </w:r>
            <w:bookmarkEnd w:id="15"/>
            <w:bookmarkEnd w:id="16"/>
            <w:bookmarkEnd w:id="17"/>
            <w:bookmarkEnd w:id="18"/>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eastAsia="宋体"/>
                <w:color w:val="auto"/>
                <w:szCs w:val="21"/>
                <w:lang w:val="en-US" w:eastAsia="zh-CN"/>
              </w:rPr>
              <w:t>一、组织措施</w:t>
            </w:r>
          </w:p>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eastAsia="宋体"/>
                <w:color w:val="auto"/>
                <w:szCs w:val="21"/>
                <w:lang w:val="en-US" w:eastAsia="zh-CN"/>
              </w:rPr>
              <w:t>标准发布后，建议行业主管部门联合相关行业协会进行标准的宣贯，并在相关网站、报纸等进行标准的宣传，同时建议行业监管部门在日常管理中能参照标准，使标准实施能够真正落到实处。</w:t>
            </w:r>
          </w:p>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eastAsia="宋体"/>
                <w:color w:val="auto"/>
                <w:szCs w:val="21"/>
                <w:lang w:val="en-US" w:eastAsia="zh-CN"/>
              </w:rPr>
              <w:t>二、技术措施</w:t>
            </w:r>
          </w:p>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eastAsia="宋体"/>
                <w:color w:val="auto"/>
                <w:szCs w:val="21"/>
                <w:lang w:val="en-US" w:eastAsia="zh-CN"/>
              </w:rPr>
              <w:t>通过标准的实施、监督、评价和改进活动，推动标准有效运用。</w:t>
            </w:r>
          </w:p>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eastAsia="宋体"/>
                <w:color w:val="auto"/>
                <w:szCs w:val="21"/>
                <w:lang w:val="en-US" w:eastAsia="zh-CN"/>
              </w:rPr>
              <w:t>三、过渡办法</w:t>
            </w:r>
          </w:p>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eastAsia="宋体"/>
                <w:color w:val="auto"/>
                <w:szCs w:val="21"/>
                <w:lang w:val="en-US" w:eastAsia="zh-CN"/>
              </w:rPr>
              <w:t>由相关主管部门联合各级相关部门及</w:t>
            </w:r>
            <w:r>
              <w:rPr>
                <w:rFonts w:hint="eastAsia"/>
                <w:color w:val="auto"/>
              </w:rPr>
              <w:t>安徽省域内</w:t>
            </w:r>
            <w:r>
              <w:rPr>
                <w:rFonts w:hint="eastAsia"/>
                <w:color w:val="auto"/>
                <w:lang w:val="en-US" w:eastAsia="zh-CN"/>
              </w:rPr>
              <w:t>制造业企业</w:t>
            </w:r>
            <w:r>
              <w:rPr>
                <w:rFonts w:hint="eastAsia" w:hAnsi="宋体" w:eastAsia="宋体"/>
                <w:color w:val="auto"/>
                <w:szCs w:val="21"/>
                <w:lang w:val="en-US" w:eastAsia="zh-CN"/>
              </w:rPr>
              <w:t>开展交流活动，并给予不少于3个月的过渡期。</w:t>
            </w:r>
          </w:p>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eastAsia="宋体"/>
                <w:color w:val="auto"/>
                <w:szCs w:val="21"/>
                <w:lang w:val="en-US" w:eastAsia="zh-CN"/>
              </w:rPr>
              <w:t>四、实施日期</w:t>
            </w:r>
          </w:p>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eastAsia="宋体"/>
                <w:color w:val="auto"/>
                <w:szCs w:val="21"/>
                <w:lang w:val="en-US" w:eastAsia="zh-CN"/>
              </w:rPr>
              <w:t>建议标准批准发布后尽快推广实施。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Ansi="宋体"/>
                <w:color w:val="auto"/>
                <w:szCs w:val="21"/>
              </w:rPr>
            </w:pPr>
            <w:bookmarkStart w:id="20" w:name="_Toc464905561"/>
            <w:bookmarkStart w:id="21" w:name="_Toc465074270"/>
            <w:bookmarkStart w:id="22" w:name="_Toc464905813"/>
            <w:bookmarkStart w:id="23" w:name="_Toc464905617"/>
            <w:bookmarkStart w:id="24" w:name="_Toc464902856"/>
            <w:r>
              <w:rPr>
                <w:rFonts w:hint="eastAsia" w:hAnsi="宋体"/>
                <w:color w:val="auto"/>
                <w:szCs w:val="21"/>
              </w:rPr>
              <w:t>9、废止现行相关标准的建议</w:t>
            </w:r>
            <w:bookmarkEnd w:id="20"/>
            <w:bookmarkEnd w:id="21"/>
            <w:bookmarkEnd w:id="22"/>
            <w:bookmarkEnd w:id="23"/>
            <w:bookmarkEnd w:id="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color w:val="auto"/>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Ansi="宋体"/>
                <w:color w:val="auto"/>
                <w:szCs w:val="21"/>
              </w:rPr>
            </w:pPr>
            <w:bookmarkStart w:id="25" w:name="_Toc464905618"/>
            <w:bookmarkStart w:id="26" w:name="_Toc464902857"/>
            <w:bookmarkStart w:id="27" w:name="_Toc464905562"/>
            <w:bookmarkStart w:id="28" w:name="_Toc465074271"/>
            <w:bookmarkStart w:id="29" w:name="_Toc464905814"/>
            <w:r>
              <w:rPr>
                <w:rFonts w:hint="eastAsia" w:hAnsi="宋体"/>
                <w:color w:val="auto"/>
                <w:szCs w:val="21"/>
              </w:rPr>
              <w:t>10、其它应予说明的事项</w:t>
            </w:r>
            <w:bookmarkEnd w:id="25"/>
            <w:bookmarkEnd w:id="26"/>
            <w:bookmarkEnd w:id="27"/>
            <w:bookmarkEnd w:id="28"/>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color w:val="auto"/>
                <w:szCs w:val="21"/>
                <w:lang w:val="en-US" w:eastAsia="zh-CN"/>
              </w:rPr>
              <w:t>无</w:t>
            </w:r>
            <w:bookmarkStart w:id="30" w:name="_GoBack"/>
            <w:bookmarkEnd w:id="30"/>
          </w:p>
        </w:tc>
      </w:tr>
    </w:tbl>
    <w:p>
      <w:pPr>
        <w:pStyle w:val="5"/>
      </w:pPr>
      <w:r>
        <w:rPr>
          <w:rFonts w:hint="eastAsia"/>
        </w:rPr>
        <w:t>没有的请填写 “无”。</w:t>
      </w:r>
    </w:p>
    <w:p>
      <w:pPr>
        <w:pStyle w:val="6"/>
        <w:ind w:firstLine="420"/>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roma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BF04F4"/>
    <w:multiLevelType w:val="multilevel"/>
    <w:tmpl w:val="6DBF04F4"/>
    <w:lvl w:ilvl="0" w:tentative="0">
      <w:start w:val="1"/>
      <w:numFmt w:val="none"/>
      <w:pStyle w:val="5"/>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1NDU4MTE5NDBjMWUzZWRjMjg4YTA5NTQ2YTBhYzAifQ=="/>
  </w:docVars>
  <w:rsids>
    <w:rsidRoot w:val="40643C41"/>
    <w:rsid w:val="01B013E3"/>
    <w:rsid w:val="035C6946"/>
    <w:rsid w:val="03D55C9E"/>
    <w:rsid w:val="05B342FB"/>
    <w:rsid w:val="07033138"/>
    <w:rsid w:val="08612C7C"/>
    <w:rsid w:val="08B80E84"/>
    <w:rsid w:val="09585946"/>
    <w:rsid w:val="09D555AB"/>
    <w:rsid w:val="0A1C6A9F"/>
    <w:rsid w:val="0F1F181D"/>
    <w:rsid w:val="14640297"/>
    <w:rsid w:val="191D200C"/>
    <w:rsid w:val="1A3C799F"/>
    <w:rsid w:val="1A6B1688"/>
    <w:rsid w:val="1C8F3AB5"/>
    <w:rsid w:val="1C9F14E3"/>
    <w:rsid w:val="1C9F61A8"/>
    <w:rsid w:val="1D1814CC"/>
    <w:rsid w:val="1D1E7A70"/>
    <w:rsid w:val="1EB63336"/>
    <w:rsid w:val="21D15CFB"/>
    <w:rsid w:val="23812072"/>
    <w:rsid w:val="25B032B3"/>
    <w:rsid w:val="269F33BA"/>
    <w:rsid w:val="29895968"/>
    <w:rsid w:val="2A303B83"/>
    <w:rsid w:val="2A63474E"/>
    <w:rsid w:val="2B1B7870"/>
    <w:rsid w:val="2BBD2438"/>
    <w:rsid w:val="2C3114EF"/>
    <w:rsid w:val="2F825A6F"/>
    <w:rsid w:val="2FF953EB"/>
    <w:rsid w:val="300D1EFB"/>
    <w:rsid w:val="33342B4C"/>
    <w:rsid w:val="33ED4C54"/>
    <w:rsid w:val="353A0A03"/>
    <w:rsid w:val="389C4D7B"/>
    <w:rsid w:val="38AE5A9A"/>
    <w:rsid w:val="38F65DFD"/>
    <w:rsid w:val="38FA07B1"/>
    <w:rsid w:val="39CF0261"/>
    <w:rsid w:val="39F10A59"/>
    <w:rsid w:val="3C060393"/>
    <w:rsid w:val="3E0A49BA"/>
    <w:rsid w:val="4054758A"/>
    <w:rsid w:val="40643C41"/>
    <w:rsid w:val="45C72805"/>
    <w:rsid w:val="45F33593"/>
    <w:rsid w:val="46CD5DDD"/>
    <w:rsid w:val="479A5E83"/>
    <w:rsid w:val="49AE2123"/>
    <w:rsid w:val="49BA3E32"/>
    <w:rsid w:val="4C286F83"/>
    <w:rsid w:val="4C97122F"/>
    <w:rsid w:val="4CC4439B"/>
    <w:rsid w:val="4E842A12"/>
    <w:rsid w:val="4F11457A"/>
    <w:rsid w:val="5216348F"/>
    <w:rsid w:val="52823A83"/>
    <w:rsid w:val="52D14202"/>
    <w:rsid w:val="54F87ABE"/>
    <w:rsid w:val="55357E69"/>
    <w:rsid w:val="574E3C02"/>
    <w:rsid w:val="5A235674"/>
    <w:rsid w:val="5CD66AEF"/>
    <w:rsid w:val="5DFC17E8"/>
    <w:rsid w:val="5E294F93"/>
    <w:rsid w:val="60ED7870"/>
    <w:rsid w:val="62F558CD"/>
    <w:rsid w:val="64A476FE"/>
    <w:rsid w:val="65020D77"/>
    <w:rsid w:val="67B360FC"/>
    <w:rsid w:val="6868200E"/>
    <w:rsid w:val="6AA37039"/>
    <w:rsid w:val="6BAF7B0E"/>
    <w:rsid w:val="6CEA6F39"/>
    <w:rsid w:val="6E683441"/>
    <w:rsid w:val="6F9B70CB"/>
    <w:rsid w:val="70EC20BF"/>
    <w:rsid w:val="739965D1"/>
    <w:rsid w:val="756B3CA0"/>
    <w:rsid w:val="75BB0559"/>
    <w:rsid w:val="76A66034"/>
    <w:rsid w:val="76FF5CFD"/>
    <w:rsid w:val="779F03AF"/>
    <w:rsid w:val="780951C7"/>
    <w:rsid w:val="7C323B8F"/>
    <w:rsid w:val="7C55727A"/>
    <w:rsid w:val="7EB446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customStyle="1" w:styleId="5">
    <w:name w:val="标准文件_注："/>
    <w:next w:val="6"/>
    <w:qFormat/>
    <w:uiPriority w:val="0"/>
    <w:pPr>
      <w:widowControl w:val="0"/>
      <w:numPr>
        <w:ilvl w:val="0"/>
        <w:numId w:val="1"/>
      </w:numPr>
      <w:autoSpaceDE w:val="0"/>
      <w:autoSpaceDN w:val="0"/>
      <w:jc w:val="both"/>
    </w:pPr>
    <w:rPr>
      <w:rFonts w:ascii="宋体" w:hAnsi="Times New Roman" w:eastAsia="宋体" w:cs="Times New Roman"/>
      <w:kern w:val="0"/>
      <w:sz w:val="18"/>
      <w:szCs w:val="18"/>
      <w:lang w:val="en-US" w:eastAsia="zh-CN" w:bidi="ar-SA"/>
    </w:rPr>
  </w:style>
  <w:style w:type="paragraph" w:customStyle="1" w:styleId="6">
    <w:name w:val="标准文件_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styleId="7">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1738</Words>
  <Characters>1793</Characters>
  <Lines>0</Lines>
  <Paragraphs>0</Paragraphs>
  <TotalTime>2</TotalTime>
  <ScaleCrop>false</ScaleCrop>
  <LinksUpToDate>false</LinksUpToDate>
  <CharactersWithSpaces>1803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2023-02-07T08:34:00Z</dcterms:created>
  <dc:creator>温晓丹</dc:creator>
  <cp:lastModifiedBy>胡欣瑞</cp:lastModifiedBy>
  <dcterms:modified xsi:type="dcterms:W3CDTF">2024-09-09T01:52:57Z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6A18BD2038E04F95BC2B65CF39BCDEF1_12</vt:lpwstr>
  </property>
</Properties>
</file>