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olor w:val="auto"/>
          <w:sz w:val="36"/>
          <w:szCs w:val="36"/>
        </w:rPr>
      </w:pPr>
      <w:r>
        <w:rPr>
          <w:rFonts w:hint="eastAsia" w:ascii="黑体" w:hAnsi="黑体" w:eastAsia="黑体" w:cs="黑体"/>
          <w:color w:val="auto"/>
          <w:sz w:val="36"/>
          <w:szCs w:val="36"/>
        </w:rPr>
        <w:t>安徽省地方标准编制说明</w:t>
      </w:r>
    </w:p>
    <w:tbl>
      <w:tblPr>
        <w:tblStyle w:val="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501"/>
        <w:gridCol w:w="879"/>
        <w:gridCol w:w="112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标准名称</w:t>
            </w:r>
          </w:p>
        </w:tc>
        <w:tc>
          <w:tcPr>
            <w:tcW w:w="7554" w:type="dxa"/>
            <w:gridSpan w:val="4"/>
            <w:vAlign w:val="top"/>
          </w:tcPr>
          <w:p>
            <w:pPr>
              <w:pStyle w:val="4"/>
              <w:adjustRightInd w:val="0"/>
              <w:spacing w:line="360" w:lineRule="auto"/>
              <w:ind w:firstLine="0" w:firstLineChars="0"/>
              <w:contextualSpacing/>
              <w:jc w:val="center"/>
              <w:rPr>
                <w:rFonts w:hint="eastAsia" w:hAnsi="宋体"/>
                <w:color w:val="auto"/>
                <w:szCs w:val="21"/>
                <w:lang w:val="en-US" w:eastAsia="zh-CN"/>
              </w:rPr>
            </w:pPr>
            <w:r>
              <w:rPr>
                <w:rFonts w:hint="eastAsia" w:hAnsi="宋体"/>
                <w:color w:val="auto"/>
                <w:szCs w:val="21"/>
                <w:lang w:val="en-US" w:eastAsia="zh-CN"/>
              </w:rPr>
              <w:t>《工业互联网园区建设指南》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任务来源</w:t>
            </w:r>
          </w:p>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（项目计划号）</w:t>
            </w:r>
          </w:p>
        </w:tc>
        <w:tc>
          <w:tcPr>
            <w:tcW w:w="7554" w:type="dxa"/>
            <w:gridSpan w:val="4"/>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安徽省市场监督管理局《关于下达</w:t>
            </w:r>
            <w:r>
              <w:rPr>
                <w:rFonts w:hint="eastAsia" w:hAnsi="宋体"/>
                <w:color w:val="auto"/>
                <w:szCs w:val="21"/>
                <w:lang w:val="en-US" w:eastAsia="zh-CN"/>
              </w:rPr>
              <w:t>2023</w:t>
            </w:r>
            <w:r>
              <w:rPr>
                <w:rFonts w:hint="eastAsia" w:hAnsi="宋体"/>
                <w:color w:val="auto"/>
                <w:szCs w:val="21"/>
              </w:rPr>
              <w:t>年第三批安徽省地方标准制修订计划的</w:t>
            </w:r>
            <w:r>
              <w:rPr>
                <w:rFonts w:hint="eastAsia" w:hAnsi="宋体"/>
                <w:color w:val="auto"/>
                <w:szCs w:val="21"/>
                <w:lang w:val="en-US" w:eastAsia="zh-CN"/>
              </w:rPr>
              <w:t>通知</w:t>
            </w:r>
            <w:r>
              <w:rPr>
                <w:rFonts w:hint="eastAsia" w:hAnsi="宋体"/>
                <w:color w:val="auto"/>
                <w:szCs w:val="21"/>
              </w:rPr>
              <w:t>》（皖市</w:t>
            </w:r>
            <w:r>
              <w:rPr>
                <w:rFonts w:hint="eastAsia" w:hAnsi="宋体"/>
                <w:color w:val="auto"/>
                <w:szCs w:val="21"/>
                <w:lang w:val="en-US" w:eastAsia="zh-CN"/>
              </w:rPr>
              <w:t>监</w:t>
            </w:r>
            <w:r>
              <w:rPr>
                <w:rFonts w:hint="eastAsia" w:hAnsi="宋体"/>
                <w:color w:val="auto"/>
                <w:szCs w:val="21"/>
              </w:rPr>
              <w:t>函〔20</w:t>
            </w:r>
            <w:r>
              <w:rPr>
                <w:rFonts w:hint="eastAsia" w:hAnsi="宋体"/>
                <w:color w:val="auto"/>
                <w:szCs w:val="21"/>
                <w:lang w:val="en-US" w:eastAsia="zh-CN"/>
              </w:rPr>
              <w:t>23</w:t>
            </w:r>
            <w:r>
              <w:rPr>
                <w:rFonts w:hint="eastAsia" w:hAnsi="宋体"/>
                <w:color w:val="auto"/>
                <w:szCs w:val="21"/>
              </w:rPr>
              <w:t>〕</w:t>
            </w:r>
            <w:r>
              <w:rPr>
                <w:rFonts w:hint="eastAsia" w:hAnsi="宋体"/>
                <w:color w:val="auto"/>
                <w:szCs w:val="21"/>
                <w:lang w:val="en-US" w:eastAsia="zh-CN"/>
              </w:rPr>
              <w:t>622</w:t>
            </w:r>
            <w:r>
              <w:rPr>
                <w:rFonts w:hint="eastAsia" w:hAnsi="宋体"/>
                <w:color w:val="auto"/>
                <w:szCs w:val="21"/>
              </w:rPr>
              <w:t>号）文件，计划编号为20</w:t>
            </w:r>
            <w:r>
              <w:rPr>
                <w:rFonts w:hint="eastAsia" w:hAnsi="宋体"/>
                <w:color w:val="auto"/>
                <w:szCs w:val="21"/>
                <w:lang w:val="en-US" w:eastAsia="zh-CN"/>
              </w:rPr>
              <w:t>23</w:t>
            </w:r>
            <w:r>
              <w:rPr>
                <w:rFonts w:hint="eastAsia" w:hAnsi="宋体"/>
                <w:color w:val="auto"/>
                <w:szCs w:val="21"/>
              </w:rPr>
              <w:t>-3-</w:t>
            </w:r>
            <w:r>
              <w:rPr>
                <w:rFonts w:hint="eastAsia" w:hAnsi="宋体"/>
                <w:color w:val="auto"/>
                <w:szCs w:val="21"/>
                <w:lang w:val="en-US" w:eastAsia="zh-CN"/>
              </w:rPr>
              <w:t>57</w:t>
            </w:r>
            <w:r>
              <w:rPr>
                <w:rFonts w:hint="eastAsia"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第一起草单位</w:t>
            </w:r>
          </w:p>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（盖章</w:t>
            </w:r>
            <w:r>
              <w:rPr>
                <w:rFonts w:hint="eastAsia" w:hAnsi="宋体"/>
                <w:color w:val="auto"/>
                <w:szCs w:val="21"/>
              </w:rPr>
              <w:t>）</w:t>
            </w:r>
          </w:p>
        </w:tc>
        <w:tc>
          <w:tcPr>
            <w:tcW w:w="7554" w:type="dxa"/>
            <w:gridSpan w:val="4"/>
            <w:vAlign w:val="center"/>
          </w:tcPr>
          <w:p>
            <w:pPr>
              <w:pStyle w:val="4"/>
              <w:adjustRightInd w:val="0"/>
              <w:spacing w:line="360" w:lineRule="auto"/>
              <w:ind w:firstLine="0" w:firstLineChars="0"/>
              <w:contextualSpacing/>
              <w:jc w:val="center"/>
              <w:rPr>
                <w:rFonts w:hint="eastAsia" w:hAnsi="宋体"/>
                <w:color w:val="auto"/>
                <w:szCs w:val="21"/>
                <w:lang w:val="en-US" w:eastAsia="zh-CN"/>
              </w:rPr>
            </w:pPr>
            <w:r>
              <w:rPr>
                <w:rFonts w:hint="eastAsia" w:hAnsi="宋体"/>
                <w:color w:val="auto"/>
                <w:szCs w:val="21"/>
                <w:lang w:val="en-US" w:eastAsia="zh-CN"/>
              </w:rPr>
              <w:t>合肥城市云数据中心股份有限公司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单位地址</w:t>
            </w:r>
          </w:p>
        </w:tc>
        <w:tc>
          <w:tcPr>
            <w:tcW w:w="7554" w:type="dxa"/>
            <w:gridSpan w:val="4"/>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安徽省合肥市</w:t>
            </w:r>
            <w:r>
              <w:rPr>
                <w:rFonts w:hint="eastAsia" w:hAnsi="宋体"/>
                <w:color w:val="auto"/>
                <w:szCs w:val="21"/>
                <w:lang w:val="en-US" w:eastAsia="zh-CN"/>
              </w:rPr>
              <w:t>高新区玉兰大道767号机电产业园西二路科大国祯大厦二层、四层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参与起草单位</w:t>
            </w:r>
          </w:p>
        </w:tc>
        <w:tc>
          <w:tcPr>
            <w:tcW w:w="7554" w:type="dxa"/>
            <w:gridSpan w:val="4"/>
            <w:vAlign w:val="center"/>
          </w:tcPr>
          <w:p>
            <w:pPr>
              <w:pStyle w:val="4"/>
              <w:adjustRightInd w:val="0"/>
              <w:spacing w:line="360" w:lineRule="auto"/>
              <w:ind w:firstLine="0" w:firstLineChars="0"/>
              <w:contextualSpacing/>
              <w:jc w:val="left"/>
              <w:rPr>
                <w:rFonts w:hint="eastAsia" w:hAnsi="宋体"/>
                <w:color w:val="auto"/>
                <w:szCs w:val="21"/>
                <w:lang w:val="en-US" w:eastAsia="zh-CN"/>
              </w:rPr>
            </w:pPr>
            <w:r>
              <w:rPr>
                <w:rFonts w:hint="eastAsia" w:hAnsi="宋体"/>
                <w:color w:val="auto"/>
                <w:szCs w:val="21"/>
                <w:lang w:val="en-US" w:eastAsia="zh-CN"/>
              </w:rPr>
              <w:t>宁国云计算信息科技有限公司、安徽三实软件科技有限公司、羚羊工业互联网股份有限公司、安徽省质量和标准化研究院、合肥博尔佳电子科技有限公司、合肥斯欧互联科技股份有限公司、卓源信息科技股份有限公司、安徽省优质采科技发展有限责任公司、安徽工赋云为科技有限公司、合肥若果科技有限公司、安徽祯欣互联科技有限公司、安徽中科大国祯信息科技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标准起草人</w:t>
            </w:r>
          </w:p>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序号</w:t>
            </w:r>
          </w:p>
        </w:tc>
        <w:tc>
          <w:tcPr>
            <w:tcW w:w="1322"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姓名</w:t>
            </w:r>
          </w:p>
        </w:tc>
        <w:tc>
          <w:tcPr>
            <w:tcW w:w="3501"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单位</w:t>
            </w:r>
          </w:p>
        </w:tc>
        <w:tc>
          <w:tcPr>
            <w:tcW w:w="879"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职务</w:t>
            </w:r>
          </w:p>
        </w:tc>
        <w:tc>
          <w:tcPr>
            <w:tcW w:w="1122"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职称</w:t>
            </w:r>
          </w:p>
        </w:tc>
        <w:tc>
          <w:tcPr>
            <w:tcW w:w="2052" w:type="dxa"/>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1</w:t>
            </w:r>
          </w:p>
        </w:tc>
        <w:tc>
          <w:tcPr>
            <w:tcW w:w="1322"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w:t>
            </w:r>
          </w:p>
        </w:tc>
        <w:tc>
          <w:tcPr>
            <w:tcW w:w="3501"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lang w:val="en-US" w:eastAsia="zh-CN"/>
              </w:rPr>
              <w:t>合肥城市云数据中心股份有限公司</w:t>
            </w:r>
          </w:p>
        </w:tc>
        <w:tc>
          <w:tcPr>
            <w:tcW w:w="879"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w:t>
            </w:r>
          </w:p>
        </w:tc>
        <w:tc>
          <w:tcPr>
            <w:tcW w:w="1122" w:type="dxa"/>
            <w:vAlign w:val="center"/>
          </w:tcPr>
          <w:p>
            <w:pPr>
              <w:pStyle w:val="4"/>
              <w:adjustRightInd w:val="0"/>
              <w:spacing w:line="360" w:lineRule="auto"/>
              <w:ind w:firstLine="0" w:firstLineChars="0"/>
              <w:contextualSpacing/>
              <w:jc w:val="center"/>
              <w:rPr>
                <w:rFonts w:hint="eastAsia" w:hAnsi="宋体"/>
                <w:color w:val="auto"/>
                <w:szCs w:val="21"/>
              </w:rPr>
            </w:pPr>
            <w:r>
              <w:rPr>
                <w:rFonts w:hint="eastAsia" w:hAnsi="宋体"/>
                <w:color w:val="auto"/>
                <w:szCs w:val="21"/>
              </w:rPr>
              <w:t>***</w:t>
            </w:r>
          </w:p>
        </w:tc>
        <w:tc>
          <w:tcPr>
            <w:tcW w:w="2052" w:type="dxa"/>
            <w:vAlign w:val="center"/>
          </w:tcPr>
          <w:p>
            <w:pPr>
              <w:pStyle w:val="4"/>
              <w:adjustRightInd w:val="0"/>
              <w:spacing w:line="360" w:lineRule="auto"/>
              <w:ind w:firstLine="0" w:firstLineChars="0"/>
              <w:contextualSpacing/>
              <w:jc w:val="center"/>
              <w:rPr>
                <w:rFonts w:hint="default" w:hAnsi="宋体"/>
                <w:color w:val="auto"/>
                <w:szCs w:val="21"/>
                <w:lang w:val="en-US"/>
              </w:rPr>
            </w:pPr>
            <w:r>
              <w:rPr>
                <w:rFonts w:hint="eastAsia" w:hAnsi="宋体"/>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4"/>
              <w:adjustRightInd w:val="0"/>
              <w:spacing w:line="360" w:lineRule="auto"/>
              <w:ind w:firstLine="0" w:firstLineChars="0"/>
              <w:contextualSpacing/>
              <w:rPr>
                <w:rFonts w:hAnsi="宋体"/>
                <w:color w:val="auto"/>
                <w:szCs w:val="21"/>
              </w:rPr>
            </w:pPr>
          </w:p>
        </w:tc>
        <w:tc>
          <w:tcPr>
            <w:tcW w:w="1322" w:type="dxa"/>
            <w:vAlign w:val="center"/>
          </w:tcPr>
          <w:p>
            <w:pPr>
              <w:pStyle w:val="4"/>
              <w:adjustRightInd w:val="0"/>
              <w:spacing w:line="360" w:lineRule="auto"/>
              <w:ind w:firstLine="0" w:firstLineChars="0"/>
              <w:contextualSpacing/>
              <w:rPr>
                <w:rFonts w:hAnsi="宋体"/>
                <w:color w:val="auto"/>
                <w:szCs w:val="21"/>
              </w:rPr>
            </w:pPr>
          </w:p>
        </w:tc>
        <w:tc>
          <w:tcPr>
            <w:tcW w:w="3501" w:type="dxa"/>
            <w:vAlign w:val="center"/>
          </w:tcPr>
          <w:p>
            <w:pPr>
              <w:pStyle w:val="4"/>
              <w:adjustRightInd w:val="0"/>
              <w:spacing w:line="360" w:lineRule="auto"/>
              <w:ind w:firstLine="0" w:firstLineChars="0"/>
              <w:contextualSpacing/>
              <w:rPr>
                <w:rFonts w:hAnsi="宋体"/>
                <w:color w:val="auto"/>
                <w:szCs w:val="21"/>
              </w:rPr>
            </w:pPr>
          </w:p>
        </w:tc>
        <w:tc>
          <w:tcPr>
            <w:tcW w:w="879" w:type="dxa"/>
            <w:vAlign w:val="center"/>
          </w:tcPr>
          <w:p>
            <w:pPr>
              <w:pStyle w:val="4"/>
              <w:adjustRightInd w:val="0"/>
              <w:spacing w:line="360" w:lineRule="auto"/>
              <w:ind w:firstLine="0" w:firstLineChars="0"/>
              <w:contextualSpacing/>
              <w:rPr>
                <w:rFonts w:hAnsi="宋体"/>
                <w:color w:val="auto"/>
                <w:szCs w:val="21"/>
              </w:rPr>
            </w:pPr>
          </w:p>
        </w:tc>
        <w:tc>
          <w:tcPr>
            <w:tcW w:w="1122" w:type="dxa"/>
            <w:vAlign w:val="center"/>
          </w:tcPr>
          <w:p>
            <w:pPr>
              <w:pStyle w:val="4"/>
              <w:adjustRightInd w:val="0"/>
              <w:spacing w:line="360" w:lineRule="auto"/>
              <w:ind w:firstLine="0" w:firstLineChars="0"/>
              <w:contextualSpacing/>
              <w:rPr>
                <w:rFonts w:hAnsi="宋体"/>
                <w:color w:val="auto"/>
                <w:szCs w:val="21"/>
              </w:rPr>
            </w:pPr>
          </w:p>
        </w:tc>
        <w:tc>
          <w:tcPr>
            <w:tcW w:w="2052" w:type="dxa"/>
            <w:vAlign w:val="center"/>
          </w:tcPr>
          <w:p>
            <w:pPr>
              <w:pStyle w:val="4"/>
              <w:adjustRightInd w:val="0"/>
              <w:spacing w:line="360" w:lineRule="auto"/>
              <w:ind w:firstLine="0" w:firstLineChars="0"/>
              <w:contextualSpacing/>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jc w:val="center"/>
              <w:rPr>
                <w:rFonts w:hAnsi="宋体"/>
                <w:color w:val="auto"/>
                <w:szCs w:val="21"/>
              </w:rPr>
            </w:pPr>
            <w:r>
              <w:rPr>
                <w:rFonts w:hint="eastAsia" w:hAnsi="宋体"/>
                <w:color w:val="auto"/>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一、成立起草组</w:t>
            </w:r>
          </w:p>
          <w:p>
            <w:pPr>
              <w:pStyle w:val="4"/>
              <w:adjustRightInd w:val="0"/>
              <w:spacing w:line="360" w:lineRule="auto"/>
              <w:ind w:firstLine="420" w:firstLineChars="200"/>
              <w:contextualSpacing/>
              <w:rPr>
                <w:rFonts w:hint="eastAsia" w:hAnsi="宋体"/>
                <w:color w:val="auto"/>
                <w:szCs w:val="21"/>
              </w:rPr>
            </w:pPr>
            <w:r>
              <w:rPr>
                <w:rFonts w:hint="eastAsia" w:hAnsi="宋体"/>
                <w:color w:val="auto"/>
                <w:szCs w:val="21"/>
                <w:lang w:val="en-US" w:eastAsia="zh-CN"/>
              </w:rPr>
              <w:t>2023</w:t>
            </w:r>
            <w:r>
              <w:rPr>
                <w:rFonts w:hint="eastAsia" w:hAnsi="宋体"/>
                <w:color w:val="auto"/>
                <w:szCs w:val="21"/>
              </w:rPr>
              <w:t>年</w:t>
            </w:r>
            <w:r>
              <w:rPr>
                <w:rFonts w:hint="eastAsia" w:hAnsi="宋体"/>
                <w:color w:val="auto"/>
                <w:szCs w:val="21"/>
                <w:lang w:val="en-US" w:eastAsia="zh-CN"/>
              </w:rPr>
              <w:t>12</w:t>
            </w:r>
            <w:r>
              <w:rPr>
                <w:rFonts w:hint="eastAsia" w:hAnsi="宋体"/>
                <w:color w:val="auto"/>
                <w:szCs w:val="21"/>
              </w:rPr>
              <w:t>月</w:t>
            </w:r>
            <w:r>
              <w:rPr>
                <w:rFonts w:hint="eastAsia" w:hAnsi="宋体"/>
                <w:color w:val="auto"/>
                <w:szCs w:val="21"/>
                <w:lang w:val="en-US" w:eastAsia="zh-CN"/>
              </w:rPr>
              <w:t>6</w:t>
            </w:r>
            <w:r>
              <w:rPr>
                <w:rFonts w:hint="eastAsia" w:hAnsi="宋体"/>
                <w:color w:val="auto"/>
                <w:szCs w:val="21"/>
              </w:rPr>
              <w:t>日，安徽省市场监督管理局《关于下达</w:t>
            </w:r>
            <w:r>
              <w:rPr>
                <w:rFonts w:hint="eastAsia" w:hAnsi="宋体"/>
                <w:color w:val="auto"/>
                <w:szCs w:val="21"/>
                <w:lang w:val="en-US" w:eastAsia="zh-CN"/>
              </w:rPr>
              <w:t>2023</w:t>
            </w:r>
            <w:r>
              <w:rPr>
                <w:rFonts w:hint="eastAsia" w:hAnsi="宋体"/>
                <w:color w:val="auto"/>
                <w:szCs w:val="21"/>
              </w:rPr>
              <w:t>年第三批安徽省地方标准制修订计划的</w:t>
            </w:r>
            <w:r>
              <w:rPr>
                <w:rFonts w:hint="eastAsia" w:hAnsi="宋体"/>
                <w:color w:val="auto"/>
                <w:szCs w:val="21"/>
                <w:lang w:val="en-US" w:eastAsia="zh-CN"/>
              </w:rPr>
              <w:t>通知</w:t>
            </w:r>
            <w:r>
              <w:rPr>
                <w:rFonts w:hint="eastAsia" w:hAnsi="宋体"/>
                <w:color w:val="auto"/>
                <w:szCs w:val="21"/>
              </w:rPr>
              <w:t>》（皖市</w:t>
            </w:r>
            <w:r>
              <w:rPr>
                <w:rFonts w:hint="eastAsia" w:hAnsi="宋体"/>
                <w:color w:val="auto"/>
                <w:szCs w:val="21"/>
                <w:lang w:val="en-US" w:eastAsia="zh-CN"/>
              </w:rPr>
              <w:t>监</w:t>
            </w:r>
            <w:r>
              <w:rPr>
                <w:rFonts w:hint="eastAsia" w:hAnsi="宋体"/>
                <w:color w:val="auto"/>
                <w:szCs w:val="21"/>
              </w:rPr>
              <w:t>函〔20</w:t>
            </w:r>
            <w:r>
              <w:rPr>
                <w:rFonts w:hint="eastAsia" w:hAnsi="宋体"/>
                <w:color w:val="auto"/>
                <w:szCs w:val="21"/>
                <w:lang w:val="en-US" w:eastAsia="zh-CN"/>
              </w:rPr>
              <w:t>23</w:t>
            </w:r>
            <w:r>
              <w:rPr>
                <w:rFonts w:hint="eastAsia" w:hAnsi="宋体"/>
                <w:color w:val="auto"/>
                <w:szCs w:val="21"/>
              </w:rPr>
              <w:t>〕</w:t>
            </w:r>
            <w:r>
              <w:rPr>
                <w:rFonts w:hint="eastAsia" w:hAnsi="宋体"/>
                <w:color w:val="auto"/>
                <w:szCs w:val="21"/>
                <w:lang w:val="en-US" w:eastAsia="zh-CN"/>
              </w:rPr>
              <w:t>622</w:t>
            </w:r>
            <w:r>
              <w:rPr>
                <w:rFonts w:hint="eastAsia" w:hAnsi="宋体"/>
                <w:color w:val="auto"/>
                <w:szCs w:val="21"/>
              </w:rPr>
              <w:t>号）下发后，为确保高质量的推进标准编制工作，标准起草单位</w:t>
            </w:r>
            <w:r>
              <w:rPr>
                <w:rFonts w:hint="eastAsia" w:hAnsi="宋体"/>
                <w:color w:val="auto"/>
                <w:szCs w:val="21"/>
                <w:lang w:val="en-US" w:eastAsia="zh-CN"/>
              </w:rPr>
              <w:t>合肥城市云数据中心股份有限公司</w:t>
            </w:r>
            <w:r>
              <w:rPr>
                <w:rFonts w:hint="eastAsia" w:hAnsi="宋体"/>
                <w:color w:val="auto"/>
                <w:szCs w:val="21"/>
              </w:rPr>
              <w:t>组织各参编单位立即成立标准编制工作组，拟订了工作计划，明确了起草组成员及相关职责等。</w:t>
            </w:r>
          </w:p>
          <w:p>
            <w:pPr>
              <w:pStyle w:val="4"/>
              <w:adjustRightInd w:val="0"/>
              <w:spacing w:line="360" w:lineRule="auto"/>
              <w:ind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二、</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标准讨论稿</w:t>
            </w:r>
          </w:p>
          <w:p>
            <w:pPr>
              <w:pStyle w:val="4"/>
              <w:adjustRightInd w:val="0"/>
              <w:spacing w:line="360" w:lineRule="auto"/>
              <w:ind w:firstLine="420" w:firstLineChars="200"/>
              <w:contextualSpacing/>
              <w:rPr>
                <w:rFonts w:hint="eastAsia" w:hAnsi="宋体"/>
                <w:color w:val="auto"/>
                <w:szCs w:val="21"/>
              </w:rPr>
            </w:pPr>
            <w:r>
              <w:rPr>
                <w:rFonts w:hint="eastAsia" w:hAnsi="宋体"/>
                <w:color w:val="auto"/>
                <w:szCs w:val="21"/>
                <w:lang w:val="en-US" w:eastAsia="zh-CN"/>
              </w:rPr>
              <w:t>2023</w:t>
            </w:r>
            <w:r>
              <w:rPr>
                <w:rFonts w:hint="eastAsia" w:hAnsi="宋体"/>
                <w:color w:val="auto"/>
                <w:szCs w:val="21"/>
              </w:rPr>
              <w:t>年</w:t>
            </w:r>
            <w:r>
              <w:rPr>
                <w:rFonts w:hint="eastAsia" w:hAnsi="宋体"/>
                <w:color w:val="auto"/>
                <w:szCs w:val="21"/>
                <w:lang w:val="en-US" w:eastAsia="zh-CN"/>
              </w:rPr>
              <w:t>12</w:t>
            </w:r>
            <w:r>
              <w:rPr>
                <w:rFonts w:hint="eastAsia" w:hAnsi="宋体"/>
                <w:color w:val="auto"/>
                <w:szCs w:val="21"/>
              </w:rPr>
              <w:t>月-</w:t>
            </w:r>
            <w:r>
              <w:rPr>
                <w:rFonts w:hint="eastAsia" w:hAnsi="宋体"/>
                <w:color w:val="auto"/>
                <w:szCs w:val="21"/>
                <w:lang w:val="en-US" w:eastAsia="zh-CN"/>
              </w:rPr>
              <w:t>2024年5</w:t>
            </w:r>
            <w:r>
              <w:rPr>
                <w:rFonts w:hint="eastAsia" w:hAnsi="宋体"/>
                <w:color w:val="auto"/>
                <w:szCs w:val="21"/>
              </w:rPr>
              <w:t>月，工作组查阅了</w:t>
            </w:r>
            <w:r>
              <w:rPr>
                <w:rFonts w:hint="eastAsia" w:hAnsi="宋体"/>
                <w:color w:val="auto"/>
                <w:szCs w:val="21"/>
                <w:lang w:val="en-US" w:eastAsia="zh-CN"/>
              </w:rPr>
              <w:t>《网络安全法》《数据安全法》《工业互联网标识管理办法》《国务院关于深化“互联网+先进制造业”发展工业互联网的指导意见》《工业和信息化领域数据安全管理办法（试行）》</w:t>
            </w:r>
            <w:r>
              <w:rPr>
                <w:rFonts w:hint="eastAsia" w:hAnsi="宋体"/>
                <w:color w:val="auto"/>
                <w:szCs w:val="21"/>
              </w:rPr>
              <w:t>国家法律法规等相关政策文件和相关资料，根据收集到的有关资料，工作组起草了标准，形成草案</w:t>
            </w:r>
            <w:r>
              <w:rPr>
                <w:rFonts w:hint="eastAsia" w:hAnsi="宋体"/>
                <w:color w:val="auto"/>
                <w:szCs w:val="21"/>
                <w:lang w:eastAsia="zh-CN"/>
              </w:rPr>
              <w:t>。</w:t>
            </w:r>
            <w:r>
              <w:rPr>
                <w:rFonts w:hint="eastAsia" w:hAnsi="宋体"/>
                <w:color w:val="auto"/>
                <w:szCs w:val="21"/>
                <w:lang w:val="en-US" w:eastAsia="zh-CN"/>
              </w:rPr>
              <w:t>2024</w:t>
            </w:r>
            <w:r>
              <w:rPr>
                <w:rFonts w:hint="eastAsia" w:hAnsi="宋体"/>
                <w:color w:val="auto"/>
                <w:szCs w:val="21"/>
              </w:rPr>
              <w:t>年</w:t>
            </w:r>
            <w:r>
              <w:rPr>
                <w:rFonts w:hint="eastAsia" w:hAnsi="宋体"/>
                <w:color w:val="auto"/>
                <w:szCs w:val="21"/>
                <w:lang w:val="en-US" w:eastAsia="zh-CN"/>
              </w:rPr>
              <w:t>5</w:t>
            </w:r>
            <w:r>
              <w:rPr>
                <w:rFonts w:hint="eastAsia" w:hAnsi="宋体"/>
                <w:color w:val="auto"/>
                <w:szCs w:val="21"/>
              </w:rPr>
              <w:t>月</w:t>
            </w:r>
            <w:r>
              <w:rPr>
                <w:rFonts w:hint="eastAsia" w:hAnsi="宋体"/>
                <w:color w:val="auto"/>
                <w:szCs w:val="21"/>
                <w:lang w:val="en-US" w:eastAsia="zh-CN"/>
              </w:rPr>
              <w:t>31</w:t>
            </w:r>
            <w:r>
              <w:rPr>
                <w:rFonts w:hint="eastAsia" w:hAnsi="宋体"/>
                <w:color w:val="auto"/>
                <w:szCs w:val="21"/>
              </w:rPr>
              <w:t>日，经过</w:t>
            </w:r>
            <w:r>
              <w:rPr>
                <w:rFonts w:hint="eastAsia" w:hAnsi="宋体"/>
                <w:color w:val="auto"/>
                <w:szCs w:val="21"/>
                <w:lang w:val="en-US" w:eastAsia="zh-CN"/>
              </w:rPr>
              <w:t>多</w:t>
            </w:r>
            <w:r>
              <w:rPr>
                <w:rFonts w:hint="eastAsia" w:hAnsi="宋体"/>
                <w:color w:val="auto"/>
                <w:szCs w:val="21"/>
              </w:rPr>
              <w:t>轮修改讨论，</w:t>
            </w:r>
            <w:r>
              <w:rPr>
                <w:rFonts w:hint="eastAsia" w:hAnsi="宋体"/>
                <w:color w:val="auto"/>
                <w:szCs w:val="21"/>
                <w:lang w:val="en-US" w:eastAsia="zh-CN"/>
              </w:rPr>
              <w:t>形成标准讨论稿</w:t>
            </w:r>
            <w:r>
              <w:rPr>
                <w:rFonts w:hint="eastAsia" w:hAnsi="宋体"/>
                <w:color w:val="auto"/>
                <w:szCs w:val="21"/>
              </w:rPr>
              <w:t>。</w:t>
            </w:r>
          </w:p>
          <w:p>
            <w:pPr>
              <w:pStyle w:val="4"/>
              <w:adjustRightInd w:val="0"/>
              <w:spacing w:line="360" w:lineRule="auto"/>
              <w:ind w:left="0" w:leftChars="0"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三、</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征求意见稿</w:t>
            </w:r>
          </w:p>
          <w:p>
            <w:pPr>
              <w:pStyle w:val="4"/>
              <w:adjustRightInd w:val="0"/>
              <w:spacing w:line="360" w:lineRule="auto"/>
              <w:ind w:firstLine="420" w:firstLineChars="200"/>
              <w:contextualSpacing/>
              <w:rPr>
                <w:rFonts w:hint="eastAsia" w:hAnsi="宋体"/>
                <w:color w:val="auto"/>
                <w:szCs w:val="21"/>
              </w:rPr>
            </w:pPr>
            <w:r>
              <w:rPr>
                <w:rFonts w:hint="eastAsia" w:hAnsi="宋体"/>
                <w:color w:val="auto"/>
                <w:szCs w:val="21"/>
                <w:lang w:val="en-US" w:eastAsia="zh-CN"/>
              </w:rPr>
              <w:t>2024</w:t>
            </w:r>
            <w:r>
              <w:rPr>
                <w:rFonts w:hint="eastAsia" w:hAnsi="宋体"/>
                <w:color w:val="auto"/>
                <w:szCs w:val="21"/>
              </w:rPr>
              <w:t>年</w:t>
            </w:r>
            <w:r>
              <w:rPr>
                <w:rFonts w:hint="eastAsia" w:hAnsi="宋体"/>
                <w:color w:val="auto"/>
                <w:szCs w:val="21"/>
                <w:lang w:val="en-US" w:eastAsia="zh-CN"/>
              </w:rPr>
              <w:t>6</w:t>
            </w:r>
            <w:r>
              <w:rPr>
                <w:rFonts w:hint="eastAsia" w:hAnsi="宋体"/>
                <w:color w:val="auto"/>
                <w:szCs w:val="21"/>
              </w:rPr>
              <w:t>月</w:t>
            </w:r>
            <w:r>
              <w:rPr>
                <w:rFonts w:hint="eastAsia" w:hAnsi="宋体"/>
                <w:color w:val="auto"/>
                <w:szCs w:val="21"/>
                <w:lang w:val="en-US" w:eastAsia="zh-CN"/>
              </w:rPr>
              <w:t>27</w:t>
            </w:r>
            <w:r>
              <w:rPr>
                <w:rFonts w:hint="eastAsia" w:hAnsi="宋体"/>
                <w:color w:val="auto"/>
                <w:szCs w:val="21"/>
              </w:rPr>
              <w:t>日，标准归口部门</w:t>
            </w:r>
            <w:r>
              <w:rPr>
                <w:rFonts w:hint="eastAsia" w:hAnsi="宋体"/>
                <w:color w:val="auto"/>
                <w:szCs w:val="21"/>
                <w:lang w:val="en-US" w:eastAsia="zh-CN"/>
              </w:rPr>
              <w:t>安徽省工业和信息化厅</w:t>
            </w:r>
            <w:r>
              <w:rPr>
                <w:rFonts w:hint="eastAsia" w:hAnsi="宋体"/>
                <w:color w:val="auto"/>
                <w:szCs w:val="21"/>
              </w:rPr>
              <w:t>邀请5位专家组织召开了标准预审会议，工作组根据专家意见进行修改，形成标准征求意见稿。</w:t>
            </w:r>
          </w:p>
          <w:p>
            <w:pPr>
              <w:pStyle w:val="4"/>
              <w:adjustRightInd w:val="0"/>
              <w:spacing w:line="360" w:lineRule="auto"/>
              <w:ind w:left="0" w:leftChars="0" w:firstLine="0" w:firstLineChars="0"/>
              <w:contextualSpacing/>
              <w:rPr>
                <w:rFonts w:hint="eastAsia" w:ascii="黑体" w:hAnsi="黑体" w:eastAsia="黑体" w:cs="黑体"/>
                <w:color w:val="auto"/>
                <w:szCs w:val="21"/>
              </w:rPr>
            </w:pPr>
            <w:r>
              <w:rPr>
                <w:rFonts w:hint="eastAsia" w:ascii="黑体" w:hAnsi="黑体" w:eastAsia="黑体" w:cs="黑体"/>
                <w:color w:val="auto"/>
                <w:szCs w:val="21"/>
              </w:rPr>
              <w:t>四、</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送审稿</w:t>
            </w:r>
          </w:p>
          <w:p>
            <w:pPr>
              <w:pStyle w:val="4"/>
              <w:adjustRightInd w:val="0"/>
              <w:spacing w:line="360" w:lineRule="auto"/>
              <w:ind w:firstLine="420" w:firstLineChars="200"/>
              <w:contextualSpacing/>
              <w:rPr>
                <w:rFonts w:hint="eastAsia" w:hAnsi="宋体" w:eastAsia="宋体"/>
                <w:color w:val="auto"/>
                <w:szCs w:val="21"/>
                <w:lang w:val="en-US" w:eastAsia="zh-CN"/>
              </w:rPr>
            </w:pPr>
            <w:r>
              <w:rPr>
                <w:rFonts w:hint="eastAsia" w:hAnsi="宋体"/>
                <w:color w:val="auto"/>
                <w:szCs w:val="21"/>
                <w:lang w:val="en-US" w:eastAsia="zh-CN"/>
              </w:rPr>
              <w:t>暂未进行到该阶段。</w:t>
            </w:r>
          </w:p>
          <w:p>
            <w:pPr>
              <w:pStyle w:val="4"/>
              <w:adjustRightInd w:val="0"/>
              <w:spacing w:line="360" w:lineRule="auto"/>
              <w:contextualSpacing/>
              <w:rPr>
                <w:rFonts w:hint="eastAsia" w:ascii="黑体" w:hAnsi="黑体" w:eastAsia="黑体" w:cs="黑体"/>
                <w:color w:val="auto"/>
                <w:szCs w:val="21"/>
              </w:rPr>
            </w:pPr>
            <w:r>
              <w:rPr>
                <w:rFonts w:hint="eastAsia" w:ascii="黑体" w:hAnsi="黑体" w:eastAsia="黑体" w:cs="黑体"/>
                <w:color w:val="auto"/>
                <w:szCs w:val="21"/>
              </w:rPr>
              <w:t>五、</w:t>
            </w:r>
            <w:r>
              <w:rPr>
                <w:rFonts w:hint="eastAsia" w:ascii="黑体" w:hAnsi="黑体" w:eastAsia="黑体" w:cs="黑体"/>
                <w:color w:val="auto"/>
                <w:szCs w:val="21"/>
                <w:lang w:val="en-US" w:eastAsia="zh-CN"/>
              </w:rPr>
              <w:t>形成</w:t>
            </w:r>
            <w:r>
              <w:rPr>
                <w:rFonts w:hint="eastAsia" w:ascii="黑体" w:hAnsi="黑体" w:eastAsia="黑体" w:cs="黑体"/>
                <w:color w:val="auto"/>
                <w:szCs w:val="21"/>
              </w:rPr>
              <w:t>报批稿</w:t>
            </w:r>
          </w:p>
          <w:p>
            <w:pPr>
              <w:pStyle w:val="4"/>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color w:val="auto"/>
                <w:szCs w:val="21"/>
              </w:rPr>
            </w:pPr>
            <w:r>
              <w:rPr>
                <w:rFonts w:hint="eastAsia" w:hAnsi="宋体"/>
                <w:color w:val="auto"/>
                <w:szCs w:val="21"/>
                <w:lang w:val="en-US" w:eastAsia="zh-CN"/>
              </w:rPr>
              <w:t>暂未进行到该阶段。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b/>
                <w:bCs w:val="0"/>
                <w:color w:val="auto"/>
                <w:szCs w:val="21"/>
              </w:rPr>
            </w:pPr>
            <w:r>
              <w:rPr>
                <w:rFonts w:hint="eastAsia" w:hAnsi="宋体"/>
                <w:b/>
                <w:bCs w:val="0"/>
                <w:color w:val="auto"/>
                <w:szCs w:val="21"/>
              </w:rPr>
              <w:t>一、必要性</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1、</w:t>
            </w:r>
            <w:r>
              <w:rPr>
                <w:rFonts w:hint="eastAsia" w:hAnsi="宋体"/>
                <w:b/>
                <w:bCs w:val="0"/>
                <w:color w:val="auto"/>
                <w:szCs w:val="21"/>
                <w:lang w:val="en-US" w:eastAsia="zh-CN"/>
              </w:rPr>
              <w:t>响应政策文件中关于园区数字化转型改造的要求。</w:t>
            </w:r>
            <w:r>
              <w:rPr>
                <w:rFonts w:hint="eastAsia" w:hAnsi="宋体"/>
                <w:b w:val="0"/>
                <w:bCs/>
                <w:color w:val="auto"/>
                <w:szCs w:val="21"/>
                <w:lang w:val="en-US" w:eastAsia="zh-CN"/>
              </w:rPr>
              <w:t>《中华人民共和国国民经济和社会发展第十四个五年规划和2035年远景目标纲要》中指出：“要推进产业数字化转型，加快产业园区数字化改造”。国务院印发《“十四五”数字经济发展规划》中指出：“要推动园区数字化转型，引导产业园区加快数字基础设施建设，利用数字技术提升园区管理和服务能力”。</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2、</w:t>
            </w:r>
            <w:r>
              <w:rPr>
                <w:rFonts w:hint="eastAsia" w:hAnsi="宋体"/>
                <w:b/>
                <w:bCs w:val="0"/>
                <w:color w:val="auto"/>
                <w:szCs w:val="21"/>
                <w:lang w:val="en-US" w:eastAsia="zh-CN"/>
              </w:rPr>
              <w:t>标准缺失。</w:t>
            </w:r>
            <w:r>
              <w:rPr>
                <w:rFonts w:hint="eastAsia" w:hAnsi="宋体"/>
                <w:b w:val="0"/>
                <w:bCs/>
                <w:color w:val="auto"/>
                <w:szCs w:val="21"/>
                <w:lang w:val="en-US" w:eastAsia="zh-CN"/>
              </w:rPr>
              <w:t>目前尚没有立项、发布工业互联网园区相关国家标准、行业标准或安徽省地方标准，亟待完善以引导工业互联网园区的发展和建设工作。</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3、</w:t>
            </w:r>
            <w:r>
              <w:rPr>
                <w:rFonts w:hint="eastAsia" w:hAnsi="宋体"/>
                <w:b/>
                <w:bCs w:val="0"/>
                <w:color w:val="auto"/>
                <w:szCs w:val="21"/>
                <w:lang w:val="en-US" w:eastAsia="zh-CN"/>
              </w:rPr>
              <w:t>园区经济是构成我国经济的重要组成部分。</w:t>
            </w:r>
            <w:r>
              <w:rPr>
                <w:rFonts w:hint="eastAsia" w:hAnsi="宋体"/>
                <w:b w:val="0"/>
                <w:bCs/>
                <w:color w:val="auto"/>
                <w:szCs w:val="21"/>
                <w:lang w:val="en-US" w:eastAsia="zh-CN"/>
              </w:rPr>
              <w:t>当前我国国家级的经开区、高新区、自贸区等有674 个，省级开发区2107 个，全国各类工业园区约22000多个。国家高新区园区生产总值从2012年的5.4万亿元增长至2021年的15.3万亿元，增长2.8倍，占我国国内生产总值（GDP）的比重从2012年的10.1%增长至2021年的13.4%，提高了3.3个百分点，2022年217家国家级经开区的地区生产总值达12 8万亿元，占国内生产总值比重为11%。园区经济已成为我国经济社会发展的重要支撑和引领高质量发展的重要引擎。</w:t>
            </w:r>
          </w:p>
          <w:p>
            <w:pPr>
              <w:pStyle w:val="4"/>
              <w:adjustRightInd w:val="0"/>
              <w:spacing w:line="360" w:lineRule="auto"/>
              <w:ind w:firstLine="0" w:firstLineChars="0"/>
              <w:contextualSpacing/>
              <w:rPr>
                <w:rFonts w:hint="eastAsia" w:hAnsi="宋体"/>
                <w:b w:val="0"/>
                <w:bCs/>
                <w:color w:val="auto"/>
                <w:szCs w:val="21"/>
                <w:lang w:val="en-US" w:eastAsia="zh-CN"/>
              </w:rPr>
            </w:pPr>
            <w:r>
              <w:rPr>
                <w:rFonts w:hint="eastAsia" w:hAnsi="宋体"/>
                <w:b w:val="0"/>
                <w:bCs/>
                <w:color w:val="auto"/>
                <w:szCs w:val="21"/>
                <w:lang w:val="en-US" w:eastAsia="zh-CN"/>
              </w:rPr>
              <w:t>4、</w:t>
            </w:r>
            <w:r>
              <w:rPr>
                <w:rFonts w:hint="eastAsia" w:hAnsi="宋体"/>
                <w:b/>
                <w:bCs w:val="0"/>
                <w:color w:val="auto"/>
                <w:szCs w:val="21"/>
                <w:lang w:val="en-US" w:eastAsia="zh-CN"/>
              </w:rPr>
              <w:t>传统园区存在不足之处。</w:t>
            </w:r>
            <w:r>
              <w:rPr>
                <w:rFonts w:hint="eastAsia" w:hAnsi="宋体"/>
                <w:b w:val="0"/>
                <w:bCs/>
                <w:color w:val="auto"/>
                <w:szCs w:val="21"/>
                <w:lang w:val="en-US" w:eastAsia="zh-CN"/>
              </w:rPr>
              <w:t>传统园区体类庞大，大小不一，产业发展模式不尽相同。很多园区管理者对园区内的技术应用和管理模式等不清楚，部分园区的运营服务能力严重滞后。大部分园区的数据治理问题依然突出，各企业搭建的纷繁杂多的信息系统因为建设时间点不同、供应商不同、存在“数据孤岛”等问题。</w:t>
            </w:r>
          </w:p>
          <w:p>
            <w:pPr>
              <w:pStyle w:val="4"/>
              <w:adjustRightInd w:val="0"/>
              <w:spacing w:line="360" w:lineRule="auto"/>
              <w:ind w:firstLine="0" w:firstLineChars="0"/>
              <w:contextualSpacing/>
              <w:rPr>
                <w:rFonts w:hint="default" w:hAnsi="宋体"/>
                <w:b w:val="0"/>
                <w:bCs/>
                <w:color w:val="auto"/>
                <w:szCs w:val="21"/>
                <w:lang w:val="en-US" w:eastAsia="zh-CN"/>
              </w:rPr>
            </w:pPr>
            <w:r>
              <w:rPr>
                <w:rFonts w:hint="eastAsia" w:hAnsi="宋体"/>
                <w:b w:val="0"/>
                <w:bCs/>
                <w:color w:val="auto"/>
                <w:szCs w:val="21"/>
                <w:lang w:val="en-US" w:eastAsia="zh-CN"/>
              </w:rPr>
              <w:t>5、</w:t>
            </w:r>
            <w:r>
              <w:rPr>
                <w:rFonts w:hint="eastAsia" w:hAnsi="宋体"/>
                <w:b/>
                <w:bCs w:val="0"/>
                <w:color w:val="auto"/>
                <w:szCs w:val="21"/>
                <w:lang w:val="en-US" w:eastAsia="zh-CN"/>
              </w:rPr>
              <w:t>工业互联网园区具备发展优势。</w:t>
            </w:r>
            <w:r>
              <w:rPr>
                <w:rFonts w:hint="eastAsia" w:hAnsi="宋体"/>
                <w:b w:val="0"/>
                <w:bCs/>
                <w:color w:val="auto"/>
                <w:szCs w:val="21"/>
                <w:lang w:val="en-US" w:eastAsia="zh-CN"/>
              </w:rPr>
              <w:t>可帮助园区管理者更为精准的汇聚园区内企业数据，实现政企数据的双向流动，从而可进一步完善数据采集、分析和应用体系，为宏观产业治理提供更为详实可靠的数据基础。可帮助园区企业对生产、管理和经营等环节进行评估诊断，帮助企业全面掌握数字化转型的现状、短板和发力点，进而明确转型路线图。还为提升园区管理水平、赋能产业发展打造了新型数字底座，为助力供应链协同、数字营销、数据分析等创新应用落地提供了可能。</w:t>
            </w:r>
          </w:p>
          <w:p>
            <w:pPr>
              <w:pStyle w:val="4"/>
              <w:adjustRightInd w:val="0"/>
              <w:spacing w:line="360" w:lineRule="auto"/>
              <w:ind w:firstLine="0" w:firstLineChars="0"/>
              <w:contextualSpacing/>
              <w:rPr>
                <w:rFonts w:hint="eastAsia" w:hAnsi="宋体"/>
                <w:b/>
                <w:bCs w:val="0"/>
                <w:color w:val="auto"/>
                <w:szCs w:val="21"/>
              </w:rPr>
            </w:pPr>
            <w:r>
              <w:rPr>
                <w:rFonts w:hint="eastAsia" w:hAnsi="宋体"/>
                <w:b/>
                <w:bCs w:val="0"/>
                <w:color w:val="auto"/>
                <w:szCs w:val="21"/>
              </w:rPr>
              <w:t>二、意义</w:t>
            </w:r>
          </w:p>
          <w:p>
            <w:pPr>
              <w:pStyle w:val="4"/>
              <w:adjustRightInd w:val="0"/>
              <w:spacing w:line="360" w:lineRule="auto"/>
              <w:ind w:firstLine="0" w:firstLineChars="0"/>
              <w:contextualSpacing/>
              <w:rPr>
                <w:rFonts w:hAnsi="宋体"/>
                <w:color w:val="auto"/>
                <w:szCs w:val="21"/>
              </w:rPr>
            </w:pPr>
            <w:r>
              <w:rPr>
                <w:rFonts w:hint="eastAsia" w:hAnsi="宋体"/>
                <w:color w:val="auto"/>
                <w:szCs w:val="21"/>
                <w:lang w:val="en-US" w:eastAsia="zh-CN"/>
              </w:rPr>
              <w:t>1、填补行业标准空白，对我省工业互联网园区的建设工作具有指导意义</w:t>
            </w:r>
            <w:r>
              <w:rPr>
                <w:rFonts w:hint="eastAsia" w:hAnsi="宋体"/>
                <w:color w:val="auto"/>
                <w:szCs w:val="21"/>
              </w:rPr>
              <w:t>；</w:t>
            </w:r>
          </w:p>
          <w:p>
            <w:pPr>
              <w:pStyle w:val="4"/>
              <w:adjustRightInd w:val="0"/>
              <w:spacing w:line="360" w:lineRule="auto"/>
              <w:ind w:firstLine="0" w:firstLineChars="0"/>
              <w:contextualSpacing/>
              <w:rPr>
                <w:rFonts w:hAnsi="宋体"/>
                <w:color w:val="auto"/>
                <w:szCs w:val="21"/>
              </w:rPr>
            </w:pPr>
            <w:r>
              <w:rPr>
                <w:rFonts w:hint="eastAsia" w:hAnsi="宋体"/>
                <w:color w:val="auto"/>
                <w:szCs w:val="21"/>
                <w:lang w:val="en-US" w:eastAsia="zh-CN"/>
              </w:rPr>
              <w:t>2、有助于推动园区前瞻化布局、网络化聚集、高端化服务，助力园内企业的模式创新、高效运营、持续发展</w:t>
            </w:r>
            <w:r>
              <w:rPr>
                <w:rFonts w:hint="eastAsia"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tabs>
                <w:tab w:val="left" w:pos="328"/>
                <w:tab w:val="clear" w:pos="4201"/>
                <w:tab w:val="clear" w:pos="9298"/>
              </w:tabs>
              <w:spacing w:line="360" w:lineRule="auto"/>
              <w:ind w:left="0" w:leftChars="0" w:firstLine="0" w:firstLineChars="0"/>
              <w:rPr>
                <w:rFonts w:hint="eastAsia" w:ascii="宋体" w:hAnsi="宋体"/>
                <w:b/>
                <w:color w:val="auto"/>
                <w:kern w:val="2"/>
                <w:sz w:val="21"/>
                <w:szCs w:val="21"/>
                <w:lang w:val="en-US" w:eastAsia="zh-CN" w:bidi="ar-SA"/>
              </w:rPr>
            </w:pPr>
            <w:r>
              <w:rPr>
                <w:rFonts w:hint="eastAsia"/>
                <w:b/>
                <w:color w:val="auto"/>
                <w:kern w:val="2"/>
                <w:sz w:val="21"/>
                <w:szCs w:val="21"/>
                <w:lang w:val="en-US" w:eastAsia="zh-CN" w:bidi="ar-SA"/>
              </w:rPr>
              <w:t xml:space="preserve">一、 </w:t>
            </w:r>
            <w:r>
              <w:rPr>
                <w:rFonts w:hint="eastAsia" w:ascii="宋体" w:hAnsi="宋体"/>
                <w:b/>
                <w:color w:val="auto"/>
                <w:kern w:val="2"/>
                <w:sz w:val="21"/>
                <w:szCs w:val="21"/>
                <w:lang w:val="en-US" w:eastAsia="zh-CN" w:bidi="ar-SA"/>
              </w:rPr>
              <w:t>编制原则：</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1、依法原则</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标准的内容不应与现行的法律、法规相冲突。本标准在制定过程中，对《网络安全法》《数据安全法》《工业互联网标识管理办法》等相关法律、法规和规范性文件进行了充分研究，并严格遵守相关的规定。</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2、科学性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标准的科学性包括技术内容的科学性和研制过程的科学性两个方面。本标准的制定以园区建设实际为基础，对利用工业互联网指导新园区建设和存量园区改造的理论经验进行总结、归纳，确保各项条款符合工业互联网园区建设的要求，从而保证本标准技术内容的科学性。本标准的制定过程严格遵循我省地方标准制定程序要求，从而保证标准研制过程的科学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3、协调性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本标准在制定过程中，广泛检索法律法规和各级标准，避免本标准与现行法律法规及国家、行业和安徽省地方标准间产生重复、交叉或矛盾，保证了本标准与国家、行业和安徽省地方标准之间协调一致。</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4、规范性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本标准按照GB/T 1.1—2020和安徽省地方标准制定程序进行编写，保证了标准在格式、结构和内容等方面的规范性。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5、适用性</w:t>
            </w:r>
          </w:p>
          <w:p>
            <w:pPr>
              <w:pStyle w:val="4"/>
              <w:spacing w:line="360" w:lineRule="auto"/>
              <w:ind w:left="0" w:leftChars="0" w:firstLine="0" w:firstLineChars="0"/>
              <w:rPr>
                <w:rFonts w:hint="eastAsia"/>
                <w:b w:val="0"/>
                <w:bCs/>
                <w:color w:val="auto"/>
                <w:kern w:val="2"/>
                <w:sz w:val="21"/>
                <w:szCs w:val="21"/>
                <w:lang w:val="en-US" w:eastAsia="zh-CN" w:bidi="ar-SA"/>
              </w:rPr>
            </w:pPr>
            <w:r>
              <w:rPr>
                <w:rFonts w:hint="eastAsia"/>
                <w:b w:val="0"/>
                <w:bCs/>
                <w:color w:val="auto"/>
                <w:kern w:val="2"/>
                <w:sz w:val="21"/>
                <w:szCs w:val="21"/>
                <w:lang w:val="en-US" w:eastAsia="zh-CN" w:bidi="ar-SA"/>
              </w:rPr>
              <w:t>标准的适用性指标准便于使用的特性。本标准在制定过程中充分考虑各条款的设置，使标准的内容便于直接使用。</w:t>
            </w:r>
          </w:p>
          <w:p>
            <w:pPr>
              <w:pStyle w:val="4"/>
              <w:spacing w:line="360" w:lineRule="auto"/>
              <w:ind w:left="0" w:leftChars="0" w:firstLine="0" w:firstLineChars="0"/>
              <w:rPr>
                <w:rFonts w:hint="eastAsia" w:ascii="宋体" w:hAnsi="宋体"/>
                <w:b/>
                <w:color w:val="auto"/>
                <w:kern w:val="2"/>
                <w:sz w:val="21"/>
                <w:szCs w:val="21"/>
                <w:lang w:val="en-US" w:eastAsia="zh-CN" w:bidi="ar-SA"/>
              </w:rPr>
            </w:pPr>
            <w:r>
              <w:rPr>
                <w:rFonts w:hint="eastAsia"/>
                <w:b/>
                <w:color w:val="auto"/>
                <w:kern w:val="2"/>
                <w:sz w:val="21"/>
                <w:szCs w:val="21"/>
                <w:lang w:val="en-US" w:eastAsia="zh-CN" w:bidi="ar-SA"/>
              </w:rPr>
              <w:t xml:space="preserve">二、 </w:t>
            </w:r>
            <w:r>
              <w:rPr>
                <w:rFonts w:hint="eastAsia" w:ascii="宋体" w:hAnsi="宋体"/>
                <w:b/>
                <w:color w:val="auto"/>
                <w:kern w:val="2"/>
                <w:sz w:val="21"/>
                <w:szCs w:val="21"/>
                <w:lang w:val="en-US" w:eastAsia="zh-CN" w:bidi="ar-SA"/>
              </w:rPr>
              <w:t>编制依据：</w:t>
            </w:r>
          </w:p>
          <w:p>
            <w:pPr>
              <w:pStyle w:val="4"/>
              <w:spacing w:line="360" w:lineRule="auto"/>
              <w:ind w:left="0" w:leftChars="0" w:firstLine="0" w:firstLineChars="0"/>
              <w:rPr>
                <w:rFonts w:hint="eastAsia" w:ascii="仿宋" w:hAnsi="仿宋" w:eastAsia="仿宋"/>
                <w:color w:val="auto"/>
                <w:szCs w:val="21"/>
              </w:rPr>
            </w:pPr>
            <w:r>
              <w:rPr>
                <w:rFonts w:hint="eastAsia" w:ascii="仿宋" w:hAnsi="仿宋" w:eastAsia="仿宋"/>
                <w:color w:val="auto"/>
                <w:szCs w:val="21"/>
              </w:rPr>
              <w:t>1、国家政策法规</w:t>
            </w:r>
            <w:r>
              <w:rPr>
                <w:rFonts w:hint="eastAsia" w:ascii="仿宋" w:hAnsi="仿宋" w:eastAsia="仿宋"/>
                <w:color w:val="auto"/>
                <w:szCs w:val="21"/>
                <w:lang w:eastAsia="zh-CN"/>
              </w:rPr>
              <w:t>：</w:t>
            </w:r>
            <w:r>
              <w:rPr>
                <w:rFonts w:hint="eastAsia" w:ascii="仿宋" w:hAnsi="仿宋" w:eastAsia="仿宋"/>
                <w:color w:val="auto"/>
                <w:szCs w:val="21"/>
                <w:lang w:val="en-US" w:eastAsia="zh-CN"/>
              </w:rPr>
              <w:t>《网络安全法》《数据安全法》《工业互联网标识管理办法》《国务院关于深化“互联网+先进制造业”发展工业互联网的指导意见》《工业和信息化领域数据安全管理办法（试行）》</w:t>
            </w:r>
            <w:r>
              <w:rPr>
                <w:rFonts w:hint="eastAsia" w:ascii="仿宋" w:hAnsi="仿宋" w:eastAsia="仿宋"/>
                <w:color w:val="auto"/>
                <w:szCs w:val="21"/>
              </w:rPr>
              <w:t>；</w:t>
            </w:r>
          </w:p>
          <w:p>
            <w:pPr>
              <w:pStyle w:val="4"/>
              <w:spacing w:line="360" w:lineRule="auto"/>
              <w:ind w:left="0" w:leftChars="0" w:firstLine="0" w:firstLineChars="0"/>
              <w:rPr>
                <w:rFonts w:ascii="仿宋" w:hAnsi="仿宋" w:eastAsia="仿宋"/>
                <w:color w:val="auto"/>
                <w:szCs w:val="21"/>
              </w:rPr>
            </w:pPr>
            <w:r>
              <w:rPr>
                <w:rFonts w:hint="eastAsia" w:ascii="仿宋" w:hAnsi="仿宋" w:eastAsia="仿宋"/>
                <w:color w:val="auto"/>
                <w:szCs w:val="21"/>
                <w:lang w:val="en-US" w:eastAsia="zh-CN"/>
              </w:rPr>
              <w:t>2</w:t>
            </w:r>
            <w:r>
              <w:rPr>
                <w:rFonts w:hint="eastAsia" w:ascii="仿宋" w:hAnsi="仿宋" w:eastAsia="仿宋"/>
                <w:color w:val="auto"/>
                <w:szCs w:val="21"/>
              </w:rPr>
              <w:t>、</w:t>
            </w:r>
            <w:r>
              <w:rPr>
                <w:rFonts w:hint="eastAsia" w:ascii="仿宋" w:hAnsi="仿宋" w:eastAsia="仿宋"/>
                <w:color w:val="auto"/>
                <w:szCs w:val="21"/>
              </w:rPr>
              <w:t>GB/T 1.1-2020《标准化工作导则  第一部分：标准化文件的结构和起草规则》</w:t>
            </w:r>
          </w:p>
          <w:p>
            <w:pPr>
              <w:pStyle w:val="4"/>
              <w:spacing w:line="360" w:lineRule="auto"/>
              <w:ind w:left="0" w:leftChars="0" w:firstLine="0" w:firstLineChars="0"/>
              <w:rPr>
                <w:rFonts w:hint="eastAsia" w:ascii="宋体" w:hAnsi="宋体"/>
                <w:b/>
                <w:color w:val="auto"/>
                <w:kern w:val="2"/>
                <w:sz w:val="21"/>
                <w:szCs w:val="21"/>
                <w:lang w:val="en-US" w:eastAsia="zh-CN" w:bidi="ar-SA"/>
              </w:rPr>
            </w:pPr>
            <w:r>
              <w:rPr>
                <w:rFonts w:hint="eastAsia" w:ascii="宋体" w:hAnsi="宋体"/>
                <w:b/>
                <w:color w:val="auto"/>
                <w:kern w:val="2"/>
                <w:sz w:val="21"/>
                <w:szCs w:val="21"/>
                <w:lang w:val="en-US" w:eastAsia="zh-CN" w:bidi="ar-SA"/>
              </w:rPr>
              <w:t>与现行法律法规、标准的关系</w:t>
            </w:r>
          </w:p>
          <w:p>
            <w:pPr>
              <w:pStyle w:val="4"/>
              <w:numPr>
                <w:ilvl w:val="0"/>
                <w:numId w:val="0"/>
              </w:numPr>
              <w:spacing w:line="360" w:lineRule="auto"/>
              <w:ind w:leftChars="0"/>
              <w:rPr>
                <w:rFonts w:hint="eastAsia" w:ascii="仿宋" w:hAnsi="仿宋" w:eastAsia="仿宋"/>
                <w:color w:val="auto"/>
                <w:szCs w:val="21"/>
                <w:lang w:val="en-US" w:eastAsia="zh-CN"/>
              </w:rPr>
            </w:pPr>
            <w:r>
              <w:rPr>
                <w:rFonts w:hint="eastAsia" w:ascii="仿宋" w:hAnsi="仿宋" w:eastAsia="仿宋"/>
                <w:color w:val="auto"/>
                <w:szCs w:val="21"/>
                <w:lang w:val="en-US" w:eastAsia="zh-CN"/>
              </w:rPr>
              <w:t>1、符合现行的《网络安全法》《数据安全法》《工业互联网标识管理办法》《国务院关于深化“互联网+先进制造业”发展工业互联网的指导意见》《工业和信息化领域数据安全管理办法（试行）》等法律法规、规章的要求。</w:t>
            </w:r>
          </w:p>
          <w:p>
            <w:pPr>
              <w:pStyle w:val="4"/>
              <w:numPr>
                <w:ilvl w:val="0"/>
                <w:numId w:val="0"/>
              </w:numPr>
              <w:spacing w:line="360" w:lineRule="auto"/>
              <w:ind w:leftChars="0"/>
              <w:rPr>
                <w:rFonts w:hint="eastAsia" w:ascii="仿宋" w:hAnsi="仿宋" w:eastAsia="仿宋"/>
                <w:color w:val="auto"/>
                <w:szCs w:val="21"/>
                <w:lang w:val="en-US" w:eastAsia="zh-CN"/>
              </w:rPr>
            </w:pPr>
            <w:r>
              <w:rPr>
                <w:rFonts w:hint="eastAsia" w:ascii="仿宋" w:hAnsi="仿宋" w:eastAsia="仿宋"/>
                <w:color w:val="auto"/>
                <w:szCs w:val="21"/>
                <w:lang w:val="en-US" w:eastAsia="zh-CN"/>
              </w:rPr>
              <w:t>2、《中华人民共和国国民经济和社会发展第十四个五年规划和2035年远景目标纲要》中指出要推进产业数字化转型，加快产业园区数字化改造；《“十四五”数字经济发展规划》中指出要推动园区数字化转型，引导产业园区加快数字基础设施建设，利用数字技术提升园区管理和服务能力，但是均没有提出具体举措，因此该标准是现行政策文件细化、量化、实施的可操作性化。</w:t>
            </w:r>
          </w:p>
          <w:p>
            <w:pPr>
              <w:pStyle w:val="4"/>
              <w:tabs>
                <w:tab w:val="left" w:pos="2396"/>
                <w:tab w:val="clear" w:pos="4201"/>
              </w:tabs>
              <w:adjustRightInd w:val="0"/>
              <w:spacing w:line="360" w:lineRule="auto"/>
              <w:ind w:firstLine="0" w:firstLineChars="0"/>
              <w:contextualSpacing/>
              <w:rPr>
                <w:rFonts w:hAnsi="宋体"/>
                <w:color w:val="auto"/>
                <w:szCs w:val="21"/>
              </w:rPr>
            </w:pPr>
            <w:r>
              <w:rPr>
                <w:rFonts w:hint="eastAsia" w:ascii="仿宋" w:hAnsi="仿宋" w:eastAsia="仿宋"/>
                <w:color w:val="auto"/>
                <w:szCs w:val="21"/>
                <w:lang w:val="en-US" w:eastAsia="zh-CN"/>
              </w:rPr>
              <w:t>3、本标准的术语定义、相关要求等方面，与现行标准协调一致。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r>
              <w:rPr>
                <w:rFonts w:hint="eastAsia" w:hAnsi="宋体"/>
                <w:color w:val="auto"/>
                <w:szCs w:val="21"/>
              </w:rPr>
              <w:t>4、主要条款的说明，主要技术指标、参数、试验验证的论述</w:t>
            </w:r>
            <w:r>
              <w:rPr>
                <w:rFonts w:hint="eastAsia" w:hAnsi="宋体"/>
                <w:color w:val="auto"/>
                <w:szCs w:val="21"/>
              </w:rPr>
              <w:t>（</w:t>
            </w:r>
            <w:r>
              <w:rPr>
                <w:rFonts w:hint="eastAsia" w:hAnsi="宋体"/>
                <w:b/>
                <w:color w:val="auto"/>
                <w:szCs w:val="21"/>
              </w:rPr>
              <w:t>详细说明</w:t>
            </w:r>
            <w:r>
              <w:rPr>
                <w:rFonts w:hint="eastAsia"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spacing w:line="360" w:lineRule="auto"/>
              <w:ind w:firstLine="409" w:firstLineChars="194"/>
              <w:rPr>
                <w:rFonts w:ascii="仿宋" w:hAnsi="仿宋" w:eastAsia="仿宋" w:cs="Arial"/>
                <w:b/>
                <w:bCs/>
                <w:color w:val="auto"/>
                <w:szCs w:val="21"/>
              </w:rPr>
            </w:pPr>
            <w:r>
              <w:rPr>
                <w:rFonts w:hint="eastAsia" w:ascii="仿宋" w:hAnsi="仿宋" w:eastAsia="仿宋" w:cs="Arial"/>
                <w:b/>
                <w:bCs/>
                <w:color w:val="auto"/>
                <w:szCs w:val="21"/>
              </w:rPr>
              <w:t>本文件</w:t>
            </w:r>
            <w:r>
              <w:rPr>
                <w:rFonts w:hint="eastAsia" w:ascii="仿宋" w:hAnsi="仿宋" w:eastAsia="仿宋" w:cs="Arial"/>
                <w:b/>
                <w:bCs/>
                <w:color w:val="auto"/>
                <w:szCs w:val="21"/>
                <w:lang w:val="en-US" w:eastAsia="zh-CN"/>
              </w:rPr>
              <w:t>提供</w:t>
            </w:r>
            <w:r>
              <w:rPr>
                <w:rFonts w:hint="eastAsia" w:ascii="仿宋" w:hAnsi="仿宋" w:eastAsia="仿宋" w:cs="Arial"/>
                <w:b/>
                <w:bCs/>
                <w:color w:val="auto"/>
                <w:szCs w:val="21"/>
              </w:rPr>
              <w:t>了工业互联网园区建设的指南，包括</w:t>
            </w:r>
            <w:r>
              <w:rPr>
                <w:rFonts w:hint="eastAsia" w:ascii="仿宋" w:hAnsi="仿宋" w:eastAsia="仿宋" w:cs="Arial"/>
                <w:b/>
                <w:bCs/>
                <w:color w:val="auto"/>
                <w:szCs w:val="21"/>
                <w:lang w:val="en-US" w:eastAsia="zh-CN"/>
              </w:rPr>
              <w:t>园区制度建设、园区设施及环境建设、园区管理与服务、园区协同生态建设</w:t>
            </w:r>
            <w:r>
              <w:rPr>
                <w:rFonts w:hint="eastAsia" w:ascii="仿宋" w:hAnsi="仿宋" w:eastAsia="仿宋" w:cs="Arial"/>
                <w:b/>
                <w:bCs/>
                <w:color w:val="auto"/>
                <w:szCs w:val="21"/>
              </w:rPr>
              <w:t>等内容。</w:t>
            </w:r>
          </w:p>
          <w:p>
            <w:pPr>
              <w:pStyle w:val="4"/>
              <w:spacing w:line="360" w:lineRule="auto"/>
              <w:ind w:firstLine="409" w:firstLineChars="194"/>
              <w:rPr>
                <w:rFonts w:ascii="仿宋" w:hAnsi="仿宋" w:eastAsia="仿宋" w:cs="Arial"/>
                <w:b/>
                <w:bCs/>
                <w:color w:val="auto"/>
                <w:szCs w:val="21"/>
              </w:rPr>
            </w:pPr>
            <w:r>
              <w:rPr>
                <w:rFonts w:hint="eastAsia" w:ascii="仿宋" w:hAnsi="仿宋" w:eastAsia="仿宋" w:cs="Arial"/>
                <w:b/>
                <w:bCs/>
                <w:color w:val="auto"/>
                <w:szCs w:val="21"/>
              </w:rPr>
              <w:t>本文件适用于</w:t>
            </w:r>
            <w:r>
              <w:rPr>
                <w:rFonts w:hint="eastAsia" w:ascii="仿宋" w:hAnsi="仿宋" w:eastAsia="仿宋" w:cs="Arial"/>
                <w:b/>
                <w:bCs/>
                <w:color w:val="auto"/>
                <w:szCs w:val="21"/>
                <w:lang w:val="en-US" w:eastAsia="zh-CN"/>
              </w:rPr>
              <w:t>开发区或工业园区管委会开展</w:t>
            </w:r>
            <w:r>
              <w:rPr>
                <w:rFonts w:hint="eastAsia" w:ascii="仿宋" w:hAnsi="仿宋" w:eastAsia="仿宋" w:cs="Arial"/>
                <w:b/>
                <w:bCs/>
                <w:color w:val="auto"/>
                <w:szCs w:val="21"/>
              </w:rPr>
              <w:t>工业互联网园区</w:t>
            </w:r>
            <w:r>
              <w:rPr>
                <w:rFonts w:hint="eastAsia" w:ascii="仿宋" w:hAnsi="仿宋" w:eastAsia="仿宋" w:cs="Arial"/>
                <w:b/>
                <w:bCs/>
                <w:color w:val="auto"/>
                <w:szCs w:val="21"/>
                <w:lang w:val="en-US" w:eastAsia="zh-CN"/>
              </w:rPr>
              <w:t>的</w:t>
            </w:r>
            <w:r>
              <w:rPr>
                <w:rFonts w:hint="eastAsia" w:ascii="仿宋" w:hAnsi="仿宋" w:eastAsia="仿宋" w:cs="Arial"/>
                <w:b/>
                <w:bCs/>
                <w:color w:val="auto"/>
                <w:szCs w:val="21"/>
              </w:rPr>
              <w:t>建设。</w:t>
            </w:r>
          </w:p>
          <w:p>
            <w:pPr>
              <w:pStyle w:val="4"/>
              <w:adjustRightInd w:val="0"/>
              <w:spacing w:line="400" w:lineRule="atLeast"/>
              <w:ind w:firstLine="420" w:firstLineChars="200"/>
              <w:contextualSpacing/>
              <w:rPr>
                <w:rFonts w:hint="eastAsia" w:hAnsi="宋体"/>
                <w:b w:val="0"/>
                <w:bCs w:val="0"/>
                <w:color w:val="auto"/>
                <w:szCs w:val="21"/>
              </w:rPr>
            </w:pPr>
            <w:r>
              <w:rPr>
                <w:rFonts w:hint="eastAsia" w:hAnsi="宋体"/>
                <w:b w:val="0"/>
                <w:bCs w:val="0"/>
                <w:color w:val="auto"/>
                <w:szCs w:val="21"/>
                <w:lang w:val="en-US" w:eastAsia="zh-CN"/>
              </w:rPr>
              <w:t>本文件的章节由：范围、规范性引用文件、术语和定义、总体建设框架、园区制度建设、园区设施及环境建设、园区管理与服务、园区协同生态建设、园区建设质量评估组成。</w:t>
            </w:r>
            <w:r>
              <w:rPr>
                <w:rFonts w:hint="eastAsia" w:hAnsi="宋体"/>
                <w:b w:val="0"/>
                <w:bCs w:val="0"/>
                <w:color w:val="auto"/>
                <w:szCs w:val="21"/>
              </w:rPr>
              <w:t>其中</w:t>
            </w:r>
            <w:r>
              <w:rPr>
                <w:rFonts w:hint="eastAsia" w:hAnsi="宋体"/>
                <w:b w:val="0"/>
                <w:bCs w:val="0"/>
                <w:color w:val="auto"/>
                <w:szCs w:val="21"/>
                <w:lang w:val="en-US" w:eastAsia="zh-CN"/>
              </w:rPr>
              <w:t>“园区制度建设”和“园区设施及环境建设”</w:t>
            </w:r>
            <w:r>
              <w:rPr>
                <w:rFonts w:hint="eastAsia" w:hAnsi="宋体"/>
                <w:b w:val="0"/>
                <w:bCs w:val="0"/>
                <w:color w:val="auto"/>
                <w:szCs w:val="21"/>
              </w:rPr>
              <w:t>是本标准的主要技术内容。</w:t>
            </w:r>
          </w:p>
          <w:p>
            <w:pPr>
              <w:pStyle w:val="4"/>
              <w:adjustRightInd w:val="0"/>
              <w:spacing w:line="400" w:lineRule="atLeast"/>
              <w:ind w:firstLine="420" w:firstLineChars="200"/>
              <w:contextualSpacing/>
              <w:rPr>
                <w:rFonts w:hint="eastAsia"/>
                <w:color w:val="auto"/>
                <w:lang w:val="en-US" w:eastAsia="zh-CN"/>
              </w:rPr>
            </w:pPr>
            <w:r>
              <w:rPr>
                <w:rFonts w:hint="eastAsia" w:hAnsi="宋体"/>
                <w:b w:val="0"/>
                <w:bCs w:val="0"/>
                <w:color w:val="auto"/>
                <w:szCs w:val="21"/>
                <w:lang w:eastAsia="zh-CN"/>
              </w:rPr>
              <w:t>“</w:t>
            </w:r>
            <w:r>
              <w:rPr>
                <w:rFonts w:hint="eastAsia" w:hAnsi="宋体"/>
                <w:b w:val="0"/>
                <w:bCs w:val="0"/>
                <w:color w:val="auto"/>
                <w:szCs w:val="21"/>
                <w:lang w:val="en-US" w:eastAsia="zh-CN"/>
              </w:rPr>
              <w:t>园区制度建设</w:t>
            </w:r>
            <w:r>
              <w:rPr>
                <w:rFonts w:hint="eastAsia" w:hAnsi="宋体"/>
                <w:b w:val="0"/>
                <w:bCs w:val="0"/>
                <w:color w:val="auto"/>
                <w:szCs w:val="21"/>
                <w:lang w:eastAsia="zh-CN"/>
              </w:rPr>
              <w:t>”</w:t>
            </w:r>
            <w:r>
              <w:rPr>
                <w:rFonts w:hint="eastAsia" w:hAnsi="宋体"/>
                <w:b w:val="0"/>
                <w:bCs w:val="0"/>
                <w:color w:val="auto"/>
                <w:szCs w:val="21"/>
                <w:lang w:val="en-US" w:eastAsia="zh-CN"/>
              </w:rPr>
              <w:t>结合园区的实际建设工作经验，对准入制度、发展要求和互联互通三个方面进行了要求。在“准入制度”中，首先要对企业的</w:t>
            </w:r>
            <w:r>
              <w:rPr>
                <w:rFonts w:hint="eastAsia"/>
                <w:color w:val="auto"/>
                <w:lang w:eastAsia="zh-CN"/>
              </w:rPr>
              <w:t>技术实力、创新能力、经营状况</w:t>
            </w:r>
            <w:r>
              <w:rPr>
                <w:rFonts w:hint="eastAsia"/>
                <w:color w:val="auto"/>
                <w:lang w:val="en-US" w:eastAsia="zh-CN"/>
              </w:rPr>
              <w:t>等</w:t>
            </w:r>
            <w:r>
              <w:rPr>
                <w:rFonts w:hint="eastAsia" w:hAnsi="宋体"/>
                <w:b w:val="0"/>
                <w:bCs w:val="0"/>
                <w:color w:val="auto"/>
                <w:szCs w:val="21"/>
                <w:lang w:val="en-US" w:eastAsia="zh-CN"/>
              </w:rPr>
              <w:t>资质进行审核，确保申请入园的企业</w:t>
            </w:r>
            <w:r>
              <w:rPr>
                <w:rFonts w:hint="eastAsia"/>
                <w:color w:val="auto"/>
                <w:lang w:eastAsia="zh-CN"/>
              </w:rPr>
              <w:t>具备较高的工业互联网应用能力和发展潜力。</w:t>
            </w:r>
            <w:r>
              <w:rPr>
                <w:rFonts w:hint="eastAsia"/>
                <w:color w:val="auto"/>
                <w:lang w:val="en-US" w:eastAsia="zh-CN"/>
              </w:rPr>
              <w:t>其次要考虑环境保护和数据保护，确保企业</w:t>
            </w:r>
            <w:r>
              <w:rPr>
                <w:rFonts w:hint="eastAsia"/>
                <w:color w:val="auto"/>
                <w:lang w:eastAsia="zh-CN"/>
              </w:rPr>
              <w:t>符合国家和地方相关的环保法规，遵守数据保护法律法规。</w:t>
            </w:r>
            <w:r>
              <w:rPr>
                <w:rFonts w:hint="eastAsia"/>
                <w:color w:val="auto"/>
                <w:lang w:val="en-US" w:eastAsia="zh-CN"/>
              </w:rPr>
              <w:t>在“发展要求”中，首先要明确园区的战略定位和发展目标，然后进一步完善园区内的基础设施建设，为工业互联网的应用发展提供支撑。在“互联互通”中，从统一标准与规范、平台建设与推广、安全防护体系、合作与交流机制四个层面对网络互联、数据互通、资源共享、安全保障进行了建议。</w:t>
            </w:r>
          </w:p>
          <w:p>
            <w:pPr>
              <w:pStyle w:val="4"/>
              <w:adjustRightInd w:val="0"/>
              <w:spacing w:line="400" w:lineRule="atLeast"/>
              <w:ind w:firstLine="420" w:firstLineChars="200"/>
              <w:contextualSpacing/>
              <w:rPr>
                <w:rFonts w:hAnsi="宋体"/>
                <w:color w:val="auto"/>
                <w:szCs w:val="21"/>
              </w:rPr>
            </w:pPr>
            <w:r>
              <w:rPr>
                <w:rFonts w:hint="eastAsia"/>
                <w:color w:val="auto"/>
                <w:lang w:val="en-US" w:eastAsia="zh-CN"/>
              </w:rPr>
              <w:t>“园区设施及环境建设”侧重工业互联网园区信息化能力建设，从网络基础建设、标识解析建设、平台中枢建设、安全保障建设四个要素给出建议。网络基础建设包含园区骨干网络、园区公共服务网络、工业生产网络、企业信息网络、边缘计算及云基础设施的互联互通需求。标识解析建设包括园区内标识解析体系、节点以及</w:t>
            </w:r>
            <w:r>
              <w:rPr>
                <w:rFonts w:hint="eastAsia" w:ascii="宋体" w:hAnsi="Times New Roman" w:eastAsia="宋体" w:cs="Times New Roman"/>
                <w:color w:val="auto"/>
                <w:kern w:val="2"/>
                <w:sz w:val="21"/>
                <w:szCs w:val="21"/>
                <w:lang w:val="en-US" w:eastAsia="zh-CN" w:bidi="ar-SA"/>
              </w:rPr>
              <w:t>企业内部软件系统与标识解析系统的对接</w:t>
            </w:r>
            <w:r>
              <w:rPr>
                <w:rFonts w:hint="eastAsia" w:cs="Times New Roman"/>
                <w:color w:val="auto"/>
                <w:kern w:val="2"/>
                <w:sz w:val="21"/>
                <w:szCs w:val="21"/>
                <w:lang w:val="en-US" w:eastAsia="zh-CN" w:bidi="ar-SA"/>
              </w:rPr>
              <w:t>需求。平台中枢建设包括企业平台和园区平台的建设部署和资源共享。安全保障建设从感知设备安全、服务平台安全、工业生产网安全建设、企业信息网安全建设和数据协同安全明确建设目的和建设对象，给出建设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0" w:name="_Toc464905613"/>
            <w:bookmarkStart w:id="1" w:name="_Toc464905809"/>
            <w:bookmarkStart w:id="2" w:name="_Toc464905557"/>
            <w:bookmarkStart w:id="3" w:name="_Toc465074266"/>
            <w:bookmarkStart w:id="4" w:name="_Toc464902852"/>
            <w:r>
              <w:rPr>
                <w:rFonts w:hint="eastAsia" w:hAnsi="宋体"/>
                <w:color w:val="auto"/>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5" w:name="_Toc464905810"/>
            <w:bookmarkStart w:id="6" w:name="_Toc464905558"/>
            <w:bookmarkStart w:id="7" w:name="_Toc465074267"/>
            <w:bookmarkStart w:id="8" w:name="_Toc464902853"/>
            <w:bookmarkStart w:id="9" w:name="_Toc464905614"/>
            <w:r>
              <w:rPr>
                <w:rFonts w:hint="eastAsia" w:hAnsi="宋体"/>
                <w:color w:val="auto"/>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10" w:name="_Toc464902854"/>
            <w:bookmarkStart w:id="11" w:name="_Toc464905615"/>
            <w:bookmarkStart w:id="12" w:name="_Toc464905811"/>
            <w:bookmarkStart w:id="13" w:name="_Toc465074268"/>
            <w:bookmarkStart w:id="14" w:name="_Toc464905559"/>
            <w:r>
              <w:rPr>
                <w:rFonts w:hint="eastAsia" w:hAnsi="宋体"/>
                <w:color w:val="auto"/>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15" w:name="_Toc464905560"/>
            <w:bookmarkStart w:id="16" w:name="_Toc464905616"/>
            <w:bookmarkStart w:id="17" w:name="_Toc464902855"/>
            <w:bookmarkStart w:id="18" w:name="_Toc465074269"/>
            <w:bookmarkStart w:id="19" w:name="_Toc464905812"/>
            <w:r>
              <w:rPr>
                <w:rFonts w:hint="eastAsia" w:hAnsi="宋体"/>
                <w:color w:val="auto"/>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一、组织措施</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标准发布后，建议行业主管部门联合相关行业协会进行标准的宣贯，并在相关网站、报纸等进行标准的宣传，同时建议行业监管部门在日常管理中能参照标准，使标准实施能够真正落到实处。</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二、技术措施</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通过标准的实施、监督、评价和改进活动，推动标准有效运用。</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三、过渡办法</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由相关主管部门联合各级相关部门及全省范围内的工业互联网园区开展交流活动，并给予不少于3个月的过渡期。</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四、实施日期</w:t>
            </w:r>
          </w:p>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eastAsia="宋体"/>
                <w:color w:val="auto"/>
                <w:szCs w:val="21"/>
                <w:lang w:val="en-US" w:eastAsia="zh-CN"/>
              </w:rPr>
              <w:t>建议标准批准发布后尽快推广实施。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20" w:name="_Toc464905813"/>
            <w:bookmarkStart w:id="21" w:name="_Toc465074270"/>
            <w:bookmarkStart w:id="22" w:name="_Toc464905561"/>
            <w:bookmarkStart w:id="23" w:name="_Toc464902856"/>
            <w:bookmarkStart w:id="24" w:name="_Toc464905617"/>
            <w:r>
              <w:rPr>
                <w:rFonts w:hint="eastAsia" w:hAnsi="宋体"/>
                <w:color w:val="auto"/>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Ansi="宋体"/>
                <w:color w:val="auto"/>
                <w:szCs w:val="21"/>
              </w:rPr>
            </w:pPr>
            <w:bookmarkStart w:id="25" w:name="_Toc464905618"/>
            <w:bookmarkStart w:id="26" w:name="_Toc464905814"/>
            <w:bookmarkStart w:id="27" w:name="_Toc464902857"/>
            <w:bookmarkStart w:id="28" w:name="_Toc465074271"/>
            <w:bookmarkStart w:id="29" w:name="_Toc464905562"/>
            <w:r>
              <w:rPr>
                <w:rFonts w:hint="eastAsia" w:hAnsi="宋体"/>
                <w:color w:val="auto"/>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4"/>
              <w:adjustRightInd w:val="0"/>
              <w:spacing w:line="360" w:lineRule="auto"/>
              <w:ind w:firstLine="0" w:firstLineChars="0"/>
              <w:contextualSpacing/>
              <w:rPr>
                <w:rFonts w:hint="eastAsia" w:hAnsi="宋体" w:eastAsia="宋体"/>
                <w:color w:val="auto"/>
                <w:szCs w:val="21"/>
                <w:lang w:val="en-US" w:eastAsia="zh-CN"/>
              </w:rPr>
            </w:pPr>
            <w:r>
              <w:rPr>
                <w:rFonts w:hint="eastAsia" w:hAnsi="宋体"/>
                <w:color w:val="auto"/>
                <w:szCs w:val="21"/>
                <w:lang w:val="en-US" w:eastAsia="zh-CN"/>
              </w:rPr>
              <w:t>无</w:t>
            </w:r>
            <w:bookmarkStart w:id="30" w:name="_GoBack"/>
            <w:bookmarkEnd w:id="30"/>
          </w:p>
        </w:tc>
      </w:tr>
    </w:tbl>
    <w:p>
      <w:pPr>
        <w:pStyle w:val="5"/>
        <w:rPr>
          <w:color w:val="auto"/>
        </w:rPr>
      </w:pPr>
      <w:r>
        <w:rPr>
          <w:rFonts w:hint="eastAsia"/>
          <w:color w:val="auto"/>
        </w:rPr>
        <w:t>没有的请填写 “无”。</w:t>
      </w:r>
    </w:p>
    <w:p>
      <w:pPr>
        <w:pStyle w:val="6"/>
        <w:ind w:firstLine="420"/>
        <w:rPr>
          <w:color w:val="auto"/>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BF04F4"/>
    <w:multiLevelType w:val="multilevel"/>
    <w:tmpl w:val="6DBF04F4"/>
    <w:lvl w:ilvl="0" w:tentative="0">
      <w:start w:val="1"/>
      <w:numFmt w:val="none"/>
      <w:pStyle w:val="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NDU4MTE5NDBjMWUzZWRjMjg4YTA5NTQ2YTBhYzAifQ=="/>
  </w:docVars>
  <w:rsids>
    <w:rsidRoot w:val="40643C41"/>
    <w:rsid w:val="01B013E3"/>
    <w:rsid w:val="035C6946"/>
    <w:rsid w:val="05B342FB"/>
    <w:rsid w:val="09585946"/>
    <w:rsid w:val="0A1C6A9F"/>
    <w:rsid w:val="1C9F14E3"/>
    <w:rsid w:val="1C9F61A8"/>
    <w:rsid w:val="1D1814CC"/>
    <w:rsid w:val="1EB63336"/>
    <w:rsid w:val="21D15CFB"/>
    <w:rsid w:val="23812072"/>
    <w:rsid w:val="25B032B3"/>
    <w:rsid w:val="2A303B83"/>
    <w:rsid w:val="2B1B7870"/>
    <w:rsid w:val="2BBD2438"/>
    <w:rsid w:val="2FF953EB"/>
    <w:rsid w:val="300D1EFB"/>
    <w:rsid w:val="33342B4C"/>
    <w:rsid w:val="33B235C7"/>
    <w:rsid w:val="33ED4C54"/>
    <w:rsid w:val="353A0A03"/>
    <w:rsid w:val="389C4D7B"/>
    <w:rsid w:val="38F65DFD"/>
    <w:rsid w:val="39F10A59"/>
    <w:rsid w:val="3C060393"/>
    <w:rsid w:val="3E0A49BA"/>
    <w:rsid w:val="40643C41"/>
    <w:rsid w:val="45C72805"/>
    <w:rsid w:val="45F33593"/>
    <w:rsid w:val="479A5E83"/>
    <w:rsid w:val="49AE2123"/>
    <w:rsid w:val="49BA3E32"/>
    <w:rsid w:val="4C286F83"/>
    <w:rsid w:val="4CC4439B"/>
    <w:rsid w:val="4E842A12"/>
    <w:rsid w:val="4F11457A"/>
    <w:rsid w:val="55357E69"/>
    <w:rsid w:val="5A235674"/>
    <w:rsid w:val="5CD66AEF"/>
    <w:rsid w:val="5DFC17E8"/>
    <w:rsid w:val="67B360FC"/>
    <w:rsid w:val="6AA37039"/>
    <w:rsid w:val="6BAF7B0E"/>
    <w:rsid w:val="6CEA6F39"/>
    <w:rsid w:val="6E683441"/>
    <w:rsid w:val="756B3CA0"/>
    <w:rsid w:val="76A66034"/>
    <w:rsid w:val="76FF5CFD"/>
    <w:rsid w:val="780951C7"/>
    <w:rsid w:val="7C55727A"/>
    <w:rsid w:val="7EB446D0"/>
    <w:rsid w:val="7FC31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5">
    <w:name w:val="标准文件_注："/>
    <w:next w:val="6"/>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6">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styleId="7">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1738</Words>
  <Characters>1793</Characters>
  <Lines>0</Lines>
  <Paragraphs>0</Paragraphs>
  <TotalTime>1</TotalTime>
  <ScaleCrop>false</ScaleCrop>
  <LinksUpToDate>false</LinksUpToDate>
  <CharactersWithSpaces>1803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2023-02-07T08:34:00Z</dcterms:created>
  <dc:creator>温晓丹</dc:creator>
  <cp:lastModifiedBy>胡欣瑞</cp:lastModifiedBy>
  <dcterms:modified xsi:type="dcterms:W3CDTF">2024-09-09T01:52:42Z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6A18BD2038E04F95BC2B65CF39BCDEF1_12</vt:lpwstr>
  </property>
</Properties>
</file>