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A9042">
      <w:pPr>
        <w:jc w:val="center"/>
        <w:rPr>
          <w:rFonts w:hint="eastAsia" w:ascii="方正小标宋简体" w:eastAsia="方正小标宋简体"/>
          <w:b/>
          <w:bCs/>
          <w:sz w:val="28"/>
          <w:szCs w:val="28"/>
        </w:rPr>
      </w:pPr>
    </w:p>
    <w:p w14:paraId="1763BB31">
      <w:pPr>
        <w:jc w:val="center"/>
        <w:rPr>
          <w:rFonts w:hint="eastAsia" w:ascii="方正小标宋简体" w:eastAsia="方正小标宋简体"/>
          <w:b/>
          <w:bCs/>
          <w:sz w:val="28"/>
          <w:szCs w:val="28"/>
        </w:rPr>
      </w:pPr>
    </w:p>
    <w:p w14:paraId="579B1B35">
      <w:pPr>
        <w:jc w:val="center"/>
        <w:rPr>
          <w:rFonts w:hint="eastAsia" w:ascii="方正小标宋简体" w:eastAsia="方正小标宋简体"/>
          <w:b/>
          <w:bCs/>
          <w:sz w:val="28"/>
          <w:szCs w:val="28"/>
        </w:rPr>
      </w:pPr>
    </w:p>
    <w:p w14:paraId="7DE3D66C">
      <w:pPr>
        <w:jc w:val="center"/>
        <w:rPr>
          <w:rFonts w:hint="eastAsia" w:ascii="方正小标宋简体" w:eastAsia="方正小标宋简体"/>
          <w:b/>
          <w:bCs/>
          <w:sz w:val="44"/>
          <w:szCs w:val="44"/>
        </w:rPr>
      </w:pPr>
    </w:p>
    <w:p w14:paraId="652BA591">
      <w:pPr>
        <w:jc w:val="center"/>
        <w:rPr>
          <w:rFonts w:hint="eastAsia" w:ascii="楷体" w:hAnsi="楷体" w:eastAsia="楷体" w:cs="楷体"/>
          <w:b/>
          <w:bCs/>
          <w:sz w:val="44"/>
          <w:szCs w:val="44"/>
        </w:rPr>
      </w:pPr>
      <w:r>
        <w:rPr>
          <w:rFonts w:hint="eastAsia" w:ascii="楷体" w:hAnsi="楷体" w:eastAsia="楷体" w:cs="楷体"/>
          <w:b/>
          <w:bCs/>
          <w:sz w:val="44"/>
          <w:szCs w:val="44"/>
        </w:rPr>
        <w:t>团体标准《中链配方食用植物油》</w:t>
      </w:r>
    </w:p>
    <w:p w14:paraId="73C910DA">
      <w:pPr>
        <w:jc w:val="center"/>
        <w:rPr>
          <w:rFonts w:hint="eastAsia" w:ascii="楷体" w:hAnsi="楷体" w:eastAsia="楷体" w:cs="楷体"/>
          <w:b/>
          <w:bCs/>
          <w:sz w:val="44"/>
          <w:szCs w:val="44"/>
        </w:rPr>
      </w:pPr>
      <w:r>
        <w:rPr>
          <w:rFonts w:hint="eastAsia" w:ascii="楷体" w:hAnsi="楷体" w:eastAsia="楷体" w:cs="楷体"/>
          <w:b/>
          <w:bCs/>
          <w:sz w:val="44"/>
          <w:szCs w:val="44"/>
        </w:rPr>
        <w:t>（征求意见稿）编制说明</w:t>
      </w:r>
    </w:p>
    <w:p w14:paraId="0689A82F">
      <w:pPr>
        <w:spacing w:after="312" w:afterLines="100"/>
        <w:jc w:val="center"/>
        <w:rPr>
          <w:rFonts w:eastAsia="黑体"/>
          <w:bCs/>
          <w:sz w:val="44"/>
          <w:szCs w:val="44"/>
        </w:rPr>
      </w:pPr>
    </w:p>
    <w:p w14:paraId="629C260C">
      <w:pPr>
        <w:spacing w:after="312" w:afterLines="100"/>
        <w:jc w:val="center"/>
        <w:rPr>
          <w:rFonts w:eastAsia="黑体"/>
          <w:b/>
          <w:bCs/>
          <w:sz w:val="44"/>
          <w:szCs w:val="44"/>
        </w:rPr>
      </w:pPr>
    </w:p>
    <w:p w14:paraId="1483DD54">
      <w:pPr>
        <w:pStyle w:val="4"/>
        <w:rPr>
          <w:rFonts w:eastAsia="黑体"/>
          <w:b/>
          <w:bCs/>
          <w:sz w:val="44"/>
          <w:szCs w:val="44"/>
          <w:lang w:eastAsia="zh-CN"/>
        </w:rPr>
      </w:pPr>
    </w:p>
    <w:p w14:paraId="4EB1844C">
      <w:pPr>
        <w:pStyle w:val="4"/>
        <w:rPr>
          <w:rFonts w:eastAsia="黑体"/>
          <w:b/>
          <w:bCs/>
          <w:sz w:val="44"/>
          <w:szCs w:val="44"/>
          <w:lang w:eastAsia="zh-CN"/>
        </w:rPr>
      </w:pPr>
    </w:p>
    <w:p w14:paraId="129826B2">
      <w:pPr>
        <w:pStyle w:val="4"/>
        <w:rPr>
          <w:rFonts w:eastAsia="黑体"/>
          <w:b/>
          <w:bCs/>
          <w:sz w:val="44"/>
          <w:szCs w:val="44"/>
          <w:lang w:eastAsia="zh-CN"/>
        </w:rPr>
      </w:pPr>
    </w:p>
    <w:p w14:paraId="5BF27B21">
      <w:pPr>
        <w:pStyle w:val="4"/>
        <w:rPr>
          <w:rFonts w:eastAsia="黑体"/>
          <w:b/>
          <w:bCs/>
          <w:sz w:val="44"/>
          <w:szCs w:val="44"/>
          <w:lang w:eastAsia="zh-CN"/>
        </w:rPr>
      </w:pPr>
    </w:p>
    <w:p w14:paraId="7ED2979D">
      <w:pPr>
        <w:jc w:val="center"/>
        <w:rPr>
          <w:rFonts w:ascii="楷体" w:hAnsi="楷体" w:eastAsia="楷体"/>
          <w:b/>
          <w:bCs/>
          <w:sz w:val="44"/>
          <w:szCs w:val="44"/>
        </w:rPr>
      </w:pPr>
    </w:p>
    <w:p w14:paraId="15631C7F">
      <w:pPr>
        <w:pStyle w:val="2"/>
      </w:pPr>
    </w:p>
    <w:p w14:paraId="4C3A734B">
      <w:pPr>
        <w:pStyle w:val="2"/>
      </w:pPr>
    </w:p>
    <w:p w14:paraId="70C2274B">
      <w:pPr>
        <w:pStyle w:val="2"/>
      </w:pPr>
    </w:p>
    <w:p w14:paraId="0CA4EE99">
      <w:pPr>
        <w:pStyle w:val="2"/>
      </w:pPr>
    </w:p>
    <w:p w14:paraId="40FB3A16">
      <w:pPr>
        <w:pStyle w:val="2"/>
      </w:pPr>
    </w:p>
    <w:p w14:paraId="65F3DED9">
      <w:pPr>
        <w:pStyle w:val="2"/>
      </w:pPr>
    </w:p>
    <w:p w14:paraId="40C0DC0D">
      <w:pPr>
        <w:pStyle w:val="2"/>
      </w:pPr>
    </w:p>
    <w:p w14:paraId="77F41A1E">
      <w:pPr>
        <w:pStyle w:val="2"/>
        <w:rPr>
          <w:rFonts w:hint="eastAsia"/>
        </w:rPr>
      </w:pPr>
    </w:p>
    <w:p w14:paraId="6972A074">
      <w:pPr>
        <w:jc w:val="center"/>
        <w:rPr>
          <w:rFonts w:ascii="楷体" w:hAnsi="楷体" w:eastAsia="楷体"/>
          <w:b/>
          <w:bCs/>
          <w:sz w:val="30"/>
          <w:szCs w:val="30"/>
        </w:rPr>
      </w:pPr>
      <w:r>
        <w:rPr>
          <w:rFonts w:hint="eastAsia" w:ascii="楷体" w:hAnsi="楷体" w:eastAsia="楷体"/>
          <w:b/>
          <w:bCs/>
          <w:sz w:val="30"/>
          <w:szCs w:val="30"/>
        </w:rPr>
        <w:t>《中链配方食用植物油》编制组</w:t>
      </w:r>
    </w:p>
    <w:p w14:paraId="0FD5EFE5">
      <w:pPr>
        <w:jc w:val="center"/>
        <w:rPr>
          <w:rFonts w:ascii="楷体" w:hAnsi="楷体" w:eastAsia="楷体"/>
          <w:b/>
          <w:bCs/>
          <w:sz w:val="30"/>
          <w:szCs w:val="30"/>
        </w:rPr>
        <w:sectPr>
          <w:headerReference r:id="rId5" w:type="first"/>
          <w:footerReference r:id="rId6" w:type="default"/>
          <w:pgSz w:w="11906" w:h="16838"/>
          <w:pgMar w:top="1440" w:right="1800" w:bottom="1440" w:left="1800" w:header="851" w:footer="992" w:gutter="0"/>
          <w:cols w:space="720" w:num="1"/>
          <w:titlePg/>
          <w:docGrid w:type="lines" w:linePitch="312" w:charSpace="0"/>
        </w:sectPr>
      </w:pPr>
      <w:r>
        <w:rPr>
          <w:rFonts w:eastAsia="楷体_GB2312"/>
          <w:b/>
          <w:bCs/>
          <w:sz w:val="30"/>
          <w:szCs w:val="30"/>
        </w:rPr>
        <w:t>20</w:t>
      </w:r>
      <w:r>
        <w:rPr>
          <w:rFonts w:hint="eastAsia" w:eastAsia="楷体_GB2312"/>
          <w:b/>
          <w:bCs/>
          <w:sz w:val="30"/>
          <w:szCs w:val="30"/>
        </w:rPr>
        <w:t>2</w:t>
      </w:r>
      <w:r>
        <w:rPr>
          <w:rFonts w:hint="eastAsia" w:eastAsia="楷体_GB2312"/>
          <w:b/>
          <w:bCs/>
          <w:sz w:val="30"/>
          <w:szCs w:val="30"/>
          <w:lang w:val="en-US" w:eastAsia="zh-CN"/>
        </w:rPr>
        <w:t>4</w:t>
      </w:r>
      <w:r>
        <w:rPr>
          <w:rFonts w:hint="eastAsia" w:ascii="楷体" w:hAnsi="楷体" w:eastAsia="楷体"/>
          <w:b/>
          <w:bCs/>
          <w:sz w:val="30"/>
          <w:szCs w:val="30"/>
        </w:rPr>
        <w:t>年</w:t>
      </w:r>
      <w:r>
        <w:rPr>
          <w:rFonts w:hint="eastAsia" w:ascii="楷体" w:hAnsi="楷体" w:eastAsia="楷体"/>
          <w:b/>
          <w:bCs/>
          <w:sz w:val="30"/>
          <w:szCs w:val="30"/>
          <w:lang w:val="en-US" w:eastAsia="zh-CN"/>
        </w:rPr>
        <w:t>9</w:t>
      </w:r>
      <w:r>
        <w:rPr>
          <w:rFonts w:hint="eastAsia" w:ascii="楷体" w:hAnsi="楷体" w:eastAsia="楷体"/>
          <w:b/>
          <w:bCs/>
          <w:sz w:val="30"/>
          <w:szCs w:val="30"/>
        </w:rPr>
        <w:t>月</w:t>
      </w:r>
    </w:p>
    <w:p w14:paraId="315CB95F">
      <w:pPr>
        <w:jc w:val="center"/>
        <w:rPr>
          <w:rFonts w:hint="eastAsia" w:ascii="黑体" w:hAnsi="黑体" w:eastAsia="黑体" w:cs="黑体"/>
          <w:bCs/>
          <w:sz w:val="32"/>
          <w:szCs w:val="32"/>
        </w:rPr>
      </w:pPr>
      <w:r>
        <w:rPr>
          <w:rFonts w:hint="eastAsia" w:ascii="黑体" w:hAnsi="黑体" w:eastAsia="黑体" w:cs="黑体"/>
          <w:bCs/>
          <w:sz w:val="32"/>
          <w:szCs w:val="32"/>
        </w:rPr>
        <w:t>团体标准《融合教育支持师培训服务规范》</w:t>
      </w:r>
      <w:bookmarkStart w:id="0" w:name="_GoBack"/>
      <w:bookmarkEnd w:id="0"/>
    </w:p>
    <w:p w14:paraId="2647488E">
      <w:pPr>
        <w:jc w:val="center"/>
        <w:rPr>
          <w:rFonts w:hint="eastAsia" w:ascii="黑体" w:hAnsi="黑体" w:eastAsia="黑体" w:cs="黑体"/>
          <w:bCs/>
          <w:sz w:val="32"/>
          <w:szCs w:val="32"/>
        </w:rPr>
      </w:pPr>
      <w:r>
        <w:rPr>
          <w:rFonts w:hint="eastAsia" w:ascii="黑体" w:hAnsi="黑体" w:eastAsia="黑体" w:cs="黑体"/>
          <w:bCs/>
          <w:sz w:val="32"/>
          <w:szCs w:val="32"/>
        </w:rPr>
        <w:t>（征求意见稿）编制说明</w:t>
      </w:r>
    </w:p>
    <w:p w14:paraId="3BB78BCC">
      <w:pPr>
        <w:pStyle w:val="3"/>
        <w:numPr>
          <w:ilvl w:val="0"/>
          <w:numId w:val="2"/>
        </w:numPr>
        <w:spacing w:before="312" w:beforeLines="100" w:after="312" w:afterLines="100" w:line="240" w:lineRule="auto"/>
        <w:rPr>
          <w:rFonts w:hint="eastAsia"/>
          <w:szCs w:val="28"/>
          <w:lang w:eastAsia="zh-CN"/>
        </w:rPr>
      </w:pPr>
      <w:r>
        <w:rPr>
          <w:rFonts w:hint="eastAsia"/>
          <w:szCs w:val="28"/>
          <w:lang w:eastAsia="zh-CN"/>
        </w:rPr>
        <w:t>目的和意义</w:t>
      </w:r>
    </w:p>
    <w:p w14:paraId="4993BF2A">
      <w:pPr>
        <w:adjustRightInd w:val="0"/>
        <w:snapToGrid w:val="0"/>
        <w:spacing w:line="360" w:lineRule="auto"/>
        <w:ind w:firstLine="560" w:firstLineChars="200"/>
        <w:rPr>
          <w:rFonts w:hint="eastAsia" w:ascii="宋体" w:hAnsi="宋体" w:cs="宋体"/>
          <w:sz w:val="28"/>
          <w:szCs w:val="28"/>
          <w:lang w:eastAsia="zh-CN"/>
        </w:rPr>
      </w:pPr>
      <w:r>
        <w:rPr>
          <w:rFonts w:hint="eastAsia" w:ascii="宋体" w:hAnsi="宋体" w:cs="宋体"/>
          <w:sz w:val="28"/>
          <w:szCs w:val="28"/>
          <w:lang w:eastAsia="zh-CN"/>
        </w:rPr>
        <w:t>油脂作为人体三大营养素之一，是重要的食品和生活必需品，具有丰富的自然属性和人文内涵。油脂的合理膳食对人体的供能、免疫系统和维持神经和生理活性等具有积极的作用。但近年来，随着社会生产力飞速提升和人民膳食不均衡等原因，导致营养过剩的现象愈加频繁。据《2023年我国粮油产销和进出口情况》显示，我国人均食用油的消费量为29.1 kg，即79克/天，远超《中国居民膳食指南》中推荐的烹调油每天摄入量25-30克的建议值，而人体每天所需的脂肪总量也仅60克（烹调油与其他食物的脂肪含量合计），因此，我国相当部分居民的脂肪摄入量长期处于过量状态，这也大大增强了肥胖以及多种代谢综合征的高发风险。</w:t>
      </w:r>
    </w:p>
    <w:p w14:paraId="4E6AA2CD">
      <w:pPr>
        <w:adjustRightInd w:val="0"/>
        <w:snapToGrid w:val="0"/>
        <w:spacing w:line="360" w:lineRule="auto"/>
        <w:ind w:firstLine="560" w:firstLineChars="200"/>
        <w:rPr>
          <w:rFonts w:hint="eastAsia" w:ascii="宋体" w:hAnsi="宋体" w:cs="宋体"/>
          <w:sz w:val="28"/>
          <w:szCs w:val="28"/>
          <w:lang w:eastAsia="zh-CN"/>
        </w:rPr>
      </w:pPr>
      <w:r>
        <w:rPr>
          <w:rFonts w:hint="eastAsia" w:ascii="宋体" w:hAnsi="宋体" w:cs="宋体"/>
          <w:sz w:val="28"/>
          <w:szCs w:val="28"/>
          <w:lang w:eastAsia="zh-CN"/>
        </w:rPr>
        <w:t>《中国居民营养与慢性病状况报告（2020年）》中提到：</w:t>
      </w:r>
    </w:p>
    <w:p w14:paraId="05EEA670">
      <w:pPr>
        <w:adjustRightInd w:val="0"/>
        <w:snapToGrid w:val="0"/>
        <w:spacing w:line="360" w:lineRule="auto"/>
        <w:ind w:firstLine="560" w:firstLineChars="200"/>
        <w:rPr>
          <w:rFonts w:hint="eastAsia" w:ascii="宋体" w:hAnsi="宋体" w:cs="宋体"/>
          <w:sz w:val="28"/>
          <w:szCs w:val="28"/>
          <w:lang w:eastAsia="zh-CN"/>
        </w:rPr>
      </w:pPr>
      <w:r>
        <w:rPr>
          <w:rFonts w:hint="eastAsia" w:ascii="宋体" w:hAnsi="宋体" w:cs="宋体"/>
          <w:sz w:val="28"/>
          <w:szCs w:val="28"/>
          <w:lang w:eastAsia="zh-CN"/>
        </w:rPr>
        <w:t>“2019年我国因慢性病导致的死亡占总死亡88.5%，其中心脑血管病、癌症、慢性呼吸系统疾病死亡比例为80.7%，防控工作仍面临巨大的挑战。挑战主要体现在以下方面：</w:t>
      </w:r>
    </w:p>
    <w:p w14:paraId="26A02151">
      <w:pPr>
        <w:adjustRightInd w:val="0"/>
        <w:snapToGrid w:val="0"/>
        <w:spacing w:line="360" w:lineRule="auto"/>
        <w:ind w:firstLine="560" w:firstLineChars="200"/>
        <w:rPr>
          <w:rFonts w:hint="eastAsia" w:ascii="宋体" w:hAnsi="宋体" w:cs="宋体"/>
          <w:sz w:val="28"/>
          <w:szCs w:val="28"/>
          <w:lang w:eastAsia="zh-CN"/>
        </w:rPr>
      </w:pPr>
      <w:r>
        <w:rPr>
          <w:rFonts w:hint="eastAsia" w:ascii="宋体" w:hAnsi="宋体" w:cs="宋体"/>
          <w:sz w:val="28"/>
          <w:szCs w:val="28"/>
          <w:lang w:eastAsia="zh-CN"/>
        </w:rPr>
        <w:t>一是居民不健康生活方式仍然普遍存在。膳食脂肪供能比持续上升，农村首次突破30%推荐上限。家庭人均每日烹调用盐和用油量仍远高于推荐值，同时，居民在外就餐比例不断上升，食堂、餐馆、加工食品中的油、盐应引起关注。儿童青少年经常饮用含糖饮料问题已经凸显，15岁以上人群吸烟率、成人30天内饮酒率超过四分之一，身体活动不足问题普遍存在。</w:t>
      </w:r>
    </w:p>
    <w:p w14:paraId="1B7AC05C">
      <w:pPr>
        <w:adjustRightInd w:val="0"/>
        <w:snapToGrid w:val="0"/>
        <w:spacing w:line="360" w:lineRule="auto"/>
        <w:ind w:firstLine="560" w:firstLineChars="200"/>
        <w:rPr>
          <w:rFonts w:hint="eastAsia" w:ascii="宋体" w:hAnsi="宋体" w:cs="宋体"/>
          <w:sz w:val="28"/>
          <w:szCs w:val="28"/>
          <w:lang w:eastAsia="zh-CN"/>
        </w:rPr>
      </w:pPr>
      <w:r>
        <w:rPr>
          <w:rFonts w:hint="eastAsia" w:ascii="宋体" w:hAnsi="宋体" w:cs="宋体"/>
          <w:sz w:val="28"/>
          <w:szCs w:val="28"/>
          <w:lang w:eastAsia="zh-CN"/>
        </w:rPr>
        <w:t>二是居民超重肥胖问题不断凸显，慢性病患病/发病仍呈上升趋势。城乡各年龄组居民超重肥胖率继续上升，有超过一半的成年居民超重或肥胖，6-17岁、6岁以下儿童青少年超重肥胖率分别达到19%和10.4%。高血压、糖尿病、高胆固醇血症、慢性阻塞性肺疾病患病率和癌症发病率与2015年相比有所上升。”</w:t>
      </w:r>
    </w:p>
    <w:p w14:paraId="5FD86F32">
      <w:pPr>
        <w:adjustRightInd w:val="0"/>
        <w:snapToGrid w:val="0"/>
        <w:spacing w:line="360" w:lineRule="auto"/>
        <w:ind w:firstLine="560" w:firstLineChars="200"/>
        <w:rPr>
          <w:rFonts w:hint="eastAsia" w:ascii="宋体" w:hAnsi="宋体" w:cs="宋体"/>
          <w:sz w:val="28"/>
          <w:szCs w:val="28"/>
          <w:lang w:eastAsia="zh-CN"/>
        </w:rPr>
      </w:pPr>
      <w:r>
        <w:rPr>
          <w:rFonts w:hint="eastAsia" w:ascii="宋体" w:hAnsi="宋体" w:cs="宋体"/>
          <w:sz w:val="28"/>
          <w:szCs w:val="28"/>
          <w:lang w:eastAsia="zh-CN"/>
        </w:rPr>
        <w:t>因此，针对现有的油脂过量摄入问题，开发一款功能性油脂，并制定相应的产品标准，有助于缓解以上问题。</w:t>
      </w:r>
    </w:p>
    <w:p w14:paraId="135454CB">
      <w:pPr>
        <w:adjustRightInd w:val="0"/>
        <w:snapToGrid w:val="0"/>
        <w:spacing w:line="360" w:lineRule="auto"/>
        <w:ind w:firstLine="560" w:firstLineChars="200"/>
        <w:rPr>
          <w:rFonts w:hint="eastAsia" w:ascii="宋体" w:hAnsi="宋体" w:cs="宋体"/>
          <w:sz w:val="28"/>
          <w:szCs w:val="28"/>
          <w:lang w:eastAsia="zh-CN"/>
        </w:rPr>
      </w:pPr>
      <w:r>
        <w:rPr>
          <w:rFonts w:hint="eastAsia" w:ascii="宋体" w:hAnsi="宋体" w:cs="宋体"/>
          <w:sz w:val="28"/>
          <w:szCs w:val="28"/>
          <w:lang w:eastAsia="zh-CN"/>
        </w:rPr>
        <w:t>中链脂肪酸是一种可快速代谢，不在人体内堆积，可全部转化为能量的脂肪，可利用其替代部分传统油脂，达到减轻体重的目的。中链脂肪酸与传统油脂不同，主要存在于椰子油、棕榈仁油和母乳中，需要通过一定的工艺技术将其提取纯化并结合至传统油脂中发挥作用。目前，行业中已开发出中链甘油三酯（MCT）和中长链脂肪酸食用油（MLCT），前者已形成了一定的市场规模，但在2013年，卫计委将其划分到食用油的类别，执行食用植物油卫生标准，因此，以MCT和其他油种混合制成的产品只能划分到食用调和油的类别。加之2018年更新的食用植物油标准新增了产品命名要求，即食用植物调和油产品必须以“食用植物调和油”命名，由此导致MCT类混合油只能以“调和油”为名称，使得用户不能真正认识中链脂肪酸，无法反映产品的真实属性以及与传统食用油的区别，也不利于食用油行业的产业升级。</w:t>
      </w:r>
    </w:p>
    <w:p w14:paraId="3D7D4D8A">
      <w:pPr>
        <w:adjustRightInd w:val="0"/>
        <w:snapToGrid w:val="0"/>
        <w:spacing w:line="360" w:lineRule="auto"/>
        <w:ind w:firstLine="560" w:firstLineChars="200"/>
        <w:rPr>
          <w:rFonts w:hint="eastAsia" w:ascii="宋体" w:hAnsi="宋体" w:cs="宋体"/>
          <w:sz w:val="28"/>
          <w:szCs w:val="28"/>
          <w:lang w:eastAsia="zh-CN"/>
        </w:rPr>
      </w:pPr>
      <w:r>
        <w:rPr>
          <w:rFonts w:hint="eastAsia" w:ascii="宋体" w:hAnsi="宋体" w:cs="宋体"/>
          <w:sz w:val="28"/>
          <w:szCs w:val="28"/>
          <w:lang w:eastAsia="zh-CN"/>
        </w:rPr>
        <w:t>严格来说，MCT在来源上并不符合GB 2716中对食用植物油的定义。根据国标定义，食用植物油是指以植物油料或植物原油为原料制成的食用油脂，而MCT的原料来源即为精炼后的成品油脂（包括椰子油，棕榈仁油等），且制备工艺也与传油脂的统精炼工艺不同，主要通过化学法或酶法对油脂进行纯化分离与合成。因此，其原料和制备工艺均不符合植物油的国标定义，以MCT和其他油种制成的中链配方食用油自然也不符合食用植物调和油的定义。</w:t>
      </w:r>
    </w:p>
    <w:p w14:paraId="034B3C6C">
      <w:pPr>
        <w:adjustRightInd w:val="0"/>
        <w:snapToGrid w:val="0"/>
        <w:spacing w:line="360" w:lineRule="auto"/>
        <w:ind w:firstLine="560" w:firstLineChars="200"/>
        <w:rPr>
          <w:rFonts w:hint="eastAsia" w:ascii="宋体" w:hAnsi="宋体" w:cs="宋体"/>
          <w:sz w:val="28"/>
          <w:szCs w:val="28"/>
          <w:lang w:eastAsia="zh-CN"/>
        </w:rPr>
      </w:pPr>
      <w:r>
        <w:rPr>
          <w:rFonts w:hint="eastAsia" w:ascii="宋体" w:hAnsi="宋体" w:cs="宋体"/>
          <w:sz w:val="28"/>
          <w:szCs w:val="28"/>
          <w:lang w:eastAsia="zh-CN"/>
        </w:rPr>
        <w:t>中国食品工业协会向卫计委提出的将MCT作为普通食品原料管理的申请，对于MCT的市场化应用起到了很大作用，但因调和油在消费者心目中的不良印象，其执行标准的划分，反而对其在食用油行业的应用和发展产生了阻碍。目前中链配方食用植物油的行业规模在快速发展中，亟需一个更匹配的产品标准，以反映食品的真实属性，规范并促进行业发展。</w:t>
      </w:r>
    </w:p>
    <w:p w14:paraId="10BB02DB">
      <w:pPr>
        <w:pStyle w:val="3"/>
        <w:spacing w:before="312" w:beforeLines="100" w:after="312" w:afterLines="100" w:line="240" w:lineRule="auto"/>
        <w:rPr>
          <w:rFonts w:hint="eastAsia"/>
          <w:szCs w:val="28"/>
        </w:rPr>
      </w:pPr>
      <w:r>
        <w:rPr>
          <w:rFonts w:hint="eastAsia"/>
          <w:szCs w:val="28"/>
        </w:rPr>
        <w:t>二、工作简况</w:t>
      </w:r>
    </w:p>
    <w:p w14:paraId="70CAC3BF">
      <w:pPr>
        <w:pStyle w:val="10"/>
        <w:spacing w:line="360" w:lineRule="auto"/>
        <w:ind w:firstLine="562"/>
        <w:outlineLvl w:val="1"/>
        <w:rPr>
          <w:rFonts w:hAnsi="宋体"/>
          <w:b/>
          <w:sz w:val="28"/>
          <w:szCs w:val="28"/>
        </w:rPr>
      </w:pPr>
      <w:r>
        <w:rPr>
          <w:rFonts w:hAnsi="宋体"/>
          <w:b/>
          <w:sz w:val="28"/>
          <w:szCs w:val="28"/>
        </w:rPr>
        <w:t>（一）任务来源</w:t>
      </w:r>
    </w:p>
    <w:p w14:paraId="6C3E5FC6">
      <w:pPr>
        <w:adjustRightInd w:val="0"/>
        <w:snapToGrid w:val="0"/>
        <w:spacing w:line="360" w:lineRule="auto"/>
        <w:ind w:firstLine="560" w:firstLineChars="200"/>
        <w:rPr>
          <w:rFonts w:hint="eastAsia" w:ascii="宋体" w:hAnsi="宋体" w:eastAsia="宋体" w:cs="宋体"/>
          <w:sz w:val="28"/>
          <w:szCs w:val="28"/>
          <w:lang w:eastAsia="zh-CN"/>
        </w:rPr>
      </w:pPr>
      <w:r>
        <w:rPr>
          <w:rFonts w:hint="eastAsia" w:ascii="宋体" w:hAnsi="宋体" w:cs="宋体"/>
          <w:sz w:val="28"/>
          <w:szCs w:val="28"/>
        </w:rPr>
        <w:t>202</w:t>
      </w:r>
      <w:r>
        <w:rPr>
          <w:rFonts w:hint="eastAsia" w:ascii="宋体" w:hAnsi="宋体" w:eastAsia="宋体" w:cs="宋体"/>
          <w:sz w:val="28"/>
          <w:szCs w:val="28"/>
          <w:lang w:val="en-US" w:eastAsia="zh-CN"/>
        </w:rPr>
        <w:t>4</w:t>
      </w:r>
      <w:r>
        <w:rPr>
          <w:rFonts w:hint="eastAsia" w:ascii="宋体" w:hAnsi="宋体" w:cs="宋体"/>
          <w:sz w:val="28"/>
          <w:szCs w:val="28"/>
        </w:rPr>
        <w:t>年</w:t>
      </w:r>
      <w:r>
        <w:rPr>
          <w:rFonts w:hint="eastAsia" w:ascii="宋体" w:hAnsi="宋体" w:eastAsia="宋体" w:cs="宋体"/>
          <w:sz w:val="28"/>
          <w:szCs w:val="28"/>
          <w:lang w:val="en-US" w:eastAsia="zh-CN"/>
        </w:rPr>
        <w:t>7</w:t>
      </w:r>
      <w:r>
        <w:rPr>
          <w:rFonts w:hint="eastAsia" w:ascii="宋体" w:hAnsi="宋体" w:cs="宋体"/>
          <w:sz w:val="28"/>
          <w:szCs w:val="28"/>
        </w:rPr>
        <w:t>月，广州市标准化促进会批准了团体标准《中链配方食用植物油》立项。本</w:t>
      </w:r>
      <w:r>
        <w:rPr>
          <w:rFonts w:hint="eastAsia" w:ascii="宋体" w:hAnsi="宋体" w:eastAsia="宋体" w:cs="宋体"/>
          <w:sz w:val="28"/>
          <w:szCs w:val="28"/>
          <w:lang w:eastAsia="zh-CN"/>
        </w:rPr>
        <w:t>文件</w:t>
      </w:r>
      <w:r>
        <w:rPr>
          <w:rFonts w:hint="eastAsia" w:ascii="宋体" w:hAnsi="宋体" w:cs="宋体"/>
          <w:sz w:val="28"/>
          <w:szCs w:val="28"/>
        </w:rPr>
        <w:t>的起草单位为：福汇生物科技（广东）有限公司</w:t>
      </w:r>
      <w:r>
        <w:rPr>
          <w:rFonts w:hint="eastAsia" w:ascii="宋体" w:hAnsi="宋体" w:eastAsia="宋体" w:cs="宋体"/>
          <w:sz w:val="28"/>
          <w:szCs w:val="28"/>
          <w:lang w:eastAsia="zh-CN"/>
        </w:rPr>
        <w:t>。</w:t>
      </w:r>
    </w:p>
    <w:p w14:paraId="108B6E21">
      <w:pPr>
        <w:pStyle w:val="10"/>
        <w:spacing w:line="360" w:lineRule="auto"/>
        <w:ind w:firstLine="562"/>
        <w:outlineLvl w:val="1"/>
        <w:rPr>
          <w:b/>
          <w:sz w:val="28"/>
          <w:szCs w:val="28"/>
        </w:rPr>
      </w:pPr>
      <w:r>
        <w:rPr>
          <w:b/>
          <w:sz w:val="28"/>
          <w:szCs w:val="28"/>
        </w:rPr>
        <w:t>（</w:t>
      </w:r>
      <w:r>
        <w:rPr>
          <w:rFonts w:hint="eastAsia"/>
          <w:b/>
          <w:sz w:val="28"/>
          <w:szCs w:val="28"/>
        </w:rPr>
        <w:t>二</w:t>
      </w:r>
      <w:r>
        <w:rPr>
          <w:b/>
          <w:sz w:val="28"/>
          <w:szCs w:val="28"/>
        </w:rPr>
        <w:t>）项目主要工作过程</w:t>
      </w:r>
    </w:p>
    <w:p w14:paraId="031B67AE">
      <w:pPr>
        <w:pStyle w:val="10"/>
        <w:numPr>
          <w:ilvl w:val="0"/>
          <w:numId w:val="3"/>
        </w:numPr>
        <w:tabs>
          <w:tab w:val="center" w:pos="709"/>
          <w:tab w:val="clear" w:pos="4201"/>
        </w:tabs>
        <w:spacing w:line="360" w:lineRule="auto"/>
        <w:ind w:firstLineChars="0"/>
        <w:jc w:val="left"/>
        <w:outlineLvl w:val="2"/>
        <w:rPr>
          <w:b/>
          <w:sz w:val="28"/>
          <w:szCs w:val="28"/>
        </w:rPr>
      </w:pPr>
      <w:r>
        <w:rPr>
          <w:rFonts w:hint="eastAsia"/>
          <w:b/>
          <w:sz w:val="28"/>
          <w:szCs w:val="28"/>
        </w:rPr>
        <w:t>标准编制组成立阶段</w:t>
      </w:r>
    </w:p>
    <w:p w14:paraId="6AD2CF13">
      <w:pPr>
        <w:pStyle w:val="10"/>
        <w:spacing w:line="360" w:lineRule="auto"/>
        <w:ind w:firstLine="560"/>
        <w:rPr>
          <w:rFonts w:hint="eastAsia" w:hAnsi="宋体" w:cs="宋体"/>
          <w:sz w:val="28"/>
          <w:szCs w:val="28"/>
        </w:rPr>
      </w:pPr>
      <w:r>
        <w:rPr>
          <w:rFonts w:hint="eastAsia" w:hAnsi="宋体" w:cs="宋体"/>
          <w:sz w:val="28"/>
          <w:szCs w:val="28"/>
        </w:rPr>
        <w:t>为保证标准编制工作的顺利进行，202</w:t>
      </w:r>
      <w:r>
        <w:rPr>
          <w:rFonts w:hint="eastAsia" w:hAnsi="宋体" w:cs="宋体"/>
          <w:sz w:val="28"/>
          <w:szCs w:val="28"/>
          <w:lang w:val="en-US" w:eastAsia="zh-CN"/>
        </w:rPr>
        <w:t>4</w:t>
      </w:r>
      <w:r>
        <w:rPr>
          <w:rFonts w:hint="eastAsia" w:hAnsi="宋体" w:cs="宋体"/>
          <w:sz w:val="28"/>
          <w:szCs w:val="28"/>
        </w:rPr>
        <w:t>年</w:t>
      </w:r>
      <w:r>
        <w:rPr>
          <w:rFonts w:hint="eastAsia" w:hAnsi="宋体" w:cs="宋体"/>
          <w:sz w:val="28"/>
          <w:szCs w:val="28"/>
          <w:lang w:val="en-US" w:eastAsia="zh-CN"/>
        </w:rPr>
        <w:t>7</w:t>
      </w:r>
      <w:r>
        <w:rPr>
          <w:rFonts w:hint="eastAsia" w:hAnsi="宋体" w:cs="宋体"/>
          <w:sz w:val="28"/>
          <w:szCs w:val="28"/>
        </w:rPr>
        <w:t>月标准立项。</w:t>
      </w:r>
      <w:r>
        <w:rPr>
          <w:rFonts w:hint="eastAsia" w:hAnsi="宋体" w:cs="宋体"/>
          <w:sz w:val="28"/>
          <w:szCs w:val="28"/>
          <w:lang w:eastAsia="zh-CN"/>
        </w:rPr>
        <w:t>广州市标准化促进会</w:t>
      </w:r>
      <w:r>
        <w:rPr>
          <w:rFonts w:hint="eastAsia" w:hAnsi="宋体" w:cs="宋体"/>
          <w:sz w:val="28"/>
          <w:szCs w:val="28"/>
        </w:rPr>
        <w:t>同步联合福汇生物科技（广东）有限公司等单位成立标准编制工作小组，制定工作方案，明确目标要求、工作思路、人员分工以及工作进度等，开始标准的前期准备工作。</w:t>
      </w:r>
    </w:p>
    <w:p w14:paraId="0F81DC50">
      <w:pPr>
        <w:pStyle w:val="10"/>
        <w:numPr>
          <w:ilvl w:val="0"/>
          <w:numId w:val="3"/>
        </w:numPr>
        <w:tabs>
          <w:tab w:val="center" w:pos="709"/>
          <w:tab w:val="clear" w:pos="4201"/>
        </w:tabs>
        <w:spacing w:line="360" w:lineRule="auto"/>
        <w:ind w:firstLineChars="0"/>
        <w:jc w:val="left"/>
        <w:outlineLvl w:val="2"/>
        <w:rPr>
          <w:b/>
          <w:sz w:val="28"/>
          <w:szCs w:val="28"/>
        </w:rPr>
      </w:pPr>
      <w:r>
        <w:rPr>
          <w:rFonts w:hint="eastAsia"/>
          <w:b/>
          <w:sz w:val="28"/>
          <w:szCs w:val="28"/>
        </w:rPr>
        <w:t>标准调研和起草阶段</w:t>
      </w:r>
    </w:p>
    <w:p w14:paraId="795A7CD8">
      <w:pPr>
        <w:pStyle w:val="10"/>
        <w:spacing w:line="360" w:lineRule="auto"/>
        <w:ind w:firstLine="560"/>
        <w:rPr>
          <w:rFonts w:hint="eastAsia" w:hAnsi="宋体" w:cs="宋体"/>
          <w:sz w:val="28"/>
          <w:szCs w:val="28"/>
        </w:rPr>
      </w:pPr>
      <w:r>
        <w:rPr>
          <w:rFonts w:hint="eastAsia" w:hAnsi="宋体" w:cs="宋体"/>
          <w:sz w:val="28"/>
          <w:szCs w:val="28"/>
        </w:rPr>
        <w:t>202</w:t>
      </w:r>
      <w:r>
        <w:rPr>
          <w:rFonts w:hint="eastAsia" w:hAnsi="宋体" w:cs="宋体"/>
          <w:sz w:val="28"/>
          <w:szCs w:val="28"/>
          <w:lang w:val="en-US" w:eastAsia="zh-CN"/>
        </w:rPr>
        <w:t>4</w:t>
      </w:r>
      <w:r>
        <w:rPr>
          <w:rFonts w:hint="eastAsia" w:hAnsi="宋体" w:cs="宋体"/>
          <w:sz w:val="28"/>
          <w:szCs w:val="28"/>
        </w:rPr>
        <w:t>年</w:t>
      </w:r>
      <w:r>
        <w:rPr>
          <w:rFonts w:hint="eastAsia" w:hAnsi="宋体" w:cs="宋体"/>
          <w:sz w:val="28"/>
          <w:szCs w:val="28"/>
          <w:lang w:val="en-US" w:eastAsia="zh-CN"/>
        </w:rPr>
        <w:t>7</w:t>
      </w:r>
      <w:r>
        <w:rPr>
          <w:rFonts w:hint="eastAsia" w:hAnsi="宋体" w:cs="宋体"/>
          <w:sz w:val="28"/>
          <w:szCs w:val="28"/>
        </w:rPr>
        <w:t>月至2</w:t>
      </w:r>
      <w:r>
        <w:rPr>
          <w:rFonts w:hAnsi="宋体" w:cs="宋体"/>
          <w:sz w:val="28"/>
          <w:szCs w:val="28"/>
        </w:rPr>
        <w:t>02</w:t>
      </w:r>
      <w:r>
        <w:rPr>
          <w:rFonts w:hint="eastAsia" w:hAnsi="宋体" w:cs="宋体"/>
          <w:sz w:val="28"/>
          <w:szCs w:val="28"/>
          <w:lang w:val="en-US" w:eastAsia="zh-CN"/>
        </w:rPr>
        <w:t>4</w:t>
      </w:r>
      <w:r>
        <w:rPr>
          <w:rFonts w:hint="eastAsia" w:hAnsi="宋体" w:cs="宋体"/>
          <w:sz w:val="28"/>
          <w:szCs w:val="28"/>
        </w:rPr>
        <w:t>年</w:t>
      </w:r>
      <w:r>
        <w:rPr>
          <w:rFonts w:hint="eastAsia" w:hAnsi="宋体" w:cs="宋体"/>
          <w:sz w:val="28"/>
          <w:szCs w:val="28"/>
          <w:lang w:val="en-US" w:eastAsia="zh-CN"/>
        </w:rPr>
        <w:t>8</w:t>
      </w:r>
      <w:r>
        <w:rPr>
          <w:rFonts w:hint="eastAsia" w:hAnsi="宋体" w:cs="宋体"/>
          <w:sz w:val="28"/>
          <w:szCs w:val="28"/>
        </w:rPr>
        <w:t>月，基于所确定的标准初步框架，标准编制组经过多次内部 充分讨论和研究分析，在深入研究现有</w:t>
      </w:r>
      <w:r>
        <w:rPr>
          <w:rFonts w:hint="eastAsia" w:hAnsi="宋体" w:cs="宋体"/>
          <w:sz w:val="28"/>
          <w:szCs w:val="28"/>
          <w:lang w:eastAsia="zh-CN"/>
        </w:rPr>
        <w:t>融合教育支持师</w:t>
      </w:r>
      <w:r>
        <w:rPr>
          <w:rFonts w:hint="eastAsia" w:hAnsi="宋体" w:cs="宋体"/>
          <w:sz w:val="28"/>
          <w:szCs w:val="28"/>
        </w:rPr>
        <w:t>相关法律法规、标准、调研资料及实际应用基础上，对标准框架的内容进行细化和充实。</w:t>
      </w:r>
    </w:p>
    <w:p w14:paraId="0C34F65D">
      <w:pPr>
        <w:pStyle w:val="10"/>
        <w:spacing w:line="360" w:lineRule="auto"/>
        <w:ind w:firstLine="560"/>
        <w:rPr>
          <w:rFonts w:hint="eastAsia" w:hAnsi="宋体" w:cs="宋体"/>
          <w:sz w:val="28"/>
          <w:szCs w:val="28"/>
        </w:rPr>
      </w:pPr>
      <w:r>
        <w:rPr>
          <w:rFonts w:hint="eastAsia" w:hAnsi="宋体" w:cs="宋体"/>
          <w:sz w:val="28"/>
          <w:szCs w:val="28"/>
        </w:rPr>
        <w:t>202</w:t>
      </w:r>
      <w:r>
        <w:rPr>
          <w:rFonts w:hint="eastAsia" w:hAnsi="宋体" w:cs="宋体"/>
          <w:sz w:val="28"/>
          <w:szCs w:val="28"/>
          <w:lang w:val="en-US" w:eastAsia="zh-CN"/>
        </w:rPr>
        <w:t>4</w:t>
      </w:r>
      <w:r>
        <w:rPr>
          <w:rFonts w:hint="eastAsia" w:hAnsi="宋体" w:cs="宋体"/>
          <w:sz w:val="28"/>
          <w:szCs w:val="28"/>
        </w:rPr>
        <w:t>年</w:t>
      </w:r>
      <w:r>
        <w:rPr>
          <w:rFonts w:hint="eastAsia" w:hAnsi="宋体" w:cs="宋体"/>
          <w:sz w:val="28"/>
          <w:szCs w:val="28"/>
          <w:lang w:val="en-US" w:eastAsia="zh-CN"/>
        </w:rPr>
        <w:t>8</w:t>
      </w:r>
      <w:r>
        <w:rPr>
          <w:rFonts w:hint="eastAsia" w:hAnsi="宋体" w:cs="宋体"/>
          <w:sz w:val="28"/>
          <w:szCs w:val="28"/>
        </w:rPr>
        <w:t>月，编制组在调研的基础上完成了标准初稿。</w:t>
      </w:r>
    </w:p>
    <w:p w14:paraId="6C0CCD20">
      <w:pPr>
        <w:pStyle w:val="10"/>
        <w:numPr>
          <w:ilvl w:val="0"/>
          <w:numId w:val="3"/>
        </w:numPr>
        <w:tabs>
          <w:tab w:val="center" w:pos="709"/>
          <w:tab w:val="clear" w:pos="4201"/>
        </w:tabs>
        <w:spacing w:line="360" w:lineRule="auto"/>
        <w:ind w:firstLineChars="0"/>
        <w:jc w:val="left"/>
        <w:outlineLvl w:val="2"/>
        <w:rPr>
          <w:b/>
          <w:sz w:val="28"/>
          <w:szCs w:val="28"/>
        </w:rPr>
      </w:pPr>
      <w:r>
        <w:rPr>
          <w:rFonts w:hint="eastAsia"/>
          <w:b/>
          <w:sz w:val="28"/>
          <w:szCs w:val="28"/>
        </w:rPr>
        <w:t>标准征求意见稿形成阶段</w:t>
      </w:r>
    </w:p>
    <w:p w14:paraId="00588244">
      <w:pPr>
        <w:pStyle w:val="10"/>
        <w:spacing w:line="360" w:lineRule="auto"/>
        <w:ind w:firstLine="560"/>
        <w:rPr>
          <w:rFonts w:hint="eastAsia"/>
          <w:sz w:val="28"/>
          <w:szCs w:val="28"/>
        </w:rPr>
      </w:pPr>
      <w:r>
        <w:rPr>
          <w:rFonts w:hint="eastAsia"/>
          <w:sz w:val="28"/>
          <w:szCs w:val="28"/>
        </w:rPr>
        <w:t>202</w:t>
      </w:r>
      <w:r>
        <w:rPr>
          <w:rFonts w:hint="eastAsia"/>
          <w:sz w:val="28"/>
          <w:szCs w:val="28"/>
          <w:lang w:val="en-US" w:eastAsia="zh-CN"/>
        </w:rPr>
        <w:t>4</w:t>
      </w:r>
      <w:r>
        <w:rPr>
          <w:rFonts w:hint="eastAsia"/>
          <w:sz w:val="28"/>
          <w:szCs w:val="28"/>
        </w:rPr>
        <w:t>年</w:t>
      </w:r>
      <w:r>
        <w:rPr>
          <w:rFonts w:hint="eastAsia"/>
          <w:sz w:val="28"/>
          <w:szCs w:val="28"/>
          <w:lang w:val="en-US" w:eastAsia="zh-CN"/>
        </w:rPr>
        <w:t>9</w:t>
      </w:r>
      <w:r>
        <w:rPr>
          <w:rFonts w:hint="eastAsia"/>
          <w:sz w:val="28"/>
          <w:szCs w:val="28"/>
        </w:rPr>
        <w:t>月，本标准编制组次召开内部研讨会，对标准内容进行了研讨、修改与确定，形成了《标准征求意见稿》。</w:t>
      </w:r>
    </w:p>
    <w:p w14:paraId="3D3E0992">
      <w:pPr>
        <w:pStyle w:val="3"/>
        <w:spacing w:before="312" w:beforeLines="100" w:after="312" w:afterLines="100" w:line="240" w:lineRule="auto"/>
        <w:rPr>
          <w:rFonts w:hint="eastAsia"/>
          <w:szCs w:val="28"/>
        </w:rPr>
      </w:pPr>
      <w:r>
        <w:rPr>
          <w:rFonts w:hint="eastAsia"/>
          <w:szCs w:val="28"/>
        </w:rPr>
        <w:t>三、标准编制原则、主要内容及确定依据</w:t>
      </w:r>
    </w:p>
    <w:p w14:paraId="29A099D5">
      <w:pPr>
        <w:pStyle w:val="10"/>
        <w:spacing w:line="360" w:lineRule="auto"/>
        <w:ind w:firstLine="562"/>
        <w:rPr>
          <w:b/>
          <w:sz w:val="28"/>
          <w:szCs w:val="28"/>
        </w:rPr>
      </w:pPr>
      <w:r>
        <w:rPr>
          <w:rFonts w:hint="eastAsia"/>
          <w:b/>
          <w:sz w:val="28"/>
          <w:szCs w:val="28"/>
        </w:rPr>
        <w:t>（一）标准编制原则</w:t>
      </w:r>
    </w:p>
    <w:p w14:paraId="40655785">
      <w:pPr>
        <w:pStyle w:val="10"/>
        <w:spacing w:line="360" w:lineRule="auto"/>
        <w:ind w:firstLine="560"/>
        <w:rPr>
          <w:rFonts w:hAnsi="宋体" w:cs="宋体"/>
          <w:sz w:val="28"/>
          <w:szCs w:val="28"/>
        </w:rPr>
      </w:pPr>
      <w:r>
        <w:rPr>
          <w:rFonts w:hAnsi="宋体" w:cs="宋体"/>
          <w:sz w:val="28"/>
          <w:szCs w:val="28"/>
        </w:rPr>
        <w:t>本着科学、合理、客观、高效，符合实际工作需要，易于规范的基本原则。标准的制定格式严格按照GB/T 1.1</w:t>
      </w:r>
      <w:r>
        <w:rPr>
          <w:rFonts w:hint="eastAsia" w:hAnsi="宋体" w:cs="宋体"/>
          <w:sz w:val="28"/>
          <w:szCs w:val="28"/>
        </w:rPr>
        <w:t xml:space="preserve">——2020 </w:t>
      </w:r>
      <w:r>
        <w:rPr>
          <w:rFonts w:hAnsi="宋体" w:cs="宋体"/>
          <w:sz w:val="28"/>
          <w:szCs w:val="28"/>
        </w:rPr>
        <w:t>《标准化工作导则 第1部分：标准化文件的结构和起草规则》的规定编写。</w:t>
      </w:r>
    </w:p>
    <w:p w14:paraId="1A84B445">
      <w:pPr>
        <w:pStyle w:val="10"/>
        <w:spacing w:line="360" w:lineRule="auto"/>
        <w:ind w:firstLine="480"/>
        <w:rPr>
          <w:rFonts w:hint="eastAsia"/>
          <w:b/>
          <w:sz w:val="28"/>
          <w:szCs w:val="28"/>
        </w:rPr>
      </w:pPr>
      <w:r>
        <w:rPr>
          <w:rFonts w:hAnsi="宋体" w:cs="宋体"/>
          <w:sz w:val="24"/>
          <w:szCs w:val="24"/>
        </w:rPr>
        <w:t xml:space="preserve"> </w:t>
      </w:r>
      <w:r>
        <w:rPr>
          <w:rFonts w:hint="eastAsia"/>
          <w:b/>
          <w:sz w:val="28"/>
          <w:szCs w:val="28"/>
        </w:rPr>
        <w:t>（二）标准主要内容及确定依据</w:t>
      </w:r>
    </w:p>
    <w:p w14:paraId="2583BA98">
      <w:pPr>
        <w:pStyle w:val="10"/>
        <w:spacing w:line="360" w:lineRule="auto"/>
        <w:ind w:firstLine="560"/>
        <w:rPr>
          <w:sz w:val="28"/>
          <w:szCs w:val="28"/>
        </w:rPr>
      </w:pPr>
      <w:r>
        <w:rPr>
          <w:rFonts w:hint="eastAsia"/>
          <w:sz w:val="28"/>
          <w:szCs w:val="28"/>
        </w:rPr>
        <w:t>本</w:t>
      </w:r>
      <w:r>
        <w:rPr>
          <w:rFonts w:hint="eastAsia"/>
          <w:sz w:val="28"/>
          <w:szCs w:val="28"/>
          <w:lang w:eastAsia="zh-CN"/>
        </w:rPr>
        <w:t>文件</w:t>
      </w:r>
      <w:r>
        <w:rPr>
          <w:rFonts w:hint="eastAsia"/>
          <w:sz w:val="28"/>
          <w:szCs w:val="28"/>
        </w:rPr>
        <w:t>规定了中链配方食用植物油的术语和定义、质量要求、生产加工过程的卫生要求、检验方法、检验规则、标签标识、包装、储存和运输等要求。</w:t>
      </w:r>
    </w:p>
    <w:p w14:paraId="440DE509">
      <w:pPr>
        <w:pStyle w:val="10"/>
        <w:spacing w:line="360" w:lineRule="auto"/>
        <w:ind w:firstLine="562"/>
        <w:rPr>
          <w:b/>
          <w:sz w:val="28"/>
          <w:szCs w:val="28"/>
        </w:rPr>
      </w:pPr>
      <w:r>
        <w:rPr>
          <w:b/>
          <w:sz w:val="28"/>
          <w:szCs w:val="28"/>
        </w:rPr>
        <w:t>1</w:t>
      </w:r>
      <w:r>
        <w:rPr>
          <w:rFonts w:hint="eastAsia"/>
          <w:b/>
          <w:sz w:val="28"/>
          <w:szCs w:val="28"/>
        </w:rPr>
        <w:t>、</w:t>
      </w:r>
      <w:r>
        <w:rPr>
          <w:b/>
          <w:sz w:val="28"/>
          <w:szCs w:val="28"/>
        </w:rPr>
        <w:t>范围</w:t>
      </w:r>
    </w:p>
    <w:p w14:paraId="3A0DCDA7">
      <w:pPr>
        <w:pStyle w:val="10"/>
        <w:spacing w:line="360" w:lineRule="auto"/>
        <w:ind w:firstLine="560"/>
        <w:rPr>
          <w:rFonts w:hint="eastAsia"/>
          <w:sz w:val="28"/>
          <w:szCs w:val="28"/>
        </w:rPr>
      </w:pPr>
      <w:r>
        <w:rPr>
          <w:rFonts w:hint="eastAsia"/>
          <w:sz w:val="28"/>
          <w:szCs w:val="28"/>
        </w:rPr>
        <w:t>本</w:t>
      </w:r>
      <w:r>
        <w:rPr>
          <w:rFonts w:hint="eastAsia"/>
          <w:sz w:val="28"/>
          <w:szCs w:val="28"/>
          <w:lang w:eastAsia="zh-CN"/>
        </w:rPr>
        <w:t>文件</w:t>
      </w:r>
      <w:r>
        <w:rPr>
          <w:rFonts w:hint="eastAsia"/>
          <w:sz w:val="28"/>
          <w:szCs w:val="28"/>
        </w:rPr>
        <w:t>规定了中链配方食用植物油的术语和定义、质量要求、生产加工过程的卫生要求、检验方法、检验规则、标签标识、包装、储存和运输等要求。</w:t>
      </w:r>
    </w:p>
    <w:p w14:paraId="3A659388">
      <w:pPr>
        <w:pStyle w:val="10"/>
        <w:spacing w:line="360" w:lineRule="auto"/>
        <w:ind w:firstLine="560"/>
        <w:rPr>
          <w:sz w:val="28"/>
          <w:szCs w:val="28"/>
        </w:rPr>
      </w:pPr>
      <w:r>
        <w:rPr>
          <w:rFonts w:hint="eastAsia"/>
          <w:sz w:val="28"/>
          <w:szCs w:val="28"/>
        </w:rPr>
        <w:t>本</w:t>
      </w:r>
      <w:r>
        <w:rPr>
          <w:rFonts w:hint="eastAsia"/>
          <w:sz w:val="28"/>
          <w:szCs w:val="28"/>
          <w:lang w:eastAsia="zh-CN"/>
        </w:rPr>
        <w:t>文件</w:t>
      </w:r>
      <w:r>
        <w:rPr>
          <w:rFonts w:hint="eastAsia"/>
          <w:sz w:val="28"/>
          <w:szCs w:val="28"/>
        </w:rPr>
        <w:t>适用于中链甘油三酯、中长链脂肪酸食用油、椰子油和棕榈仁油，及其与其他食用植物油（米糠油、低芥酸菜籽油等）通过合理比例设计，经混合、灌装等工艺所制成的食用植物调和油。</w:t>
      </w:r>
    </w:p>
    <w:p w14:paraId="70984428">
      <w:pPr>
        <w:pStyle w:val="10"/>
        <w:spacing w:line="360" w:lineRule="auto"/>
        <w:ind w:firstLine="562"/>
        <w:rPr>
          <w:b/>
          <w:sz w:val="28"/>
          <w:szCs w:val="28"/>
        </w:rPr>
      </w:pPr>
      <w:r>
        <w:rPr>
          <w:b/>
          <w:sz w:val="28"/>
          <w:szCs w:val="28"/>
        </w:rPr>
        <w:t>2、规范性引用文件</w:t>
      </w:r>
    </w:p>
    <w:p w14:paraId="0B51E3A0">
      <w:pPr>
        <w:pStyle w:val="10"/>
        <w:spacing w:line="360" w:lineRule="auto"/>
        <w:ind w:firstLine="560"/>
        <w:rPr>
          <w:rFonts w:hint="eastAsia"/>
          <w:bCs/>
          <w:sz w:val="28"/>
          <w:szCs w:val="28"/>
        </w:rPr>
      </w:pPr>
      <w:r>
        <w:rPr>
          <w:rFonts w:hint="eastAsia"/>
          <w:bCs/>
          <w:sz w:val="28"/>
          <w:szCs w:val="28"/>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BF93E0A">
      <w:pPr>
        <w:pStyle w:val="10"/>
        <w:spacing w:line="360" w:lineRule="auto"/>
        <w:ind w:firstLine="560"/>
        <w:rPr>
          <w:rFonts w:hint="eastAsia"/>
          <w:bCs/>
          <w:sz w:val="28"/>
          <w:szCs w:val="28"/>
        </w:rPr>
      </w:pPr>
      <w:r>
        <w:rPr>
          <w:rFonts w:hint="eastAsia"/>
          <w:bCs/>
          <w:sz w:val="28"/>
          <w:szCs w:val="28"/>
        </w:rPr>
        <w:t>GB/T 191 包装储运图示标志</w:t>
      </w:r>
    </w:p>
    <w:p w14:paraId="0874E315">
      <w:pPr>
        <w:pStyle w:val="10"/>
        <w:spacing w:line="360" w:lineRule="auto"/>
        <w:ind w:firstLine="560"/>
        <w:rPr>
          <w:rFonts w:hint="eastAsia"/>
          <w:bCs/>
          <w:sz w:val="28"/>
          <w:szCs w:val="28"/>
        </w:rPr>
      </w:pPr>
      <w:r>
        <w:rPr>
          <w:rFonts w:hint="eastAsia"/>
          <w:bCs/>
          <w:sz w:val="28"/>
          <w:szCs w:val="28"/>
        </w:rPr>
        <w:t>GB/T 1536 菜籽油</w:t>
      </w:r>
    </w:p>
    <w:p w14:paraId="2353C7E8">
      <w:pPr>
        <w:pStyle w:val="10"/>
        <w:spacing w:line="360" w:lineRule="auto"/>
        <w:ind w:firstLine="560"/>
        <w:rPr>
          <w:rFonts w:hint="eastAsia"/>
          <w:bCs/>
          <w:sz w:val="28"/>
          <w:szCs w:val="28"/>
        </w:rPr>
      </w:pPr>
      <w:r>
        <w:rPr>
          <w:rFonts w:hint="eastAsia"/>
          <w:bCs/>
          <w:sz w:val="28"/>
          <w:szCs w:val="28"/>
        </w:rPr>
        <w:t>GB 2716 食品安全国家标准 植物油</w:t>
      </w:r>
    </w:p>
    <w:p w14:paraId="740441BF">
      <w:pPr>
        <w:pStyle w:val="10"/>
        <w:spacing w:line="360" w:lineRule="auto"/>
        <w:ind w:firstLine="560"/>
        <w:rPr>
          <w:rFonts w:hint="eastAsia"/>
          <w:bCs/>
          <w:sz w:val="28"/>
          <w:szCs w:val="28"/>
        </w:rPr>
      </w:pPr>
      <w:r>
        <w:rPr>
          <w:rFonts w:hint="eastAsia"/>
          <w:bCs/>
          <w:sz w:val="28"/>
          <w:szCs w:val="28"/>
        </w:rPr>
        <w:t>GB 2760 食品安全国家标准 食品添加剂使用标准</w:t>
      </w:r>
    </w:p>
    <w:p w14:paraId="7635BFFA">
      <w:pPr>
        <w:pStyle w:val="10"/>
        <w:spacing w:line="360" w:lineRule="auto"/>
        <w:ind w:firstLine="560"/>
        <w:rPr>
          <w:rFonts w:hint="eastAsia"/>
          <w:bCs/>
          <w:sz w:val="28"/>
          <w:szCs w:val="28"/>
        </w:rPr>
      </w:pPr>
      <w:r>
        <w:rPr>
          <w:rFonts w:hint="eastAsia"/>
          <w:bCs/>
          <w:sz w:val="28"/>
          <w:szCs w:val="28"/>
        </w:rPr>
        <w:t>GB 2761-2017 食品安全国家标准 食品中真菌毒素限量</w:t>
      </w:r>
    </w:p>
    <w:p w14:paraId="67B330CA">
      <w:pPr>
        <w:pStyle w:val="10"/>
        <w:spacing w:line="360" w:lineRule="auto"/>
        <w:ind w:firstLine="560"/>
        <w:rPr>
          <w:rFonts w:hint="eastAsia"/>
          <w:bCs/>
          <w:sz w:val="28"/>
          <w:szCs w:val="28"/>
        </w:rPr>
      </w:pPr>
      <w:r>
        <w:rPr>
          <w:rFonts w:hint="eastAsia"/>
          <w:bCs/>
          <w:sz w:val="28"/>
          <w:szCs w:val="28"/>
        </w:rPr>
        <w:t>GB 2762-2022 食品安全国家标准 食品中污染物限量</w:t>
      </w:r>
    </w:p>
    <w:p w14:paraId="377A4843">
      <w:pPr>
        <w:pStyle w:val="10"/>
        <w:spacing w:line="360" w:lineRule="auto"/>
        <w:ind w:firstLine="560"/>
        <w:rPr>
          <w:rFonts w:hint="eastAsia"/>
          <w:bCs/>
          <w:sz w:val="28"/>
          <w:szCs w:val="28"/>
        </w:rPr>
      </w:pPr>
      <w:r>
        <w:rPr>
          <w:rFonts w:hint="eastAsia"/>
          <w:bCs/>
          <w:sz w:val="28"/>
          <w:szCs w:val="28"/>
        </w:rPr>
        <w:t xml:space="preserve">GB 2763.1食品安全国家标准 食品中2,4-滴丁酸钠盐等112种农药最大残留限量 </w:t>
      </w:r>
    </w:p>
    <w:p w14:paraId="634D6B3F">
      <w:pPr>
        <w:pStyle w:val="10"/>
        <w:spacing w:line="360" w:lineRule="auto"/>
        <w:ind w:firstLine="560"/>
        <w:rPr>
          <w:rFonts w:hint="eastAsia"/>
          <w:bCs/>
          <w:sz w:val="28"/>
          <w:szCs w:val="28"/>
        </w:rPr>
      </w:pPr>
      <w:r>
        <w:rPr>
          <w:rFonts w:hint="eastAsia"/>
          <w:bCs/>
          <w:sz w:val="28"/>
          <w:szCs w:val="28"/>
        </w:rPr>
        <w:t>GB 5009.12 食品安全国家标准 食品中铅的测定</w:t>
      </w:r>
    </w:p>
    <w:p w14:paraId="60698FED">
      <w:pPr>
        <w:pStyle w:val="10"/>
        <w:spacing w:line="360" w:lineRule="auto"/>
        <w:ind w:firstLine="560"/>
        <w:rPr>
          <w:rFonts w:hint="eastAsia"/>
          <w:bCs/>
          <w:sz w:val="28"/>
          <w:szCs w:val="28"/>
        </w:rPr>
      </w:pPr>
      <w:r>
        <w:rPr>
          <w:rFonts w:hint="eastAsia"/>
          <w:bCs/>
          <w:sz w:val="28"/>
          <w:szCs w:val="28"/>
        </w:rPr>
        <w:t>GB 5009.11 食品安全国家标准 食品中总砷及无机砷的测定</w:t>
      </w:r>
    </w:p>
    <w:p w14:paraId="524DD088">
      <w:pPr>
        <w:pStyle w:val="10"/>
        <w:spacing w:line="360" w:lineRule="auto"/>
        <w:ind w:firstLine="560"/>
        <w:rPr>
          <w:rFonts w:hint="eastAsia"/>
          <w:bCs/>
          <w:sz w:val="28"/>
          <w:szCs w:val="28"/>
        </w:rPr>
      </w:pPr>
      <w:r>
        <w:rPr>
          <w:rFonts w:hint="eastAsia"/>
          <w:bCs/>
          <w:sz w:val="28"/>
          <w:szCs w:val="28"/>
        </w:rPr>
        <w:t>GB 5009.22 食品安全国家标准 食品中黄曲霉毒素B族和G族的测定</w:t>
      </w:r>
    </w:p>
    <w:p w14:paraId="6CD150DA">
      <w:pPr>
        <w:pStyle w:val="10"/>
        <w:spacing w:line="360" w:lineRule="auto"/>
        <w:ind w:firstLine="560"/>
        <w:rPr>
          <w:rFonts w:hint="eastAsia"/>
          <w:bCs/>
          <w:sz w:val="28"/>
          <w:szCs w:val="28"/>
        </w:rPr>
      </w:pPr>
      <w:r>
        <w:rPr>
          <w:rFonts w:hint="eastAsia"/>
          <w:bCs/>
          <w:sz w:val="28"/>
          <w:szCs w:val="28"/>
        </w:rPr>
        <w:t>GB 5009.27 食品安全国家标准 食品中苯并（a）芘的测定</w:t>
      </w:r>
    </w:p>
    <w:p w14:paraId="01DEDFD4">
      <w:pPr>
        <w:pStyle w:val="10"/>
        <w:spacing w:line="360" w:lineRule="auto"/>
        <w:ind w:firstLine="560"/>
        <w:rPr>
          <w:rFonts w:hint="eastAsia"/>
          <w:bCs/>
          <w:sz w:val="28"/>
          <w:szCs w:val="28"/>
        </w:rPr>
      </w:pPr>
      <w:r>
        <w:rPr>
          <w:rFonts w:hint="eastAsia"/>
          <w:bCs/>
          <w:sz w:val="28"/>
          <w:szCs w:val="28"/>
        </w:rPr>
        <w:t>GB 5009.168-2016 食品安全国家标准 食品中脂肪酸的测定</w:t>
      </w:r>
    </w:p>
    <w:p w14:paraId="7B41058E">
      <w:pPr>
        <w:pStyle w:val="10"/>
        <w:spacing w:line="360" w:lineRule="auto"/>
        <w:ind w:firstLine="560"/>
        <w:rPr>
          <w:rFonts w:hint="eastAsia"/>
          <w:bCs/>
          <w:sz w:val="28"/>
          <w:szCs w:val="28"/>
        </w:rPr>
      </w:pPr>
      <w:r>
        <w:rPr>
          <w:rFonts w:hint="eastAsia"/>
          <w:bCs/>
          <w:sz w:val="28"/>
          <w:szCs w:val="28"/>
        </w:rPr>
        <w:t>GB 5009.227 食品安全国家标准 食品中过氧化值的测定</w:t>
      </w:r>
    </w:p>
    <w:p w14:paraId="30F8BB97">
      <w:pPr>
        <w:pStyle w:val="10"/>
        <w:spacing w:line="360" w:lineRule="auto"/>
        <w:ind w:firstLine="560"/>
        <w:rPr>
          <w:rFonts w:hint="eastAsia"/>
          <w:bCs/>
          <w:sz w:val="28"/>
          <w:szCs w:val="28"/>
        </w:rPr>
      </w:pPr>
      <w:r>
        <w:rPr>
          <w:rFonts w:hint="eastAsia"/>
          <w:bCs/>
          <w:sz w:val="28"/>
          <w:szCs w:val="28"/>
        </w:rPr>
        <w:t>GB 5009.229 食品安全国家标准 食品中酸价的测定</w:t>
      </w:r>
    </w:p>
    <w:p w14:paraId="7DEB9BDE">
      <w:pPr>
        <w:pStyle w:val="10"/>
        <w:spacing w:line="360" w:lineRule="auto"/>
        <w:ind w:firstLine="560"/>
        <w:rPr>
          <w:rFonts w:hint="eastAsia"/>
          <w:bCs/>
          <w:sz w:val="28"/>
          <w:szCs w:val="28"/>
        </w:rPr>
      </w:pPr>
      <w:r>
        <w:rPr>
          <w:rFonts w:hint="eastAsia"/>
          <w:bCs/>
          <w:sz w:val="28"/>
          <w:szCs w:val="28"/>
        </w:rPr>
        <w:t>GB 5009.236 食品安全国家标准 动植物油脂水分及挥发物的测定</w:t>
      </w:r>
    </w:p>
    <w:p w14:paraId="0737F2AC">
      <w:pPr>
        <w:pStyle w:val="10"/>
        <w:spacing w:line="360" w:lineRule="auto"/>
        <w:ind w:firstLine="560"/>
        <w:rPr>
          <w:rFonts w:hint="eastAsia"/>
          <w:bCs/>
          <w:sz w:val="28"/>
          <w:szCs w:val="28"/>
        </w:rPr>
      </w:pPr>
      <w:r>
        <w:rPr>
          <w:rFonts w:hint="eastAsia"/>
          <w:bCs/>
          <w:sz w:val="28"/>
          <w:szCs w:val="28"/>
        </w:rPr>
        <w:t>GB 5009.257 食品安全国家标准 食品中反式脂肪酸的测定</w:t>
      </w:r>
    </w:p>
    <w:p w14:paraId="6E0990B2">
      <w:pPr>
        <w:pStyle w:val="10"/>
        <w:spacing w:line="360" w:lineRule="auto"/>
        <w:ind w:firstLine="560"/>
        <w:rPr>
          <w:rFonts w:hint="eastAsia"/>
          <w:bCs/>
          <w:sz w:val="28"/>
          <w:szCs w:val="28"/>
        </w:rPr>
      </w:pPr>
      <w:r>
        <w:rPr>
          <w:rFonts w:hint="eastAsia"/>
          <w:bCs/>
          <w:sz w:val="28"/>
          <w:szCs w:val="28"/>
        </w:rPr>
        <w:t>GB 5009.262 食品安全国家标准 食品中溶剂残留量的测定</w:t>
      </w:r>
    </w:p>
    <w:p w14:paraId="19AC62F2">
      <w:pPr>
        <w:pStyle w:val="10"/>
        <w:spacing w:line="360" w:lineRule="auto"/>
        <w:ind w:firstLine="560"/>
        <w:rPr>
          <w:rFonts w:hint="eastAsia"/>
          <w:bCs/>
          <w:sz w:val="28"/>
          <w:szCs w:val="28"/>
        </w:rPr>
      </w:pPr>
      <w:r>
        <w:rPr>
          <w:rFonts w:hint="eastAsia"/>
          <w:bCs/>
          <w:sz w:val="28"/>
          <w:szCs w:val="28"/>
        </w:rPr>
        <w:t>GB/T 5490 粮油检验 一般规则</w:t>
      </w:r>
    </w:p>
    <w:p w14:paraId="7CF78F44">
      <w:pPr>
        <w:pStyle w:val="10"/>
        <w:spacing w:line="360" w:lineRule="auto"/>
        <w:ind w:firstLine="560"/>
        <w:rPr>
          <w:rFonts w:hint="eastAsia"/>
          <w:bCs/>
          <w:sz w:val="28"/>
          <w:szCs w:val="28"/>
        </w:rPr>
      </w:pPr>
      <w:r>
        <w:rPr>
          <w:rFonts w:hint="eastAsia"/>
          <w:bCs/>
          <w:sz w:val="28"/>
          <w:szCs w:val="28"/>
        </w:rPr>
        <w:t>GB/T 5524 动植物油脂 扦样</w:t>
      </w:r>
    </w:p>
    <w:p w14:paraId="46DEEEDD">
      <w:pPr>
        <w:pStyle w:val="10"/>
        <w:spacing w:line="360" w:lineRule="auto"/>
        <w:ind w:firstLine="560"/>
        <w:rPr>
          <w:rFonts w:hint="eastAsia"/>
          <w:bCs/>
          <w:sz w:val="28"/>
          <w:szCs w:val="28"/>
        </w:rPr>
      </w:pPr>
      <w:r>
        <w:rPr>
          <w:rFonts w:hint="eastAsia"/>
          <w:bCs/>
          <w:sz w:val="28"/>
          <w:szCs w:val="28"/>
        </w:rPr>
        <w:t>GB/T 5525 植物油脂 透明度、气味、滋味鉴定法</w:t>
      </w:r>
    </w:p>
    <w:p w14:paraId="07FFB156">
      <w:pPr>
        <w:pStyle w:val="10"/>
        <w:spacing w:line="360" w:lineRule="auto"/>
        <w:ind w:firstLine="560"/>
        <w:rPr>
          <w:rFonts w:hint="eastAsia"/>
          <w:bCs/>
          <w:sz w:val="28"/>
          <w:szCs w:val="28"/>
        </w:rPr>
      </w:pPr>
      <w:r>
        <w:rPr>
          <w:rFonts w:hint="eastAsia"/>
          <w:bCs/>
          <w:sz w:val="28"/>
          <w:szCs w:val="28"/>
        </w:rPr>
        <w:t>GB 7718  食品安全国家标准 预包装食品标签通则</w:t>
      </w:r>
    </w:p>
    <w:p w14:paraId="3B475C6F">
      <w:pPr>
        <w:pStyle w:val="10"/>
        <w:spacing w:line="360" w:lineRule="auto"/>
        <w:ind w:firstLine="560"/>
        <w:rPr>
          <w:rFonts w:hint="eastAsia"/>
          <w:bCs/>
          <w:sz w:val="28"/>
          <w:szCs w:val="28"/>
        </w:rPr>
      </w:pPr>
      <w:r>
        <w:rPr>
          <w:rFonts w:hint="eastAsia"/>
          <w:bCs/>
          <w:sz w:val="28"/>
          <w:szCs w:val="28"/>
        </w:rPr>
        <w:t xml:space="preserve">GB 14880 食品安全国家标准 食品营养强化剂使用标准 </w:t>
      </w:r>
    </w:p>
    <w:p w14:paraId="0C585643">
      <w:pPr>
        <w:pStyle w:val="10"/>
        <w:spacing w:line="360" w:lineRule="auto"/>
        <w:ind w:firstLine="560"/>
        <w:rPr>
          <w:rFonts w:hint="eastAsia"/>
          <w:bCs/>
          <w:sz w:val="28"/>
          <w:szCs w:val="28"/>
        </w:rPr>
      </w:pPr>
      <w:r>
        <w:rPr>
          <w:rFonts w:hint="eastAsia"/>
          <w:bCs/>
          <w:sz w:val="28"/>
          <w:szCs w:val="28"/>
        </w:rPr>
        <w:t>GB/T 15688 动植物油脂 不溶性杂质含量的测定</w:t>
      </w:r>
    </w:p>
    <w:p w14:paraId="23CF1C7C">
      <w:pPr>
        <w:pStyle w:val="10"/>
        <w:spacing w:line="360" w:lineRule="auto"/>
        <w:ind w:firstLine="560"/>
        <w:rPr>
          <w:rFonts w:hint="eastAsia"/>
          <w:bCs/>
          <w:sz w:val="28"/>
          <w:szCs w:val="28"/>
        </w:rPr>
      </w:pPr>
      <w:r>
        <w:rPr>
          <w:rFonts w:hint="eastAsia"/>
          <w:bCs/>
          <w:sz w:val="28"/>
          <w:szCs w:val="28"/>
        </w:rPr>
        <w:t>GB/T 17374 食用植物油销售包装</w:t>
      </w:r>
    </w:p>
    <w:p w14:paraId="4008C9F7">
      <w:pPr>
        <w:pStyle w:val="10"/>
        <w:spacing w:line="360" w:lineRule="auto"/>
        <w:ind w:firstLine="560"/>
        <w:rPr>
          <w:rFonts w:hint="eastAsia"/>
          <w:bCs/>
          <w:sz w:val="28"/>
          <w:szCs w:val="28"/>
        </w:rPr>
      </w:pPr>
      <w:r>
        <w:rPr>
          <w:rFonts w:hint="eastAsia"/>
          <w:bCs/>
          <w:sz w:val="28"/>
          <w:szCs w:val="28"/>
        </w:rPr>
        <w:t>GB/T 19112 米糠油</w:t>
      </w:r>
    </w:p>
    <w:p w14:paraId="16F94935">
      <w:pPr>
        <w:pStyle w:val="10"/>
        <w:spacing w:line="360" w:lineRule="auto"/>
        <w:ind w:firstLine="560"/>
        <w:rPr>
          <w:rFonts w:hint="eastAsia"/>
          <w:bCs/>
          <w:sz w:val="28"/>
          <w:szCs w:val="28"/>
        </w:rPr>
      </w:pPr>
      <w:r>
        <w:rPr>
          <w:rFonts w:hint="eastAsia"/>
          <w:bCs/>
          <w:sz w:val="28"/>
          <w:szCs w:val="28"/>
        </w:rPr>
        <w:t xml:space="preserve">GB 19641 食品安全国家标准 食用植物油料 </w:t>
      </w:r>
    </w:p>
    <w:p w14:paraId="293F15E9">
      <w:pPr>
        <w:pStyle w:val="10"/>
        <w:spacing w:line="360" w:lineRule="auto"/>
        <w:ind w:firstLine="560"/>
        <w:rPr>
          <w:rFonts w:hint="eastAsia"/>
          <w:bCs/>
          <w:sz w:val="28"/>
          <w:szCs w:val="28"/>
        </w:rPr>
      </w:pPr>
      <w:r>
        <w:rPr>
          <w:rFonts w:hint="eastAsia"/>
          <w:bCs/>
          <w:sz w:val="28"/>
          <w:szCs w:val="28"/>
        </w:rPr>
        <w:t>GB/T 37514-2019动植物油脂 矿物油的检测</w:t>
      </w:r>
    </w:p>
    <w:p w14:paraId="65F7127D">
      <w:pPr>
        <w:pStyle w:val="10"/>
        <w:spacing w:line="360" w:lineRule="auto"/>
        <w:ind w:firstLine="560"/>
        <w:rPr>
          <w:rFonts w:hint="eastAsia"/>
          <w:bCs/>
          <w:sz w:val="28"/>
          <w:szCs w:val="28"/>
        </w:rPr>
      </w:pPr>
      <w:r>
        <w:rPr>
          <w:rFonts w:hint="eastAsia"/>
          <w:bCs/>
          <w:sz w:val="28"/>
          <w:szCs w:val="28"/>
        </w:rPr>
        <w:t>GB/T 40851-2021 食用调和油</w:t>
      </w:r>
    </w:p>
    <w:p w14:paraId="37707383">
      <w:pPr>
        <w:pStyle w:val="10"/>
        <w:spacing w:line="360" w:lineRule="auto"/>
        <w:ind w:firstLine="560"/>
        <w:rPr>
          <w:rFonts w:hint="eastAsia" w:hAnsi="宋体" w:cs="宋体"/>
          <w:sz w:val="28"/>
          <w:szCs w:val="28"/>
        </w:rPr>
      </w:pPr>
      <w:r>
        <w:rPr>
          <w:rFonts w:hint="eastAsia"/>
          <w:bCs/>
          <w:sz w:val="28"/>
          <w:szCs w:val="28"/>
        </w:rPr>
        <w:t>LS/T 3249-2017 中国好粮油 食用植物油</w:t>
      </w:r>
      <w:r>
        <w:rPr>
          <w:rFonts w:hint="eastAsia" w:hAnsi="宋体" w:cs="宋体"/>
          <w:sz w:val="28"/>
          <w:szCs w:val="28"/>
        </w:rPr>
        <w:t xml:space="preserve"> </w:t>
      </w:r>
    </w:p>
    <w:p w14:paraId="5B9C5055">
      <w:pPr>
        <w:pStyle w:val="10"/>
        <w:numPr>
          <w:ilvl w:val="0"/>
          <w:numId w:val="4"/>
        </w:numPr>
        <w:spacing w:line="360" w:lineRule="auto"/>
        <w:ind w:firstLine="562"/>
        <w:rPr>
          <w:rFonts w:hint="eastAsia"/>
          <w:b/>
          <w:sz w:val="28"/>
          <w:szCs w:val="28"/>
        </w:rPr>
      </w:pPr>
      <w:r>
        <w:rPr>
          <w:rFonts w:hint="eastAsia"/>
          <w:b/>
          <w:sz w:val="28"/>
          <w:szCs w:val="28"/>
        </w:rPr>
        <w:t>术语和定义</w:t>
      </w:r>
    </w:p>
    <w:p w14:paraId="3DD6CF9F">
      <w:pPr>
        <w:pStyle w:val="10"/>
        <w:spacing w:line="360" w:lineRule="auto"/>
        <w:ind w:firstLine="560"/>
        <w:rPr>
          <w:rFonts w:hint="eastAsia"/>
          <w:bCs/>
          <w:sz w:val="28"/>
          <w:szCs w:val="28"/>
          <w:lang w:eastAsia="zh-CN"/>
        </w:rPr>
      </w:pPr>
      <w:r>
        <w:rPr>
          <w:rFonts w:hint="eastAsia"/>
          <w:bCs/>
          <w:sz w:val="28"/>
          <w:szCs w:val="28"/>
        </w:rPr>
        <w:t>本</w:t>
      </w:r>
      <w:r>
        <w:rPr>
          <w:rFonts w:hint="eastAsia"/>
          <w:bCs/>
          <w:sz w:val="28"/>
          <w:szCs w:val="28"/>
          <w:lang w:eastAsia="zh-CN"/>
        </w:rPr>
        <w:t>文件参照相关法律、标准对中链配方食用植物油进行了术语定义。</w:t>
      </w:r>
    </w:p>
    <w:p w14:paraId="31C93823">
      <w:pPr>
        <w:pStyle w:val="10"/>
        <w:numPr>
          <w:ilvl w:val="0"/>
          <w:numId w:val="4"/>
        </w:numPr>
        <w:spacing w:line="360" w:lineRule="auto"/>
        <w:ind w:firstLine="562"/>
        <w:rPr>
          <w:rFonts w:hint="eastAsia"/>
          <w:b/>
          <w:sz w:val="28"/>
          <w:szCs w:val="28"/>
        </w:rPr>
      </w:pPr>
      <w:r>
        <w:rPr>
          <w:rFonts w:hint="eastAsia"/>
          <w:b/>
          <w:sz w:val="28"/>
          <w:szCs w:val="28"/>
          <w:lang w:eastAsia="zh-CN"/>
        </w:rPr>
        <w:t>质量要求</w:t>
      </w:r>
    </w:p>
    <w:p w14:paraId="36590871">
      <w:pPr>
        <w:pStyle w:val="10"/>
        <w:spacing w:line="360" w:lineRule="auto"/>
        <w:ind w:firstLine="560"/>
        <w:rPr>
          <w:bCs/>
          <w:sz w:val="28"/>
          <w:szCs w:val="28"/>
        </w:rPr>
      </w:pPr>
      <w:r>
        <w:rPr>
          <w:rFonts w:hint="eastAsia"/>
          <w:bCs/>
          <w:sz w:val="28"/>
          <w:szCs w:val="28"/>
        </w:rPr>
        <w:t>本</w:t>
      </w:r>
      <w:r>
        <w:rPr>
          <w:rFonts w:hint="eastAsia"/>
          <w:bCs/>
          <w:sz w:val="28"/>
          <w:szCs w:val="28"/>
          <w:lang w:eastAsia="zh-CN"/>
        </w:rPr>
        <w:t>文件</w:t>
      </w:r>
      <w:r>
        <w:rPr>
          <w:rFonts w:hint="eastAsia"/>
          <w:bCs/>
          <w:sz w:val="28"/>
          <w:szCs w:val="28"/>
        </w:rPr>
        <w:t>规范了</w:t>
      </w:r>
      <w:r>
        <w:rPr>
          <w:rFonts w:hint="eastAsia"/>
          <w:bCs/>
          <w:sz w:val="28"/>
          <w:szCs w:val="28"/>
          <w:lang w:eastAsia="zh-CN"/>
        </w:rPr>
        <w:t>中链配方食用植物油的质量要求。其中对原料要求、感官要求、质量指标、食品安全要求这几个方面进行了详细的说明和规范。</w:t>
      </w:r>
    </w:p>
    <w:p w14:paraId="64A9EB99">
      <w:pPr>
        <w:pStyle w:val="10"/>
        <w:numPr>
          <w:ilvl w:val="0"/>
          <w:numId w:val="4"/>
        </w:numPr>
        <w:spacing w:line="360" w:lineRule="auto"/>
        <w:ind w:firstLine="562"/>
        <w:rPr>
          <w:rFonts w:hint="eastAsia"/>
          <w:b/>
          <w:sz w:val="28"/>
          <w:szCs w:val="28"/>
        </w:rPr>
      </w:pPr>
      <w:r>
        <w:rPr>
          <w:rFonts w:hint="eastAsia"/>
          <w:b/>
          <w:sz w:val="28"/>
          <w:szCs w:val="28"/>
          <w:lang w:eastAsia="zh-CN"/>
        </w:rPr>
        <w:t>卫生要求</w:t>
      </w:r>
    </w:p>
    <w:p w14:paraId="30831C75">
      <w:pPr>
        <w:pStyle w:val="10"/>
        <w:spacing w:line="360" w:lineRule="auto"/>
        <w:ind w:firstLine="560"/>
        <w:rPr>
          <w:b/>
          <w:sz w:val="28"/>
          <w:szCs w:val="28"/>
        </w:rPr>
      </w:pPr>
      <w:r>
        <w:rPr>
          <w:rFonts w:hint="eastAsia"/>
          <w:bCs/>
          <w:sz w:val="28"/>
          <w:szCs w:val="28"/>
        </w:rPr>
        <w:t>本</w:t>
      </w:r>
      <w:r>
        <w:rPr>
          <w:rFonts w:hint="eastAsia"/>
          <w:bCs/>
          <w:sz w:val="28"/>
          <w:szCs w:val="28"/>
          <w:lang w:eastAsia="zh-CN"/>
        </w:rPr>
        <w:t>文件对相关的卫生要求作出了细化的规范，其中包括了清洁消毒设施、生产设备、卫生管理进行了细化的要求，对于食品加工人员健康管理与卫生要求方面，也着重细化了食品加工人员健康管理与卫生要求以及食品加工人员卫生要求。</w:t>
      </w:r>
    </w:p>
    <w:p w14:paraId="6B2BD374">
      <w:pPr>
        <w:pStyle w:val="10"/>
        <w:numPr>
          <w:ilvl w:val="0"/>
          <w:numId w:val="4"/>
        </w:numPr>
        <w:spacing w:line="360" w:lineRule="auto"/>
        <w:ind w:firstLine="562"/>
        <w:rPr>
          <w:b/>
          <w:sz w:val="28"/>
          <w:szCs w:val="28"/>
        </w:rPr>
      </w:pPr>
      <w:r>
        <w:rPr>
          <w:rFonts w:hint="eastAsia"/>
          <w:b/>
          <w:sz w:val="28"/>
          <w:szCs w:val="28"/>
          <w:lang w:eastAsia="zh-CN"/>
        </w:rPr>
        <w:t>检验方法</w:t>
      </w:r>
    </w:p>
    <w:p w14:paraId="3A4F9022">
      <w:pPr>
        <w:pStyle w:val="10"/>
        <w:spacing w:line="360" w:lineRule="auto"/>
        <w:ind w:firstLine="560"/>
        <w:rPr>
          <w:rFonts w:hint="eastAsia"/>
          <w:bCs/>
          <w:sz w:val="28"/>
          <w:szCs w:val="28"/>
          <w:lang w:eastAsia="zh-CN"/>
        </w:rPr>
      </w:pPr>
      <w:r>
        <w:rPr>
          <w:rFonts w:hint="eastAsia"/>
          <w:bCs/>
          <w:sz w:val="28"/>
          <w:szCs w:val="28"/>
          <w:lang w:eastAsia="zh-CN"/>
        </w:rPr>
        <w:t>本文件规范了以下检验方法。</w:t>
      </w:r>
    </w:p>
    <w:p w14:paraId="104FC7E8">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1）色泽检验方法如下，取适量试样置于50 mL烧杯中，在自然光下观察色泽。</w:t>
      </w:r>
    </w:p>
    <w:p w14:paraId="0F91667F">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2）气味、滋味、透明度检验方法按GB/T 5525执行。</w:t>
      </w:r>
    </w:p>
    <w:p w14:paraId="150E5712">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3）水分及挥发物含量检验方法按GB 5009.236执行。</w:t>
      </w:r>
    </w:p>
    <w:p w14:paraId="14FE9B75">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4）不溶性杂质含量检验方法按GB/T 15688执行。</w:t>
      </w:r>
    </w:p>
    <w:p w14:paraId="4FDEB5B8">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5）溶剂残留量检验方法按GB 5009.262执行。</w:t>
      </w:r>
    </w:p>
    <w:p w14:paraId="23357693">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6）酸价检验方法按GB 5009.229执行。</w:t>
      </w:r>
    </w:p>
    <w:p w14:paraId="114398AC">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7）过氧化值检验方法按GB 5009.227执行。</w:t>
      </w:r>
    </w:p>
    <w:p w14:paraId="01A64F65">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8）铅的测定方法按GB 5009.12执行。</w:t>
      </w:r>
    </w:p>
    <w:p w14:paraId="031B5324">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9）总砷的测定方法按GB 5009.11执行。</w:t>
      </w:r>
    </w:p>
    <w:p w14:paraId="18EB1B70">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10）苯并（a）芘的测定方法按GB 5009.27执行。</w:t>
      </w:r>
    </w:p>
    <w:p w14:paraId="40923346">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11）黄曲霉毒素B1的测定方法按GB 5009.22执行。</w:t>
      </w:r>
    </w:p>
    <w:p w14:paraId="30567C54">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12）脂肪酸组成检验方法按GB 5009.168-2016第三法执行。</w:t>
      </w:r>
    </w:p>
    <w:p w14:paraId="1EDE89C2">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13）反式脂肪酸检验方法按GB 5009.257执行。</w:t>
      </w:r>
    </w:p>
    <w:p w14:paraId="152A8425">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14）比例一致性检验方法按GB/T 40851-2021附录A执行。</w:t>
      </w:r>
    </w:p>
    <w:p w14:paraId="7405A3B4">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15）安全指数检验方法按LS/T 3249-2017执行。</w:t>
      </w:r>
    </w:p>
    <w:p w14:paraId="567E92F9">
      <w:pPr>
        <w:pStyle w:val="11"/>
        <w:widowControl/>
        <w:numPr>
          <w:ilvl w:val="3"/>
          <w:numId w:val="0"/>
        </w:numPr>
        <w:spacing w:before="120" w:beforeLines="50" w:beforeAutospacing="0" w:after="120" w:afterLines="50" w:afterAutospacing="0"/>
        <w:ind w:leftChars="0" w:right="0" w:rightChars="0"/>
        <w:rPr>
          <w:rFonts w:hint="eastAsia" w:ascii="宋体" w:hAnsi="Times New Roman" w:eastAsia="宋体" w:cs="Times New Roman"/>
          <w:bCs/>
          <w:kern w:val="2"/>
          <w:sz w:val="28"/>
          <w:szCs w:val="28"/>
          <w:lang w:val="en-US" w:eastAsia="zh-CN" w:bidi="ar-SA"/>
        </w:rPr>
      </w:pPr>
      <w:r>
        <w:rPr>
          <w:rFonts w:hint="eastAsia" w:ascii="宋体" w:hAnsi="Times New Roman" w:eastAsia="宋体" w:cs="Times New Roman"/>
          <w:bCs/>
          <w:kern w:val="2"/>
          <w:sz w:val="28"/>
          <w:szCs w:val="28"/>
          <w:lang w:val="en-US" w:eastAsia="zh-CN" w:bidi="ar-SA"/>
        </w:rPr>
        <w:t>16）矿物油含量检验方法按GB/T 37514-2019 第一法执行</w:t>
      </w:r>
    </w:p>
    <w:p w14:paraId="43277E88">
      <w:pPr>
        <w:pStyle w:val="10"/>
        <w:numPr>
          <w:ilvl w:val="0"/>
          <w:numId w:val="4"/>
        </w:numPr>
        <w:spacing w:line="360" w:lineRule="auto"/>
        <w:ind w:firstLine="562"/>
        <w:rPr>
          <w:b/>
          <w:sz w:val="28"/>
          <w:szCs w:val="28"/>
        </w:rPr>
      </w:pPr>
      <w:r>
        <w:rPr>
          <w:rFonts w:hint="eastAsia"/>
          <w:bCs/>
          <w:sz w:val="28"/>
          <w:szCs w:val="28"/>
        </w:rPr>
        <w:t xml:space="preserve">  </w:t>
      </w:r>
      <w:r>
        <w:rPr>
          <w:rFonts w:hint="eastAsia"/>
          <w:b/>
          <w:sz w:val="28"/>
          <w:szCs w:val="28"/>
          <w:lang w:eastAsia="zh-CN"/>
        </w:rPr>
        <w:t>检验方法</w:t>
      </w:r>
    </w:p>
    <w:p w14:paraId="00747441">
      <w:pPr>
        <w:pStyle w:val="10"/>
        <w:spacing w:line="360" w:lineRule="auto"/>
        <w:ind w:firstLine="560"/>
        <w:rPr>
          <w:rFonts w:hint="eastAsia"/>
          <w:bCs/>
          <w:sz w:val="28"/>
          <w:szCs w:val="28"/>
          <w:lang w:eastAsia="zh-CN"/>
        </w:rPr>
      </w:pPr>
      <w:r>
        <w:rPr>
          <w:rFonts w:hint="eastAsia"/>
          <w:bCs/>
          <w:sz w:val="28"/>
          <w:szCs w:val="28"/>
          <w:lang w:eastAsia="zh-CN"/>
        </w:rPr>
        <w:t>本文件规范了以下检验方法，包含检验一般规则、扦样、出厂检验、型式检验、判定规则</w:t>
      </w:r>
    </w:p>
    <w:p w14:paraId="71ADFCF7">
      <w:pPr>
        <w:pStyle w:val="10"/>
        <w:numPr>
          <w:ilvl w:val="0"/>
          <w:numId w:val="4"/>
        </w:numPr>
        <w:spacing w:line="360" w:lineRule="auto"/>
        <w:ind w:firstLine="562"/>
        <w:rPr>
          <w:b/>
          <w:sz w:val="28"/>
          <w:szCs w:val="28"/>
        </w:rPr>
      </w:pPr>
      <w:r>
        <w:rPr>
          <w:rFonts w:hint="eastAsia"/>
          <w:bCs/>
          <w:sz w:val="28"/>
          <w:szCs w:val="28"/>
        </w:rPr>
        <w:t xml:space="preserve">  </w:t>
      </w:r>
      <w:r>
        <w:rPr>
          <w:rFonts w:hint="eastAsia"/>
          <w:b/>
          <w:sz w:val="28"/>
          <w:szCs w:val="28"/>
          <w:lang w:eastAsia="zh-CN"/>
        </w:rPr>
        <w:t>包装、储存、运输和销售</w:t>
      </w:r>
    </w:p>
    <w:p w14:paraId="65541357">
      <w:pPr>
        <w:pStyle w:val="10"/>
        <w:spacing w:line="360" w:lineRule="auto"/>
        <w:ind w:firstLine="560"/>
        <w:rPr>
          <w:rFonts w:hint="eastAsia"/>
          <w:bCs/>
          <w:sz w:val="28"/>
          <w:szCs w:val="28"/>
        </w:rPr>
      </w:pPr>
      <w:r>
        <w:rPr>
          <w:rFonts w:hint="eastAsia"/>
          <w:bCs/>
          <w:sz w:val="28"/>
          <w:szCs w:val="28"/>
          <w:lang w:eastAsia="zh-CN"/>
        </w:rPr>
        <w:t>本文件规范了中链配方食用植物油的包装、储存、运输和销售。</w:t>
      </w:r>
    </w:p>
    <w:p w14:paraId="6506BE79">
      <w:pPr>
        <w:pStyle w:val="3"/>
        <w:spacing w:before="312" w:beforeLines="100" w:after="312" w:afterLines="100" w:line="240" w:lineRule="auto"/>
        <w:rPr>
          <w:rFonts w:hint="eastAsia" w:eastAsia="黑体"/>
          <w:szCs w:val="28"/>
          <w:lang w:eastAsia="zh-CN"/>
        </w:rPr>
      </w:pPr>
      <w:r>
        <w:rPr>
          <w:rFonts w:hint="eastAsia"/>
          <w:szCs w:val="28"/>
          <w:lang w:eastAsia="zh-CN"/>
        </w:rPr>
        <w:t>四</w:t>
      </w:r>
      <w:r>
        <w:rPr>
          <w:rFonts w:hint="eastAsia"/>
          <w:szCs w:val="28"/>
        </w:rPr>
        <w:t>、重大分歧意见的处理经过、结果和依据</w:t>
      </w:r>
    </w:p>
    <w:p w14:paraId="0CF28906">
      <w:pPr>
        <w:pStyle w:val="10"/>
        <w:spacing w:line="360" w:lineRule="auto"/>
        <w:ind w:firstLine="560"/>
        <w:rPr>
          <w:rFonts w:hint="eastAsia"/>
          <w:bCs/>
          <w:sz w:val="28"/>
          <w:szCs w:val="28"/>
        </w:rPr>
      </w:pPr>
      <w:r>
        <w:rPr>
          <w:rFonts w:hint="eastAsia"/>
          <w:bCs/>
          <w:sz w:val="28"/>
          <w:szCs w:val="28"/>
        </w:rPr>
        <w:t>本</w:t>
      </w:r>
      <w:r>
        <w:rPr>
          <w:rFonts w:hint="eastAsia"/>
          <w:bCs/>
          <w:sz w:val="28"/>
          <w:szCs w:val="28"/>
          <w:lang w:eastAsia="zh-CN"/>
        </w:rPr>
        <w:t>文件</w:t>
      </w:r>
      <w:r>
        <w:rPr>
          <w:rFonts w:hint="eastAsia"/>
          <w:bCs/>
          <w:sz w:val="28"/>
          <w:szCs w:val="28"/>
        </w:rPr>
        <w:t>在标准编制、标准研讨过程中没有涉及重大分歧意见。</w:t>
      </w:r>
    </w:p>
    <w:p w14:paraId="194D3C72">
      <w:pPr>
        <w:pStyle w:val="3"/>
        <w:spacing w:before="312" w:beforeLines="100" w:after="312" w:afterLines="100" w:line="240" w:lineRule="auto"/>
        <w:rPr>
          <w:szCs w:val="28"/>
        </w:rPr>
      </w:pPr>
      <w:r>
        <w:rPr>
          <w:rFonts w:hint="eastAsia"/>
          <w:szCs w:val="28"/>
          <w:lang w:eastAsia="zh-CN"/>
        </w:rPr>
        <w:t>五</w:t>
      </w:r>
      <w:r>
        <w:rPr>
          <w:szCs w:val="28"/>
        </w:rPr>
        <w:t>、与国内外法律、法规和标准相关情况的说明</w:t>
      </w:r>
    </w:p>
    <w:p w14:paraId="1CABD879">
      <w:pPr>
        <w:spacing w:line="360" w:lineRule="auto"/>
        <w:ind w:firstLine="560" w:firstLineChars="200"/>
        <w:rPr>
          <w:rFonts w:hint="eastAsia" w:ascii="宋体" w:hAnsi="宋体"/>
          <w:sz w:val="28"/>
          <w:szCs w:val="28"/>
        </w:rPr>
      </w:pPr>
      <w:r>
        <w:rPr>
          <w:rFonts w:hint="eastAsia" w:ascii="宋体" w:hAnsi="宋体"/>
          <w:sz w:val="28"/>
          <w:szCs w:val="28"/>
        </w:rPr>
        <w:t>本标准符合国家相关法律、法规、规章及相关标准。</w:t>
      </w:r>
    </w:p>
    <w:p w14:paraId="5405401A">
      <w:pPr>
        <w:pStyle w:val="3"/>
        <w:spacing w:before="312" w:beforeLines="100" w:after="312" w:afterLines="100" w:line="240" w:lineRule="auto"/>
        <w:rPr>
          <w:rFonts w:hint="eastAsia"/>
          <w:szCs w:val="28"/>
        </w:rPr>
      </w:pPr>
      <w:r>
        <w:rPr>
          <w:rFonts w:hint="eastAsia"/>
          <w:szCs w:val="28"/>
          <w:lang w:eastAsia="zh-CN"/>
        </w:rPr>
        <w:t>六</w:t>
      </w:r>
      <w:r>
        <w:rPr>
          <w:rFonts w:hint="eastAsia"/>
          <w:szCs w:val="28"/>
        </w:rPr>
        <w:t>、其他需要说明的问题</w:t>
      </w:r>
    </w:p>
    <w:p w14:paraId="58F241D8">
      <w:pPr>
        <w:spacing w:line="360" w:lineRule="auto"/>
        <w:ind w:firstLine="560" w:firstLineChars="200"/>
        <w:rPr>
          <w:rFonts w:hint="eastAsia" w:ascii="宋体" w:hAnsi="宋体"/>
          <w:sz w:val="28"/>
          <w:szCs w:val="28"/>
        </w:rPr>
      </w:pPr>
      <w:r>
        <w:rPr>
          <w:rFonts w:hint="eastAsia" w:ascii="宋体" w:hAnsi="宋体"/>
          <w:sz w:val="28"/>
          <w:szCs w:val="28"/>
        </w:rPr>
        <w:t>本标准技术内容不涉及专利。</w:t>
      </w:r>
    </w:p>
    <w:p w14:paraId="46AA89DA">
      <w:pPr>
        <w:spacing w:line="360" w:lineRule="auto"/>
        <w:ind w:firstLine="560" w:firstLineChars="200"/>
        <w:rPr>
          <w:rFonts w:hint="eastAsia" w:ascii="宋体" w:hAnsi="宋体"/>
          <w:sz w:val="28"/>
          <w:szCs w:val="28"/>
        </w:rPr>
      </w:pPr>
      <w:r>
        <w:rPr>
          <w:rFonts w:hint="eastAsia" w:ascii="宋体" w:hAnsi="宋体"/>
          <w:sz w:val="28"/>
          <w:szCs w:val="28"/>
        </w:rPr>
        <w:t>本标准技术内容是推荐性，并作为团体标准发布，本标准在发布后即开始实施。</w:t>
      </w:r>
    </w:p>
    <w:p w14:paraId="0FB0282B">
      <w:pPr>
        <w:pStyle w:val="4"/>
        <w:rPr>
          <w:rFonts w:hint="eastAsia" w:eastAsia="仿宋_GB2312"/>
          <w:sz w:val="28"/>
          <w:szCs w:val="28"/>
          <w:lang w:eastAsia="zh-CN"/>
        </w:rPr>
      </w:pPr>
    </w:p>
    <w:p w14:paraId="2244BBCC">
      <w:pPr>
        <w:pStyle w:val="4"/>
        <w:rPr>
          <w:rFonts w:hint="eastAsia" w:eastAsia="仿宋_GB2312"/>
          <w:sz w:val="28"/>
          <w:szCs w:val="28"/>
          <w:lang w:eastAsia="zh-CN"/>
        </w:rPr>
      </w:pPr>
    </w:p>
    <w:p w14:paraId="4C64A822">
      <w:pPr>
        <w:pStyle w:val="4"/>
        <w:rPr>
          <w:rFonts w:hint="eastAsia" w:eastAsia="仿宋_GB2312"/>
          <w:sz w:val="28"/>
          <w:szCs w:val="28"/>
          <w:lang w:eastAsia="zh-CN"/>
        </w:rPr>
      </w:pPr>
    </w:p>
    <w:p w14:paraId="2ADEC164">
      <w:pPr>
        <w:widowControl/>
        <w:jc w:val="left"/>
        <w:rPr>
          <w:rFonts w:hint="eastAsia" w:ascii="宋体" w:hAnsi="宋体"/>
          <w:sz w:val="28"/>
          <w:szCs w:val="28"/>
        </w:rPr>
      </w:pPr>
    </w:p>
    <w:p w14:paraId="720116DD">
      <w:pPr>
        <w:widowControl/>
        <w:spacing w:line="360" w:lineRule="auto"/>
        <w:ind w:left="425" w:firstLine="200"/>
        <w:jc w:val="right"/>
        <w:rPr>
          <w:rFonts w:ascii="宋体" w:hAnsi="宋体"/>
          <w:sz w:val="28"/>
          <w:szCs w:val="28"/>
        </w:rPr>
      </w:pP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标准编制组</w:t>
      </w:r>
    </w:p>
    <w:p w14:paraId="6BC413B6">
      <w:pPr>
        <w:widowControl/>
        <w:spacing w:line="360" w:lineRule="auto"/>
        <w:ind w:left="425" w:firstLine="200"/>
        <w:jc w:val="right"/>
        <w:rPr>
          <w:rFonts w:ascii="宋体" w:hAnsi="宋体"/>
          <w:sz w:val="28"/>
          <w:szCs w:val="28"/>
        </w:rPr>
      </w:pPr>
      <w:r>
        <w:rPr>
          <w:rFonts w:ascii="宋体" w:hAnsi="宋体"/>
          <w:sz w:val="28"/>
          <w:szCs w:val="28"/>
        </w:rPr>
        <w:t xml:space="preserve">                                        20</w:t>
      </w:r>
      <w:r>
        <w:rPr>
          <w:rFonts w:hint="eastAsia" w:ascii="宋体" w:hAnsi="宋体"/>
          <w:sz w:val="28"/>
          <w:szCs w:val="28"/>
        </w:rPr>
        <w:t>2</w:t>
      </w:r>
      <w:r>
        <w:rPr>
          <w:rFonts w:hint="eastAsia" w:ascii="宋体" w:hAnsi="宋体" w:eastAsia="宋体"/>
          <w:sz w:val="28"/>
          <w:szCs w:val="28"/>
          <w:lang w:val="en-US" w:eastAsia="zh-CN"/>
        </w:rPr>
        <w:t>4</w:t>
      </w:r>
      <w:r>
        <w:rPr>
          <w:rFonts w:hint="eastAsia" w:ascii="宋体" w:hAnsi="宋体"/>
          <w:sz w:val="28"/>
          <w:szCs w:val="28"/>
        </w:rPr>
        <w:t>年</w:t>
      </w:r>
      <w:r>
        <w:rPr>
          <w:rFonts w:hint="eastAsia" w:ascii="宋体" w:hAnsi="宋体" w:eastAsia="宋体"/>
          <w:sz w:val="28"/>
          <w:szCs w:val="28"/>
          <w:lang w:val="en-US" w:eastAsia="zh-CN"/>
        </w:rPr>
        <w:t>9</w:t>
      </w:r>
      <w:r>
        <w:rPr>
          <w:rFonts w:hint="eastAsia" w:ascii="宋体" w:hAnsi="宋体"/>
          <w:sz w:val="28"/>
          <w:szCs w:val="28"/>
        </w:rPr>
        <w:t>月</w:t>
      </w:r>
      <w:r>
        <w:rPr>
          <w:rFonts w:ascii="宋体" w:hAnsi="宋体"/>
          <w:sz w:val="28"/>
          <w:szCs w:val="28"/>
        </w:rPr>
        <w:t>1</w:t>
      </w:r>
      <w:r>
        <w:rPr>
          <w:rFonts w:hint="eastAsia" w:ascii="宋体" w:hAnsi="宋体" w:eastAsia="宋体"/>
          <w:sz w:val="28"/>
          <w:szCs w:val="28"/>
          <w:lang w:val="en-US" w:eastAsia="zh-CN"/>
        </w:rPr>
        <w:t>0</w:t>
      </w:r>
      <w:r>
        <w:rPr>
          <w:rFonts w:hint="eastAsia" w:ascii="宋体" w:hAnsi="宋体"/>
          <w:sz w:val="28"/>
          <w:szCs w:val="28"/>
        </w:rPr>
        <w:t>日</w:t>
      </w:r>
    </w:p>
    <w:p w14:paraId="3016A9D4"/>
    <w:p w14:paraId="3ED497E8"/>
    <w:sectPr>
      <w:pgSz w:w="11906" w:h="16838"/>
      <w:pgMar w:top="1440" w:right="1800" w:bottom="1440" w:left="1800"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74319F-CE3D-4C15-9FE9-D41774FD1C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75911AD6-C1EB-4AC7-866D-596E2ED537BA}"/>
  </w:font>
  <w:font w:name="楷体">
    <w:panose1 w:val="02010609060101010101"/>
    <w:charset w:val="86"/>
    <w:family w:val="auto"/>
    <w:pitch w:val="default"/>
    <w:sig w:usb0="800002BF" w:usb1="38CF7CFA" w:usb2="00000016" w:usb3="00000000" w:csb0="00040001" w:csb1="00000000"/>
    <w:embedRegular r:id="rId3" w:fontKey="{AC8F724B-AFEB-4211-9FFB-43E66B8E0D03}"/>
  </w:font>
  <w:font w:name="楷体_GB2312">
    <w:altName w:val="楷体"/>
    <w:panose1 w:val="02010609030101010101"/>
    <w:charset w:val="86"/>
    <w:family w:val="modern"/>
    <w:pitch w:val="default"/>
    <w:sig w:usb0="00000000" w:usb1="00000000" w:usb2="00000000" w:usb3="00000000" w:csb0="00040000" w:csb1="00000000"/>
    <w:embedRegular r:id="rId4" w:fontKey="{01414A99-B1F5-458E-8C99-5C7B898C1FB2}"/>
  </w:font>
  <w:font w:name="仿宋_GB2312">
    <w:panose1 w:val="02010609030101010101"/>
    <w:charset w:val="86"/>
    <w:family w:val="modern"/>
    <w:pitch w:val="default"/>
    <w:sig w:usb0="00000001" w:usb1="080E0000" w:usb2="00000000" w:usb3="00000000" w:csb0="00040000" w:csb1="00000000"/>
    <w:embedRegular r:id="rId5" w:fontKey="{6A9B80E7-9664-4FFB-A5D3-85AD23FC7A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E5303">
    <w:pPr>
      <w:pStyle w:val="5"/>
      <w:jc w:val="center"/>
      <w:rPr>
        <w:rFonts w:hint="eastAsia"/>
      </w:rPr>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6AF29">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86310"/>
    <w:multiLevelType w:val="singleLevel"/>
    <w:tmpl w:val="8DD86310"/>
    <w:lvl w:ilvl="0" w:tentative="0">
      <w:start w:val="3"/>
      <w:numFmt w:val="decimal"/>
      <w:suff w:val="nothing"/>
      <w:lvlText w:val="%1、"/>
      <w:lvlJc w:val="left"/>
    </w:lvl>
  </w:abstractNum>
  <w:abstractNum w:abstractNumId="1">
    <w:nsid w:val="FF1FCE73"/>
    <w:multiLevelType w:val="multilevel"/>
    <w:tmpl w:val="FF1FCE73"/>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11"/>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64A781E2"/>
    <w:multiLevelType w:val="singleLevel"/>
    <w:tmpl w:val="64A781E2"/>
    <w:lvl w:ilvl="0" w:tentative="0">
      <w:start w:val="1"/>
      <w:numFmt w:val="chineseCounting"/>
      <w:suff w:val="nothing"/>
      <w:lvlText w:val="%1、"/>
      <w:lvlJc w:val="left"/>
      <w:rPr>
        <w:rFonts w:hint="eastAsia"/>
      </w:rPr>
    </w:lvl>
  </w:abstractNum>
  <w:abstractNum w:abstractNumId="3">
    <w:nsid w:val="791B5055"/>
    <w:multiLevelType w:val="multilevel"/>
    <w:tmpl w:val="791B5055"/>
    <w:lvl w:ilvl="0" w:tentative="0">
      <w:start w:val="1"/>
      <w:numFmt w:val="decimal"/>
      <w:lvlText w:val="%1."/>
      <w:lvlJc w:val="left"/>
      <w:pPr>
        <w:ind w:left="842" w:hanging="420"/>
      </w:p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iM2EyYjMxYmU0ZTgyYjBiZjExODI1ODhlYmQ2YjgifQ=="/>
  </w:docVars>
  <w:rsids>
    <w:rsidRoot w:val="00000000"/>
    <w:rsid w:val="1DD442F6"/>
    <w:rsid w:val="53BF35B1"/>
    <w:rsid w:val="6E691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
    <w:pPr>
      <w:keepNext/>
      <w:keepLines/>
      <w:widowControl/>
      <w:spacing w:before="340" w:after="330" w:line="578" w:lineRule="auto"/>
      <w:jc w:val="left"/>
      <w:outlineLvl w:val="0"/>
    </w:pPr>
    <w:rPr>
      <w:rFonts w:eastAsia="黑体"/>
      <w:b/>
      <w:bCs/>
      <w:kern w:val="44"/>
      <w:sz w:val="28"/>
      <w:szCs w:val="44"/>
    </w:rPr>
  </w:style>
  <w:style w:type="character" w:default="1" w:styleId="9">
    <w:name w:val="Default Paragraph Font"/>
    <w:semiHidden/>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footer"/>
    <w:basedOn w:val="1"/>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 w:type="paragraph" w:customStyle="1" w:styleId="11">
    <w:name w:val="标准文件_二级条标题"/>
    <w:basedOn w:val="1"/>
    <w:next w:val="1"/>
    <w:uiPriority w:val="0"/>
    <w:pPr>
      <w:keepNext w:val="0"/>
      <w:keepLines w:val="0"/>
      <w:widowControl w:val="0"/>
      <w:numPr>
        <w:ilvl w:val="3"/>
        <w:numId w:val="1"/>
      </w:numPr>
      <w:suppressLineNumbers w:val="0"/>
      <w:adjustRightInd/>
      <w:spacing w:before="50" w:beforeLines="50" w:beforeAutospacing="0" w:after="50" w:afterLines="50" w:afterAutospacing="0" w:line="240" w:lineRule="auto"/>
      <w:ind w:left="0" w:right="0" w:firstLine="0"/>
      <w:jc w:val="both"/>
      <w:outlineLvl w:val="2"/>
    </w:pPr>
    <w:rPr>
      <w:rFonts w:hint="eastAsia" w:ascii="黑体" w:hAnsi="Times New Roman" w:eastAsia="黑体" w:cs="Times New Roman"/>
      <w:kern w:val="0"/>
      <w:sz w:val="21"/>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3575</Words>
  <Characters>4037</Characters>
  <Lines>0</Lines>
  <Paragraphs>0</Paragraphs>
  <TotalTime>25</TotalTime>
  <ScaleCrop>false</ScaleCrop>
  <LinksUpToDate>false</LinksUpToDate>
  <CharactersWithSpaces>4216</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2024-09-11T07:05:00Z</dcterms:created>
  <dc:creator>Administrator</dc:creator>
  <cp:lastModifiedBy>星辰</cp:lastModifiedBy>
  <dcterms:modified xsi:type="dcterms:W3CDTF">2024-09-14T14:40:55Z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FAEF6B0D153C4830816616C42A1B1DE2_13</vt:lpwstr>
  </property>
</Properties>
</file>